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ctober 2017"/>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F17A45" w:rsidP="00096AA7">
            <w:pPr>
              <w:rPr>
                <w:rFonts w:ascii="Arial" w:hAnsi="Arial" w:cs="Arial"/>
                <w:b/>
                <w:color w:val="002C47"/>
                <w:sz w:val="36"/>
                <w:szCs w:val="36"/>
              </w:rPr>
            </w:pPr>
            <w:r>
              <w:rPr>
                <w:rFonts w:ascii="Arial" w:hAnsi="Arial" w:cs="Arial"/>
                <w:b/>
                <w:color w:val="002C47"/>
                <w:sz w:val="36"/>
                <w:szCs w:val="36"/>
              </w:rPr>
              <w:t xml:space="preserve">October </w:t>
            </w:r>
            <w:r w:rsidR="00A62FBD">
              <w:rPr>
                <w:rFonts w:ascii="Arial" w:hAnsi="Arial" w:cs="Arial"/>
                <w:b/>
                <w:color w:val="002C47"/>
                <w:sz w:val="36"/>
                <w:szCs w:val="36"/>
              </w:rPr>
              <w:t>2017</w:t>
            </w:r>
          </w:p>
        </w:tc>
      </w:tr>
    </w:tbl>
    <w:p w:rsidR="00A2181C" w:rsidRPr="00A2181C" w:rsidRDefault="00A2181C" w:rsidP="00A2181C">
      <w:pPr>
        <w:spacing w:before="0" w:after="0"/>
        <w:rPr>
          <w:vanish/>
        </w:rPr>
      </w:pPr>
    </w:p>
    <w:tbl>
      <w:tblPr>
        <w:tblpPr w:leftFromText="180" w:rightFromText="180" w:vertAnchor="page" w:tblpY="3316"/>
        <w:tblW w:w="9079" w:type="dxa"/>
        <w:tblLayout w:type="fixed"/>
        <w:tblLook w:val="04A0" w:firstRow="1" w:lastRow="0" w:firstColumn="1" w:lastColumn="0" w:noHBand="0" w:noVBand="1"/>
        <w:tblDescription w:val="Australian Public Assessment Report for nivolumab"/>
      </w:tblPr>
      <w:tblGrid>
        <w:gridCol w:w="9079"/>
      </w:tblGrid>
      <w:tr w:rsidR="0032583B" w:rsidRPr="00A964D1" w:rsidTr="00A62FBD">
        <w:trPr>
          <w:trHeight w:val="1608"/>
        </w:trPr>
        <w:tc>
          <w:tcPr>
            <w:tcW w:w="9079" w:type="dxa"/>
          </w:tcPr>
          <w:p w:rsidR="0032583B" w:rsidRPr="00A2181C" w:rsidRDefault="0032583B" w:rsidP="00A964D1">
            <w:pPr>
              <w:pStyle w:val="Title"/>
              <w:rPr>
                <w:color w:val="FFFFFF"/>
              </w:rPr>
            </w:pPr>
            <w:r w:rsidRPr="00A2181C">
              <w:rPr>
                <w:color w:val="FFFFFF"/>
              </w:rPr>
              <w:t>Australian</w:t>
            </w:r>
            <w:r w:rsidR="00A62FBD" w:rsidRPr="00A2181C">
              <w:rPr>
                <w:color w:val="FFFFFF"/>
              </w:rPr>
              <w:t xml:space="preserve"> Public Assessment Report for </w:t>
            </w:r>
            <w:proofErr w:type="spellStart"/>
            <w:r w:rsidR="00A62FBD" w:rsidRPr="00A2181C">
              <w:rPr>
                <w:color w:val="FFFFFF"/>
              </w:rPr>
              <w:t>nivolumab</w:t>
            </w:r>
            <w:proofErr w:type="spellEnd"/>
          </w:p>
        </w:tc>
      </w:tr>
      <w:tr w:rsidR="0032583B" w:rsidRPr="00B64760" w:rsidTr="0032583B">
        <w:tc>
          <w:tcPr>
            <w:tcW w:w="9079" w:type="dxa"/>
          </w:tcPr>
          <w:p w:rsidR="0032583B" w:rsidRPr="00A2181C" w:rsidRDefault="00A62FBD" w:rsidP="00A62FBD">
            <w:pPr>
              <w:pStyle w:val="Subtitle"/>
              <w:ind w:left="0"/>
              <w:rPr>
                <w:color w:val="FFFFFF"/>
              </w:rPr>
            </w:pPr>
            <w:r w:rsidRPr="00A2181C">
              <w:rPr>
                <w:color w:val="FFFFFF"/>
              </w:rPr>
              <w:t xml:space="preserve">Proprietary Product Name: </w:t>
            </w:r>
            <w:proofErr w:type="spellStart"/>
            <w:r w:rsidRPr="00A2181C">
              <w:rPr>
                <w:color w:val="FFFFFF"/>
              </w:rPr>
              <w:t>Opdivo</w:t>
            </w:r>
            <w:proofErr w:type="spellEnd"/>
          </w:p>
        </w:tc>
      </w:tr>
      <w:tr w:rsidR="0032583B" w:rsidRPr="00B64760" w:rsidTr="0032583B">
        <w:trPr>
          <w:trHeight w:val="486"/>
        </w:trPr>
        <w:tc>
          <w:tcPr>
            <w:tcW w:w="9079" w:type="dxa"/>
          </w:tcPr>
          <w:p w:rsidR="0032583B" w:rsidRPr="00A2181C" w:rsidRDefault="00A62FBD" w:rsidP="00A62FBD">
            <w:pPr>
              <w:pStyle w:val="Subtitle"/>
              <w:ind w:left="0"/>
              <w:rPr>
                <w:color w:val="FFFFFF"/>
              </w:rPr>
            </w:pPr>
            <w:r w:rsidRPr="00A2181C">
              <w:rPr>
                <w:color w:val="FFFFFF"/>
              </w:rPr>
              <w:t>Sponsor: Bristol-Myers Squibb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rsidR="00B452CE" w:rsidRDefault="008E7846" w:rsidP="002726ED">
      <w:pPr>
        <w:pStyle w:val="ListBullet"/>
        <w:numPr>
          <w:ilvl w:val="0"/>
          <w:numId w:val="3"/>
        </w:numPr>
        <w:spacing w:after="0"/>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204EF9">
      <w:pPr>
        <w:pStyle w:val="LegalSubheading"/>
        <w:spacing w:before="300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6A3F11">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0" w:name="_Toc247691501"/>
      <w:bookmarkStart w:id="1" w:name="_Toc196046425"/>
      <w:r w:rsidRPr="0010788A">
        <w:lastRenderedPageBreak/>
        <w:t>Contents</w:t>
      </w:r>
    </w:p>
    <w:p w:rsidR="001D2849"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7992229" w:history="1">
        <w:r w:rsidR="001D2849" w:rsidRPr="00CA09B4">
          <w:rPr>
            <w:rStyle w:val="Hyperlink"/>
            <w:noProof/>
          </w:rPr>
          <w:t>Common abbreviations</w:t>
        </w:r>
        <w:r w:rsidR="001D2849">
          <w:rPr>
            <w:noProof/>
            <w:webHidden/>
          </w:rPr>
          <w:tab/>
        </w:r>
        <w:r w:rsidR="001D2849">
          <w:rPr>
            <w:noProof/>
            <w:webHidden/>
          </w:rPr>
          <w:fldChar w:fldCharType="begin"/>
        </w:r>
        <w:r w:rsidR="001D2849">
          <w:rPr>
            <w:noProof/>
            <w:webHidden/>
          </w:rPr>
          <w:instrText xml:space="preserve"> PAGEREF _Toc497992229 \h </w:instrText>
        </w:r>
        <w:r w:rsidR="001D2849">
          <w:rPr>
            <w:noProof/>
            <w:webHidden/>
          </w:rPr>
        </w:r>
        <w:r w:rsidR="001D2849">
          <w:rPr>
            <w:noProof/>
            <w:webHidden/>
          </w:rPr>
          <w:fldChar w:fldCharType="separate"/>
        </w:r>
        <w:r w:rsidR="001D2849">
          <w:rPr>
            <w:noProof/>
            <w:webHidden/>
          </w:rPr>
          <w:t>4</w:t>
        </w:r>
        <w:r w:rsidR="001D2849">
          <w:rPr>
            <w:noProof/>
            <w:webHidden/>
          </w:rPr>
          <w:fldChar w:fldCharType="end"/>
        </w:r>
      </w:hyperlink>
    </w:p>
    <w:p w:rsidR="001D2849" w:rsidRDefault="001D2849">
      <w:pPr>
        <w:pStyle w:val="TOC2"/>
        <w:rPr>
          <w:rFonts w:asciiTheme="minorHAnsi" w:eastAsiaTheme="minorEastAsia" w:hAnsiTheme="minorHAnsi" w:cstheme="minorBidi"/>
          <w:b w:val="0"/>
          <w:noProof/>
          <w:sz w:val="22"/>
          <w:lang w:eastAsia="en-AU"/>
        </w:rPr>
      </w:pPr>
      <w:hyperlink w:anchor="_Toc497992230" w:history="1">
        <w:r w:rsidRPr="00CA09B4">
          <w:rPr>
            <w:rStyle w:val="Hyperlink"/>
            <w:noProof/>
          </w:rPr>
          <w:t>I. Introduction to product submission</w:t>
        </w:r>
        <w:r>
          <w:rPr>
            <w:noProof/>
            <w:webHidden/>
          </w:rPr>
          <w:tab/>
        </w:r>
        <w:r>
          <w:rPr>
            <w:noProof/>
            <w:webHidden/>
          </w:rPr>
          <w:fldChar w:fldCharType="begin"/>
        </w:r>
        <w:r>
          <w:rPr>
            <w:noProof/>
            <w:webHidden/>
          </w:rPr>
          <w:instrText xml:space="preserve"> PAGEREF _Toc497992230 \h </w:instrText>
        </w:r>
        <w:r>
          <w:rPr>
            <w:noProof/>
            <w:webHidden/>
          </w:rPr>
        </w:r>
        <w:r>
          <w:rPr>
            <w:noProof/>
            <w:webHidden/>
          </w:rPr>
          <w:fldChar w:fldCharType="separate"/>
        </w:r>
        <w:r>
          <w:rPr>
            <w:noProof/>
            <w:webHidden/>
          </w:rPr>
          <w:t>8</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31" w:history="1">
        <w:r w:rsidRPr="00CA09B4">
          <w:rPr>
            <w:rStyle w:val="Hyperlink"/>
            <w:noProof/>
            <w:lang w:eastAsia="en-AU"/>
          </w:rPr>
          <w:t>Submission details</w:t>
        </w:r>
        <w:r>
          <w:rPr>
            <w:noProof/>
            <w:webHidden/>
          </w:rPr>
          <w:tab/>
        </w:r>
        <w:r>
          <w:rPr>
            <w:noProof/>
            <w:webHidden/>
          </w:rPr>
          <w:fldChar w:fldCharType="begin"/>
        </w:r>
        <w:r>
          <w:rPr>
            <w:noProof/>
            <w:webHidden/>
          </w:rPr>
          <w:instrText xml:space="preserve"> PAGEREF _Toc497992231 \h </w:instrText>
        </w:r>
        <w:r>
          <w:rPr>
            <w:noProof/>
            <w:webHidden/>
          </w:rPr>
        </w:r>
        <w:r>
          <w:rPr>
            <w:noProof/>
            <w:webHidden/>
          </w:rPr>
          <w:fldChar w:fldCharType="separate"/>
        </w:r>
        <w:r>
          <w:rPr>
            <w:noProof/>
            <w:webHidden/>
          </w:rPr>
          <w:t>8</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32" w:history="1">
        <w:r w:rsidRPr="00CA09B4">
          <w:rPr>
            <w:rStyle w:val="Hyperlink"/>
            <w:noProof/>
          </w:rPr>
          <w:t>Product background</w:t>
        </w:r>
        <w:r>
          <w:rPr>
            <w:noProof/>
            <w:webHidden/>
          </w:rPr>
          <w:tab/>
        </w:r>
        <w:r>
          <w:rPr>
            <w:noProof/>
            <w:webHidden/>
          </w:rPr>
          <w:fldChar w:fldCharType="begin"/>
        </w:r>
        <w:r>
          <w:rPr>
            <w:noProof/>
            <w:webHidden/>
          </w:rPr>
          <w:instrText xml:space="preserve"> PAGEREF _Toc497992232 \h </w:instrText>
        </w:r>
        <w:r>
          <w:rPr>
            <w:noProof/>
            <w:webHidden/>
          </w:rPr>
        </w:r>
        <w:r>
          <w:rPr>
            <w:noProof/>
            <w:webHidden/>
          </w:rPr>
          <w:fldChar w:fldCharType="separate"/>
        </w:r>
        <w:r>
          <w:rPr>
            <w:noProof/>
            <w:webHidden/>
          </w:rPr>
          <w:t>8</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33" w:history="1">
        <w:r w:rsidRPr="00CA09B4">
          <w:rPr>
            <w:rStyle w:val="Hyperlink"/>
            <w:noProof/>
          </w:rPr>
          <w:t>Regulatory status</w:t>
        </w:r>
        <w:r>
          <w:rPr>
            <w:noProof/>
            <w:webHidden/>
          </w:rPr>
          <w:tab/>
        </w:r>
        <w:r>
          <w:rPr>
            <w:noProof/>
            <w:webHidden/>
          </w:rPr>
          <w:fldChar w:fldCharType="begin"/>
        </w:r>
        <w:r>
          <w:rPr>
            <w:noProof/>
            <w:webHidden/>
          </w:rPr>
          <w:instrText xml:space="preserve"> PAGEREF _Toc497992233 \h </w:instrText>
        </w:r>
        <w:r>
          <w:rPr>
            <w:noProof/>
            <w:webHidden/>
          </w:rPr>
        </w:r>
        <w:r>
          <w:rPr>
            <w:noProof/>
            <w:webHidden/>
          </w:rPr>
          <w:fldChar w:fldCharType="separate"/>
        </w:r>
        <w:r>
          <w:rPr>
            <w:noProof/>
            <w:webHidden/>
          </w:rPr>
          <w:t>11</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34" w:history="1">
        <w:r w:rsidRPr="00CA09B4">
          <w:rPr>
            <w:rStyle w:val="Hyperlink"/>
            <w:noProof/>
          </w:rPr>
          <w:t>Product Information</w:t>
        </w:r>
        <w:r>
          <w:rPr>
            <w:noProof/>
            <w:webHidden/>
          </w:rPr>
          <w:tab/>
        </w:r>
        <w:r>
          <w:rPr>
            <w:noProof/>
            <w:webHidden/>
          </w:rPr>
          <w:fldChar w:fldCharType="begin"/>
        </w:r>
        <w:r>
          <w:rPr>
            <w:noProof/>
            <w:webHidden/>
          </w:rPr>
          <w:instrText xml:space="preserve"> PAGEREF _Toc497992234 \h </w:instrText>
        </w:r>
        <w:r>
          <w:rPr>
            <w:noProof/>
            <w:webHidden/>
          </w:rPr>
        </w:r>
        <w:r>
          <w:rPr>
            <w:noProof/>
            <w:webHidden/>
          </w:rPr>
          <w:fldChar w:fldCharType="separate"/>
        </w:r>
        <w:r>
          <w:rPr>
            <w:noProof/>
            <w:webHidden/>
          </w:rPr>
          <w:t>13</w:t>
        </w:r>
        <w:r>
          <w:rPr>
            <w:noProof/>
            <w:webHidden/>
          </w:rPr>
          <w:fldChar w:fldCharType="end"/>
        </w:r>
      </w:hyperlink>
    </w:p>
    <w:p w:rsidR="001D2849" w:rsidRDefault="001D2849">
      <w:pPr>
        <w:pStyle w:val="TOC2"/>
        <w:rPr>
          <w:rFonts w:asciiTheme="minorHAnsi" w:eastAsiaTheme="minorEastAsia" w:hAnsiTheme="minorHAnsi" w:cstheme="minorBidi"/>
          <w:b w:val="0"/>
          <w:noProof/>
          <w:sz w:val="22"/>
          <w:lang w:eastAsia="en-AU"/>
        </w:rPr>
      </w:pPr>
      <w:hyperlink w:anchor="_Toc497992235" w:history="1">
        <w:r w:rsidRPr="00CA09B4">
          <w:rPr>
            <w:rStyle w:val="Hyperlink"/>
            <w:noProof/>
          </w:rPr>
          <w:t>II. Quality findings</w:t>
        </w:r>
        <w:r>
          <w:rPr>
            <w:noProof/>
            <w:webHidden/>
          </w:rPr>
          <w:tab/>
        </w:r>
        <w:r>
          <w:rPr>
            <w:noProof/>
            <w:webHidden/>
          </w:rPr>
          <w:fldChar w:fldCharType="begin"/>
        </w:r>
        <w:r>
          <w:rPr>
            <w:noProof/>
            <w:webHidden/>
          </w:rPr>
          <w:instrText xml:space="preserve"> PAGEREF _Toc497992235 \h </w:instrText>
        </w:r>
        <w:r>
          <w:rPr>
            <w:noProof/>
            <w:webHidden/>
          </w:rPr>
        </w:r>
        <w:r>
          <w:rPr>
            <w:noProof/>
            <w:webHidden/>
          </w:rPr>
          <w:fldChar w:fldCharType="separate"/>
        </w:r>
        <w:r>
          <w:rPr>
            <w:noProof/>
            <w:webHidden/>
          </w:rPr>
          <w:t>13</w:t>
        </w:r>
        <w:r>
          <w:rPr>
            <w:noProof/>
            <w:webHidden/>
          </w:rPr>
          <w:fldChar w:fldCharType="end"/>
        </w:r>
      </w:hyperlink>
    </w:p>
    <w:p w:rsidR="001D2849" w:rsidRDefault="001D2849">
      <w:pPr>
        <w:pStyle w:val="TOC2"/>
        <w:rPr>
          <w:rFonts w:asciiTheme="minorHAnsi" w:eastAsiaTheme="minorEastAsia" w:hAnsiTheme="minorHAnsi" w:cstheme="minorBidi"/>
          <w:b w:val="0"/>
          <w:noProof/>
          <w:sz w:val="22"/>
          <w:lang w:eastAsia="en-AU"/>
        </w:rPr>
      </w:pPr>
      <w:hyperlink w:anchor="_Toc497992236" w:history="1">
        <w:r w:rsidRPr="00CA09B4">
          <w:rPr>
            <w:rStyle w:val="Hyperlink"/>
            <w:noProof/>
          </w:rPr>
          <w:t>III. Nonclinical findings</w:t>
        </w:r>
        <w:r>
          <w:rPr>
            <w:noProof/>
            <w:webHidden/>
          </w:rPr>
          <w:tab/>
        </w:r>
        <w:r>
          <w:rPr>
            <w:noProof/>
            <w:webHidden/>
          </w:rPr>
          <w:fldChar w:fldCharType="begin"/>
        </w:r>
        <w:r>
          <w:rPr>
            <w:noProof/>
            <w:webHidden/>
          </w:rPr>
          <w:instrText xml:space="preserve"> PAGEREF _Toc497992236 \h </w:instrText>
        </w:r>
        <w:r>
          <w:rPr>
            <w:noProof/>
            <w:webHidden/>
          </w:rPr>
        </w:r>
        <w:r>
          <w:rPr>
            <w:noProof/>
            <w:webHidden/>
          </w:rPr>
          <w:fldChar w:fldCharType="separate"/>
        </w:r>
        <w:r>
          <w:rPr>
            <w:noProof/>
            <w:webHidden/>
          </w:rPr>
          <w:t>13</w:t>
        </w:r>
        <w:r>
          <w:rPr>
            <w:noProof/>
            <w:webHidden/>
          </w:rPr>
          <w:fldChar w:fldCharType="end"/>
        </w:r>
      </w:hyperlink>
    </w:p>
    <w:p w:rsidR="001D2849" w:rsidRDefault="001D2849">
      <w:pPr>
        <w:pStyle w:val="TOC2"/>
        <w:rPr>
          <w:rFonts w:asciiTheme="minorHAnsi" w:eastAsiaTheme="minorEastAsia" w:hAnsiTheme="minorHAnsi" w:cstheme="minorBidi"/>
          <w:b w:val="0"/>
          <w:noProof/>
          <w:sz w:val="22"/>
          <w:lang w:eastAsia="en-AU"/>
        </w:rPr>
      </w:pPr>
      <w:hyperlink w:anchor="_Toc497992237" w:history="1">
        <w:r w:rsidRPr="00CA09B4">
          <w:rPr>
            <w:rStyle w:val="Hyperlink"/>
            <w:noProof/>
          </w:rPr>
          <w:t>IV. Clinical findings</w:t>
        </w:r>
        <w:r>
          <w:rPr>
            <w:noProof/>
            <w:webHidden/>
          </w:rPr>
          <w:tab/>
        </w:r>
        <w:r>
          <w:rPr>
            <w:noProof/>
            <w:webHidden/>
          </w:rPr>
          <w:fldChar w:fldCharType="begin"/>
        </w:r>
        <w:r>
          <w:rPr>
            <w:noProof/>
            <w:webHidden/>
          </w:rPr>
          <w:instrText xml:space="preserve"> PAGEREF _Toc497992237 \h </w:instrText>
        </w:r>
        <w:r>
          <w:rPr>
            <w:noProof/>
            <w:webHidden/>
          </w:rPr>
        </w:r>
        <w:r>
          <w:rPr>
            <w:noProof/>
            <w:webHidden/>
          </w:rPr>
          <w:fldChar w:fldCharType="separate"/>
        </w:r>
        <w:r>
          <w:rPr>
            <w:noProof/>
            <w:webHidden/>
          </w:rPr>
          <w:t>13</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38" w:history="1">
        <w:r w:rsidRPr="00CA09B4">
          <w:rPr>
            <w:rStyle w:val="Hyperlink"/>
            <w:noProof/>
          </w:rPr>
          <w:t>Introduction</w:t>
        </w:r>
        <w:r>
          <w:rPr>
            <w:noProof/>
            <w:webHidden/>
          </w:rPr>
          <w:tab/>
        </w:r>
        <w:r>
          <w:rPr>
            <w:noProof/>
            <w:webHidden/>
          </w:rPr>
          <w:fldChar w:fldCharType="begin"/>
        </w:r>
        <w:r>
          <w:rPr>
            <w:noProof/>
            <w:webHidden/>
          </w:rPr>
          <w:instrText xml:space="preserve"> PAGEREF _Toc497992238 \h </w:instrText>
        </w:r>
        <w:r>
          <w:rPr>
            <w:noProof/>
            <w:webHidden/>
          </w:rPr>
        </w:r>
        <w:r>
          <w:rPr>
            <w:noProof/>
            <w:webHidden/>
          </w:rPr>
          <w:fldChar w:fldCharType="separate"/>
        </w:r>
        <w:r>
          <w:rPr>
            <w:noProof/>
            <w:webHidden/>
          </w:rPr>
          <w:t>13</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39" w:history="1">
        <w:r w:rsidRPr="00CA09B4">
          <w:rPr>
            <w:rStyle w:val="Hyperlink"/>
            <w:noProof/>
          </w:rPr>
          <w:t>Pharmacokinetics</w:t>
        </w:r>
        <w:r>
          <w:rPr>
            <w:noProof/>
            <w:webHidden/>
          </w:rPr>
          <w:tab/>
        </w:r>
        <w:r>
          <w:rPr>
            <w:noProof/>
            <w:webHidden/>
          </w:rPr>
          <w:fldChar w:fldCharType="begin"/>
        </w:r>
        <w:r>
          <w:rPr>
            <w:noProof/>
            <w:webHidden/>
          </w:rPr>
          <w:instrText xml:space="preserve"> PAGEREF _Toc497992239 \h </w:instrText>
        </w:r>
        <w:r>
          <w:rPr>
            <w:noProof/>
            <w:webHidden/>
          </w:rPr>
        </w:r>
        <w:r>
          <w:rPr>
            <w:noProof/>
            <w:webHidden/>
          </w:rPr>
          <w:fldChar w:fldCharType="separate"/>
        </w:r>
        <w:r>
          <w:rPr>
            <w:noProof/>
            <w:webHidden/>
          </w:rPr>
          <w:t>15</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0" w:history="1">
        <w:r w:rsidRPr="00CA09B4">
          <w:rPr>
            <w:rStyle w:val="Hyperlink"/>
            <w:noProof/>
          </w:rPr>
          <w:t>Pharmacodynamics</w:t>
        </w:r>
        <w:r>
          <w:rPr>
            <w:noProof/>
            <w:webHidden/>
          </w:rPr>
          <w:tab/>
        </w:r>
        <w:r>
          <w:rPr>
            <w:noProof/>
            <w:webHidden/>
          </w:rPr>
          <w:fldChar w:fldCharType="begin"/>
        </w:r>
        <w:r>
          <w:rPr>
            <w:noProof/>
            <w:webHidden/>
          </w:rPr>
          <w:instrText xml:space="preserve"> PAGEREF _Toc497992240 \h </w:instrText>
        </w:r>
        <w:r>
          <w:rPr>
            <w:noProof/>
            <w:webHidden/>
          </w:rPr>
        </w:r>
        <w:r>
          <w:rPr>
            <w:noProof/>
            <w:webHidden/>
          </w:rPr>
          <w:fldChar w:fldCharType="separate"/>
        </w:r>
        <w:r>
          <w:rPr>
            <w:noProof/>
            <w:webHidden/>
          </w:rPr>
          <w:t>17</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1" w:history="1">
        <w:r w:rsidRPr="00CA09B4">
          <w:rPr>
            <w:rStyle w:val="Hyperlink"/>
            <w:noProof/>
          </w:rPr>
          <w:t>Dosage selection for the pivotal studies</w:t>
        </w:r>
        <w:r>
          <w:rPr>
            <w:noProof/>
            <w:webHidden/>
          </w:rPr>
          <w:tab/>
        </w:r>
        <w:r>
          <w:rPr>
            <w:noProof/>
            <w:webHidden/>
          </w:rPr>
          <w:fldChar w:fldCharType="begin"/>
        </w:r>
        <w:r>
          <w:rPr>
            <w:noProof/>
            <w:webHidden/>
          </w:rPr>
          <w:instrText xml:space="preserve"> PAGEREF _Toc497992241 \h </w:instrText>
        </w:r>
        <w:r>
          <w:rPr>
            <w:noProof/>
            <w:webHidden/>
          </w:rPr>
        </w:r>
        <w:r>
          <w:rPr>
            <w:noProof/>
            <w:webHidden/>
          </w:rPr>
          <w:fldChar w:fldCharType="separate"/>
        </w:r>
        <w:r>
          <w:rPr>
            <w:noProof/>
            <w:webHidden/>
          </w:rPr>
          <w:t>22</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2" w:history="1">
        <w:r w:rsidRPr="00CA09B4">
          <w:rPr>
            <w:rStyle w:val="Hyperlink"/>
            <w:noProof/>
          </w:rPr>
          <w:t>Efficacy</w:t>
        </w:r>
        <w:r>
          <w:rPr>
            <w:noProof/>
            <w:webHidden/>
          </w:rPr>
          <w:tab/>
        </w:r>
        <w:r>
          <w:rPr>
            <w:noProof/>
            <w:webHidden/>
          </w:rPr>
          <w:fldChar w:fldCharType="begin"/>
        </w:r>
        <w:r>
          <w:rPr>
            <w:noProof/>
            <w:webHidden/>
          </w:rPr>
          <w:instrText xml:space="preserve"> PAGEREF _Toc497992242 \h </w:instrText>
        </w:r>
        <w:r>
          <w:rPr>
            <w:noProof/>
            <w:webHidden/>
          </w:rPr>
        </w:r>
        <w:r>
          <w:rPr>
            <w:noProof/>
            <w:webHidden/>
          </w:rPr>
          <w:fldChar w:fldCharType="separate"/>
        </w:r>
        <w:r>
          <w:rPr>
            <w:noProof/>
            <w:webHidden/>
          </w:rPr>
          <w:t>23</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3" w:history="1">
        <w:r w:rsidRPr="00CA09B4">
          <w:rPr>
            <w:rStyle w:val="Hyperlink"/>
            <w:noProof/>
          </w:rPr>
          <w:t>Safety</w:t>
        </w:r>
        <w:r>
          <w:rPr>
            <w:noProof/>
            <w:webHidden/>
          </w:rPr>
          <w:tab/>
        </w:r>
        <w:r>
          <w:rPr>
            <w:noProof/>
            <w:webHidden/>
          </w:rPr>
          <w:fldChar w:fldCharType="begin"/>
        </w:r>
        <w:r>
          <w:rPr>
            <w:noProof/>
            <w:webHidden/>
          </w:rPr>
          <w:instrText xml:space="preserve"> PAGEREF _Toc497992243 \h </w:instrText>
        </w:r>
        <w:r>
          <w:rPr>
            <w:noProof/>
            <w:webHidden/>
          </w:rPr>
        </w:r>
        <w:r>
          <w:rPr>
            <w:noProof/>
            <w:webHidden/>
          </w:rPr>
          <w:fldChar w:fldCharType="separate"/>
        </w:r>
        <w:r>
          <w:rPr>
            <w:noProof/>
            <w:webHidden/>
          </w:rPr>
          <w:t>26</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4" w:history="1">
        <w:r w:rsidRPr="00CA09B4">
          <w:rPr>
            <w:rStyle w:val="Hyperlink"/>
            <w:noProof/>
          </w:rPr>
          <w:t>First Round Benefit-Risk Assessment</w:t>
        </w:r>
        <w:r>
          <w:rPr>
            <w:noProof/>
            <w:webHidden/>
          </w:rPr>
          <w:tab/>
        </w:r>
        <w:r>
          <w:rPr>
            <w:noProof/>
            <w:webHidden/>
          </w:rPr>
          <w:fldChar w:fldCharType="begin"/>
        </w:r>
        <w:r>
          <w:rPr>
            <w:noProof/>
            <w:webHidden/>
          </w:rPr>
          <w:instrText xml:space="preserve"> PAGEREF _Toc497992244 \h </w:instrText>
        </w:r>
        <w:r>
          <w:rPr>
            <w:noProof/>
            <w:webHidden/>
          </w:rPr>
        </w:r>
        <w:r>
          <w:rPr>
            <w:noProof/>
            <w:webHidden/>
          </w:rPr>
          <w:fldChar w:fldCharType="separate"/>
        </w:r>
        <w:r>
          <w:rPr>
            <w:noProof/>
            <w:webHidden/>
          </w:rPr>
          <w:t>29</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5" w:history="1">
        <w:r w:rsidRPr="00CA09B4">
          <w:rPr>
            <w:rStyle w:val="Hyperlink"/>
            <w:noProof/>
          </w:rPr>
          <w:t>First Round Recommendation Regarding Authorisation</w:t>
        </w:r>
        <w:r>
          <w:rPr>
            <w:noProof/>
            <w:webHidden/>
          </w:rPr>
          <w:tab/>
        </w:r>
        <w:r>
          <w:rPr>
            <w:noProof/>
            <w:webHidden/>
          </w:rPr>
          <w:fldChar w:fldCharType="begin"/>
        </w:r>
        <w:r>
          <w:rPr>
            <w:noProof/>
            <w:webHidden/>
          </w:rPr>
          <w:instrText xml:space="preserve"> PAGEREF _Toc497992245 \h </w:instrText>
        </w:r>
        <w:r>
          <w:rPr>
            <w:noProof/>
            <w:webHidden/>
          </w:rPr>
        </w:r>
        <w:r>
          <w:rPr>
            <w:noProof/>
            <w:webHidden/>
          </w:rPr>
          <w:fldChar w:fldCharType="separate"/>
        </w:r>
        <w:r>
          <w:rPr>
            <w:noProof/>
            <w:webHidden/>
          </w:rPr>
          <w:t>33</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6" w:history="1">
        <w:r w:rsidRPr="00CA09B4">
          <w:rPr>
            <w:rStyle w:val="Hyperlink"/>
            <w:noProof/>
          </w:rPr>
          <w:t>Clinical Questions</w:t>
        </w:r>
        <w:r>
          <w:rPr>
            <w:noProof/>
            <w:webHidden/>
          </w:rPr>
          <w:tab/>
        </w:r>
        <w:r>
          <w:rPr>
            <w:noProof/>
            <w:webHidden/>
          </w:rPr>
          <w:fldChar w:fldCharType="begin"/>
        </w:r>
        <w:r>
          <w:rPr>
            <w:noProof/>
            <w:webHidden/>
          </w:rPr>
          <w:instrText xml:space="preserve"> PAGEREF _Toc497992246 \h </w:instrText>
        </w:r>
        <w:r>
          <w:rPr>
            <w:noProof/>
            <w:webHidden/>
          </w:rPr>
        </w:r>
        <w:r>
          <w:rPr>
            <w:noProof/>
            <w:webHidden/>
          </w:rPr>
          <w:fldChar w:fldCharType="separate"/>
        </w:r>
        <w:r>
          <w:rPr>
            <w:noProof/>
            <w:webHidden/>
          </w:rPr>
          <w:t>34</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7" w:history="1">
        <w:r w:rsidRPr="00CA09B4">
          <w:rPr>
            <w:rStyle w:val="Hyperlink"/>
            <w:noProof/>
          </w:rPr>
          <w:t>Second Round Benefit-Risk Assessment</w:t>
        </w:r>
        <w:r>
          <w:rPr>
            <w:noProof/>
            <w:webHidden/>
          </w:rPr>
          <w:tab/>
        </w:r>
        <w:r>
          <w:rPr>
            <w:noProof/>
            <w:webHidden/>
          </w:rPr>
          <w:fldChar w:fldCharType="begin"/>
        </w:r>
        <w:r>
          <w:rPr>
            <w:noProof/>
            <w:webHidden/>
          </w:rPr>
          <w:instrText xml:space="preserve"> PAGEREF _Toc497992247 \h </w:instrText>
        </w:r>
        <w:r>
          <w:rPr>
            <w:noProof/>
            <w:webHidden/>
          </w:rPr>
        </w:r>
        <w:r>
          <w:rPr>
            <w:noProof/>
            <w:webHidden/>
          </w:rPr>
          <w:fldChar w:fldCharType="separate"/>
        </w:r>
        <w:r>
          <w:rPr>
            <w:noProof/>
            <w:webHidden/>
          </w:rPr>
          <w:t>34</w:t>
        </w:r>
        <w:r>
          <w:rPr>
            <w:noProof/>
            <w:webHidden/>
          </w:rPr>
          <w:fldChar w:fldCharType="end"/>
        </w:r>
      </w:hyperlink>
    </w:p>
    <w:p w:rsidR="001D2849" w:rsidRDefault="001D2849">
      <w:pPr>
        <w:pStyle w:val="TOC2"/>
        <w:rPr>
          <w:rFonts w:asciiTheme="minorHAnsi" w:eastAsiaTheme="minorEastAsia" w:hAnsiTheme="minorHAnsi" w:cstheme="minorBidi"/>
          <w:b w:val="0"/>
          <w:noProof/>
          <w:sz w:val="22"/>
          <w:lang w:eastAsia="en-AU"/>
        </w:rPr>
      </w:pPr>
      <w:hyperlink w:anchor="_Toc497992248" w:history="1">
        <w:r w:rsidRPr="00CA09B4">
          <w:rPr>
            <w:rStyle w:val="Hyperlink"/>
            <w:noProof/>
          </w:rPr>
          <w:t>V. Pharmacovigilance findings</w:t>
        </w:r>
        <w:r>
          <w:rPr>
            <w:noProof/>
            <w:webHidden/>
          </w:rPr>
          <w:tab/>
        </w:r>
        <w:r>
          <w:rPr>
            <w:noProof/>
            <w:webHidden/>
          </w:rPr>
          <w:fldChar w:fldCharType="begin"/>
        </w:r>
        <w:r>
          <w:rPr>
            <w:noProof/>
            <w:webHidden/>
          </w:rPr>
          <w:instrText xml:space="preserve"> PAGEREF _Toc497992248 \h </w:instrText>
        </w:r>
        <w:r>
          <w:rPr>
            <w:noProof/>
            <w:webHidden/>
          </w:rPr>
        </w:r>
        <w:r>
          <w:rPr>
            <w:noProof/>
            <w:webHidden/>
          </w:rPr>
          <w:fldChar w:fldCharType="separate"/>
        </w:r>
        <w:r>
          <w:rPr>
            <w:noProof/>
            <w:webHidden/>
          </w:rPr>
          <w:t>39</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49" w:history="1">
        <w:r w:rsidRPr="00CA09B4">
          <w:rPr>
            <w:rStyle w:val="Hyperlink"/>
            <w:noProof/>
            <w:lang w:eastAsia="en-AU"/>
          </w:rPr>
          <w:t>Risk management plan</w:t>
        </w:r>
        <w:r>
          <w:rPr>
            <w:noProof/>
            <w:webHidden/>
          </w:rPr>
          <w:tab/>
        </w:r>
        <w:r>
          <w:rPr>
            <w:noProof/>
            <w:webHidden/>
          </w:rPr>
          <w:fldChar w:fldCharType="begin"/>
        </w:r>
        <w:r>
          <w:rPr>
            <w:noProof/>
            <w:webHidden/>
          </w:rPr>
          <w:instrText xml:space="preserve"> PAGEREF _Toc497992249 \h </w:instrText>
        </w:r>
        <w:r>
          <w:rPr>
            <w:noProof/>
            <w:webHidden/>
          </w:rPr>
        </w:r>
        <w:r>
          <w:rPr>
            <w:noProof/>
            <w:webHidden/>
          </w:rPr>
          <w:fldChar w:fldCharType="separate"/>
        </w:r>
        <w:r>
          <w:rPr>
            <w:noProof/>
            <w:webHidden/>
          </w:rPr>
          <w:t>39</w:t>
        </w:r>
        <w:r>
          <w:rPr>
            <w:noProof/>
            <w:webHidden/>
          </w:rPr>
          <w:fldChar w:fldCharType="end"/>
        </w:r>
      </w:hyperlink>
    </w:p>
    <w:p w:rsidR="001D2849" w:rsidRDefault="001D2849">
      <w:pPr>
        <w:pStyle w:val="TOC2"/>
        <w:rPr>
          <w:rFonts w:asciiTheme="minorHAnsi" w:eastAsiaTheme="minorEastAsia" w:hAnsiTheme="minorHAnsi" w:cstheme="minorBidi"/>
          <w:b w:val="0"/>
          <w:noProof/>
          <w:sz w:val="22"/>
          <w:lang w:eastAsia="en-AU"/>
        </w:rPr>
      </w:pPr>
      <w:hyperlink w:anchor="_Toc497992250" w:history="1">
        <w:r w:rsidRPr="00CA09B4">
          <w:rPr>
            <w:rStyle w:val="Hyperlink"/>
            <w:noProof/>
          </w:rPr>
          <w:t>VI. Overall conclusion and risk/benefit assessment</w:t>
        </w:r>
        <w:r>
          <w:rPr>
            <w:noProof/>
            <w:webHidden/>
          </w:rPr>
          <w:tab/>
        </w:r>
        <w:r>
          <w:rPr>
            <w:noProof/>
            <w:webHidden/>
          </w:rPr>
          <w:fldChar w:fldCharType="begin"/>
        </w:r>
        <w:r>
          <w:rPr>
            <w:noProof/>
            <w:webHidden/>
          </w:rPr>
          <w:instrText xml:space="preserve"> PAGEREF _Toc497992250 \h </w:instrText>
        </w:r>
        <w:r>
          <w:rPr>
            <w:noProof/>
            <w:webHidden/>
          </w:rPr>
        </w:r>
        <w:r>
          <w:rPr>
            <w:noProof/>
            <w:webHidden/>
          </w:rPr>
          <w:fldChar w:fldCharType="separate"/>
        </w:r>
        <w:r>
          <w:rPr>
            <w:noProof/>
            <w:webHidden/>
          </w:rPr>
          <w:t>46</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51" w:history="1">
        <w:r w:rsidRPr="00CA09B4">
          <w:rPr>
            <w:rStyle w:val="Hyperlink"/>
            <w:noProof/>
          </w:rPr>
          <w:t>Quality</w:t>
        </w:r>
        <w:r>
          <w:rPr>
            <w:noProof/>
            <w:webHidden/>
          </w:rPr>
          <w:tab/>
        </w:r>
        <w:r>
          <w:rPr>
            <w:noProof/>
            <w:webHidden/>
          </w:rPr>
          <w:fldChar w:fldCharType="begin"/>
        </w:r>
        <w:r>
          <w:rPr>
            <w:noProof/>
            <w:webHidden/>
          </w:rPr>
          <w:instrText xml:space="preserve"> PAGEREF _Toc497992251 \h </w:instrText>
        </w:r>
        <w:r>
          <w:rPr>
            <w:noProof/>
            <w:webHidden/>
          </w:rPr>
        </w:r>
        <w:r>
          <w:rPr>
            <w:noProof/>
            <w:webHidden/>
          </w:rPr>
          <w:fldChar w:fldCharType="separate"/>
        </w:r>
        <w:r>
          <w:rPr>
            <w:noProof/>
            <w:webHidden/>
          </w:rPr>
          <w:t>46</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52" w:history="1">
        <w:r w:rsidRPr="00CA09B4">
          <w:rPr>
            <w:rStyle w:val="Hyperlink"/>
            <w:noProof/>
          </w:rPr>
          <w:t>Nonclinical</w:t>
        </w:r>
        <w:r>
          <w:rPr>
            <w:noProof/>
            <w:webHidden/>
          </w:rPr>
          <w:tab/>
        </w:r>
        <w:r>
          <w:rPr>
            <w:noProof/>
            <w:webHidden/>
          </w:rPr>
          <w:fldChar w:fldCharType="begin"/>
        </w:r>
        <w:r>
          <w:rPr>
            <w:noProof/>
            <w:webHidden/>
          </w:rPr>
          <w:instrText xml:space="preserve"> PAGEREF _Toc497992252 \h </w:instrText>
        </w:r>
        <w:r>
          <w:rPr>
            <w:noProof/>
            <w:webHidden/>
          </w:rPr>
        </w:r>
        <w:r>
          <w:rPr>
            <w:noProof/>
            <w:webHidden/>
          </w:rPr>
          <w:fldChar w:fldCharType="separate"/>
        </w:r>
        <w:r>
          <w:rPr>
            <w:noProof/>
            <w:webHidden/>
          </w:rPr>
          <w:t>46</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53" w:history="1">
        <w:r w:rsidRPr="00CA09B4">
          <w:rPr>
            <w:rStyle w:val="Hyperlink"/>
            <w:noProof/>
          </w:rPr>
          <w:t>Clinical</w:t>
        </w:r>
        <w:r>
          <w:rPr>
            <w:noProof/>
            <w:webHidden/>
          </w:rPr>
          <w:tab/>
        </w:r>
        <w:r>
          <w:rPr>
            <w:noProof/>
            <w:webHidden/>
          </w:rPr>
          <w:fldChar w:fldCharType="begin"/>
        </w:r>
        <w:r>
          <w:rPr>
            <w:noProof/>
            <w:webHidden/>
          </w:rPr>
          <w:instrText xml:space="preserve"> PAGEREF _Toc497992253 \h </w:instrText>
        </w:r>
        <w:r>
          <w:rPr>
            <w:noProof/>
            <w:webHidden/>
          </w:rPr>
        </w:r>
        <w:r>
          <w:rPr>
            <w:noProof/>
            <w:webHidden/>
          </w:rPr>
          <w:fldChar w:fldCharType="separate"/>
        </w:r>
        <w:r>
          <w:rPr>
            <w:noProof/>
            <w:webHidden/>
          </w:rPr>
          <w:t>46</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54" w:history="1">
        <w:r w:rsidRPr="00CA09B4">
          <w:rPr>
            <w:rStyle w:val="Hyperlink"/>
            <w:noProof/>
            <w:lang w:eastAsia="en-AU"/>
          </w:rPr>
          <w:t>Risk management plan</w:t>
        </w:r>
        <w:r>
          <w:rPr>
            <w:noProof/>
            <w:webHidden/>
          </w:rPr>
          <w:tab/>
        </w:r>
        <w:r>
          <w:rPr>
            <w:noProof/>
            <w:webHidden/>
          </w:rPr>
          <w:fldChar w:fldCharType="begin"/>
        </w:r>
        <w:r>
          <w:rPr>
            <w:noProof/>
            <w:webHidden/>
          </w:rPr>
          <w:instrText xml:space="preserve"> PAGEREF _Toc497992254 \h </w:instrText>
        </w:r>
        <w:r>
          <w:rPr>
            <w:noProof/>
            <w:webHidden/>
          </w:rPr>
        </w:r>
        <w:r>
          <w:rPr>
            <w:noProof/>
            <w:webHidden/>
          </w:rPr>
          <w:fldChar w:fldCharType="separate"/>
        </w:r>
        <w:r>
          <w:rPr>
            <w:noProof/>
            <w:webHidden/>
          </w:rPr>
          <w:t>53</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55" w:history="1">
        <w:r w:rsidRPr="00CA09B4">
          <w:rPr>
            <w:rStyle w:val="Hyperlink"/>
            <w:noProof/>
          </w:rPr>
          <w:t>Risk-benefit analysis</w:t>
        </w:r>
        <w:r>
          <w:rPr>
            <w:noProof/>
            <w:webHidden/>
          </w:rPr>
          <w:tab/>
        </w:r>
        <w:r>
          <w:rPr>
            <w:noProof/>
            <w:webHidden/>
          </w:rPr>
          <w:fldChar w:fldCharType="begin"/>
        </w:r>
        <w:r>
          <w:rPr>
            <w:noProof/>
            <w:webHidden/>
          </w:rPr>
          <w:instrText xml:space="preserve"> PAGEREF _Toc497992255 \h </w:instrText>
        </w:r>
        <w:r>
          <w:rPr>
            <w:noProof/>
            <w:webHidden/>
          </w:rPr>
        </w:r>
        <w:r>
          <w:rPr>
            <w:noProof/>
            <w:webHidden/>
          </w:rPr>
          <w:fldChar w:fldCharType="separate"/>
        </w:r>
        <w:r>
          <w:rPr>
            <w:noProof/>
            <w:webHidden/>
          </w:rPr>
          <w:t>53</w:t>
        </w:r>
        <w:r>
          <w:rPr>
            <w:noProof/>
            <w:webHidden/>
          </w:rPr>
          <w:fldChar w:fldCharType="end"/>
        </w:r>
      </w:hyperlink>
    </w:p>
    <w:p w:rsidR="001D2849" w:rsidRDefault="001D2849">
      <w:pPr>
        <w:pStyle w:val="TOC3"/>
        <w:rPr>
          <w:rFonts w:asciiTheme="minorHAnsi" w:eastAsiaTheme="minorEastAsia" w:hAnsiTheme="minorHAnsi" w:cstheme="minorBidi"/>
          <w:noProof/>
          <w:lang w:eastAsia="en-AU"/>
        </w:rPr>
      </w:pPr>
      <w:hyperlink w:anchor="_Toc497992256" w:history="1">
        <w:r w:rsidRPr="00CA09B4">
          <w:rPr>
            <w:rStyle w:val="Hyperlink"/>
            <w:noProof/>
          </w:rPr>
          <w:t>Outcome</w:t>
        </w:r>
        <w:r>
          <w:rPr>
            <w:noProof/>
            <w:webHidden/>
          </w:rPr>
          <w:tab/>
        </w:r>
        <w:r>
          <w:rPr>
            <w:noProof/>
            <w:webHidden/>
          </w:rPr>
          <w:fldChar w:fldCharType="begin"/>
        </w:r>
        <w:r>
          <w:rPr>
            <w:noProof/>
            <w:webHidden/>
          </w:rPr>
          <w:instrText xml:space="preserve"> PAGEREF _Toc497992256 \h </w:instrText>
        </w:r>
        <w:r>
          <w:rPr>
            <w:noProof/>
            <w:webHidden/>
          </w:rPr>
        </w:r>
        <w:r>
          <w:rPr>
            <w:noProof/>
            <w:webHidden/>
          </w:rPr>
          <w:fldChar w:fldCharType="separate"/>
        </w:r>
        <w:r>
          <w:rPr>
            <w:noProof/>
            <w:webHidden/>
          </w:rPr>
          <w:t>61</w:t>
        </w:r>
        <w:r>
          <w:rPr>
            <w:noProof/>
            <w:webHidden/>
          </w:rPr>
          <w:fldChar w:fldCharType="end"/>
        </w:r>
      </w:hyperlink>
    </w:p>
    <w:p w:rsidR="001D2849" w:rsidRDefault="001D2849">
      <w:pPr>
        <w:pStyle w:val="TOC2"/>
        <w:rPr>
          <w:rFonts w:asciiTheme="minorHAnsi" w:eastAsiaTheme="minorEastAsia" w:hAnsiTheme="minorHAnsi" w:cstheme="minorBidi"/>
          <w:b w:val="0"/>
          <w:noProof/>
          <w:sz w:val="22"/>
          <w:lang w:eastAsia="en-AU"/>
        </w:rPr>
      </w:pPr>
      <w:hyperlink w:anchor="_Toc497992257" w:history="1">
        <w:r w:rsidRPr="00CA09B4">
          <w:rPr>
            <w:rStyle w:val="Hyperlink"/>
            <w:noProof/>
          </w:rPr>
          <w:t>Attachment 1. Product Information</w:t>
        </w:r>
        <w:r>
          <w:rPr>
            <w:noProof/>
            <w:webHidden/>
          </w:rPr>
          <w:tab/>
        </w:r>
        <w:r>
          <w:rPr>
            <w:noProof/>
            <w:webHidden/>
          </w:rPr>
          <w:fldChar w:fldCharType="begin"/>
        </w:r>
        <w:r>
          <w:rPr>
            <w:noProof/>
            <w:webHidden/>
          </w:rPr>
          <w:instrText xml:space="preserve"> PAGEREF _Toc497992257 \h </w:instrText>
        </w:r>
        <w:r>
          <w:rPr>
            <w:noProof/>
            <w:webHidden/>
          </w:rPr>
        </w:r>
        <w:r>
          <w:rPr>
            <w:noProof/>
            <w:webHidden/>
          </w:rPr>
          <w:fldChar w:fldCharType="separate"/>
        </w:r>
        <w:r>
          <w:rPr>
            <w:noProof/>
            <w:webHidden/>
          </w:rPr>
          <w:t>62</w:t>
        </w:r>
        <w:r>
          <w:rPr>
            <w:noProof/>
            <w:webHidden/>
          </w:rPr>
          <w:fldChar w:fldCharType="end"/>
        </w:r>
      </w:hyperlink>
    </w:p>
    <w:p w:rsidR="001D2849" w:rsidRDefault="001D2849">
      <w:pPr>
        <w:pStyle w:val="TOC2"/>
        <w:rPr>
          <w:rFonts w:asciiTheme="minorHAnsi" w:eastAsiaTheme="minorEastAsia" w:hAnsiTheme="minorHAnsi" w:cstheme="minorBidi"/>
          <w:b w:val="0"/>
          <w:noProof/>
          <w:sz w:val="22"/>
          <w:lang w:eastAsia="en-AU"/>
        </w:rPr>
      </w:pPr>
      <w:hyperlink w:anchor="_Toc497992258" w:history="1">
        <w:r w:rsidRPr="00CA09B4">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_Toc497992258 \h </w:instrText>
        </w:r>
        <w:r>
          <w:rPr>
            <w:noProof/>
            <w:webHidden/>
          </w:rPr>
        </w:r>
        <w:r>
          <w:rPr>
            <w:noProof/>
            <w:webHidden/>
          </w:rPr>
          <w:fldChar w:fldCharType="separate"/>
        </w:r>
        <w:r>
          <w:rPr>
            <w:noProof/>
            <w:webHidden/>
          </w:rPr>
          <w:t>62</w:t>
        </w:r>
        <w:r>
          <w:rPr>
            <w:noProof/>
            <w:webHidden/>
          </w:rPr>
          <w:fldChar w:fldCharType="end"/>
        </w:r>
      </w:hyperlink>
    </w:p>
    <w:p w:rsidR="00FD119B" w:rsidRDefault="00DB6124" w:rsidP="00AB7ADA">
      <w:pPr>
        <w:pStyle w:val="TOC2"/>
      </w:pPr>
      <w:r>
        <w:fldChar w:fldCharType="end"/>
      </w:r>
      <w:bookmarkStart w:id="2" w:name="_Toc314842482"/>
      <w:bookmarkStart w:id="3" w:name="_GoBack"/>
      <w:bookmarkEnd w:id="3"/>
    </w:p>
    <w:p w:rsidR="00FD119B" w:rsidRPr="00FD119B" w:rsidRDefault="00441C3F" w:rsidP="00AB7ADA">
      <w:pPr>
        <w:pStyle w:val="Heading2"/>
        <w:pageBreakBefore/>
      </w:pPr>
      <w:bookmarkStart w:id="4" w:name="_Toc351716269"/>
      <w:bookmarkStart w:id="5" w:name="_Toc351718881"/>
      <w:bookmarkStart w:id="6" w:name="_Toc355338616"/>
      <w:bookmarkStart w:id="7" w:name="_Toc356306144"/>
      <w:bookmarkStart w:id="8" w:name="_Toc497992229"/>
      <w:r>
        <w:lastRenderedPageBreak/>
        <w:t>Common</w:t>
      </w:r>
      <w:r w:rsidR="00FD119B" w:rsidRPr="00FD119B">
        <w:t xml:space="preserve"> abbreviations</w:t>
      </w:r>
      <w:bookmarkEnd w:id="4"/>
      <w:bookmarkEnd w:id="5"/>
      <w:bookmarkEnd w:id="6"/>
      <w:bookmarkEnd w:id="7"/>
      <w:bookmarkEnd w:id="8"/>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Common abbreviations table "/>
      </w:tblPr>
      <w:tblGrid>
        <w:gridCol w:w="1809"/>
        <w:gridCol w:w="6911"/>
      </w:tblGrid>
      <w:tr w:rsidR="00DF5D00" w:rsidRPr="00FD119B" w:rsidTr="00A2181C">
        <w:trPr>
          <w:tblHeader/>
        </w:trPr>
        <w:tc>
          <w:tcPr>
            <w:tcW w:w="1809" w:type="dxa"/>
            <w:tcBorders>
              <w:top w:val="single" w:sz="8" w:space="0" w:color="000000"/>
              <w:left w:val="single" w:sz="8" w:space="0" w:color="000000"/>
              <w:bottom w:val="single" w:sz="8" w:space="0" w:color="000000"/>
              <w:right w:val="nil"/>
              <w:tl2br w:val="nil"/>
              <w:tr2bl w:val="nil"/>
            </w:tcBorders>
            <w:shd w:val="clear" w:color="auto" w:fill="006DA7"/>
          </w:tcPr>
          <w:p w:rsidR="00FD119B" w:rsidRPr="00A2181C" w:rsidRDefault="00FD119B" w:rsidP="00FD119B">
            <w:pPr>
              <w:rPr>
                <w:b/>
                <w:color w:val="FFFFFF"/>
              </w:rPr>
            </w:pPr>
            <w:r w:rsidRPr="00A2181C">
              <w:rPr>
                <w:b/>
                <w:color w:val="FFFFFF"/>
              </w:rPr>
              <w:t>Abbreviation</w:t>
            </w:r>
          </w:p>
        </w:tc>
        <w:tc>
          <w:tcPr>
            <w:tcW w:w="6911" w:type="dxa"/>
            <w:tcBorders>
              <w:top w:val="single" w:sz="8" w:space="0" w:color="000000"/>
              <w:left w:val="nil"/>
              <w:bottom w:val="single" w:sz="8" w:space="0" w:color="000000"/>
              <w:right w:val="single" w:sz="8" w:space="0" w:color="000000"/>
              <w:tl2br w:val="nil"/>
              <w:tr2bl w:val="nil"/>
            </w:tcBorders>
            <w:shd w:val="clear" w:color="auto" w:fill="006DA7"/>
          </w:tcPr>
          <w:p w:rsidR="00FD119B" w:rsidRPr="00A2181C" w:rsidRDefault="00FD119B" w:rsidP="00FD119B">
            <w:pPr>
              <w:rPr>
                <w:b/>
                <w:color w:val="FFFFFF"/>
              </w:rPr>
            </w:pPr>
            <w:r w:rsidRPr="00A2181C">
              <w:rPr>
                <w:b/>
                <w:color w:val="FFFFFF"/>
              </w:rPr>
              <w:t>Meaning</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ABMTRR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Australasian Bone Marrow Transplant Recipient Registry</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ACPM</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Advisory Committee on Prescription Medicines</w:t>
            </w:r>
          </w:p>
        </w:tc>
      </w:tr>
      <w:tr w:rsidR="00330E48" w:rsidRPr="00FD119B" w:rsidTr="00A2181C">
        <w:tc>
          <w:tcPr>
            <w:tcW w:w="1809" w:type="dxa"/>
            <w:shd w:val="clear" w:color="auto" w:fill="auto"/>
          </w:tcPr>
          <w:p w:rsidR="00330E48" w:rsidRPr="00A2181C" w:rsidRDefault="00330E48" w:rsidP="00A2181C">
            <w:pPr>
              <w:ind w:left="170" w:right="170"/>
              <w:rPr>
                <w:color w:val="000000"/>
                <w:szCs w:val="21"/>
                <w:lang w:eastAsia="en-AU"/>
              </w:rPr>
            </w:pPr>
            <w:r w:rsidRPr="00A2181C">
              <w:rPr>
                <w:color w:val="000000"/>
                <w:szCs w:val="21"/>
                <w:lang w:eastAsia="en-AU"/>
              </w:rPr>
              <w:t>ACM</w:t>
            </w:r>
          </w:p>
        </w:tc>
        <w:tc>
          <w:tcPr>
            <w:tcW w:w="6911" w:type="dxa"/>
            <w:shd w:val="clear" w:color="auto" w:fill="auto"/>
          </w:tcPr>
          <w:p w:rsidR="00330E48" w:rsidRPr="00A2181C" w:rsidRDefault="00330E48" w:rsidP="00A2181C">
            <w:pPr>
              <w:ind w:left="170" w:right="170"/>
              <w:rPr>
                <w:color w:val="000000"/>
                <w:szCs w:val="21"/>
                <w:lang w:eastAsia="en-AU"/>
              </w:rPr>
            </w:pPr>
            <w:r w:rsidRPr="00A2181C">
              <w:rPr>
                <w:color w:val="000000"/>
                <w:szCs w:val="21"/>
                <w:lang w:eastAsia="en-AU"/>
              </w:rPr>
              <w:t>Advisory Committee on Medicines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ADA</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Anti-drug antibody</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ADC</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Antibody drug conjugate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ADRS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Adverse Drug-reaction Reporting System</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AE</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Adverse event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AER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Adverse Event Report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AIHW</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Australian Institute of Health and Wellbeing</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Allo</w:t>
            </w:r>
            <w:proofErr w:type="spellEnd"/>
            <w:r w:rsidRPr="00A2181C">
              <w:rPr>
                <w:color w:val="000000"/>
                <w:szCs w:val="21"/>
                <w:lang w:eastAsia="en-AU"/>
              </w:rPr>
              <w:t>-SCT</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Allogeneic stem cell transplant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ALT</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Alanine transaminase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ARTG</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Australian Register of Therapeutic Goods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ASA</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Australian Specific Annex</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ASCT</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Autologous stem cell transplant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AST</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Aspartate transaminase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C</w:t>
            </w:r>
            <w:r w:rsidRPr="00A2181C">
              <w:rPr>
                <w:color w:val="000000"/>
                <w:szCs w:val="21"/>
                <w:vertAlign w:val="subscript"/>
                <w:lang w:eastAsia="en-AU"/>
              </w:rPr>
              <w:t>avg,ss</w:t>
            </w:r>
            <w:proofErr w:type="spellEnd"/>
          </w:p>
        </w:tc>
        <w:tc>
          <w:tcPr>
            <w:tcW w:w="6911" w:type="dxa"/>
            <w:shd w:val="clear" w:color="auto" w:fill="auto"/>
          </w:tcPr>
          <w:p w:rsidR="00CF36FC" w:rsidRPr="00A2181C" w:rsidRDefault="00CF36FC" w:rsidP="00A2181C">
            <w:pPr>
              <w:ind w:left="170" w:right="170"/>
              <w:rPr>
                <w:color w:val="000000"/>
                <w:szCs w:val="21"/>
                <w:lang w:val="en-GB" w:eastAsia="en-AU"/>
              </w:rPr>
            </w:pPr>
            <w:r w:rsidRPr="00A2181C">
              <w:rPr>
                <w:color w:val="000000"/>
                <w:szCs w:val="21"/>
                <w:lang w:val="en-GB" w:eastAsia="en-AU"/>
              </w:rPr>
              <w:t>Steady-state average concentration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cHL</w:t>
            </w:r>
            <w:proofErr w:type="spellEnd"/>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Classical Hodgkin lymphoma</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CHMP</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Committee for Medicinal Products for Human Use (EU)</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CI</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Confidence interval</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CL</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Clearance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CLL</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Chronic lymphocytic leukaemia</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Complete remission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CSR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Clinical Study Report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CT</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Computed tomography</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lastRenderedPageBreak/>
              <w:t>DBL</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Database lock</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DFCI</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Dana Faber Cancer Institute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DHAP</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Dexamethasone/High-dose Ara-C (</w:t>
            </w:r>
            <w:proofErr w:type="spellStart"/>
            <w:r w:rsidRPr="00A2181C">
              <w:rPr>
                <w:color w:val="000000"/>
                <w:szCs w:val="21"/>
                <w:lang w:eastAsia="en-AU"/>
              </w:rPr>
              <w:t>cytarabine</w:t>
            </w:r>
            <w:proofErr w:type="spellEnd"/>
            <w:r w:rsidRPr="00A2181C">
              <w:rPr>
                <w:color w:val="000000"/>
                <w:szCs w:val="21"/>
                <w:lang w:eastAsia="en-AU"/>
              </w:rPr>
              <w:t>)/Platinum (cisplatin)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DOR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Duration of response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DRAE</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Drug related adverse event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EBV</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Epstein-Barr virus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EMA</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European Medicines Agency</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EU</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European Union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FDA</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Food and Drug Administration (US)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GBS</w:t>
            </w:r>
          </w:p>
        </w:tc>
        <w:tc>
          <w:tcPr>
            <w:tcW w:w="6911"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Guillain-Barré</w:t>
            </w:r>
            <w:proofErr w:type="spellEnd"/>
            <w:r w:rsidRPr="00A2181C">
              <w:rPr>
                <w:color w:val="000000"/>
                <w:szCs w:val="21"/>
                <w:lang w:eastAsia="en-AU"/>
              </w:rPr>
              <w:t xml:space="preserve"> syndrome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GCP</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Good Clinical Practice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GVHD</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Graft versus host disease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HCP</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Healthcare Professional</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HL</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Hodgkin lymphoma</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HSCT</w:t>
            </w:r>
          </w:p>
        </w:tc>
        <w:tc>
          <w:tcPr>
            <w:tcW w:w="6911" w:type="dxa"/>
            <w:shd w:val="clear" w:color="auto" w:fill="auto"/>
          </w:tcPr>
          <w:p w:rsidR="00CF36FC" w:rsidRPr="00A2181C" w:rsidRDefault="00CF36FC" w:rsidP="00A2181C">
            <w:pPr>
              <w:ind w:left="170" w:right="170"/>
              <w:rPr>
                <w:color w:val="000000"/>
                <w:szCs w:val="21"/>
                <w:lang w:val="en-GB" w:eastAsia="en-AU"/>
              </w:rPr>
            </w:pPr>
            <w:r w:rsidRPr="00A2181C">
              <w:rPr>
                <w:color w:val="000000"/>
                <w:szCs w:val="21"/>
                <w:lang w:val="en-GB" w:eastAsia="en-AU"/>
              </w:rPr>
              <w:t>Haematopoietic stem cell transplantation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ICE</w:t>
            </w:r>
          </w:p>
        </w:tc>
        <w:tc>
          <w:tcPr>
            <w:tcW w:w="6911"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Ifosfamide</w:t>
            </w:r>
            <w:proofErr w:type="spellEnd"/>
            <w:r w:rsidRPr="00A2181C">
              <w:rPr>
                <w:color w:val="000000"/>
                <w:szCs w:val="21"/>
                <w:lang w:eastAsia="en-AU"/>
              </w:rPr>
              <w:t>/Carboplatin/Etoposide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ICH</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International Conference on Harmonisation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IGEV</w:t>
            </w:r>
          </w:p>
        </w:tc>
        <w:tc>
          <w:tcPr>
            <w:tcW w:w="6911"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Ifosfamide</w:t>
            </w:r>
            <w:proofErr w:type="spellEnd"/>
            <w:r w:rsidRPr="00A2181C">
              <w:rPr>
                <w:color w:val="000000"/>
                <w:szCs w:val="21"/>
                <w:lang w:eastAsia="en-AU"/>
              </w:rPr>
              <w:t>/Gemcitabine/</w:t>
            </w:r>
            <w:proofErr w:type="spellStart"/>
            <w:r w:rsidRPr="00A2181C">
              <w:rPr>
                <w:color w:val="000000"/>
                <w:szCs w:val="21"/>
                <w:lang w:eastAsia="en-AU"/>
              </w:rPr>
              <w:t>Vinorelbine</w:t>
            </w:r>
            <w:proofErr w:type="spellEnd"/>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IgG1</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Immunoglobulin G1</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IgG4</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Immunoglobulin G4</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IMAE</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Immune mediated adverse event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IMAR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Immune mediated adverse reaction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IRAE</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Immune related adverse event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irAR</w:t>
            </w:r>
            <w:proofErr w:type="spellEnd"/>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Immune related adverse reaction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IRRC</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Independent radiology review committee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IWG</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International Working Group</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lastRenderedPageBreak/>
              <w:t>K-M</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Kaplan-Meier</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LDH</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Lactic dehydrogenase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MDS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Myelodysplastic syndromes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MMAE</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 xml:space="preserve">Monomethyl </w:t>
            </w:r>
            <w:proofErr w:type="spellStart"/>
            <w:r w:rsidRPr="00A2181C">
              <w:rPr>
                <w:color w:val="000000"/>
                <w:szCs w:val="21"/>
                <w:lang w:eastAsia="en-AU"/>
              </w:rPr>
              <w:t>auristatin</w:t>
            </w:r>
            <w:proofErr w:type="spellEnd"/>
            <w:r w:rsidRPr="00A2181C">
              <w:rPr>
                <w:color w:val="000000"/>
                <w:szCs w:val="21"/>
                <w:lang w:eastAsia="en-AU"/>
              </w:rPr>
              <w:t xml:space="preserve"> 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MODS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Multiple organ dysfunction syndrome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MOF</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Multiple organ failure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MSOF</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Multiple system organ failure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NA</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Not applicable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NBE</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New Biological Entity</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NCCN</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National Comprehensive Cancer Network</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NHL</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Non-Hodgkin lymphoma</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NSCLC</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Non-small cell lung cancer</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OESI</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Other event of special interest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Opdivo</w:t>
            </w:r>
            <w:proofErr w:type="spellEnd"/>
          </w:p>
        </w:tc>
        <w:tc>
          <w:tcPr>
            <w:tcW w:w="6911"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Nivolumab</w:t>
            </w:r>
            <w:proofErr w:type="spellEnd"/>
            <w:r w:rsidRPr="00A2181C">
              <w:rPr>
                <w:color w:val="000000"/>
                <w:szCs w:val="21"/>
                <w:lang w:eastAsia="en-AU"/>
              </w:rPr>
              <w:t xml:space="preserve"> (tradename)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ORR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Objective response rate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OS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Overall survival</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PAC</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Patient Alert Card</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PBRER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Periodic Benefit-Risk Evaluation Report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PD-1</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Programmed cell death-1 (receptor)</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PD-L1</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Programmed death-ligand 1</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PD-L2</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Programmed death ligand 2</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PET</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Positron emission tomography</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PFS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Progression-free survival</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PI</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Product Information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PK</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Pharmacokinetic(s)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PMR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Post-marketing requirement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lastRenderedPageBreak/>
              <w:t>PPK</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Population pharmacokinetic(s)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Partial remission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Pr</w:t>
            </w:r>
            <w:proofErr w:type="spellEnd"/>
            <w:r w:rsidRPr="00A2181C">
              <w:rPr>
                <w:color w:val="000000"/>
                <w:szCs w:val="21"/>
                <w:lang w:eastAsia="en-AU"/>
              </w:rPr>
              <w:t>(OR)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Probability of achieving an objective response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pSTAT3</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 xml:space="preserve">Phosphorylated </w:t>
            </w:r>
            <w:r w:rsidRPr="00A2181C">
              <w:rPr>
                <w:bCs/>
                <w:color w:val="000000"/>
                <w:szCs w:val="21"/>
                <w:lang w:val="en-GB" w:eastAsia="en-AU"/>
              </w:rPr>
              <w:t>signal transducer and activator of transcription 3</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PSUR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Periodic Safety Update Report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PT</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Preferred Term</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Q2W</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Every 2 weeks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QoL</w:t>
            </w:r>
            <w:proofErr w:type="spellEnd"/>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Quality of life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R-S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Reed-Sternberg (cell)</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RCC</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Renal cell carcinoma</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RIC</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Reduced intensity conditioning</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RMP</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Risk management plan</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SAE</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Serious adverse event</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SCE</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Summary of Clinical Efficacy</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SCS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Summary of Clinical Safety</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SD</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Stable disease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SIRS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Systemic inflammatory response syndrome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SJS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Stevens-Johnson syndrome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SRR</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Safety Related Review</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TEN</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Toxic epidermal necrolysis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TNF</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Tumour necrosis factor</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US</w:t>
            </w:r>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United States</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VOD</w:t>
            </w:r>
          </w:p>
        </w:tc>
        <w:tc>
          <w:tcPr>
            <w:tcW w:w="6911"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Veno</w:t>
            </w:r>
            <w:proofErr w:type="spellEnd"/>
            <w:r w:rsidRPr="00A2181C">
              <w:rPr>
                <w:color w:val="000000"/>
                <w:szCs w:val="21"/>
                <w:lang w:eastAsia="en-AU"/>
              </w:rPr>
              <w:t>-occlusive disease</w:t>
            </w:r>
          </w:p>
        </w:tc>
      </w:tr>
      <w:tr w:rsidR="00CF36FC" w:rsidRPr="00FD119B" w:rsidTr="00A2181C">
        <w:tc>
          <w:tcPr>
            <w:tcW w:w="1809" w:type="dxa"/>
            <w:shd w:val="clear" w:color="auto" w:fill="auto"/>
          </w:tcPr>
          <w:p w:rsidR="00CF36FC" w:rsidRPr="00A2181C" w:rsidRDefault="00CF36FC" w:rsidP="00A2181C">
            <w:pPr>
              <w:ind w:left="170" w:right="170"/>
              <w:rPr>
                <w:color w:val="000000"/>
                <w:szCs w:val="21"/>
                <w:lang w:eastAsia="en-AU"/>
              </w:rPr>
            </w:pPr>
            <w:proofErr w:type="spellStart"/>
            <w:r w:rsidRPr="00A2181C">
              <w:rPr>
                <w:color w:val="000000"/>
                <w:szCs w:val="21"/>
                <w:lang w:eastAsia="en-AU"/>
              </w:rPr>
              <w:t>Yervoy</w:t>
            </w:r>
            <w:proofErr w:type="spellEnd"/>
          </w:p>
        </w:tc>
        <w:tc>
          <w:tcPr>
            <w:tcW w:w="6911" w:type="dxa"/>
            <w:shd w:val="clear" w:color="auto" w:fill="auto"/>
          </w:tcPr>
          <w:p w:rsidR="00CF36FC" w:rsidRPr="00A2181C" w:rsidRDefault="00CF36FC" w:rsidP="00A2181C">
            <w:pPr>
              <w:ind w:left="170" w:right="170"/>
              <w:rPr>
                <w:color w:val="000000"/>
                <w:szCs w:val="21"/>
                <w:lang w:eastAsia="en-AU"/>
              </w:rPr>
            </w:pPr>
            <w:r w:rsidRPr="00A2181C">
              <w:rPr>
                <w:color w:val="000000"/>
                <w:szCs w:val="21"/>
                <w:lang w:eastAsia="en-AU"/>
              </w:rPr>
              <w:t>Ipilimumab (tradename)</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97992230"/>
      <w:r>
        <w:lastRenderedPageBreak/>
        <w:t>I.</w:t>
      </w:r>
      <w:r w:rsidR="008E7846">
        <w:t xml:space="preserve"> Introduction to product submission</w:t>
      </w:r>
      <w:bookmarkEnd w:id="0"/>
      <w:bookmarkEnd w:id="2"/>
      <w:bookmarkEnd w:id="9"/>
    </w:p>
    <w:p w:rsidR="008E7846" w:rsidRDefault="008E7846" w:rsidP="008E7846">
      <w:pPr>
        <w:pStyle w:val="Heading3"/>
        <w:rPr>
          <w:lang w:eastAsia="en-AU"/>
        </w:rPr>
      </w:pPr>
      <w:bookmarkStart w:id="10" w:name="_Toc247691502"/>
      <w:bookmarkStart w:id="11" w:name="_Toc314842483"/>
      <w:bookmarkStart w:id="12" w:name="_Toc497992231"/>
      <w:r>
        <w:rPr>
          <w:lang w:eastAsia="en-AU"/>
        </w:rPr>
        <w:t>Submission details</w:t>
      </w:r>
      <w:bookmarkEnd w:id="10"/>
      <w:bookmarkEnd w:id="11"/>
      <w:bookmarkEnd w:id="12"/>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rsidTr="006A3F11">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9C05E0" w:rsidP="001B5C90">
            <w:r>
              <w:t>Extension of i</w:t>
            </w:r>
            <w:r w:rsidR="00D91D59">
              <w:t>ndications</w:t>
            </w:r>
          </w:p>
        </w:tc>
      </w:tr>
      <w:tr w:rsidR="008E7846" w:rsidRPr="003D1E62" w:rsidTr="006A3F11">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D91D59">
            <w:r w:rsidRPr="003D1E62">
              <w:t>Approved</w:t>
            </w:r>
          </w:p>
        </w:tc>
      </w:tr>
      <w:tr w:rsidR="008E7846" w:rsidRPr="003D1E62" w:rsidTr="006A3F11">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D91D59" w:rsidP="001B5C90">
            <w:r>
              <w:t>26 May 2017</w:t>
            </w:r>
          </w:p>
        </w:tc>
      </w:tr>
      <w:tr w:rsidR="00ED2922" w:rsidRPr="003D1E62" w:rsidTr="006A3F11">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F639A2" w:rsidRDefault="00F639A2" w:rsidP="00D91D59">
            <w:r w:rsidRPr="00F639A2">
              <w:t>30 May 2017</w:t>
            </w:r>
          </w:p>
        </w:tc>
      </w:tr>
      <w:tr w:rsidR="008E7846" w:rsidRPr="00487162" w:rsidTr="006A3F11">
        <w:trPr>
          <w:gridAfter w:val="1"/>
          <w:wAfter w:w="283" w:type="dxa"/>
        </w:trPr>
        <w:tc>
          <w:tcPr>
            <w:tcW w:w="2907" w:type="dxa"/>
          </w:tcPr>
          <w:p w:rsidR="008E7846" w:rsidRPr="00487162" w:rsidRDefault="00D91D59" w:rsidP="00E45619">
            <w:pPr>
              <w:rPr>
                <w:i/>
              </w:rPr>
            </w:pPr>
            <w:r>
              <w:rPr>
                <w:i/>
              </w:rPr>
              <w:t>Active ingredient</w:t>
            </w:r>
            <w:r w:rsidR="001B5C90">
              <w:rPr>
                <w:i/>
              </w:rPr>
              <w:t>:</w:t>
            </w:r>
          </w:p>
        </w:tc>
        <w:tc>
          <w:tcPr>
            <w:tcW w:w="6307" w:type="dxa"/>
          </w:tcPr>
          <w:p w:rsidR="008E7846" w:rsidRPr="00487162" w:rsidRDefault="00D91D59" w:rsidP="00E45619">
            <w:proofErr w:type="spellStart"/>
            <w:r>
              <w:t>Nivolumab</w:t>
            </w:r>
            <w:proofErr w:type="spellEnd"/>
          </w:p>
        </w:tc>
      </w:tr>
      <w:tr w:rsidR="008E7846" w:rsidRPr="00487162" w:rsidTr="006A3F11">
        <w:trPr>
          <w:gridAfter w:val="1"/>
          <w:wAfter w:w="283" w:type="dxa"/>
        </w:trPr>
        <w:tc>
          <w:tcPr>
            <w:tcW w:w="2907" w:type="dxa"/>
          </w:tcPr>
          <w:p w:rsidR="008E7846" w:rsidRPr="00487162" w:rsidRDefault="008E7846" w:rsidP="001B5C90">
            <w:pPr>
              <w:rPr>
                <w:i/>
              </w:rPr>
            </w:pPr>
            <w:r w:rsidRPr="00487162">
              <w:rPr>
                <w:i/>
              </w:rPr>
              <w:t>Product</w:t>
            </w:r>
            <w:r w:rsidR="00D91D59">
              <w:rPr>
                <w:i/>
              </w:rPr>
              <w:t xml:space="preserve"> name</w:t>
            </w:r>
            <w:r w:rsidR="001B5C90">
              <w:rPr>
                <w:i/>
              </w:rPr>
              <w:t>:</w:t>
            </w:r>
          </w:p>
        </w:tc>
        <w:tc>
          <w:tcPr>
            <w:tcW w:w="6307" w:type="dxa"/>
          </w:tcPr>
          <w:p w:rsidR="008E7846" w:rsidRPr="00487162" w:rsidRDefault="00D91D59" w:rsidP="00E45619">
            <w:proofErr w:type="spellStart"/>
            <w:r>
              <w:t>Opdivo</w:t>
            </w:r>
            <w:proofErr w:type="spellEnd"/>
          </w:p>
        </w:tc>
      </w:tr>
      <w:tr w:rsidR="008E7846" w:rsidRPr="00487162" w:rsidTr="006A3F11">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F26358" w:rsidRDefault="00D91D59" w:rsidP="00E45619">
            <w:pPr>
              <w:rPr>
                <w:lang w:val="en-GB"/>
              </w:rPr>
            </w:pPr>
            <w:r w:rsidRPr="00D91D59">
              <w:rPr>
                <w:lang w:val="en-GB"/>
              </w:rPr>
              <w:t>Bristol-Myers Squibb Aust</w:t>
            </w:r>
            <w:r>
              <w:rPr>
                <w:lang w:val="en-GB"/>
              </w:rPr>
              <w:t>ralia Pty Ltd</w:t>
            </w:r>
            <w:r>
              <w:rPr>
                <w:lang w:val="en-GB"/>
              </w:rPr>
              <w:br/>
            </w:r>
            <w:r w:rsidRPr="00D91D59">
              <w:rPr>
                <w:lang w:val="en-GB"/>
              </w:rPr>
              <w:t>Level 2, 4 Nexus Court</w:t>
            </w:r>
            <w:r w:rsidR="00F26358">
              <w:rPr>
                <w:lang w:val="en-GB"/>
              </w:rPr>
              <w:br/>
            </w:r>
            <w:r w:rsidR="00F26358" w:rsidRPr="00F26358">
              <w:rPr>
                <w:lang w:val="en-GB"/>
              </w:rPr>
              <w:t>Mulgrave</w:t>
            </w:r>
            <w:r w:rsidR="00F26358">
              <w:rPr>
                <w:lang w:val="en-GB"/>
              </w:rPr>
              <w:t xml:space="preserve"> VIC 3170</w:t>
            </w:r>
          </w:p>
        </w:tc>
      </w:tr>
      <w:tr w:rsidR="008E7846" w:rsidRPr="00487162" w:rsidTr="006A3F11">
        <w:trPr>
          <w:gridAfter w:val="1"/>
          <w:wAfter w:w="283" w:type="dxa"/>
        </w:trPr>
        <w:tc>
          <w:tcPr>
            <w:tcW w:w="2907" w:type="dxa"/>
          </w:tcPr>
          <w:p w:rsidR="008E7846" w:rsidRPr="00487162" w:rsidRDefault="00E75AE5" w:rsidP="00E45619">
            <w:pPr>
              <w:rPr>
                <w:i/>
              </w:rPr>
            </w:pPr>
            <w:r>
              <w:rPr>
                <w:i/>
              </w:rPr>
              <w:t>Dose form</w:t>
            </w:r>
            <w:r w:rsidR="001B5C90">
              <w:rPr>
                <w:i/>
              </w:rPr>
              <w:t>:</w:t>
            </w:r>
          </w:p>
        </w:tc>
        <w:tc>
          <w:tcPr>
            <w:tcW w:w="6307" w:type="dxa"/>
          </w:tcPr>
          <w:p w:rsidR="008E7846" w:rsidRPr="00487162" w:rsidRDefault="009C05E0" w:rsidP="00E45619">
            <w:r>
              <w:t>Concentrate solution for injection</w:t>
            </w:r>
          </w:p>
        </w:tc>
      </w:tr>
      <w:tr w:rsidR="008E7846" w:rsidRPr="00487162" w:rsidTr="006A3F11">
        <w:trPr>
          <w:gridAfter w:val="1"/>
          <w:wAfter w:w="283" w:type="dxa"/>
        </w:trPr>
        <w:tc>
          <w:tcPr>
            <w:tcW w:w="2907" w:type="dxa"/>
          </w:tcPr>
          <w:p w:rsidR="008E7846" w:rsidRPr="00487162" w:rsidRDefault="0011520F" w:rsidP="00E45619">
            <w:pPr>
              <w:rPr>
                <w:i/>
              </w:rPr>
            </w:pPr>
            <w:r>
              <w:rPr>
                <w:i/>
              </w:rPr>
              <w:t>Strength:</w:t>
            </w:r>
          </w:p>
        </w:tc>
        <w:tc>
          <w:tcPr>
            <w:tcW w:w="6307" w:type="dxa"/>
          </w:tcPr>
          <w:p w:rsidR="008E7846" w:rsidRPr="00487162" w:rsidRDefault="000310D8" w:rsidP="00E45619">
            <w:r>
              <w:rPr>
                <w:bCs/>
              </w:rPr>
              <w:t>40 mg in 4 mL (10 mg/mL); and 100 mg in 10 mL (10 mg/mL)</w:t>
            </w:r>
          </w:p>
        </w:tc>
      </w:tr>
      <w:tr w:rsidR="008E7846" w:rsidRPr="00487162" w:rsidTr="006A3F11">
        <w:trPr>
          <w:gridAfter w:val="1"/>
          <w:wAfter w:w="283" w:type="dxa"/>
        </w:trPr>
        <w:tc>
          <w:tcPr>
            <w:tcW w:w="2907" w:type="dxa"/>
          </w:tcPr>
          <w:p w:rsidR="008E7846" w:rsidRPr="00487162" w:rsidRDefault="00E75AE5" w:rsidP="00E45619">
            <w:pPr>
              <w:rPr>
                <w:i/>
              </w:rPr>
            </w:pPr>
            <w:r>
              <w:rPr>
                <w:i/>
              </w:rPr>
              <w:t>Container</w:t>
            </w:r>
            <w:r w:rsidR="008E7846" w:rsidRPr="00487162">
              <w:rPr>
                <w:i/>
              </w:rPr>
              <w:t>:</w:t>
            </w:r>
          </w:p>
        </w:tc>
        <w:tc>
          <w:tcPr>
            <w:tcW w:w="6307" w:type="dxa"/>
          </w:tcPr>
          <w:p w:rsidR="008E7846" w:rsidRPr="00487162" w:rsidRDefault="00E75AE5" w:rsidP="00E45619">
            <w:r>
              <w:t>Glass vial</w:t>
            </w:r>
          </w:p>
        </w:tc>
      </w:tr>
      <w:tr w:rsidR="008E7846" w:rsidRPr="00487162" w:rsidTr="006A3F11">
        <w:trPr>
          <w:gridAfter w:val="1"/>
          <w:wAfter w:w="283" w:type="dxa"/>
        </w:trPr>
        <w:tc>
          <w:tcPr>
            <w:tcW w:w="2907" w:type="dxa"/>
          </w:tcPr>
          <w:p w:rsidR="008E7846" w:rsidRPr="00487162" w:rsidRDefault="00E75AE5" w:rsidP="00E45619">
            <w:pPr>
              <w:rPr>
                <w:i/>
              </w:rPr>
            </w:pPr>
            <w:r>
              <w:rPr>
                <w:i/>
              </w:rPr>
              <w:t>Pack size</w:t>
            </w:r>
            <w:r w:rsidR="008E7846" w:rsidRPr="00487162">
              <w:rPr>
                <w:i/>
              </w:rPr>
              <w:t>:</w:t>
            </w:r>
          </w:p>
        </w:tc>
        <w:tc>
          <w:tcPr>
            <w:tcW w:w="6307" w:type="dxa"/>
          </w:tcPr>
          <w:p w:rsidR="008E7846" w:rsidRPr="00487162" w:rsidRDefault="0036220D" w:rsidP="00E45619">
            <w:r>
              <w:t>1</w:t>
            </w:r>
            <w:r w:rsidR="0011520F">
              <w:t xml:space="preserve"> vial per pack</w:t>
            </w:r>
          </w:p>
        </w:tc>
      </w:tr>
      <w:tr w:rsidR="008E7846" w:rsidRPr="00487162" w:rsidTr="006A3F11">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36220D" w:rsidRDefault="0036220D" w:rsidP="00E45619">
            <w:pPr>
              <w:rPr>
                <w:iCs/>
                <w:lang w:val="en-GB"/>
              </w:rPr>
            </w:pPr>
            <w:proofErr w:type="spellStart"/>
            <w:r w:rsidRPr="0036220D">
              <w:rPr>
                <w:i/>
                <w:iCs/>
                <w:lang w:val="en-GB"/>
              </w:rPr>
              <w:t>Opdivo</w:t>
            </w:r>
            <w:proofErr w:type="spellEnd"/>
            <w:r w:rsidRPr="0036220D">
              <w:rPr>
                <w:i/>
                <w:iCs/>
                <w:lang w:val="en-GB"/>
              </w:rPr>
              <w:t>, as monotherapy is indicated for the treatment of adult patients with relapsed or refractory classical Hodgkin lymphoma (</w:t>
            </w:r>
            <w:proofErr w:type="spellStart"/>
            <w:r w:rsidRPr="0036220D">
              <w:rPr>
                <w:i/>
                <w:iCs/>
                <w:lang w:val="en-GB"/>
              </w:rPr>
              <w:t>cHL</w:t>
            </w:r>
            <w:proofErr w:type="spellEnd"/>
            <w:r w:rsidRPr="0036220D">
              <w:rPr>
                <w:i/>
                <w:iCs/>
                <w:lang w:val="en-GB"/>
              </w:rPr>
              <w:t xml:space="preserve">) after autologous stem cell transplant and treatment with </w:t>
            </w:r>
            <w:proofErr w:type="spellStart"/>
            <w:r w:rsidRPr="0036220D">
              <w:rPr>
                <w:i/>
                <w:iCs/>
                <w:lang w:val="en-GB"/>
              </w:rPr>
              <w:t>brentuximab</w:t>
            </w:r>
            <w:proofErr w:type="spellEnd"/>
            <w:r w:rsidRPr="0036220D">
              <w:rPr>
                <w:i/>
                <w:iCs/>
                <w:lang w:val="en-GB"/>
              </w:rPr>
              <w:t xml:space="preserve"> </w:t>
            </w:r>
            <w:proofErr w:type="spellStart"/>
            <w:r w:rsidRPr="0036220D">
              <w:rPr>
                <w:i/>
                <w:iCs/>
                <w:lang w:val="en-GB"/>
              </w:rPr>
              <w:t>vedotin</w:t>
            </w:r>
            <w:proofErr w:type="spellEnd"/>
            <w:r w:rsidRPr="0036220D">
              <w:rPr>
                <w:i/>
                <w:iCs/>
                <w:lang w:val="en-GB"/>
              </w:rPr>
              <w:t>. The approval of this indication is based on objective response rate. See Clinical Trials.</w:t>
            </w:r>
          </w:p>
        </w:tc>
      </w:tr>
      <w:tr w:rsidR="008E7846" w:rsidRPr="00487162" w:rsidTr="006A3F11">
        <w:trPr>
          <w:gridAfter w:val="1"/>
          <w:wAfter w:w="283" w:type="dxa"/>
        </w:trPr>
        <w:tc>
          <w:tcPr>
            <w:tcW w:w="2907" w:type="dxa"/>
          </w:tcPr>
          <w:p w:rsidR="008E7846" w:rsidRPr="00487162" w:rsidRDefault="00E75AE5" w:rsidP="00E45619">
            <w:pPr>
              <w:rPr>
                <w:i/>
              </w:rPr>
            </w:pPr>
            <w:r>
              <w:rPr>
                <w:i/>
              </w:rPr>
              <w:t>Route</w:t>
            </w:r>
            <w:r w:rsidR="008E7846" w:rsidRPr="00487162">
              <w:rPr>
                <w:i/>
              </w:rPr>
              <w:t xml:space="preserve"> of administration:</w:t>
            </w:r>
          </w:p>
        </w:tc>
        <w:tc>
          <w:tcPr>
            <w:tcW w:w="6307" w:type="dxa"/>
          </w:tcPr>
          <w:p w:rsidR="008E7846" w:rsidRPr="00487162" w:rsidRDefault="00E75AE5" w:rsidP="00E45619">
            <w:r>
              <w:t>Intravenous infusion</w:t>
            </w:r>
          </w:p>
        </w:tc>
      </w:tr>
      <w:tr w:rsidR="008E7846" w:rsidRPr="00487162" w:rsidTr="006A3F11">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9C05E0" w:rsidP="009C05E0">
            <w:r>
              <w:t>R</w:t>
            </w:r>
            <w:r w:rsidR="00D56FDD" w:rsidRPr="00D56FDD">
              <w:t xml:space="preserve">ecommended dose of </w:t>
            </w:r>
            <w:proofErr w:type="spellStart"/>
            <w:r>
              <w:t>Opdivo</w:t>
            </w:r>
            <w:proofErr w:type="spellEnd"/>
            <w:r w:rsidR="00D56FDD" w:rsidRPr="00D56FDD">
              <w:t xml:space="preserve"> as monotherapy is 3 mg/kg administered intravenously </w:t>
            </w:r>
            <w:r>
              <w:t xml:space="preserve">(IV) </w:t>
            </w:r>
            <w:r w:rsidR="00D56FDD" w:rsidRPr="00D56FDD">
              <w:t>over 60 minutes every 2 weeks</w:t>
            </w:r>
            <w:r>
              <w:t xml:space="preserve"> (Q2W)</w:t>
            </w:r>
            <w:r w:rsidR="00D56FDD" w:rsidRPr="00D56FDD">
              <w:t>. Treatment should be continued as long as clinical benefit is observed or until treatment is no longer tolerated by the patient.’</w:t>
            </w:r>
          </w:p>
        </w:tc>
      </w:tr>
      <w:tr w:rsidR="008E7846" w:rsidRPr="00487162" w:rsidTr="006A3F11">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0310D8" w:rsidP="00E45619">
            <w:r>
              <w:rPr>
                <w:lang w:val="en-GB"/>
              </w:rPr>
              <w:t>231867, 231868</w:t>
            </w:r>
          </w:p>
        </w:tc>
      </w:tr>
    </w:tbl>
    <w:p w:rsidR="008E7846" w:rsidRDefault="008E7846" w:rsidP="008E7846">
      <w:pPr>
        <w:pStyle w:val="Heading3"/>
      </w:pPr>
      <w:bookmarkStart w:id="13" w:name="_Toc247691503"/>
      <w:bookmarkStart w:id="14" w:name="_Toc314842484"/>
      <w:bookmarkStart w:id="15" w:name="_Toc497992232"/>
      <w:r>
        <w:t>Product background</w:t>
      </w:r>
      <w:bookmarkEnd w:id="13"/>
      <w:bookmarkEnd w:id="14"/>
      <w:bookmarkEnd w:id="15"/>
    </w:p>
    <w:p w:rsidR="009C05E0" w:rsidRDefault="009C05E0" w:rsidP="009C05E0">
      <w:r w:rsidRPr="00940A89">
        <w:t xml:space="preserve">This </w:t>
      </w:r>
      <w:proofErr w:type="spellStart"/>
      <w:r w:rsidRPr="00940A89">
        <w:t>AusPAR</w:t>
      </w:r>
      <w:proofErr w:type="spellEnd"/>
      <w:r w:rsidRPr="00940A89">
        <w:t xml:space="preserve"> describes the application by the sponsor to </w:t>
      </w:r>
      <w:r>
        <w:t xml:space="preserve">register </w:t>
      </w:r>
      <w:proofErr w:type="spellStart"/>
      <w:r>
        <w:t>Opdivo</w:t>
      </w:r>
      <w:proofErr w:type="spellEnd"/>
      <w:r>
        <w:t xml:space="preserve"> </w:t>
      </w:r>
      <w:proofErr w:type="spellStart"/>
      <w:r w:rsidRPr="006A5993">
        <w:t>nivolumab</w:t>
      </w:r>
      <w:proofErr w:type="spellEnd"/>
      <w:r w:rsidRPr="006A5993">
        <w:t xml:space="preserve"> </w:t>
      </w:r>
      <w:r>
        <w:t>concentrate solution for IV infusion indicated for:</w:t>
      </w:r>
    </w:p>
    <w:p w:rsidR="00EA1385" w:rsidRPr="00801355" w:rsidRDefault="0072172D" w:rsidP="009C05E0">
      <w:pPr>
        <w:ind w:left="720"/>
      </w:pPr>
      <w:r w:rsidRPr="0072172D">
        <w:rPr>
          <w:i/>
        </w:rPr>
        <w:t>‘</w:t>
      </w:r>
      <w:proofErr w:type="spellStart"/>
      <w:r w:rsidRPr="0072172D">
        <w:rPr>
          <w:i/>
        </w:rPr>
        <w:t>Opdivo</w:t>
      </w:r>
      <w:proofErr w:type="spellEnd"/>
      <w:r w:rsidR="00EA1385" w:rsidRPr="0072172D">
        <w:rPr>
          <w:i/>
        </w:rPr>
        <w:t>, as monotherapy is indicated for the treatment of patients with relapsed or refractory classical Hodgkin lymphoma (</w:t>
      </w:r>
      <w:proofErr w:type="spellStart"/>
      <w:r w:rsidR="00EA1385" w:rsidRPr="0072172D">
        <w:rPr>
          <w:i/>
        </w:rPr>
        <w:t>cHL</w:t>
      </w:r>
      <w:proofErr w:type="spellEnd"/>
      <w:r w:rsidR="00EA1385" w:rsidRPr="0072172D">
        <w:rPr>
          <w:i/>
        </w:rPr>
        <w:t xml:space="preserve">) following autologous stem cell transplant (ASCT) and </w:t>
      </w:r>
      <w:proofErr w:type="spellStart"/>
      <w:r w:rsidR="00EA1385" w:rsidRPr="0072172D">
        <w:rPr>
          <w:i/>
        </w:rPr>
        <w:t>brentuximab</w:t>
      </w:r>
      <w:proofErr w:type="spellEnd"/>
      <w:r w:rsidR="00EA1385" w:rsidRPr="0072172D">
        <w:rPr>
          <w:i/>
        </w:rPr>
        <w:t xml:space="preserve"> </w:t>
      </w:r>
      <w:proofErr w:type="spellStart"/>
      <w:r w:rsidR="00EA1385" w:rsidRPr="0072172D">
        <w:rPr>
          <w:i/>
        </w:rPr>
        <w:t>vedotin</w:t>
      </w:r>
      <w:proofErr w:type="spellEnd"/>
    </w:p>
    <w:p w:rsidR="00EA1385" w:rsidRPr="0072172D" w:rsidRDefault="0072172D" w:rsidP="009C05E0">
      <w:pPr>
        <w:ind w:firstLine="720"/>
        <w:rPr>
          <w:i/>
        </w:rPr>
      </w:pPr>
      <w:proofErr w:type="gramStart"/>
      <w:r w:rsidRPr="0072172D">
        <w:rPr>
          <w:i/>
        </w:rPr>
        <w:t>or</w:t>
      </w:r>
      <w:proofErr w:type="gramEnd"/>
    </w:p>
    <w:p w:rsidR="00EA1385" w:rsidRDefault="00EA1385" w:rsidP="009C05E0">
      <w:pPr>
        <w:ind w:firstLine="720"/>
        <w:rPr>
          <w:i/>
        </w:rPr>
      </w:pPr>
      <w:proofErr w:type="gramStart"/>
      <w:r w:rsidRPr="0072172D">
        <w:rPr>
          <w:i/>
        </w:rPr>
        <w:t>following</w:t>
      </w:r>
      <w:proofErr w:type="gramEnd"/>
      <w:r w:rsidRPr="0072172D">
        <w:rPr>
          <w:i/>
        </w:rPr>
        <w:t xml:space="preserve"> at least two prior therapies in patients who are not candidates for ASCT.</w:t>
      </w:r>
      <w:r w:rsidR="0072172D" w:rsidRPr="0072172D">
        <w:rPr>
          <w:i/>
        </w:rPr>
        <w:t>’</w:t>
      </w:r>
    </w:p>
    <w:p w:rsidR="00511F65" w:rsidRPr="00BA35F7" w:rsidRDefault="00511F65" w:rsidP="00511F65">
      <w:r w:rsidRPr="00BA35F7">
        <w:lastRenderedPageBreak/>
        <w:t xml:space="preserve">The indications for </w:t>
      </w:r>
      <w:proofErr w:type="spellStart"/>
      <w:r>
        <w:t>Opdivo</w:t>
      </w:r>
      <w:proofErr w:type="spellEnd"/>
      <w:r>
        <w:t xml:space="preserve"> </w:t>
      </w:r>
      <w:proofErr w:type="spellStart"/>
      <w:r w:rsidRPr="00BA35F7">
        <w:t>nivolumab</w:t>
      </w:r>
      <w:proofErr w:type="spellEnd"/>
      <w:r w:rsidRPr="00BA35F7">
        <w:t xml:space="preserve"> </w:t>
      </w:r>
      <w:r w:rsidR="00F639A2">
        <w:t xml:space="preserve">currently </w:t>
      </w:r>
      <w:r w:rsidRPr="00BA35F7">
        <w:t>approved in Au</w:t>
      </w:r>
      <w:r>
        <w:t xml:space="preserve">stralia </w:t>
      </w:r>
      <w:r w:rsidR="00F639A2">
        <w:t>(</w:t>
      </w:r>
      <w:r>
        <w:t>since January 2016</w:t>
      </w:r>
      <w:r w:rsidR="00F639A2">
        <w:t>)</w:t>
      </w:r>
      <w:r>
        <w:t xml:space="preserve"> are:</w:t>
      </w:r>
    </w:p>
    <w:p w:rsidR="00511F65" w:rsidRPr="00157EEA" w:rsidRDefault="00511F65" w:rsidP="00511F65">
      <w:pPr>
        <w:ind w:left="720"/>
        <w:rPr>
          <w:i/>
        </w:rPr>
      </w:pPr>
      <w:proofErr w:type="gramStart"/>
      <w:r>
        <w:rPr>
          <w:i/>
        </w:rPr>
        <w:t>‘</w:t>
      </w:r>
      <w:r w:rsidRPr="00157EEA">
        <w:rPr>
          <w:i/>
        </w:rPr>
        <w:t xml:space="preserve">As monotherapy for the treatment of patients with </w:t>
      </w:r>
      <w:proofErr w:type="spellStart"/>
      <w:r w:rsidRPr="00157EEA">
        <w:rPr>
          <w:i/>
        </w:rPr>
        <w:t>unresectable</w:t>
      </w:r>
      <w:proofErr w:type="spellEnd"/>
      <w:r w:rsidRPr="00157EEA">
        <w:rPr>
          <w:i/>
        </w:rPr>
        <w:t xml:space="preserve"> (Stage III) or metastatic (Stage IV) melanoma.</w:t>
      </w:r>
      <w:proofErr w:type="gramEnd"/>
    </w:p>
    <w:p w:rsidR="00511F65" w:rsidRPr="00157EEA" w:rsidRDefault="00511F65" w:rsidP="00511F65">
      <w:pPr>
        <w:ind w:left="720"/>
        <w:rPr>
          <w:i/>
        </w:rPr>
      </w:pPr>
      <w:proofErr w:type="gramStart"/>
      <w:r w:rsidRPr="00157EEA">
        <w:rPr>
          <w:i/>
        </w:rPr>
        <w:t xml:space="preserve">In combination with </w:t>
      </w:r>
      <w:proofErr w:type="spellStart"/>
      <w:r w:rsidRPr="00157EEA">
        <w:rPr>
          <w:i/>
        </w:rPr>
        <w:t>Yervoy</w:t>
      </w:r>
      <w:proofErr w:type="spellEnd"/>
      <w:r w:rsidRPr="00157EEA">
        <w:rPr>
          <w:i/>
        </w:rPr>
        <w:t xml:space="preserve"> (</w:t>
      </w:r>
      <w:proofErr w:type="spellStart"/>
      <w:r w:rsidRPr="00157EEA">
        <w:rPr>
          <w:i/>
        </w:rPr>
        <w:t>ipilimumab</w:t>
      </w:r>
      <w:proofErr w:type="spellEnd"/>
      <w:r w:rsidRPr="00157EEA">
        <w:rPr>
          <w:i/>
        </w:rPr>
        <w:t>) for the treatment of patients with metastatic (Stage IV) melanoma with M1c disease or elevated lactic dehydrogenase (LDH).</w:t>
      </w:r>
      <w:proofErr w:type="gramEnd"/>
    </w:p>
    <w:p w:rsidR="00511F65" w:rsidRPr="00157EEA" w:rsidRDefault="00511F65" w:rsidP="00511F65">
      <w:pPr>
        <w:ind w:left="720"/>
        <w:rPr>
          <w:i/>
        </w:rPr>
      </w:pPr>
      <w:proofErr w:type="gramStart"/>
      <w:r w:rsidRPr="00157EEA">
        <w:rPr>
          <w:i/>
        </w:rPr>
        <w:t>As monotherapy for the treatment of locally advanced or metastatic squamous non-small cell lung cancer (NSCLC) with progression on or after prior chemotherapy.</w:t>
      </w:r>
      <w:proofErr w:type="gramEnd"/>
    </w:p>
    <w:p w:rsidR="00511F65" w:rsidRPr="00157EEA" w:rsidRDefault="00511F65" w:rsidP="00511F65">
      <w:pPr>
        <w:ind w:left="720"/>
        <w:rPr>
          <w:i/>
        </w:rPr>
      </w:pPr>
      <w:proofErr w:type="gramStart"/>
      <w:r w:rsidRPr="00157EEA">
        <w:rPr>
          <w:i/>
        </w:rPr>
        <w:t>As monotherapy for the treatment of loc</w:t>
      </w:r>
      <w:r>
        <w:rPr>
          <w:i/>
        </w:rPr>
        <w:t>ally advanced or metastatic non-</w:t>
      </w:r>
      <w:r w:rsidRPr="00157EEA">
        <w:rPr>
          <w:i/>
        </w:rPr>
        <w:t>squamous non-small cell lung cancer (NSCLC) with progression on or after prior chemotherapy.</w:t>
      </w:r>
      <w:proofErr w:type="gramEnd"/>
      <w:r w:rsidRPr="00157EEA">
        <w:rPr>
          <w:i/>
        </w:rPr>
        <w:t xml:space="preserve"> In patients with tumour EGFR or ALK genomic aberrations, </w:t>
      </w:r>
      <w:proofErr w:type="spellStart"/>
      <w:r w:rsidRPr="00157EEA">
        <w:rPr>
          <w:i/>
        </w:rPr>
        <w:t>Opdivo</w:t>
      </w:r>
      <w:proofErr w:type="spellEnd"/>
      <w:r w:rsidRPr="00157EEA">
        <w:rPr>
          <w:i/>
        </w:rPr>
        <w:t xml:space="preserve"> should be used after progression on or after targeted therapy.</w:t>
      </w:r>
    </w:p>
    <w:p w:rsidR="00511F65" w:rsidRPr="00157EEA" w:rsidRDefault="00511F65" w:rsidP="00511F65">
      <w:pPr>
        <w:ind w:left="720"/>
        <w:rPr>
          <w:i/>
        </w:rPr>
      </w:pPr>
      <w:proofErr w:type="gramStart"/>
      <w:r w:rsidRPr="00157EEA">
        <w:rPr>
          <w:i/>
        </w:rPr>
        <w:t>As monotherapy for the treatment of patients with advanced clear cell renal cell carcinoma after prior anti-angiogenic therapy in adults.</w:t>
      </w:r>
      <w:r>
        <w:rPr>
          <w:i/>
        </w:rPr>
        <w:t>’</w:t>
      </w:r>
      <w:proofErr w:type="gramEnd"/>
    </w:p>
    <w:p w:rsidR="00511F65" w:rsidRPr="00511F65" w:rsidRDefault="00511F65" w:rsidP="00511F65">
      <w:r>
        <w:t xml:space="preserve">The proposed dosage </w:t>
      </w:r>
      <w:r w:rsidRPr="00FE4C74">
        <w:t xml:space="preserve">of </w:t>
      </w:r>
      <w:proofErr w:type="spellStart"/>
      <w:r w:rsidRPr="00FE4C74">
        <w:t>O</w:t>
      </w:r>
      <w:r>
        <w:t>pdivo</w:t>
      </w:r>
      <w:proofErr w:type="spellEnd"/>
      <w:r w:rsidRPr="00FE4C74">
        <w:t xml:space="preserve"> as a monotherapy is 3 mg/kg administered intravenously over 60 minutes every 2 weeks. Treatment should be continued as long as clinical benefit is observed or until treatment is no longer tolerated by the patient.</w:t>
      </w:r>
    </w:p>
    <w:p w:rsidR="00296026" w:rsidRPr="00296026" w:rsidRDefault="00296026" w:rsidP="00296026">
      <w:proofErr w:type="spellStart"/>
      <w:r w:rsidRPr="00296026">
        <w:t>Nivolumab</w:t>
      </w:r>
      <w:proofErr w:type="spellEnd"/>
      <w:r w:rsidRPr="00296026">
        <w:t xml:space="preserve"> is a fully human immunoglobulin G4 (I</w:t>
      </w:r>
      <w:r w:rsidR="00447460">
        <w:t>gG4) monoclonal antibody</w:t>
      </w:r>
      <w:r w:rsidRPr="00296026">
        <w:t xml:space="preserve"> which binds to </w:t>
      </w:r>
      <w:r w:rsidR="004C587E">
        <w:t xml:space="preserve">the </w:t>
      </w:r>
      <w:r w:rsidRPr="00296026">
        <w:t xml:space="preserve">programmed </w:t>
      </w:r>
      <w:r w:rsidR="00C55565">
        <w:t xml:space="preserve">cell </w:t>
      </w:r>
      <w:r w:rsidRPr="00296026">
        <w:t>death</w:t>
      </w:r>
      <w:r w:rsidR="00C55565">
        <w:t xml:space="preserve"> protein-1 (PD-1), a cell surface </w:t>
      </w:r>
      <w:r w:rsidRPr="00296026">
        <w:t>receptor and</w:t>
      </w:r>
      <w:r w:rsidR="00012586">
        <w:t xml:space="preserve"> blocks its interaction with</w:t>
      </w:r>
      <w:r w:rsidRPr="00296026">
        <w:t xml:space="preserve"> </w:t>
      </w:r>
      <w:r w:rsidR="00012586">
        <w:t xml:space="preserve">programmed </w:t>
      </w:r>
      <w:r w:rsidR="00C55565">
        <w:t xml:space="preserve">cell </w:t>
      </w:r>
      <w:r w:rsidR="00012586">
        <w:t xml:space="preserve">death-ligand 1 (PD-L1) and programmed </w:t>
      </w:r>
      <w:r w:rsidR="00C55565">
        <w:t xml:space="preserve">cell </w:t>
      </w:r>
      <w:r w:rsidR="00012586">
        <w:t>deat</w:t>
      </w:r>
      <w:r w:rsidR="009C066C">
        <w:t>h</w:t>
      </w:r>
      <w:r w:rsidR="009C066C">
        <w:noBreakHyphen/>
      </w:r>
      <w:r w:rsidR="00012586">
        <w:t>ligand 2 (PD-L2).</w:t>
      </w:r>
      <w:r w:rsidRPr="00296026">
        <w:t xml:space="preserve"> The PD-1 recept</w:t>
      </w:r>
      <w:r w:rsidR="009C066C">
        <w:t xml:space="preserve">or is a negative regulator of T </w:t>
      </w:r>
      <w:r w:rsidRPr="00296026">
        <w:t xml:space="preserve">cell activity. </w:t>
      </w:r>
      <w:proofErr w:type="spellStart"/>
      <w:r w:rsidRPr="00296026">
        <w:t>Nivolumab</w:t>
      </w:r>
      <w:proofErr w:type="spellEnd"/>
      <w:r w:rsidRPr="00296026">
        <w:t xml:space="preserve"> po</w:t>
      </w:r>
      <w:r w:rsidR="004C587E">
        <w:t xml:space="preserve">tentiates T </w:t>
      </w:r>
      <w:r w:rsidRPr="00296026">
        <w:t>cell responses, including anti-tumour responses, through blockade of PD</w:t>
      </w:r>
      <w:r w:rsidR="009C066C">
        <w:t>-</w:t>
      </w:r>
      <w:r w:rsidRPr="00296026">
        <w:t>1 bind</w:t>
      </w:r>
      <w:r w:rsidR="0036220D">
        <w:t xml:space="preserve">ing to </w:t>
      </w:r>
      <w:r w:rsidR="009C066C">
        <w:t xml:space="preserve">the </w:t>
      </w:r>
      <w:r w:rsidR="0036220D">
        <w:t>PD-L1 and PD-L2 ligands.</w:t>
      </w:r>
    </w:p>
    <w:p w:rsidR="004C587E" w:rsidRPr="004C587E" w:rsidRDefault="004C587E" w:rsidP="004C587E">
      <w:pPr>
        <w:pStyle w:val="Heading4"/>
      </w:pPr>
      <w:r w:rsidRPr="004C587E">
        <w:t xml:space="preserve">Classical Hodgkin </w:t>
      </w:r>
      <w:r>
        <w:t>l</w:t>
      </w:r>
      <w:r w:rsidRPr="004C587E">
        <w:t>ymphoma</w:t>
      </w:r>
    </w:p>
    <w:p w:rsidR="004C587E" w:rsidRPr="004C587E" w:rsidRDefault="004C587E" w:rsidP="004C587E">
      <w:r w:rsidRPr="004C587E">
        <w:t>Hodgkin</w:t>
      </w:r>
      <w:r>
        <w:t xml:space="preserve"> lymphoma (HL) is an uncommon B </w:t>
      </w:r>
      <w:r w:rsidRPr="004C587E">
        <w:t>cell lymphoid malignancy. ‘Classic’ Hodgkin lymphoma (</w:t>
      </w:r>
      <w:proofErr w:type="spellStart"/>
      <w:r w:rsidRPr="004C587E">
        <w:t>cHL</w:t>
      </w:r>
      <w:proofErr w:type="spellEnd"/>
      <w:r w:rsidRPr="004C587E">
        <w:t xml:space="preserve">) is the more common entity, a monoclonal lymphoid malignancy characterised by the presence of multinucleated Reed-Sternberg </w:t>
      </w:r>
      <w:r>
        <w:t xml:space="preserve">(R-S) </w:t>
      </w:r>
      <w:r w:rsidRPr="004C587E">
        <w:t xml:space="preserve">cells, mostly </w:t>
      </w:r>
      <w:r>
        <w:t>of B </w:t>
      </w:r>
      <w:r w:rsidRPr="004C587E">
        <w:t xml:space="preserve">cell origin and accounting for 1 to 10% of the cells in the tumour tissue. </w:t>
      </w:r>
      <w:r>
        <w:t>PD-1</w:t>
      </w:r>
      <w:r w:rsidR="00321613">
        <w:t xml:space="preserve"> ligands PD</w:t>
      </w:r>
      <w:r w:rsidR="00321613">
        <w:noBreakHyphen/>
      </w:r>
      <w:r w:rsidRPr="004C587E">
        <w:t xml:space="preserve">L1 and PD-L2 are overexpressed by </w:t>
      </w:r>
      <w:r>
        <w:t>R-S</w:t>
      </w:r>
      <w:r w:rsidRPr="004C587E">
        <w:t xml:space="preserve"> cells in </w:t>
      </w:r>
      <w:proofErr w:type="spellStart"/>
      <w:r>
        <w:t>c</w:t>
      </w:r>
      <w:r w:rsidRPr="004C587E">
        <w:t>HL.</w:t>
      </w:r>
      <w:proofErr w:type="spellEnd"/>
    </w:p>
    <w:p w:rsidR="004C587E" w:rsidRPr="004C587E" w:rsidRDefault="004C587E" w:rsidP="004C587E">
      <w:r w:rsidRPr="004C587E">
        <w:t xml:space="preserve">The remaining cells are a mixed infiltrate of various lymphoid </w:t>
      </w:r>
      <w:r w:rsidR="00321613">
        <w:t>cells, including regulatory T </w:t>
      </w:r>
      <w:r w:rsidRPr="004C587E">
        <w:t xml:space="preserve">cells and macrophages. Neoplastic cells (R-S cells and Hodgkin cells) make up 0.1 to 1% of the tumour mass, with the bulk comprised of non-malignant cellular infiltrate. In nearly all cases of </w:t>
      </w:r>
      <w:proofErr w:type="spellStart"/>
      <w:r w:rsidRPr="004C587E">
        <w:t>cHL</w:t>
      </w:r>
      <w:proofErr w:type="spellEnd"/>
      <w:r w:rsidRPr="004C587E">
        <w:t>, R-S cells express CD30, a glycoprotein belonging to the tumour necrosis factor</w:t>
      </w:r>
      <w:r w:rsidR="00321613">
        <w:t xml:space="preserve"> (TNF) receptor superfamily.</w:t>
      </w:r>
    </w:p>
    <w:p w:rsidR="004C587E" w:rsidRPr="004C587E" w:rsidRDefault="004C587E" w:rsidP="004C587E">
      <w:r w:rsidRPr="004C587E">
        <w:t>The 2011 incidence/2012 mortality rates for HL in Australia were 60</w:t>
      </w:r>
      <w:r w:rsidR="00511F65">
        <w:t xml:space="preserve">6 and 78, respectively. The age </w:t>
      </w:r>
      <w:r w:rsidRPr="004C587E">
        <w:t>adjusted incidence rate for this period is 2.7/100,000 population</w:t>
      </w:r>
      <w:r w:rsidR="00321613">
        <w:t>.</w:t>
      </w:r>
      <w:bookmarkStart w:id="16" w:name="_Ref490603940"/>
      <w:r w:rsidR="00321613">
        <w:rPr>
          <w:rStyle w:val="FootnoteReference"/>
        </w:rPr>
        <w:footnoteReference w:id="1"/>
      </w:r>
      <w:bookmarkEnd w:id="16"/>
    </w:p>
    <w:p w:rsidR="00A9163F" w:rsidRPr="00A9163F" w:rsidRDefault="00A9163F" w:rsidP="00A9163F">
      <w:pPr>
        <w:pStyle w:val="Heading4"/>
      </w:pPr>
      <w:r>
        <w:t>Current treatments</w:t>
      </w:r>
    </w:p>
    <w:p w:rsidR="00A9163F" w:rsidRPr="00A9163F" w:rsidRDefault="00A9163F" w:rsidP="00A9163F">
      <w:r w:rsidRPr="00A9163F">
        <w:t>Patients presenting with advanced stage disease may receive combined chemotherapy and radiotherapy. Patie</w:t>
      </w:r>
      <w:r w:rsidR="009C066C">
        <w:t xml:space="preserve">nts who do not respond to front </w:t>
      </w:r>
      <w:r w:rsidRPr="00A9163F">
        <w:t>line therapy or who relapse following an initial response</w:t>
      </w:r>
      <w:r w:rsidR="009C066C">
        <w:t xml:space="preserve"> to frontline therapy (relapsed or refractory HL</w:t>
      </w:r>
      <w:r w:rsidRPr="00A9163F">
        <w:t>) are generally treated with</w:t>
      </w:r>
      <w:r w:rsidR="009C066C">
        <w:t xml:space="preserve"> high </w:t>
      </w:r>
      <w:r>
        <w:t>dose ‘salvage’</w:t>
      </w:r>
      <w:r w:rsidRPr="00A9163F">
        <w:t xml:space="preserve"> chemotherapy followed by autologous stem cell transplantation (ASCT). Salvage chemotherapy </w:t>
      </w:r>
      <w:r w:rsidR="00511F65">
        <w:t>regimens including</w:t>
      </w:r>
      <w:r w:rsidR="00A71098">
        <w:t xml:space="preserve"> as </w:t>
      </w:r>
      <w:r w:rsidR="009C066C">
        <w:t>DHAP (</w:t>
      </w:r>
      <w:r w:rsidR="00A71098">
        <w:t>dexamethasone/h</w:t>
      </w:r>
      <w:r w:rsidRPr="00A9163F">
        <w:t xml:space="preserve">igh-dose </w:t>
      </w:r>
      <w:r w:rsidR="00511F65">
        <w:lastRenderedPageBreak/>
        <w:t>Ara-C</w:t>
      </w:r>
      <w:r w:rsidRPr="00A9163F">
        <w:t>/cisplatin</w:t>
      </w:r>
      <w:r w:rsidR="009C066C">
        <w:t>), IGEV</w:t>
      </w:r>
      <w:r w:rsidRPr="00A9163F">
        <w:t xml:space="preserve"> </w:t>
      </w:r>
      <w:r w:rsidR="009C066C">
        <w:t>(</w:t>
      </w:r>
      <w:proofErr w:type="spellStart"/>
      <w:r w:rsidRPr="00A9163F">
        <w:t>ifosfamide</w:t>
      </w:r>
      <w:proofErr w:type="spellEnd"/>
      <w:r w:rsidRPr="00A9163F">
        <w:t>/gemcitabine/</w:t>
      </w:r>
      <w:proofErr w:type="spellStart"/>
      <w:r w:rsidRPr="00A9163F">
        <w:t>vinorelbine</w:t>
      </w:r>
      <w:proofErr w:type="spellEnd"/>
      <w:r w:rsidR="009C066C">
        <w:t>),</w:t>
      </w:r>
      <w:r w:rsidR="00A71098">
        <w:t xml:space="preserve"> or</w:t>
      </w:r>
      <w:r w:rsidR="009C066C">
        <w:t xml:space="preserve"> ICE</w:t>
      </w:r>
      <w:r w:rsidR="00A71098">
        <w:t xml:space="preserve"> </w:t>
      </w:r>
      <w:r w:rsidR="009C066C">
        <w:t>(</w:t>
      </w:r>
      <w:proofErr w:type="spellStart"/>
      <w:r w:rsidR="00A71098">
        <w:t>ifosfamide</w:t>
      </w:r>
      <w:proofErr w:type="spellEnd"/>
      <w:r w:rsidR="00A71098">
        <w:t>/carboplatin/</w:t>
      </w:r>
      <w:r w:rsidRPr="00A9163F">
        <w:t>etoposide</w:t>
      </w:r>
      <w:r w:rsidR="009C066C">
        <w:t>)</w:t>
      </w:r>
      <w:r w:rsidRPr="00A9163F">
        <w:t xml:space="preserve"> are given to reduce the tumour burden and</w:t>
      </w:r>
      <w:r w:rsidR="00396986">
        <w:t xml:space="preserve"> determine eligibility for ASCT (</w:t>
      </w:r>
      <w:r w:rsidR="00511F65">
        <w:t xml:space="preserve">as shown in </w:t>
      </w:r>
      <w:r w:rsidR="009F180B">
        <w:t>Figure 1</w:t>
      </w:r>
      <w:r w:rsidR="00396986">
        <w:t xml:space="preserve"> below).</w:t>
      </w:r>
      <w:r w:rsidR="00A34483">
        <w:rPr>
          <w:rStyle w:val="FootnoteReference"/>
        </w:rPr>
        <w:footnoteReference w:id="2"/>
      </w:r>
      <w:r w:rsidRPr="00A9163F">
        <w:t xml:space="preserve"> The </w:t>
      </w:r>
      <w:r w:rsidR="00F639A2">
        <w:t xml:space="preserve">sponsor’s </w:t>
      </w:r>
      <w:r w:rsidRPr="00A9163F">
        <w:t>Clinical Overview described ASCT as the standard of care ‘which can induce long-term remission in approximately 50% of patients’.</w:t>
      </w:r>
    </w:p>
    <w:p w:rsidR="008B0A86" w:rsidRPr="00A9163F" w:rsidRDefault="008B0A86" w:rsidP="008B0A86">
      <w:pPr>
        <w:pStyle w:val="FigureTitle"/>
      </w:pPr>
      <w:proofErr w:type="gramStart"/>
      <w:r w:rsidRPr="008B0A86">
        <w:t>Figure 1.</w:t>
      </w:r>
      <w:proofErr w:type="gramEnd"/>
      <w:r w:rsidRPr="008B0A86">
        <w:t xml:space="preserve"> Excerpt from the NCCN</w:t>
      </w:r>
      <w:r>
        <w:t xml:space="preserve"> Guideline for Hodgkin Lymphoma</w:t>
      </w:r>
    </w:p>
    <w:p w:rsidR="00A9163F" w:rsidRDefault="00620157" w:rsidP="008B0A86">
      <w:r>
        <w:rPr>
          <w:noProof/>
          <w:lang w:eastAsia="en-AU"/>
        </w:rPr>
        <w:drawing>
          <wp:inline distT="0" distB="0" distL="0" distR="0">
            <wp:extent cx="5581904" cy="3178684"/>
            <wp:effectExtent l="0" t="0" r="0" b="3175"/>
            <wp:docPr id="9" name="Picture 51" descr="National Comprehensive NCCN Guidelines Version 2.2016 Cancer Hodgkin Lymphoma (Aged 18 years or more).&#10;PRINCIPLES OF SYSTEMIC THERAPY FOR RELAPSED OR REFRACTORY DISEASE (1 OF 2) Regimens. The selection of second-line chemotherapy regimens depends on the pattern of relapse and the agents previously used. Patients in complete response to second-line therapy have improved outcomes following HDT/ASCR. Brentuximab vedotin is a treatment option if HDT/ASCR has failed or at least 2 prior multi-agent chemotherapy regimens have failed. In selected patients. brentuximab vedotin can be used as second-line therapy prior to HDT/ASCR to minimize the use of more intensive chemotherapy. &#10;Second-Line or Subsequent Therapy Options (listed in alphabetical order): Brentuximab vedotin (only for CHL). C-MOPP (cyclophosphamide. vincristine. procarbazine. prednisone) (category 2B) • DHAP (dexamethasone. cisplatin. high-dose cytarabine). ESHAP (etoposide. methylprednisolone. high-dose cytarabine and cisplatin). GCD (gemcitabine. carboplatin, dexamethasone). GVD (gemcitabine. vinorelbine. liposomal doxorubicin). ICE (ifosfamide. carboplatin. etoposide). IGEV (ifosfamide. gemcitabine. vinorelbine). MINE (etoposide. ifosfamide. mesna. mitoxantrone). Mini-BEAM (carmustine. cytarabine. etoposide. melphalan).&#10;Additional Therapy Options- (only for CHL) (listed in alphabetical order: Bendamustine, Everolimus, Lenalidomidels, Nivolumab, Pembrolizumab." title="Figure 1. Excerpt from the NCCN Guideline for Hodgkin Lympho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National Comprehensive NCCN Guidelines Version 2.2016 Cancer Hodgkin Lymphoma (Aged 18 years or more).&#10;PRINCIPLES OF SYSTEMIC THERAPY FOR RELAPSED OR REFRACTORY DISEASE (1 OF 2) Regimens. The selection of second-line chemotherapy regimens depends on the pattern of relapse and the agents previously used. Patients in complete response to second-line therapy have improved outcomes following HDT/ASCR. Brentuximab vedotin is a treatment option if HDT/ASCR has failed or at least 2 prior multi-agent chemotherapy regimens have failed. In selected patients. brentuximab vedotin can be used as second-line therapy prior to HDT/ASCR to minimize the use of more intensive chemotherapy. &#10;Second-Line or Subsequent Therapy Options (listed in alphabetical order): Brentuximab vedotin (only for CHL). C-MOPP (cyclophosphamide. vincristine. procarbazine. prednisone) (category 2B) • DHAP (dexamethasone. cisplatin. high-dose cytarabine). ESHAP (etoposide. methylprednisolone. high-dose cytarabine and cisplatin). GCD (gemcitabine. carboplatin, dexamethasone). GVD (gemcitabine. vinorelbine. liposomal doxorubicin). ICE (ifosfamide. carboplatin. etoposide). IGEV (ifosfamide. gemcitabine. vinorelbine). MINE (etoposide. ifosfamide. mesna. mitoxantrone). Mini-BEAM (carmustine. cytarabine. etoposide. melphalan).&#10;Additional Therapy Options- (only for CHL) (listed in alphabetical order: Bendamustine, Everolimus, Lenalidomidels, Nivolumab, Pembrolizumab." title="Figure 1. Excerpt from the NCCN Guideline for Hodgkin Lymphoma&#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3178175"/>
                    </a:xfrm>
                    <a:prstGeom prst="rect">
                      <a:avLst/>
                    </a:prstGeom>
                    <a:noFill/>
                    <a:ln>
                      <a:noFill/>
                    </a:ln>
                  </pic:spPr>
                </pic:pic>
              </a:graphicData>
            </a:graphic>
          </wp:inline>
        </w:drawing>
      </w:r>
    </w:p>
    <w:p w:rsidR="00D7169E" w:rsidRPr="008B0A86" w:rsidRDefault="00D7169E" w:rsidP="008B0A86">
      <w:r w:rsidRPr="00A9163F">
        <w:t xml:space="preserve">In Australia in 2015, there appeared to be fewer than 70 haematopoietic cell transplants for </w:t>
      </w:r>
      <w:r>
        <w:t>HL</w:t>
      </w:r>
      <w:r w:rsidRPr="00A9163F">
        <w:t xml:space="preserve"> in recipients aged ≥ 16 years.</w:t>
      </w:r>
      <w:r>
        <w:rPr>
          <w:rStyle w:val="FootnoteReference"/>
        </w:rPr>
        <w:footnoteReference w:id="3"/>
      </w:r>
    </w:p>
    <w:p w:rsidR="00A9163F" w:rsidRPr="00B833BA" w:rsidRDefault="00A9163F" w:rsidP="00A9163F">
      <w:r w:rsidRPr="00A9163F">
        <w:t xml:space="preserve">For patients failing high dose chemotherapy and ASCT, </w:t>
      </w:r>
      <w:proofErr w:type="spellStart"/>
      <w:r w:rsidR="00D7169E">
        <w:t>brentuximab</w:t>
      </w:r>
      <w:proofErr w:type="spellEnd"/>
      <w:r w:rsidR="00D7169E">
        <w:t xml:space="preserve"> </w:t>
      </w:r>
      <w:proofErr w:type="spellStart"/>
      <w:r w:rsidR="00D7169E">
        <w:t>vedotin</w:t>
      </w:r>
      <w:proofErr w:type="spellEnd"/>
      <w:r w:rsidR="00D7169E">
        <w:t xml:space="preserve"> (</w:t>
      </w:r>
      <w:proofErr w:type="spellStart"/>
      <w:r w:rsidR="00D7169E">
        <w:t>Adcetris</w:t>
      </w:r>
      <w:proofErr w:type="spellEnd"/>
      <w:r w:rsidRPr="00A9163F">
        <w:t xml:space="preserve">) is an option registered in Australia. The </w:t>
      </w:r>
      <w:r w:rsidR="00F44998">
        <w:t xml:space="preserve">sponsor’s </w:t>
      </w:r>
      <w:r w:rsidRPr="00A9163F">
        <w:t>Clinical Overview stated</w:t>
      </w:r>
      <w:r w:rsidR="00B833BA">
        <w:t xml:space="preserve">: </w:t>
      </w:r>
      <w:r w:rsidRPr="0063282D">
        <w:rPr>
          <w:i/>
        </w:rPr>
        <w:t xml:space="preserve">‘The median </w:t>
      </w:r>
      <w:r w:rsidR="0063282D" w:rsidRPr="0063282D">
        <w:rPr>
          <w:i/>
        </w:rPr>
        <w:t>overall survival (</w:t>
      </w:r>
      <w:r w:rsidRPr="0063282D">
        <w:rPr>
          <w:i/>
        </w:rPr>
        <w:t>OS</w:t>
      </w:r>
      <w:r w:rsidR="0063282D" w:rsidRPr="0063282D">
        <w:rPr>
          <w:i/>
        </w:rPr>
        <w:t>)</w:t>
      </w:r>
      <w:r w:rsidRPr="0063282D">
        <w:rPr>
          <w:i/>
        </w:rPr>
        <w:t xml:space="preserve"> of patients who relapse after ASCT was initially reported to be &lt; 1 year; more recent data suggests that the median OS is evolving and may be closer to 2 years because of the availability of newer therapies like </w:t>
      </w:r>
      <w:proofErr w:type="spellStart"/>
      <w:r w:rsidRPr="0063282D">
        <w:rPr>
          <w:i/>
        </w:rPr>
        <w:t>brentuximab</w:t>
      </w:r>
      <w:proofErr w:type="spellEnd"/>
      <w:r w:rsidRPr="0063282D">
        <w:rPr>
          <w:i/>
        </w:rPr>
        <w:t>’</w:t>
      </w:r>
      <w:r w:rsidRPr="00A9163F">
        <w:t xml:space="preserve"> and that </w:t>
      </w:r>
      <w:r w:rsidRPr="0063282D">
        <w:rPr>
          <w:i/>
        </w:rPr>
        <w:t>‘the intended patient population for this submission are the heavily pre</w:t>
      </w:r>
      <w:r w:rsidR="00D7169E" w:rsidRPr="0063282D">
        <w:rPr>
          <w:i/>
        </w:rPr>
        <w:t>-</w:t>
      </w:r>
      <w:r w:rsidRPr="0063282D">
        <w:rPr>
          <w:i/>
        </w:rPr>
        <w:t xml:space="preserve">treated patients with </w:t>
      </w:r>
      <w:proofErr w:type="spellStart"/>
      <w:r w:rsidRPr="0063282D">
        <w:rPr>
          <w:i/>
        </w:rPr>
        <w:t>cHL</w:t>
      </w:r>
      <w:proofErr w:type="spellEnd"/>
      <w:r w:rsidRPr="0063282D">
        <w:rPr>
          <w:i/>
        </w:rPr>
        <w:t xml:space="preserve"> who have no other approved treatment options after failure of ASCT and </w:t>
      </w:r>
      <w:proofErr w:type="spellStart"/>
      <w:r w:rsidRPr="0063282D">
        <w:rPr>
          <w:i/>
        </w:rPr>
        <w:t>brentuximab</w:t>
      </w:r>
      <w:proofErr w:type="spellEnd"/>
      <w:r w:rsidRPr="0063282D">
        <w:rPr>
          <w:i/>
        </w:rPr>
        <w:t xml:space="preserve"> </w:t>
      </w:r>
      <w:proofErr w:type="spellStart"/>
      <w:r w:rsidRPr="0063282D">
        <w:rPr>
          <w:i/>
        </w:rPr>
        <w:t>vedotin</w:t>
      </w:r>
      <w:proofErr w:type="spellEnd"/>
      <w:r w:rsidRPr="0063282D">
        <w:rPr>
          <w:i/>
        </w:rPr>
        <w:t xml:space="preserve"> treatment, or at least 2 prior regimens in patients who are not ASCT candidates’</w:t>
      </w:r>
      <w:r w:rsidR="00D7169E" w:rsidRPr="0063282D">
        <w:rPr>
          <w:i/>
        </w:rPr>
        <w:t>.</w:t>
      </w:r>
    </w:p>
    <w:p w:rsidR="00967BED" w:rsidRDefault="00A9163F" w:rsidP="00A9163F">
      <w:proofErr w:type="spellStart"/>
      <w:r w:rsidRPr="00A9163F">
        <w:t>Brentuximab</w:t>
      </w:r>
      <w:proofErr w:type="spellEnd"/>
      <w:r w:rsidRPr="00A9163F">
        <w:t xml:space="preserve"> </w:t>
      </w:r>
      <w:proofErr w:type="spellStart"/>
      <w:r w:rsidRPr="00A9163F">
        <w:t>vedotin</w:t>
      </w:r>
      <w:proofErr w:type="spellEnd"/>
      <w:r w:rsidRPr="00A9163F">
        <w:t xml:space="preserve"> is an antibody drug conjugate (ADC) consisting of three components: an</w:t>
      </w:r>
      <w:r w:rsidR="00D7169E">
        <w:t xml:space="preserve"> immunoglobulin G1</w:t>
      </w:r>
      <w:r w:rsidRPr="00A9163F">
        <w:t xml:space="preserve"> </w:t>
      </w:r>
      <w:r w:rsidR="00D7169E">
        <w:t>(</w:t>
      </w:r>
      <w:r w:rsidRPr="00A9163F">
        <w:t>IgG1</w:t>
      </w:r>
      <w:r w:rsidR="00D7169E">
        <w:t>)</w:t>
      </w:r>
      <w:r w:rsidR="00B833BA">
        <w:t xml:space="preserve"> antibody cAC10</w:t>
      </w:r>
      <w:r w:rsidRPr="00A9163F">
        <w:t xml:space="preserve"> specific for the hu</w:t>
      </w:r>
      <w:r w:rsidR="00D7169E">
        <w:t>man cell membrane receptor CD30; the micro</w:t>
      </w:r>
      <w:r w:rsidRPr="00A9163F">
        <w:t xml:space="preserve">tubule disrupting agent monomethyl </w:t>
      </w:r>
      <w:proofErr w:type="spellStart"/>
      <w:r w:rsidRPr="00A9163F">
        <w:t>auristatin</w:t>
      </w:r>
      <w:proofErr w:type="spellEnd"/>
      <w:r w:rsidRPr="00A9163F">
        <w:t xml:space="preserve"> E (MMAE)</w:t>
      </w:r>
      <w:r w:rsidR="00B833BA">
        <w:t>;</w:t>
      </w:r>
      <w:r w:rsidRPr="00A9163F">
        <w:t xml:space="preserve"> and a protease cleavable linker that covalently bo</w:t>
      </w:r>
      <w:r w:rsidR="00967BED">
        <w:t>nds MMAE to cAC10.</w:t>
      </w:r>
    </w:p>
    <w:p w:rsidR="00A9163F" w:rsidRPr="00A9163F" w:rsidRDefault="00A9163F" w:rsidP="001D2849">
      <w:pPr>
        <w:keepNext/>
      </w:pPr>
      <w:r w:rsidRPr="00A9163F">
        <w:t xml:space="preserve">In December 2013, </w:t>
      </w:r>
      <w:proofErr w:type="spellStart"/>
      <w:r w:rsidRPr="00A9163F">
        <w:t>brentuximab</w:t>
      </w:r>
      <w:proofErr w:type="spellEnd"/>
      <w:r w:rsidRPr="00A9163F">
        <w:t xml:space="preserve"> </w:t>
      </w:r>
      <w:proofErr w:type="spellStart"/>
      <w:r w:rsidRPr="00A9163F">
        <w:t>vedotin</w:t>
      </w:r>
      <w:proofErr w:type="spellEnd"/>
      <w:r w:rsidRPr="00A9163F">
        <w:t xml:space="preserve"> was approved in Australia for the indications of:</w:t>
      </w:r>
    </w:p>
    <w:p w:rsidR="00D7169E" w:rsidRPr="00FC7422" w:rsidRDefault="00FC7422" w:rsidP="001D2849">
      <w:pPr>
        <w:ind w:left="720"/>
        <w:rPr>
          <w:i/>
        </w:rPr>
      </w:pPr>
      <w:r w:rsidRPr="00FC7422">
        <w:rPr>
          <w:i/>
        </w:rPr>
        <w:t>‘</w:t>
      </w:r>
      <w:r w:rsidR="00D7169E" w:rsidRPr="00FC7422">
        <w:rPr>
          <w:i/>
        </w:rPr>
        <w:t>Treatment of adult patients with relapsed or refractory CD30+ Hodgkin lymphoma (HL):</w:t>
      </w:r>
    </w:p>
    <w:p w:rsidR="00D7169E" w:rsidRPr="00967BED" w:rsidRDefault="00D7169E" w:rsidP="001D2849">
      <w:pPr>
        <w:ind w:left="720"/>
        <w:rPr>
          <w:i/>
        </w:rPr>
      </w:pPr>
      <w:proofErr w:type="gramStart"/>
      <w:r w:rsidRPr="00967BED">
        <w:rPr>
          <w:i/>
        </w:rPr>
        <w:t>following</w:t>
      </w:r>
      <w:proofErr w:type="gramEnd"/>
      <w:r w:rsidRPr="00967BED">
        <w:rPr>
          <w:i/>
        </w:rPr>
        <w:t xml:space="preserve"> autologous stem cell transplant (ASCT) or</w:t>
      </w:r>
    </w:p>
    <w:p w:rsidR="00D7169E" w:rsidRPr="00FC7422" w:rsidRDefault="00D7169E" w:rsidP="001D2849">
      <w:pPr>
        <w:ind w:left="720"/>
      </w:pPr>
      <w:proofErr w:type="gramStart"/>
      <w:r w:rsidRPr="00967BED">
        <w:rPr>
          <w:i/>
        </w:rPr>
        <w:lastRenderedPageBreak/>
        <w:t>following</w:t>
      </w:r>
      <w:proofErr w:type="gramEnd"/>
      <w:r w:rsidRPr="00967BED">
        <w:rPr>
          <w:i/>
        </w:rPr>
        <w:t xml:space="preserve"> at least two prior therapies when ASCT or </w:t>
      </w:r>
      <w:r w:rsidR="00967BED" w:rsidRPr="00967BED">
        <w:rPr>
          <w:i/>
        </w:rPr>
        <w:t xml:space="preserve">multi-agent chemotherapy is not </w:t>
      </w:r>
      <w:r w:rsidRPr="00967BED">
        <w:rPr>
          <w:i/>
        </w:rPr>
        <w:t>a treatment option</w:t>
      </w:r>
      <w:r w:rsidR="00FC7422" w:rsidRPr="00967BED">
        <w:rPr>
          <w:i/>
        </w:rPr>
        <w:t>.</w:t>
      </w:r>
    </w:p>
    <w:p w:rsidR="00D7169E" w:rsidRDefault="00D7169E" w:rsidP="001D2849">
      <w:pPr>
        <w:ind w:left="720"/>
        <w:rPr>
          <w:i/>
        </w:rPr>
      </w:pPr>
      <w:proofErr w:type="gramStart"/>
      <w:r w:rsidRPr="00FC7422">
        <w:rPr>
          <w:i/>
        </w:rPr>
        <w:t>Treatment of adult patients with relapsed or refractory systemic anaplastic large cell lymphoma (</w:t>
      </w:r>
      <w:proofErr w:type="spellStart"/>
      <w:r w:rsidRPr="00FC7422">
        <w:rPr>
          <w:i/>
        </w:rPr>
        <w:t>sALCL</w:t>
      </w:r>
      <w:proofErr w:type="spellEnd"/>
      <w:r w:rsidRPr="00FC7422">
        <w:rPr>
          <w:i/>
        </w:rPr>
        <w:t>)</w:t>
      </w:r>
      <w:r w:rsidR="00FC7422" w:rsidRPr="00FC7422">
        <w:rPr>
          <w:i/>
        </w:rPr>
        <w:t>’</w:t>
      </w:r>
      <w:r w:rsidR="00EA0FBF">
        <w:rPr>
          <w:i/>
        </w:rPr>
        <w:t>.</w:t>
      </w:r>
      <w:bookmarkStart w:id="17" w:name="_Ref490679471"/>
      <w:proofErr w:type="gramEnd"/>
      <w:r w:rsidR="00EA0FBF">
        <w:rPr>
          <w:rStyle w:val="FootnoteReference"/>
          <w:i/>
        </w:rPr>
        <w:footnoteReference w:id="4"/>
      </w:r>
      <w:bookmarkEnd w:id="17"/>
    </w:p>
    <w:p w:rsidR="008F6187" w:rsidRDefault="008F6187" w:rsidP="008F6187">
      <w:r w:rsidRPr="00C31797">
        <w:t xml:space="preserve">The sponsor provided an updated summary of the use of agents reported in prospective studies over 15 years </w:t>
      </w:r>
      <w:r>
        <w:t>(shown in Table 1, below)</w:t>
      </w:r>
      <w:r w:rsidRPr="00C31797">
        <w:t xml:space="preserve"> </w:t>
      </w:r>
      <w:r>
        <w:t>to include</w:t>
      </w:r>
      <w:r w:rsidRPr="00C31797">
        <w:t xml:space="preserve"> </w:t>
      </w:r>
      <w:proofErr w:type="spellStart"/>
      <w:r w:rsidRPr="00C31797">
        <w:t>bendamustine</w:t>
      </w:r>
      <w:proofErr w:type="spellEnd"/>
      <w:r w:rsidRPr="00C31797">
        <w:t xml:space="preserve">, GVD (gemcitabine, </w:t>
      </w:r>
      <w:proofErr w:type="spellStart"/>
      <w:r w:rsidRPr="00C31797">
        <w:t>vinorelbine</w:t>
      </w:r>
      <w:proofErr w:type="spellEnd"/>
      <w:r w:rsidRPr="00C31797">
        <w:t xml:space="preserve">, and </w:t>
      </w:r>
      <w:proofErr w:type="spellStart"/>
      <w:r w:rsidRPr="00C31797">
        <w:t>pegylated</w:t>
      </w:r>
      <w:proofErr w:type="spellEnd"/>
      <w:r w:rsidRPr="00C31797">
        <w:t xml:space="preserve"> liposomal doxorubicin) and </w:t>
      </w:r>
      <w:proofErr w:type="spellStart"/>
      <w:r w:rsidRPr="00C31797">
        <w:t>lenalidomide</w:t>
      </w:r>
      <w:proofErr w:type="spellEnd"/>
      <w:r w:rsidRPr="00C31797">
        <w:t xml:space="preserve"> in addition the </w:t>
      </w:r>
      <w:r>
        <w:t xml:space="preserve">other 6 agents </w:t>
      </w:r>
      <w:r w:rsidR="002C20AF">
        <w:t>in the original sponsor provided summary.</w:t>
      </w:r>
    </w:p>
    <w:p w:rsidR="00592349" w:rsidRPr="00C31797" w:rsidRDefault="002C20AF" w:rsidP="002C20AF">
      <w:pPr>
        <w:pStyle w:val="Tabletitle0"/>
      </w:pPr>
      <w:proofErr w:type="gramStart"/>
      <w:r>
        <w:t>Table 1</w:t>
      </w:r>
      <w:r w:rsidR="00592349">
        <w:t>.</w:t>
      </w:r>
      <w:proofErr w:type="gramEnd"/>
      <w:r w:rsidR="00592349">
        <w:t xml:space="preserve"> </w:t>
      </w:r>
      <w:r>
        <w:t>Sponsor’s u</w:t>
      </w:r>
      <w:r w:rsidR="00592349">
        <w:t xml:space="preserve">pdated summary of </w:t>
      </w:r>
      <w:r w:rsidR="005E48D6">
        <w:t>treatments of relapsed or refractory HL after ASCT from prospective studies within the past 15 years</w:t>
      </w:r>
    </w:p>
    <w:p w:rsidR="00C31797" w:rsidRPr="00C31797" w:rsidRDefault="00620157" w:rsidP="00C31797">
      <w:r>
        <w:rPr>
          <w:noProof/>
          <w:lang w:eastAsia="en-AU"/>
        </w:rPr>
        <w:drawing>
          <wp:inline distT="0" distB="0" distL="0" distR="0">
            <wp:extent cx="5337810" cy="3506091"/>
            <wp:effectExtent l="0" t="0" r="0" b="0"/>
            <wp:docPr id="3" name="Picture 11" descr="Table 1 is an image of a table showing the sponsor’s updated summary of treatments of relapsed or refractory HL after ASCT from prospective studies within the past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title="Table 1. Sponsor’s updated summary of treatments of relapsed or refractory HL after ASCT from prospective studies within the past 15 years"/>
                    <pic:cNvPicPr>
                      <a:picLocks noChangeAspect="1" noChangeArrowheads="1"/>
                    </pic:cNvPicPr>
                  </pic:nvPicPr>
                  <pic:blipFill rotWithShape="1">
                    <a:blip r:embed="rId15">
                      <a:grayscl/>
                      <a:extLst>
                        <a:ext uri="{28A0092B-C50C-407E-A947-70E740481C1C}">
                          <a14:useLocalDpi xmlns:a14="http://schemas.microsoft.com/office/drawing/2010/main" val="0"/>
                        </a:ext>
                      </a:extLst>
                    </a:blip>
                    <a:srcRect t="7215"/>
                    <a:stretch/>
                  </pic:blipFill>
                  <pic:spPr bwMode="auto">
                    <a:xfrm>
                      <a:off x="0" y="0"/>
                      <a:ext cx="5337810" cy="3505835"/>
                    </a:xfrm>
                    <a:prstGeom prst="rect">
                      <a:avLst/>
                    </a:prstGeom>
                    <a:noFill/>
                    <a:ln>
                      <a:noFill/>
                    </a:ln>
                    <a:extLst>
                      <a:ext uri="{53640926-AAD7-44D8-BBD7-CCE9431645EC}">
                        <a14:shadowObscured xmlns:a14="http://schemas.microsoft.com/office/drawing/2010/main"/>
                      </a:ext>
                    </a:extLst>
                  </pic:spPr>
                </pic:pic>
              </a:graphicData>
            </a:graphic>
          </wp:inline>
        </w:drawing>
      </w:r>
    </w:p>
    <w:p w:rsidR="008E7846" w:rsidRPr="003F31A2" w:rsidRDefault="00386150" w:rsidP="008E7846">
      <w:pPr>
        <w:pStyle w:val="Heading3"/>
      </w:pPr>
      <w:bookmarkStart w:id="18" w:name="_Toc314842485"/>
      <w:bookmarkStart w:id="19" w:name="_Toc247691504"/>
      <w:bookmarkStart w:id="20" w:name="_Toc497992233"/>
      <w:r>
        <w:t>Regulatory s</w:t>
      </w:r>
      <w:r w:rsidR="008E7846">
        <w:t>tatus</w:t>
      </w:r>
      <w:bookmarkEnd w:id="18"/>
      <w:bookmarkEnd w:id="19"/>
      <w:bookmarkEnd w:id="20"/>
    </w:p>
    <w:p w:rsidR="00BA35F7" w:rsidRPr="00BA35F7" w:rsidRDefault="00940A89" w:rsidP="00BA35F7">
      <w:bookmarkStart w:id="21" w:name="_Toc247691505"/>
      <w:bookmarkStart w:id="22" w:name="_Toc314842486"/>
      <w:r w:rsidRPr="00940A89">
        <w:t>The product received initial registration on the Australian Register</w:t>
      </w:r>
      <w:r w:rsidR="00157EEA">
        <w:t xml:space="preserve"> of Therapeutic Goods (ARTG) on 11 January 2016.</w:t>
      </w:r>
      <w:r w:rsidR="00CE2F62">
        <w:t xml:space="preserve"> </w:t>
      </w:r>
      <w:proofErr w:type="spellStart"/>
      <w:r w:rsidR="00BA35F7" w:rsidRPr="00BA35F7">
        <w:t>Nivolumab</w:t>
      </w:r>
      <w:proofErr w:type="spellEnd"/>
      <w:r w:rsidR="00BA35F7" w:rsidRPr="00BA35F7">
        <w:t xml:space="preserve"> has been registered for several malignancy indications</w:t>
      </w:r>
      <w:r w:rsidR="00445ECD">
        <w:t xml:space="preserve"> (as listed in the product background, above)</w:t>
      </w:r>
      <w:r w:rsidR="00BA35F7" w:rsidRPr="00BA35F7">
        <w:rPr>
          <w:i/>
        </w:rPr>
        <w:t xml:space="preserve"> </w:t>
      </w:r>
      <w:r w:rsidR="00BA35F7" w:rsidRPr="00BA35F7">
        <w:t>all</w:t>
      </w:r>
      <w:r w:rsidR="00BA35F7" w:rsidRPr="00BA35F7">
        <w:rPr>
          <w:i/>
        </w:rPr>
        <w:t xml:space="preserve"> </w:t>
      </w:r>
      <w:r w:rsidR="00BA35F7" w:rsidRPr="00BA35F7">
        <w:t>with</w:t>
      </w:r>
      <w:r w:rsidR="00BA35F7" w:rsidRPr="00BA35F7">
        <w:rPr>
          <w:i/>
        </w:rPr>
        <w:t xml:space="preserve"> </w:t>
      </w:r>
      <w:r w:rsidR="00BA35F7" w:rsidRPr="00BA35F7">
        <w:t xml:space="preserve">evidence from </w:t>
      </w:r>
      <w:r w:rsidR="00157EEA">
        <w:t>Phase III</w:t>
      </w:r>
      <w:r w:rsidR="00BA35F7" w:rsidRPr="00BA35F7">
        <w:t xml:space="preserve"> trials. </w:t>
      </w:r>
      <w:proofErr w:type="spellStart"/>
      <w:r w:rsidR="00BA35F7" w:rsidRPr="00BA35F7">
        <w:t>Nivolumab</w:t>
      </w:r>
      <w:proofErr w:type="spellEnd"/>
      <w:r w:rsidR="00BA35F7" w:rsidRPr="00BA35F7">
        <w:t xml:space="preserve"> does not have orphan designation.</w:t>
      </w:r>
    </w:p>
    <w:p w:rsidR="00BA35F7" w:rsidRPr="00BA35F7" w:rsidRDefault="00BA35F7" w:rsidP="00BA35F7">
      <w:r w:rsidRPr="00BA35F7">
        <w:t>The approved Australian PI provides the currently accepted pharmacology, efficacy and safety information relevant to these registered indications</w:t>
      </w:r>
      <w:r w:rsidR="00157EEA">
        <w:t>, available as Attachment 1 to this document.</w:t>
      </w:r>
    </w:p>
    <w:p w:rsidR="00BA35F7" w:rsidRPr="00BA35F7" w:rsidRDefault="00BA35F7" w:rsidP="00BA35F7">
      <w:r w:rsidRPr="00BA35F7">
        <w:t xml:space="preserve">The most recent consideration of </w:t>
      </w:r>
      <w:proofErr w:type="spellStart"/>
      <w:r w:rsidR="00157EEA">
        <w:t>Opdivo</w:t>
      </w:r>
      <w:proofErr w:type="spellEnd"/>
      <w:r w:rsidR="00157EEA">
        <w:t xml:space="preserve"> </w:t>
      </w:r>
      <w:proofErr w:type="spellStart"/>
      <w:r w:rsidRPr="00BA35F7">
        <w:t>nivolumab</w:t>
      </w:r>
      <w:proofErr w:type="spellEnd"/>
      <w:r w:rsidRPr="00BA35F7">
        <w:t xml:space="preserve"> by</w:t>
      </w:r>
      <w:r w:rsidR="00157EEA">
        <w:t xml:space="preserve"> the </w:t>
      </w:r>
      <w:r w:rsidR="00F44998">
        <w:t xml:space="preserve">TGA’s </w:t>
      </w:r>
      <w:r w:rsidR="00157EEA">
        <w:t>Advisory Committee</w:t>
      </w:r>
      <w:r w:rsidR="0041340E">
        <w:t xml:space="preserve"> on Prescription Medicines</w:t>
      </w:r>
      <w:r w:rsidRPr="00BA35F7">
        <w:t xml:space="preserve"> </w:t>
      </w:r>
      <w:r w:rsidR="0041340E">
        <w:t>(</w:t>
      </w:r>
      <w:r w:rsidRPr="00BA35F7">
        <w:t>ACPM</w:t>
      </w:r>
      <w:r w:rsidR="0041340E">
        <w:t>)</w:t>
      </w:r>
      <w:r w:rsidRPr="00BA35F7">
        <w:t xml:space="preserve"> was </w:t>
      </w:r>
      <w:r w:rsidR="0041340E">
        <w:t>at Meeting 312 in October 2016.</w:t>
      </w:r>
      <w:bookmarkStart w:id="23" w:name="_Ref490656882"/>
      <w:r w:rsidR="00666BE3">
        <w:rPr>
          <w:rStyle w:val="FootnoteReference"/>
        </w:rPr>
        <w:footnoteReference w:id="5"/>
      </w:r>
      <w:bookmarkEnd w:id="23"/>
      <w:r w:rsidRPr="00BA35F7">
        <w:t xml:space="preserve"> </w:t>
      </w:r>
      <w:r w:rsidR="0041340E">
        <w:t>The r</w:t>
      </w:r>
      <w:r w:rsidRPr="00BA35F7">
        <w:t xml:space="preserve">esolution </w:t>
      </w:r>
      <w:r w:rsidR="0041340E">
        <w:t>passed</w:t>
      </w:r>
      <w:r w:rsidRPr="00BA35F7">
        <w:t xml:space="preserve"> recommended approval for the indication for treatment of adult patients with </w:t>
      </w:r>
      <w:r w:rsidRPr="00BA35F7">
        <w:lastRenderedPageBreak/>
        <w:t xml:space="preserve">advanced clear cell renal cell carcinoma </w:t>
      </w:r>
      <w:r w:rsidR="00487EC6">
        <w:t xml:space="preserve">(RCC) </w:t>
      </w:r>
      <w:r w:rsidRPr="00BA35F7">
        <w:t>who had received prior antiangiogenic therapy</w:t>
      </w:r>
      <w:r w:rsidR="0041340E">
        <w:t>.</w:t>
      </w:r>
    </w:p>
    <w:p w:rsidR="00940A89" w:rsidRDefault="00940A89" w:rsidP="00940A89">
      <w:r w:rsidRPr="00940A89">
        <w:t>At the time the TGA</w:t>
      </w:r>
      <w:r w:rsidR="002C278B">
        <w:t xml:space="preserve"> considered </w:t>
      </w:r>
      <w:proofErr w:type="gramStart"/>
      <w:r w:rsidR="002C278B">
        <w:t xml:space="preserve">this application </w:t>
      </w:r>
      <w:r w:rsidRPr="00940A89">
        <w:t>similar application</w:t>
      </w:r>
      <w:r w:rsidR="002C278B">
        <w:t>s</w:t>
      </w:r>
      <w:proofErr w:type="gramEnd"/>
      <w:r w:rsidRPr="00940A89">
        <w:t xml:space="preserve"> had been approved in</w:t>
      </w:r>
      <w:r w:rsidR="00A15DB6">
        <w:t xml:space="preserve"> the United States (US) and the European Union (EU)</w:t>
      </w:r>
      <w:r w:rsidR="002C278B">
        <w:t xml:space="preserve"> and are discussed below.</w:t>
      </w:r>
    </w:p>
    <w:p w:rsidR="002C278B" w:rsidRDefault="002C278B" w:rsidP="00A15DB6">
      <w:r>
        <w:t xml:space="preserve">As of </w:t>
      </w:r>
      <w:r w:rsidR="00355CCA">
        <w:t xml:space="preserve">17 </w:t>
      </w:r>
      <w:r>
        <w:t>May 2016, t</w:t>
      </w:r>
      <w:r w:rsidR="00A15DB6" w:rsidRPr="00A15DB6">
        <w:t>he US Food and Drug Administration</w:t>
      </w:r>
      <w:r w:rsidR="00A15DB6">
        <w:t xml:space="preserve"> (FDA)</w:t>
      </w:r>
      <w:r w:rsidR="00A15DB6" w:rsidRPr="00A15DB6">
        <w:t xml:space="preserve"> </w:t>
      </w:r>
      <w:proofErr w:type="gramStart"/>
      <w:r w:rsidR="00A15DB6" w:rsidRPr="00A15DB6">
        <w:t>has</w:t>
      </w:r>
      <w:proofErr w:type="gramEnd"/>
      <w:r w:rsidR="00A15DB6" w:rsidRPr="00A15DB6">
        <w:t xml:space="preserve"> approved the use of </w:t>
      </w:r>
      <w:proofErr w:type="spellStart"/>
      <w:r w:rsidR="00A15DB6" w:rsidRPr="00A15DB6">
        <w:t>nivolumab</w:t>
      </w:r>
      <w:proofErr w:type="spellEnd"/>
      <w:r w:rsidR="00A15DB6" w:rsidRPr="00A15DB6">
        <w:t xml:space="preserve"> (3 mg/kg every two weeks until progression or unacceptable toxicity)</w:t>
      </w:r>
      <w:r>
        <w:t>:</w:t>
      </w:r>
    </w:p>
    <w:p w:rsidR="00A15DB6" w:rsidRPr="00A15DB6" w:rsidRDefault="00A15DB6" w:rsidP="002C278B">
      <w:pPr>
        <w:ind w:left="720"/>
      </w:pPr>
      <w:r w:rsidRPr="002C278B">
        <w:rPr>
          <w:i/>
        </w:rPr>
        <w:t xml:space="preserve">‘for the treatment of patients with classical Hodgkin lymphoma that has relapsed or progressed after autologous haematopoietic stem cell transplantation (HSCT) and post-transplantation </w:t>
      </w:r>
      <w:proofErr w:type="spellStart"/>
      <w:r w:rsidRPr="002C278B">
        <w:rPr>
          <w:i/>
        </w:rPr>
        <w:t>brentuximab</w:t>
      </w:r>
      <w:proofErr w:type="spellEnd"/>
      <w:r w:rsidRPr="002C278B">
        <w:rPr>
          <w:i/>
        </w:rPr>
        <w:t xml:space="preserve"> </w:t>
      </w:r>
      <w:proofErr w:type="spellStart"/>
      <w:r w:rsidRPr="002C278B">
        <w:rPr>
          <w:i/>
        </w:rPr>
        <w:t>vedotin</w:t>
      </w:r>
      <w:proofErr w:type="spellEnd"/>
      <w:r w:rsidRPr="002C278B">
        <w:rPr>
          <w:i/>
        </w:rPr>
        <w:t>’</w:t>
      </w:r>
      <w:r w:rsidR="002C278B">
        <w:t>.</w:t>
      </w:r>
      <w:r w:rsidR="00F32E45">
        <w:rPr>
          <w:rStyle w:val="FootnoteReference"/>
        </w:rPr>
        <w:footnoteReference w:id="6"/>
      </w:r>
    </w:p>
    <w:p w:rsidR="00A15DB6" w:rsidRPr="00A15DB6" w:rsidRDefault="00A15DB6" w:rsidP="00A15DB6">
      <w:r w:rsidRPr="00A15DB6">
        <w:t xml:space="preserve">The labelled indication describes it as having been approved under accelerated approval </w:t>
      </w:r>
      <w:r w:rsidRPr="00445ECD">
        <w:rPr>
          <w:i/>
        </w:rPr>
        <w:t>‘based on overall response rate.</w:t>
      </w:r>
      <w:r w:rsidRPr="00445ECD">
        <w:rPr>
          <w:b/>
          <w:i/>
        </w:rPr>
        <w:t xml:space="preserve"> </w:t>
      </w:r>
      <w:r w:rsidRPr="00445ECD">
        <w:rPr>
          <w:i/>
        </w:rPr>
        <w:t>Continued approval for this indication may be contingent upon verification and description of clinical benefit in confirmatory clinical trials</w:t>
      </w:r>
      <w:r w:rsidR="00355CCA" w:rsidRPr="00445ECD">
        <w:rPr>
          <w:i/>
        </w:rPr>
        <w:t>.’</w:t>
      </w:r>
    </w:p>
    <w:p w:rsidR="00A15DB6" w:rsidRPr="00A15DB6" w:rsidRDefault="00A15DB6" w:rsidP="00A15DB6">
      <w:r w:rsidRPr="00A15DB6">
        <w:t>The FDA approval letter includes the accelerated approval requirement for further adequate and well-controlled studies/clinical trials; specifically</w:t>
      </w:r>
      <w:r w:rsidR="005B4E9F">
        <w:t xml:space="preserve"> </w:t>
      </w:r>
      <w:r w:rsidR="00F2106E">
        <w:t xml:space="preserve">the </w:t>
      </w:r>
      <w:r w:rsidR="00FA1584">
        <w:t>post-marketing requirement (</w:t>
      </w:r>
      <w:r w:rsidR="005B4E9F">
        <w:t>PMR</w:t>
      </w:r>
      <w:r w:rsidR="00FA1584">
        <w:t>)</w:t>
      </w:r>
      <w:r w:rsidR="005B4E9F">
        <w:t xml:space="preserve"> 3089-1 to conduct a Phase III</w:t>
      </w:r>
      <w:r w:rsidRPr="00A15DB6">
        <w:t xml:space="preserve"> clinical trial verify and isolate the clinical benefit of </w:t>
      </w:r>
      <w:proofErr w:type="spellStart"/>
      <w:r w:rsidRPr="00A15DB6">
        <w:t>nivolumab</w:t>
      </w:r>
      <w:proofErr w:type="spellEnd"/>
      <w:r w:rsidRPr="00A15DB6">
        <w:t xml:space="preserve"> in patients with </w:t>
      </w:r>
      <w:proofErr w:type="spellStart"/>
      <w:r w:rsidRPr="00A15DB6">
        <w:t>cHL</w:t>
      </w:r>
      <w:proofErr w:type="spellEnd"/>
      <w:r w:rsidRPr="00A15DB6">
        <w:t xml:space="preserve">, with expected </w:t>
      </w:r>
      <w:r w:rsidR="00FA1584">
        <w:t>protocol submission in February 2017 and</w:t>
      </w:r>
      <w:r w:rsidRPr="00A15DB6">
        <w:t xml:space="preserve"> primary </w:t>
      </w:r>
      <w:r w:rsidR="00FA1584">
        <w:t>progression-free survival (</w:t>
      </w:r>
      <w:r w:rsidRPr="00A15DB6">
        <w:t>PFS</w:t>
      </w:r>
      <w:r w:rsidR="00FA1584">
        <w:t>)</w:t>
      </w:r>
      <w:r w:rsidRPr="00A15DB6">
        <w:t xml:space="preserve"> analysis </w:t>
      </w:r>
      <w:r w:rsidR="00FA1584">
        <w:t xml:space="preserve">in September </w:t>
      </w:r>
      <w:r w:rsidRPr="00A15DB6">
        <w:t>2024</w:t>
      </w:r>
      <w:r w:rsidR="00305605">
        <w:t>.</w:t>
      </w:r>
      <w:r w:rsidR="00305605">
        <w:rPr>
          <w:rStyle w:val="FootnoteReference"/>
        </w:rPr>
        <w:footnoteReference w:id="7"/>
      </w:r>
    </w:p>
    <w:p w:rsidR="00445ECD" w:rsidRDefault="00A15DB6" w:rsidP="00A15DB6">
      <w:r w:rsidRPr="00A15DB6">
        <w:t xml:space="preserve">The letter also notes </w:t>
      </w:r>
      <w:r w:rsidRPr="00531575">
        <w:rPr>
          <w:i/>
        </w:rPr>
        <w:t>‘higher than expected occurrences of serious complications in patients who receive allogeneic hematopoietic stem c</w:t>
      </w:r>
      <w:r w:rsidR="00531575">
        <w:rPr>
          <w:i/>
        </w:rPr>
        <w:t xml:space="preserve">ell transplantation after </w:t>
      </w:r>
      <w:proofErr w:type="spellStart"/>
      <w:r w:rsidR="00531575">
        <w:rPr>
          <w:i/>
        </w:rPr>
        <w:t>Opdivo</w:t>
      </w:r>
      <w:proofErr w:type="spellEnd"/>
      <w:r w:rsidRPr="00531575">
        <w:rPr>
          <w:i/>
        </w:rPr>
        <w:t xml:space="preserve"> (</w:t>
      </w:r>
      <w:proofErr w:type="spellStart"/>
      <w:r w:rsidRPr="00531575">
        <w:rPr>
          <w:i/>
        </w:rPr>
        <w:t>nivolumab</w:t>
      </w:r>
      <w:proofErr w:type="spellEnd"/>
      <w:r w:rsidRPr="00531575">
        <w:rPr>
          <w:i/>
        </w:rPr>
        <w:t>)</w:t>
      </w:r>
      <w:r w:rsidRPr="00A15DB6">
        <w:t xml:space="preserve">’, resulting in PMR 3089-2 to characterise </w:t>
      </w:r>
      <w:r w:rsidRPr="00531575">
        <w:rPr>
          <w:i/>
        </w:rPr>
        <w:t xml:space="preserve">‘complications after allogeneic hematopoietic stem cell transplantation (HSCT) following </w:t>
      </w:r>
      <w:proofErr w:type="spellStart"/>
      <w:r w:rsidRPr="00531575">
        <w:rPr>
          <w:i/>
        </w:rPr>
        <w:t>nivolumab</w:t>
      </w:r>
      <w:proofErr w:type="spellEnd"/>
      <w:r w:rsidRPr="00531575">
        <w:rPr>
          <w:i/>
        </w:rPr>
        <w:t xml:space="preserve"> in at least 90 patients with classical Hodgkin lymphoma, of which at least 50% had received </w:t>
      </w:r>
      <w:proofErr w:type="spellStart"/>
      <w:r w:rsidRPr="00531575">
        <w:rPr>
          <w:i/>
        </w:rPr>
        <w:t>nivolumab</w:t>
      </w:r>
      <w:proofErr w:type="spellEnd"/>
      <w:r w:rsidRPr="00531575">
        <w:rPr>
          <w:i/>
        </w:rPr>
        <w:t xml:space="preserve"> alone or in combination as the regimen immediately prior to the allogeneic HSCT conditioning regimen. Evaluate toxicities at least through transplant Day 180, and include details of prior </w:t>
      </w:r>
      <w:proofErr w:type="spellStart"/>
      <w:r w:rsidRPr="00531575">
        <w:rPr>
          <w:i/>
        </w:rPr>
        <w:t>nivolumab</w:t>
      </w:r>
      <w:proofErr w:type="spellEnd"/>
      <w:r w:rsidRPr="00531575">
        <w:rPr>
          <w:i/>
        </w:rPr>
        <w:t xml:space="preserve"> treatment and the transplant regimen. Characterize toxicities including </w:t>
      </w:r>
      <w:proofErr w:type="spellStart"/>
      <w:r w:rsidRPr="00531575">
        <w:rPr>
          <w:i/>
        </w:rPr>
        <w:t>hyperacute</w:t>
      </w:r>
      <w:proofErr w:type="spellEnd"/>
      <w:r w:rsidRPr="00531575">
        <w:rPr>
          <w:i/>
        </w:rPr>
        <w:t xml:space="preserve"> graft-versus-host di</w:t>
      </w:r>
      <w:r w:rsidR="00C11105">
        <w:rPr>
          <w:i/>
        </w:rPr>
        <w:t>sease (GVHD), severe (G</w:t>
      </w:r>
      <w:r w:rsidR="009F6BC6">
        <w:rPr>
          <w:i/>
        </w:rPr>
        <w:t xml:space="preserve">rade III to </w:t>
      </w:r>
      <w:r w:rsidRPr="00531575">
        <w:rPr>
          <w:i/>
        </w:rPr>
        <w:t xml:space="preserve">IV) acute GVHD, febrile syndromes treated with steroids, immune mediated adverse events, pulmonary complications, hepatic </w:t>
      </w:r>
      <w:proofErr w:type="spellStart"/>
      <w:r w:rsidRPr="00531575">
        <w:rPr>
          <w:i/>
        </w:rPr>
        <w:t>veno</w:t>
      </w:r>
      <w:proofErr w:type="spellEnd"/>
      <w:r w:rsidRPr="00531575">
        <w:rPr>
          <w:i/>
        </w:rPr>
        <w:t>-occlusive disease, critical illness, and transplant-related mortality. Toxicities may be characterized prospectively, or through a combination of prospective and retrospective data analysis.’</w:t>
      </w:r>
    </w:p>
    <w:p w:rsidR="00A15DB6" w:rsidRPr="00A15DB6" w:rsidRDefault="00531575" w:rsidP="00A15DB6">
      <w:r>
        <w:t xml:space="preserve">The sponsor </w:t>
      </w:r>
      <w:r w:rsidR="00A15DB6" w:rsidRPr="00A15DB6">
        <w:t>was to have provided a final protocol submission to FDA by December 2016</w:t>
      </w:r>
      <w:r w:rsidR="00A15DB6" w:rsidRPr="00A15DB6">
        <w:rPr>
          <w:i/>
        </w:rPr>
        <w:t xml:space="preserve">. </w:t>
      </w:r>
      <w:r w:rsidR="00907358">
        <w:t>It appears to the D</w:t>
      </w:r>
      <w:r w:rsidR="00A15DB6" w:rsidRPr="00A15DB6">
        <w:t>elegate that this r</w:t>
      </w:r>
      <w:r>
        <w:t>equirement relates to registry S</w:t>
      </w:r>
      <w:r w:rsidR="00A15DB6" w:rsidRPr="00A15DB6">
        <w:t>t</w:t>
      </w:r>
      <w:r w:rsidR="007743E2">
        <w:t>udy </w:t>
      </w:r>
      <w:r w:rsidR="00A15DB6" w:rsidRPr="00A15DB6">
        <w:t>CA209835 described in the pharmacovigilance plan.</w:t>
      </w:r>
    </w:p>
    <w:p w:rsidR="00A15DB6" w:rsidRPr="00A15DB6" w:rsidRDefault="00907358" w:rsidP="00A15DB6">
      <w:r>
        <w:t xml:space="preserve">The most recent FDA </w:t>
      </w:r>
      <w:r w:rsidR="00A15DB6" w:rsidRPr="00A15DB6">
        <w:t xml:space="preserve">approved label includes details of observed </w:t>
      </w:r>
      <w:r w:rsidR="009F6BC6">
        <w:t>adverse events (AE)</w:t>
      </w:r>
      <w:r w:rsidR="00A15DB6" w:rsidRPr="00A15DB6">
        <w:t xml:space="preserve"> including </w:t>
      </w:r>
      <w:r>
        <w:t>immune mediated adverse reaction</w:t>
      </w:r>
      <w:r w:rsidR="00CE2F62">
        <w:t>s</w:t>
      </w:r>
      <w:r w:rsidRPr="00A15DB6">
        <w:t xml:space="preserve"> </w:t>
      </w:r>
      <w:r>
        <w:t>(IMAR)</w:t>
      </w:r>
      <w:r w:rsidR="00A15DB6" w:rsidRPr="00A15DB6">
        <w:t xml:space="preserve"> in clinical trials for each specific indication</w:t>
      </w:r>
      <w:r w:rsidR="009F6BC6">
        <w:t>.</w:t>
      </w:r>
      <w:r w:rsidR="009F6BC6">
        <w:rPr>
          <w:rStyle w:val="FootnoteReference"/>
        </w:rPr>
        <w:footnoteReference w:id="8"/>
      </w:r>
    </w:p>
    <w:p w:rsidR="00C11105" w:rsidRDefault="00C11105" w:rsidP="00C11105">
      <w:r>
        <w:t xml:space="preserve">In the EU, the </w:t>
      </w:r>
      <w:proofErr w:type="spellStart"/>
      <w:r w:rsidR="00A15DB6" w:rsidRPr="00A15DB6">
        <w:t>cHL</w:t>
      </w:r>
      <w:proofErr w:type="spellEnd"/>
      <w:r w:rsidR="00A15DB6" w:rsidRPr="00A15DB6">
        <w:t xml:space="preserve"> indication was approved </w:t>
      </w:r>
      <w:r>
        <w:t xml:space="preserve">by the European Medicines Agency </w:t>
      </w:r>
      <w:r w:rsidR="00826D3B">
        <w:t xml:space="preserve">(EMA) </w:t>
      </w:r>
      <w:r>
        <w:t>as follows:</w:t>
      </w:r>
    </w:p>
    <w:p w:rsidR="00A15DB6" w:rsidRPr="002042FA" w:rsidRDefault="00A15DB6" w:rsidP="002042FA">
      <w:pPr>
        <w:ind w:left="720"/>
      </w:pPr>
      <w:r w:rsidRPr="00A15DB6">
        <w:t>‘</w:t>
      </w:r>
      <w:proofErr w:type="spellStart"/>
      <w:r w:rsidRPr="00C11105">
        <w:rPr>
          <w:i/>
        </w:rPr>
        <w:t>Opdivo</w:t>
      </w:r>
      <w:proofErr w:type="spellEnd"/>
      <w:r w:rsidRPr="00C11105">
        <w:rPr>
          <w:i/>
        </w:rPr>
        <w:t xml:space="preserve"> is indicated for the treatment of adult patients with relapsed or refractory classical Hodgkin lymphoma (</w:t>
      </w:r>
      <w:proofErr w:type="spellStart"/>
      <w:r w:rsidRPr="00C11105">
        <w:rPr>
          <w:i/>
        </w:rPr>
        <w:t>cHL</w:t>
      </w:r>
      <w:proofErr w:type="spellEnd"/>
      <w:r w:rsidRPr="00C11105">
        <w:rPr>
          <w:i/>
        </w:rPr>
        <w:t xml:space="preserve">) after autologous stem cell transplant (ASCT) and treatment with </w:t>
      </w:r>
      <w:proofErr w:type="spellStart"/>
      <w:r w:rsidRPr="00C11105">
        <w:rPr>
          <w:i/>
        </w:rPr>
        <w:t>brentuximab</w:t>
      </w:r>
      <w:proofErr w:type="spellEnd"/>
      <w:r w:rsidRPr="00C11105">
        <w:rPr>
          <w:i/>
        </w:rPr>
        <w:t xml:space="preserve"> </w:t>
      </w:r>
      <w:proofErr w:type="spellStart"/>
      <w:r w:rsidRPr="00C11105">
        <w:rPr>
          <w:i/>
        </w:rPr>
        <w:t>vedotin</w:t>
      </w:r>
      <w:proofErr w:type="spellEnd"/>
      <w:r w:rsidRPr="00C11105">
        <w:rPr>
          <w:i/>
        </w:rPr>
        <w:t>’</w:t>
      </w:r>
      <w:r w:rsidR="00C11105">
        <w:rPr>
          <w:i/>
        </w:rPr>
        <w:t>.</w:t>
      </w:r>
      <w:r w:rsidR="00826D3B">
        <w:rPr>
          <w:rStyle w:val="FootnoteReference"/>
          <w:i/>
        </w:rPr>
        <w:footnoteReference w:id="9"/>
      </w:r>
      <w:r w:rsidR="00D907D2" w:rsidRPr="00D907D2">
        <w:rPr>
          <w:i/>
          <w:vertAlign w:val="superscript"/>
        </w:rPr>
        <w:t>,</w:t>
      </w:r>
      <w:r w:rsidR="00053543">
        <w:rPr>
          <w:rStyle w:val="FootnoteReference"/>
          <w:i/>
        </w:rPr>
        <w:footnoteReference w:id="10"/>
      </w:r>
    </w:p>
    <w:p w:rsidR="008E7846" w:rsidRDefault="008E7846" w:rsidP="00940A89">
      <w:pPr>
        <w:pStyle w:val="Heading3"/>
      </w:pPr>
      <w:bookmarkStart w:id="24" w:name="_Toc497992234"/>
      <w:r>
        <w:lastRenderedPageBreak/>
        <w:t>Product Information</w:t>
      </w:r>
      <w:bookmarkEnd w:id="21"/>
      <w:bookmarkEnd w:id="22"/>
      <w:bookmarkEnd w:id="24"/>
    </w:p>
    <w:p w:rsidR="00940A89" w:rsidRDefault="006136D7" w:rsidP="00940A89">
      <w:pPr>
        <w:rPr>
          <w:b/>
          <w:bCs/>
        </w:rPr>
      </w:pPr>
      <w:bookmarkStart w:id="25" w:name="_Toc247691506"/>
      <w:bookmarkStart w:id="26" w:name="_Toc314842487"/>
      <w:r w:rsidRPr="00940A89">
        <w:t xml:space="preserve">The Product Information (PI)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rsidR="008E7846" w:rsidRPr="003602A9" w:rsidRDefault="008E7846" w:rsidP="008E7846">
      <w:pPr>
        <w:pStyle w:val="Heading2"/>
        <w:ind w:left="-11"/>
      </w:pPr>
      <w:bookmarkStart w:id="27" w:name="_Toc497992235"/>
      <w:r>
        <w:t>II. Quality</w:t>
      </w:r>
      <w:bookmarkEnd w:id="1"/>
      <w:r>
        <w:t xml:space="preserve"> findings</w:t>
      </w:r>
      <w:bookmarkEnd w:id="25"/>
      <w:bookmarkEnd w:id="26"/>
      <w:bookmarkEnd w:id="27"/>
    </w:p>
    <w:p w:rsidR="008E7846" w:rsidRDefault="00FA6834" w:rsidP="00940A89">
      <w:r w:rsidRPr="00FA6834">
        <w:t xml:space="preserve">No new </w:t>
      </w:r>
      <w:r w:rsidR="00211369">
        <w:t xml:space="preserve">quality data </w:t>
      </w:r>
      <w:r w:rsidRPr="00FA6834">
        <w:t>were provided or evaluated with this submission.</w:t>
      </w:r>
    </w:p>
    <w:p w:rsidR="008E7846" w:rsidRDefault="008E7846" w:rsidP="008E7846">
      <w:pPr>
        <w:pStyle w:val="Heading2"/>
      </w:pPr>
      <w:bookmarkStart w:id="28" w:name="_Toc196046439"/>
      <w:bookmarkStart w:id="29" w:name="_Toc247691510"/>
      <w:bookmarkStart w:id="30" w:name="_Toc314842494"/>
      <w:bookmarkStart w:id="31" w:name="_Toc497992236"/>
      <w:r>
        <w:t>III. Nonclinical</w:t>
      </w:r>
      <w:bookmarkEnd w:id="28"/>
      <w:r>
        <w:t xml:space="preserve"> findings</w:t>
      </w:r>
      <w:bookmarkEnd w:id="29"/>
      <w:bookmarkEnd w:id="30"/>
      <w:bookmarkEnd w:id="31"/>
    </w:p>
    <w:p w:rsidR="00FA6834" w:rsidRPr="00FA6834" w:rsidRDefault="00FA6834" w:rsidP="00FA6834">
      <w:bookmarkStart w:id="32" w:name="_Toc247691511"/>
      <w:bookmarkStart w:id="33" w:name="_Toc314842495"/>
      <w:r w:rsidRPr="00FA6834">
        <w:t xml:space="preserve">No new </w:t>
      </w:r>
      <w:r>
        <w:t>nonclinical</w:t>
      </w:r>
      <w:r w:rsidRPr="00FA6834">
        <w:t xml:space="preserve"> data were provided or evaluated with this submission.</w:t>
      </w:r>
    </w:p>
    <w:p w:rsidR="008E7846" w:rsidRPr="00254787" w:rsidRDefault="008E7846" w:rsidP="008E7846">
      <w:pPr>
        <w:pStyle w:val="Heading2"/>
      </w:pPr>
      <w:bookmarkStart w:id="34" w:name="_Toc196046462"/>
      <w:bookmarkStart w:id="35" w:name="_Toc247691516"/>
      <w:bookmarkStart w:id="36" w:name="_Toc314842500"/>
      <w:bookmarkStart w:id="37" w:name="_Toc163441353"/>
      <w:bookmarkStart w:id="38" w:name="_Toc163441348"/>
      <w:bookmarkStart w:id="39" w:name="_Toc497992237"/>
      <w:bookmarkEnd w:id="32"/>
      <w:bookmarkEnd w:id="33"/>
      <w:r>
        <w:t xml:space="preserve">IV. </w:t>
      </w:r>
      <w:r w:rsidRPr="00254787">
        <w:t>Clinical</w:t>
      </w:r>
      <w:bookmarkEnd w:id="34"/>
      <w:r>
        <w:t xml:space="preserve"> </w:t>
      </w:r>
      <w:r w:rsidR="003A7F6C">
        <w:t>f</w:t>
      </w:r>
      <w:r>
        <w:t>indings</w:t>
      </w:r>
      <w:bookmarkEnd w:id="35"/>
      <w:bookmarkEnd w:id="36"/>
      <w:bookmarkEnd w:id="39"/>
    </w:p>
    <w:p w:rsidR="00C80137" w:rsidRDefault="00C80137" w:rsidP="00D425BB">
      <w:bookmarkStart w:id="4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41" w:name="_Toc247691517"/>
      <w:bookmarkStart w:id="42" w:name="_Toc314842501"/>
      <w:bookmarkStart w:id="43" w:name="_Toc497992238"/>
      <w:r w:rsidRPr="00254787">
        <w:t>Introduction</w:t>
      </w:r>
      <w:bookmarkEnd w:id="40"/>
      <w:bookmarkEnd w:id="41"/>
      <w:bookmarkEnd w:id="42"/>
      <w:bookmarkEnd w:id="43"/>
    </w:p>
    <w:p w:rsidR="00605AD4" w:rsidRDefault="00605AD4" w:rsidP="00605AD4">
      <w:pPr>
        <w:pStyle w:val="Heading4"/>
      </w:pPr>
      <w:bookmarkStart w:id="44" w:name="_Toc196046464"/>
      <w:bookmarkStart w:id="45" w:name="_Toc247691518"/>
      <w:bookmarkStart w:id="46" w:name="_Toc314842502"/>
      <w:r w:rsidRPr="00605AD4">
        <w:t xml:space="preserve">Clinical </w:t>
      </w:r>
      <w:r w:rsidR="00EF59DC">
        <w:t>r</w:t>
      </w:r>
      <w:r w:rsidRPr="00605AD4">
        <w:t>ationale</w:t>
      </w:r>
    </w:p>
    <w:p w:rsidR="00A4020F" w:rsidRPr="00A4020F" w:rsidRDefault="00A4020F" w:rsidP="00A4020F">
      <w:r w:rsidRPr="00A4020F">
        <w:t xml:space="preserve">The </w:t>
      </w:r>
      <w:r>
        <w:t xml:space="preserve">sponsor’s </w:t>
      </w:r>
      <w:r w:rsidRPr="00A4020F">
        <w:t xml:space="preserve">Clinical Overview provides a Product Development Rationale. This includes a brief overview of </w:t>
      </w:r>
      <w:r w:rsidR="00211369">
        <w:t>HL</w:t>
      </w:r>
      <w:r w:rsidRPr="00A4020F">
        <w:t xml:space="preserve"> and of the treatments available for relapsed/refractory patients. The overview notes that ‘</w:t>
      </w:r>
      <w:r w:rsidRPr="00A4020F">
        <w:rPr>
          <w:i/>
        </w:rPr>
        <w:t xml:space="preserve">The median OS of patients who relapse after ASCT was initially reported to be &lt; 1 year; more recent data suggests that the median OS is evolving and may be closer to 2 years because of the availability of newer therapies like </w:t>
      </w:r>
      <w:proofErr w:type="spellStart"/>
      <w:r w:rsidRPr="00A4020F">
        <w:rPr>
          <w:i/>
        </w:rPr>
        <w:t>brentuximab</w:t>
      </w:r>
      <w:proofErr w:type="spellEnd"/>
      <w:r w:rsidRPr="00A4020F">
        <w:rPr>
          <w:i/>
        </w:rPr>
        <w:t>’</w:t>
      </w:r>
      <w:r w:rsidRPr="00A4020F">
        <w:t xml:space="preserve"> and that</w:t>
      </w:r>
      <w:r w:rsidRPr="00A4020F">
        <w:rPr>
          <w:i/>
        </w:rPr>
        <w:t xml:space="preserve"> ‘the intended patient population for this submission are the heavily pre</w:t>
      </w:r>
      <w:r>
        <w:rPr>
          <w:i/>
        </w:rPr>
        <w:t>-</w:t>
      </w:r>
      <w:r w:rsidRPr="00A4020F">
        <w:rPr>
          <w:i/>
        </w:rPr>
        <w:t xml:space="preserve">treated patients with </w:t>
      </w:r>
      <w:proofErr w:type="spellStart"/>
      <w:r w:rsidRPr="00A4020F">
        <w:rPr>
          <w:i/>
        </w:rPr>
        <w:t>cHL</w:t>
      </w:r>
      <w:proofErr w:type="spellEnd"/>
      <w:r w:rsidRPr="00A4020F">
        <w:rPr>
          <w:i/>
        </w:rPr>
        <w:t xml:space="preserve"> who have no other approved treatment options after failure of ASCT and </w:t>
      </w:r>
      <w:proofErr w:type="spellStart"/>
      <w:r w:rsidRPr="00A4020F">
        <w:rPr>
          <w:i/>
        </w:rPr>
        <w:t>brentuximab</w:t>
      </w:r>
      <w:proofErr w:type="spellEnd"/>
      <w:r w:rsidRPr="00A4020F">
        <w:rPr>
          <w:i/>
        </w:rPr>
        <w:t xml:space="preserve"> </w:t>
      </w:r>
      <w:proofErr w:type="spellStart"/>
      <w:r w:rsidRPr="00A4020F">
        <w:rPr>
          <w:i/>
        </w:rPr>
        <w:t>vedotin</w:t>
      </w:r>
      <w:proofErr w:type="spellEnd"/>
      <w:r w:rsidRPr="00A4020F">
        <w:rPr>
          <w:i/>
        </w:rPr>
        <w:t xml:space="preserve"> treatment, or at least 2 prior regimens in patients who are not ASCT candidates’.</w:t>
      </w:r>
    </w:p>
    <w:p w:rsidR="00A4020F" w:rsidRPr="00A4020F" w:rsidRDefault="00C31797" w:rsidP="00A4020F">
      <w:r>
        <w:t>A</w:t>
      </w:r>
      <w:r w:rsidR="00A4020F" w:rsidRPr="00A4020F">
        <w:t xml:space="preserve"> summary </w:t>
      </w:r>
      <w:r w:rsidR="00A4020F" w:rsidRPr="00A4020F">
        <w:rPr>
          <w:i/>
        </w:rPr>
        <w:t xml:space="preserve">‘of the irregular and often limited efficacy of some of the various agents investigated prospectively for relapsed or refractory HL post ASCT’ </w:t>
      </w:r>
      <w:r w:rsidR="00A4020F" w:rsidRPr="00A4020F">
        <w:t>was provided</w:t>
      </w:r>
      <w:r w:rsidR="00A4020F">
        <w:t xml:space="preserve"> </w:t>
      </w:r>
      <w:r w:rsidR="00A4020F" w:rsidRPr="005E48D6">
        <w:t xml:space="preserve">(shown in Table 1, </w:t>
      </w:r>
      <w:r w:rsidRPr="005E48D6">
        <w:t>above</w:t>
      </w:r>
      <w:r w:rsidR="00A4020F" w:rsidRPr="005E48D6">
        <w:t>).</w:t>
      </w:r>
    </w:p>
    <w:p w:rsidR="00A4020F" w:rsidRPr="00A4020F" w:rsidRDefault="00A4020F" w:rsidP="00A4020F">
      <w:r w:rsidRPr="00A4020F">
        <w:t xml:space="preserve">Patients with </w:t>
      </w:r>
      <w:proofErr w:type="spellStart"/>
      <w:r w:rsidRPr="00A4020F">
        <w:t>cHL</w:t>
      </w:r>
      <w:proofErr w:type="spellEnd"/>
      <w:r w:rsidRPr="00A4020F">
        <w:t xml:space="preserve"> who progress after </w:t>
      </w:r>
      <w:proofErr w:type="spellStart"/>
      <w:r w:rsidRPr="00A4020F">
        <w:t>brentuximab</w:t>
      </w:r>
      <w:proofErr w:type="spellEnd"/>
      <w:r w:rsidRPr="00A4020F">
        <w:t xml:space="preserve"> and ASCT (or who are not candidates for ASCT) are described as having high unmet medical need due to </w:t>
      </w:r>
      <w:r w:rsidRPr="00A4020F">
        <w:rPr>
          <w:i/>
        </w:rPr>
        <w:t xml:space="preserve">‘no approved </w:t>
      </w:r>
      <w:proofErr w:type="gramStart"/>
      <w:r w:rsidRPr="00A4020F">
        <w:rPr>
          <w:i/>
        </w:rPr>
        <w:t>therapies,</w:t>
      </w:r>
      <w:proofErr w:type="gramEnd"/>
      <w:r w:rsidRPr="00A4020F">
        <w:rPr>
          <w:i/>
        </w:rPr>
        <w:t xml:space="preserve"> and the available treatment options have limited clinical activity and cause considerable toxicity</w:t>
      </w:r>
      <w:r w:rsidRPr="00A4020F">
        <w:t xml:space="preserve">’. </w:t>
      </w:r>
      <w:proofErr w:type="spellStart"/>
      <w:r w:rsidRPr="00A4020F">
        <w:t>Brentuximab</w:t>
      </w:r>
      <w:proofErr w:type="spellEnd"/>
      <w:r w:rsidRPr="00A4020F">
        <w:t xml:space="preserve"> </w:t>
      </w:r>
      <w:proofErr w:type="spellStart"/>
      <w:r w:rsidRPr="00A4020F">
        <w:t>vedotin</w:t>
      </w:r>
      <w:proofErr w:type="spellEnd"/>
      <w:r w:rsidRPr="00A4020F">
        <w:t xml:space="preserve"> is briefly mentioned, together with its recognised adverse effect of peripheral neuropathy.</w:t>
      </w:r>
    </w:p>
    <w:p w:rsidR="00605AD4" w:rsidRDefault="00605AD4" w:rsidP="00605AD4">
      <w:pPr>
        <w:pStyle w:val="Heading4"/>
      </w:pPr>
      <w:r w:rsidRPr="00605AD4">
        <w:t>Guidance</w:t>
      </w:r>
    </w:p>
    <w:p w:rsidR="00A4020F" w:rsidRPr="00A4020F" w:rsidRDefault="00A4020F" w:rsidP="00A4020F">
      <w:r w:rsidRPr="00A4020F">
        <w:t>The sponsor has presented interim results from an ongoing Phase II study and an ongoing Phase I study to support efficacy, with no apparent intention to conduct any Phase III confirmatory trial.</w:t>
      </w:r>
    </w:p>
    <w:p w:rsidR="00A4020F" w:rsidRPr="00A4020F" w:rsidRDefault="00A4020F" w:rsidP="00A4020F">
      <w:r w:rsidRPr="00A4020F">
        <w:lastRenderedPageBreak/>
        <w:t>According the dossier, a ‘pre-submission’ meeting with the TGA was requested by the sponsor. The email in which this request was made noted that ‘</w:t>
      </w:r>
      <w:r w:rsidRPr="00A4020F">
        <w:rPr>
          <w:i/>
        </w:rPr>
        <w:t xml:space="preserve">Efficacy data to support the proposed indication in </w:t>
      </w:r>
      <w:proofErr w:type="spellStart"/>
      <w:r w:rsidRPr="00A4020F">
        <w:rPr>
          <w:i/>
        </w:rPr>
        <w:t>cHL</w:t>
      </w:r>
      <w:proofErr w:type="spellEnd"/>
      <w:r w:rsidRPr="00A4020F">
        <w:rPr>
          <w:i/>
        </w:rPr>
        <w:t xml:space="preserve"> is based on integrated clinical data derived from 2 studies: CA209205 (Phase II) and CA209039 (Phase I)’</w:t>
      </w:r>
      <w:r w:rsidRPr="00A4020F">
        <w:t xml:space="preserve"> and that </w:t>
      </w:r>
      <w:r w:rsidRPr="00A4020F">
        <w:rPr>
          <w:i/>
        </w:rPr>
        <w:t>‘Following feedback from the EMA and FDA [the sponsor] has made the decision to file the integrated data from CA209205 (cohort B) and CA209039 as a first submission globally’</w:t>
      </w:r>
      <w:r w:rsidRPr="00A4020F">
        <w:t>. The information that no Phase III study is planned was also provided with ‘</w:t>
      </w:r>
      <w:r w:rsidRPr="00A4020F">
        <w:rPr>
          <w:i/>
        </w:rPr>
        <w:t>The available evidence for submission supports a very narrow indication for which it was not possible to recruit a sufficiently large number of patients to conduct a reasonably powered, randomised Phase III study. As a consequence [the sponsor] has not conducted nor is planning a confirmatory Phase III study in this precise patient population due to the small number of subjects available, the late stage of disease and the absence of an approved comparator.’</w:t>
      </w:r>
      <w:r w:rsidRPr="00A4020F">
        <w:t xml:space="preserve"> The sponsor’s cover letter provides the following additional information: </w:t>
      </w:r>
      <w:r w:rsidR="003267EB">
        <w:t xml:space="preserve">the sponsor </w:t>
      </w:r>
      <w:r w:rsidRPr="00A4020F">
        <w:rPr>
          <w:i/>
        </w:rPr>
        <w:t xml:space="preserve">‘is however planning a Phase III trial in an earlier treatment line in subjects with </w:t>
      </w:r>
      <w:proofErr w:type="spellStart"/>
      <w:r w:rsidRPr="00A4020F">
        <w:rPr>
          <w:i/>
        </w:rPr>
        <w:t>cHL.</w:t>
      </w:r>
      <w:proofErr w:type="spellEnd"/>
      <w:r w:rsidRPr="00A4020F">
        <w:rPr>
          <w:i/>
        </w:rPr>
        <w:t xml:space="preserve"> Study design options are still being investigated’.</w:t>
      </w:r>
    </w:p>
    <w:p w:rsidR="00A4020F" w:rsidRPr="00A4020F" w:rsidRDefault="00A4020F" w:rsidP="007D2863">
      <w:pPr>
        <w:rPr>
          <w:i/>
        </w:rPr>
      </w:pPr>
      <w:r w:rsidRPr="00A4020F">
        <w:t>The meeting request was rejected by the TGA as the proposed timing of the requested meeting was after the sponsor had lodged the Pre-submission Planning Form.</w:t>
      </w:r>
    </w:p>
    <w:p w:rsidR="00605AD4" w:rsidRDefault="00605AD4" w:rsidP="00605AD4">
      <w:pPr>
        <w:pStyle w:val="Heading4"/>
      </w:pPr>
      <w:r w:rsidRPr="00605AD4">
        <w:t>Contents of the clinical dossier</w:t>
      </w:r>
    </w:p>
    <w:p w:rsidR="000568F4" w:rsidRPr="000568F4" w:rsidRDefault="000568F4" w:rsidP="000568F4">
      <w:r w:rsidRPr="000568F4">
        <w:t>The clinical dossier contained the following:</w:t>
      </w:r>
    </w:p>
    <w:p w:rsidR="000568F4" w:rsidRPr="000568F4" w:rsidRDefault="000568F4" w:rsidP="000568F4">
      <w:pPr>
        <w:pStyle w:val="ListBullet"/>
      </w:pPr>
      <w:r w:rsidRPr="000568F4">
        <w:t xml:space="preserve">Interim Clinical Study Report </w:t>
      </w:r>
      <w:r w:rsidR="00E4279D">
        <w:t xml:space="preserve">(CSR) </w:t>
      </w:r>
      <w:r w:rsidRPr="000568F4">
        <w:t>for Study CA209205</w:t>
      </w:r>
    </w:p>
    <w:p w:rsidR="000568F4" w:rsidRPr="000568F4" w:rsidRDefault="000568F4" w:rsidP="000568F4">
      <w:pPr>
        <w:pStyle w:val="ListBullet"/>
      </w:pPr>
      <w:r w:rsidRPr="000568F4">
        <w:t xml:space="preserve">Interim </w:t>
      </w:r>
      <w:r w:rsidR="00E4279D">
        <w:t>CSR</w:t>
      </w:r>
      <w:r w:rsidRPr="000568F4">
        <w:t xml:space="preserve"> for Study CA209039</w:t>
      </w:r>
    </w:p>
    <w:p w:rsidR="000568F4" w:rsidRPr="000568F4" w:rsidRDefault="000568F4" w:rsidP="000568F4">
      <w:pPr>
        <w:pStyle w:val="ListBullet"/>
      </w:pPr>
      <w:r w:rsidRPr="000568F4">
        <w:t>Integrated Summary of Safety. This includes safet</w:t>
      </w:r>
      <w:r>
        <w:t>y data from all cohorts in the S</w:t>
      </w:r>
      <w:r w:rsidR="00E4279D">
        <w:t>tudies </w:t>
      </w:r>
      <w:r w:rsidRPr="000568F4">
        <w:t xml:space="preserve">CA209205 and CA209039. Comparison is made to </w:t>
      </w:r>
      <w:proofErr w:type="spellStart"/>
      <w:r w:rsidRPr="000568F4">
        <w:t>nivolumab</w:t>
      </w:r>
      <w:proofErr w:type="spellEnd"/>
      <w:r w:rsidRPr="000568F4">
        <w:t xml:space="preserve"> monotherapy safety data from solid organ tumours (</w:t>
      </w:r>
      <w:r w:rsidR="00487EC6">
        <w:t>RCC</w:t>
      </w:r>
      <w:r w:rsidRPr="000568F4">
        <w:t xml:space="preserve">, melanoma, and </w:t>
      </w:r>
      <w:r>
        <w:t>NSCLC)</w:t>
      </w:r>
    </w:p>
    <w:p w:rsidR="000568F4" w:rsidRPr="000568F4" w:rsidRDefault="000568F4" w:rsidP="000568F4">
      <w:pPr>
        <w:pStyle w:val="ListBullet"/>
      </w:pPr>
      <w:r w:rsidRPr="000568F4">
        <w:t>Population Pharmacokinetic</w:t>
      </w:r>
      <w:r w:rsidR="00E4279D">
        <w:t xml:space="preserve"> (PPK)</w:t>
      </w:r>
      <w:r w:rsidR="00D10651">
        <w:t xml:space="preserve"> and exposure-r</w:t>
      </w:r>
      <w:r w:rsidRPr="000568F4">
        <w:t>esponse</w:t>
      </w:r>
      <w:r w:rsidR="00E4279D">
        <w:t xml:space="preserve"> </w:t>
      </w:r>
      <w:r w:rsidR="00D10651">
        <w:t>a</w:t>
      </w:r>
      <w:r w:rsidRPr="000568F4">
        <w:t xml:space="preserve">nalysis of </w:t>
      </w:r>
      <w:proofErr w:type="spellStart"/>
      <w:r w:rsidRPr="000568F4">
        <w:t>nivolumab</w:t>
      </w:r>
      <w:proofErr w:type="spellEnd"/>
      <w:r w:rsidRPr="000568F4">
        <w:t xml:space="preserve"> in the treatment of subjects with </w:t>
      </w:r>
      <w:proofErr w:type="spellStart"/>
      <w:r w:rsidRPr="000568F4">
        <w:t>cHL</w:t>
      </w:r>
      <w:proofErr w:type="spellEnd"/>
      <w:r w:rsidRPr="000568F4">
        <w:t xml:space="preserve"> who have failed ASCT and </w:t>
      </w:r>
      <w:proofErr w:type="spellStart"/>
      <w:r w:rsidRPr="000568F4">
        <w:t>brentuximab</w:t>
      </w:r>
      <w:proofErr w:type="spellEnd"/>
      <w:r w:rsidRPr="000568F4">
        <w:t xml:space="preserve"> </w:t>
      </w:r>
      <w:proofErr w:type="spellStart"/>
      <w:r w:rsidRPr="000568F4">
        <w:t>vedotin</w:t>
      </w:r>
      <w:proofErr w:type="spellEnd"/>
      <w:r w:rsidRPr="000568F4">
        <w:t xml:space="preserve"> treatment</w:t>
      </w:r>
    </w:p>
    <w:p w:rsidR="000568F4" w:rsidRPr="000568F4" w:rsidRDefault="000568F4" w:rsidP="000568F4">
      <w:pPr>
        <w:pStyle w:val="ListBullet"/>
      </w:pPr>
      <w:r w:rsidRPr="000568F4">
        <w:t>Summary of Clinical Pharmacology; Summary of Clinical Efficacy</w:t>
      </w:r>
      <w:r w:rsidR="00D9067B">
        <w:t xml:space="preserve"> (SCE)</w:t>
      </w:r>
      <w:r w:rsidRPr="000568F4">
        <w:t xml:space="preserve"> (both dated February 2016); and a Clinical Overview of </w:t>
      </w:r>
      <w:proofErr w:type="spellStart"/>
      <w:r>
        <w:t>cHL</w:t>
      </w:r>
      <w:r w:rsidRPr="000568F4">
        <w:t>.</w:t>
      </w:r>
      <w:proofErr w:type="spellEnd"/>
    </w:p>
    <w:p w:rsidR="00605AD4" w:rsidRDefault="00605AD4" w:rsidP="00605AD4">
      <w:pPr>
        <w:pStyle w:val="Heading4"/>
      </w:pPr>
      <w:r w:rsidRPr="00605AD4">
        <w:t>Paediatric data</w:t>
      </w:r>
    </w:p>
    <w:p w:rsidR="000568F4" w:rsidRPr="000568F4" w:rsidRDefault="000568F4" w:rsidP="000568F4">
      <w:pPr>
        <w:rPr>
          <w:lang w:eastAsia="ja-JP"/>
        </w:rPr>
      </w:pPr>
      <w:r>
        <w:rPr>
          <w:lang w:eastAsia="ja-JP"/>
        </w:rPr>
        <w:t>This submission</w:t>
      </w:r>
      <w:r w:rsidRPr="00885703">
        <w:rPr>
          <w:lang w:eastAsia="ja-JP"/>
        </w:rPr>
        <w:t xml:space="preserve"> include</w:t>
      </w:r>
      <w:r>
        <w:rPr>
          <w:lang w:eastAsia="ja-JP"/>
        </w:rPr>
        <w:t>d</w:t>
      </w:r>
      <w:r w:rsidRPr="00885703">
        <w:rPr>
          <w:lang w:eastAsia="ja-JP"/>
        </w:rPr>
        <w:t xml:space="preserve"> </w:t>
      </w:r>
      <w:r>
        <w:rPr>
          <w:lang w:eastAsia="ja-JP"/>
        </w:rPr>
        <w:t xml:space="preserve">no </w:t>
      </w:r>
      <w:r w:rsidRPr="00885703">
        <w:rPr>
          <w:lang w:eastAsia="ja-JP"/>
        </w:rPr>
        <w:t>paediatric data.</w:t>
      </w:r>
    </w:p>
    <w:p w:rsidR="00605AD4" w:rsidRDefault="00605AD4" w:rsidP="00605AD4">
      <w:pPr>
        <w:pStyle w:val="Heading4"/>
      </w:pPr>
      <w:r w:rsidRPr="00605AD4">
        <w:t>Good clinical practice</w:t>
      </w:r>
    </w:p>
    <w:p w:rsidR="000568F4" w:rsidRPr="000E3046" w:rsidRDefault="000568F4" w:rsidP="000568F4">
      <w:pPr>
        <w:rPr>
          <w:i/>
        </w:rPr>
      </w:pPr>
      <w:r w:rsidRPr="000568F4">
        <w:t>The sponsor’s Clinical Overview states: ‘</w:t>
      </w:r>
      <w:r w:rsidRPr="000568F4">
        <w:rPr>
          <w:i/>
        </w:rPr>
        <w:t xml:space="preserve">All studies in the </w:t>
      </w:r>
      <w:proofErr w:type="spellStart"/>
      <w:r w:rsidRPr="000568F4">
        <w:rPr>
          <w:i/>
        </w:rPr>
        <w:t>nivolumab</w:t>
      </w:r>
      <w:proofErr w:type="spellEnd"/>
      <w:r w:rsidRPr="000568F4">
        <w:rPr>
          <w:i/>
        </w:rPr>
        <w:t xml:space="preserve"> </w:t>
      </w:r>
      <w:proofErr w:type="spellStart"/>
      <w:r w:rsidRPr="000568F4">
        <w:rPr>
          <w:i/>
        </w:rPr>
        <w:t>cHL</w:t>
      </w:r>
      <w:proofErr w:type="spellEnd"/>
      <w:r w:rsidRPr="000568F4">
        <w:rPr>
          <w:i/>
        </w:rPr>
        <w:t xml:space="preserve"> development program were conducted in accordance with the principles of GCP as defined by the ICH and were conducted to meet the ethical requirement of European Directive 2001/20/EC’.</w:t>
      </w:r>
      <w:r w:rsidR="00DB5A03">
        <w:rPr>
          <w:rStyle w:val="FootnoteReference"/>
          <w:i/>
        </w:rPr>
        <w:footnoteReference w:id="11"/>
      </w:r>
      <w:r w:rsidR="000E3046">
        <w:rPr>
          <w:i/>
          <w:vertAlign w:val="superscript"/>
        </w:rPr>
        <w:t>,</w:t>
      </w:r>
      <w:r w:rsidR="000E3046">
        <w:rPr>
          <w:rStyle w:val="FootnoteReference"/>
          <w:i/>
        </w:rPr>
        <w:footnoteReference w:id="12"/>
      </w:r>
    </w:p>
    <w:p w:rsidR="008E7846" w:rsidRDefault="008E7846" w:rsidP="00605AD4">
      <w:pPr>
        <w:pStyle w:val="Heading3"/>
      </w:pPr>
      <w:bookmarkStart w:id="47" w:name="_Toc497992239"/>
      <w:r w:rsidRPr="00254787">
        <w:lastRenderedPageBreak/>
        <w:t>Pharmacokinetics</w:t>
      </w:r>
      <w:bookmarkEnd w:id="37"/>
      <w:bookmarkEnd w:id="44"/>
      <w:bookmarkEnd w:id="45"/>
      <w:bookmarkEnd w:id="46"/>
      <w:bookmarkEnd w:id="47"/>
    </w:p>
    <w:p w:rsidR="00605AD4" w:rsidRDefault="00605AD4" w:rsidP="00605AD4">
      <w:pPr>
        <w:pStyle w:val="Heading4"/>
      </w:pPr>
      <w:r>
        <w:t>Studies</w:t>
      </w:r>
      <w:r w:rsidR="00443624">
        <w:t xml:space="preserve"> providing pharmacokinetic data</w:t>
      </w:r>
    </w:p>
    <w:p w:rsidR="00443624" w:rsidRPr="00443624" w:rsidRDefault="00443624" w:rsidP="00443624">
      <w:r w:rsidRPr="00443624">
        <w:t xml:space="preserve">Only limited new pharmacokinetic data was provided in this submission, with this related to serum </w:t>
      </w:r>
      <w:proofErr w:type="spellStart"/>
      <w:r w:rsidRPr="00443624">
        <w:t>nivolumab</w:t>
      </w:r>
      <w:proofErr w:type="spellEnd"/>
      <w:r w:rsidRPr="00443624">
        <w:t xml:space="preserve"> measurements using a sparse sampling model for both </w:t>
      </w:r>
      <w:r>
        <w:t>Study </w:t>
      </w:r>
      <w:r w:rsidRPr="00443624">
        <w:t>CA209205 and Study CA209039.</w:t>
      </w:r>
    </w:p>
    <w:p w:rsidR="00443624" w:rsidRPr="00443624" w:rsidRDefault="00443624" w:rsidP="00443624">
      <w:r w:rsidRPr="00443624">
        <w:t>Study CA209205 h</w:t>
      </w:r>
      <w:r>
        <w:t xml:space="preserve">ad an exploratory objective </w:t>
      </w:r>
      <w:r w:rsidRPr="00443624">
        <w:t>‘</w:t>
      </w:r>
      <w:r>
        <w:rPr>
          <w:i/>
        </w:rPr>
        <w:t>t</w:t>
      </w:r>
      <w:r w:rsidRPr="00443624">
        <w:rPr>
          <w:i/>
        </w:rPr>
        <w:t xml:space="preserve">o characterize the pharmacokinetics (PK) of </w:t>
      </w:r>
      <w:proofErr w:type="spellStart"/>
      <w:r w:rsidRPr="00443624">
        <w:rPr>
          <w:i/>
        </w:rPr>
        <w:t>nivolumab</w:t>
      </w:r>
      <w:proofErr w:type="spellEnd"/>
      <w:r w:rsidRPr="00443624">
        <w:rPr>
          <w:i/>
        </w:rPr>
        <w:t xml:space="preserve"> and explore the exposure-response relationship</w:t>
      </w:r>
      <w:r w:rsidRPr="00443624">
        <w:t xml:space="preserve">’. Study CA209039 </w:t>
      </w:r>
      <w:r w:rsidR="00E4279D">
        <w:t>had the secondary objective</w:t>
      </w:r>
      <w:r w:rsidRPr="00443624">
        <w:t xml:space="preserve"> ‘</w:t>
      </w:r>
      <w:r w:rsidR="00E4279D">
        <w:rPr>
          <w:i/>
        </w:rPr>
        <w:t>t</w:t>
      </w:r>
      <w:r w:rsidRPr="00443624">
        <w:rPr>
          <w:i/>
        </w:rPr>
        <w:t xml:space="preserve">o characterize the pharmacokinetics of </w:t>
      </w:r>
      <w:proofErr w:type="spellStart"/>
      <w:r w:rsidRPr="00443624">
        <w:rPr>
          <w:i/>
        </w:rPr>
        <w:t>nivolumab</w:t>
      </w:r>
      <w:proofErr w:type="spellEnd"/>
      <w:r w:rsidRPr="00443624">
        <w:rPr>
          <w:i/>
        </w:rPr>
        <w:t xml:space="preserve"> in subjects with relapsed/refractory hematologic malignancy</w:t>
      </w:r>
      <w:r w:rsidRPr="00443624">
        <w:t xml:space="preserve">’. By-subject listings of serum </w:t>
      </w:r>
      <w:proofErr w:type="spellStart"/>
      <w:r w:rsidRPr="00443624">
        <w:t>nivolumab</w:t>
      </w:r>
      <w:proofErr w:type="spellEnd"/>
      <w:r w:rsidRPr="00443624">
        <w:t xml:space="preserve"> concentrations were provided in the interim CSRs but not further discussed or analysed. Instead, the results were ‘</w:t>
      </w:r>
      <w:r w:rsidRPr="00443624">
        <w:rPr>
          <w:i/>
        </w:rPr>
        <w:t>combined with data from other studies in the clinical development program to develop or re</w:t>
      </w:r>
      <w:r w:rsidR="00F150FE">
        <w:rPr>
          <w:i/>
        </w:rPr>
        <w:t>fine a population PK model and exposure-response</w:t>
      </w:r>
      <w:r w:rsidRPr="00443624">
        <w:rPr>
          <w:i/>
        </w:rPr>
        <w:t xml:space="preserve"> analyses</w:t>
      </w:r>
      <w:r w:rsidRPr="00443624">
        <w:t>’.</w:t>
      </w:r>
    </w:p>
    <w:p w:rsidR="00443624" w:rsidRPr="00443624" w:rsidRDefault="00443624" w:rsidP="00443624">
      <w:r w:rsidRPr="00443624">
        <w:t xml:space="preserve">The following </w:t>
      </w:r>
      <w:proofErr w:type="spellStart"/>
      <w:r w:rsidRPr="00443624">
        <w:t>pharmacometric</w:t>
      </w:r>
      <w:proofErr w:type="spellEnd"/>
      <w:r w:rsidRPr="00443624">
        <w:t xml:space="preserve"> analyses of </w:t>
      </w:r>
      <w:proofErr w:type="spellStart"/>
      <w:r w:rsidRPr="00443624">
        <w:t>nivolumab</w:t>
      </w:r>
      <w:proofErr w:type="spellEnd"/>
      <w:r w:rsidRPr="00443624">
        <w:t xml:space="preserve"> in the treatment of patients with </w:t>
      </w:r>
      <w:proofErr w:type="spellStart"/>
      <w:r w:rsidRPr="00443624">
        <w:t>cHL</w:t>
      </w:r>
      <w:proofErr w:type="spellEnd"/>
      <w:r w:rsidRPr="00443624">
        <w:t xml:space="preserve"> who have failed ASCT and </w:t>
      </w:r>
      <w:proofErr w:type="spellStart"/>
      <w:r w:rsidRPr="00443624">
        <w:t>brentuximab</w:t>
      </w:r>
      <w:proofErr w:type="spellEnd"/>
      <w:r w:rsidRPr="00443624">
        <w:t xml:space="preserve"> </w:t>
      </w:r>
      <w:proofErr w:type="spellStart"/>
      <w:r w:rsidRPr="00443624">
        <w:t>vedotin</w:t>
      </w:r>
      <w:proofErr w:type="spellEnd"/>
      <w:r w:rsidRPr="00443624">
        <w:t xml:space="preserve"> treatment are provided in the submission: a PPK analysis, one </w:t>
      </w:r>
      <w:r w:rsidR="00F150FE">
        <w:t>exposure-response</w:t>
      </w:r>
      <w:r w:rsidRPr="00443624">
        <w:t xml:space="preserve"> efficacy analysis and one </w:t>
      </w:r>
      <w:r w:rsidR="00482E4A">
        <w:t>exposure-response</w:t>
      </w:r>
      <w:r w:rsidRPr="00443624">
        <w:t xml:space="preserve"> safety analysis.</w:t>
      </w:r>
    </w:p>
    <w:p w:rsidR="00605AD4" w:rsidRDefault="00605AD4" w:rsidP="00605AD4">
      <w:pPr>
        <w:pStyle w:val="Heading4"/>
      </w:pPr>
      <w:r>
        <w:t>Evaluator’s conclusions on pharmacokinetics</w:t>
      </w:r>
    </w:p>
    <w:p w:rsidR="008C4CD9" w:rsidRPr="008C4CD9" w:rsidRDefault="008C4CD9" w:rsidP="008C4CD9">
      <w:r w:rsidRPr="008C4CD9">
        <w:t xml:space="preserve">There appears to have been limited investigation of the pharmacokinetics of </w:t>
      </w:r>
      <w:proofErr w:type="spellStart"/>
      <w:r w:rsidRPr="008C4CD9">
        <w:t>nivolumab</w:t>
      </w:r>
      <w:proofErr w:type="spellEnd"/>
      <w:r w:rsidRPr="008C4CD9">
        <w:t xml:space="preserve"> during the sponsor’s clinical development programme. There has been no investigation of distribution, metabolism and elimination of </w:t>
      </w:r>
      <w:proofErr w:type="spellStart"/>
      <w:r w:rsidRPr="008C4CD9">
        <w:t>nivolumab</w:t>
      </w:r>
      <w:proofErr w:type="spellEnd"/>
      <w:r w:rsidRPr="008C4CD9">
        <w:t>, with the assumption made that these would resemble the distribution, metabolism and elimination of endogenous immunoglobulin. This assumption has not been substantiated. Specific investigations of special populations have not been performed. In particular, patients with severe renal fail</w:t>
      </w:r>
      <w:r w:rsidR="002F5F8C">
        <w:t xml:space="preserve">ure or hepatic failure or </w:t>
      </w:r>
      <w:r w:rsidR="00592D2A">
        <w:t>Eastern Cooperative Oncology Group (</w:t>
      </w:r>
      <w:r w:rsidR="002F5F8C">
        <w:t>ECOG</w:t>
      </w:r>
      <w:r w:rsidR="00592D2A">
        <w:t>)</w:t>
      </w:r>
      <w:r w:rsidR="002F5F8C">
        <w:t xml:space="preserve"> Performance S</w:t>
      </w:r>
      <w:r w:rsidRPr="008C4CD9">
        <w:t>tatus &gt; 1 have been excluded from the clinical studies.</w:t>
      </w:r>
      <w:r w:rsidR="002F5F8C">
        <w:rPr>
          <w:rStyle w:val="FootnoteReference"/>
        </w:rPr>
        <w:footnoteReference w:id="13"/>
      </w:r>
    </w:p>
    <w:p w:rsidR="008C4CD9" w:rsidRPr="008C4CD9" w:rsidRDefault="008C4CD9" w:rsidP="008C4CD9">
      <w:r w:rsidRPr="008C4CD9">
        <w:t xml:space="preserve">Pharmacokinetic studies in the clinical development programme have largely consisted of sparse sampling of serum </w:t>
      </w:r>
      <w:proofErr w:type="spellStart"/>
      <w:r w:rsidRPr="008C4CD9">
        <w:t>nivolumab</w:t>
      </w:r>
      <w:proofErr w:type="spellEnd"/>
      <w:r w:rsidRPr="008C4CD9">
        <w:t xml:space="preserve"> concentrations, with these results used in a sequence of </w:t>
      </w:r>
      <w:r w:rsidR="001B0024">
        <w:t>P</w:t>
      </w:r>
      <w:r w:rsidRPr="008C4CD9">
        <w:t>PK analyses. Use of the sparse sampling model and dependence on PPK modelling is demonstrated in the following figures from the most recent PPK analysis: of the 1732 patients included in the analysis, only around 300 patients had more than 10 serum samples collected; of the 11,392 sample results included, approximately 93% were collected within 25 days of the previous</w:t>
      </w:r>
      <w:r w:rsidR="00FC0057">
        <w:t xml:space="preserve"> dose (that is, within one </w:t>
      </w:r>
      <w:proofErr w:type="spellStart"/>
      <w:r w:rsidR="00FC0057">
        <w:t xml:space="preserve">half </w:t>
      </w:r>
      <w:r w:rsidRPr="008C4CD9">
        <w:t>life</w:t>
      </w:r>
      <w:proofErr w:type="spellEnd"/>
      <w:r w:rsidRPr="008C4CD9">
        <w:t>).</w:t>
      </w:r>
    </w:p>
    <w:p w:rsidR="008C4CD9" w:rsidRPr="008C4CD9" w:rsidRDefault="001B0024" w:rsidP="001B0024">
      <w:pPr>
        <w:pStyle w:val="FigureTitle"/>
      </w:pPr>
      <w:bookmarkStart w:id="48" w:name="_Toc473012870"/>
      <w:proofErr w:type="gramStart"/>
      <w:r>
        <w:lastRenderedPageBreak/>
        <w:t>Figure 2</w:t>
      </w:r>
      <w:r w:rsidR="008C4CD9" w:rsidRPr="008C4CD9">
        <w:t>.</w:t>
      </w:r>
      <w:proofErr w:type="gramEnd"/>
      <w:r w:rsidR="008C4CD9" w:rsidRPr="008C4CD9">
        <w:t xml:space="preserve"> Distribution of number of samples per patients and the number of samples according to time since dose</w:t>
      </w:r>
      <w:bookmarkEnd w:id="48"/>
    </w:p>
    <w:p w:rsidR="008C4CD9" w:rsidRPr="008C4CD9" w:rsidRDefault="00620157" w:rsidP="008C4CD9">
      <w:pPr>
        <w:rPr>
          <w:b/>
        </w:rPr>
      </w:pPr>
      <w:r>
        <w:rPr>
          <w:b/>
          <w:noProof/>
          <w:lang w:eastAsia="en-AU"/>
        </w:rPr>
        <w:drawing>
          <wp:inline distT="0" distB="0" distL="0" distR="0">
            <wp:extent cx="5582285" cy="2231900"/>
            <wp:effectExtent l="0" t="0" r="0" b="0"/>
            <wp:docPr id="4" name="Picture 74" descr="Figure 2 contains 2 bar graphs showing the distribution of number of samples per patients and the number of samples according to time since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title="Figure 2. Distribution of number of samples per patients and the number of samples according to time since dose"/>
                    <pic:cNvPicPr/>
                  </pic:nvPicPr>
                  <pic:blipFill rotWithShape="1">
                    <a:blip r:embed="rId17"/>
                    <a:srcRect l="1364" t="8618" r="1259"/>
                    <a:stretch/>
                  </pic:blipFill>
                  <pic:spPr bwMode="auto">
                    <a:xfrm>
                      <a:off x="0" y="0"/>
                      <a:ext cx="5582285" cy="2231900"/>
                    </a:xfrm>
                    <a:prstGeom prst="rect">
                      <a:avLst/>
                    </a:prstGeom>
                    <a:ln>
                      <a:noFill/>
                    </a:ln>
                    <a:extLst>
                      <a:ext uri="{53640926-AAD7-44D8-BBD7-CCE9431645EC}">
                        <a14:shadowObscured xmlns:a14="http://schemas.microsoft.com/office/drawing/2010/main"/>
                      </a:ext>
                    </a:extLst>
                  </pic:spPr>
                </pic:pic>
              </a:graphicData>
            </a:graphic>
          </wp:inline>
        </w:drawing>
      </w:r>
    </w:p>
    <w:p w:rsidR="008C4CD9" w:rsidRPr="008C4CD9" w:rsidRDefault="008C4CD9" w:rsidP="008C4CD9">
      <w:r w:rsidRPr="008C4CD9">
        <w:t>According to the spon</w:t>
      </w:r>
      <w:r w:rsidR="00AD0496">
        <w:t>sor’s documents, the P</w:t>
      </w:r>
      <w:r w:rsidRPr="008C4CD9">
        <w:t>PK analyses have found that the PK variables predicted by the model were consistent with observed measures across solid tumour types and that inter-patient variability was ‘modest’. The limiting factors of infrequent sampling and sampling confined to a relatively short period have not been discussed by the sponsor.</w:t>
      </w:r>
    </w:p>
    <w:p w:rsidR="008C4CD9" w:rsidRPr="008C4CD9" w:rsidRDefault="008C4CD9" w:rsidP="008C4CD9">
      <w:r w:rsidRPr="008C4CD9">
        <w:t xml:space="preserve">Patients with </w:t>
      </w:r>
      <w:proofErr w:type="spellStart"/>
      <w:r w:rsidRPr="008C4CD9">
        <w:t>cHL</w:t>
      </w:r>
      <w:proofErr w:type="spellEnd"/>
      <w:r w:rsidRPr="008C4CD9">
        <w:t xml:space="preserve"> appear to handle </w:t>
      </w:r>
      <w:proofErr w:type="spellStart"/>
      <w:r w:rsidRPr="008C4CD9">
        <w:t>nivolumab</w:t>
      </w:r>
      <w:proofErr w:type="spellEnd"/>
      <w:r w:rsidRPr="008C4CD9">
        <w:t xml:space="preserve"> differently from patients with solid tumours</w:t>
      </w:r>
      <w:r w:rsidR="00F549D1">
        <w:t xml:space="preserve"> (shown in Table 2</w:t>
      </w:r>
      <w:r w:rsidR="00E41506">
        <w:t>, below)</w:t>
      </w:r>
      <w:r w:rsidRPr="008C4CD9">
        <w:t xml:space="preserve"> although this analysis appears to be based on a small number of samples from a small number of patients. The previously developed PPK model was described as showing good fit with the inclusion of data from patients with </w:t>
      </w:r>
      <w:proofErr w:type="spellStart"/>
      <w:r w:rsidRPr="008C4CD9">
        <w:t>cHL</w:t>
      </w:r>
      <w:proofErr w:type="spellEnd"/>
      <w:r w:rsidRPr="008C4CD9">
        <w:t xml:space="preserve">, although less consistent for the timeframe 50 days to 300 days post-infusion (with this attributed to the small number of samples during this period). However, the </w:t>
      </w:r>
      <w:r w:rsidR="001B0024">
        <w:t>P</w:t>
      </w:r>
      <w:r w:rsidRPr="008C4CD9">
        <w:t xml:space="preserve">PK analysis found that </w:t>
      </w:r>
      <w:proofErr w:type="spellStart"/>
      <w:r w:rsidRPr="008C4CD9">
        <w:t>nivolumab</w:t>
      </w:r>
      <w:proofErr w:type="spellEnd"/>
      <w:r w:rsidRPr="008C4CD9">
        <w:t xml:space="preserve"> clearance is reduced by one third in this population, with this, in turn, causin</w:t>
      </w:r>
      <w:r w:rsidR="001B0024">
        <w:t xml:space="preserve">g a 15 day increase in the half </w:t>
      </w:r>
      <w:r w:rsidRPr="008C4CD9">
        <w:t xml:space="preserve">life and a 43% increase in exposure (as measured by median </w:t>
      </w:r>
      <w:r w:rsidR="00E41506">
        <w:t>steady state average concentration (</w:t>
      </w:r>
      <w:proofErr w:type="spellStart"/>
      <w:r w:rsidRPr="008C4CD9">
        <w:t>C</w:t>
      </w:r>
      <w:r w:rsidRPr="008C4CD9">
        <w:rPr>
          <w:vertAlign w:val="subscript"/>
        </w:rPr>
        <w:t>avg,ss</w:t>
      </w:r>
      <w:proofErr w:type="spellEnd"/>
      <w:r w:rsidRPr="008C4CD9">
        <w:t>)</w:t>
      </w:r>
      <w:r w:rsidR="00E41506">
        <w:t>)</w:t>
      </w:r>
      <w:r w:rsidRPr="008C4CD9">
        <w:t>.</w:t>
      </w:r>
    </w:p>
    <w:p w:rsidR="008C4CD9" w:rsidRPr="008C4CD9" w:rsidRDefault="00445ECD" w:rsidP="00445ECD">
      <w:pPr>
        <w:pStyle w:val="Tabletitle0"/>
      </w:pPr>
      <w:bookmarkStart w:id="49" w:name="_Toc473012691"/>
      <w:proofErr w:type="gramStart"/>
      <w:r>
        <w:t>Table 2</w:t>
      </w:r>
      <w:r w:rsidR="008C4CD9" w:rsidRPr="008C4CD9">
        <w:t>.</w:t>
      </w:r>
      <w:proofErr w:type="gramEnd"/>
      <w:r w:rsidR="008C4CD9" w:rsidRPr="008C4CD9">
        <w:t xml:space="preserve"> PK parameters, comparison of subjects with solid tumours and subjects with </w:t>
      </w:r>
      <w:proofErr w:type="spellStart"/>
      <w:r w:rsidR="008C4CD9" w:rsidRPr="008C4CD9">
        <w:t>cHL</w:t>
      </w:r>
      <w:bookmarkEnd w:id="49"/>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2 is a list of PK parameters, comparison of subjects with solid tumours and subjects with cHL"/>
      </w:tblPr>
      <w:tblGrid>
        <w:gridCol w:w="2178"/>
        <w:gridCol w:w="1503"/>
        <w:gridCol w:w="1893"/>
        <w:gridCol w:w="1395"/>
        <w:gridCol w:w="1751"/>
      </w:tblGrid>
      <w:tr w:rsidR="00DF5D00" w:rsidRPr="008C4CD9" w:rsidTr="00A2181C">
        <w:trPr>
          <w:tblHeader/>
        </w:trPr>
        <w:tc>
          <w:tcPr>
            <w:tcW w:w="2178" w:type="dxa"/>
            <w:vMerge w:val="restart"/>
            <w:tcBorders>
              <w:top w:val="single" w:sz="8" w:space="0" w:color="000000"/>
              <w:left w:val="single" w:sz="8" w:space="0" w:color="000000"/>
              <w:bottom w:val="single" w:sz="8" w:space="0" w:color="000000"/>
              <w:right w:val="single" w:sz="4" w:space="0" w:color="000000"/>
              <w:tl2br w:val="nil"/>
              <w:tr2bl w:val="nil"/>
            </w:tcBorders>
            <w:shd w:val="clear" w:color="auto" w:fill="006DA7"/>
          </w:tcPr>
          <w:p w:rsidR="00AD0496" w:rsidRPr="00A2181C" w:rsidRDefault="00445ECD" w:rsidP="00A2181C">
            <w:pPr>
              <w:keepNext/>
              <w:ind w:left="170" w:right="170"/>
              <w:rPr>
                <w:b/>
                <w:color w:val="FFFFFF"/>
                <w:szCs w:val="21"/>
                <w:lang w:eastAsia="en-AU"/>
              </w:rPr>
            </w:pPr>
            <w:r w:rsidRPr="00A2181C">
              <w:rPr>
                <w:b/>
                <w:color w:val="FFFFFF"/>
                <w:szCs w:val="21"/>
                <w:lang w:eastAsia="en-AU"/>
              </w:rPr>
              <w:t>PK parameter or e</w:t>
            </w:r>
            <w:r w:rsidR="00AD0496" w:rsidRPr="00A2181C">
              <w:rPr>
                <w:b/>
                <w:color w:val="FFFFFF"/>
                <w:szCs w:val="21"/>
                <w:lang w:eastAsia="en-AU"/>
              </w:rPr>
              <w:t>xposure</w:t>
            </w:r>
          </w:p>
        </w:tc>
        <w:tc>
          <w:tcPr>
            <w:tcW w:w="3396" w:type="dxa"/>
            <w:gridSpan w:val="2"/>
            <w:tcBorders>
              <w:top w:val="single" w:sz="8" w:space="0" w:color="000000"/>
              <w:left w:val="single" w:sz="4" w:space="0" w:color="000000"/>
              <w:bottom w:val="single" w:sz="8" w:space="0" w:color="000000"/>
              <w:right w:val="single" w:sz="4" w:space="0" w:color="000000"/>
              <w:tl2br w:val="nil"/>
              <w:tr2bl w:val="nil"/>
            </w:tcBorders>
            <w:shd w:val="clear" w:color="auto" w:fill="006DA7"/>
          </w:tcPr>
          <w:p w:rsidR="00AD0496" w:rsidRPr="00A2181C" w:rsidRDefault="00AD0496" w:rsidP="00A2181C">
            <w:pPr>
              <w:keepNext/>
              <w:ind w:left="170" w:right="170"/>
              <w:rPr>
                <w:b/>
                <w:color w:val="FFFFFF"/>
                <w:szCs w:val="21"/>
                <w:lang w:eastAsia="en-AU"/>
              </w:rPr>
            </w:pPr>
            <w:r w:rsidRPr="00A2181C">
              <w:rPr>
                <w:b/>
                <w:color w:val="FFFFFF"/>
                <w:szCs w:val="21"/>
                <w:lang w:eastAsia="en-AU"/>
              </w:rPr>
              <w:t>Subjects with solid tumours</w:t>
            </w:r>
          </w:p>
        </w:tc>
        <w:tc>
          <w:tcPr>
            <w:tcW w:w="3146" w:type="dxa"/>
            <w:gridSpan w:val="2"/>
            <w:tcBorders>
              <w:top w:val="single" w:sz="8" w:space="0" w:color="000000"/>
              <w:left w:val="single" w:sz="4" w:space="0" w:color="000000"/>
              <w:bottom w:val="single" w:sz="8" w:space="0" w:color="000000"/>
              <w:right w:val="single" w:sz="8" w:space="0" w:color="000000"/>
              <w:tl2br w:val="nil"/>
              <w:tr2bl w:val="nil"/>
            </w:tcBorders>
            <w:shd w:val="clear" w:color="auto" w:fill="006DA7"/>
          </w:tcPr>
          <w:p w:rsidR="00AD0496" w:rsidRPr="00A2181C" w:rsidRDefault="00AD0496" w:rsidP="00A2181C">
            <w:pPr>
              <w:keepNext/>
              <w:ind w:left="170" w:right="170"/>
              <w:rPr>
                <w:b/>
                <w:color w:val="FFFFFF"/>
                <w:szCs w:val="21"/>
                <w:lang w:eastAsia="en-AU"/>
              </w:rPr>
            </w:pPr>
            <w:r w:rsidRPr="00A2181C">
              <w:rPr>
                <w:b/>
                <w:color w:val="FFFFFF"/>
                <w:szCs w:val="21"/>
                <w:lang w:eastAsia="en-AU"/>
              </w:rPr>
              <w:t xml:space="preserve">Subjects with </w:t>
            </w:r>
            <w:proofErr w:type="spellStart"/>
            <w:r w:rsidRPr="00A2181C">
              <w:rPr>
                <w:b/>
                <w:color w:val="FFFFFF"/>
                <w:szCs w:val="21"/>
                <w:lang w:eastAsia="en-AU"/>
              </w:rPr>
              <w:t>cHL</w:t>
            </w:r>
            <w:proofErr w:type="spellEnd"/>
          </w:p>
        </w:tc>
      </w:tr>
      <w:tr w:rsidR="00DF5D00" w:rsidRPr="008C4CD9" w:rsidTr="00A2181C">
        <w:trPr>
          <w:trHeight w:val="802"/>
        </w:trPr>
        <w:tc>
          <w:tcPr>
            <w:tcW w:w="2178" w:type="dxa"/>
            <w:vMerge/>
            <w:tcBorders>
              <w:right w:val="single" w:sz="4" w:space="0" w:color="000000"/>
            </w:tcBorders>
            <w:shd w:val="clear" w:color="auto" w:fill="auto"/>
          </w:tcPr>
          <w:p w:rsidR="00AD0496" w:rsidRPr="00A2181C" w:rsidRDefault="00AD0496" w:rsidP="00A2181C">
            <w:pPr>
              <w:ind w:left="170" w:right="170"/>
              <w:rPr>
                <w:b/>
                <w:color w:val="000000"/>
                <w:szCs w:val="21"/>
                <w:lang w:eastAsia="en-AU"/>
              </w:rPr>
            </w:pPr>
          </w:p>
        </w:tc>
        <w:tc>
          <w:tcPr>
            <w:tcW w:w="1503" w:type="dxa"/>
            <w:tcBorders>
              <w:left w:val="single" w:sz="4" w:space="0" w:color="000000"/>
            </w:tcBorders>
            <w:shd w:val="clear" w:color="auto" w:fill="auto"/>
          </w:tcPr>
          <w:p w:rsidR="00AD0496" w:rsidRPr="00A2181C" w:rsidRDefault="00AD0496" w:rsidP="00A2181C">
            <w:pPr>
              <w:ind w:left="170" w:right="170"/>
              <w:rPr>
                <w:b/>
                <w:color w:val="000000"/>
                <w:szCs w:val="21"/>
                <w:lang w:eastAsia="en-AU"/>
              </w:rPr>
            </w:pPr>
            <w:r w:rsidRPr="00A2181C">
              <w:rPr>
                <w:color w:val="000000"/>
                <w:szCs w:val="21"/>
                <w:lang w:eastAsia="en-AU"/>
              </w:rPr>
              <w:t xml:space="preserve">Median </w:t>
            </w:r>
          </w:p>
        </w:tc>
        <w:tc>
          <w:tcPr>
            <w:tcW w:w="1893" w:type="dxa"/>
            <w:tcBorders>
              <w:right w:val="single" w:sz="4" w:space="0" w:color="000000"/>
            </w:tcBorders>
            <w:shd w:val="clear" w:color="auto" w:fill="auto"/>
          </w:tcPr>
          <w:p w:rsidR="00AD0496" w:rsidRPr="00A2181C" w:rsidRDefault="00AD0496" w:rsidP="00A2181C">
            <w:pPr>
              <w:ind w:left="170" w:right="170"/>
              <w:rPr>
                <w:b/>
                <w:color w:val="000000"/>
                <w:szCs w:val="21"/>
                <w:lang w:eastAsia="en-AU"/>
              </w:rPr>
            </w:pPr>
            <w:r w:rsidRPr="00A2181C">
              <w:rPr>
                <w:color w:val="000000"/>
                <w:szCs w:val="21"/>
                <w:lang w:eastAsia="en-AU"/>
              </w:rPr>
              <w:t>min, max</w:t>
            </w:r>
          </w:p>
        </w:tc>
        <w:tc>
          <w:tcPr>
            <w:tcW w:w="1395" w:type="dxa"/>
            <w:tcBorders>
              <w:left w:val="single" w:sz="4" w:space="0" w:color="000000"/>
              <w:right w:val="single" w:sz="4" w:space="0" w:color="000000"/>
            </w:tcBorders>
            <w:shd w:val="clear" w:color="auto" w:fill="auto"/>
          </w:tcPr>
          <w:p w:rsidR="00AD0496" w:rsidRPr="00A2181C" w:rsidRDefault="00AD0496" w:rsidP="00A2181C">
            <w:pPr>
              <w:ind w:left="170" w:right="170"/>
              <w:rPr>
                <w:b/>
                <w:color w:val="000000"/>
                <w:szCs w:val="21"/>
                <w:lang w:eastAsia="en-AU"/>
              </w:rPr>
            </w:pPr>
            <w:r w:rsidRPr="00A2181C">
              <w:rPr>
                <w:color w:val="000000"/>
                <w:szCs w:val="21"/>
                <w:lang w:eastAsia="en-AU"/>
              </w:rPr>
              <w:t>Median</w:t>
            </w:r>
          </w:p>
        </w:tc>
        <w:tc>
          <w:tcPr>
            <w:tcW w:w="1751" w:type="dxa"/>
            <w:tcBorders>
              <w:left w:val="single" w:sz="4" w:space="0" w:color="000000"/>
            </w:tcBorders>
            <w:shd w:val="clear" w:color="auto" w:fill="auto"/>
          </w:tcPr>
          <w:p w:rsidR="00AD0496" w:rsidRPr="00A2181C" w:rsidRDefault="00AD0496" w:rsidP="00A2181C">
            <w:pPr>
              <w:ind w:left="170" w:right="170"/>
              <w:rPr>
                <w:b/>
                <w:color w:val="000000"/>
                <w:szCs w:val="21"/>
                <w:lang w:eastAsia="en-AU"/>
              </w:rPr>
            </w:pPr>
            <w:r w:rsidRPr="00A2181C">
              <w:rPr>
                <w:color w:val="000000"/>
                <w:szCs w:val="21"/>
                <w:lang w:eastAsia="en-AU"/>
              </w:rPr>
              <w:t>min, max</w:t>
            </w:r>
          </w:p>
        </w:tc>
      </w:tr>
      <w:tr w:rsidR="00DF5D00" w:rsidRPr="008C4CD9" w:rsidTr="00A2181C">
        <w:tc>
          <w:tcPr>
            <w:tcW w:w="2178"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Clearance (CL) (L/h)</w:t>
            </w:r>
          </w:p>
        </w:tc>
        <w:tc>
          <w:tcPr>
            <w:tcW w:w="1503"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0.00912</w:t>
            </w:r>
          </w:p>
        </w:tc>
        <w:tc>
          <w:tcPr>
            <w:tcW w:w="1893"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0.00138, 0.0436</w:t>
            </w:r>
          </w:p>
        </w:tc>
        <w:tc>
          <w:tcPr>
            <w:tcW w:w="1395"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0.0057</w:t>
            </w:r>
          </w:p>
        </w:tc>
        <w:tc>
          <w:tcPr>
            <w:tcW w:w="1751"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0.00292, 0.024</w:t>
            </w:r>
          </w:p>
        </w:tc>
      </w:tr>
      <w:tr w:rsidR="00DF5D00" w:rsidRPr="008C4CD9" w:rsidTr="00A2181C">
        <w:tc>
          <w:tcPr>
            <w:tcW w:w="2178" w:type="dxa"/>
            <w:shd w:val="clear" w:color="auto" w:fill="auto"/>
          </w:tcPr>
          <w:p w:rsidR="008C4CD9" w:rsidRPr="00A2181C" w:rsidRDefault="00E41506" w:rsidP="00A2181C">
            <w:pPr>
              <w:ind w:left="170" w:right="170"/>
              <w:rPr>
                <w:color w:val="000000"/>
                <w:szCs w:val="21"/>
                <w:lang w:eastAsia="en-AU"/>
              </w:rPr>
            </w:pPr>
            <w:r w:rsidRPr="00A2181C">
              <w:rPr>
                <w:color w:val="000000"/>
                <w:szCs w:val="21"/>
                <w:lang w:eastAsia="en-AU"/>
              </w:rPr>
              <w:t xml:space="preserve">Terminal </w:t>
            </w:r>
            <w:proofErr w:type="spellStart"/>
            <w:r w:rsidRPr="00A2181C">
              <w:rPr>
                <w:color w:val="000000"/>
                <w:szCs w:val="21"/>
                <w:lang w:eastAsia="en-AU"/>
              </w:rPr>
              <w:t xml:space="preserve">half </w:t>
            </w:r>
            <w:r w:rsidR="008C4CD9" w:rsidRPr="00A2181C">
              <w:rPr>
                <w:color w:val="000000"/>
                <w:szCs w:val="21"/>
                <w:lang w:eastAsia="en-AU"/>
              </w:rPr>
              <w:t>life</w:t>
            </w:r>
            <w:proofErr w:type="spellEnd"/>
            <w:r w:rsidR="008C4CD9" w:rsidRPr="00A2181C">
              <w:rPr>
                <w:color w:val="000000"/>
                <w:szCs w:val="21"/>
                <w:lang w:eastAsia="en-AU"/>
              </w:rPr>
              <w:t xml:space="preserve"> (days)</w:t>
            </w:r>
          </w:p>
        </w:tc>
        <w:tc>
          <w:tcPr>
            <w:tcW w:w="1503"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26.1</w:t>
            </w:r>
          </w:p>
        </w:tc>
        <w:tc>
          <w:tcPr>
            <w:tcW w:w="1893"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5.78, 554</w:t>
            </w:r>
          </w:p>
        </w:tc>
        <w:tc>
          <w:tcPr>
            <w:tcW w:w="1395"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40.6</w:t>
            </w:r>
          </w:p>
        </w:tc>
        <w:tc>
          <w:tcPr>
            <w:tcW w:w="1751"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11.5, 64.4</w:t>
            </w:r>
          </w:p>
        </w:tc>
      </w:tr>
      <w:tr w:rsidR="00DF5D00" w:rsidRPr="008C4CD9" w:rsidTr="00A2181C">
        <w:tc>
          <w:tcPr>
            <w:tcW w:w="2178" w:type="dxa"/>
            <w:shd w:val="clear" w:color="auto" w:fill="auto"/>
          </w:tcPr>
          <w:p w:rsidR="008C4CD9" w:rsidRPr="00A2181C" w:rsidRDefault="008C4CD9" w:rsidP="00A2181C">
            <w:pPr>
              <w:ind w:left="170" w:right="170"/>
              <w:rPr>
                <w:color w:val="000000"/>
                <w:szCs w:val="21"/>
                <w:lang w:eastAsia="en-AU"/>
              </w:rPr>
            </w:pPr>
            <w:proofErr w:type="spellStart"/>
            <w:r w:rsidRPr="00A2181C">
              <w:rPr>
                <w:color w:val="000000"/>
                <w:szCs w:val="21"/>
                <w:lang w:eastAsia="en-AU"/>
              </w:rPr>
              <w:t>C</w:t>
            </w:r>
            <w:r w:rsidRPr="00A2181C">
              <w:rPr>
                <w:color w:val="000000"/>
                <w:szCs w:val="21"/>
                <w:vertAlign w:val="subscript"/>
                <w:lang w:eastAsia="en-AU"/>
              </w:rPr>
              <w:t>avg,ss</w:t>
            </w:r>
            <w:proofErr w:type="spellEnd"/>
          </w:p>
        </w:tc>
        <w:tc>
          <w:tcPr>
            <w:tcW w:w="1503"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77.7</w:t>
            </w:r>
          </w:p>
        </w:tc>
        <w:tc>
          <w:tcPr>
            <w:tcW w:w="1893"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18.9, 394</w:t>
            </w:r>
          </w:p>
        </w:tc>
        <w:tc>
          <w:tcPr>
            <w:tcW w:w="1395"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116</w:t>
            </w:r>
          </w:p>
        </w:tc>
        <w:tc>
          <w:tcPr>
            <w:tcW w:w="1751" w:type="dxa"/>
            <w:shd w:val="clear" w:color="auto" w:fill="auto"/>
          </w:tcPr>
          <w:p w:rsidR="008C4CD9" w:rsidRPr="00A2181C" w:rsidRDefault="008C4CD9" w:rsidP="00A2181C">
            <w:pPr>
              <w:ind w:left="170" w:right="170"/>
              <w:rPr>
                <w:color w:val="000000"/>
                <w:szCs w:val="21"/>
                <w:lang w:eastAsia="en-AU"/>
              </w:rPr>
            </w:pPr>
            <w:r w:rsidRPr="00A2181C">
              <w:rPr>
                <w:color w:val="000000"/>
                <w:szCs w:val="21"/>
                <w:lang w:eastAsia="en-AU"/>
              </w:rPr>
              <w:t>29.6, 206</w:t>
            </w:r>
          </w:p>
        </w:tc>
      </w:tr>
    </w:tbl>
    <w:p w:rsidR="008C4CD9" w:rsidRPr="008C4CD9" w:rsidRDefault="008C4CD9" w:rsidP="008C4CD9">
      <w:r w:rsidRPr="008C4CD9">
        <w:t xml:space="preserve">The by-subject listings of </w:t>
      </w:r>
      <w:proofErr w:type="spellStart"/>
      <w:r w:rsidRPr="008C4CD9">
        <w:t>nivolumab</w:t>
      </w:r>
      <w:proofErr w:type="spellEnd"/>
      <w:r w:rsidRPr="008C4CD9">
        <w:t xml:space="preserve"> concentrations provided for the two studies in patients with </w:t>
      </w:r>
      <w:proofErr w:type="spellStart"/>
      <w:r w:rsidRPr="008C4CD9">
        <w:t>cHL</w:t>
      </w:r>
      <w:proofErr w:type="spellEnd"/>
      <w:r w:rsidRPr="008C4CD9">
        <w:t xml:space="preserve"> show both considerable inter-patient variability and progressive drug accumulation over time, with no apparent steady state reached. This should be interpreted with caution due to the number of missing scheduled samples and the small number of patients.</w:t>
      </w:r>
    </w:p>
    <w:p w:rsidR="008C4CD9" w:rsidRPr="008C4CD9" w:rsidRDefault="008C4CD9" w:rsidP="00AB7ADA">
      <w:r w:rsidRPr="008C4CD9">
        <w:lastRenderedPageBreak/>
        <w:t xml:space="preserve">The different handling of </w:t>
      </w:r>
      <w:proofErr w:type="spellStart"/>
      <w:r w:rsidRPr="008C4CD9">
        <w:t>nivolumab</w:t>
      </w:r>
      <w:proofErr w:type="spellEnd"/>
      <w:r w:rsidRPr="008C4CD9">
        <w:t xml:space="preserve"> by this population and the implications of this on dose and/or dose interval have not been explored by the sponsor. The comment is made that ‘</w:t>
      </w:r>
      <w:r w:rsidRPr="008C4CD9">
        <w:rPr>
          <w:i/>
        </w:rPr>
        <w:t>a difference in the CL of monoclonal antibodies across different disease states has been reported previously</w:t>
      </w:r>
      <w:r w:rsidRPr="008C4CD9">
        <w:t>’. The cited refe</w:t>
      </w:r>
      <w:r w:rsidR="00FB7D83">
        <w:t>rence to this comment</w:t>
      </w:r>
      <w:r w:rsidRPr="008C4CD9">
        <w:t xml:space="preserve"> describes higher clearance of rituximab in patients with </w:t>
      </w:r>
      <w:r w:rsidR="00FB7D83">
        <w:t>non-Hodgkin lymphoma (</w:t>
      </w:r>
      <w:r w:rsidRPr="008C4CD9">
        <w:t>NHL</w:t>
      </w:r>
      <w:r w:rsidR="00FB7D83">
        <w:t>)</w:t>
      </w:r>
      <w:r w:rsidRPr="008C4CD9">
        <w:t xml:space="preserve"> compared to patients with CLL and suggests that a higher dose of rituximab may be required in patients with </w:t>
      </w:r>
      <w:r w:rsidR="0066567F">
        <w:t>chronic lymphocytic leukaemia (</w:t>
      </w:r>
      <w:r w:rsidRPr="008C4CD9">
        <w:t>CLL</w:t>
      </w:r>
      <w:r w:rsidR="0066567F">
        <w:t>)</w:t>
      </w:r>
      <w:r w:rsidRPr="008C4CD9">
        <w:t>.</w:t>
      </w:r>
      <w:r w:rsidR="00FB7D83">
        <w:rPr>
          <w:rStyle w:val="FootnoteReference"/>
        </w:rPr>
        <w:footnoteReference w:id="14"/>
      </w:r>
      <w:r w:rsidRPr="008C4CD9">
        <w:t xml:space="preserve"> The increase in </w:t>
      </w:r>
      <w:proofErr w:type="spellStart"/>
      <w:r w:rsidRPr="008C4CD9">
        <w:t>nivolumab</w:t>
      </w:r>
      <w:proofErr w:type="spellEnd"/>
      <w:r w:rsidRPr="008C4CD9">
        <w:t xml:space="preserve"> exposure in patients with </w:t>
      </w:r>
      <w:proofErr w:type="spellStart"/>
      <w:r w:rsidRPr="008C4CD9">
        <w:t>cHL</w:t>
      </w:r>
      <w:proofErr w:type="spellEnd"/>
      <w:r w:rsidRPr="008C4CD9">
        <w:t xml:space="preserve"> was assessed by the sponsor as not being clinically meaningful, ‘</w:t>
      </w:r>
      <w:r w:rsidR="00F150FE">
        <w:rPr>
          <w:i/>
        </w:rPr>
        <w:t>as the exposure-response</w:t>
      </w:r>
      <w:r w:rsidRPr="008C4CD9">
        <w:rPr>
          <w:i/>
        </w:rPr>
        <w:t xml:space="preserve"> safety analysis demonstrated that exposure was not a predictor of the risk of G</w:t>
      </w:r>
      <w:r w:rsidR="00F150FE">
        <w:rPr>
          <w:i/>
        </w:rPr>
        <w:t>rade 3+ DR</w:t>
      </w:r>
      <w:r w:rsidRPr="008C4CD9">
        <w:rPr>
          <w:i/>
        </w:rPr>
        <w:t xml:space="preserve">AEs, and the safety profile following administration of </w:t>
      </w:r>
      <w:proofErr w:type="spellStart"/>
      <w:r w:rsidRPr="008C4CD9">
        <w:rPr>
          <w:i/>
        </w:rPr>
        <w:t>nivolumab</w:t>
      </w:r>
      <w:proofErr w:type="spellEnd"/>
      <w:r w:rsidRPr="008C4CD9">
        <w:rPr>
          <w:i/>
        </w:rPr>
        <w:t xml:space="preserve"> to subjects with </w:t>
      </w:r>
      <w:proofErr w:type="spellStart"/>
      <w:r w:rsidRPr="008C4CD9">
        <w:rPr>
          <w:i/>
        </w:rPr>
        <w:t>cHL</w:t>
      </w:r>
      <w:proofErr w:type="spellEnd"/>
      <w:r w:rsidRPr="008C4CD9">
        <w:rPr>
          <w:i/>
        </w:rPr>
        <w:t xml:space="preserve"> was similar to that observed in other </w:t>
      </w:r>
      <w:proofErr w:type="spellStart"/>
      <w:r w:rsidRPr="008C4CD9">
        <w:rPr>
          <w:i/>
        </w:rPr>
        <w:t>tumor</w:t>
      </w:r>
      <w:proofErr w:type="spellEnd"/>
      <w:r w:rsidRPr="008C4CD9">
        <w:rPr>
          <w:i/>
        </w:rPr>
        <w:t xml:space="preserve"> types and no new safety findings were found in </w:t>
      </w:r>
      <w:proofErr w:type="spellStart"/>
      <w:r w:rsidRPr="008C4CD9">
        <w:rPr>
          <w:i/>
        </w:rPr>
        <w:t>cHL</w:t>
      </w:r>
      <w:proofErr w:type="spellEnd"/>
      <w:r w:rsidRPr="008C4CD9">
        <w:rPr>
          <w:i/>
        </w:rPr>
        <w:t xml:space="preserve"> population</w:t>
      </w:r>
      <w:r w:rsidR="00D9427A">
        <w:rPr>
          <w:i/>
        </w:rPr>
        <w:t>’</w:t>
      </w:r>
      <w:r w:rsidRPr="008C4CD9">
        <w:rPr>
          <w:i/>
        </w:rPr>
        <w:t>.</w:t>
      </w:r>
      <w:r w:rsidRPr="008C4CD9">
        <w:t xml:space="preserve"> The </w:t>
      </w:r>
      <w:r w:rsidR="00AD0496">
        <w:t xml:space="preserve">clinical </w:t>
      </w:r>
      <w:r w:rsidRPr="008C4CD9">
        <w:t xml:space="preserve">evaluator does not find this argument convincing, given the relatively small number of subjects included in the two studies and their relatively brief periods of treatment and follow-up. The evaluator is also unsure as to whether there is a true difference in the handling of </w:t>
      </w:r>
      <w:proofErr w:type="spellStart"/>
      <w:r w:rsidRPr="008C4CD9">
        <w:t>nivolumab</w:t>
      </w:r>
      <w:proofErr w:type="spellEnd"/>
      <w:r w:rsidRPr="008C4CD9">
        <w:t xml:space="preserve"> by patients with </w:t>
      </w:r>
      <w:proofErr w:type="spellStart"/>
      <w:r w:rsidRPr="008C4CD9">
        <w:t>cHL</w:t>
      </w:r>
      <w:proofErr w:type="spellEnd"/>
      <w:r w:rsidRPr="008C4CD9">
        <w:t>, again given the small numbers of patients and the limited sampling performed.</w:t>
      </w:r>
    </w:p>
    <w:p w:rsidR="008C4CD9" w:rsidRPr="008C4CD9" w:rsidRDefault="008C4CD9" w:rsidP="008C4CD9">
      <w:r w:rsidRPr="008C4CD9">
        <w:t xml:space="preserve">The results of the PPK analysis for patients with </w:t>
      </w:r>
      <w:proofErr w:type="spellStart"/>
      <w:r w:rsidRPr="008C4CD9">
        <w:t>cHL</w:t>
      </w:r>
      <w:proofErr w:type="spellEnd"/>
      <w:r w:rsidRPr="008C4CD9">
        <w:t xml:space="preserve"> has raised some larger questions: whether the pharmacokinetics of </w:t>
      </w:r>
      <w:proofErr w:type="spellStart"/>
      <w:r w:rsidRPr="008C4CD9">
        <w:t>nivolumab</w:t>
      </w:r>
      <w:proofErr w:type="spellEnd"/>
      <w:r w:rsidRPr="008C4CD9">
        <w:t xml:space="preserve"> have been adequately described by the PPK model; whether dependence on a sparse sampling process and PPK analysis is appropriate in early studies involving small numbers of patients; whether exposure related toxicities can be adequately assessed in small numbers of patients with limited follow-up.</w:t>
      </w:r>
    </w:p>
    <w:p w:rsidR="008C4CD9" w:rsidRPr="008C4CD9" w:rsidRDefault="008C4CD9" w:rsidP="008C4CD9">
      <w:r w:rsidRPr="008C4CD9">
        <w:t xml:space="preserve">The sponsor has proposed one change to the ‘Pharmacokinetics’ section of the </w:t>
      </w:r>
      <w:r w:rsidR="00D9427A">
        <w:t>Product Information (</w:t>
      </w:r>
      <w:r w:rsidRPr="008C4CD9">
        <w:t>PI</w:t>
      </w:r>
      <w:r w:rsidR="00D9427A">
        <w:t>)</w:t>
      </w:r>
      <w:r w:rsidRPr="008C4CD9">
        <w:t>. This change is to include the sentence ‘</w:t>
      </w:r>
      <w:proofErr w:type="spellStart"/>
      <w:r w:rsidRPr="008C4CD9">
        <w:rPr>
          <w:i/>
        </w:rPr>
        <w:t>Nivolumab</w:t>
      </w:r>
      <w:proofErr w:type="spellEnd"/>
      <w:r w:rsidRPr="008C4CD9">
        <w:rPr>
          <w:i/>
        </w:rPr>
        <w:t xml:space="preserve"> CL in </w:t>
      </w:r>
      <w:proofErr w:type="spellStart"/>
      <w:r w:rsidRPr="008C4CD9">
        <w:rPr>
          <w:i/>
        </w:rPr>
        <w:t>cHL</w:t>
      </w:r>
      <w:proofErr w:type="spellEnd"/>
      <w:r w:rsidRPr="008C4CD9">
        <w:rPr>
          <w:i/>
        </w:rPr>
        <w:t xml:space="preserve"> patients was approximately 32% lower relative to NSCLC. This decrease in CL was not clinically meaningful’ </w:t>
      </w:r>
      <w:r w:rsidRPr="008C4CD9">
        <w:t>in</w:t>
      </w:r>
      <w:r w:rsidRPr="008C4CD9">
        <w:rPr>
          <w:i/>
        </w:rPr>
        <w:t xml:space="preserve"> </w:t>
      </w:r>
      <w:r w:rsidRPr="008C4CD9">
        <w:t xml:space="preserve">the ‘Special Populations’ section (draft PI version 2.2). This suggests a greater degree of certainty than is consistent with the information presented by the sponsor and does not explicitly state that this decrease in clearance was associated with an increase in exposure. It is also concerning to the evaluator that this information regarding a target population is placed in ‘Special Populations’. The evaluator is of the opinion that more extensive changes to the ‘Pharmacokinetics’ section of the PI may be required. These would include an explicit statement that the pharmacokinetic measures quoted in the first paragraph refer to patients with solid tumours and a second statement regarding patients with </w:t>
      </w:r>
      <w:proofErr w:type="spellStart"/>
      <w:r w:rsidRPr="008C4CD9">
        <w:t>cHL.</w:t>
      </w:r>
      <w:proofErr w:type="spellEnd"/>
      <w:r w:rsidRPr="008C4CD9">
        <w:t xml:space="preserve"> Further revision may be required following evaluation of the sponsor’s responses to clinical questions related to PK in patients with </w:t>
      </w:r>
      <w:proofErr w:type="spellStart"/>
      <w:r w:rsidRPr="008C4CD9">
        <w:t>cHL</w:t>
      </w:r>
      <w:proofErr w:type="spellEnd"/>
      <w:r w:rsidR="00F549D1">
        <w:t xml:space="preserve"> (see Clinical Questions in Attachment 2 for further details)</w:t>
      </w:r>
      <w:r w:rsidRPr="008C4CD9">
        <w:t>.</w:t>
      </w:r>
    </w:p>
    <w:p w:rsidR="008E7846" w:rsidRDefault="008E7846" w:rsidP="008E7846">
      <w:pPr>
        <w:pStyle w:val="Heading3"/>
      </w:pPr>
      <w:bookmarkStart w:id="50" w:name="_Toc196046481"/>
      <w:bookmarkStart w:id="51" w:name="_Toc247691520"/>
      <w:bookmarkStart w:id="52" w:name="_Toc314842503"/>
      <w:bookmarkStart w:id="53" w:name="_Toc497992240"/>
      <w:r w:rsidRPr="00254787">
        <w:t>Pharmacodynamics</w:t>
      </w:r>
      <w:bookmarkEnd w:id="38"/>
      <w:bookmarkEnd w:id="50"/>
      <w:bookmarkEnd w:id="51"/>
      <w:bookmarkEnd w:id="52"/>
      <w:bookmarkEnd w:id="53"/>
    </w:p>
    <w:p w:rsidR="00605AD4" w:rsidRDefault="00605AD4" w:rsidP="00605AD4">
      <w:pPr>
        <w:pStyle w:val="Heading4"/>
      </w:pPr>
      <w:r>
        <w:t xml:space="preserve">Studies providing </w:t>
      </w:r>
      <w:proofErr w:type="spellStart"/>
      <w:r>
        <w:t>pharmacodynamic</w:t>
      </w:r>
      <w:proofErr w:type="spellEnd"/>
      <w:r>
        <w:t xml:space="preserve"> data</w:t>
      </w:r>
    </w:p>
    <w:p w:rsidR="00D9427A" w:rsidRPr="00DE197E" w:rsidRDefault="00D9427A" w:rsidP="00D9427A">
      <w:pPr>
        <w:rPr>
          <w:lang w:eastAsia="ja-JP"/>
        </w:rPr>
      </w:pPr>
      <w:r w:rsidRPr="00DE197E">
        <w:rPr>
          <w:lang w:eastAsia="ja-JP"/>
        </w:rPr>
        <w:t xml:space="preserve">Both Study CA209039 and </w:t>
      </w:r>
      <w:r>
        <w:rPr>
          <w:lang w:eastAsia="ja-JP"/>
        </w:rPr>
        <w:t xml:space="preserve">Study </w:t>
      </w:r>
      <w:r w:rsidRPr="00DE197E">
        <w:rPr>
          <w:lang w:eastAsia="ja-JP"/>
        </w:rPr>
        <w:t xml:space="preserve">CA209205 provided limited new </w:t>
      </w:r>
      <w:proofErr w:type="spellStart"/>
      <w:r w:rsidRPr="00DE197E">
        <w:rPr>
          <w:lang w:eastAsia="ja-JP"/>
        </w:rPr>
        <w:t>pharmacodynamic</w:t>
      </w:r>
      <w:proofErr w:type="spellEnd"/>
      <w:r w:rsidRPr="00DE197E">
        <w:rPr>
          <w:lang w:eastAsia="ja-JP"/>
        </w:rPr>
        <w:t xml:space="preserve"> data.</w:t>
      </w:r>
      <w:r>
        <w:rPr>
          <w:lang w:eastAsia="ja-JP"/>
        </w:rPr>
        <w:t xml:space="preserve"> These studies are described under ‘Clinical efficacy’ of Attachment 2.</w:t>
      </w:r>
    </w:p>
    <w:p w:rsidR="00D9427A" w:rsidRPr="00D9427A" w:rsidRDefault="00D9427A" w:rsidP="00D9427A">
      <w:pPr>
        <w:rPr>
          <w:lang w:eastAsia="ja-JP"/>
        </w:rPr>
      </w:pPr>
      <w:r w:rsidRPr="00DE197E">
        <w:rPr>
          <w:lang w:eastAsia="ja-JP"/>
        </w:rPr>
        <w:t xml:space="preserve">An </w:t>
      </w:r>
      <w:r w:rsidR="00F150FE">
        <w:rPr>
          <w:lang w:eastAsia="ja-JP"/>
        </w:rPr>
        <w:t>exposure-response</w:t>
      </w:r>
      <w:r w:rsidRPr="00DE197E">
        <w:rPr>
          <w:lang w:eastAsia="ja-JP"/>
        </w:rPr>
        <w:t xml:space="preserve"> efficacy analysis and </w:t>
      </w:r>
      <w:r w:rsidR="00F150FE">
        <w:rPr>
          <w:lang w:eastAsia="ja-JP"/>
        </w:rPr>
        <w:t>exposure-response</w:t>
      </w:r>
      <w:r w:rsidRPr="00DE197E">
        <w:rPr>
          <w:lang w:eastAsia="ja-JP"/>
        </w:rPr>
        <w:t xml:space="preserve"> safety analysis in patients with </w:t>
      </w:r>
      <w:proofErr w:type="spellStart"/>
      <w:r w:rsidRPr="00DE197E">
        <w:rPr>
          <w:lang w:eastAsia="ja-JP"/>
        </w:rPr>
        <w:t>cHL</w:t>
      </w:r>
      <w:proofErr w:type="spellEnd"/>
      <w:r w:rsidRPr="00DE197E">
        <w:rPr>
          <w:lang w:eastAsia="ja-JP"/>
        </w:rPr>
        <w:t xml:space="preserve"> were included in the </w:t>
      </w:r>
      <w:proofErr w:type="spellStart"/>
      <w:r w:rsidRPr="00DE197E">
        <w:rPr>
          <w:lang w:eastAsia="ja-JP"/>
        </w:rPr>
        <w:t>pharmacometric</w:t>
      </w:r>
      <w:proofErr w:type="spellEnd"/>
      <w:r w:rsidRPr="00DE197E">
        <w:rPr>
          <w:lang w:eastAsia="ja-JP"/>
        </w:rPr>
        <w:t xml:space="preserve"> rep</w:t>
      </w:r>
      <w:r>
        <w:rPr>
          <w:lang w:eastAsia="ja-JP"/>
        </w:rPr>
        <w:t>ort provided in the submission.</w:t>
      </w:r>
    </w:p>
    <w:p w:rsidR="00605AD4" w:rsidRDefault="00605AD4" w:rsidP="00605AD4">
      <w:pPr>
        <w:pStyle w:val="Heading4"/>
      </w:pPr>
      <w:r>
        <w:t>Evaluator’s conclusions on pharmacodynamics</w:t>
      </w:r>
    </w:p>
    <w:p w:rsidR="00D9427A" w:rsidRPr="00D9427A" w:rsidRDefault="00D9427A" w:rsidP="00D9427A">
      <w:r w:rsidRPr="00D9427A">
        <w:t>The sponsor has provided limited new pharmacodynamics information in this submission, with this including:</w:t>
      </w:r>
    </w:p>
    <w:p w:rsidR="00D9427A" w:rsidRPr="00D9427A" w:rsidRDefault="00D9427A" w:rsidP="00D9427A">
      <w:pPr>
        <w:pStyle w:val="ListBullet"/>
      </w:pPr>
      <w:r w:rsidRPr="00D9427A">
        <w:lastRenderedPageBreak/>
        <w:t xml:space="preserve">efficacy analyses of variables related to baseline biomarker status (PD-L1 expression on R-S cells, 9p24.1 status) in patients with </w:t>
      </w:r>
      <w:proofErr w:type="spellStart"/>
      <w:r w:rsidRPr="00D9427A">
        <w:t>cHL</w:t>
      </w:r>
      <w:proofErr w:type="spellEnd"/>
    </w:p>
    <w:p w:rsidR="00D9427A" w:rsidRPr="00D9427A" w:rsidRDefault="00D9427A" w:rsidP="00D9427A">
      <w:pPr>
        <w:pStyle w:val="ListBullet"/>
      </w:pPr>
      <w:r w:rsidRPr="00D9427A">
        <w:t>some information regarding the time course of tumour response</w:t>
      </w:r>
    </w:p>
    <w:p w:rsidR="00D9427A" w:rsidRPr="00D9427A" w:rsidRDefault="00D9427A" w:rsidP="00D9427A">
      <w:pPr>
        <w:pStyle w:val="ListBullet"/>
      </w:pPr>
      <w:r w:rsidRPr="00D9427A">
        <w:t xml:space="preserve">some information regarding the relationship between drug exposure and effect, with this based on two </w:t>
      </w:r>
      <w:proofErr w:type="spellStart"/>
      <w:r w:rsidRPr="00D9427A">
        <w:t>pharmacometric</w:t>
      </w:r>
      <w:proofErr w:type="spellEnd"/>
      <w:r w:rsidRPr="00D9427A">
        <w:t xml:space="preserve"> analyses</w:t>
      </w:r>
    </w:p>
    <w:p w:rsidR="00D9427A" w:rsidRPr="00D9427A" w:rsidRDefault="00D9427A" w:rsidP="00D9427A">
      <w:pPr>
        <w:pStyle w:val="ListBullet"/>
      </w:pPr>
      <w:proofErr w:type="gramStart"/>
      <w:r w:rsidRPr="00D9427A">
        <w:t>an</w:t>
      </w:r>
      <w:proofErr w:type="gramEnd"/>
      <w:r w:rsidRPr="00D9427A">
        <w:t xml:space="preserve"> analysis of immunogenicity in patients with </w:t>
      </w:r>
      <w:proofErr w:type="spellStart"/>
      <w:r w:rsidRPr="00D9427A">
        <w:t>cHL.</w:t>
      </w:r>
      <w:proofErr w:type="spellEnd"/>
    </w:p>
    <w:p w:rsidR="00D9427A" w:rsidRPr="00D9427A" w:rsidRDefault="00D9427A" w:rsidP="006C4F03">
      <w:pPr>
        <w:pStyle w:val="Heading5"/>
      </w:pPr>
      <w:r w:rsidRPr="00D9427A">
        <w:t>Efficacy according to PD-L1 status and the presence of 9p24.1 chromosomal abnormalities</w:t>
      </w:r>
    </w:p>
    <w:p w:rsidR="00D9427A" w:rsidRPr="00E43434" w:rsidRDefault="00D9427A" w:rsidP="00D9427A">
      <w:pPr>
        <w:rPr>
          <w:lang w:val="en-GB"/>
        </w:rPr>
      </w:pPr>
      <w:r w:rsidRPr="00D9427A">
        <w:t>Study CA209205 reported the results of efficacy analyses according PD-L1 expression on R-S cells and 9p24.1 chromosomal abnormalities. Study CA209039 reported the results of efficacy analyses according PD-L1 expression on R-S cells and 9p24.1 chromosomal abnormalities (</w:t>
      </w:r>
      <w:proofErr w:type="spellStart"/>
      <w:r w:rsidRPr="00D9427A">
        <w:t>polysomy</w:t>
      </w:r>
      <w:proofErr w:type="spellEnd"/>
      <w:r w:rsidRPr="00D9427A">
        <w:t>, gain, or amplification); PD-L1 and PD-L2 status by ‘</w:t>
      </w:r>
      <w:r w:rsidR="008A0AA5">
        <w:t>Dana Faber Cancer Institute (</w:t>
      </w:r>
      <w:r w:rsidRPr="00D9427A">
        <w:t>DFCI</w:t>
      </w:r>
      <w:r w:rsidR="008A0AA5">
        <w:t>)</w:t>
      </w:r>
      <w:r w:rsidRPr="00D9427A">
        <w:t xml:space="preserve"> assay’, </w:t>
      </w:r>
      <w:r w:rsidR="00E43434">
        <w:t xml:space="preserve">phosphorylated </w:t>
      </w:r>
      <w:r w:rsidR="00E43434">
        <w:rPr>
          <w:bCs/>
          <w:lang w:val="en-GB"/>
        </w:rPr>
        <w:t>s</w:t>
      </w:r>
      <w:r w:rsidR="00E43434" w:rsidRPr="00E43434">
        <w:rPr>
          <w:bCs/>
          <w:lang w:val="en-GB"/>
        </w:rPr>
        <w:t>ignal transducer and activator of transcription 3</w:t>
      </w:r>
      <w:r w:rsidR="00E43434">
        <w:rPr>
          <w:bCs/>
          <w:lang w:val="en-GB"/>
        </w:rPr>
        <w:t xml:space="preserve"> (pSTAT3)</w:t>
      </w:r>
      <w:r w:rsidR="00E43434">
        <w:rPr>
          <w:lang w:val="en-GB"/>
        </w:rPr>
        <w:t xml:space="preserve"> </w:t>
      </w:r>
      <w:proofErr w:type="gramStart"/>
      <w:r w:rsidRPr="00D9427A">
        <w:t>status</w:t>
      </w:r>
      <w:proofErr w:type="gramEnd"/>
      <w:r w:rsidRPr="00D9427A">
        <w:t xml:space="preserve"> by ‘DFCI assay’ and </w:t>
      </w:r>
      <w:r w:rsidR="00E43434">
        <w:t>Epstein-Barr virus (</w:t>
      </w:r>
      <w:r w:rsidRPr="00D9427A">
        <w:t>EBV</w:t>
      </w:r>
      <w:r w:rsidR="00E43434">
        <w:t>)</w:t>
      </w:r>
      <w:r w:rsidRPr="00D9427A">
        <w:t xml:space="preserve"> status.</w:t>
      </w:r>
    </w:p>
    <w:p w:rsidR="00D9427A" w:rsidRPr="00D9427A" w:rsidRDefault="00D9427A" w:rsidP="00D9427A">
      <w:r w:rsidRPr="00D9427A">
        <w:t xml:space="preserve">Both Study CA209039 and Study CA209205 used a different definition of PD-L1 expression compared to that used in solid tumours. In the </w:t>
      </w:r>
      <w:proofErr w:type="spellStart"/>
      <w:r w:rsidRPr="00D9427A">
        <w:t>cHL</w:t>
      </w:r>
      <w:proofErr w:type="spellEnd"/>
      <w:r w:rsidRPr="00D9427A">
        <w:t xml:space="preserve"> studies, PD-L1 expression was estimated according to the expression on R-S cells, but with no lower limit on the number of R-S cells per field. In solid tumours, PD-L1 expression was estimated according to the expression on tumour cells, with a minimum of 100 assessable tumour cells per slide.</w:t>
      </w:r>
    </w:p>
    <w:p w:rsidR="00D9427A" w:rsidRPr="00D9427A" w:rsidRDefault="00D9427A" w:rsidP="00D9427A">
      <w:r w:rsidRPr="00D9427A">
        <w:t>Both studies found high PD-L1 expression in those patients for whom there were PD-L1 quantifiable specimens. Both studies also found that all patients for whom there were 9p24.1 quantifiable specimens, had at least one 9p24.1 chromosomal abnormality (</w:t>
      </w:r>
      <w:proofErr w:type="spellStart"/>
      <w:r w:rsidRPr="00D9427A">
        <w:t>polysomy</w:t>
      </w:r>
      <w:proofErr w:type="spellEnd"/>
      <w:r w:rsidRPr="00D9427A">
        <w:t xml:space="preserve"> and/or copy number gain and/or amplification)</w:t>
      </w:r>
      <w:r w:rsidR="00E031CF">
        <w:t>. These findings suggest that R</w:t>
      </w:r>
      <w:r w:rsidR="00E031CF">
        <w:noBreakHyphen/>
      </w:r>
      <w:r w:rsidRPr="00D9427A">
        <w:t>S cells commonly express P</w:t>
      </w:r>
      <w:r w:rsidR="00E43434">
        <w:t>D</w:t>
      </w:r>
      <w:r w:rsidRPr="00D9427A">
        <w:t xml:space="preserve">-L1 and that 9p24.1 chromosomal abnormalities are common in </w:t>
      </w:r>
      <w:proofErr w:type="spellStart"/>
      <w:r w:rsidRPr="00D9427A">
        <w:t>cHL</w:t>
      </w:r>
      <w:proofErr w:type="spellEnd"/>
      <w:r w:rsidRPr="00D9427A">
        <w:t xml:space="preserve"> but firm conclusions cannot be drawn due to the high</w:t>
      </w:r>
      <w:r w:rsidR="00B03900">
        <w:t xml:space="preserve"> proportion of missing results.</w:t>
      </w:r>
    </w:p>
    <w:p w:rsidR="00D9427A" w:rsidRPr="00D9427A" w:rsidRDefault="00F549D1" w:rsidP="00F549D1">
      <w:pPr>
        <w:pStyle w:val="Tabletitle0"/>
      </w:pPr>
      <w:bookmarkStart w:id="54" w:name="_Toc473012695"/>
      <w:proofErr w:type="gramStart"/>
      <w:r>
        <w:t>Table 3</w:t>
      </w:r>
      <w:r w:rsidR="00D9427A" w:rsidRPr="00D9427A">
        <w:t>.</w:t>
      </w:r>
      <w:proofErr w:type="gramEnd"/>
      <w:r w:rsidR="00D9427A" w:rsidRPr="00D9427A">
        <w:t xml:space="preserve"> Summary of biomarker measurements in Studies CA209205 and CA209039</w:t>
      </w:r>
      <w:bookmarkEnd w:id="54"/>
    </w:p>
    <w:tbl>
      <w:tblPr>
        <w:tblW w:w="77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618"/>
        <w:gridCol w:w="2076"/>
        <w:gridCol w:w="2070"/>
      </w:tblGrid>
      <w:tr w:rsidR="00DF5D00" w:rsidRPr="00D9427A" w:rsidTr="00A2181C">
        <w:trPr>
          <w:trHeight w:val="775"/>
          <w:tblHeader/>
        </w:trPr>
        <w:tc>
          <w:tcPr>
            <w:tcW w:w="3618" w:type="dxa"/>
            <w:tcBorders>
              <w:top w:val="single" w:sz="8" w:space="0" w:color="000000"/>
              <w:left w:val="single" w:sz="8" w:space="0" w:color="000000"/>
              <w:bottom w:val="single" w:sz="8" w:space="0" w:color="000000"/>
              <w:right w:val="nil"/>
              <w:tl2br w:val="nil"/>
              <w:tr2bl w:val="nil"/>
            </w:tcBorders>
            <w:shd w:val="clear" w:color="auto" w:fill="006DA7"/>
          </w:tcPr>
          <w:p w:rsidR="00D9427A" w:rsidRPr="00A2181C" w:rsidRDefault="00D9427A" w:rsidP="00A2181C">
            <w:pPr>
              <w:keepNext/>
              <w:ind w:left="170" w:right="170"/>
              <w:rPr>
                <w:b/>
                <w:color w:val="FFFFFF"/>
                <w:szCs w:val="21"/>
                <w:lang w:eastAsia="en-AU"/>
              </w:rPr>
            </w:pPr>
          </w:p>
        </w:tc>
        <w:tc>
          <w:tcPr>
            <w:tcW w:w="2076" w:type="dxa"/>
            <w:tcBorders>
              <w:top w:val="single" w:sz="8" w:space="0" w:color="000000"/>
              <w:left w:val="nil"/>
              <w:bottom w:val="single" w:sz="8" w:space="0" w:color="000000"/>
              <w:right w:val="nil"/>
              <w:tl2br w:val="nil"/>
              <w:tr2bl w:val="nil"/>
            </w:tcBorders>
            <w:shd w:val="clear" w:color="auto" w:fill="006DA7"/>
          </w:tcPr>
          <w:p w:rsidR="00D9427A" w:rsidRPr="00A2181C" w:rsidRDefault="00D9427A" w:rsidP="00A2181C">
            <w:pPr>
              <w:keepNext/>
              <w:ind w:right="170"/>
              <w:rPr>
                <w:b/>
                <w:color w:val="FFFFFF"/>
                <w:szCs w:val="21"/>
                <w:lang w:eastAsia="en-AU"/>
              </w:rPr>
            </w:pPr>
            <w:r w:rsidRPr="00A2181C">
              <w:rPr>
                <w:b/>
                <w:color w:val="FFFFFF"/>
                <w:szCs w:val="21"/>
                <w:lang w:eastAsia="en-AU"/>
              </w:rPr>
              <w:t xml:space="preserve">Study CA209205 </w:t>
            </w:r>
            <w:r w:rsidR="005076B8" w:rsidRPr="00A2181C">
              <w:rPr>
                <w:b/>
                <w:color w:val="FFFFFF"/>
                <w:szCs w:val="21"/>
                <w:lang w:eastAsia="en-AU"/>
              </w:rPr>
              <w:t>(</w:t>
            </w:r>
            <w:r w:rsidRPr="00A2181C">
              <w:rPr>
                <w:b/>
                <w:color w:val="FFFFFF"/>
                <w:szCs w:val="21"/>
                <w:lang w:eastAsia="en-AU"/>
              </w:rPr>
              <w:t>n = 80</w:t>
            </w:r>
            <w:r w:rsidR="005076B8" w:rsidRPr="00A2181C">
              <w:rPr>
                <w:b/>
                <w:color w:val="FFFFFF"/>
                <w:szCs w:val="21"/>
                <w:lang w:eastAsia="en-AU"/>
              </w:rPr>
              <w:t>)</w:t>
            </w:r>
          </w:p>
        </w:tc>
        <w:tc>
          <w:tcPr>
            <w:tcW w:w="2070" w:type="dxa"/>
            <w:tcBorders>
              <w:top w:val="single" w:sz="8" w:space="0" w:color="000000"/>
              <w:left w:val="nil"/>
              <w:bottom w:val="single" w:sz="8" w:space="0" w:color="000000"/>
              <w:right w:val="single" w:sz="8" w:space="0" w:color="000000"/>
              <w:tl2br w:val="nil"/>
              <w:tr2bl w:val="nil"/>
            </w:tcBorders>
            <w:shd w:val="clear" w:color="auto" w:fill="006DA7"/>
          </w:tcPr>
          <w:p w:rsidR="00D9427A" w:rsidRPr="00A2181C" w:rsidRDefault="00D9427A" w:rsidP="00A2181C">
            <w:pPr>
              <w:keepNext/>
              <w:ind w:right="170"/>
              <w:rPr>
                <w:b/>
                <w:color w:val="FFFFFF"/>
                <w:szCs w:val="21"/>
                <w:lang w:eastAsia="en-AU"/>
              </w:rPr>
            </w:pPr>
            <w:r w:rsidRPr="00A2181C">
              <w:rPr>
                <w:b/>
                <w:color w:val="FFFFFF"/>
                <w:szCs w:val="21"/>
                <w:lang w:eastAsia="en-AU"/>
              </w:rPr>
              <w:t xml:space="preserve">Study CA209039 </w:t>
            </w:r>
            <w:r w:rsidR="005076B8" w:rsidRPr="00A2181C">
              <w:rPr>
                <w:b/>
                <w:color w:val="FFFFFF"/>
                <w:szCs w:val="21"/>
                <w:lang w:eastAsia="en-AU"/>
              </w:rPr>
              <w:t>(</w:t>
            </w:r>
            <w:r w:rsidRPr="00A2181C">
              <w:rPr>
                <w:b/>
                <w:color w:val="FFFFFF"/>
                <w:szCs w:val="21"/>
                <w:lang w:eastAsia="en-AU"/>
              </w:rPr>
              <w:t>n = 23</w:t>
            </w:r>
            <w:r w:rsidR="005076B8" w:rsidRPr="00A2181C">
              <w:rPr>
                <w:b/>
                <w:color w:val="FFFFFF"/>
                <w:szCs w:val="21"/>
                <w:lang w:eastAsia="en-AU"/>
              </w:rPr>
              <w:t>)</w:t>
            </w:r>
          </w:p>
        </w:tc>
      </w:tr>
      <w:tr w:rsidR="005076B8" w:rsidRPr="00D9427A" w:rsidTr="00A2181C">
        <w:tc>
          <w:tcPr>
            <w:tcW w:w="3618" w:type="dxa"/>
            <w:shd w:val="clear" w:color="auto" w:fill="auto"/>
          </w:tcPr>
          <w:p w:rsidR="00D9427A" w:rsidRPr="00D9427A" w:rsidRDefault="00D9427A" w:rsidP="00D9427A">
            <w:r w:rsidRPr="00D9427A">
              <w:t>Patients with PD-L1 quantifiable specimens, n (% of total patients)</w:t>
            </w:r>
          </w:p>
        </w:tc>
        <w:tc>
          <w:tcPr>
            <w:tcW w:w="2076" w:type="dxa"/>
            <w:shd w:val="clear" w:color="auto" w:fill="auto"/>
          </w:tcPr>
          <w:p w:rsidR="00D9427A" w:rsidRPr="00D9427A" w:rsidRDefault="00D9427A" w:rsidP="00D9427A">
            <w:r w:rsidRPr="00D9427A">
              <w:t>63 (78.8%)</w:t>
            </w:r>
          </w:p>
        </w:tc>
        <w:tc>
          <w:tcPr>
            <w:tcW w:w="2070" w:type="dxa"/>
            <w:shd w:val="clear" w:color="auto" w:fill="auto"/>
          </w:tcPr>
          <w:p w:rsidR="00D9427A" w:rsidRPr="00D9427A" w:rsidRDefault="00D9427A" w:rsidP="00D9427A">
            <w:r w:rsidRPr="00D9427A">
              <w:t>10 (43.5%)</w:t>
            </w:r>
          </w:p>
        </w:tc>
      </w:tr>
      <w:tr w:rsidR="005076B8" w:rsidRPr="00D9427A" w:rsidTr="00A2181C">
        <w:tc>
          <w:tcPr>
            <w:tcW w:w="3618" w:type="dxa"/>
            <w:shd w:val="clear" w:color="auto" w:fill="auto"/>
          </w:tcPr>
          <w:p w:rsidR="00D9427A" w:rsidRPr="00D9427A" w:rsidRDefault="00D9427A" w:rsidP="00D9427A">
            <w:r w:rsidRPr="00D9427A">
              <w:t>Patients with PD-L1 expression ≥ 1%, n (% of quantifiable patients)</w:t>
            </w:r>
          </w:p>
        </w:tc>
        <w:tc>
          <w:tcPr>
            <w:tcW w:w="2076" w:type="dxa"/>
            <w:shd w:val="clear" w:color="auto" w:fill="auto"/>
          </w:tcPr>
          <w:p w:rsidR="00D9427A" w:rsidRPr="00D9427A" w:rsidRDefault="00D9427A" w:rsidP="00D9427A">
            <w:r w:rsidRPr="00D9427A">
              <w:t>57 (90.5%)</w:t>
            </w:r>
          </w:p>
        </w:tc>
        <w:tc>
          <w:tcPr>
            <w:tcW w:w="2070" w:type="dxa"/>
            <w:shd w:val="clear" w:color="auto" w:fill="auto"/>
          </w:tcPr>
          <w:p w:rsidR="00D9427A" w:rsidRPr="00D9427A" w:rsidRDefault="00D9427A" w:rsidP="00D9427A">
            <w:r w:rsidRPr="00D9427A">
              <w:t>9 (90%)</w:t>
            </w:r>
          </w:p>
        </w:tc>
      </w:tr>
      <w:tr w:rsidR="005076B8" w:rsidRPr="00D9427A" w:rsidTr="00A2181C">
        <w:tc>
          <w:tcPr>
            <w:tcW w:w="3618" w:type="dxa"/>
            <w:shd w:val="clear" w:color="auto" w:fill="auto"/>
          </w:tcPr>
          <w:p w:rsidR="00D9427A" w:rsidRPr="00D9427A" w:rsidRDefault="00D9427A" w:rsidP="00D9427A">
            <w:r w:rsidRPr="00D9427A">
              <w:t>Patients with 9p24.1 evaluable specimens, n (% of total patients)</w:t>
            </w:r>
          </w:p>
        </w:tc>
        <w:tc>
          <w:tcPr>
            <w:tcW w:w="2076" w:type="dxa"/>
            <w:shd w:val="clear" w:color="auto" w:fill="auto"/>
          </w:tcPr>
          <w:p w:rsidR="00D9427A" w:rsidRPr="00D9427A" w:rsidRDefault="00D9427A" w:rsidP="00D9427A">
            <w:r w:rsidRPr="00D9427A">
              <w:t>45 (56.3%)</w:t>
            </w:r>
          </w:p>
        </w:tc>
        <w:tc>
          <w:tcPr>
            <w:tcW w:w="2070" w:type="dxa"/>
            <w:shd w:val="clear" w:color="auto" w:fill="auto"/>
          </w:tcPr>
          <w:p w:rsidR="00D9427A" w:rsidRPr="00D9427A" w:rsidRDefault="00D9427A" w:rsidP="00D9427A">
            <w:r w:rsidRPr="00D9427A">
              <w:t>10 (43.5%)</w:t>
            </w:r>
          </w:p>
        </w:tc>
      </w:tr>
      <w:tr w:rsidR="005076B8" w:rsidRPr="00D9427A" w:rsidTr="00A2181C">
        <w:tc>
          <w:tcPr>
            <w:tcW w:w="3618" w:type="dxa"/>
            <w:shd w:val="clear" w:color="auto" w:fill="auto"/>
          </w:tcPr>
          <w:p w:rsidR="00D9427A" w:rsidRPr="00D9427A" w:rsidRDefault="00D9427A" w:rsidP="00D9427A">
            <w:r w:rsidRPr="00D9427A">
              <w:t>Patients with at least one 9p24.1 chromosomal abnormality, n (% of evaluable patients)</w:t>
            </w:r>
          </w:p>
        </w:tc>
        <w:tc>
          <w:tcPr>
            <w:tcW w:w="2076" w:type="dxa"/>
            <w:shd w:val="clear" w:color="auto" w:fill="auto"/>
          </w:tcPr>
          <w:p w:rsidR="00D9427A" w:rsidRPr="00D9427A" w:rsidRDefault="00D9427A" w:rsidP="00D9427A">
            <w:r w:rsidRPr="00D9427A">
              <w:t>45 (100%)</w:t>
            </w:r>
          </w:p>
        </w:tc>
        <w:tc>
          <w:tcPr>
            <w:tcW w:w="2070" w:type="dxa"/>
            <w:shd w:val="clear" w:color="auto" w:fill="auto"/>
          </w:tcPr>
          <w:p w:rsidR="00D9427A" w:rsidRPr="00D9427A" w:rsidRDefault="00D9427A" w:rsidP="00D9427A">
            <w:r w:rsidRPr="00D9427A">
              <w:t>10 (100%)</w:t>
            </w:r>
          </w:p>
        </w:tc>
      </w:tr>
    </w:tbl>
    <w:p w:rsidR="00D9427A" w:rsidRPr="00D9427A" w:rsidRDefault="00D9427A" w:rsidP="00D9427A">
      <w:r w:rsidRPr="00D9427A">
        <w:t>Study CA209205 found no significant difference in outcome (</w:t>
      </w:r>
      <w:r w:rsidR="005076B8">
        <w:t>objective response rate (</w:t>
      </w:r>
      <w:r w:rsidRPr="00D9427A">
        <w:t>ORR</w:t>
      </w:r>
      <w:r w:rsidR="005076B8">
        <w:t>)</w:t>
      </w:r>
      <w:r w:rsidRPr="00D9427A">
        <w:t xml:space="preserve"> by</w:t>
      </w:r>
      <w:r w:rsidR="005076B8">
        <w:t xml:space="preserve"> the i</w:t>
      </w:r>
      <w:r w:rsidR="005076B8" w:rsidRPr="00C45B95">
        <w:t>ndependent radiology review committee</w:t>
      </w:r>
      <w:r w:rsidRPr="00D9427A">
        <w:t xml:space="preserve"> </w:t>
      </w:r>
      <w:r w:rsidR="005076B8">
        <w:t>(</w:t>
      </w:r>
      <w:r w:rsidRPr="00D9427A">
        <w:t>IRRC</w:t>
      </w:r>
      <w:r w:rsidR="005076B8">
        <w:t>)</w:t>
      </w:r>
      <w:r w:rsidRPr="00D9427A">
        <w:t xml:space="preserve">) between PD-L1 positive and PD-L1 negative patients, using the cut-off of 1%: the ORR in PD-L1 positive patients was 66.7% (95% </w:t>
      </w:r>
      <w:r w:rsidR="005076B8">
        <w:t>confidence interval (</w:t>
      </w:r>
      <w:r w:rsidRPr="00D9427A">
        <w:t>CI</w:t>
      </w:r>
      <w:r w:rsidR="005076B8">
        <w:t>)</w:t>
      </w:r>
      <w:r w:rsidRPr="00D9427A">
        <w:t xml:space="preserve">: 52.9, 78.6) compared to 83.3% (95% CI: 32.9, 81.6) in PD-L1 negative patients. However, this result should be interpreted with care due </w:t>
      </w:r>
      <w:r w:rsidRPr="00D9427A">
        <w:lastRenderedPageBreak/>
        <w:t xml:space="preserve">to missing results (PD-L1 quantifiable specimens were not available for 17/80 patients and to the small numbers of PD-L1 negative patients (6/63) to act as comparators. The analysis of efficacy according to 9p24.1 chromosomal abnormalities found that 45 patients had quantifiable specimens </w:t>
      </w:r>
      <w:proofErr w:type="gramStart"/>
      <w:r w:rsidRPr="00D9427A">
        <w:t>available,</w:t>
      </w:r>
      <w:proofErr w:type="gramEnd"/>
      <w:r w:rsidRPr="00D9427A">
        <w:t xml:space="preserve"> all 45 had at least one abnormality of 9p24.1. Analysis of efficacy according to this chromosomal abnormality was, therefore, not possible.</w:t>
      </w:r>
    </w:p>
    <w:p w:rsidR="00D9427A" w:rsidRPr="00D9427A" w:rsidRDefault="00D9427A" w:rsidP="00D9427A">
      <w:r w:rsidRPr="00D9427A">
        <w:t>For Study CA209039, no conclusions can be drawn from the reported results due to the high proportion of missing results: only 10/23 patients had evaluable or quantifiable specimens for PD-L1 expression and 9p24.1 chromosomal abnormalities.</w:t>
      </w:r>
    </w:p>
    <w:p w:rsidR="00D9427A" w:rsidRPr="00D9427A" w:rsidRDefault="00D9427A" w:rsidP="00F67731">
      <w:pPr>
        <w:pStyle w:val="Heading5"/>
      </w:pPr>
      <w:r w:rsidRPr="00D9427A">
        <w:t>Time course of tumour response</w:t>
      </w:r>
    </w:p>
    <w:p w:rsidR="00D9427A" w:rsidRPr="00D9427A" w:rsidRDefault="00D9427A" w:rsidP="00D9427A">
      <w:r w:rsidRPr="00D9427A">
        <w:t xml:space="preserve">In both studies of patients with </w:t>
      </w:r>
      <w:proofErr w:type="spellStart"/>
      <w:r w:rsidRPr="00D9427A">
        <w:t>cHL</w:t>
      </w:r>
      <w:proofErr w:type="spellEnd"/>
      <w:r w:rsidRPr="00D9427A">
        <w:t xml:space="preserve">, all patients who responded to </w:t>
      </w:r>
      <w:proofErr w:type="spellStart"/>
      <w:r w:rsidRPr="00D9427A">
        <w:t>nivolumab</w:t>
      </w:r>
      <w:proofErr w:type="spellEnd"/>
      <w:r w:rsidRPr="00D9427A">
        <w:t xml:space="preserve"> showed this response (using the </w:t>
      </w:r>
      <w:r w:rsidR="005076B8">
        <w:t>International Working Group (</w:t>
      </w:r>
      <w:r w:rsidRPr="00D9427A">
        <w:t>IWG</w:t>
      </w:r>
      <w:r w:rsidR="005076B8">
        <w:t>) C</w:t>
      </w:r>
      <w:r w:rsidRPr="00D9427A">
        <w:t xml:space="preserve">riteria and IRRC assessment) within 6 months of commencing treatment. Over half of the patients who responded (55%, 58%) showed this response at the first scheduled </w:t>
      </w:r>
      <w:r w:rsidR="00F67731">
        <w:t>tumour response assessment at 9 </w:t>
      </w:r>
      <w:r w:rsidRPr="00D9427A">
        <w:t>weeks. The time to response ranged from 9 weeks to 6 months.</w:t>
      </w:r>
    </w:p>
    <w:p w:rsidR="00D9427A" w:rsidRPr="00D9427A" w:rsidRDefault="00D9427A" w:rsidP="00D9427A">
      <w:r w:rsidRPr="00D9427A">
        <w:t>Both Study CA209205 and Study CA209039 allowed patients with progression according to the IWG criteria to be continued on treatment at the discretion of the investigator, due to concerns regarding ‘</w:t>
      </w:r>
      <w:proofErr w:type="spellStart"/>
      <w:r w:rsidRPr="00D9427A">
        <w:t>pseudoprogression</w:t>
      </w:r>
      <w:proofErr w:type="spellEnd"/>
      <w:r w:rsidRPr="00D9427A">
        <w:t>’. It is thought that an initial increase in tumour size (or failure to decrease in size by the required amount) may occur with immune checkpoint inhibitors due to</w:t>
      </w:r>
      <w:r w:rsidRPr="00D9427A">
        <w:rPr>
          <w:bCs/>
        </w:rPr>
        <w:t xml:space="preserve"> infiltration of the tumour by </w:t>
      </w:r>
      <w:r w:rsidRPr="00D9427A">
        <w:t>immune system cells and the associated inflammatory effect, rather than being due to tumour progression.</w:t>
      </w:r>
    </w:p>
    <w:p w:rsidR="00D9427A" w:rsidRPr="00D9427A" w:rsidRDefault="00D9427A" w:rsidP="00D9427A">
      <w:r w:rsidRPr="00D9427A">
        <w:t xml:space="preserve">During Study CA 290205, there were 23 patients who had progressed, according to the 2007 IWG criteria as assessed by the investigators. Of these patients, 9 patients were continued on </w:t>
      </w:r>
      <w:proofErr w:type="spellStart"/>
      <w:r w:rsidRPr="00D9427A">
        <w:t>nivolumab</w:t>
      </w:r>
      <w:proofErr w:type="spellEnd"/>
      <w:r w:rsidRPr="00D9427A">
        <w:t xml:space="preserve"> treatment with the duration of treatment beyond progression ranging from 0.5 to 6.4+ months. Of these 9 subjects, 6 maintained tumour reduction in the target lesion although all developed new lesions. In Study CA209039, there were 4 patients were treated beyond disease progression. According to the definition of </w:t>
      </w:r>
      <w:r w:rsidR="00F67731">
        <w:t>‘best overall response’ (</w:t>
      </w:r>
      <w:r w:rsidRPr="00D9427A">
        <w:t>BOR</w:t>
      </w:r>
      <w:r w:rsidR="00F67731">
        <w:t>)</w:t>
      </w:r>
      <w:r w:rsidRPr="00D9427A">
        <w:t xml:space="preserve"> per investigator, 3 of these subjects were subsequently classified as responders (</w:t>
      </w:r>
      <w:r w:rsidR="00794457">
        <w:t>partial remission (</w:t>
      </w:r>
      <w:r w:rsidRPr="00D9427A">
        <w:t>PR</w:t>
      </w:r>
      <w:r w:rsidR="00794457">
        <w:t>)</w:t>
      </w:r>
      <w:r w:rsidRPr="00D9427A">
        <w:t xml:space="preserve">). In 2 of the 3 responders, disease progression subsequently occurred and </w:t>
      </w:r>
      <w:proofErr w:type="spellStart"/>
      <w:r w:rsidRPr="00D9427A">
        <w:t>nivolumab</w:t>
      </w:r>
      <w:proofErr w:type="spellEnd"/>
      <w:r w:rsidRPr="00D9427A">
        <w:t xml:space="preserve"> treatment was ceased. In the other patient, treatment was discontinued and an </w:t>
      </w:r>
      <w:r w:rsidR="00794457">
        <w:t>a</w:t>
      </w:r>
      <w:r w:rsidR="00794457" w:rsidRPr="00C45B95">
        <w:t>llogeneic stem cell transplant</w:t>
      </w:r>
      <w:r w:rsidR="00794457" w:rsidRPr="00D9427A">
        <w:t xml:space="preserve"> </w:t>
      </w:r>
      <w:r w:rsidR="00794457">
        <w:t>(</w:t>
      </w:r>
      <w:proofErr w:type="spellStart"/>
      <w:r w:rsidRPr="00D9427A">
        <w:t>allo</w:t>
      </w:r>
      <w:proofErr w:type="spellEnd"/>
      <w:r w:rsidRPr="00D9427A">
        <w:t>-SCT</w:t>
      </w:r>
      <w:r w:rsidR="00794457">
        <w:t>)</w:t>
      </w:r>
      <w:r w:rsidRPr="00D9427A">
        <w:t xml:space="preserve"> performed. It is not clear from these findings that ‘</w:t>
      </w:r>
      <w:proofErr w:type="spellStart"/>
      <w:r w:rsidRPr="00D9427A">
        <w:t>pseudoprogression</w:t>
      </w:r>
      <w:proofErr w:type="spellEnd"/>
      <w:r w:rsidRPr="00D9427A">
        <w:t xml:space="preserve">’ can be said to occur in patients receiving </w:t>
      </w:r>
      <w:proofErr w:type="spellStart"/>
      <w:r w:rsidRPr="00D9427A">
        <w:t>nivolumab</w:t>
      </w:r>
      <w:proofErr w:type="spellEnd"/>
      <w:r w:rsidRPr="00D9427A">
        <w:t xml:space="preserve"> for relapsed/refractory </w:t>
      </w:r>
      <w:proofErr w:type="spellStart"/>
      <w:r w:rsidRPr="00D9427A">
        <w:t>cHL.</w:t>
      </w:r>
      <w:proofErr w:type="spellEnd"/>
    </w:p>
    <w:p w:rsidR="00D9427A" w:rsidRPr="00D9427A" w:rsidRDefault="00D9427A" w:rsidP="00794457">
      <w:pPr>
        <w:pStyle w:val="Heading5"/>
      </w:pPr>
      <w:r w:rsidRPr="00D9427A">
        <w:t>Relationship between drug exposure and effect</w:t>
      </w:r>
    </w:p>
    <w:p w:rsidR="00D9427A" w:rsidRPr="00D9427A" w:rsidRDefault="00D9427A" w:rsidP="00D9427A">
      <w:r w:rsidRPr="00D9427A">
        <w:t xml:space="preserve">The submission included two </w:t>
      </w:r>
      <w:r w:rsidR="00F150FE">
        <w:t>exposure-response</w:t>
      </w:r>
      <w:r w:rsidRPr="00D9427A">
        <w:t xml:space="preserve"> analyses of </w:t>
      </w:r>
      <w:proofErr w:type="spellStart"/>
      <w:r w:rsidRPr="00D9427A">
        <w:t>nivolumab</w:t>
      </w:r>
      <w:proofErr w:type="spellEnd"/>
      <w:r w:rsidRPr="00D9427A">
        <w:t xml:space="preserve">: an </w:t>
      </w:r>
      <w:r w:rsidR="00F150FE">
        <w:t>exposure</w:t>
      </w:r>
      <w:r w:rsidR="00F150FE">
        <w:noBreakHyphen/>
        <w:t>response</w:t>
      </w:r>
      <w:r w:rsidRPr="00D9427A">
        <w:t xml:space="preserve"> </w:t>
      </w:r>
      <w:r w:rsidR="00F150FE">
        <w:t>e</w:t>
      </w:r>
      <w:r w:rsidRPr="00D9427A">
        <w:t xml:space="preserve">fficacy </w:t>
      </w:r>
      <w:r w:rsidR="00F150FE">
        <w:t>a</w:t>
      </w:r>
      <w:r w:rsidRPr="00D9427A">
        <w:t xml:space="preserve">nalysis and an </w:t>
      </w:r>
      <w:r w:rsidR="00F150FE">
        <w:t>exposure-response safety a</w:t>
      </w:r>
      <w:r w:rsidRPr="00D9427A">
        <w:t xml:space="preserve">nalysis. In both analyses, the exposure was determined by the </w:t>
      </w:r>
      <w:proofErr w:type="spellStart"/>
      <w:r w:rsidRPr="00D9427A">
        <w:t>C</w:t>
      </w:r>
      <w:r w:rsidRPr="00794457">
        <w:rPr>
          <w:vertAlign w:val="subscript"/>
        </w:rPr>
        <w:t>avg</w:t>
      </w:r>
      <w:proofErr w:type="gramStart"/>
      <w:r w:rsidR="00794457">
        <w:rPr>
          <w:vertAlign w:val="subscript"/>
        </w:rPr>
        <w:t>,</w:t>
      </w:r>
      <w:r w:rsidRPr="00794457">
        <w:rPr>
          <w:vertAlign w:val="subscript"/>
        </w:rPr>
        <w:t>ss</w:t>
      </w:r>
      <w:proofErr w:type="spellEnd"/>
      <w:proofErr w:type="gramEnd"/>
      <w:r w:rsidRPr="00D9427A">
        <w:t xml:space="preserve">, with this calculated from the PK simulation. Of note is that the analyses include different populations of subjects: the PPK study and the </w:t>
      </w:r>
      <w:r w:rsidR="00F150FE">
        <w:t>exposure-response</w:t>
      </w:r>
      <w:r w:rsidRPr="00D9427A">
        <w:t xml:space="preserve"> </w:t>
      </w:r>
      <w:r w:rsidR="00F150FE">
        <w:t>s</w:t>
      </w:r>
      <w:r w:rsidRPr="00D9427A">
        <w:t>afety analysis both inc</w:t>
      </w:r>
      <w:r w:rsidR="00F150FE">
        <w:t>lude all 23 subjects from Study </w:t>
      </w:r>
      <w:r w:rsidRPr="00D9427A">
        <w:t xml:space="preserve">CA209039 and 170 subjects from Study CA209205 (from Cohorts A, B and C); the </w:t>
      </w:r>
      <w:r w:rsidR="00F150FE">
        <w:t>exposure-response</w:t>
      </w:r>
      <w:r w:rsidRPr="00D9427A">
        <w:t xml:space="preserve"> </w:t>
      </w:r>
      <w:r w:rsidR="00E031CF">
        <w:t>e</w:t>
      </w:r>
      <w:r w:rsidRPr="00D9427A">
        <w:t>fficacy analysis in</w:t>
      </w:r>
      <w:r w:rsidR="00794457">
        <w:t>cludes 15 subjects from Study CA209039 and 77 </w:t>
      </w:r>
      <w:r w:rsidRPr="00D9427A">
        <w:t xml:space="preserve">patients from Cohort B in Study CA209205 (only those patients with </w:t>
      </w:r>
      <w:proofErr w:type="spellStart"/>
      <w:r w:rsidRPr="00D9427A">
        <w:t>cHL</w:t>
      </w:r>
      <w:proofErr w:type="spellEnd"/>
      <w:r w:rsidRPr="00D9427A">
        <w:t xml:space="preserve"> who had failed both ASCT and </w:t>
      </w:r>
      <w:proofErr w:type="spellStart"/>
      <w:r w:rsidRPr="00D9427A">
        <w:t>brentuximab</w:t>
      </w:r>
      <w:proofErr w:type="spellEnd"/>
      <w:r w:rsidRPr="00D9427A">
        <w:t xml:space="preserve"> </w:t>
      </w:r>
      <w:proofErr w:type="spellStart"/>
      <w:r w:rsidRPr="00D9427A">
        <w:t>vedotin</w:t>
      </w:r>
      <w:proofErr w:type="spellEnd"/>
      <w:r w:rsidRPr="00D9427A">
        <w:t>). In Study CA209205, recruitment was staggered, with recruitment to Cohort C occurring after recruitment to Cohort B was complete. The duration of treatment for each cohort at the time of the interim analysis could be considerably different with many patients in Cohort C having only received 1 to 2 doses.</w:t>
      </w:r>
    </w:p>
    <w:p w:rsidR="00D9427A" w:rsidRPr="00D9427A" w:rsidRDefault="00D9427A" w:rsidP="00D9427A">
      <w:r w:rsidRPr="00D9427A">
        <w:t xml:space="preserve">The </w:t>
      </w:r>
      <w:r w:rsidR="00F150FE" w:rsidRPr="00F150FE">
        <w:t>exposure-response</w:t>
      </w:r>
      <w:r w:rsidR="00F150FE">
        <w:t xml:space="preserve"> e</w:t>
      </w:r>
      <w:r w:rsidRPr="00D9427A">
        <w:t xml:space="preserve">fficacy </w:t>
      </w:r>
      <w:r w:rsidR="00F150FE">
        <w:t>a</w:t>
      </w:r>
      <w:r w:rsidRPr="00D9427A">
        <w:t>nalysis found th</w:t>
      </w:r>
      <w:r w:rsidR="00794457">
        <w:t>at the variables of sex, age, b</w:t>
      </w:r>
      <w:r w:rsidR="0034500B">
        <w:t xml:space="preserve">aseline </w:t>
      </w:r>
      <w:r w:rsidR="00794457">
        <w:t>weight</w:t>
      </w:r>
      <w:r w:rsidRPr="00D9427A">
        <w:t xml:space="preserve">, ECOG status, and number of prior therapies did not appear to affect the </w:t>
      </w:r>
      <w:r w:rsidR="00794457">
        <w:t>probability of achieving an objective response (</w:t>
      </w:r>
      <w:proofErr w:type="spellStart"/>
      <w:proofErr w:type="gramStart"/>
      <w:r w:rsidRPr="00D9427A">
        <w:t>Pr</w:t>
      </w:r>
      <w:proofErr w:type="spellEnd"/>
      <w:r w:rsidRPr="00D9427A">
        <w:t>(</w:t>
      </w:r>
      <w:proofErr w:type="gramEnd"/>
      <w:r w:rsidRPr="00D9427A">
        <w:t>OR)</w:t>
      </w:r>
      <w:r w:rsidR="00794457">
        <w:t>)</w:t>
      </w:r>
      <w:r w:rsidRPr="00D9427A">
        <w:t xml:space="preserve">. The exposure to </w:t>
      </w:r>
      <w:proofErr w:type="spellStart"/>
      <w:r w:rsidRPr="00D9427A">
        <w:t>nivolumab</w:t>
      </w:r>
      <w:proofErr w:type="spellEnd"/>
      <w:r w:rsidRPr="00D9427A">
        <w:t xml:space="preserve"> did appear to </w:t>
      </w:r>
      <w:r w:rsidRPr="00D9427A">
        <w:lastRenderedPageBreak/>
        <w:t xml:space="preserve">affect </w:t>
      </w:r>
      <w:proofErr w:type="spellStart"/>
      <w:r w:rsidRPr="00D9427A">
        <w:t>Pr</w:t>
      </w:r>
      <w:proofErr w:type="spellEnd"/>
      <w:r w:rsidRPr="00D9427A">
        <w:t xml:space="preserve">(OR) according to IRRC assessed OR: the </w:t>
      </w:r>
      <w:proofErr w:type="spellStart"/>
      <w:r w:rsidRPr="00D9427A">
        <w:t>Pr</w:t>
      </w:r>
      <w:proofErr w:type="spellEnd"/>
      <w:r w:rsidRPr="00D9427A">
        <w:t xml:space="preserve">(OR) was predicted to be approximately 36% lower for a subject with </w:t>
      </w:r>
      <w:proofErr w:type="spellStart"/>
      <w:r w:rsidRPr="00D9427A">
        <w:t>C</w:t>
      </w:r>
      <w:r w:rsidRPr="00D9427A">
        <w:rPr>
          <w:vertAlign w:val="subscript"/>
        </w:rPr>
        <w:t>avg,ss</w:t>
      </w:r>
      <w:proofErr w:type="spellEnd"/>
      <w:r w:rsidR="00E031CF">
        <w:t xml:space="preserve"> at the fifth</w:t>
      </w:r>
      <w:r w:rsidRPr="00D9427A">
        <w:t xml:space="preserve"> percentile (67.03 µg/mL) compared to a subject with the median </w:t>
      </w:r>
      <w:proofErr w:type="spellStart"/>
      <w:r w:rsidRPr="00D9427A">
        <w:t>C</w:t>
      </w:r>
      <w:r w:rsidRPr="00D9427A">
        <w:rPr>
          <w:vertAlign w:val="subscript"/>
        </w:rPr>
        <w:t>avg,ss</w:t>
      </w:r>
      <w:proofErr w:type="spellEnd"/>
      <w:r w:rsidRPr="00D9427A">
        <w:t xml:space="preserve"> (148.4 µg/mL). However, there was minimal difference for a subject with </w:t>
      </w:r>
      <w:proofErr w:type="spellStart"/>
      <w:r w:rsidRPr="00D9427A">
        <w:t>C</w:t>
      </w:r>
      <w:r w:rsidRPr="00D9427A">
        <w:rPr>
          <w:vertAlign w:val="subscript"/>
        </w:rPr>
        <w:t>avg</w:t>
      </w:r>
      <w:proofErr w:type="gramStart"/>
      <w:r w:rsidRPr="00D9427A">
        <w:rPr>
          <w:vertAlign w:val="subscript"/>
        </w:rPr>
        <w:t>,ss</w:t>
      </w:r>
      <w:proofErr w:type="spellEnd"/>
      <w:proofErr w:type="gramEnd"/>
      <w:r w:rsidR="00E031CF">
        <w:t xml:space="preserve"> at the ninety-fifth</w:t>
      </w:r>
      <w:r w:rsidRPr="00D9427A">
        <w:t xml:space="preserve"> percentile (161.9 µg/mL) compared to a subject at the median </w:t>
      </w:r>
      <w:proofErr w:type="spellStart"/>
      <w:r w:rsidRPr="00D9427A">
        <w:t>C</w:t>
      </w:r>
      <w:r w:rsidRPr="00D9427A">
        <w:rPr>
          <w:vertAlign w:val="subscript"/>
        </w:rPr>
        <w:t>avg,ss</w:t>
      </w:r>
      <w:proofErr w:type="spellEnd"/>
      <w:r w:rsidRPr="00D9427A">
        <w:t>, suggesting a flat range in the exposure-response curve at higher concentrations.</w:t>
      </w:r>
    </w:p>
    <w:p w:rsidR="00D9427A" w:rsidRPr="00D9427A" w:rsidRDefault="00D9427A" w:rsidP="00D9427A">
      <w:r w:rsidRPr="00D9427A">
        <w:t xml:space="preserve">The report also noted that, due to the decreased CL, the average </w:t>
      </w:r>
      <w:proofErr w:type="spellStart"/>
      <w:r w:rsidRPr="00D9427A">
        <w:t>nivolumab</w:t>
      </w:r>
      <w:proofErr w:type="spellEnd"/>
      <w:r w:rsidRPr="00D9427A">
        <w:t xml:space="preserve"> exposure in </w:t>
      </w:r>
      <w:proofErr w:type="spellStart"/>
      <w:r w:rsidRPr="00D9427A">
        <w:t>cHL</w:t>
      </w:r>
      <w:proofErr w:type="spellEnd"/>
      <w:r w:rsidRPr="00D9427A">
        <w:t xml:space="preserve"> subjects was increased by approximately 43% relative to solid tumour subjects. This increased exposure was not considered clinically relevant with regard to efficacy as, at higher exposures, the </w:t>
      </w:r>
      <w:proofErr w:type="spellStart"/>
      <w:proofErr w:type="gramStart"/>
      <w:r w:rsidRPr="00D9427A">
        <w:t>Pr</w:t>
      </w:r>
      <w:proofErr w:type="spellEnd"/>
      <w:r w:rsidRPr="00D9427A">
        <w:t>(</w:t>
      </w:r>
      <w:proofErr w:type="gramEnd"/>
      <w:r w:rsidRPr="00D9427A">
        <w:t>OR) was in the ‘</w:t>
      </w:r>
      <w:r w:rsidRPr="00D9427A">
        <w:rPr>
          <w:i/>
        </w:rPr>
        <w:t xml:space="preserve">flat range of the </w:t>
      </w:r>
      <w:r w:rsidR="00F150FE" w:rsidRPr="00F150FE">
        <w:rPr>
          <w:i/>
        </w:rPr>
        <w:t>exposure-response</w:t>
      </w:r>
      <w:r w:rsidR="00F150FE">
        <w:rPr>
          <w:i/>
        </w:rPr>
        <w:t xml:space="preserve"> </w:t>
      </w:r>
      <w:r w:rsidRPr="00D9427A">
        <w:rPr>
          <w:i/>
        </w:rPr>
        <w:t>curve</w:t>
      </w:r>
      <w:r w:rsidRPr="00D9427A">
        <w:t>’ regardless of the assessment modalities.</w:t>
      </w:r>
    </w:p>
    <w:p w:rsidR="00D9427A" w:rsidRPr="00D9427A" w:rsidRDefault="00D9427A" w:rsidP="00D9427A">
      <w:pPr>
        <w:rPr>
          <w:i/>
        </w:rPr>
      </w:pPr>
      <w:r w:rsidRPr="00D9427A">
        <w:t>The report expressed concern that the relationship between efficacy and exposure may be unreliable ‘</w:t>
      </w:r>
      <w:r w:rsidRPr="00D9427A">
        <w:rPr>
          <w:i/>
        </w:rPr>
        <w:t xml:space="preserve">due to the limited range of exposures in the analysis data, as all subjects were assigned the same </w:t>
      </w:r>
      <w:proofErr w:type="spellStart"/>
      <w:r w:rsidRPr="00D9427A">
        <w:rPr>
          <w:i/>
        </w:rPr>
        <w:t>nivolumab</w:t>
      </w:r>
      <w:proofErr w:type="spellEnd"/>
      <w:r w:rsidRPr="00D9427A">
        <w:rPr>
          <w:i/>
        </w:rPr>
        <w:t xml:space="preserve"> dosing regimen of 3 mg/kg Q2W and the sensitivity analysis indicated that only a few subjects were influential in explaining the discrepancy between the </w:t>
      </w:r>
      <w:r w:rsidR="00F87148" w:rsidRPr="00F87148">
        <w:rPr>
          <w:i/>
        </w:rPr>
        <w:t>exposure-response</w:t>
      </w:r>
      <w:r w:rsidR="00F87148">
        <w:rPr>
          <w:i/>
        </w:rPr>
        <w:t xml:space="preserve"> </w:t>
      </w:r>
      <w:r w:rsidRPr="00D9427A">
        <w:rPr>
          <w:i/>
        </w:rPr>
        <w:t>results with IRRC- and investigator-assessed OR’.</w:t>
      </w:r>
    </w:p>
    <w:p w:rsidR="00D9427A" w:rsidRPr="00D9427A" w:rsidRDefault="00D9427A" w:rsidP="00D9427A">
      <w:r w:rsidRPr="00D9427A">
        <w:t xml:space="preserve">The </w:t>
      </w:r>
      <w:r w:rsidR="00F87148" w:rsidRPr="00F87148">
        <w:t>exposure-response</w:t>
      </w:r>
      <w:r w:rsidR="00F87148">
        <w:t xml:space="preserve"> safety a</w:t>
      </w:r>
      <w:r w:rsidRPr="00D9427A">
        <w:t>nalysis reported that:</w:t>
      </w:r>
    </w:p>
    <w:p w:rsidR="00D9427A" w:rsidRPr="00D9427A" w:rsidRDefault="00D9427A" w:rsidP="00D9427A">
      <w:pPr>
        <w:numPr>
          <w:ilvl w:val="0"/>
          <w:numId w:val="3"/>
        </w:numPr>
      </w:pPr>
      <w:r w:rsidRPr="00D9427A">
        <w:t xml:space="preserve">Baseline weight, age, sex, and prior </w:t>
      </w:r>
      <w:proofErr w:type="spellStart"/>
      <w:r w:rsidRPr="00D9427A">
        <w:t>brentuximab</w:t>
      </w:r>
      <w:proofErr w:type="spellEnd"/>
      <w:r w:rsidRPr="00D9427A">
        <w:t xml:space="preserve"> therapy were not found to be significant predic</w:t>
      </w:r>
      <w:r w:rsidR="00F87148">
        <w:t>tors of the risk of Grade 3+ drug related adverse events (DR</w:t>
      </w:r>
      <w:r w:rsidRPr="00D9427A">
        <w:t>AE</w:t>
      </w:r>
      <w:r w:rsidR="00F87148">
        <w:t>)</w:t>
      </w:r>
      <w:r w:rsidRPr="00D9427A">
        <w:t xml:space="preserve"> in patients with </w:t>
      </w:r>
      <w:proofErr w:type="spellStart"/>
      <w:r w:rsidRPr="00D9427A">
        <w:t>cHL</w:t>
      </w:r>
      <w:r w:rsidR="0034500B">
        <w:t>.</w:t>
      </w:r>
      <w:proofErr w:type="spellEnd"/>
    </w:p>
    <w:p w:rsidR="00D9427A" w:rsidRPr="00D9427A" w:rsidRDefault="00D9427A" w:rsidP="00D9427A">
      <w:pPr>
        <w:numPr>
          <w:ilvl w:val="0"/>
          <w:numId w:val="3"/>
        </w:numPr>
      </w:pPr>
      <w:r w:rsidRPr="00D9427A">
        <w:t xml:space="preserve">The covariate ECOG status was found to be a significant predictor of experiencing a Grade 3+ </w:t>
      </w:r>
      <w:r w:rsidR="0034500B">
        <w:t>DR</w:t>
      </w:r>
      <w:r w:rsidRPr="00D9427A">
        <w:t>AE as a subject with ECOG score of 1 was twice as likely to experience a Grade 3+ DRAE compared to a subject with ECOG status of 0. Patients with ECOG &gt; 1 were excluded from all of the clinical studies.</w:t>
      </w:r>
    </w:p>
    <w:p w:rsidR="00D9427A" w:rsidRPr="00D9427A" w:rsidRDefault="00D9427A" w:rsidP="00D9427A">
      <w:pPr>
        <w:numPr>
          <w:ilvl w:val="0"/>
          <w:numId w:val="3"/>
        </w:numPr>
      </w:pPr>
      <w:r w:rsidRPr="00D9427A">
        <w:t xml:space="preserve">Exposure, as measured by </w:t>
      </w:r>
      <w:proofErr w:type="spellStart"/>
      <w:r w:rsidRPr="00D9427A">
        <w:t>C</w:t>
      </w:r>
      <w:r w:rsidRPr="00D9427A">
        <w:rPr>
          <w:vertAlign w:val="subscript"/>
        </w:rPr>
        <w:t>avg</w:t>
      </w:r>
      <w:proofErr w:type="gramStart"/>
      <w:r w:rsidRPr="00D9427A">
        <w:rPr>
          <w:vertAlign w:val="subscript"/>
        </w:rPr>
        <w:t>,ss</w:t>
      </w:r>
      <w:proofErr w:type="spellEnd"/>
      <w:proofErr w:type="gramEnd"/>
      <w:r w:rsidRPr="00D9427A">
        <w:t>, was not  assessed as a signi</w:t>
      </w:r>
      <w:r w:rsidR="0034500B">
        <w:t>ficant predictor of Grade 3+ DR</w:t>
      </w:r>
      <w:r w:rsidRPr="00D9427A">
        <w:t>AEs, as indicated by the hazard ratio coefficient of 0.7949 (95% CI 0.2219, 2.847)</w:t>
      </w:r>
      <w:r w:rsidR="0034500B">
        <w:t>.</w:t>
      </w:r>
    </w:p>
    <w:p w:rsidR="00D9427A" w:rsidRDefault="00D9427A" w:rsidP="00D9427A">
      <w:r w:rsidRPr="00D9427A">
        <w:t>A K</w:t>
      </w:r>
      <w:r w:rsidR="0034500B">
        <w:t>aplan-Meier (K</w:t>
      </w:r>
      <w:r w:rsidRPr="00D9427A">
        <w:t>-M</w:t>
      </w:r>
      <w:r w:rsidR="0034500B">
        <w:t>)</w:t>
      </w:r>
      <w:r w:rsidR="00E031CF">
        <w:t xml:space="preserve"> analysis (see</w:t>
      </w:r>
      <w:r w:rsidR="00F87148">
        <w:t xml:space="preserve"> Figure 3</w:t>
      </w:r>
      <w:r w:rsidR="0034500B">
        <w:t xml:space="preserve"> below</w:t>
      </w:r>
      <w:r w:rsidRPr="00D9427A">
        <w:t>) show</w:t>
      </w:r>
      <w:r w:rsidR="0034500B">
        <w:t>s that the probability of Grade </w:t>
      </w:r>
      <w:r w:rsidRPr="00D9427A">
        <w:t>3+ events appears to increase with duration of treat</w:t>
      </w:r>
      <w:r w:rsidR="00F87148">
        <w:t xml:space="preserve">ment, with this plateauing at 8 to </w:t>
      </w:r>
      <w:r w:rsidRPr="00D9427A">
        <w:t xml:space="preserve">12 months. The plateau may be an effect of small patient numbers, as there were very few patients included in the analysis in </w:t>
      </w:r>
      <w:proofErr w:type="gramStart"/>
      <w:r w:rsidRPr="00D9427A">
        <w:t>whom</w:t>
      </w:r>
      <w:proofErr w:type="gramEnd"/>
      <w:r w:rsidRPr="00D9427A">
        <w:t xml:space="preserve"> treatment with </w:t>
      </w:r>
      <w:proofErr w:type="spellStart"/>
      <w:r w:rsidRPr="00D9427A">
        <w:t>nivolumab</w:t>
      </w:r>
      <w:proofErr w:type="spellEnd"/>
      <w:r w:rsidRPr="00D9427A">
        <w:t xml:space="preserve"> continued f</w:t>
      </w:r>
      <w:r w:rsidR="0034500B">
        <w:t>or longer than around 8 months.</w:t>
      </w:r>
    </w:p>
    <w:p w:rsidR="0034500B" w:rsidRPr="0034500B" w:rsidRDefault="0034500B" w:rsidP="0034500B">
      <w:pPr>
        <w:pStyle w:val="FigureTitle"/>
      </w:pPr>
      <w:bookmarkStart w:id="55" w:name="_Ref459193046"/>
      <w:bookmarkStart w:id="56" w:name="_Toc473012880"/>
      <w:proofErr w:type="gramStart"/>
      <w:r w:rsidRPr="0034500B">
        <w:t xml:space="preserve">Figure </w:t>
      </w:r>
      <w:r>
        <w:t>3</w:t>
      </w:r>
      <w:r w:rsidRPr="0034500B">
        <w:t>.</w:t>
      </w:r>
      <w:proofErr w:type="gramEnd"/>
      <w:r w:rsidRPr="0034500B">
        <w:t xml:space="preserve"> K-M Plot of probability of Grade 3+ AE by duration of treatment</w:t>
      </w:r>
      <w:bookmarkEnd w:id="55"/>
      <w:bookmarkEnd w:id="56"/>
    </w:p>
    <w:p w:rsidR="0034500B" w:rsidRPr="00D9427A" w:rsidRDefault="00620157" w:rsidP="00D9427A">
      <w:r>
        <w:rPr>
          <w:noProof/>
          <w:lang w:eastAsia="en-AU"/>
        </w:rPr>
        <w:drawing>
          <wp:inline distT="0" distB="0" distL="0" distR="0">
            <wp:extent cx="2657729" cy="2168145"/>
            <wp:effectExtent l="0" t="0" r="9525" b="3810"/>
            <wp:docPr id="5" name="Picture 86" title="Figure 12. K-M Plot of probability of Grade 3+ AE by duration of trea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title="Figure 12. K-M Plot of probability of Grade 3+ AE by duration of treatment&#1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442" t="9915" b="8133"/>
                    <a:stretch/>
                  </pic:blipFill>
                  <pic:spPr bwMode="auto">
                    <a:xfrm>
                      <a:off x="0" y="0"/>
                      <a:ext cx="2657475" cy="2167890"/>
                    </a:xfrm>
                    <a:prstGeom prst="rect">
                      <a:avLst/>
                    </a:prstGeom>
                    <a:noFill/>
                    <a:ln>
                      <a:noFill/>
                    </a:ln>
                    <a:extLst>
                      <a:ext uri="{53640926-AAD7-44D8-BBD7-CCE9431645EC}">
                        <a14:shadowObscured xmlns:a14="http://schemas.microsoft.com/office/drawing/2010/main"/>
                      </a:ext>
                    </a:extLst>
                  </pic:spPr>
                </pic:pic>
              </a:graphicData>
            </a:graphic>
          </wp:inline>
        </w:drawing>
      </w:r>
    </w:p>
    <w:p w:rsidR="00D9427A" w:rsidRPr="00D9427A" w:rsidRDefault="00D9427A" w:rsidP="00D9427A">
      <w:r w:rsidRPr="00D9427A">
        <w:t xml:space="preserve">As with the </w:t>
      </w:r>
      <w:r w:rsidR="00F87148">
        <w:t>exposure-response efficacy a</w:t>
      </w:r>
      <w:r w:rsidRPr="00D9427A">
        <w:t>nalysis, the conclusions from this analysis should be interpreted with care due to ‘</w:t>
      </w:r>
      <w:r w:rsidRPr="00D9427A">
        <w:rPr>
          <w:i/>
        </w:rPr>
        <w:t xml:space="preserve">the limited range of exposures in the analysis data, as all subjects were assigned the same </w:t>
      </w:r>
      <w:proofErr w:type="spellStart"/>
      <w:r w:rsidRPr="00D9427A">
        <w:rPr>
          <w:i/>
        </w:rPr>
        <w:t>nivolumab</w:t>
      </w:r>
      <w:proofErr w:type="spellEnd"/>
      <w:r w:rsidRPr="00D9427A">
        <w:rPr>
          <w:i/>
        </w:rPr>
        <w:t xml:space="preserve"> dosing regimen of 3 mg/kg Q2W’, </w:t>
      </w:r>
      <w:r w:rsidRPr="00D9427A">
        <w:t>the</w:t>
      </w:r>
      <w:r w:rsidRPr="00D9427A">
        <w:rPr>
          <w:i/>
        </w:rPr>
        <w:t xml:space="preserve"> </w:t>
      </w:r>
      <w:r w:rsidRPr="00D9427A">
        <w:t xml:space="preserve">small </w:t>
      </w:r>
      <w:r w:rsidRPr="00D9427A">
        <w:lastRenderedPageBreak/>
        <w:t xml:space="preserve">number of patients who received </w:t>
      </w:r>
      <w:proofErr w:type="spellStart"/>
      <w:r w:rsidRPr="00D9427A">
        <w:t>nivolumab</w:t>
      </w:r>
      <w:proofErr w:type="spellEnd"/>
      <w:r w:rsidRPr="00D9427A">
        <w:t xml:space="preserve"> treatment for longer than 8 months and the inclusion of patients from Cohort C who had minimal exposure to </w:t>
      </w:r>
      <w:proofErr w:type="spellStart"/>
      <w:r w:rsidRPr="00D9427A">
        <w:t>nivolumab</w:t>
      </w:r>
      <w:proofErr w:type="spellEnd"/>
      <w:r w:rsidRPr="00D9427A">
        <w:t>.</w:t>
      </w:r>
    </w:p>
    <w:p w:rsidR="00D9427A" w:rsidRPr="00D9427A" w:rsidRDefault="00D9427A" w:rsidP="001A4F97">
      <w:pPr>
        <w:pStyle w:val="Heading5"/>
      </w:pPr>
      <w:r w:rsidRPr="00D9427A">
        <w:t>Analysis of immunogenicity</w:t>
      </w:r>
    </w:p>
    <w:p w:rsidR="00D9427A" w:rsidRPr="00D9427A" w:rsidRDefault="00D9427A" w:rsidP="00D9427A">
      <w:r w:rsidRPr="00D9427A">
        <w:t xml:space="preserve">Only one patient in each of Studies CA209205 and CA209039 tested </w:t>
      </w:r>
      <w:r w:rsidR="001A4F97">
        <w:t>anti-drug antibody (</w:t>
      </w:r>
      <w:r w:rsidRPr="00D9427A">
        <w:t>ADA</w:t>
      </w:r>
      <w:r w:rsidR="001A4F97">
        <w:t>)</w:t>
      </w:r>
      <w:r w:rsidRPr="00D9427A">
        <w:t xml:space="preserve"> positive state during treatment with </w:t>
      </w:r>
      <w:proofErr w:type="spellStart"/>
      <w:r w:rsidRPr="00D9427A">
        <w:t>nivolumab</w:t>
      </w:r>
      <w:proofErr w:type="spellEnd"/>
      <w:r w:rsidRPr="00D9427A">
        <w:t xml:space="preserve">. However, there were 7/159 (4.4%) of patients in </w:t>
      </w:r>
      <w:r w:rsidR="001A4F97">
        <w:t xml:space="preserve">Study </w:t>
      </w:r>
      <w:r w:rsidRPr="00D9427A">
        <w:t xml:space="preserve">CA209205 and 3/19 (15.8%) of patients in </w:t>
      </w:r>
      <w:r w:rsidR="001A4F97">
        <w:t xml:space="preserve">Study </w:t>
      </w:r>
      <w:r w:rsidRPr="00D9427A">
        <w:t xml:space="preserve">CA209039 who tested positive for </w:t>
      </w:r>
      <w:proofErr w:type="spellStart"/>
      <w:r w:rsidRPr="00D9427A">
        <w:t>nivolumab</w:t>
      </w:r>
      <w:proofErr w:type="spellEnd"/>
      <w:r w:rsidRPr="00D9427A">
        <w:t xml:space="preserve"> ADA without prior exposure to </w:t>
      </w:r>
      <w:proofErr w:type="spellStart"/>
      <w:r w:rsidRPr="00D9427A">
        <w:t>nivolumab</w:t>
      </w:r>
      <w:proofErr w:type="spellEnd"/>
      <w:r w:rsidRPr="00D9427A">
        <w:t>. Of these 10 patients, 8 had no ADA detected on all subsequent testing, with this subsequent testing performed within 16 weeks of the baseline test; one patient had ADA detected on subsequent occasions but did not meet the criteria for ‘persistent ADA positive’; one patient had no subsequent testing performed.</w:t>
      </w:r>
    </w:p>
    <w:p w:rsidR="00D9427A" w:rsidRPr="00D9427A" w:rsidRDefault="00D9427A" w:rsidP="00D9427A">
      <w:r w:rsidRPr="00D9427A">
        <w:t xml:space="preserve">A substantial number of patients were reported to have hypersensitivity/infusion reactions in the two studies in patients with </w:t>
      </w:r>
      <w:proofErr w:type="spellStart"/>
      <w:r w:rsidRPr="00D9427A">
        <w:t>cHL</w:t>
      </w:r>
      <w:proofErr w:type="spellEnd"/>
      <w:r w:rsidRPr="00D9427A">
        <w:t>: 26/158 (16.5%) of patients from all cohorts in Study CA209205 and 4/23 (17.4%) of patients in Study CA209039. None of the</w:t>
      </w:r>
      <w:r w:rsidR="00F87148">
        <w:t xml:space="preserve">se patients were ADA positive. </w:t>
      </w:r>
      <w:r w:rsidRPr="00D9427A">
        <w:t>This rate is higher than that reported in patients with solid tumours although it is not clear as to whether this is a real difference or an anomalous result due to the small number of enrolled patients</w:t>
      </w:r>
      <w:r w:rsidR="00F87148">
        <w:t>.</w:t>
      </w:r>
    </w:p>
    <w:p w:rsidR="00D9427A" w:rsidRDefault="00D9427A" w:rsidP="00D9427A">
      <w:r w:rsidRPr="00D9427A">
        <w:t xml:space="preserve">The </w:t>
      </w:r>
      <w:r w:rsidR="00BF1863">
        <w:t xml:space="preserve">sponsor’s </w:t>
      </w:r>
      <w:r w:rsidRPr="00D9427A">
        <w:t xml:space="preserve">Summary of Clinical Pharmacology provides a summary of select </w:t>
      </w:r>
      <w:r w:rsidR="001A4F97">
        <w:t>AEs</w:t>
      </w:r>
      <w:r w:rsidRPr="00D9427A">
        <w:t xml:space="preserve"> in the hypersensitivity/infusion reaction category by ADA Status (positive or negative) for those subjects who were treated with </w:t>
      </w:r>
      <w:proofErr w:type="spellStart"/>
      <w:r w:rsidRPr="00D9427A">
        <w:t>nivolumab</w:t>
      </w:r>
      <w:proofErr w:type="spellEnd"/>
      <w:r w:rsidRPr="00D9427A">
        <w:t xml:space="preserve"> monotherapy in the clinical development programme and in whom the same ADA assay was used (see Table </w:t>
      </w:r>
      <w:r w:rsidR="00A91242">
        <w:t>4</w:t>
      </w:r>
      <w:r w:rsidRPr="00D9427A">
        <w:t xml:space="preserve">, </w:t>
      </w:r>
      <w:r w:rsidR="001A4F97">
        <w:t>below</w:t>
      </w:r>
      <w:r w:rsidRPr="00D9427A">
        <w:t>).</w:t>
      </w:r>
    </w:p>
    <w:p w:rsidR="001A4F97" w:rsidRPr="00DE197E" w:rsidRDefault="00A91242" w:rsidP="001A4F97">
      <w:pPr>
        <w:pStyle w:val="Tabletitle0"/>
        <w:rPr>
          <w:lang w:eastAsia="ja-JP"/>
        </w:rPr>
      </w:pPr>
      <w:bookmarkStart w:id="57" w:name="_Toc473012886"/>
      <w:proofErr w:type="gramStart"/>
      <w:r>
        <w:rPr>
          <w:lang w:eastAsia="ja-JP"/>
        </w:rPr>
        <w:t>Table 4</w:t>
      </w:r>
      <w:r w:rsidR="001A4F97">
        <w:rPr>
          <w:lang w:eastAsia="ja-JP"/>
        </w:rPr>
        <w:t>.</w:t>
      </w:r>
      <w:proofErr w:type="gramEnd"/>
      <w:r w:rsidR="001A4F97" w:rsidRPr="00DE197E">
        <w:rPr>
          <w:lang w:eastAsia="ja-JP"/>
        </w:rPr>
        <w:t xml:space="preserve"> Summary of </w:t>
      </w:r>
      <w:r w:rsidR="001A4F97">
        <w:rPr>
          <w:lang w:eastAsia="ja-JP"/>
        </w:rPr>
        <w:t>h</w:t>
      </w:r>
      <w:r w:rsidR="001A4F97" w:rsidRPr="00DE197E">
        <w:rPr>
          <w:lang w:eastAsia="ja-JP"/>
        </w:rPr>
        <w:t>ypersensitivity/</w:t>
      </w:r>
      <w:r w:rsidR="001A4F97">
        <w:rPr>
          <w:lang w:eastAsia="ja-JP"/>
        </w:rPr>
        <w:t>i</w:t>
      </w:r>
      <w:r w:rsidR="001A4F97" w:rsidRPr="00DE197E">
        <w:rPr>
          <w:lang w:eastAsia="ja-JP"/>
        </w:rPr>
        <w:t xml:space="preserve">nfusion </w:t>
      </w:r>
      <w:r w:rsidR="001A4F97">
        <w:rPr>
          <w:lang w:eastAsia="ja-JP"/>
        </w:rPr>
        <w:t>r</w:t>
      </w:r>
      <w:r w:rsidR="001A4F97" w:rsidRPr="00DE197E">
        <w:rPr>
          <w:lang w:eastAsia="ja-JP"/>
        </w:rPr>
        <w:t xml:space="preserve">eactions by </w:t>
      </w:r>
      <w:proofErr w:type="spellStart"/>
      <w:r w:rsidR="001A4F97">
        <w:rPr>
          <w:lang w:eastAsia="ja-JP"/>
        </w:rPr>
        <w:t>n</w:t>
      </w:r>
      <w:r w:rsidR="001A4F97" w:rsidRPr="00DE197E">
        <w:rPr>
          <w:lang w:eastAsia="ja-JP"/>
        </w:rPr>
        <w:t>ivolumab</w:t>
      </w:r>
      <w:proofErr w:type="spellEnd"/>
      <w:r w:rsidR="001A4F97" w:rsidRPr="00DE197E">
        <w:rPr>
          <w:lang w:eastAsia="ja-JP"/>
        </w:rPr>
        <w:t xml:space="preserve"> ADA status</w:t>
      </w:r>
      <w:bookmarkEnd w:id="57"/>
    </w:p>
    <w:p w:rsidR="001A4F97" w:rsidRPr="00DE197E" w:rsidRDefault="00620157" w:rsidP="001A4F97">
      <w:pPr>
        <w:rPr>
          <w:lang w:eastAsia="ja-JP"/>
        </w:rPr>
      </w:pPr>
      <w:r>
        <w:rPr>
          <w:noProof/>
          <w:lang w:eastAsia="en-AU"/>
        </w:rPr>
        <w:drawing>
          <wp:inline distT="0" distB="0" distL="0" distR="0">
            <wp:extent cx="4678045" cy="1669415"/>
            <wp:effectExtent l="0" t="0" r="8255" b="6985"/>
            <wp:docPr id="6" name="Picture 78" title="Table 4. Summary of hypersensitivity/infusion reactions by nivolumab ADA statu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title="Table 4. Summary of hypersensitivity/infusion reactions by nivolumab ADA status&#10;"/>
                    <pic:cNvPicPr>
                      <a:picLocks noChangeAspect="1" noChangeArrowheads="1"/>
                    </pic:cNvPicPr>
                  </pic:nvPicPr>
                  <pic:blipFill rotWithShape="1">
                    <a:blip r:embed="rId19">
                      <a:extLst>
                        <a:ext uri="{28A0092B-C50C-407E-A947-70E740481C1C}">
                          <a14:useLocalDpi xmlns:a14="http://schemas.microsoft.com/office/drawing/2010/main" val="0"/>
                        </a:ext>
                      </a:extLst>
                    </a:blip>
                    <a:srcRect t="21741" b="8111"/>
                    <a:stretch/>
                  </pic:blipFill>
                  <pic:spPr bwMode="auto">
                    <a:xfrm>
                      <a:off x="0" y="0"/>
                      <a:ext cx="4678045" cy="1669415"/>
                    </a:xfrm>
                    <a:prstGeom prst="rect">
                      <a:avLst/>
                    </a:prstGeom>
                    <a:noFill/>
                    <a:ln>
                      <a:noFill/>
                    </a:ln>
                    <a:extLst>
                      <a:ext uri="{53640926-AAD7-44D8-BBD7-CCE9431645EC}">
                        <a14:shadowObscured xmlns:a14="http://schemas.microsoft.com/office/drawing/2010/main"/>
                      </a:ext>
                    </a:extLst>
                  </pic:spPr>
                </pic:pic>
              </a:graphicData>
            </a:graphic>
          </wp:inline>
        </w:drawing>
      </w:r>
    </w:p>
    <w:p w:rsidR="00D9427A" w:rsidRPr="00D9427A" w:rsidRDefault="00D9427A" w:rsidP="00D9427A">
      <w:pPr>
        <w:rPr>
          <w:i/>
        </w:rPr>
      </w:pPr>
      <w:r w:rsidRPr="00D9427A">
        <w:t>This data was interpreted by the sponsor as: ‘</w:t>
      </w:r>
      <w:r w:rsidRPr="00D9427A">
        <w:rPr>
          <w:i/>
        </w:rPr>
        <w:t xml:space="preserve">Overall, an association was not established between the </w:t>
      </w:r>
      <w:proofErr w:type="gramStart"/>
      <w:r w:rsidRPr="00D9427A">
        <w:rPr>
          <w:i/>
        </w:rPr>
        <w:t>presence</w:t>
      </w:r>
      <w:proofErr w:type="gramEnd"/>
      <w:r w:rsidRPr="00D9427A">
        <w:rPr>
          <w:i/>
        </w:rPr>
        <w:t xml:space="preserve"> of ADA and hypersensitivity or infusion reactions, suggesting that ADA does not alter the safety profile of </w:t>
      </w:r>
      <w:proofErr w:type="spellStart"/>
      <w:r w:rsidRPr="00D9427A">
        <w:rPr>
          <w:i/>
        </w:rPr>
        <w:t>nivolumab</w:t>
      </w:r>
      <w:proofErr w:type="spellEnd"/>
      <w:r w:rsidRPr="00D9427A">
        <w:rPr>
          <w:i/>
        </w:rPr>
        <w:t>.</w:t>
      </w:r>
      <w:r w:rsidRPr="00D9427A">
        <w:t>’ Of note, however, is that a total of 9.4% of patients had hypersensitivity/infusion reactions reported with these ranging from anaphylactic shock to minor infusion related reactions. Apart from noting that these reactions were not related to ADA status, there was no discussion regarding aetiology of these reactions.</w:t>
      </w:r>
    </w:p>
    <w:p w:rsidR="00D9427A" w:rsidRPr="00D9427A" w:rsidRDefault="00D9427A" w:rsidP="00D9427A">
      <w:r w:rsidRPr="00D9427A">
        <w:t xml:space="preserve">It is not clear to the evaluator that the immunogenicity of </w:t>
      </w:r>
      <w:proofErr w:type="spellStart"/>
      <w:r w:rsidRPr="00D9427A">
        <w:t>nivolumab</w:t>
      </w:r>
      <w:proofErr w:type="spellEnd"/>
      <w:r w:rsidRPr="00D9427A">
        <w:t xml:space="preserve"> has been fully characterised. This may reflect a broader lack of knowledge regarding the immunogenicity of therapeutic proteins as the sponsor’s summaries of immunogenicity appear to be in keeping with White Paper recommendations.</w:t>
      </w:r>
      <w:r w:rsidR="001A4F97">
        <w:rPr>
          <w:rStyle w:val="FootnoteReference"/>
        </w:rPr>
        <w:footnoteReference w:id="15"/>
      </w:r>
      <w:r w:rsidRPr="00D9427A">
        <w:t xml:space="preserve"> Of concern to the </w:t>
      </w:r>
      <w:r w:rsidR="00FA3E7D">
        <w:t xml:space="preserve">clinical </w:t>
      </w:r>
      <w:r w:rsidRPr="00D9427A">
        <w:t>evaluator are:</w:t>
      </w:r>
    </w:p>
    <w:p w:rsidR="00D9427A" w:rsidRPr="00A91242" w:rsidRDefault="00D9427A" w:rsidP="00A91242">
      <w:pPr>
        <w:pStyle w:val="Numberbullet0"/>
      </w:pPr>
      <w:r w:rsidRPr="00A91242">
        <w:t xml:space="preserve">The highly variable incidence of patients who have antibodies to </w:t>
      </w:r>
      <w:proofErr w:type="spellStart"/>
      <w:r w:rsidRPr="00A91242">
        <w:t>nivolumab</w:t>
      </w:r>
      <w:proofErr w:type="spellEnd"/>
      <w:r w:rsidRPr="00A91242">
        <w:t xml:space="preserve"> present prior to exposure to </w:t>
      </w:r>
      <w:proofErr w:type="spellStart"/>
      <w:r w:rsidRPr="00A91242">
        <w:t>nivolumab</w:t>
      </w:r>
      <w:proofErr w:type="spellEnd"/>
      <w:r w:rsidRPr="00A91242">
        <w:t xml:space="preserve"> across different studies (reported range of incidence rates 2.8% to 15.8%). This does not appear to be related to cancer type as the two </w:t>
      </w:r>
      <w:r w:rsidRPr="00A91242">
        <w:lastRenderedPageBreak/>
        <w:t xml:space="preserve">studies of patients with </w:t>
      </w:r>
      <w:proofErr w:type="spellStart"/>
      <w:r w:rsidRPr="00A91242">
        <w:t>cHL</w:t>
      </w:r>
      <w:proofErr w:type="spellEnd"/>
      <w:r w:rsidRPr="00A91242">
        <w:t>, Studies CA209205 and CA209039, had baseline rates of 4.4% and 15.8% respectively.</w:t>
      </w:r>
    </w:p>
    <w:p w:rsidR="00D9427A" w:rsidRPr="00A91242" w:rsidRDefault="00D9427A" w:rsidP="00A91242">
      <w:pPr>
        <w:pStyle w:val="Numberbullet0"/>
      </w:pPr>
      <w:r w:rsidRPr="00A91242">
        <w:t xml:space="preserve">The highly variable incidence of patients who test ADA positive on treatment across different studies, with this ranging from 0.6% to 19.3%. This does not appear to be related to cancer type as the two studies of patients with </w:t>
      </w:r>
      <w:proofErr w:type="spellStart"/>
      <w:r w:rsidRPr="00A91242">
        <w:t>cHL</w:t>
      </w:r>
      <w:proofErr w:type="spellEnd"/>
      <w:r w:rsidRPr="00A91242">
        <w:t>, Studies CA209205 and CA209039, had baseline rates of 0.6% and 5.3% respectively.</w:t>
      </w:r>
    </w:p>
    <w:p w:rsidR="00D9427A" w:rsidRPr="00A91242" w:rsidRDefault="00D9427A" w:rsidP="00A91242">
      <w:pPr>
        <w:pStyle w:val="Numberbullet0"/>
      </w:pPr>
      <w:r w:rsidRPr="00A91242">
        <w:t>The inconsistent appearance and disappearance of ADA, for example, of the 10 pati</w:t>
      </w:r>
      <w:r w:rsidR="00FA3E7D" w:rsidRPr="00A91242">
        <w:t>ents in Studies CA209205 and CA</w:t>
      </w:r>
      <w:r w:rsidRPr="00A91242">
        <w:t>209039 who were baseline ADA positive, 8 were subsequently negative at repeat testing less than 16 w</w:t>
      </w:r>
      <w:r w:rsidR="001A4F97" w:rsidRPr="00A91242">
        <w:t>eeks later (within several half</w:t>
      </w:r>
      <w:r w:rsidR="00BF1863">
        <w:noBreakHyphen/>
      </w:r>
      <w:r w:rsidRPr="00A91242">
        <w:t>lives of endogenous immunoglobulin).</w:t>
      </w:r>
    </w:p>
    <w:p w:rsidR="00D9427A" w:rsidRPr="00A91242" w:rsidRDefault="00D9427A" w:rsidP="00A91242">
      <w:pPr>
        <w:pStyle w:val="Numberbullet0"/>
      </w:pPr>
      <w:r w:rsidRPr="00A91242">
        <w:t xml:space="preserve">According to the sponsor’s table above, total of 109/1468 (9.6%) of patients receiving </w:t>
      </w:r>
      <w:proofErr w:type="spellStart"/>
      <w:r w:rsidRPr="00A91242">
        <w:t>nivolumab</w:t>
      </w:r>
      <w:proofErr w:type="spellEnd"/>
      <w:r w:rsidRPr="00A91242">
        <w:t xml:space="preserve"> monotherapy experienced and hypersensitivity/infusion reaction. No discussion of the cause of these reactions is provided by the sponsor, other than stating that they are not due to ADA</w:t>
      </w:r>
      <w:r w:rsidR="00FA3E7D" w:rsidRPr="00A91242">
        <w:t>s</w:t>
      </w:r>
      <w:r w:rsidRPr="00A91242">
        <w:t xml:space="preserve">. The evaluator is of the opinion that this capacity for </w:t>
      </w:r>
      <w:proofErr w:type="spellStart"/>
      <w:r w:rsidRPr="00A91242">
        <w:t>nivolumab</w:t>
      </w:r>
      <w:proofErr w:type="spellEnd"/>
      <w:r w:rsidR="006166C3" w:rsidRPr="00A91242">
        <w:t xml:space="preserve"> to trigger an </w:t>
      </w:r>
      <w:r w:rsidR="00FA3E7D" w:rsidRPr="00A91242">
        <w:t>IMAR</w:t>
      </w:r>
      <w:r w:rsidRPr="00A91242">
        <w:t xml:space="preserve"> needs further exploration and discussion.</w:t>
      </w:r>
    </w:p>
    <w:p w:rsidR="00D9427A" w:rsidRPr="00D9427A" w:rsidRDefault="00D9427A" w:rsidP="006166C3">
      <w:pPr>
        <w:pStyle w:val="Heading5"/>
      </w:pPr>
      <w:proofErr w:type="spellStart"/>
      <w:r w:rsidRPr="00D9427A">
        <w:t>Pharmacodynamic</w:t>
      </w:r>
      <w:proofErr w:type="spellEnd"/>
      <w:r w:rsidRPr="00D9427A">
        <w:t xml:space="preserve"> interactions</w:t>
      </w:r>
    </w:p>
    <w:p w:rsidR="00D9427A" w:rsidRPr="00D9427A" w:rsidRDefault="00D9427A" w:rsidP="00D9427A">
      <w:r w:rsidRPr="00D9427A">
        <w:t xml:space="preserve">No investigations of </w:t>
      </w:r>
      <w:proofErr w:type="spellStart"/>
      <w:r w:rsidRPr="00D9427A">
        <w:t>pharmacod</w:t>
      </w:r>
      <w:r w:rsidR="006166C3">
        <w:t>ynamic</w:t>
      </w:r>
      <w:proofErr w:type="spellEnd"/>
      <w:r w:rsidRPr="00D9427A">
        <w:t xml:space="preserve"> interactions were presented or described. Theoretically, co-administration of immunosuppressive agents could reduce the efficacy of </w:t>
      </w:r>
      <w:proofErr w:type="spellStart"/>
      <w:r w:rsidRPr="00D9427A">
        <w:t>nivolumab</w:t>
      </w:r>
      <w:proofErr w:type="spellEnd"/>
      <w:r w:rsidRPr="00D9427A">
        <w:t xml:space="preserve">. Patients receiving immunosuppressive therapy/therapies or with active auto-immune diseases were excluded from the studies. </w:t>
      </w:r>
      <w:proofErr w:type="gramStart"/>
      <w:r w:rsidRPr="00D9427A">
        <w:t>Patients</w:t>
      </w:r>
      <w:proofErr w:type="gramEnd"/>
      <w:r w:rsidRPr="00D9427A">
        <w:t xml:space="preserve"> who developed </w:t>
      </w:r>
      <w:r w:rsidR="006166C3">
        <w:t>immune related adverse reactions (</w:t>
      </w:r>
      <w:proofErr w:type="spellStart"/>
      <w:r w:rsidR="006166C3">
        <w:t>irAR</w:t>
      </w:r>
      <w:proofErr w:type="spellEnd"/>
      <w:r w:rsidR="006166C3">
        <w:t>)</w:t>
      </w:r>
      <w:r w:rsidRPr="00D9427A">
        <w:t xml:space="preserve"> during, or following treatment, could be treat</w:t>
      </w:r>
      <w:r w:rsidR="00D9067B">
        <w:t xml:space="preserve">ed with immune </w:t>
      </w:r>
      <w:r w:rsidRPr="00D9427A">
        <w:t>suppressive therapy/therapies. A separate efficacy analysis for the</w:t>
      </w:r>
      <w:r w:rsidR="00D9067B">
        <w:t>se patients has been requested.</w:t>
      </w:r>
    </w:p>
    <w:p w:rsidR="00D9427A" w:rsidRPr="00D9427A" w:rsidRDefault="00D9427A" w:rsidP="00D9427A">
      <w:r w:rsidRPr="00D9427A">
        <w:t xml:space="preserve">The sponsor performed additional efficacy analyses on the patients who developed </w:t>
      </w:r>
      <w:proofErr w:type="spellStart"/>
      <w:r w:rsidRPr="00D9427A">
        <w:t>irARs</w:t>
      </w:r>
      <w:proofErr w:type="spellEnd"/>
      <w:r w:rsidRPr="00D9427A">
        <w:t xml:space="preserve"> during or following treatments and were being treated with immune-suppressive therapies for the SCE population from Studies CA209205 and CA209039 (Cohort B and ASCT-</w:t>
      </w:r>
      <w:proofErr w:type="spellStart"/>
      <w:r w:rsidR="006166C3">
        <w:t>bren</w:t>
      </w:r>
      <w:proofErr w:type="spellEnd"/>
      <w:r w:rsidRPr="00D9427A">
        <w:t xml:space="preserve"> failed group). This found a numerically lower ORR per IRRC in the 26 patients who received immunosuppressive therapy compared to the 69 who did not but substantial overlap of the 95% CI (57.7% (95% CI 36.9, 76.6) compared to 69.6% (95% CI 57.3, 80.1)). Median PFS was also lower in the s</w:t>
      </w:r>
      <w:r w:rsidR="00D9067B">
        <w:t>ub</w:t>
      </w:r>
      <w:r w:rsidRPr="00D9427A">
        <w:t xml:space="preserve">group treated with immunosuppression (11.33 months compared </w:t>
      </w:r>
      <w:r w:rsidR="00D9067B">
        <w:t>to 14.95 months</w:t>
      </w:r>
      <w:r w:rsidR="00BF1863">
        <w:t>)</w:t>
      </w:r>
      <w:r w:rsidR="00D9067B">
        <w:t xml:space="preserve">. This is a post </w:t>
      </w:r>
      <w:r w:rsidRPr="00D9427A">
        <w:t xml:space="preserve">hoc analysis of a small number of patients but does create uncertainty regarding a potential reduction in the efficacy of </w:t>
      </w:r>
      <w:proofErr w:type="spellStart"/>
      <w:r w:rsidRPr="00D9427A">
        <w:t>nivolumab</w:t>
      </w:r>
      <w:proofErr w:type="spellEnd"/>
      <w:r w:rsidRPr="00D9427A">
        <w:t xml:space="preserve"> when co-administration of immunosuppressive therapy is required.</w:t>
      </w:r>
    </w:p>
    <w:p w:rsidR="008E7846" w:rsidRDefault="00605AD4" w:rsidP="00605AD4">
      <w:pPr>
        <w:pStyle w:val="Heading3"/>
      </w:pPr>
      <w:bookmarkStart w:id="58" w:name="_Toc497992241"/>
      <w:r>
        <w:t>Dosage selection for the pivotal studies</w:t>
      </w:r>
      <w:bookmarkEnd w:id="58"/>
    </w:p>
    <w:p w:rsidR="00DF5B4F" w:rsidRDefault="00DF5B4F" w:rsidP="00DF5B4F">
      <w:pPr>
        <w:rPr>
          <w:lang w:eastAsia="ja-JP"/>
        </w:rPr>
      </w:pPr>
      <w:r w:rsidRPr="001F5ADE">
        <w:rPr>
          <w:lang w:eastAsia="ja-JP"/>
        </w:rPr>
        <w:t xml:space="preserve">Neither study presented in the submission is a </w:t>
      </w:r>
      <w:r>
        <w:rPr>
          <w:lang w:eastAsia="ja-JP"/>
        </w:rPr>
        <w:t>P</w:t>
      </w:r>
      <w:r w:rsidRPr="001F5ADE">
        <w:rPr>
          <w:lang w:eastAsia="ja-JP"/>
        </w:rPr>
        <w:t xml:space="preserve">hase </w:t>
      </w:r>
      <w:r>
        <w:rPr>
          <w:lang w:eastAsia="ja-JP"/>
        </w:rPr>
        <w:t>III</w:t>
      </w:r>
      <w:r w:rsidRPr="001F5ADE">
        <w:rPr>
          <w:lang w:eastAsia="ja-JP"/>
        </w:rPr>
        <w:t xml:space="preserve"> study. Both were exploratory studies using open label, single arm, </w:t>
      </w:r>
      <w:proofErr w:type="gramStart"/>
      <w:r w:rsidRPr="001F5ADE">
        <w:rPr>
          <w:lang w:eastAsia="ja-JP"/>
        </w:rPr>
        <w:t>parallel</w:t>
      </w:r>
      <w:proofErr w:type="gramEnd"/>
      <w:r w:rsidRPr="001F5ADE">
        <w:rPr>
          <w:lang w:eastAsia="ja-JP"/>
        </w:rPr>
        <w:t xml:space="preserve"> cohort designs. In both studies, interim analyses have provided the resul</w:t>
      </w:r>
      <w:r>
        <w:rPr>
          <w:lang w:eastAsia="ja-JP"/>
        </w:rPr>
        <w:t>ts reported in this submission.</w:t>
      </w:r>
    </w:p>
    <w:p w:rsidR="00DF5B4F" w:rsidRPr="001F5ADE" w:rsidRDefault="00DF5B4F" w:rsidP="00DF5B4F">
      <w:pPr>
        <w:rPr>
          <w:lang w:eastAsia="ja-JP"/>
        </w:rPr>
      </w:pPr>
      <w:r w:rsidRPr="001F5ADE">
        <w:rPr>
          <w:lang w:eastAsia="ja-JP"/>
        </w:rPr>
        <w:t xml:space="preserve">The </w:t>
      </w:r>
      <w:r w:rsidR="00BF1863">
        <w:rPr>
          <w:lang w:eastAsia="ja-JP"/>
        </w:rPr>
        <w:t xml:space="preserve">sponsor’s </w:t>
      </w:r>
      <w:r w:rsidRPr="001F5ADE">
        <w:rPr>
          <w:lang w:eastAsia="ja-JP"/>
        </w:rPr>
        <w:t>Summary of Clinical Pharmacology notes that</w:t>
      </w:r>
      <w:r>
        <w:rPr>
          <w:lang w:eastAsia="ja-JP"/>
        </w:rPr>
        <w:t>: ‘</w:t>
      </w:r>
      <w:r w:rsidRPr="001F5ADE">
        <w:rPr>
          <w:i/>
          <w:lang w:eastAsia="ja-JP"/>
        </w:rPr>
        <w:t xml:space="preserve">The recommended dose and schedule of </w:t>
      </w:r>
      <w:proofErr w:type="spellStart"/>
      <w:r w:rsidRPr="001F5ADE">
        <w:rPr>
          <w:i/>
          <w:lang w:eastAsia="ja-JP"/>
        </w:rPr>
        <w:t>nivolumab</w:t>
      </w:r>
      <w:proofErr w:type="spellEnd"/>
      <w:r w:rsidRPr="001F5ADE">
        <w:rPr>
          <w:i/>
          <w:lang w:eastAsia="ja-JP"/>
        </w:rPr>
        <w:t xml:space="preserve"> monotherapy for </w:t>
      </w:r>
      <w:proofErr w:type="spellStart"/>
      <w:r w:rsidRPr="001F5ADE">
        <w:rPr>
          <w:i/>
          <w:lang w:eastAsia="ja-JP"/>
        </w:rPr>
        <w:t>cHL</w:t>
      </w:r>
      <w:proofErr w:type="spellEnd"/>
      <w:r w:rsidRPr="001F5ADE">
        <w:rPr>
          <w:i/>
          <w:lang w:eastAsia="ja-JP"/>
        </w:rPr>
        <w:t xml:space="preserve"> is the same as that approved for melanoma, SQ NSCLC, and RCC monotherapy: 3 mg/kg IV infusion over 60</w:t>
      </w:r>
      <w:r>
        <w:rPr>
          <w:i/>
          <w:lang w:eastAsia="ja-JP"/>
        </w:rPr>
        <w:t xml:space="preserve"> </w:t>
      </w:r>
      <w:r w:rsidRPr="001F5ADE">
        <w:rPr>
          <w:i/>
          <w:lang w:eastAsia="ja-JP"/>
        </w:rPr>
        <w:t>minutes Q2W.</w:t>
      </w:r>
      <w:r>
        <w:rPr>
          <w:i/>
          <w:lang w:eastAsia="ja-JP"/>
        </w:rPr>
        <w:t>’</w:t>
      </w:r>
    </w:p>
    <w:p w:rsidR="00DF5B4F" w:rsidRPr="001F5ADE" w:rsidRDefault="00DF5B4F" w:rsidP="00DF5B4F">
      <w:pPr>
        <w:rPr>
          <w:i/>
          <w:lang w:eastAsia="ja-JP"/>
        </w:rPr>
      </w:pPr>
      <w:r w:rsidRPr="001F5ADE">
        <w:rPr>
          <w:lang w:eastAsia="ja-JP"/>
        </w:rPr>
        <w:t>The rationale provided for this dosing schedule in the study protocol for Study C</w:t>
      </w:r>
      <w:r>
        <w:rPr>
          <w:lang w:eastAsia="ja-JP"/>
        </w:rPr>
        <w:t>A</w:t>
      </w:r>
      <w:r w:rsidRPr="001F5ADE">
        <w:rPr>
          <w:lang w:eastAsia="ja-JP"/>
        </w:rPr>
        <w:t xml:space="preserve">209205 was that: </w:t>
      </w:r>
      <w:r>
        <w:rPr>
          <w:lang w:eastAsia="ja-JP"/>
        </w:rPr>
        <w:t>‘</w:t>
      </w:r>
      <w:r w:rsidRPr="001F5ADE">
        <w:rPr>
          <w:i/>
          <w:lang w:eastAsia="ja-JP"/>
        </w:rPr>
        <w:t xml:space="preserve">The monotherapy dose and schedule of </w:t>
      </w:r>
      <w:proofErr w:type="spellStart"/>
      <w:r w:rsidRPr="001F5ADE">
        <w:rPr>
          <w:i/>
          <w:lang w:eastAsia="ja-JP"/>
        </w:rPr>
        <w:t>nivolumab</w:t>
      </w:r>
      <w:proofErr w:type="spellEnd"/>
      <w:r w:rsidRPr="001F5ADE">
        <w:rPr>
          <w:i/>
          <w:lang w:eastAsia="ja-JP"/>
        </w:rPr>
        <w:t xml:space="preserve"> 3 mg</w:t>
      </w:r>
      <w:r>
        <w:rPr>
          <w:i/>
          <w:lang w:eastAsia="ja-JP"/>
        </w:rPr>
        <w:t>/kg Q2W was selected for Phase II/III</w:t>
      </w:r>
      <w:r w:rsidRPr="001F5ADE">
        <w:rPr>
          <w:i/>
          <w:lang w:eastAsia="ja-JP"/>
        </w:rPr>
        <w:t xml:space="preserve"> studies across tumour types based</w:t>
      </w:r>
      <w:r>
        <w:rPr>
          <w:i/>
          <w:lang w:eastAsia="ja-JP"/>
        </w:rPr>
        <w:t xml:space="preserve"> upon an interim analysis on 24 February </w:t>
      </w:r>
      <w:r w:rsidRPr="001F5ADE">
        <w:rPr>
          <w:i/>
          <w:lang w:eastAsia="ja-JP"/>
        </w:rPr>
        <w:t>2012 of safety, efficacy, and exposure-response data from approximately 300</w:t>
      </w:r>
      <w:r>
        <w:rPr>
          <w:i/>
          <w:lang w:eastAsia="ja-JP"/>
        </w:rPr>
        <w:t xml:space="preserve"> subjects treated in the Phase I</w:t>
      </w:r>
      <w:r w:rsidRPr="001F5ADE">
        <w:rPr>
          <w:i/>
          <w:lang w:eastAsia="ja-JP"/>
        </w:rPr>
        <w:t xml:space="preserve"> Study CA209</w:t>
      </w:r>
      <w:r>
        <w:rPr>
          <w:i/>
          <w:lang w:eastAsia="ja-JP"/>
        </w:rPr>
        <w:t>003 (also known as MDX1106-03).’</w:t>
      </w:r>
    </w:p>
    <w:p w:rsidR="00DF5B4F" w:rsidRPr="00BB14DF" w:rsidRDefault="00DF5B4F" w:rsidP="00DF5B4F">
      <w:pPr>
        <w:rPr>
          <w:i/>
          <w:lang w:eastAsia="ja-JP"/>
        </w:rPr>
      </w:pPr>
      <w:r w:rsidRPr="001F5ADE">
        <w:rPr>
          <w:lang w:eastAsia="ja-JP"/>
        </w:rPr>
        <w:t>The rationale for the dosing schedules of 1</w:t>
      </w:r>
      <w:r>
        <w:rPr>
          <w:lang w:eastAsia="ja-JP"/>
        </w:rPr>
        <w:t xml:space="preserve"> </w:t>
      </w:r>
      <w:r w:rsidRPr="001F5ADE">
        <w:rPr>
          <w:lang w:eastAsia="ja-JP"/>
        </w:rPr>
        <w:t>mg/kg and 3</w:t>
      </w:r>
      <w:r>
        <w:rPr>
          <w:lang w:eastAsia="ja-JP"/>
        </w:rPr>
        <w:t xml:space="preserve"> </w:t>
      </w:r>
      <w:r w:rsidRPr="001F5ADE">
        <w:rPr>
          <w:lang w:eastAsia="ja-JP"/>
        </w:rPr>
        <w:t xml:space="preserve">mg/kg </w:t>
      </w:r>
      <w:r>
        <w:rPr>
          <w:lang w:eastAsia="ja-JP"/>
        </w:rPr>
        <w:t>in the study protocol for Study </w:t>
      </w:r>
      <w:r w:rsidRPr="001F5ADE">
        <w:rPr>
          <w:lang w:eastAsia="ja-JP"/>
        </w:rPr>
        <w:t>CA209039 is that these were the doses evaluated in Study CA209003. Early versions of the study protocol for Study CA209039 included the dose of 10</w:t>
      </w:r>
      <w:r>
        <w:rPr>
          <w:lang w:eastAsia="ja-JP"/>
        </w:rPr>
        <w:t xml:space="preserve"> </w:t>
      </w:r>
      <w:r w:rsidRPr="001F5ADE">
        <w:rPr>
          <w:lang w:eastAsia="ja-JP"/>
        </w:rPr>
        <w:t xml:space="preserve">mg/kg that was also </w:t>
      </w:r>
      <w:r w:rsidRPr="001F5ADE">
        <w:rPr>
          <w:lang w:eastAsia="ja-JP"/>
        </w:rPr>
        <w:lastRenderedPageBreak/>
        <w:t>used in Study CA209003. The study protocol also notes with respe</w:t>
      </w:r>
      <w:r>
        <w:rPr>
          <w:lang w:eastAsia="ja-JP"/>
        </w:rPr>
        <w:t>ct to Study CA209003 that no maximum tolerated dose</w:t>
      </w:r>
      <w:r w:rsidRPr="001F5ADE">
        <w:rPr>
          <w:lang w:eastAsia="ja-JP"/>
        </w:rPr>
        <w:t xml:space="preserve"> was identified and that </w:t>
      </w:r>
      <w:r>
        <w:rPr>
          <w:i/>
          <w:lang w:eastAsia="ja-JP"/>
        </w:rPr>
        <w:t>‘l</w:t>
      </w:r>
      <w:r w:rsidRPr="001F5ADE">
        <w:rPr>
          <w:i/>
          <w:lang w:eastAsia="ja-JP"/>
        </w:rPr>
        <w:t>imited evaluation of efficacy in subjects with melanoma across the dose levels suggested there was a similar level of efficacy although the highest response rate was observed at the 3 mg/kg dose level. Ongoing studies will help to clarify the optimal dose and schedule for evaluation.</w:t>
      </w:r>
      <w:r>
        <w:rPr>
          <w:i/>
          <w:lang w:eastAsia="ja-JP"/>
        </w:rPr>
        <w:t>’</w:t>
      </w:r>
    </w:p>
    <w:p w:rsidR="00DF5B4F" w:rsidRPr="001F5ADE" w:rsidRDefault="00704BB0" w:rsidP="00DF5B4F">
      <w:pPr>
        <w:rPr>
          <w:lang w:eastAsia="ja-JP"/>
        </w:rPr>
      </w:pPr>
      <w:r>
        <w:rPr>
          <w:lang w:eastAsia="ja-JP"/>
        </w:rPr>
        <w:t xml:space="preserve">The </w:t>
      </w:r>
      <w:r w:rsidR="00DF5B4F" w:rsidRPr="001F5ADE">
        <w:rPr>
          <w:lang w:eastAsia="ja-JP"/>
        </w:rPr>
        <w:t xml:space="preserve">Study CA209003 CSR was provided to the TGA with the first </w:t>
      </w:r>
      <w:proofErr w:type="spellStart"/>
      <w:r w:rsidR="00DF5B4F" w:rsidRPr="001F5ADE">
        <w:rPr>
          <w:lang w:eastAsia="ja-JP"/>
        </w:rPr>
        <w:t>nivolumab</w:t>
      </w:r>
      <w:proofErr w:type="spellEnd"/>
      <w:r w:rsidR="00DF5B4F" w:rsidRPr="001F5ADE">
        <w:rPr>
          <w:lang w:eastAsia="ja-JP"/>
        </w:rPr>
        <w:t xml:space="preserve"> </w:t>
      </w:r>
      <w:r w:rsidR="00A403A8">
        <w:rPr>
          <w:lang w:eastAsia="ja-JP"/>
        </w:rPr>
        <w:t>New Biological Entity (</w:t>
      </w:r>
      <w:r w:rsidR="00DF5B4F" w:rsidRPr="001F5ADE">
        <w:rPr>
          <w:lang w:eastAsia="ja-JP"/>
        </w:rPr>
        <w:t>NBE</w:t>
      </w:r>
      <w:r w:rsidR="00A403A8">
        <w:rPr>
          <w:lang w:eastAsia="ja-JP"/>
        </w:rPr>
        <w:t>)</w:t>
      </w:r>
      <w:r w:rsidR="00DF5B4F" w:rsidRPr="001F5ADE">
        <w:rPr>
          <w:lang w:eastAsia="ja-JP"/>
        </w:rPr>
        <w:t xml:space="preserve"> submission. In this dose-ranging study, patients with solid organ tumours (melanoma, </w:t>
      </w:r>
      <w:r w:rsidR="00487EC6">
        <w:rPr>
          <w:lang w:eastAsia="ja-JP"/>
        </w:rPr>
        <w:t>RCC</w:t>
      </w:r>
      <w:r w:rsidR="00DF5B4F" w:rsidRPr="001F5ADE">
        <w:rPr>
          <w:lang w:eastAsia="ja-JP"/>
        </w:rPr>
        <w:t>, NSCLC, colorectal cancer, prostate cancer) were treated at one of five dose levels (0.1, 0.3, 1.0, 3.0 and 10.0 mg/kg) with treatment was administered every 2 weeks, for up to 48 doses. Efficacy was determined by investigator-assessed tumour measurements using RECIST v</w:t>
      </w:r>
      <w:r w:rsidR="00D13A03">
        <w:rPr>
          <w:lang w:eastAsia="ja-JP"/>
        </w:rPr>
        <w:t xml:space="preserve">ersion </w:t>
      </w:r>
      <w:r w:rsidR="00DF5B4F" w:rsidRPr="001F5ADE">
        <w:rPr>
          <w:lang w:eastAsia="ja-JP"/>
        </w:rPr>
        <w:t>1.0 criteria, and consisted primarily of the objective response rate (ORR).</w:t>
      </w:r>
      <w:r w:rsidR="00D13A03">
        <w:rPr>
          <w:rStyle w:val="FootnoteReference"/>
          <w:lang w:eastAsia="ja-JP"/>
        </w:rPr>
        <w:footnoteReference w:id="16"/>
      </w:r>
      <w:r w:rsidR="00DF5B4F" w:rsidRPr="001F5ADE">
        <w:rPr>
          <w:lang w:eastAsia="ja-JP"/>
        </w:rPr>
        <w:t xml:space="preserve"> There was no apparent dose-response relationship across the evaluated dose ranges in subjects in the rate of objective responses f</w:t>
      </w:r>
      <w:r w:rsidR="00A403A8">
        <w:rPr>
          <w:lang w:eastAsia="ja-JP"/>
        </w:rPr>
        <w:t xml:space="preserve">or patients with melanoma or </w:t>
      </w:r>
      <w:r w:rsidR="00487EC6">
        <w:rPr>
          <w:lang w:eastAsia="ja-JP"/>
        </w:rPr>
        <w:t>RCC</w:t>
      </w:r>
      <w:r w:rsidR="00DF5B4F">
        <w:rPr>
          <w:lang w:eastAsia="ja-JP"/>
        </w:rPr>
        <w:t xml:space="preserve"> although</w:t>
      </w:r>
      <w:r w:rsidR="00DF5B4F" w:rsidRPr="001F5ADE">
        <w:rPr>
          <w:lang w:eastAsia="ja-JP"/>
        </w:rPr>
        <w:t xml:space="preserve"> the response rate was greater in NSCLC subjects treated with 3 or 10 mg/kg </w:t>
      </w:r>
      <w:proofErr w:type="spellStart"/>
      <w:r w:rsidR="00DF5B4F" w:rsidRPr="001F5ADE">
        <w:rPr>
          <w:lang w:eastAsia="ja-JP"/>
        </w:rPr>
        <w:t>nivolumab</w:t>
      </w:r>
      <w:proofErr w:type="spellEnd"/>
      <w:r w:rsidR="00DF5B4F" w:rsidRPr="001F5ADE">
        <w:rPr>
          <w:lang w:eastAsia="ja-JP"/>
        </w:rPr>
        <w:t>. The conclusion of this study recommended the dose of 3</w:t>
      </w:r>
      <w:r w:rsidR="00DF5B4F">
        <w:rPr>
          <w:lang w:eastAsia="ja-JP"/>
        </w:rPr>
        <w:t> </w:t>
      </w:r>
      <w:r w:rsidR="00DF5B4F" w:rsidRPr="001F5ADE">
        <w:rPr>
          <w:lang w:eastAsia="ja-JP"/>
        </w:rPr>
        <w:t xml:space="preserve">mg/kg given </w:t>
      </w:r>
      <w:r>
        <w:rPr>
          <w:lang w:eastAsia="ja-JP"/>
        </w:rPr>
        <w:t>every two weeks</w:t>
      </w:r>
      <w:r w:rsidR="00DF5B4F" w:rsidRPr="001F5ADE">
        <w:rPr>
          <w:lang w:eastAsia="ja-JP"/>
        </w:rPr>
        <w:t xml:space="preserve"> for all cancer types.</w:t>
      </w:r>
    </w:p>
    <w:p w:rsidR="00DF5B4F" w:rsidRPr="00DF5B4F" w:rsidRDefault="00DF5B4F" w:rsidP="00DF5B4F">
      <w:pPr>
        <w:rPr>
          <w:lang w:eastAsia="ja-JP"/>
        </w:rPr>
      </w:pPr>
      <w:proofErr w:type="spellStart"/>
      <w:r w:rsidRPr="001F5ADE">
        <w:rPr>
          <w:lang w:eastAsia="ja-JP"/>
        </w:rPr>
        <w:t>Nivolumab</w:t>
      </w:r>
      <w:proofErr w:type="spellEnd"/>
      <w:r w:rsidRPr="001F5ADE">
        <w:rPr>
          <w:lang w:eastAsia="ja-JP"/>
        </w:rPr>
        <w:t xml:space="preserve"> dose selection for </w:t>
      </w:r>
      <w:proofErr w:type="spellStart"/>
      <w:r w:rsidRPr="001F5ADE">
        <w:rPr>
          <w:lang w:eastAsia="ja-JP"/>
        </w:rPr>
        <w:t>cHL</w:t>
      </w:r>
      <w:proofErr w:type="spellEnd"/>
      <w:r w:rsidRPr="001F5ADE">
        <w:rPr>
          <w:lang w:eastAsia="ja-JP"/>
        </w:rPr>
        <w:t xml:space="preserve"> appears to be based on generalisation from dosing in solid tumours with the underlying assumption that all tumours will respond similarly to </w:t>
      </w:r>
      <w:proofErr w:type="spellStart"/>
      <w:r w:rsidRPr="001F5ADE">
        <w:rPr>
          <w:lang w:eastAsia="ja-JP"/>
        </w:rPr>
        <w:t>nivolumab</w:t>
      </w:r>
      <w:proofErr w:type="spellEnd"/>
      <w:r w:rsidRPr="001F5ADE">
        <w:rPr>
          <w:lang w:eastAsia="ja-JP"/>
        </w:rPr>
        <w:t xml:space="preserve"> and that </w:t>
      </w:r>
      <w:proofErr w:type="spellStart"/>
      <w:r w:rsidRPr="001F5ADE">
        <w:rPr>
          <w:lang w:eastAsia="ja-JP"/>
        </w:rPr>
        <w:t>nivolumab</w:t>
      </w:r>
      <w:proofErr w:type="spellEnd"/>
      <w:r w:rsidRPr="001F5ADE">
        <w:rPr>
          <w:lang w:eastAsia="ja-JP"/>
        </w:rPr>
        <w:t xml:space="preserve"> in patients with any tumour type will </w:t>
      </w:r>
      <w:r w:rsidR="00D10651">
        <w:rPr>
          <w:lang w:eastAsia="ja-JP"/>
        </w:rPr>
        <w:t xml:space="preserve">have similar pharmacokinetics. </w:t>
      </w:r>
      <w:r w:rsidRPr="001F5ADE">
        <w:rPr>
          <w:lang w:eastAsia="ja-JP"/>
        </w:rPr>
        <w:t xml:space="preserve">The evaluator notes that, according to the PPK analysis provided with this submission, the pharmacokinetics of </w:t>
      </w:r>
      <w:proofErr w:type="spellStart"/>
      <w:r w:rsidRPr="001F5ADE">
        <w:rPr>
          <w:lang w:eastAsia="ja-JP"/>
        </w:rPr>
        <w:t>nivolumab</w:t>
      </w:r>
      <w:proofErr w:type="spellEnd"/>
      <w:r w:rsidRPr="001F5ADE">
        <w:rPr>
          <w:lang w:eastAsia="ja-JP"/>
        </w:rPr>
        <w:t xml:space="preserve"> in patients with </w:t>
      </w:r>
      <w:proofErr w:type="spellStart"/>
      <w:r w:rsidRPr="001F5ADE">
        <w:rPr>
          <w:lang w:eastAsia="ja-JP"/>
        </w:rPr>
        <w:t>cHL</w:t>
      </w:r>
      <w:proofErr w:type="spellEnd"/>
      <w:r w:rsidRPr="001F5ADE">
        <w:rPr>
          <w:lang w:eastAsia="ja-JP"/>
        </w:rPr>
        <w:t xml:space="preserve"> appear to differ from the pharmacokinetics in patients with solid tumours</w:t>
      </w:r>
      <w:r>
        <w:rPr>
          <w:lang w:eastAsia="ja-JP"/>
        </w:rPr>
        <w:t xml:space="preserve">: </w:t>
      </w:r>
      <w:r w:rsidRPr="001F5ADE">
        <w:rPr>
          <w:lang w:eastAsia="ja-JP"/>
        </w:rPr>
        <w:t xml:space="preserve">patients with </w:t>
      </w:r>
      <w:proofErr w:type="spellStart"/>
      <w:r w:rsidRPr="001F5ADE">
        <w:rPr>
          <w:lang w:eastAsia="ja-JP"/>
        </w:rPr>
        <w:t>cHL</w:t>
      </w:r>
      <w:proofErr w:type="spellEnd"/>
      <w:r w:rsidRPr="001F5ADE">
        <w:rPr>
          <w:lang w:eastAsia="ja-JP"/>
        </w:rPr>
        <w:t xml:space="preserve"> appear to have reduced clearance of </w:t>
      </w:r>
      <w:proofErr w:type="spellStart"/>
      <w:r w:rsidRPr="001F5ADE">
        <w:rPr>
          <w:lang w:eastAsia="ja-JP"/>
        </w:rPr>
        <w:t>nivolumab</w:t>
      </w:r>
      <w:proofErr w:type="spellEnd"/>
      <w:r w:rsidRPr="001F5ADE">
        <w:rPr>
          <w:lang w:eastAsia="ja-JP"/>
        </w:rPr>
        <w:t xml:space="preserve"> and a corresponding increase in exposure.</w:t>
      </w:r>
    </w:p>
    <w:p w:rsidR="008E7846" w:rsidRPr="00254787" w:rsidRDefault="008E7846" w:rsidP="008E7846">
      <w:pPr>
        <w:pStyle w:val="Heading3"/>
      </w:pPr>
      <w:bookmarkStart w:id="59" w:name="_Toc163441372"/>
      <w:bookmarkStart w:id="60" w:name="_Toc196046485"/>
      <w:bookmarkStart w:id="61" w:name="_Toc247691521"/>
      <w:bookmarkStart w:id="62" w:name="_Toc314842504"/>
      <w:bookmarkStart w:id="63" w:name="_Toc497992242"/>
      <w:r w:rsidRPr="00254787">
        <w:t>Efficacy</w:t>
      </w:r>
      <w:bookmarkEnd w:id="59"/>
      <w:bookmarkEnd w:id="60"/>
      <w:bookmarkEnd w:id="61"/>
      <w:bookmarkEnd w:id="62"/>
      <w:bookmarkEnd w:id="63"/>
    </w:p>
    <w:p w:rsidR="00605AD4" w:rsidRDefault="00605AD4" w:rsidP="00605AD4">
      <w:pPr>
        <w:pStyle w:val="Heading4"/>
      </w:pPr>
      <w:bookmarkStart w:id="64" w:name="_Toc184439992"/>
      <w:bookmarkStart w:id="65" w:name="_Toc184440279"/>
      <w:bookmarkStart w:id="66" w:name="_Toc184444657"/>
      <w:bookmarkStart w:id="67" w:name="_Toc196046487"/>
      <w:r>
        <w:t>Studies providing efficacy data</w:t>
      </w:r>
    </w:p>
    <w:p w:rsidR="00D10651" w:rsidRPr="00D10651" w:rsidRDefault="00D10651" w:rsidP="00D10651">
      <w:r>
        <w:t>The interim CSRs for Studies CA209</w:t>
      </w:r>
      <w:r w:rsidR="00AD21A6">
        <w:t xml:space="preserve">205 and CA209039 along with an </w:t>
      </w:r>
      <w:r>
        <w:t xml:space="preserve">integrated </w:t>
      </w:r>
      <w:r w:rsidR="00AD21A6">
        <w:t xml:space="preserve">analysis </w:t>
      </w:r>
      <w:r w:rsidR="00203F80">
        <w:t>provided efficacy data.</w:t>
      </w:r>
    </w:p>
    <w:p w:rsidR="008E7846" w:rsidRDefault="00605AD4" w:rsidP="00605AD4">
      <w:pPr>
        <w:pStyle w:val="Heading4"/>
      </w:pPr>
      <w:r>
        <w:t>Evaluator’s conclusions on efficacy</w:t>
      </w:r>
    </w:p>
    <w:p w:rsidR="00303D4E" w:rsidRPr="00303D4E" w:rsidRDefault="00303D4E" w:rsidP="00303D4E">
      <w:r w:rsidRPr="00303D4E">
        <w:t xml:space="preserve">As the </w:t>
      </w:r>
      <w:r w:rsidR="00AD21A6">
        <w:t xml:space="preserve">proposed </w:t>
      </w:r>
      <w:r w:rsidRPr="00303D4E">
        <w:t xml:space="preserve">indication is in two parts, the following </w:t>
      </w:r>
      <w:r w:rsidR="007653F2">
        <w:t>summary</w:t>
      </w:r>
      <w:r w:rsidR="00704BB0">
        <w:t xml:space="preserve"> of</w:t>
      </w:r>
      <w:r w:rsidR="005E6FD7">
        <w:t xml:space="preserve"> efficacy</w:t>
      </w:r>
      <w:r w:rsidR="0037346F">
        <w:t xml:space="preserve"> </w:t>
      </w:r>
      <w:r w:rsidRPr="00303D4E">
        <w:t xml:space="preserve">is also </w:t>
      </w:r>
      <w:r w:rsidR="00704BB0">
        <w:t>presented</w:t>
      </w:r>
      <w:r w:rsidR="007653F2">
        <w:t xml:space="preserve"> in </w:t>
      </w:r>
      <w:r w:rsidRPr="00303D4E">
        <w:t>two parts.</w:t>
      </w:r>
      <w:r w:rsidR="007653F2">
        <w:t xml:space="preserve"> </w:t>
      </w:r>
      <w:r w:rsidR="005E6FD7">
        <w:t>Please see Attachment </w:t>
      </w:r>
      <w:r w:rsidR="007653F2">
        <w:t xml:space="preserve">2 for </w:t>
      </w:r>
      <w:r w:rsidR="00A2181C">
        <w:t>further details of the clinical evaluator’s conclusions on efficacy.</w:t>
      </w:r>
    </w:p>
    <w:p w:rsidR="00AD21A6" w:rsidRDefault="00AD21A6" w:rsidP="00E90ECC">
      <w:pPr>
        <w:pStyle w:val="Heading5"/>
      </w:pPr>
      <w:bookmarkStart w:id="68" w:name="_Toc473012328"/>
      <w:r>
        <w:t>First p</w:t>
      </w:r>
      <w:r w:rsidR="00303D4E" w:rsidRPr="00303D4E">
        <w:t xml:space="preserve">art </w:t>
      </w:r>
      <w:r>
        <w:t>of indication</w:t>
      </w:r>
    </w:p>
    <w:p w:rsidR="00AD21A6" w:rsidRPr="00AD21A6" w:rsidRDefault="00AD21A6" w:rsidP="00AD21A6">
      <w:pPr>
        <w:ind w:left="720"/>
        <w:rPr>
          <w:i/>
        </w:rPr>
      </w:pPr>
      <w:r w:rsidRPr="00303D4E">
        <w:rPr>
          <w:i/>
        </w:rPr>
        <w:t>‘</w:t>
      </w:r>
      <w:proofErr w:type="spellStart"/>
      <w:r w:rsidRPr="00303D4E">
        <w:rPr>
          <w:i/>
        </w:rPr>
        <w:t>Opdivo</w:t>
      </w:r>
      <w:proofErr w:type="spellEnd"/>
      <w:r w:rsidRPr="00303D4E">
        <w:rPr>
          <w:i/>
        </w:rPr>
        <w:t>, as monotherapy is indicated for the treatment of patients with relapsed or refractory classical Hodgkin lymphoma (</w:t>
      </w:r>
      <w:proofErr w:type="spellStart"/>
      <w:r w:rsidRPr="00303D4E">
        <w:rPr>
          <w:i/>
        </w:rPr>
        <w:t>cHL</w:t>
      </w:r>
      <w:proofErr w:type="spellEnd"/>
      <w:r w:rsidRPr="00303D4E">
        <w:rPr>
          <w:i/>
        </w:rPr>
        <w:t xml:space="preserve">) </w:t>
      </w:r>
      <w:r w:rsidR="00A91242">
        <w:rPr>
          <w:i/>
        </w:rPr>
        <w:t>following</w:t>
      </w:r>
      <w:r w:rsidRPr="00303D4E">
        <w:rPr>
          <w:i/>
        </w:rPr>
        <w:t xml:space="preserve"> autologous stem cell transplant (ASCT) and treatment with </w:t>
      </w:r>
      <w:proofErr w:type="spellStart"/>
      <w:r w:rsidRPr="00303D4E">
        <w:rPr>
          <w:i/>
        </w:rPr>
        <w:t>bren</w:t>
      </w:r>
      <w:r>
        <w:rPr>
          <w:i/>
        </w:rPr>
        <w:t>tuximab</w:t>
      </w:r>
      <w:proofErr w:type="spellEnd"/>
      <w:r>
        <w:rPr>
          <w:i/>
        </w:rPr>
        <w:t xml:space="preserve"> </w:t>
      </w:r>
      <w:proofErr w:type="spellStart"/>
      <w:r>
        <w:rPr>
          <w:i/>
        </w:rPr>
        <w:t>vedotin</w:t>
      </w:r>
      <w:proofErr w:type="spellEnd"/>
      <w:r>
        <w:rPr>
          <w:i/>
        </w:rPr>
        <w:t>’.</w:t>
      </w:r>
    </w:p>
    <w:bookmarkEnd w:id="68"/>
    <w:p w:rsidR="00303D4E" w:rsidRPr="00303D4E" w:rsidRDefault="00303D4E" w:rsidP="00303D4E">
      <w:r w:rsidRPr="00303D4E">
        <w:t>To demonstrate efficacy, the sponsor has provided interim analy</w:t>
      </w:r>
      <w:r w:rsidR="00E90ECC">
        <w:t>ses of two early phase studies:</w:t>
      </w:r>
    </w:p>
    <w:p w:rsidR="00303D4E" w:rsidRPr="00303D4E" w:rsidRDefault="00303D4E" w:rsidP="00E90ECC">
      <w:pPr>
        <w:pStyle w:val="ListBullet"/>
      </w:pPr>
      <w:r w:rsidRPr="00303D4E">
        <w:t>Study CA209205: analysis of one cohort of 80 patients from the open label single arm multiple cohort Phase II study</w:t>
      </w:r>
    </w:p>
    <w:p w:rsidR="00303D4E" w:rsidRPr="00303D4E" w:rsidRDefault="00303D4E" w:rsidP="00E90ECC">
      <w:pPr>
        <w:pStyle w:val="ListBullet"/>
      </w:pPr>
      <w:r w:rsidRPr="00303D4E">
        <w:t>Study CA209039: analysis of one sub-group of 15 patients from the escalation phase of an open label single arm multiple cohort Phase I study.</w:t>
      </w:r>
    </w:p>
    <w:p w:rsidR="00303D4E" w:rsidRPr="00303D4E" w:rsidRDefault="00303D4E" w:rsidP="00303D4E">
      <w:r w:rsidRPr="00303D4E">
        <w:t>An integrated analysis of the efficacy results from these two studies was also provided.</w:t>
      </w:r>
    </w:p>
    <w:p w:rsidR="00303D4E" w:rsidRPr="005218B6" w:rsidRDefault="00303D4E" w:rsidP="005218B6">
      <w:pPr>
        <w:spacing w:before="0"/>
      </w:pPr>
      <w:r w:rsidRPr="00DF5D00">
        <w:lastRenderedPageBreak/>
        <w:t>The primary efficacy endpoint of each analysis was the surrogate endpoint of objective response rate</w:t>
      </w:r>
      <w:r w:rsidR="005E6FD7" w:rsidRPr="00042EDE">
        <w:t xml:space="preserve"> (ORR)</w:t>
      </w:r>
      <w:r w:rsidRPr="00042EDE">
        <w:t xml:space="preserve"> and the population studied was patients with </w:t>
      </w:r>
      <w:proofErr w:type="spellStart"/>
      <w:r w:rsidRPr="00042EDE">
        <w:t>cHL</w:t>
      </w:r>
      <w:proofErr w:type="spellEnd"/>
      <w:r w:rsidRPr="00042EDE">
        <w:t xml:space="preserve"> who had developed pro</w:t>
      </w:r>
      <w:r w:rsidRPr="005218B6">
        <w:t xml:space="preserve">gressive disease following ASCT followed by </w:t>
      </w:r>
      <w:proofErr w:type="spellStart"/>
      <w:r w:rsidRPr="005218B6">
        <w:t>brentuximab</w:t>
      </w:r>
      <w:proofErr w:type="spellEnd"/>
      <w:r w:rsidRPr="005218B6">
        <w:t xml:space="preserve"> </w:t>
      </w:r>
      <w:proofErr w:type="spellStart"/>
      <w:r w:rsidRPr="005218B6">
        <w:t>vedotin</w:t>
      </w:r>
      <w:proofErr w:type="spellEnd"/>
      <w:r w:rsidRPr="005218B6">
        <w:t xml:space="preserve"> used as rescue therapy overall survival </w:t>
      </w:r>
      <w:r w:rsidR="005E6FD7" w:rsidRPr="005218B6">
        <w:t xml:space="preserve">(OS) </w:t>
      </w:r>
      <w:r w:rsidRPr="005218B6">
        <w:t xml:space="preserve">and progression free survival </w:t>
      </w:r>
      <w:r w:rsidR="005E6FD7" w:rsidRPr="005218B6">
        <w:t xml:space="preserve">(PFS) </w:t>
      </w:r>
      <w:r w:rsidRPr="005218B6">
        <w:t>were exploratory or secondary end-points in each study. No comparator was provided in either study.</w:t>
      </w:r>
    </w:p>
    <w:p w:rsidR="00303D4E" w:rsidRPr="00303D4E" w:rsidRDefault="00303D4E" w:rsidP="005218B6">
      <w:pPr>
        <w:spacing w:before="0"/>
      </w:pPr>
      <w:r w:rsidRPr="00DF5D00">
        <w:t>The ORR per IRRC of around 60% is consistent across the two studies and indicative of biological activity. The CR rat</w:t>
      </w:r>
      <w:r w:rsidRPr="00042EDE">
        <w:t>e in both s</w:t>
      </w:r>
      <w:r w:rsidR="00D10C7E" w:rsidRPr="00042EDE">
        <w:t>tudies was low: 0% in the ASCT-</w:t>
      </w:r>
      <w:proofErr w:type="spellStart"/>
      <w:r w:rsidR="00D10C7E" w:rsidRPr="00042EDE">
        <w:t>bren</w:t>
      </w:r>
      <w:proofErr w:type="spellEnd"/>
      <w:r w:rsidR="00D10C7E" w:rsidRPr="00042EDE">
        <w:t xml:space="preserve"> failed g</w:t>
      </w:r>
      <w:r w:rsidRPr="00042EDE">
        <w:t>roup</w:t>
      </w:r>
      <w:r w:rsidRPr="00303D4E">
        <w:t xml:space="preserve"> of Study CA209039 and 8.7% in Cohort B of Study CA209205. In the 15 patients of the ASCT-Bren failed group in Study CA209039, with a median follow-up of 23 months, the median duration of response was 11.96 months and the median progression free survival was 12.7 months. The median DOR and PFS for Cohort B of Study CA209205 were 7.79 and 9.99 months respectively, although these results are unstable due to the number of patients censored at the time of the interim analysis. The overall survival results were immature in both studies. In Study CA209039, with median follow-up </w:t>
      </w:r>
      <w:r w:rsidR="00D10C7E">
        <w:t>of 23 months, 4/15 of the ASCT-</w:t>
      </w:r>
      <w:proofErr w:type="spellStart"/>
      <w:r w:rsidR="00D10C7E">
        <w:t>b</w:t>
      </w:r>
      <w:r w:rsidRPr="00303D4E">
        <w:t>ren</w:t>
      </w:r>
      <w:proofErr w:type="spellEnd"/>
      <w:r w:rsidRPr="00303D4E">
        <w:t xml:space="preserve"> failed group had died. In Study CA209205, 3/80 patients from Cohort B had died at median follow-up of 8.9 month</w:t>
      </w:r>
      <w:r w:rsidR="001A60C7">
        <w:t>s</w:t>
      </w:r>
      <w:r w:rsidRPr="00303D4E">
        <w:t>.</w:t>
      </w:r>
    </w:p>
    <w:p w:rsidR="00303D4E" w:rsidRPr="00303D4E" w:rsidRDefault="00303D4E" w:rsidP="00303D4E">
      <w:r w:rsidRPr="00303D4E">
        <w:t xml:space="preserve">The results indicate biological activity of </w:t>
      </w:r>
      <w:proofErr w:type="spellStart"/>
      <w:r w:rsidRPr="00303D4E">
        <w:t>nivolumab</w:t>
      </w:r>
      <w:proofErr w:type="spellEnd"/>
      <w:r w:rsidRPr="00303D4E">
        <w:t xml:space="preserve"> in this patient population with potential clinically important efficacy but interpretation is limited by the small numbers and the lack of comparator. Other uncertainties related to the results for Study CA209205 include immature results due to limited follow-up and study conduct at two high recruiting sites.</w:t>
      </w:r>
    </w:p>
    <w:p w:rsidR="00303D4E" w:rsidRPr="00303D4E" w:rsidRDefault="00303D4E" w:rsidP="00303D4E">
      <w:r w:rsidRPr="00303D4E">
        <w:t xml:space="preserve">In the absence of a comparator arm, comparison must be made to historical controls to determine how clinically important these results may be. Generally accepted clinical guidelines provide a list of options in this setting but do not rank them. The sponsor has provided a tabulated summary of published prospective studies of experimental single agent therapies in patients who have relapsed following ASCT for HL. The ORR of around 60% seen with </w:t>
      </w:r>
      <w:proofErr w:type="spellStart"/>
      <w:r w:rsidRPr="00303D4E">
        <w:t>nivolumab</w:t>
      </w:r>
      <w:proofErr w:type="spellEnd"/>
      <w:r w:rsidRPr="00303D4E">
        <w:t xml:space="preserve"> compares favourably to these single agents, although it is less than the ORR of 75% reported with </w:t>
      </w:r>
      <w:proofErr w:type="spellStart"/>
      <w:r w:rsidRPr="00303D4E">
        <w:t>brentuximab</w:t>
      </w:r>
      <w:proofErr w:type="spellEnd"/>
      <w:r w:rsidRPr="00303D4E">
        <w:t xml:space="preserve"> </w:t>
      </w:r>
      <w:proofErr w:type="spellStart"/>
      <w:r w:rsidRPr="00303D4E">
        <w:t>vedotin</w:t>
      </w:r>
      <w:proofErr w:type="spellEnd"/>
      <w:r w:rsidRPr="00303D4E">
        <w:t xml:space="preserve">. Treatment options for relapsed disease following ASCT and </w:t>
      </w:r>
      <w:proofErr w:type="spellStart"/>
      <w:r w:rsidRPr="00303D4E">
        <w:t>brentuximab</w:t>
      </w:r>
      <w:proofErr w:type="spellEnd"/>
      <w:r w:rsidRPr="00303D4E">
        <w:t xml:space="preserve"> </w:t>
      </w:r>
      <w:proofErr w:type="spellStart"/>
      <w:r w:rsidRPr="00303D4E">
        <w:t>vedotin</w:t>
      </w:r>
      <w:proofErr w:type="spellEnd"/>
      <w:r w:rsidRPr="00303D4E">
        <w:t xml:space="preserve"> also in</w:t>
      </w:r>
      <w:r w:rsidR="00FE5D7A">
        <w:t xml:space="preserve">clude </w:t>
      </w:r>
      <w:proofErr w:type="spellStart"/>
      <w:r w:rsidR="00FE5D7A">
        <w:t>allo</w:t>
      </w:r>
      <w:proofErr w:type="spellEnd"/>
      <w:r w:rsidR="00FE5D7A">
        <w:t>-SCT, repeat ASCT, re</w:t>
      </w:r>
      <w:r w:rsidR="00FE5D7A">
        <w:noBreakHyphen/>
      </w:r>
      <w:r w:rsidRPr="00303D4E">
        <w:t xml:space="preserve">treatment with </w:t>
      </w:r>
      <w:proofErr w:type="spellStart"/>
      <w:r w:rsidRPr="00303D4E">
        <w:t>brentuximab</w:t>
      </w:r>
      <w:proofErr w:type="spellEnd"/>
      <w:r w:rsidRPr="00303D4E">
        <w:t xml:space="preserve"> </w:t>
      </w:r>
      <w:proofErr w:type="spellStart"/>
      <w:r w:rsidRPr="00303D4E">
        <w:t>vedotin</w:t>
      </w:r>
      <w:proofErr w:type="spellEnd"/>
      <w:r w:rsidRPr="00303D4E">
        <w:t>, single agent chemotherapy, combination chemotherapy, and radiation therapy. ORRs reported in the literature for different treatment regimens used in this setting range from 4 to 100%, although there appear to be many with reported ORR of 50 to 70%. Responses may, however, be short lived with patients progressing through a sequence of treatment regimens. Recent estimates of median survival for patients receiving one or more of these treatment options consider this to be around 2 years.</w:t>
      </w:r>
    </w:p>
    <w:p w:rsidR="00303D4E" w:rsidRPr="00303D4E" w:rsidRDefault="00FE5D7A" w:rsidP="00303D4E">
      <w:proofErr w:type="spellStart"/>
      <w:r>
        <w:t>Allo</w:t>
      </w:r>
      <w:proofErr w:type="spellEnd"/>
      <w:r>
        <w:t>-SCT</w:t>
      </w:r>
      <w:r w:rsidR="00303D4E" w:rsidRPr="00303D4E">
        <w:t xml:space="preserve"> is the most important of the available treatment options as it is potentially curative. However, clinical use has been limited due to low long-term PFS rate of 20% to 30% and high rates of morbidity and treatment-related mortality (20 to 60%). Reduced intensity conditioning (RIC) </w:t>
      </w:r>
      <w:proofErr w:type="spellStart"/>
      <w:r w:rsidR="00303D4E" w:rsidRPr="00303D4E">
        <w:t>allo</w:t>
      </w:r>
      <w:proofErr w:type="spellEnd"/>
      <w:r w:rsidR="00303D4E" w:rsidRPr="00303D4E">
        <w:t xml:space="preserve">-SCT has been developed in the hope of reducing treatment related mortality </w:t>
      </w:r>
      <w:r w:rsidR="00D10C7E">
        <w:t xml:space="preserve">without compromising efficacy. </w:t>
      </w:r>
      <w:r w:rsidR="00303D4E" w:rsidRPr="00303D4E">
        <w:t xml:space="preserve">A recent small study of RIC </w:t>
      </w:r>
      <w:proofErr w:type="spellStart"/>
      <w:r w:rsidR="00303D4E" w:rsidRPr="00303D4E">
        <w:t>allo</w:t>
      </w:r>
      <w:proofErr w:type="spellEnd"/>
      <w:r w:rsidR="00303D4E" w:rsidRPr="00303D4E">
        <w:t xml:space="preserve">-SCT reported an </w:t>
      </w:r>
      <w:r>
        <w:t>OS</w:t>
      </w:r>
      <w:r w:rsidR="00303D4E" w:rsidRPr="00303D4E">
        <w:t xml:space="preserve"> rate of 71% (95% CI 67, 76) at one year and 43% (95% CI 39, 46) at 4 years.</w:t>
      </w:r>
    </w:p>
    <w:p w:rsidR="00303D4E" w:rsidRPr="00303D4E" w:rsidRDefault="00303D4E" w:rsidP="00303D4E">
      <w:r w:rsidRPr="00303D4E">
        <w:t xml:space="preserve">Comparison may also be made to </w:t>
      </w:r>
      <w:proofErr w:type="spellStart"/>
      <w:r w:rsidRPr="00303D4E">
        <w:t>brentuximab</w:t>
      </w:r>
      <w:proofErr w:type="spellEnd"/>
      <w:r w:rsidRPr="00303D4E">
        <w:t xml:space="preserve"> </w:t>
      </w:r>
      <w:proofErr w:type="spellStart"/>
      <w:r w:rsidRPr="00303D4E">
        <w:t>vedotin</w:t>
      </w:r>
      <w:proofErr w:type="spellEnd"/>
      <w:r w:rsidRPr="00303D4E">
        <w:t xml:space="preserve">. This was approved by the TGA for use in patients with CD30+ HL who relapsed following ASCT on the basis of early data, as documented in the </w:t>
      </w:r>
      <w:proofErr w:type="spellStart"/>
      <w:r w:rsidR="00FE5D7A">
        <w:t>AusPAR</w:t>
      </w:r>
      <w:proofErr w:type="spellEnd"/>
      <w:r w:rsidR="00FE5D7A">
        <w:t xml:space="preserve"> for </w:t>
      </w:r>
      <w:proofErr w:type="spellStart"/>
      <w:r w:rsidR="00FE5D7A">
        <w:t>brentuximab</w:t>
      </w:r>
      <w:proofErr w:type="spellEnd"/>
      <w:r w:rsidR="00FE5D7A">
        <w:t xml:space="preserve"> v</w:t>
      </w:r>
      <w:r w:rsidRPr="00303D4E">
        <w:t>edotin.</w:t>
      </w:r>
      <w:r w:rsidR="00FE5D7A" w:rsidRPr="00FE5D7A">
        <w:rPr>
          <w:vertAlign w:val="superscript"/>
        </w:rPr>
        <w:fldChar w:fldCharType="begin"/>
      </w:r>
      <w:r w:rsidR="00FE5D7A" w:rsidRPr="00FE5D7A">
        <w:rPr>
          <w:vertAlign w:val="superscript"/>
        </w:rPr>
        <w:instrText xml:space="preserve"> NOTEREF _Ref490679471 \h </w:instrText>
      </w:r>
      <w:r w:rsidR="00FE5D7A">
        <w:rPr>
          <w:vertAlign w:val="superscript"/>
        </w:rPr>
        <w:instrText xml:space="preserve"> \* MERGEFORMAT </w:instrText>
      </w:r>
      <w:r w:rsidR="00FE5D7A" w:rsidRPr="00FE5D7A">
        <w:rPr>
          <w:vertAlign w:val="superscript"/>
        </w:rPr>
      </w:r>
      <w:r w:rsidR="00FE5D7A" w:rsidRPr="00FE5D7A">
        <w:rPr>
          <w:vertAlign w:val="superscript"/>
        </w:rPr>
        <w:fldChar w:fldCharType="separate"/>
      </w:r>
      <w:r w:rsidR="00204EF9">
        <w:rPr>
          <w:vertAlign w:val="superscript"/>
        </w:rPr>
        <w:t>4</w:t>
      </w:r>
      <w:r w:rsidR="00FE5D7A" w:rsidRPr="00FE5D7A">
        <w:rPr>
          <w:vertAlign w:val="superscript"/>
        </w:rPr>
        <w:fldChar w:fldCharType="end"/>
      </w:r>
      <w:r w:rsidRPr="00303D4E">
        <w:t xml:space="preserve"> The </w:t>
      </w:r>
      <w:proofErr w:type="spellStart"/>
      <w:r w:rsidRPr="00303D4E">
        <w:t>registrational</w:t>
      </w:r>
      <w:proofErr w:type="spellEnd"/>
      <w:r w:rsidRPr="00303D4E">
        <w:t xml:space="preserve"> study for </w:t>
      </w:r>
      <w:proofErr w:type="spellStart"/>
      <w:r w:rsidRPr="00303D4E">
        <w:t>brentuximab</w:t>
      </w:r>
      <w:proofErr w:type="spellEnd"/>
      <w:r w:rsidRPr="00303D4E">
        <w:t xml:space="preserve"> </w:t>
      </w:r>
      <w:proofErr w:type="spellStart"/>
      <w:r w:rsidRPr="00303D4E">
        <w:t>vedotin</w:t>
      </w:r>
      <w:proofErr w:type="spellEnd"/>
      <w:r w:rsidRPr="00303D4E">
        <w:t xml:space="preserve"> was an open label, single arm, Phase II study of 102 patients. After median follow-up of 9 months, an ORR per IRRC of 75% was reported, with a CR of 34% and median duration of objective response of 6.7 months (range 1.2+ to 26.1+ months). This was supported by two dose escalation studies of 42 and 38 patients with </w:t>
      </w:r>
      <w:proofErr w:type="spellStart"/>
      <w:r w:rsidRPr="00303D4E">
        <w:t>cHL</w:t>
      </w:r>
      <w:proofErr w:type="spellEnd"/>
      <w:r w:rsidRPr="00303D4E">
        <w:t xml:space="preserve"> that reported ORRs of 40% and 53%. Follow-up results of the pivotal study at 3 and 5 years have since been reported. These found that most progression events occurred early and in </w:t>
      </w:r>
      <w:r w:rsidRPr="00303D4E">
        <w:lastRenderedPageBreak/>
        <w:t xml:space="preserve">patients who did not achieve CR (47/54, 87% of events during the first year occurred in patients with PR or SD). At 3 year follow-up, the estimated PFS per investigator for all patients was 9.3 months. At 5 year follow-up, the </w:t>
      </w:r>
      <w:r w:rsidR="00FE5D7A">
        <w:t>OS</w:t>
      </w:r>
      <w:r w:rsidRPr="00303D4E">
        <w:t xml:space="preserve"> was 41% and the estimated median </w:t>
      </w:r>
      <w:r w:rsidR="00FE5D7A">
        <w:t>OS</w:t>
      </w:r>
      <w:r w:rsidRPr="00303D4E">
        <w:t xml:space="preserve"> was 40.5 months. In comparison, the proposed </w:t>
      </w:r>
      <w:proofErr w:type="spellStart"/>
      <w:r w:rsidRPr="00303D4E">
        <w:t>registrational</w:t>
      </w:r>
      <w:proofErr w:type="spellEnd"/>
      <w:r w:rsidRPr="00303D4E">
        <w:t xml:space="preserve"> studies for </w:t>
      </w:r>
      <w:proofErr w:type="spellStart"/>
      <w:r w:rsidRPr="00303D4E">
        <w:t>nivolumab</w:t>
      </w:r>
      <w:proofErr w:type="spellEnd"/>
      <w:r w:rsidRPr="00303D4E">
        <w:t xml:space="preserve"> found a lower ORR and much lower CR rate. Despite this, the median PFS was 12 months after 23 months of follow-up, although this was in a group of only 15 patients.</w:t>
      </w:r>
    </w:p>
    <w:p w:rsidR="00303D4E" w:rsidRPr="00303D4E" w:rsidRDefault="00303D4E" w:rsidP="00303D4E">
      <w:r w:rsidRPr="00303D4E">
        <w:t xml:space="preserve">In summary, </w:t>
      </w:r>
      <w:proofErr w:type="spellStart"/>
      <w:r w:rsidRPr="00303D4E">
        <w:t>nivolumab</w:t>
      </w:r>
      <w:proofErr w:type="spellEnd"/>
      <w:r w:rsidRPr="00303D4E">
        <w:t xml:space="preserve"> has demonstrated biological activity in patients with relapsed </w:t>
      </w:r>
      <w:proofErr w:type="spellStart"/>
      <w:r w:rsidRPr="00303D4E">
        <w:t>cHL</w:t>
      </w:r>
      <w:proofErr w:type="spellEnd"/>
      <w:r w:rsidRPr="00303D4E">
        <w:t xml:space="preserve"> but the clinical relevance of this is uncertain, given the small patient numbers and immature results. The sponsor is asked to provide a discussion of the clinical relevance of </w:t>
      </w:r>
      <w:proofErr w:type="spellStart"/>
      <w:r w:rsidRPr="00303D4E">
        <w:t>nivolumab</w:t>
      </w:r>
      <w:proofErr w:type="spellEnd"/>
      <w:r w:rsidRPr="00303D4E">
        <w:t xml:space="preserve"> in the proposed setting with this including all available treatment options.</w:t>
      </w:r>
    </w:p>
    <w:p w:rsidR="00D44524" w:rsidRPr="00893318" w:rsidRDefault="005B037E" w:rsidP="00ED6E45">
      <w:pPr>
        <w:pStyle w:val="Heading5"/>
      </w:pPr>
      <w:bookmarkStart w:id="69" w:name="_Toc473012329"/>
      <w:r>
        <w:t>Second part</w:t>
      </w:r>
      <w:r w:rsidR="00FE5D7A">
        <w:t xml:space="preserve"> of indication</w:t>
      </w:r>
    </w:p>
    <w:p w:rsidR="00303D4E" w:rsidRPr="00893318" w:rsidRDefault="00893318" w:rsidP="00893318">
      <w:pPr>
        <w:tabs>
          <w:tab w:val="num" w:pos="1134"/>
        </w:tabs>
        <w:ind w:left="720"/>
        <w:rPr>
          <w:bCs/>
          <w:i/>
        </w:rPr>
      </w:pPr>
      <w:r>
        <w:rPr>
          <w:bCs/>
          <w:i/>
        </w:rPr>
        <w:t>‘</w:t>
      </w:r>
      <w:proofErr w:type="gramStart"/>
      <w:r>
        <w:rPr>
          <w:bCs/>
          <w:i/>
        </w:rPr>
        <w:t>the</w:t>
      </w:r>
      <w:proofErr w:type="gramEnd"/>
      <w:r>
        <w:rPr>
          <w:bCs/>
          <w:i/>
        </w:rPr>
        <w:t xml:space="preserve"> </w:t>
      </w:r>
      <w:r w:rsidR="00303D4E" w:rsidRPr="00893318">
        <w:rPr>
          <w:bCs/>
          <w:i/>
        </w:rPr>
        <w:t>treatment of patients with relapsed or refractory classical Hodgkin lymphoma (</w:t>
      </w:r>
      <w:proofErr w:type="spellStart"/>
      <w:r w:rsidR="00303D4E" w:rsidRPr="00893318">
        <w:rPr>
          <w:bCs/>
          <w:i/>
        </w:rPr>
        <w:t>cHL</w:t>
      </w:r>
      <w:proofErr w:type="spellEnd"/>
      <w:r w:rsidR="00303D4E" w:rsidRPr="00893318">
        <w:rPr>
          <w:bCs/>
          <w:i/>
        </w:rPr>
        <w:t>) after at least two prior therapies in patients who are not candidates for ASCT.</w:t>
      </w:r>
      <w:bookmarkEnd w:id="69"/>
      <w:r>
        <w:rPr>
          <w:bCs/>
          <w:i/>
        </w:rPr>
        <w:t>’</w:t>
      </w:r>
    </w:p>
    <w:p w:rsidR="00303D4E" w:rsidRPr="00303D4E" w:rsidRDefault="00303D4E" w:rsidP="00303D4E">
      <w:pPr>
        <w:rPr>
          <w:bCs/>
        </w:rPr>
      </w:pPr>
      <w:r w:rsidRPr="00303D4E">
        <w:rPr>
          <w:bCs/>
        </w:rPr>
        <w:t xml:space="preserve">In support of this indication, there are a small number of patients in Study CA209039 who received </w:t>
      </w:r>
      <w:proofErr w:type="spellStart"/>
      <w:r w:rsidRPr="00303D4E">
        <w:rPr>
          <w:bCs/>
        </w:rPr>
        <w:t>nivolumab</w:t>
      </w:r>
      <w:proofErr w:type="spellEnd"/>
      <w:r w:rsidRPr="00303D4E">
        <w:rPr>
          <w:bCs/>
        </w:rPr>
        <w:t xml:space="preserve"> and who had not received prior treatment with ASCT.</w:t>
      </w:r>
    </w:p>
    <w:p w:rsidR="00303D4E" w:rsidRPr="00303D4E" w:rsidRDefault="00303D4E" w:rsidP="00303D4E">
      <w:r w:rsidRPr="00303D4E">
        <w:rPr>
          <w:bCs/>
        </w:rPr>
        <w:t>Prior ASCT for relapsed or refractory HL was an inclusion criteri</w:t>
      </w:r>
      <w:r w:rsidR="005B037E">
        <w:rPr>
          <w:bCs/>
        </w:rPr>
        <w:t>on</w:t>
      </w:r>
      <w:r w:rsidRPr="00303D4E">
        <w:rPr>
          <w:bCs/>
        </w:rPr>
        <w:t xml:space="preserve"> for Cohort B in Study CA209205. However, in Study CA209</w:t>
      </w:r>
      <w:r w:rsidR="00D10C7E">
        <w:rPr>
          <w:bCs/>
        </w:rPr>
        <w:t>039, the main inclusion criterion</w:t>
      </w:r>
      <w:r w:rsidRPr="00303D4E">
        <w:rPr>
          <w:bCs/>
        </w:rPr>
        <w:t xml:space="preserve"> was histologically confirmed HL for which the patient had received </w:t>
      </w:r>
      <w:r w:rsidRPr="00303D4E">
        <w:t>previous treatment with at least one chemotherapy regimen. Of the 23 subjects enrolle</w:t>
      </w:r>
      <w:r w:rsidR="00D10C7E">
        <w:t xml:space="preserve">d in the </w:t>
      </w:r>
      <w:proofErr w:type="spellStart"/>
      <w:r w:rsidR="00D10C7E">
        <w:t>cHL</w:t>
      </w:r>
      <w:proofErr w:type="spellEnd"/>
      <w:r w:rsidR="00D10C7E">
        <w:t xml:space="preserve"> expansion of Study </w:t>
      </w:r>
      <w:r w:rsidRPr="00303D4E">
        <w:t xml:space="preserve">CA209039 and treated with </w:t>
      </w:r>
      <w:proofErr w:type="spellStart"/>
      <w:r w:rsidRPr="00303D4E">
        <w:t>nivolumab</w:t>
      </w:r>
      <w:proofErr w:type="spellEnd"/>
      <w:r w:rsidRPr="00303D4E">
        <w:t xml:space="preserve"> 3 mg/kg Q2W, 5 patients had not received prior ASCT (‘ASCT-naïve’) and 3/5 had also not received prior treatment with </w:t>
      </w:r>
      <w:proofErr w:type="spellStart"/>
      <w:r w:rsidRPr="00303D4E">
        <w:t>brentuximab</w:t>
      </w:r>
      <w:proofErr w:type="spellEnd"/>
      <w:r w:rsidRPr="00303D4E">
        <w:t xml:space="preserve"> </w:t>
      </w:r>
      <w:proofErr w:type="spellStart"/>
      <w:r w:rsidRPr="00303D4E">
        <w:t>vedotin</w:t>
      </w:r>
      <w:proofErr w:type="spellEnd"/>
      <w:r w:rsidRPr="00303D4E">
        <w:t xml:space="preserve">. Of the 5 ASCT naïve patients, 4 had an objective response to </w:t>
      </w:r>
      <w:proofErr w:type="spellStart"/>
      <w:r w:rsidRPr="00303D4E">
        <w:t>nivolumab</w:t>
      </w:r>
      <w:proofErr w:type="spellEnd"/>
      <w:r w:rsidRPr="00303D4E">
        <w:t xml:space="preserve">, with BOR per IRRC of CR (n = 3), PR (n = 1) and SD (n = 1). Of the 3 patients who had not received prior ASCT or </w:t>
      </w:r>
      <w:proofErr w:type="spellStart"/>
      <w:r w:rsidRPr="00303D4E">
        <w:t>brentuximab</w:t>
      </w:r>
      <w:proofErr w:type="spellEnd"/>
      <w:r w:rsidRPr="00303D4E">
        <w:t xml:space="preserve"> </w:t>
      </w:r>
      <w:proofErr w:type="spellStart"/>
      <w:r w:rsidRPr="00303D4E">
        <w:t>v</w:t>
      </w:r>
      <w:r w:rsidR="00D10C7E">
        <w:t>edotin</w:t>
      </w:r>
      <w:proofErr w:type="spellEnd"/>
      <w:r w:rsidR="00D10C7E">
        <w:t>, the BOR per IRRC was CR </w:t>
      </w:r>
      <w:r w:rsidRPr="00303D4E">
        <w:t>(n = 1), PR (n = 1) and SD (n = 1).</w:t>
      </w:r>
    </w:p>
    <w:p w:rsidR="00303D4E" w:rsidRPr="00303D4E" w:rsidRDefault="00303D4E" w:rsidP="00303D4E">
      <w:r w:rsidRPr="00303D4E">
        <w:t xml:space="preserve">It is difficult to draw any conclusions given the very small numbers but the results suggest that prior ASCT is not required for </w:t>
      </w:r>
      <w:proofErr w:type="spellStart"/>
      <w:r w:rsidRPr="00303D4E">
        <w:t>nivolumab</w:t>
      </w:r>
      <w:proofErr w:type="spellEnd"/>
      <w:r w:rsidRPr="00303D4E">
        <w:t xml:space="preserve"> to demonstrate biological activity in patients with relapsed/refractory HL.</w:t>
      </w:r>
    </w:p>
    <w:p w:rsidR="00303D4E" w:rsidRPr="00303D4E" w:rsidRDefault="00303D4E" w:rsidP="00303D4E">
      <w:r w:rsidRPr="00303D4E">
        <w:t xml:space="preserve">The current TGA approved indications for </w:t>
      </w:r>
      <w:proofErr w:type="spellStart"/>
      <w:r w:rsidRPr="00303D4E">
        <w:t>brentuximab</w:t>
      </w:r>
      <w:proofErr w:type="spellEnd"/>
      <w:r w:rsidRPr="00303D4E">
        <w:t xml:space="preserve"> </w:t>
      </w:r>
      <w:proofErr w:type="spellStart"/>
      <w:r w:rsidRPr="00303D4E">
        <w:t>vedotin</w:t>
      </w:r>
      <w:proofErr w:type="spellEnd"/>
      <w:r w:rsidRPr="00303D4E">
        <w:t xml:space="preserve"> in HL are:</w:t>
      </w:r>
    </w:p>
    <w:p w:rsidR="00303D4E" w:rsidRPr="00521898" w:rsidRDefault="00521898" w:rsidP="00521898">
      <w:pPr>
        <w:ind w:left="720"/>
        <w:rPr>
          <w:i/>
        </w:rPr>
      </w:pPr>
      <w:r>
        <w:rPr>
          <w:i/>
        </w:rPr>
        <w:t>‘</w:t>
      </w:r>
      <w:r w:rsidR="00303D4E" w:rsidRPr="00521898">
        <w:rPr>
          <w:i/>
        </w:rPr>
        <w:t>Treatment of adult patients with relapsed or refractory CD30+ Hodgkin lymphoma (HL):</w:t>
      </w:r>
    </w:p>
    <w:p w:rsidR="00303D4E" w:rsidRPr="00521898" w:rsidRDefault="00303D4E" w:rsidP="00ED6E45">
      <w:pPr>
        <w:ind w:firstLine="720"/>
        <w:rPr>
          <w:i/>
        </w:rPr>
      </w:pPr>
      <w:proofErr w:type="gramStart"/>
      <w:r w:rsidRPr="00521898">
        <w:rPr>
          <w:i/>
        </w:rPr>
        <w:t>following</w:t>
      </w:r>
      <w:proofErr w:type="gramEnd"/>
      <w:r w:rsidRPr="00521898">
        <w:rPr>
          <w:i/>
        </w:rPr>
        <w:t xml:space="preserve"> autologous stem cell transplant (ASCT) or</w:t>
      </w:r>
    </w:p>
    <w:p w:rsidR="00303D4E" w:rsidRPr="00521898" w:rsidRDefault="00303D4E" w:rsidP="00ED6E45">
      <w:pPr>
        <w:ind w:left="720"/>
        <w:rPr>
          <w:i/>
        </w:rPr>
      </w:pPr>
      <w:proofErr w:type="gramStart"/>
      <w:r w:rsidRPr="00521898">
        <w:rPr>
          <w:i/>
        </w:rPr>
        <w:t>following</w:t>
      </w:r>
      <w:proofErr w:type="gramEnd"/>
      <w:r w:rsidRPr="00521898">
        <w:rPr>
          <w:i/>
        </w:rPr>
        <w:t xml:space="preserve"> at least two prior therapies when ASCT or multi-agent chemotherapy is not a treatment option.</w:t>
      </w:r>
      <w:r w:rsidR="00521898">
        <w:rPr>
          <w:i/>
        </w:rPr>
        <w:t>’</w:t>
      </w:r>
    </w:p>
    <w:p w:rsidR="00303D4E" w:rsidRPr="00303D4E" w:rsidRDefault="00303D4E" w:rsidP="00303D4E">
      <w:r w:rsidRPr="00303D4E">
        <w:t xml:space="preserve">According to the sponsor’s proposed wording, the second part of the indication would propose </w:t>
      </w:r>
      <w:proofErr w:type="spellStart"/>
      <w:r w:rsidRPr="00303D4E">
        <w:t>nivolumab</w:t>
      </w:r>
      <w:proofErr w:type="spellEnd"/>
      <w:r w:rsidRPr="00303D4E">
        <w:t xml:space="preserve"> as an alternative to </w:t>
      </w:r>
      <w:proofErr w:type="spellStart"/>
      <w:r w:rsidRPr="00303D4E">
        <w:t>brentuximab</w:t>
      </w:r>
      <w:proofErr w:type="spellEnd"/>
      <w:r w:rsidRPr="00303D4E">
        <w:t xml:space="preserve"> </w:t>
      </w:r>
      <w:proofErr w:type="spellStart"/>
      <w:r w:rsidRPr="00303D4E">
        <w:t>vedotin</w:t>
      </w:r>
      <w:proofErr w:type="spellEnd"/>
      <w:r w:rsidRPr="00303D4E">
        <w:t xml:space="preserve"> in patients who have received at least two prior therapies and in whom ASCT is not an option. The efficacy of </w:t>
      </w:r>
      <w:proofErr w:type="spellStart"/>
      <w:r w:rsidRPr="00303D4E">
        <w:t>nivolumab</w:t>
      </w:r>
      <w:proofErr w:type="spellEnd"/>
      <w:r w:rsidRPr="00303D4E">
        <w:t xml:space="preserve"> in comparison to </w:t>
      </w:r>
      <w:proofErr w:type="spellStart"/>
      <w:r w:rsidRPr="00303D4E">
        <w:t>brentuximab</w:t>
      </w:r>
      <w:proofErr w:type="spellEnd"/>
      <w:r w:rsidRPr="00303D4E">
        <w:t xml:space="preserve"> </w:t>
      </w:r>
      <w:proofErr w:type="spellStart"/>
      <w:r w:rsidRPr="00303D4E">
        <w:t>vedotin</w:t>
      </w:r>
      <w:proofErr w:type="spellEnd"/>
      <w:r w:rsidRPr="00303D4E">
        <w:t xml:space="preserve"> in this situation has not been tested according to the materials provided by the sponsor. Only three patients have been described from Study CA209039 who fit this description of receiving </w:t>
      </w:r>
      <w:proofErr w:type="spellStart"/>
      <w:r w:rsidRPr="00303D4E">
        <w:t>nivolumab</w:t>
      </w:r>
      <w:proofErr w:type="spellEnd"/>
      <w:r w:rsidRPr="00303D4E">
        <w:t xml:space="preserve"> in relapsed/refractory HL without prior ASCT or </w:t>
      </w:r>
      <w:proofErr w:type="spellStart"/>
      <w:r w:rsidRPr="00303D4E">
        <w:t>brentuximab</w:t>
      </w:r>
      <w:proofErr w:type="spellEnd"/>
      <w:r w:rsidRPr="00303D4E">
        <w:t xml:space="preserve"> </w:t>
      </w:r>
      <w:proofErr w:type="spellStart"/>
      <w:r w:rsidRPr="00303D4E">
        <w:t>vedotin</w:t>
      </w:r>
      <w:proofErr w:type="spellEnd"/>
      <w:r w:rsidRPr="00303D4E">
        <w:t>.</w:t>
      </w:r>
    </w:p>
    <w:p w:rsidR="00303D4E" w:rsidRPr="00303D4E" w:rsidRDefault="00303D4E" w:rsidP="00303D4E">
      <w:r w:rsidRPr="00303D4E">
        <w:t xml:space="preserve">Information in support of </w:t>
      </w:r>
      <w:proofErr w:type="spellStart"/>
      <w:r w:rsidRPr="00303D4E">
        <w:t>brentuximab</w:t>
      </w:r>
      <w:proofErr w:type="spellEnd"/>
      <w:r w:rsidRPr="00303D4E">
        <w:t xml:space="preserve"> </w:t>
      </w:r>
      <w:proofErr w:type="spellStart"/>
      <w:r w:rsidRPr="00303D4E">
        <w:t>vedotin</w:t>
      </w:r>
      <w:proofErr w:type="spellEnd"/>
      <w:r w:rsidRPr="00303D4E">
        <w:t xml:space="preserve"> in this setting is more substantive. The following information is provided in the </w:t>
      </w:r>
      <w:proofErr w:type="spellStart"/>
      <w:r w:rsidRPr="00303D4E">
        <w:t>AusPAR</w:t>
      </w:r>
      <w:proofErr w:type="spellEnd"/>
      <w:r w:rsidRPr="00303D4E">
        <w:t xml:space="preserve"> for approval of </w:t>
      </w:r>
      <w:proofErr w:type="spellStart"/>
      <w:r w:rsidRPr="00303D4E">
        <w:t>brentuximab</w:t>
      </w:r>
      <w:proofErr w:type="spellEnd"/>
      <w:r w:rsidRPr="00303D4E">
        <w:t xml:space="preserve"> </w:t>
      </w:r>
      <w:proofErr w:type="spellStart"/>
      <w:r w:rsidRPr="00303D4E">
        <w:t>vedotin</w:t>
      </w:r>
      <w:proofErr w:type="spellEnd"/>
      <w:r w:rsidRPr="00303D4E">
        <w:t xml:space="preserve"> as a </w:t>
      </w:r>
      <w:r w:rsidR="00691A42">
        <w:t>New Chemical Entity</w:t>
      </w:r>
      <w:r w:rsidRPr="00303D4E">
        <w:t xml:space="preserve"> to support the indication of ‘</w:t>
      </w:r>
      <w:r w:rsidRPr="00303D4E">
        <w:rPr>
          <w:i/>
        </w:rPr>
        <w:t>following at least two prior therapies when ASCT or multi-agent chemotherapy is not a treatment option’</w:t>
      </w:r>
      <w:r w:rsidR="00FD0A3D">
        <w:rPr>
          <w:i/>
        </w:rPr>
        <w:t>:</w:t>
      </w:r>
    </w:p>
    <w:p w:rsidR="00303D4E" w:rsidRPr="00303D4E" w:rsidRDefault="00303D4E" w:rsidP="00303D4E">
      <w:pPr>
        <w:rPr>
          <w:i/>
        </w:rPr>
      </w:pPr>
      <w:r w:rsidRPr="00303D4E">
        <w:rPr>
          <w:i/>
        </w:rPr>
        <w:t xml:space="preserve">‘There were two Phase I single arm open label dose escalation studies (Study 0001 and Study 0002) that enrolled patients with HL that had failed systemic chemotherapy induction or salvage and were ineligible for, refused treatment by or previously had had an ASCT or </w:t>
      </w:r>
      <w:r w:rsidRPr="00303D4E">
        <w:rPr>
          <w:i/>
        </w:rPr>
        <w:lastRenderedPageBreak/>
        <w:t xml:space="preserve">whom had </w:t>
      </w:r>
      <w:proofErr w:type="spellStart"/>
      <w:r w:rsidRPr="00303D4E">
        <w:rPr>
          <w:i/>
        </w:rPr>
        <w:t>sALCL</w:t>
      </w:r>
      <w:proofErr w:type="spellEnd"/>
      <w:r w:rsidRPr="00303D4E">
        <w:rPr>
          <w:i/>
        </w:rPr>
        <w:t>. Study 0001 enrolled 42 patients with HL, of whom 9 patients had not received prior ASCT. Study 0002 enrolled 38 patients with HL, of whom 8 patients had not received prior ASCT. The objective response rate in HL patients overall was 40% in Study 0001 and 53% in Study 0002. For the patients from both Study 0001 and 0002 who had not received prior ASCT, the ORR was 30%. The EMA’s assessment included a larger dataset of 40 HL patients who had not received prior ASCT (and who were treated at 1.8 mg/kg three weekly), from Studies 0001, 0002 and other sources. In this larger population the ORR was 55% (including 22.5% CR, and also including 20% who went on to SCT)’.</w:t>
      </w:r>
      <w:r w:rsidRPr="00303D4E">
        <w:rPr>
          <w:i/>
          <w:vertAlign w:val="superscript"/>
        </w:rPr>
        <w:footnoteReference w:id="17"/>
      </w:r>
    </w:p>
    <w:p w:rsidR="00303D4E" w:rsidRPr="00303D4E" w:rsidRDefault="00303D4E" w:rsidP="00303D4E">
      <w:r w:rsidRPr="00303D4E">
        <w:t>As described i</w:t>
      </w:r>
      <w:r w:rsidR="008044E0">
        <w:t>n the Background section of the</w:t>
      </w:r>
      <w:r w:rsidRPr="00303D4E">
        <w:t xml:space="preserve"> CER (see </w:t>
      </w:r>
      <w:r w:rsidR="00521898">
        <w:t>Attachment 2</w:t>
      </w:r>
      <w:r w:rsidRPr="00303D4E">
        <w:t xml:space="preserve">), a number of small retrospective published audits suggest that </w:t>
      </w:r>
      <w:proofErr w:type="spellStart"/>
      <w:r w:rsidRPr="00303D4E">
        <w:t>brentuximab</w:t>
      </w:r>
      <w:proofErr w:type="spellEnd"/>
      <w:r w:rsidRPr="00303D4E">
        <w:t xml:space="preserve"> </w:t>
      </w:r>
      <w:proofErr w:type="spellStart"/>
      <w:r w:rsidRPr="00303D4E">
        <w:t>vedotin</w:t>
      </w:r>
      <w:proofErr w:type="spellEnd"/>
      <w:r w:rsidRPr="00303D4E">
        <w:t xml:space="preserve"> is efficacious in this setting outside clinical trials. Patient numbers in these studies ranged from 14 to 30 and the reported </w:t>
      </w:r>
      <w:r w:rsidR="00521898">
        <w:t>ORR</w:t>
      </w:r>
      <w:r w:rsidRPr="00303D4E">
        <w:t xml:space="preserve"> ranged from 53% to 87.5% and the complete response rate from 30% to 50%.</w:t>
      </w:r>
    </w:p>
    <w:p w:rsidR="00303D4E" w:rsidRPr="00303D4E" w:rsidRDefault="00303D4E" w:rsidP="00303D4E">
      <w:r w:rsidRPr="00303D4E">
        <w:t xml:space="preserve">The information provided by the sponsor to support </w:t>
      </w:r>
      <w:proofErr w:type="spellStart"/>
      <w:r w:rsidRPr="00303D4E">
        <w:t>nivolumab</w:t>
      </w:r>
      <w:proofErr w:type="spellEnd"/>
      <w:r w:rsidRPr="00303D4E">
        <w:t xml:space="preserve"> in the setting of relapsed/refractory HL after at least two prior therapies in patients who are not candidates for ASCT is extremely limited. The evaluator does not consider this information adequate to support this part of the proposed indication and recommend</w:t>
      </w:r>
      <w:r w:rsidR="00521898">
        <w:t>s that it be removed.</w:t>
      </w:r>
    </w:p>
    <w:p w:rsidR="008E7846" w:rsidRPr="002E238E" w:rsidRDefault="008E7846" w:rsidP="008E7846">
      <w:pPr>
        <w:pStyle w:val="Heading3"/>
      </w:pPr>
      <w:bookmarkStart w:id="70" w:name="_Toc163441378"/>
      <w:bookmarkStart w:id="71" w:name="_Toc196046495"/>
      <w:bookmarkStart w:id="72" w:name="_Toc247691522"/>
      <w:bookmarkStart w:id="73" w:name="_Toc314842505"/>
      <w:bookmarkStart w:id="74" w:name="_Toc497992243"/>
      <w:bookmarkEnd w:id="64"/>
      <w:bookmarkEnd w:id="65"/>
      <w:bookmarkEnd w:id="66"/>
      <w:bookmarkEnd w:id="67"/>
      <w:r w:rsidRPr="002E238E">
        <w:t>Safety</w:t>
      </w:r>
      <w:bookmarkEnd w:id="70"/>
      <w:bookmarkEnd w:id="71"/>
      <w:bookmarkEnd w:id="72"/>
      <w:bookmarkEnd w:id="73"/>
      <w:bookmarkEnd w:id="74"/>
    </w:p>
    <w:p w:rsidR="00605AD4" w:rsidRDefault="00605AD4" w:rsidP="00605AD4">
      <w:pPr>
        <w:pStyle w:val="Heading4"/>
      </w:pPr>
      <w:bookmarkStart w:id="75" w:name="_Toc247691524"/>
      <w:bookmarkStart w:id="76" w:name="_Toc314842508"/>
      <w:bookmarkStart w:id="77" w:name="_Toc196046504"/>
      <w:bookmarkStart w:id="78" w:name="_Toc163441390"/>
      <w:r w:rsidRPr="00605AD4">
        <w:t>Studies providing safety data</w:t>
      </w:r>
    </w:p>
    <w:p w:rsidR="006B06B8" w:rsidRPr="006B06B8" w:rsidRDefault="006B06B8" w:rsidP="006B06B8">
      <w:r w:rsidRPr="006B06B8">
        <w:t>For the evaluation of safety, the sponsor has provided:</w:t>
      </w:r>
    </w:p>
    <w:p w:rsidR="006B06B8" w:rsidRPr="006B06B8" w:rsidRDefault="006B06B8" w:rsidP="006B06B8">
      <w:pPr>
        <w:pStyle w:val="ListBullet"/>
      </w:pPr>
      <w:r w:rsidRPr="006B06B8">
        <w:t>Interim CSR for Study CA209205</w:t>
      </w:r>
    </w:p>
    <w:p w:rsidR="006B06B8" w:rsidRPr="006B06B8" w:rsidRDefault="006B06B8" w:rsidP="006B06B8">
      <w:pPr>
        <w:pStyle w:val="ListBullet"/>
      </w:pPr>
      <w:r w:rsidRPr="006B06B8">
        <w:t>Interim CSR for Study CA209039</w:t>
      </w:r>
    </w:p>
    <w:p w:rsidR="006B06B8" w:rsidRPr="006B06B8" w:rsidRDefault="006B06B8" w:rsidP="006B06B8">
      <w:pPr>
        <w:pStyle w:val="ListBullet"/>
      </w:pPr>
      <w:r w:rsidRPr="006B06B8">
        <w:t xml:space="preserve">Summary of Clinical Safety </w:t>
      </w:r>
      <w:r w:rsidRPr="008044E0">
        <w:t>(SCS)</w:t>
      </w:r>
      <w:r w:rsidR="007E2318" w:rsidRPr="008044E0">
        <w:t>.</w:t>
      </w:r>
    </w:p>
    <w:p w:rsidR="006B06B8" w:rsidRPr="006B06B8" w:rsidRDefault="006B06B8" w:rsidP="006B06B8">
      <w:r w:rsidRPr="006B06B8">
        <w:t>In addition, there have been:</w:t>
      </w:r>
    </w:p>
    <w:p w:rsidR="006B06B8" w:rsidRPr="006B06B8" w:rsidRDefault="006B06B8" w:rsidP="006B06B8">
      <w:pPr>
        <w:numPr>
          <w:ilvl w:val="0"/>
          <w:numId w:val="3"/>
        </w:numPr>
      </w:pPr>
      <w:r w:rsidRPr="006B06B8">
        <w:t>3 Period</w:t>
      </w:r>
      <w:r w:rsidR="008044E0">
        <w:t>ic Safety Update Reports (PSUR</w:t>
      </w:r>
      <w:r w:rsidRPr="006B06B8">
        <w:t>)</w:t>
      </w:r>
      <w:r w:rsidR="008044E0">
        <w:t xml:space="preserve"> and Periodic Benefit-Risk Evaluation Report (</w:t>
      </w:r>
      <w:r w:rsidR="008044E0" w:rsidRPr="006B06B8">
        <w:t>PBRER</w:t>
      </w:r>
      <w:r w:rsidR="008044E0">
        <w:t>)</w:t>
      </w:r>
      <w:r w:rsidRPr="006B06B8">
        <w:t xml:space="preserve"> provided to the TGA since approval of </w:t>
      </w:r>
      <w:proofErr w:type="spellStart"/>
      <w:r w:rsidRPr="006B06B8">
        <w:t>nivolumab</w:t>
      </w:r>
      <w:proofErr w:type="spellEnd"/>
      <w:r w:rsidRPr="006B06B8">
        <w:t xml:space="preserve"> (dated July 2014 to July 2015; July 2015 to January 2016; and January 2016 to July 2016)</w:t>
      </w:r>
      <w:r w:rsidR="007E2318">
        <w:t>.</w:t>
      </w:r>
    </w:p>
    <w:p w:rsidR="006B06B8" w:rsidRPr="006B06B8" w:rsidRDefault="006B06B8" w:rsidP="006B06B8">
      <w:pPr>
        <w:numPr>
          <w:ilvl w:val="0"/>
          <w:numId w:val="3"/>
        </w:numPr>
      </w:pPr>
      <w:proofErr w:type="gramStart"/>
      <w:r w:rsidRPr="006B06B8">
        <w:t>a</w:t>
      </w:r>
      <w:proofErr w:type="gramEnd"/>
      <w:r w:rsidRPr="006B06B8">
        <w:t xml:space="preserve"> review of additional safety concerns provided as part of a Safety Related Request </w:t>
      </w:r>
      <w:r w:rsidR="007E2318">
        <w:t xml:space="preserve">(SRR) </w:t>
      </w:r>
      <w:r w:rsidRPr="006B06B8">
        <w:t>to update the PI.</w:t>
      </w:r>
    </w:p>
    <w:p w:rsidR="006B06B8" w:rsidRPr="006B06B8" w:rsidRDefault="006B06B8" w:rsidP="006B06B8">
      <w:r w:rsidRPr="006B06B8">
        <w:t xml:space="preserve">The first 2 PBRERs and the SRR have been reviewed as part of the clinical evaluation for the indication of advanced renal cell cancer. A </w:t>
      </w:r>
      <w:r w:rsidR="007E2318">
        <w:t>PSUR</w:t>
      </w:r>
      <w:r w:rsidRPr="006B06B8">
        <w:t xml:space="preserve"> Review for the PSUR dated July 2015 to Jan</w:t>
      </w:r>
      <w:r w:rsidR="007E2318">
        <w:t>uary</w:t>
      </w:r>
      <w:r w:rsidRPr="006B06B8">
        <w:t xml:space="preserve"> 2016, as performed by the TGA, is also available. This review provides information regar</w:t>
      </w:r>
      <w:r w:rsidR="008044E0">
        <w:t>ding Adverse Event Reports (AER</w:t>
      </w:r>
      <w:r w:rsidRPr="006B06B8">
        <w:t xml:space="preserve">) in the TGA’s Adverse Drug-reaction Reporting System (ADRS) for </w:t>
      </w:r>
      <w:proofErr w:type="spellStart"/>
      <w:r w:rsidRPr="006B06B8">
        <w:t>nivolumab</w:t>
      </w:r>
      <w:proofErr w:type="spellEnd"/>
      <w:r w:rsidRPr="006B06B8">
        <w:t>.</w:t>
      </w:r>
    </w:p>
    <w:p w:rsidR="00605AD4" w:rsidRDefault="00605AD4" w:rsidP="00605AD4">
      <w:pPr>
        <w:pStyle w:val="Heading4"/>
      </w:pPr>
      <w:r w:rsidRPr="00605AD4">
        <w:t>Patient exposure</w:t>
      </w:r>
    </w:p>
    <w:p w:rsidR="002C1384" w:rsidRPr="002C1384" w:rsidRDefault="002C1384" w:rsidP="002C1384">
      <w:pPr>
        <w:rPr>
          <w:lang w:eastAsia="ja-JP"/>
        </w:rPr>
      </w:pPr>
      <w:r w:rsidRPr="006305DC">
        <w:rPr>
          <w:lang w:eastAsia="ja-JP"/>
        </w:rPr>
        <w:t xml:space="preserve">According to </w:t>
      </w:r>
      <w:r>
        <w:rPr>
          <w:lang w:eastAsia="ja-JP"/>
        </w:rPr>
        <w:t>an appendix</w:t>
      </w:r>
      <w:r w:rsidRPr="006305DC">
        <w:rPr>
          <w:lang w:eastAsia="ja-JP"/>
        </w:rPr>
        <w:t xml:space="preserve"> of the SCS, 1991 patients have been exposed to </w:t>
      </w:r>
      <w:proofErr w:type="spellStart"/>
      <w:r w:rsidRPr="006305DC">
        <w:rPr>
          <w:lang w:eastAsia="ja-JP"/>
        </w:rPr>
        <w:t>n</w:t>
      </w:r>
      <w:r>
        <w:rPr>
          <w:lang w:eastAsia="ja-JP"/>
        </w:rPr>
        <w:t>ivolumab</w:t>
      </w:r>
      <w:proofErr w:type="spellEnd"/>
      <w:r>
        <w:rPr>
          <w:lang w:eastAsia="ja-JP"/>
        </w:rPr>
        <w:t xml:space="preserve"> monotherapy in company sponsored clinical trials. </w:t>
      </w:r>
      <w:r w:rsidRPr="006305DC">
        <w:rPr>
          <w:lang w:eastAsia="ja-JP"/>
        </w:rPr>
        <w:t xml:space="preserve">This pooled population is made up of the integrated </w:t>
      </w:r>
      <w:proofErr w:type="spellStart"/>
      <w:r w:rsidRPr="006305DC">
        <w:rPr>
          <w:lang w:eastAsia="ja-JP"/>
        </w:rPr>
        <w:t>cHL</w:t>
      </w:r>
      <w:proofErr w:type="spellEnd"/>
      <w:r w:rsidRPr="006305DC">
        <w:rPr>
          <w:lang w:eastAsia="ja-JP"/>
        </w:rPr>
        <w:t xml:space="preserve"> population (n</w:t>
      </w:r>
      <w:r>
        <w:rPr>
          <w:lang w:eastAsia="ja-JP"/>
        </w:rPr>
        <w:t xml:space="preserve"> </w:t>
      </w:r>
      <w:r w:rsidRPr="006305DC">
        <w:rPr>
          <w:lang w:eastAsia="ja-JP"/>
        </w:rPr>
        <w:t>=</w:t>
      </w:r>
      <w:r>
        <w:rPr>
          <w:lang w:eastAsia="ja-JP"/>
        </w:rPr>
        <w:t xml:space="preserve"> </w:t>
      </w:r>
      <w:r w:rsidRPr="006305DC">
        <w:rPr>
          <w:lang w:eastAsia="ja-JP"/>
        </w:rPr>
        <w:t>263), RCC population (n</w:t>
      </w:r>
      <w:r>
        <w:rPr>
          <w:lang w:eastAsia="ja-JP"/>
        </w:rPr>
        <w:t xml:space="preserve"> </w:t>
      </w:r>
      <w:r w:rsidRPr="006305DC">
        <w:rPr>
          <w:lang w:eastAsia="ja-JP"/>
        </w:rPr>
        <w:t>=</w:t>
      </w:r>
      <w:r>
        <w:rPr>
          <w:lang w:eastAsia="ja-JP"/>
        </w:rPr>
        <w:t xml:space="preserve"> </w:t>
      </w:r>
      <w:r w:rsidRPr="006305DC">
        <w:rPr>
          <w:lang w:eastAsia="ja-JP"/>
        </w:rPr>
        <w:t>406), melanoma population (n</w:t>
      </w:r>
      <w:r>
        <w:rPr>
          <w:lang w:eastAsia="ja-JP"/>
        </w:rPr>
        <w:t> </w:t>
      </w:r>
      <w:r w:rsidRPr="006305DC">
        <w:rPr>
          <w:lang w:eastAsia="ja-JP"/>
        </w:rPr>
        <w:t>=</w:t>
      </w:r>
      <w:r>
        <w:rPr>
          <w:lang w:eastAsia="ja-JP"/>
        </w:rPr>
        <w:t> </w:t>
      </w:r>
      <w:r w:rsidRPr="006305DC">
        <w:rPr>
          <w:lang w:eastAsia="ja-JP"/>
        </w:rPr>
        <w:t>787) and NSCLC population (n</w:t>
      </w:r>
      <w:r>
        <w:rPr>
          <w:lang w:eastAsia="ja-JP"/>
        </w:rPr>
        <w:t xml:space="preserve"> </w:t>
      </w:r>
      <w:r w:rsidRPr="006305DC">
        <w:rPr>
          <w:lang w:eastAsia="ja-JP"/>
        </w:rPr>
        <w:t>=</w:t>
      </w:r>
      <w:r>
        <w:rPr>
          <w:lang w:eastAsia="ja-JP"/>
        </w:rPr>
        <w:t xml:space="preserve"> 535). </w:t>
      </w:r>
      <w:r w:rsidRPr="006305DC">
        <w:rPr>
          <w:lang w:eastAsia="ja-JP"/>
        </w:rPr>
        <w:t xml:space="preserve">The median number of doses received was 10 </w:t>
      </w:r>
      <w:r w:rsidRPr="006305DC">
        <w:rPr>
          <w:lang w:eastAsia="ja-JP"/>
        </w:rPr>
        <w:lastRenderedPageBreak/>
        <w:t>(range 1 to 65) and 77% of patients received more than 4 doses. The median cumulative dose was 30</w:t>
      </w:r>
      <w:r>
        <w:rPr>
          <w:lang w:eastAsia="ja-JP"/>
        </w:rPr>
        <w:t xml:space="preserve"> </w:t>
      </w:r>
      <w:r w:rsidRPr="006305DC">
        <w:rPr>
          <w:lang w:eastAsia="ja-JP"/>
        </w:rPr>
        <w:t>mg/kg (range 0.5 to 195).</w:t>
      </w:r>
      <w:r>
        <w:rPr>
          <w:lang w:eastAsia="ja-JP"/>
        </w:rPr>
        <w:t xml:space="preserve"> Patient exposure is shown in Tables</w:t>
      </w:r>
      <w:r w:rsidR="000426A1">
        <w:rPr>
          <w:lang w:eastAsia="ja-JP"/>
        </w:rPr>
        <w:t xml:space="preserve"> 8 and 9</w:t>
      </w:r>
      <w:r>
        <w:rPr>
          <w:lang w:eastAsia="ja-JP"/>
        </w:rPr>
        <w:t xml:space="preserve"> below.</w:t>
      </w:r>
    </w:p>
    <w:p w:rsidR="007E2318" w:rsidRPr="007E2318" w:rsidRDefault="007E2318" w:rsidP="007E2318">
      <w:pPr>
        <w:pStyle w:val="Tabletitle0"/>
        <w:rPr>
          <w:lang w:eastAsia="ja-JP"/>
        </w:rPr>
      </w:pPr>
      <w:bookmarkStart w:id="79" w:name="_Toc473012708"/>
      <w:proofErr w:type="gramStart"/>
      <w:r w:rsidRPr="006305DC">
        <w:rPr>
          <w:lang w:eastAsia="ja-JP"/>
        </w:rPr>
        <w:t xml:space="preserve">Table </w:t>
      </w:r>
      <w:r w:rsidR="00ED6E45">
        <w:rPr>
          <w:lang w:eastAsia="ja-JP"/>
        </w:rPr>
        <w:t>8</w:t>
      </w:r>
      <w:r>
        <w:rPr>
          <w:lang w:eastAsia="ja-JP"/>
        </w:rPr>
        <w:t>.</w:t>
      </w:r>
      <w:proofErr w:type="gramEnd"/>
      <w:r>
        <w:rPr>
          <w:lang w:eastAsia="ja-JP"/>
        </w:rPr>
        <w:t xml:space="preserve"> Exposure to </w:t>
      </w:r>
      <w:proofErr w:type="spellStart"/>
      <w:r>
        <w:rPr>
          <w:lang w:eastAsia="ja-JP"/>
        </w:rPr>
        <w:t>n</w:t>
      </w:r>
      <w:r w:rsidRPr="006305DC">
        <w:rPr>
          <w:lang w:eastAsia="ja-JP"/>
        </w:rPr>
        <w:t>ivolumab</w:t>
      </w:r>
      <w:proofErr w:type="spellEnd"/>
      <w:r w:rsidRPr="006305DC">
        <w:rPr>
          <w:lang w:eastAsia="ja-JP"/>
        </w:rPr>
        <w:t xml:space="preserve"> in Studies CA209039 and CA209205</w:t>
      </w:r>
      <w:bookmarkEnd w:id="79"/>
    </w:p>
    <w:tbl>
      <w:tblPr>
        <w:tblW w:w="9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Description w:val="Table 8 is a list showing the exposure to nivolumab in Studies CA209039 and CA209205"/>
      </w:tblPr>
      <w:tblGrid>
        <w:gridCol w:w="2358"/>
        <w:gridCol w:w="1170"/>
        <w:gridCol w:w="990"/>
        <w:gridCol w:w="900"/>
        <w:gridCol w:w="990"/>
        <w:gridCol w:w="987"/>
        <w:gridCol w:w="990"/>
        <w:gridCol w:w="989"/>
      </w:tblGrid>
      <w:tr w:rsidR="00DF5D00" w:rsidRPr="002D625D" w:rsidTr="00704BB0">
        <w:trPr>
          <w:trHeight w:val="544"/>
          <w:tblHeader/>
        </w:trPr>
        <w:tc>
          <w:tcPr>
            <w:tcW w:w="2358" w:type="dxa"/>
            <w:vMerge w:val="restart"/>
            <w:tcBorders>
              <w:top w:val="single" w:sz="8" w:space="0" w:color="000000"/>
              <w:left w:val="single" w:sz="8" w:space="0" w:color="000000"/>
              <w:bottom w:val="single" w:sz="8" w:space="0" w:color="000000"/>
              <w:right w:val="single" w:sz="4" w:space="0" w:color="000000"/>
              <w:tl2br w:val="nil"/>
              <w:tr2bl w:val="nil"/>
            </w:tcBorders>
            <w:shd w:val="clear" w:color="auto" w:fill="006DA7"/>
            <w:noWrap/>
            <w:hideMark/>
          </w:tcPr>
          <w:p w:rsidR="007E2318" w:rsidRPr="00A2181C" w:rsidRDefault="007E2318" w:rsidP="00A2181C">
            <w:pPr>
              <w:keepNext/>
              <w:ind w:right="170"/>
              <w:rPr>
                <w:b/>
                <w:color w:val="FFFFFF"/>
                <w:szCs w:val="21"/>
                <w:lang w:eastAsia="ja-JP"/>
              </w:rPr>
            </w:pPr>
          </w:p>
        </w:tc>
        <w:tc>
          <w:tcPr>
            <w:tcW w:w="3060" w:type="dxa"/>
            <w:gridSpan w:val="3"/>
            <w:tcBorders>
              <w:top w:val="single" w:sz="8" w:space="0" w:color="000000"/>
              <w:left w:val="single" w:sz="4" w:space="0" w:color="000000"/>
              <w:bottom w:val="single" w:sz="8" w:space="0" w:color="000000"/>
              <w:right w:val="single" w:sz="4" w:space="0" w:color="000000"/>
              <w:tl2br w:val="nil"/>
              <w:tr2bl w:val="nil"/>
            </w:tcBorders>
            <w:shd w:val="clear" w:color="auto" w:fill="006DA7"/>
            <w:noWrap/>
            <w:hideMark/>
          </w:tcPr>
          <w:p w:rsidR="007E2318" w:rsidRPr="00A2181C" w:rsidRDefault="007E2318" w:rsidP="00A2181C">
            <w:pPr>
              <w:keepNext/>
              <w:ind w:left="170" w:right="170"/>
              <w:rPr>
                <w:b/>
                <w:color w:val="FFFFFF"/>
                <w:szCs w:val="21"/>
                <w:lang w:eastAsia="ja-JP"/>
              </w:rPr>
            </w:pPr>
            <w:r w:rsidRPr="00A2181C">
              <w:rPr>
                <w:b/>
                <w:color w:val="FFFFFF"/>
                <w:szCs w:val="21"/>
                <w:lang w:eastAsia="ja-JP"/>
              </w:rPr>
              <w:t>Study CA209039</w:t>
            </w:r>
          </w:p>
        </w:tc>
        <w:tc>
          <w:tcPr>
            <w:tcW w:w="3956" w:type="dxa"/>
            <w:gridSpan w:val="4"/>
            <w:tcBorders>
              <w:top w:val="single" w:sz="8" w:space="0" w:color="000000"/>
              <w:left w:val="single" w:sz="4" w:space="0" w:color="000000"/>
              <w:bottom w:val="single" w:sz="8" w:space="0" w:color="000000"/>
              <w:right w:val="single" w:sz="8" w:space="0" w:color="000000"/>
              <w:tl2br w:val="nil"/>
              <w:tr2bl w:val="nil"/>
            </w:tcBorders>
            <w:shd w:val="clear" w:color="auto" w:fill="006DA7"/>
            <w:noWrap/>
            <w:hideMark/>
          </w:tcPr>
          <w:p w:rsidR="007E2318" w:rsidRPr="00A2181C" w:rsidRDefault="007E2318" w:rsidP="00A2181C">
            <w:pPr>
              <w:keepNext/>
              <w:ind w:left="170" w:right="170"/>
              <w:rPr>
                <w:b/>
                <w:color w:val="FFFFFF"/>
                <w:szCs w:val="21"/>
                <w:lang w:eastAsia="ja-JP"/>
              </w:rPr>
            </w:pPr>
            <w:r w:rsidRPr="00A2181C">
              <w:rPr>
                <w:b/>
                <w:color w:val="FFFFFF"/>
                <w:szCs w:val="21"/>
                <w:lang w:eastAsia="ja-JP"/>
              </w:rPr>
              <w:t>Study CA209205</w:t>
            </w:r>
          </w:p>
        </w:tc>
      </w:tr>
      <w:tr w:rsidR="00DF5D00" w:rsidRPr="002D625D" w:rsidTr="00A2181C">
        <w:trPr>
          <w:trHeight w:val="997"/>
        </w:trPr>
        <w:tc>
          <w:tcPr>
            <w:tcW w:w="2358" w:type="dxa"/>
            <w:vMerge/>
            <w:tcBorders>
              <w:right w:val="single" w:sz="4" w:space="0" w:color="000000"/>
            </w:tcBorders>
            <w:shd w:val="clear" w:color="auto" w:fill="auto"/>
            <w:hideMark/>
          </w:tcPr>
          <w:p w:rsidR="007E2318" w:rsidRPr="00A2181C" w:rsidRDefault="007E2318" w:rsidP="00A2181C">
            <w:pPr>
              <w:ind w:left="170" w:right="170"/>
              <w:rPr>
                <w:b/>
                <w:color w:val="000000"/>
                <w:szCs w:val="21"/>
                <w:lang w:eastAsia="ja-JP"/>
              </w:rPr>
            </w:pPr>
          </w:p>
        </w:tc>
        <w:tc>
          <w:tcPr>
            <w:tcW w:w="1170" w:type="dxa"/>
            <w:tcBorders>
              <w:left w:val="single" w:sz="4" w:space="0" w:color="000000"/>
              <w:right w:val="single" w:sz="4" w:space="0" w:color="000000"/>
            </w:tcBorders>
            <w:shd w:val="clear" w:color="auto" w:fill="auto"/>
            <w:hideMark/>
          </w:tcPr>
          <w:p w:rsidR="007E2318" w:rsidRPr="00A2181C" w:rsidRDefault="007E2318" w:rsidP="00950F7A">
            <w:pPr>
              <w:rPr>
                <w:b/>
                <w:bCs/>
                <w:color w:val="000000"/>
                <w:sz w:val="18"/>
                <w:szCs w:val="21"/>
                <w:lang w:eastAsia="ja-JP"/>
              </w:rPr>
            </w:pPr>
            <w:proofErr w:type="spellStart"/>
            <w:r w:rsidRPr="00A2181C">
              <w:rPr>
                <w:bCs/>
                <w:color w:val="000000"/>
                <w:sz w:val="18"/>
                <w:szCs w:val="21"/>
                <w:lang w:eastAsia="ja-JP"/>
              </w:rPr>
              <w:t>cHL</w:t>
            </w:r>
            <w:proofErr w:type="spellEnd"/>
            <w:r w:rsidRPr="00A2181C">
              <w:rPr>
                <w:bCs/>
                <w:color w:val="000000"/>
                <w:sz w:val="18"/>
                <w:szCs w:val="21"/>
                <w:lang w:eastAsia="ja-JP"/>
              </w:rPr>
              <w:t xml:space="preserve"> ASCT Bren-failed</w:t>
            </w:r>
            <w:r w:rsidRPr="00A2181C">
              <w:rPr>
                <w:bCs/>
                <w:color w:val="000000"/>
                <w:sz w:val="18"/>
                <w:szCs w:val="21"/>
                <w:vertAlign w:val="superscript"/>
                <w:lang w:eastAsia="ja-JP"/>
              </w:rPr>
              <w:t>1</w:t>
            </w:r>
            <w:r w:rsidRPr="00A2181C">
              <w:rPr>
                <w:bCs/>
                <w:color w:val="000000"/>
                <w:sz w:val="18"/>
                <w:szCs w:val="21"/>
                <w:lang w:eastAsia="ja-JP"/>
              </w:rPr>
              <w:t xml:space="preserve"> </w:t>
            </w:r>
            <w:r w:rsidRPr="00A2181C">
              <w:rPr>
                <w:color w:val="000000"/>
                <w:sz w:val="16"/>
                <w:szCs w:val="21"/>
                <w:lang w:eastAsia="en-AU"/>
              </w:rPr>
              <w:t>N = 15</w:t>
            </w:r>
          </w:p>
        </w:tc>
        <w:tc>
          <w:tcPr>
            <w:tcW w:w="990" w:type="dxa"/>
            <w:tcBorders>
              <w:left w:val="single" w:sz="4" w:space="0" w:color="000000"/>
              <w:right w:val="single" w:sz="4" w:space="0" w:color="000000"/>
            </w:tcBorders>
            <w:shd w:val="clear" w:color="auto" w:fill="auto"/>
            <w:hideMark/>
          </w:tcPr>
          <w:p w:rsidR="007E2318" w:rsidRPr="00A2181C" w:rsidRDefault="007E2318" w:rsidP="00950F7A">
            <w:pPr>
              <w:rPr>
                <w:b/>
                <w:bCs/>
                <w:color w:val="000000"/>
                <w:sz w:val="18"/>
                <w:szCs w:val="21"/>
                <w:lang w:eastAsia="ja-JP"/>
              </w:rPr>
            </w:pPr>
            <w:proofErr w:type="spellStart"/>
            <w:r w:rsidRPr="00A2181C">
              <w:rPr>
                <w:bCs/>
                <w:color w:val="000000"/>
                <w:sz w:val="18"/>
                <w:szCs w:val="21"/>
                <w:lang w:eastAsia="ja-JP"/>
              </w:rPr>
              <w:t>cHL</w:t>
            </w:r>
            <w:proofErr w:type="spellEnd"/>
            <w:r w:rsidRPr="00A2181C">
              <w:rPr>
                <w:bCs/>
                <w:color w:val="000000"/>
                <w:sz w:val="18"/>
                <w:szCs w:val="21"/>
                <w:lang w:eastAsia="ja-JP"/>
              </w:rPr>
              <w:t xml:space="preserve"> other N = 8</w:t>
            </w:r>
          </w:p>
        </w:tc>
        <w:tc>
          <w:tcPr>
            <w:tcW w:w="900" w:type="dxa"/>
            <w:tcBorders>
              <w:left w:val="single" w:sz="4" w:space="0" w:color="000000"/>
              <w:right w:val="single" w:sz="4" w:space="0" w:color="000000"/>
            </w:tcBorders>
            <w:shd w:val="clear" w:color="auto" w:fill="auto"/>
            <w:hideMark/>
          </w:tcPr>
          <w:p w:rsidR="007E2318" w:rsidRPr="00A2181C" w:rsidRDefault="007E2318" w:rsidP="00950F7A">
            <w:pPr>
              <w:rPr>
                <w:b/>
                <w:bCs/>
                <w:color w:val="000000"/>
                <w:sz w:val="18"/>
                <w:szCs w:val="21"/>
                <w:lang w:eastAsia="ja-JP"/>
              </w:rPr>
            </w:pPr>
            <w:proofErr w:type="spellStart"/>
            <w:r w:rsidRPr="00A2181C">
              <w:rPr>
                <w:bCs/>
                <w:color w:val="000000"/>
                <w:sz w:val="18"/>
                <w:szCs w:val="21"/>
                <w:lang w:eastAsia="ja-JP"/>
              </w:rPr>
              <w:t>cHL</w:t>
            </w:r>
            <w:proofErr w:type="spellEnd"/>
            <w:r w:rsidRPr="00A2181C">
              <w:rPr>
                <w:bCs/>
                <w:color w:val="000000"/>
                <w:sz w:val="18"/>
                <w:szCs w:val="21"/>
                <w:lang w:eastAsia="ja-JP"/>
              </w:rPr>
              <w:t xml:space="preserve"> all N = 23</w:t>
            </w:r>
          </w:p>
        </w:tc>
        <w:tc>
          <w:tcPr>
            <w:tcW w:w="990" w:type="dxa"/>
            <w:tcBorders>
              <w:left w:val="single" w:sz="4" w:space="0" w:color="000000"/>
              <w:right w:val="single" w:sz="4" w:space="0" w:color="000000"/>
            </w:tcBorders>
            <w:shd w:val="clear" w:color="auto" w:fill="auto"/>
            <w:hideMark/>
          </w:tcPr>
          <w:p w:rsidR="007E2318" w:rsidRPr="00A2181C" w:rsidRDefault="007E2318" w:rsidP="00950F7A">
            <w:pPr>
              <w:rPr>
                <w:b/>
                <w:bCs/>
                <w:color w:val="000000"/>
                <w:sz w:val="18"/>
                <w:szCs w:val="21"/>
                <w:lang w:eastAsia="ja-JP"/>
              </w:rPr>
            </w:pPr>
            <w:r w:rsidRPr="00A2181C">
              <w:rPr>
                <w:bCs/>
                <w:color w:val="000000"/>
                <w:sz w:val="18"/>
                <w:szCs w:val="21"/>
                <w:lang w:eastAsia="ja-JP"/>
              </w:rPr>
              <w:t>Cohort A N = 63</w:t>
            </w:r>
          </w:p>
        </w:tc>
        <w:tc>
          <w:tcPr>
            <w:tcW w:w="987" w:type="dxa"/>
            <w:tcBorders>
              <w:left w:val="single" w:sz="4" w:space="0" w:color="000000"/>
              <w:right w:val="single" w:sz="4" w:space="0" w:color="000000"/>
            </w:tcBorders>
            <w:shd w:val="clear" w:color="auto" w:fill="auto"/>
            <w:hideMark/>
          </w:tcPr>
          <w:p w:rsidR="007E2318" w:rsidRPr="00A2181C" w:rsidRDefault="007E2318" w:rsidP="00950F7A">
            <w:pPr>
              <w:rPr>
                <w:b/>
                <w:bCs/>
                <w:color w:val="000000"/>
                <w:sz w:val="18"/>
                <w:szCs w:val="21"/>
                <w:lang w:eastAsia="ja-JP"/>
              </w:rPr>
            </w:pPr>
            <w:r w:rsidRPr="00A2181C">
              <w:rPr>
                <w:bCs/>
                <w:color w:val="000000"/>
                <w:sz w:val="18"/>
                <w:szCs w:val="21"/>
                <w:lang w:eastAsia="ja-JP"/>
              </w:rPr>
              <w:t>Cohort B</w:t>
            </w:r>
            <w:r w:rsidRPr="00A2181C">
              <w:rPr>
                <w:bCs/>
                <w:color w:val="000000"/>
                <w:sz w:val="18"/>
                <w:szCs w:val="21"/>
                <w:vertAlign w:val="superscript"/>
                <w:lang w:eastAsia="ja-JP"/>
              </w:rPr>
              <w:t>1</w:t>
            </w:r>
            <w:r w:rsidRPr="00A2181C">
              <w:rPr>
                <w:bCs/>
                <w:color w:val="000000"/>
                <w:sz w:val="18"/>
                <w:szCs w:val="21"/>
                <w:lang w:eastAsia="ja-JP"/>
              </w:rPr>
              <w:t xml:space="preserve"> N = 80</w:t>
            </w:r>
          </w:p>
        </w:tc>
        <w:tc>
          <w:tcPr>
            <w:tcW w:w="990" w:type="dxa"/>
            <w:tcBorders>
              <w:left w:val="single" w:sz="4" w:space="0" w:color="000000"/>
              <w:right w:val="single" w:sz="4" w:space="0" w:color="000000"/>
            </w:tcBorders>
            <w:shd w:val="clear" w:color="auto" w:fill="auto"/>
            <w:hideMark/>
          </w:tcPr>
          <w:p w:rsidR="007E2318" w:rsidRPr="00A2181C" w:rsidRDefault="007E2318" w:rsidP="00950F7A">
            <w:pPr>
              <w:rPr>
                <w:b/>
                <w:bCs/>
                <w:color w:val="000000"/>
                <w:sz w:val="18"/>
                <w:szCs w:val="21"/>
                <w:lang w:eastAsia="ja-JP"/>
              </w:rPr>
            </w:pPr>
            <w:r w:rsidRPr="00A2181C">
              <w:rPr>
                <w:bCs/>
                <w:color w:val="000000"/>
                <w:sz w:val="18"/>
                <w:szCs w:val="21"/>
                <w:lang w:eastAsia="ja-JP"/>
              </w:rPr>
              <w:t>Cohort C N = 97</w:t>
            </w:r>
          </w:p>
        </w:tc>
        <w:tc>
          <w:tcPr>
            <w:tcW w:w="989" w:type="dxa"/>
            <w:tcBorders>
              <w:left w:val="single" w:sz="4" w:space="0" w:color="000000"/>
            </w:tcBorders>
            <w:shd w:val="clear" w:color="auto" w:fill="auto"/>
            <w:hideMark/>
          </w:tcPr>
          <w:p w:rsidR="007E2318" w:rsidRPr="00A2181C" w:rsidRDefault="007E2318" w:rsidP="00950F7A">
            <w:pPr>
              <w:rPr>
                <w:b/>
                <w:bCs/>
                <w:color w:val="000000"/>
                <w:sz w:val="18"/>
                <w:szCs w:val="21"/>
                <w:lang w:eastAsia="ja-JP"/>
              </w:rPr>
            </w:pPr>
            <w:r w:rsidRPr="00A2181C">
              <w:rPr>
                <w:bCs/>
                <w:color w:val="000000"/>
                <w:sz w:val="18"/>
                <w:szCs w:val="21"/>
                <w:lang w:eastAsia="ja-JP"/>
              </w:rPr>
              <w:t>Cohort A + B + C N = 240</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Number of doses received</w:t>
            </w:r>
          </w:p>
        </w:tc>
        <w:tc>
          <w:tcPr>
            <w:tcW w:w="1170"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00"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87"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89" w:type="dxa"/>
            <w:shd w:val="clear" w:color="auto" w:fill="auto"/>
            <w:noWrap/>
            <w:hideMark/>
          </w:tcPr>
          <w:p w:rsidR="007E2318" w:rsidRPr="00A2181C" w:rsidRDefault="007E2318" w:rsidP="00950F7A">
            <w:pPr>
              <w:rPr>
                <w:color w:val="000000"/>
                <w:sz w:val="20"/>
                <w:szCs w:val="21"/>
                <w:lang w:eastAsia="en-AU"/>
              </w:rPr>
            </w:pP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mean</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25.3</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19.3</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23.2</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11.1</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16.1</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6.4</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10.9</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median</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24</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13</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18</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11</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17</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6</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10</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min, max</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6, 48</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7, 47</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6, 48</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1, 24</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3, 25</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1, 14</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1, 25</w:t>
            </w:r>
          </w:p>
        </w:tc>
      </w:tr>
      <w:tr w:rsidR="00DF5D00" w:rsidRPr="002D625D" w:rsidTr="00A2181C">
        <w:trPr>
          <w:trHeight w:val="255"/>
        </w:trPr>
        <w:tc>
          <w:tcPr>
            <w:tcW w:w="2358" w:type="dxa"/>
            <w:shd w:val="clear" w:color="auto" w:fill="auto"/>
            <w:noWrap/>
          </w:tcPr>
          <w:p w:rsidR="007E2318" w:rsidRPr="00A2181C" w:rsidRDefault="007E2318" w:rsidP="00950F7A">
            <w:pPr>
              <w:rPr>
                <w:color w:val="000000"/>
                <w:sz w:val="20"/>
                <w:szCs w:val="21"/>
                <w:lang w:eastAsia="ja-JP"/>
              </w:rPr>
            </w:pPr>
            <w:r w:rsidRPr="00A2181C">
              <w:rPr>
                <w:color w:val="000000"/>
                <w:sz w:val="20"/>
                <w:szCs w:val="21"/>
                <w:lang w:eastAsia="ja-JP"/>
              </w:rPr>
              <w:t>Median duration of treatment, months (95% CI)</w:t>
            </w:r>
          </w:p>
        </w:tc>
        <w:tc>
          <w:tcPr>
            <w:tcW w:w="117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12.09</w:t>
            </w:r>
          </w:p>
          <w:p w:rsidR="007E2318" w:rsidRPr="00A2181C" w:rsidRDefault="007E2318" w:rsidP="00950F7A">
            <w:pPr>
              <w:rPr>
                <w:color w:val="000000"/>
                <w:sz w:val="20"/>
                <w:szCs w:val="21"/>
                <w:lang w:eastAsia="en-AU"/>
              </w:rPr>
            </w:pPr>
            <w:r w:rsidRPr="00A2181C">
              <w:rPr>
                <w:color w:val="000000"/>
                <w:sz w:val="20"/>
                <w:szCs w:val="21"/>
                <w:lang w:eastAsia="en-AU"/>
              </w:rPr>
              <w:t>(3.88, 19.58)</w:t>
            </w:r>
          </w:p>
        </w:tc>
        <w:tc>
          <w:tcPr>
            <w:tcW w:w="99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5.78</w:t>
            </w:r>
          </w:p>
          <w:p w:rsidR="007E2318" w:rsidRPr="00A2181C" w:rsidRDefault="007E2318" w:rsidP="00950F7A">
            <w:pPr>
              <w:rPr>
                <w:color w:val="000000"/>
                <w:sz w:val="20"/>
                <w:szCs w:val="21"/>
                <w:lang w:eastAsia="en-AU"/>
              </w:rPr>
            </w:pPr>
            <w:r w:rsidRPr="00A2181C">
              <w:rPr>
                <w:color w:val="000000"/>
                <w:sz w:val="20"/>
                <w:szCs w:val="21"/>
                <w:lang w:eastAsia="en-AU"/>
              </w:rPr>
              <w:t>(2.99, 18.63)</w:t>
            </w:r>
          </w:p>
        </w:tc>
        <w:tc>
          <w:tcPr>
            <w:tcW w:w="90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8.18</w:t>
            </w:r>
          </w:p>
          <w:p w:rsidR="007E2318" w:rsidRPr="00A2181C" w:rsidRDefault="007E2318" w:rsidP="00950F7A">
            <w:pPr>
              <w:rPr>
                <w:color w:val="000000"/>
                <w:sz w:val="20"/>
                <w:szCs w:val="21"/>
                <w:lang w:eastAsia="en-AU"/>
              </w:rPr>
            </w:pPr>
            <w:r w:rsidRPr="00A2181C">
              <w:rPr>
                <w:color w:val="000000"/>
                <w:sz w:val="20"/>
                <w:szCs w:val="21"/>
                <w:lang w:eastAsia="en-AU"/>
              </w:rPr>
              <w:t>(5.29, 15.87)</w:t>
            </w:r>
          </w:p>
        </w:tc>
        <w:tc>
          <w:tcPr>
            <w:tcW w:w="99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NA</w:t>
            </w:r>
          </w:p>
        </w:tc>
        <w:tc>
          <w:tcPr>
            <w:tcW w:w="987"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NA</w:t>
            </w:r>
          </w:p>
          <w:p w:rsidR="007E2318" w:rsidRPr="00A2181C" w:rsidRDefault="007E2318" w:rsidP="00950F7A">
            <w:pPr>
              <w:rPr>
                <w:color w:val="000000"/>
                <w:sz w:val="20"/>
                <w:szCs w:val="21"/>
                <w:lang w:eastAsia="en-AU"/>
              </w:rPr>
            </w:pPr>
            <w:r w:rsidRPr="00A2181C">
              <w:rPr>
                <w:color w:val="000000"/>
                <w:sz w:val="20"/>
                <w:szCs w:val="21"/>
                <w:lang w:eastAsia="en-AU"/>
              </w:rPr>
              <w:t>(9.26, NA)</w:t>
            </w:r>
          </w:p>
        </w:tc>
        <w:tc>
          <w:tcPr>
            <w:tcW w:w="99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NA</w:t>
            </w:r>
          </w:p>
          <w:p w:rsidR="007E2318" w:rsidRPr="00A2181C" w:rsidRDefault="007E2318" w:rsidP="00950F7A">
            <w:pPr>
              <w:rPr>
                <w:color w:val="000000"/>
                <w:sz w:val="20"/>
                <w:szCs w:val="21"/>
                <w:lang w:eastAsia="en-AU"/>
              </w:rPr>
            </w:pPr>
            <w:r w:rsidRPr="00A2181C">
              <w:rPr>
                <w:color w:val="000000"/>
                <w:sz w:val="20"/>
                <w:szCs w:val="21"/>
                <w:lang w:eastAsia="en-AU"/>
              </w:rPr>
              <w:t>(5.52, NA)</w:t>
            </w:r>
          </w:p>
        </w:tc>
        <w:tc>
          <w:tcPr>
            <w:tcW w:w="989"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NA</w:t>
            </w:r>
          </w:p>
        </w:tc>
      </w:tr>
      <w:tr w:rsidR="00DF5D00" w:rsidRPr="002D625D" w:rsidTr="004525A0">
        <w:trPr>
          <w:cantSplit/>
          <w:trHeight w:val="255"/>
        </w:trPr>
        <w:tc>
          <w:tcPr>
            <w:tcW w:w="2358" w:type="dxa"/>
            <w:shd w:val="clear" w:color="auto" w:fill="auto"/>
            <w:noWrap/>
          </w:tcPr>
          <w:p w:rsidR="007E2318" w:rsidRPr="00A2181C" w:rsidRDefault="002C1384" w:rsidP="00950F7A">
            <w:pPr>
              <w:rPr>
                <w:color w:val="000000"/>
                <w:sz w:val="20"/>
                <w:szCs w:val="21"/>
                <w:lang w:eastAsia="ja-JP"/>
              </w:rPr>
            </w:pPr>
            <w:r w:rsidRPr="00A2181C">
              <w:rPr>
                <w:color w:val="000000"/>
                <w:sz w:val="20"/>
                <w:szCs w:val="21"/>
                <w:lang w:eastAsia="ja-JP"/>
              </w:rPr>
              <w:t>Number</w:t>
            </w:r>
            <w:r w:rsidR="007E2318" w:rsidRPr="00A2181C">
              <w:rPr>
                <w:color w:val="000000"/>
                <w:sz w:val="20"/>
                <w:szCs w:val="21"/>
                <w:lang w:eastAsia="ja-JP"/>
              </w:rPr>
              <w:t xml:space="preserve"> on treatment at time of analysis</w:t>
            </w:r>
          </w:p>
        </w:tc>
        <w:tc>
          <w:tcPr>
            <w:tcW w:w="117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2</w:t>
            </w:r>
          </w:p>
        </w:tc>
        <w:tc>
          <w:tcPr>
            <w:tcW w:w="99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1</w:t>
            </w:r>
          </w:p>
        </w:tc>
        <w:tc>
          <w:tcPr>
            <w:tcW w:w="90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3</w:t>
            </w:r>
          </w:p>
        </w:tc>
        <w:tc>
          <w:tcPr>
            <w:tcW w:w="99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54</w:t>
            </w:r>
          </w:p>
        </w:tc>
        <w:tc>
          <w:tcPr>
            <w:tcW w:w="987"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51</w:t>
            </w:r>
          </w:p>
        </w:tc>
        <w:tc>
          <w:tcPr>
            <w:tcW w:w="990"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90</w:t>
            </w:r>
          </w:p>
        </w:tc>
        <w:tc>
          <w:tcPr>
            <w:tcW w:w="989" w:type="dxa"/>
            <w:shd w:val="clear" w:color="auto" w:fill="auto"/>
            <w:noWrap/>
          </w:tcPr>
          <w:p w:rsidR="007E2318" w:rsidRPr="00A2181C" w:rsidRDefault="007E2318" w:rsidP="00950F7A">
            <w:pPr>
              <w:rPr>
                <w:color w:val="000000"/>
                <w:sz w:val="20"/>
                <w:szCs w:val="21"/>
                <w:lang w:eastAsia="en-AU"/>
              </w:rPr>
            </w:pPr>
            <w:r w:rsidRPr="00A2181C">
              <w:rPr>
                <w:color w:val="000000"/>
                <w:sz w:val="20"/>
                <w:szCs w:val="21"/>
                <w:lang w:eastAsia="en-AU"/>
              </w:rPr>
              <w:t>199</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Cumulative dose (mg/kg)</w:t>
            </w:r>
          </w:p>
        </w:tc>
        <w:tc>
          <w:tcPr>
            <w:tcW w:w="1170"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00"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87"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89" w:type="dxa"/>
            <w:shd w:val="clear" w:color="auto" w:fill="auto"/>
            <w:noWrap/>
            <w:hideMark/>
          </w:tcPr>
          <w:p w:rsidR="007E2318" w:rsidRPr="00A2181C" w:rsidRDefault="007E2318" w:rsidP="00950F7A">
            <w:pPr>
              <w:rPr>
                <w:color w:val="000000"/>
                <w:sz w:val="20"/>
                <w:szCs w:val="21"/>
                <w:lang w:eastAsia="en-AU"/>
              </w:rPr>
            </w:pP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mean</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75.1</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56.8</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68.7</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32.8</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47.9</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20</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32.3</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median</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68.7</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39</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54</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31</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50.9</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18</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29.7</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min, max</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8, 138</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21, 137</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18, 138</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3, 73.6</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9, 75.8</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2.9, 40.9</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2.9, 75.8</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Relative dose intensity</w:t>
            </w:r>
          </w:p>
        </w:tc>
        <w:tc>
          <w:tcPr>
            <w:tcW w:w="1170"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00"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87" w:type="dxa"/>
            <w:shd w:val="clear" w:color="auto" w:fill="auto"/>
            <w:noWrap/>
            <w:hideMark/>
          </w:tcPr>
          <w:p w:rsidR="007E2318" w:rsidRPr="00A2181C" w:rsidRDefault="007E2318" w:rsidP="00950F7A">
            <w:pPr>
              <w:rPr>
                <w:color w:val="000000"/>
                <w:sz w:val="20"/>
                <w:szCs w:val="21"/>
                <w:lang w:eastAsia="en-AU"/>
              </w:rPr>
            </w:pPr>
          </w:p>
        </w:tc>
        <w:tc>
          <w:tcPr>
            <w:tcW w:w="990" w:type="dxa"/>
            <w:shd w:val="clear" w:color="auto" w:fill="auto"/>
            <w:noWrap/>
            <w:hideMark/>
          </w:tcPr>
          <w:p w:rsidR="007E2318" w:rsidRPr="00A2181C" w:rsidRDefault="007E2318" w:rsidP="00950F7A">
            <w:pPr>
              <w:rPr>
                <w:color w:val="000000"/>
                <w:sz w:val="20"/>
                <w:szCs w:val="21"/>
                <w:lang w:eastAsia="en-AU"/>
              </w:rPr>
            </w:pPr>
          </w:p>
        </w:tc>
        <w:tc>
          <w:tcPr>
            <w:tcW w:w="989" w:type="dxa"/>
            <w:shd w:val="clear" w:color="auto" w:fill="auto"/>
            <w:noWrap/>
            <w:hideMark/>
          </w:tcPr>
          <w:p w:rsidR="007E2318" w:rsidRPr="00A2181C" w:rsidRDefault="007E2318" w:rsidP="00950F7A">
            <w:pPr>
              <w:rPr>
                <w:color w:val="000000"/>
                <w:sz w:val="20"/>
                <w:szCs w:val="21"/>
                <w:lang w:eastAsia="en-AU"/>
              </w:rPr>
            </w:pP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&gt; 110%</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0</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0</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0</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 (1.6)</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0</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0</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 (0.4)</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90 ≤ 110%</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11 (73.7)</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7 (87.5)</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18 (78.3)</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54 (85.7)</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61 (76.3)</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83 (85.6)</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198 (83)</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70 ≤ 90%</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4 (26.7)</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 (12.5)</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5 (21.7)</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6 (9.5)</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16 (20.0)</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12 (12.4)</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34 (14.2)</w:t>
            </w:r>
          </w:p>
        </w:tc>
      </w:tr>
      <w:tr w:rsidR="00DF5D00" w:rsidRPr="002D625D" w:rsidTr="00A2181C">
        <w:trPr>
          <w:trHeight w:val="255"/>
        </w:trPr>
        <w:tc>
          <w:tcPr>
            <w:tcW w:w="2358" w:type="dxa"/>
            <w:shd w:val="clear" w:color="auto" w:fill="auto"/>
            <w:noWrap/>
            <w:hideMark/>
          </w:tcPr>
          <w:p w:rsidR="007E2318" w:rsidRPr="00A2181C" w:rsidRDefault="007E2318" w:rsidP="00950F7A">
            <w:pPr>
              <w:rPr>
                <w:color w:val="000000"/>
                <w:sz w:val="20"/>
                <w:szCs w:val="21"/>
                <w:lang w:eastAsia="ja-JP"/>
              </w:rPr>
            </w:pPr>
            <w:r w:rsidRPr="00A2181C">
              <w:rPr>
                <w:color w:val="000000"/>
                <w:sz w:val="20"/>
                <w:szCs w:val="21"/>
                <w:lang w:eastAsia="ja-JP"/>
              </w:rPr>
              <w:t>50 ≤ 70%</w:t>
            </w:r>
          </w:p>
        </w:tc>
        <w:tc>
          <w:tcPr>
            <w:tcW w:w="117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0</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0</w:t>
            </w:r>
          </w:p>
        </w:tc>
        <w:tc>
          <w:tcPr>
            <w:tcW w:w="90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0</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 (3.2)</w:t>
            </w:r>
          </w:p>
        </w:tc>
        <w:tc>
          <w:tcPr>
            <w:tcW w:w="987"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3 (3.8)</w:t>
            </w:r>
          </w:p>
        </w:tc>
        <w:tc>
          <w:tcPr>
            <w:tcW w:w="990"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2 (2.1)</w:t>
            </w:r>
          </w:p>
        </w:tc>
        <w:tc>
          <w:tcPr>
            <w:tcW w:w="989" w:type="dxa"/>
            <w:shd w:val="clear" w:color="auto" w:fill="auto"/>
            <w:noWrap/>
            <w:hideMark/>
          </w:tcPr>
          <w:p w:rsidR="007E2318" w:rsidRPr="00A2181C" w:rsidRDefault="007E2318" w:rsidP="00950F7A">
            <w:pPr>
              <w:rPr>
                <w:color w:val="000000"/>
                <w:sz w:val="20"/>
                <w:szCs w:val="21"/>
                <w:lang w:eastAsia="en-AU"/>
              </w:rPr>
            </w:pPr>
            <w:r w:rsidRPr="00A2181C">
              <w:rPr>
                <w:color w:val="000000"/>
                <w:sz w:val="20"/>
                <w:szCs w:val="21"/>
                <w:lang w:eastAsia="en-AU"/>
              </w:rPr>
              <w:t>7 (2.9)</w:t>
            </w:r>
          </w:p>
        </w:tc>
      </w:tr>
      <w:tr w:rsidR="007E2318" w:rsidRPr="002D625D" w:rsidTr="00A2181C">
        <w:trPr>
          <w:trHeight w:val="255"/>
        </w:trPr>
        <w:tc>
          <w:tcPr>
            <w:tcW w:w="9374" w:type="dxa"/>
            <w:gridSpan w:val="8"/>
            <w:shd w:val="clear" w:color="auto" w:fill="auto"/>
            <w:noWrap/>
          </w:tcPr>
          <w:p w:rsidR="007E2318" w:rsidRPr="00A2181C" w:rsidRDefault="007E2318" w:rsidP="00A2181C">
            <w:pPr>
              <w:ind w:right="170"/>
              <w:rPr>
                <w:color w:val="000000"/>
                <w:sz w:val="20"/>
                <w:szCs w:val="21"/>
                <w:lang w:eastAsia="ja-JP"/>
              </w:rPr>
            </w:pPr>
            <w:r w:rsidRPr="00A2181C">
              <w:rPr>
                <w:color w:val="000000"/>
                <w:sz w:val="20"/>
                <w:szCs w:val="21"/>
                <w:lang w:eastAsia="ja-JP"/>
              </w:rPr>
              <w:t>1) target population</w:t>
            </w:r>
          </w:p>
        </w:tc>
      </w:tr>
    </w:tbl>
    <w:p w:rsidR="007E2318" w:rsidRPr="006305DC" w:rsidRDefault="007E2318" w:rsidP="002C1384">
      <w:pPr>
        <w:pStyle w:val="Tabletitle0"/>
        <w:rPr>
          <w:lang w:eastAsia="ja-JP"/>
        </w:rPr>
      </w:pPr>
      <w:bookmarkStart w:id="80" w:name="_Toc473012709"/>
      <w:proofErr w:type="gramStart"/>
      <w:r w:rsidRPr="006305DC">
        <w:rPr>
          <w:lang w:eastAsia="ja-JP"/>
        </w:rPr>
        <w:lastRenderedPageBreak/>
        <w:t xml:space="preserve">Table </w:t>
      </w:r>
      <w:r w:rsidR="000426A1">
        <w:rPr>
          <w:lang w:eastAsia="ja-JP"/>
        </w:rPr>
        <w:t>9</w:t>
      </w:r>
      <w:r>
        <w:rPr>
          <w:lang w:eastAsia="ja-JP"/>
        </w:rPr>
        <w:t>.</w:t>
      </w:r>
      <w:proofErr w:type="gramEnd"/>
      <w:r>
        <w:rPr>
          <w:lang w:eastAsia="ja-JP"/>
        </w:rPr>
        <w:t xml:space="preserve"> Duration of follow-up</w:t>
      </w:r>
      <w:r w:rsidRPr="006305DC">
        <w:rPr>
          <w:lang w:eastAsia="ja-JP"/>
        </w:rPr>
        <w:t xml:space="preserve"> in Studies CA209039 and CA209205</w:t>
      </w:r>
      <w:bookmarkEnd w:id="80"/>
    </w:p>
    <w:tbl>
      <w:tblPr>
        <w:tblW w:w="90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Description w:val="Table 9 is a list showing the duration of follow-up in Studies CA209039 and CA209205"/>
      </w:tblPr>
      <w:tblGrid>
        <w:gridCol w:w="1277"/>
        <w:gridCol w:w="1351"/>
        <w:gridCol w:w="1079"/>
        <w:gridCol w:w="990"/>
        <w:gridCol w:w="1068"/>
        <w:gridCol w:w="1068"/>
        <w:gridCol w:w="1068"/>
        <w:gridCol w:w="1116"/>
      </w:tblGrid>
      <w:tr w:rsidR="00DF5D00" w:rsidRPr="006305DC" w:rsidTr="00A2181C">
        <w:trPr>
          <w:trHeight w:val="261"/>
          <w:tblHeader/>
        </w:trPr>
        <w:tc>
          <w:tcPr>
            <w:tcW w:w="1277" w:type="dxa"/>
            <w:vMerge w:val="restart"/>
            <w:tcBorders>
              <w:top w:val="single" w:sz="8" w:space="0" w:color="000000"/>
              <w:left w:val="single" w:sz="8" w:space="0" w:color="000000"/>
              <w:bottom w:val="single" w:sz="8" w:space="0" w:color="000000"/>
              <w:right w:val="nil"/>
              <w:tl2br w:val="nil"/>
              <w:tr2bl w:val="nil"/>
            </w:tcBorders>
            <w:shd w:val="clear" w:color="auto" w:fill="006DA7"/>
            <w:noWrap/>
            <w:hideMark/>
          </w:tcPr>
          <w:p w:rsidR="007E2318" w:rsidRPr="00A2181C" w:rsidRDefault="007E2318" w:rsidP="00A2181C">
            <w:pPr>
              <w:keepNext/>
              <w:ind w:left="170" w:right="170"/>
              <w:rPr>
                <w:b/>
                <w:color w:val="FFFFFF"/>
                <w:szCs w:val="21"/>
                <w:lang w:eastAsia="ja-JP"/>
              </w:rPr>
            </w:pPr>
          </w:p>
        </w:tc>
        <w:tc>
          <w:tcPr>
            <w:tcW w:w="3420" w:type="dxa"/>
            <w:gridSpan w:val="3"/>
            <w:tcBorders>
              <w:top w:val="single" w:sz="8" w:space="0" w:color="000000"/>
              <w:left w:val="nil"/>
              <w:bottom w:val="single" w:sz="8" w:space="0" w:color="000000"/>
              <w:right w:val="single" w:sz="4" w:space="0" w:color="000000"/>
              <w:tl2br w:val="nil"/>
              <w:tr2bl w:val="nil"/>
            </w:tcBorders>
            <w:shd w:val="clear" w:color="auto" w:fill="006DA7"/>
            <w:noWrap/>
            <w:hideMark/>
          </w:tcPr>
          <w:p w:rsidR="007E2318" w:rsidRPr="00A2181C" w:rsidRDefault="007E2318" w:rsidP="00A2181C">
            <w:pPr>
              <w:keepNext/>
              <w:ind w:right="170"/>
              <w:rPr>
                <w:b/>
                <w:color w:val="FFFFFF"/>
                <w:szCs w:val="21"/>
                <w:lang w:eastAsia="ja-JP"/>
              </w:rPr>
            </w:pPr>
            <w:r w:rsidRPr="00A2181C">
              <w:rPr>
                <w:b/>
                <w:color w:val="FFFFFF"/>
                <w:szCs w:val="21"/>
                <w:lang w:eastAsia="ja-JP"/>
              </w:rPr>
              <w:t>Study CA209039</w:t>
            </w:r>
          </w:p>
        </w:tc>
        <w:tc>
          <w:tcPr>
            <w:tcW w:w="4320" w:type="dxa"/>
            <w:gridSpan w:val="4"/>
            <w:tcBorders>
              <w:top w:val="single" w:sz="8" w:space="0" w:color="000000"/>
              <w:left w:val="single" w:sz="4" w:space="0" w:color="000000"/>
              <w:bottom w:val="single" w:sz="8" w:space="0" w:color="000000"/>
              <w:right w:val="single" w:sz="4" w:space="0" w:color="000000"/>
              <w:tl2br w:val="nil"/>
              <w:tr2bl w:val="nil"/>
            </w:tcBorders>
            <w:shd w:val="clear" w:color="auto" w:fill="006DA7"/>
            <w:noWrap/>
            <w:hideMark/>
          </w:tcPr>
          <w:p w:rsidR="007E2318" w:rsidRPr="00A2181C" w:rsidRDefault="007E2318" w:rsidP="00A2181C">
            <w:pPr>
              <w:keepNext/>
              <w:ind w:left="170" w:right="170"/>
              <w:rPr>
                <w:b/>
                <w:color w:val="FFFFFF"/>
                <w:szCs w:val="21"/>
                <w:lang w:eastAsia="ja-JP"/>
              </w:rPr>
            </w:pPr>
            <w:r w:rsidRPr="00A2181C">
              <w:rPr>
                <w:b/>
                <w:color w:val="FFFFFF"/>
                <w:szCs w:val="21"/>
                <w:lang w:eastAsia="ja-JP"/>
              </w:rPr>
              <w:t>Study CA209205</w:t>
            </w:r>
          </w:p>
        </w:tc>
      </w:tr>
      <w:tr w:rsidR="00DF5D00" w:rsidRPr="00611313" w:rsidTr="00A2181C">
        <w:trPr>
          <w:trHeight w:val="1006"/>
        </w:trPr>
        <w:tc>
          <w:tcPr>
            <w:tcW w:w="1277" w:type="dxa"/>
            <w:vMerge/>
            <w:shd w:val="clear" w:color="auto" w:fill="auto"/>
            <w:hideMark/>
          </w:tcPr>
          <w:p w:rsidR="007E2318" w:rsidRPr="00A2181C" w:rsidRDefault="007E2318" w:rsidP="00A2181C">
            <w:pPr>
              <w:keepNext/>
              <w:ind w:left="170" w:right="170"/>
              <w:rPr>
                <w:color w:val="000000"/>
                <w:szCs w:val="21"/>
                <w:lang w:eastAsia="ja-JP"/>
              </w:rPr>
            </w:pPr>
          </w:p>
        </w:tc>
        <w:tc>
          <w:tcPr>
            <w:tcW w:w="1351" w:type="dxa"/>
            <w:tcBorders>
              <w:right w:val="single" w:sz="4" w:space="0" w:color="000000"/>
            </w:tcBorders>
            <w:shd w:val="clear" w:color="auto" w:fill="auto"/>
            <w:hideMark/>
          </w:tcPr>
          <w:p w:rsidR="007E2318" w:rsidRPr="00A2181C" w:rsidRDefault="002C1384" w:rsidP="00A2181C">
            <w:pPr>
              <w:keepNext/>
              <w:rPr>
                <w:b/>
                <w:bCs/>
                <w:color w:val="000000"/>
                <w:sz w:val="20"/>
                <w:szCs w:val="21"/>
                <w:lang w:eastAsia="ja-JP"/>
              </w:rPr>
            </w:pPr>
            <w:proofErr w:type="spellStart"/>
            <w:r w:rsidRPr="00A2181C">
              <w:rPr>
                <w:bCs/>
                <w:color w:val="000000"/>
                <w:sz w:val="20"/>
                <w:szCs w:val="21"/>
                <w:lang w:eastAsia="ja-JP"/>
              </w:rPr>
              <w:t>cHL</w:t>
            </w:r>
            <w:proofErr w:type="spellEnd"/>
            <w:r w:rsidRPr="00A2181C">
              <w:rPr>
                <w:bCs/>
                <w:color w:val="000000"/>
                <w:sz w:val="20"/>
                <w:szCs w:val="21"/>
                <w:lang w:eastAsia="ja-JP"/>
              </w:rPr>
              <w:t xml:space="preserve"> ASCT </w:t>
            </w:r>
            <w:proofErr w:type="spellStart"/>
            <w:r w:rsidRPr="00A2181C">
              <w:rPr>
                <w:bCs/>
                <w:color w:val="000000"/>
                <w:sz w:val="20"/>
                <w:szCs w:val="21"/>
                <w:lang w:eastAsia="ja-JP"/>
              </w:rPr>
              <w:t>b</w:t>
            </w:r>
            <w:r w:rsidR="007E2318" w:rsidRPr="00A2181C">
              <w:rPr>
                <w:bCs/>
                <w:color w:val="000000"/>
                <w:sz w:val="20"/>
                <w:szCs w:val="21"/>
                <w:lang w:eastAsia="ja-JP"/>
              </w:rPr>
              <w:t>ren</w:t>
            </w:r>
            <w:proofErr w:type="spellEnd"/>
            <w:r w:rsidR="007E2318" w:rsidRPr="00A2181C">
              <w:rPr>
                <w:bCs/>
                <w:color w:val="000000"/>
                <w:sz w:val="20"/>
                <w:szCs w:val="21"/>
                <w:lang w:eastAsia="ja-JP"/>
              </w:rPr>
              <w:t>-failed N = 15</w:t>
            </w:r>
          </w:p>
        </w:tc>
        <w:tc>
          <w:tcPr>
            <w:tcW w:w="1079" w:type="dxa"/>
            <w:tcBorders>
              <w:left w:val="single" w:sz="4" w:space="0" w:color="000000"/>
              <w:right w:val="single" w:sz="4" w:space="0" w:color="000000"/>
            </w:tcBorders>
            <w:shd w:val="clear" w:color="auto" w:fill="auto"/>
            <w:hideMark/>
          </w:tcPr>
          <w:p w:rsidR="007E2318" w:rsidRPr="00A2181C" w:rsidRDefault="002C1384" w:rsidP="00A2181C">
            <w:pPr>
              <w:keepNext/>
              <w:rPr>
                <w:b/>
                <w:bCs/>
                <w:color w:val="000000"/>
                <w:sz w:val="20"/>
                <w:szCs w:val="21"/>
                <w:lang w:eastAsia="ja-JP"/>
              </w:rPr>
            </w:pPr>
            <w:proofErr w:type="spellStart"/>
            <w:r w:rsidRPr="00A2181C">
              <w:rPr>
                <w:bCs/>
                <w:color w:val="000000"/>
                <w:sz w:val="20"/>
                <w:szCs w:val="21"/>
                <w:lang w:eastAsia="ja-JP"/>
              </w:rPr>
              <w:t>cHL</w:t>
            </w:r>
            <w:proofErr w:type="spellEnd"/>
            <w:r w:rsidRPr="00A2181C">
              <w:rPr>
                <w:bCs/>
                <w:color w:val="000000"/>
                <w:sz w:val="20"/>
                <w:szCs w:val="21"/>
                <w:lang w:eastAsia="ja-JP"/>
              </w:rPr>
              <w:t xml:space="preserve"> o</w:t>
            </w:r>
            <w:r w:rsidR="007E2318" w:rsidRPr="00A2181C">
              <w:rPr>
                <w:bCs/>
                <w:color w:val="000000"/>
                <w:sz w:val="20"/>
                <w:szCs w:val="21"/>
                <w:lang w:eastAsia="ja-JP"/>
              </w:rPr>
              <w:t>ther N = 8</w:t>
            </w:r>
          </w:p>
        </w:tc>
        <w:tc>
          <w:tcPr>
            <w:tcW w:w="990" w:type="dxa"/>
            <w:tcBorders>
              <w:left w:val="single" w:sz="4" w:space="0" w:color="000000"/>
              <w:right w:val="single" w:sz="4" w:space="0" w:color="000000"/>
            </w:tcBorders>
            <w:shd w:val="clear" w:color="auto" w:fill="auto"/>
            <w:hideMark/>
          </w:tcPr>
          <w:p w:rsidR="007E2318" w:rsidRPr="00A2181C" w:rsidRDefault="007E2318" w:rsidP="00A2181C">
            <w:pPr>
              <w:keepNext/>
              <w:rPr>
                <w:b/>
                <w:bCs/>
                <w:color w:val="000000"/>
                <w:sz w:val="20"/>
                <w:szCs w:val="21"/>
                <w:lang w:eastAsia="ja-JP"/>
              </w:rPr>
            </w:pPr>
            <w:proofErr w:type="spellStart"/>
            <w:r w:rsidRPr="00A2181C">
              <w:rPr>
                <w:bCs/>
                <w:color w:val="000000"/>
                <w:sz w:val="20"/>
                <w:szCs w:val="21"/>
                <w:lang w:eastAsia="ja-JP"/>
              </w:rPr>
              <w:t>cHL</w:t>
            </w:r>
            <w:proofErr w:type="spellEnd"/>
            <w:r w:rsidRPr="00A2181C">
              <w:rPr>
                <w:bCs/>
                <w:color w:val="000000"/>
                <w:sz w:val="20"/>
                <w:szCs w:val="21"/>
                <w:lang w:eastAsia="ja-JP"/>
              </w:rPr>
              <w:t xml:space="preserve"> all N = 23</w:t>
            </w:r>
          </w:p>
        </w:tc>
        <w:tc>
          <w:tcPr>
            <w:tcW w:w="1068" w:type="dxa"/>
            <w:tcBorders>
              <w:left w:val="single" w:sz="4" w:space="0" w:color="000000"/>
              <w:right w:val="single" w:sz="4" w:space="0" w:color="000000"/>
            </w:tcBorders>
            <w:shd w:val="clear" w:color="auto" w:fill="auto"/>
            <w:hideMark/>
          </w:tcPr>
          <w:p w:rsidR="007E2318" w:rsidRPr="00A2181C" w:rsidRDefault="007E2318" w:rsidP="00A2181C">
            <w:pPr>
              <w:keepNext/>
              <w:rPr>
                <w:b/>
                <w:bCs/>
                <w:color w:val="000000"/>
                <w:sz w:val="20"/>
                <w:szCs w:val="21"/>
                <w:lang w:eastAsia="ja-JP"/>
              </w:rPr>
            </w:pPr>
            <w:r w:rsidRPr="00A2181C">
              <w:rPr>
                <w:bCs/>
                <w:color w:val="000000"/>
                <w:sz w:val="20"/>
                <w:szCs w:val="21"/>
                <w:lang w:eastAsia="ja-JP"/>
              </w:rPr>
              <w:t>Cohort A N = 63</w:t>
            </w:r>
          </w:p>
        </w:tc>
        <w:tc>
          <w:tcPr>
            <w:tcW w:w="1068" w:type="dxa"/>
            <w:tcBorders>
              <w:left w:val="single" w:sz="4" w:space="0" w:color="000000"/>
              <w:right w:val="single" w:sz="4" w:space="0" w:color="000000"/>
            </w:tcBorders>
            <w:shd w:val="clear" w:color="auto" w:fill="auto"/>
            <w:hideMark/>
          </w:tcPr>
          <w:p w:rsidR="007E2318" w:rsidRPr="00A2181C" w:rsidRDefault="007E2318" w:rsidP="00A2181C">
            <w:pPr>
              <w:keepNext/>
              <w:rPr>
                <w:b/>
                <w:bCs/>
                <w:color w:val="000000"/>
                <w:sz w:val="20"/>
                <w:szCs w:val="21"/>
                <w:lang w:eastAsia="ja-JP"/>
              </w:rPr>
            </w:pPr>
            <w:r w:rsidRPr="00A2181C">
              <w:rPr>
                <w:bCs/>
                <w:color w:val="000000"/>
                <w:sz w:val="20"/>
                <w:szCs w:val="21"/>
                <w:lang w:eastAsia="ja-JP"/>
              </w:rPr>
              <w:t>Cohort B N = 80</w:t>
            </w:r>
          </w:p>
        </w:tc>
        <w:tc>
          <w:tcPr>
            <w:tcW w:w="1068" w:type="dxa"/>
            <w:tcBorders>
              <w:left w:val="single" w:sz="4" w:space="0" w:color="000000"/>
            </w:tcBorders>
            <w:shd w:val="clear" w:color="auto" w:fill="auto"/>
            <w:hideMark/>
          </w:tcPr>
          <w:p w:rsidR="007E2318" w:rsidRPr="00A2181C" w:rsidRDefault="007E2318" w:rsidP="00A2181C">
            <w:pPr>
              <w:keepNext/>
              <w:rPr>
                <w:b/>
                <w:bCs/>
                <w:color w:val="000000"/>
                <w:sz w:val="20"/>
                <w:szCs w:val="21"/>
                <w:lang w:eastAsia="ja-JP"/>
              </w:rPr>
            </w:pPr>
            <w:r w:rsidRPr="00A2181C">
              <w:rPr>
                <w:bCs/>
                <w:color w:val="000000"/>
                <w:sz w:val="20"/>
                <w:szCs w:val="21"/>
                <w:lang w:eastAsia="ja-JP"/>
              </w:rPr>
              <w:t>Cohort C N = 97</w:t>
            </w:r>
          </w:p>
        </w:tc>
        <w:tc>
          <w:tcPr>
            <w:tcW w:w="1116" w:type="dxa"/>
            <w:tcBorders>
              <w:right w:val="single" w:sz="4" w:space="0" w:color="000000"/>
            </w:tcBorders>
            <w:shd w:val="clear" w:color="auto" w:fill="auto"/>
            <w:hideMark/>
          </w:tcPr>
          <w:p w:rsidR="007E2318" w:rsidRPr="00A2181C" w:rsidRDefault="007E2318" w:rsidP="00A2181C">
            <w:pPr>
              <w:keepNext/>
              <w:rPr>
                <w:b/>
                <w:bCs/>
                <w:color w:val="000000"/>
                <w:sz w:val="20"/>
                <w:szCs w:val="21"/>
                <w:lang w:eastAsia="ja-JP"/>
              </w:rPr>
            </w:pPr>
            <w:r w:rsidRPr="00A2181C">
              <w:rPr>
                <w:bCs/>
                <w:color w:val="000000"/>
                <w:sz w:val="20"/>
                <w:szCs w:val="21"/>
                <w:lang w:eastAsia="ja-JP"/>
              </w:rPr>
              <w:t>Cohort A+B+C N = 240</w:t>
            </w:r>
          </w:p>
        </w:tc>
      </w:tr>
      <w:tr w:rsidR="00DF5D00" w:rsidRPr="00611313" w:rsidTr="00A2181C">
        <w:trPr>
          <w:trHeight w:val="261"/>
        </w:trPr>
        <w:tc>
          <w:tcPr>
            <w:tcW w:w="1277" w:type="dxa"/>
            <w:shd w:val="clear" w:color="auto" w:fill="auto"/>
            <w:hideMark/>
          </w:tcPr>
          <w:p w:rsidR="007E2318" w:rsidRPr="00A2181C" w:rsidRDefault="002C1384" w:rsidP="00A2181C">
            <w:pPr>
              <w:keepNext/>
              <w:ind w:right="170"/>
              <w:rPr>
                <w:color w:val="000000"/>
                <w:sz w:val="20"/>
                <w:szCs w:val="21"/>
                <w:lang w:eastAsia="ja-JP"/>
              </w:rPr>
            </w:pPr>
            <w:r w:rsidRPr="00A2181C">
              <w:rPr>
                <w:color w:val="000000"/>
                <w:sz w:val="20"/>
                <w:szCs w:val="21"/>
                <w:lang w:eastAsia="ja-JP"/>
              </w:rPr>
              <w:t>M</w:t>
            </w:r>
            <w:r w:rsidR="007E2318" w:rsidRPr="00A2181C">
              <w:rPr>
                <w:color w:val="000000"/>
                <w:sz w:val="20"/>
                <w:szCs w:val="21"/>
                <w:lang w:eastAsia="ja-JP"/>
              </w:rPr>
              <w:t>ean follow-up</w:t>
            </w:r>
          </w:p>
        </w:tc>
        <w:tc>
          <w:tcPr>
            <w:tcW w:w="1351" w:type="dxa"/>
            <w:shd w:val="clear" w:color="auto" w:fill="auto"/>
            <w:hideMark/>
          </w:tcPr>
          <w:p w:rsidR="007E2318" w:rsidRPr="00A2181C" w:rsidRDefault="007E2318" w:rsidP="00A2181C">
            <w:pPr>
              <w:keepNext/>
              <w:rPr>
                <w:color w:val="000000"/>
                <w:sz w:val="20"/>
                <w:szCs w:val="21"/>
                <w:lang w:eastAsia="ja-JP"/>
              </w:rPr>
            </w:pPr>
            <w:r w:rsidRPr="00A2181C">
              <w:rPr>
                <w:color w:val="000000"/>
                <w:sz w:val="20"/>
                <w:szCs w:val="21"/>
                <w:lang w:eastAsia="ja-JP"/>
              </w:rPr>
              <w:t>20.8</w:t>
            </w:r>
          </w:p>
        </w:tc>
        <w:tc>
          <w:tcPr>
            <w:tcW w:w="1079" w:type="dxa"/>
            <w:shd w:val="clear" w:color="auto" w:fill="auto"/>
            <w:hideMark/>
          </w:tcPr>
          <w:p w:rsidR="007E2318" w:rsidRPr="00A2181C" w:rsidRDefault="007E2318" w:rsidP="00A2181C">
            <w:pPr>
              <w:keepNext/>
              <w:rPr>
                <w:color w:val="000000"/>
                <w:sz w:val="20"/>
                <w:szCs w:val="21"/>
                <w:lang w:eastAsia="ja-JP"/>
              </w:rPr>
            </w:pPr>
            <w:r w:rsidRPr="00A2181C">
              <w:rPr>
                <w:color w:val="000000"/>
                <w:sz w:val="20"/>
                <w:szCs w:val="21"/>
                <w:lang w:eastAsia="ja-JP"/>
              </w:rPr>
              <w:t>22.6</w:t>
            </w:r>
          </w:p>
        </w:tc>
        <w:tc>
          <w:tcPr>
            <w:tcW w:w="990" w:type="dxa"/>
            <w:shd w:val="clear" w:color="auto" w:fill="auto"/>
            <w:hideMark/>
          </w:tcPr>
          <w:p w:rsidR="007E2318" w:rsidRPr="00A2181C" w:rsidRDefault="007E2318" w:rsidP="00A2181C">
            <w:pPr>
              <w:keepNext/>
              <w:rPr>
                <w:color w:val="000000"/>
                <w:sz w:val="20"/>
                <w:szCs w:val="21"/>
                <w:lang w:eastAsia="ja-JP"/>
              </w:rPr>
            </w:pPr>
          </w:p>
        </w:tc>
        <w:tc>
          <w:tcPr>
            <w:tcW w:w="1068" w:type="dxa"/>
            <w:tcBorders>
              <w:right w:val="single" w:sz="4" w:space="0" w:color="000000"/>
            </w:tcBorders>
            <w:shd w:val="clear" w:color="auto" w:fill="auto"/>
            <w:hideMark/>
          </w:tcPr>
          <w:p w:rsidR="007E2318" w:rsidRPr="00A2181C" w:rsidRDefault="007E2318" w:rsidP="00A2181C">
            <w:pPr>
              <w:keepNext/>
              <w:rPr>
                <w:color w:val="000000"/>
                <w:sz w:val="20"/>
                <w:szCs w:val="21"/>
                <w:lang w:eastAsia="ja-JP"/>
              </w:rPr>
            </w:pPr>
            <w:r w:rsidRPr="00A2181C">
              <w:rPr>
                <w:color w:val="000000"/>
                <w:sz w:val="20"/>
                <w:szCs w:val="21"/>
                <w:lang w:eastAsia="ja-JP"/>
              </w:rPr>
              <w:t>5.3</w:t>
            </w:r>
          </w:p>
        </w:tc>
        <w:tc>
          <w:tcPr>
            <w:tcW w:w="1068" w:type="dxa"/>
            <w:tcBorders>
              <w:left w:val="single" w:sz="4" w:space="0" w:color="000000"/>
            </w:tcBorders>
            <w:shd w:val="clear" w:color="auto" w:fill="auto"/>
            <w:hideMark/>
          </w:tcPr>
          <w:p w:rsidR="007E2318" w:rsidRPr="00A2181C" w:rsidRDefault="007E2318" w:rsidP="00A2181C">
            <w:pPr>
              <w:keepNext/>
              <w:rPr>
                <w:color w:val="000000"/>
                <w:sz w:val="20"/>
                <w:szCs w:val="21"/>
                <w:lang w:eastAsia="ja-JP"/>
              </w:rPr>
            </w:pPr>
            <w:r w:rsidRPr="00A2181C">
              <w:rPr>
                <w:color w:val="000000"/>
                <w:sz w:val="20"/>
                <w:szCs w:val="21"/>
                <w:lang w:eastAsia="ja-JP"/>
              </w:rPr>
              <w:t>8.6</w:t>
            </w:r>
          </w:p>
        </w:tc>
        <w:tc>
          <w:tcPr>
            <w:tcW w:w="1068" w:type="dxa"/>
            <w:shd w:val="clear" w:color="auto" w:fill="auto"/>
            <w:hideMark/>
          </w:tcPr>
          <w:p w:rsidR="007E2318" w:rsidRPr="00A2181C" w:rsidRDefault="007E2318" w:rsidP="00A2181C">
            <w:pPr>
              <w:keepNext/>
              <w:rPr>
                <w:color w:val="000000"/>
                <w:sz w:val="20"/>
                <w:szCs w:val="21"/>
                <w:lang w:eastAsia="ja-JP"/>
              </w:rPr>
            </w:pPr>
            <w:r w:rsidRPr="00A2181C">
              <w:rPr>
                <w:color w:val="000000"/>
                <w:sz w:val="20"/>
                <w:szCs w:val="21"/>
                <w:lang w:eastAsia="ja-JP"/>
              </w:rPr>
              <w:t>2.9</w:t>
            </w:r>
          </w:p>
        </w:tc>
        <w:tc>
          <w:tcPr>
            <w:tcW w:w="1116" w:type="dxa"/>
            <w:shd w:val="clear" w:color="auto" w:fill="auto"/>
            <w:hideMark/>
          </w:tcPr>
          <w:p w:rsidR="007E2318" w:rsidRPr="00A2181C" w:rsidRDefault="007E2318" w:rsidP="00A2181C">
            <w:pPr>
              <w:keepNext/>
              <w:rPr>
                <w:color w:val="000000"/>
                <w:sz w:val="20"/>
                <w:szCs w:val="21"/>
                <w:lang w:eastAsia="ja-JP"/>
              </w:rPr>
            </w:pPr>
            <w:r w:rsidRPr="00A2181C">
              <w:rPr>
                <w:color w:val="000000"/>
                <w:sz w:val="20"/>
                <w:szCs w:val="21"/>
                <w:lang w:eastAsia="ja-JP"/>
              </w:rPr>
              <w:t>5.4</w:t>
            </w:r>
          </w:p>
        </w:tc>
      </w:tr>
      <w:tr w:rsidR="00DF5D00" w:rsidRPr="00611313" w:rsidTr="00A2181C">
        <w:trPr>
          <w:trHeight w:val="261"/>
        </w:trPr>
        <w:tc>
          <w:tcPr>
            <w:tcW w:w="1277" w:type="dxa"/>
            <w:shd w:val="clear" w:color="auto" w:fill="auto"/>
            <w:noWrap/>
            <w:hideMark/>
          </w:tcPr>
          <w:p w:rsidR="007E2318" w:rsidRPr="00A2181C" w:rsidRDefault="002C1384" w:rsidP="00A2181C">
            <w:pPr>
              <w:keepNext/>
              <w:ind w:right="170"/>
              <w:rPr>
                <w:color w:val="000000"/>
                <w:sz w:val="20"/>
                <w:szCs w:val="21"/>
                <w:lang w:eastAsia="ja-JP"/>
              </w:rPr>
            </w:pPr>
            <w:r w:rsidRPr="00A2181C">
              <w:rPr>
                <w:color w:val="000000"/>
                <w:sz w:val="20"/>
                <w:szCs w:val="21"/>
                <w:lang w:eastAsia="ja-JP"/>
              </w:rPr>
              <w:t>M</w:t>
            </w:r>
            <w:r w:rsidR="007E2318" w:rsidRPr="00A2181C">
              <w:rPr>
                <w:color w:val="000000"/>
                <w:sz w:val="20"/>
                <w:szCs w:val="21"/>
                <w:lang w:eastAsia="ja-JP"/>
              </w:rPr>
              <w:t>edian follow-up (months)</w:t>
            </w:r>
          </w:p>
        </w:tc>
        <w:tc>
          <w:tcPr>
            <w:tcW w:w="1351"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21.9</w:t>
            </w:r>
          </w:p>
        </w:tc>
        <w:tc>
          <w:tcPr>
            <w:tcW w:w="1079" w:type="dxa"/>
            <w:shd w:val="clear" w:color="auto" w:fill="auto"/>
            <w:hideMark/>
          </w:tcPr>
          <w:p w:rsidR="007E2318" w:rsidRPr="00A2181C" w:rsidRDefault="007E2318" w:rsidP="00A2181C">
            <w:pPr>
              <w:keepNext/>
              <w:rPr>
                <w:color w:val="000000"/>
                <w:sz w:val="20"/>
                <w:szCs w:val="21"/>
                <w:lang w:eastAsia="ja-JP"/>
              </w:rPr>
            </w:pPr>
            <w:r w:rsidRPr="00A2181C">
              <w:rPr>
                <w:color w:val="000000"/>
                <w:sz w:val="20"/>
                <w:szCs w:val="21"/>
                <w:lang w:eastAsia="ja-JP"/>
              </w:rPr>
              <w:t>24</w:t>
            </w:r>
          </w:p>
        </w:tc>
        <w:tc>
          <w:tcPr>
            <w:tcW w:w="990"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23.3</w:t>
            </w:r>
          </w:p>
        </w:tc>
        <w:tc>
          <w:tcPr>
            <w:tcW w:w="1068"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5.1</w:t>
            </w:r>
          </w:p>
        </w:tc>
        <w:tc>
          <w:tcPr>
            <w:tcW w:w="1068"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8.9</w:t>
            </w:r>
          </w:p>
        </w:tc>
        <w:tc>
          <w:tcPr>
            <w:tcW w:w="1068"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2.8</w:t>
            </w:r>
          </w:p>
        </w:tc>
        <w:tc>
          <w:tcPr>
            <w:tcW w:w="1116"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5.1</w:t>
            </w:r>
          </w:p>
        </w:tc>
      </w:tr>
      <w:tr w:rsidR="00DF5D00" w:rsidRPr="00611313" w:rsidTr="00A2181C">
        <w:trPr>
          <w:trHeight w:val="261"/>
        </w:trPr>
        <w:tc>
          <w:tcPr>
            <w:tcW w:w="1277" w:type="dxa"/>
            <w:shd w:val="clear" w:color="auto" w:fill="auto"/>
            <w:noWrap/>
            <w:hideMark/>
          </w:tcPr>
          <w:p w:rsidR="007E2318" w:rsidRPr="00A2181C" w:rsidRDefault="002C1384" w:rsidP="00A2181C">
            <w:pPr>
              <w:keepNext/>
              <w:ind w:right="170"/>
              <w:rPr>
                <w:color w:val="000000"/>
                <w:sz w:val="20"/>
                <w:szCs w:val="21"/>
                <w:lang w:eastAsia="ja-JP"/>
              </w:rPr>
            </w:pPr>
            <w:r w:rsidRPr="00A2181C">
              <w:rPr>
                <w:color w:val="000000"/>
                <w:sz w:val="20"/>
                <w:szCs w:val="21"/>
                <w:lang w:eastAsia="ja-JP"/>
              </w:rPr>
              <w:t>R</w:t>
            </w:r>
            <w:r w:rsidR="007E2318" w:rsidRPr="00A2181C">
              <w:rPr>
                <w:color w:val="000000"/>
                <w:sz w:val="20"/>
                <w:szCs w:val="21"/>
                <w:lang w:eastAsia="ja-JP"/>
              </w:rPr>
              <w:t>ange</w:t>
            </w:r>
          </w:p>
        </w:tc>
        <w:tc>
          <w:tcPr>
            <w:tcW w:w="1351"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11.2, 27.6</w:t>
            </w:r>
          </w:p>
        </w:tc>
        <w:tc>
          <w:tcPr>
            <w:tcW w:w="1079"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22.9, 25.9</w:t>
            </w:r>
          </w:p>
        </w:tc>
        <w:tc>
          <w:tcPr>
            <w:tcW w:w="990"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7.3, 27.8</w:t>
            </w:r>
          </w:p>
        </w:tc>
        <w:tc>
          <w:tcPr>
            <w:tcW w:w="1068"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1, 11.1</w:t>
            </w:r>
          </w:p>
        </w:tc>
        <w:tc>
          <w:tcPr>
            <w:tcW w:w="1068"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1.9, 11.7</w:t>
            </w:r>
          </w:p>
        </w:tc>
        <w:tc>
          <w:tcPr>
            <w:tcW w:w="1068"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0.3, 6.9</w:t>
            </w:r>
          </w:p>
        </w:tc>
        <w:tc>
          <w:tcPr>
            <w:tcW w:w="1116" w:type="dxa"/>
            <w:shd w:val="clear" w:color="auto" w:fill="auto"/>
            <w:noWrap/>
            <w:hideMark/>
          </w:tcPr>
          <w:p w:rsidR="007E2318" w:rsidRPr="00A2181C" w:rsidRDefault="007E2318" w:rsidP="00A2181C">
            <w:pPr>
              <w:keepNext/>
              <w:rPr>
                <w:color w:val="000000"/>
                <w:sz w:val="20"/>
                <w:szCs w:val="21"/>
                <w:lang w:eastAsia="ja-JP"/>
              </w:rPr>
            </w:pPr>
            <w:r w:rsidRPr="00A2181C">
              <w:rPr>
                <w:color w:val="000000"/>
                <w:sz w:val="20"/>
                <w:szCs w:val="21"/>
                <w:lang w:eastAsia="ja-JP"/>
              </w:rPr>
              <w:t>0.3, 11.7</w:t>
            </w:r>
          </w:p>
        </w:tc>
      </w:tr>
      <w:tr w:rsidR="007E2318" w:rsidRPr="006305DC" w:rsidTr="00A2181C">
        <w:trPr>
          <w:trHeight w:val="261"/>
        </w:trPr>
        <w:tc>
          <w:tcPr>
            <w:tcW w:w="9017" w:type="dxa"/>
            <w:gridSpan w:val="8"/>
            <w:shd w:val="clear" w:color="auto" w:fill="auto"/>
            <w:noWrap/>
          </w:tcPr>
          <w:p w:rsidR="007E2318" w:rsidRPr="00A2181C" w:rsidRDefault="007E2318" w:rsidP="00A2181C">
            <w:pPr>
              <w:keepNext/>
              <w:ind w:right="170"/>
              <w:rPr>
                <w:color w:val="000000"/>
                <w:sz w:val="18"/>
                <w:szCs w:val="21"/>
                <w:lang w:eastAsia="ja-JP"/>
              </w:rPr>
            </w:pPr>
            <w:r w:rsidRPr="00A2181C">
              <w:rPr>
                <w:color w:val="000000"/>
                <w:sz w:val="21"/>
                <w:szCs w:val="21"/>
                <w:lang w:eastAsia="ja-JP"/>
              </w:rPr>
              <w:t>Note</w:t>
            </w:r>
            <w:r w:rsidR="002C1384" w:rsidRPr="00A2181C">
              <w:rPr>
                <w:color w:val="000000"/>
                <w:sz w:val="21"/>
                <w:szCs w:val="21"/>
                <w:lang w:eastAsia="ja-JP"/>
              </w:rPr>
              <w:t>:</w:t>
            </w:r>
            <w:r w:rsidRPr="00A2181C">
              <w:rPr>
                <w:color w:val="000000"/>
                <w:sz w:val="21"/>
                <w:szCs w:val="21"/>
                <w:lang w:eastAsia="ja-JP"/>
              </w:rPr>
              <w:t xml:space="preserve"> follow-up is defined as Time between date of first dose and last known date alive (for subjects who are alive) or death (months)</w:t>
            </w:r>
          </w:p>
        </w:tc>
      </w:tr>
    </w:tbl>
    <w:p w:rsidR="007E2318" w:rsidRPr="00F712D8" w:rsidRDefault="007E2318" w:rsidP="007E2318">
      <w:r>
        <w:t>The</w:t>
      </w:r>
      <w:r w:rsidRPr="00F712D8">
        <w:t xml:space="preserve"> SCS provides the following comparison across tumour types</w:t>
      </w:r>
      <w:r w:rsidR="000426A1">
        <w:t>, shown in Table 10</w:t>
      </w:r>
      <w:r w:rsidR="00643018">
        <w:t xml:space="preserve"> below</w:t>
      </w:r>
      <w:r w:rsidRPr="00F712D8">
        <w:t xml:space="preserve">. Note that the integrated </w:t>
      </w:r>
      <w:proofErr w:type="spellStart"/>
      <w:r w:rsidRPr="00F712D8">
        <w:t>cHL</w:t>
      </w:r>
      <w:proofErr w:type="spellEnd"/>
      <w:r w:rsidRPr="00F712D8">
        <w:t xml:space="preserve"> population (including patients from Cohort A and C of </w:t>
      </w:r>
      <w:r>
        <w:t xml:space="preserve">Study </w:t>
      </w:r>
      <w:r w:rsidRPr="00F712D8">
        <w:t>CA209205) is used in this comparison.</w:t>
      </w:r>
    </w:p>
    <w:p w:rsidR="007E2318" w:rsidRPr="006305DC" w:rsidRDefault="000426A1" w:rsidP="007E2318">
      <w:pPr>
        <w:pStyle w:val="Tabletitle0"/>
        <w:rPr>
          <w:lang w:eastAsia="ja-JP"/>
        </w:rPr>
      </w:pPr>
      <w:bookmarkStart w:id="81" w:name="_Toc473012913"/>
      <w:proofErr w:type="gramStart"/>
      <w:r>
        <w:rPr>
          <w:lang w:eastAsia="ja-JP"/>
        </w:rPr>
        <w:t>Table 10</w:t>
      </w:r>
      <w:r w:rsidR="007E2318">
        <w:rPr>
          <w:lang w:eastAsia="ja-JP"/>
        </w:rPr>
        <w:t>.</w:t>
      </w:r>
      <w:proofErr w:type="gramEnd"/>
      <w:r w:rsidR="007E2318" w:rsidRPr="006305DC">
        <w:rPr>
          <w:lang w:eastAsia="ja-JP"/>
        </w:rPr>
        <w:t xml:space="preserve"> Cumulative dose and exposure to </w:t>
      </w:r>
      <w:proofErr w:type="spellStart"/>
      <w:r w:rsidR="007E2318" w:rsidRPr="006305DC">
        <w:rPr>
          <w:lang w:eastAsia="ja-JP"/>
        </w:rPr>
        <w:t>nivolumab</w:t>
      </w:r>
      <w:proofErr w:type="spellEnd"/>
      <w:r w:rsidR="007E2318" w:rsidRPr="006305DC">
        <w:rPr>
          <w:lang w:eastAsia="ja-JP"/>
        </w:rPr>
        <w:t xml:space="preserve"> across tumour types</w:t>
      </w:r>
      <w:bookmarkEnd w:id="81"/>
    </w:p>
    <w:p w:rsidR="007E2318" w:rsidRPr="006305DC" w:rsidRDefault="00620157" w:rsidP="007E2318">
      <w:pPr>
        <w:rPr>
          <w:b/>
          <w:lang w:eastAsia="ja-JP"/>
        </w:rPr>
      </w:pPr>
      <w:r>
        <w:rPr>
          <w:b/>
          <w:noProof/>
          <w:lang w:eastAsia="en-AU"/>
        </w:rPr>
        <w:drawing>
          <wp:inline distT="0" distB="0" distL="0" distR="0">
            <wp:extent cx="5942965" cy="3059302"/>
            <wp:effectExtent l="0" t="0" r="635" b="8255"/>
            <wp:docPr id="7" name="Picture 31" descr="Table 10 is an image of a table showing the cumulative dose and exposure to nivolumab across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title="Table 10. Cumulative dose and exposure to nivolumab across tumour types"/>
                    <pic:cNvPicPr>
                      <a:picLocks noChangeAspect="1" noChangeArrowheads="1"/>
                    </pic:cNvPicPr>
                  </pic:nvPicPr>
                  <pic:blipFill rotWithShape="1">
                    <a:blip r:embed="rId20">
                      <a:extLst>
                        <a:ext uri="{28A0092B-C50C-407E-A947-70E740481C1C}">
                          <a14:useLocalDpi xmlns:a14="http://schemas.microsoft.com/office/drawing/2010/main" val="0"/>
                        </a:ext>
                      </a:extLst>
                    </a:blip>
                    <a:srcRect t="11955" b="4845"/>
                    <a:stretch/>
                  </pic:blipFill>
                  <pic:spPr bwMode="auto">
                    <a:xfrm>
                      <a:off x="0" y="0"/>
                      <a:ext cx="5942965" cy="3058795"/>
                    </a:xfrm>
                    <a:prstGeom prst="rect">
                      <a:avLst/>
                    </a:prstGeom>
                    <a:noFill/>
                    <a:ln>
                      <a:noFill/>
                    </a:ln>
                    <a:extLst>
                      <a:ext uri="{53640926-AAD7-44D8-BBD7-CCE9431645EC}">
                        <a14:shadowObscured xmlns:a14="http://schemas.microsoft.com/office/drawing/2010/main"/>
                      </a:ext>
                    </a:extLst>
                  </pic:spPr>
                </pic:pic>
              </a:graphicData>
            </a:graphic>
          </wp:inline>
        </w:drawing>
      </w:r>
    </w:p>
    <w:p w:rsidR="00605AD4" w:rsidRDefault="00605AD4" w:rsidP="00605AD4">
      <w:pPr>
        <w:pStyle w:val="Heading4"/>
      </w:pPr>
      <w:r w:rsidRPr="00605AD4">
        <w:t>Safety issues with the potential for major regulatory impact</w:t>
      </w:r>
    </w:p>
    <w:p w:rsidR="00643018" w:rsidRPr="00643018" w:rsidRDefault="0071587E" w:rsidP="00643018">
      <w:r>
        <w:t>A detailed analysis of the safety issues with the potential for major regulatory impact is available in Attachment 2</w:t>
      </w:r>
      <w:r w:rsidR="00042EDE">
        <w:t>.</w:t>
      </w:r>
    </w:p>
    <w:p w:rsidR="00605AD4" w:rsidRDefault="00605AD4" w:rsidP="00605AD4">
      <w:pPr>
        <w:pStyle w:val="Heading4"/>
      </w:pPr>
      <w:r w:rsidRPr="00605AD4">
        <w:t>Post</w:t>
      </w:r>
      <w:r w:rsidR="003362FC">
        <w:t>-</w:t>
      </w:r>
      <w:r w:rsidRPr="00605AD4">
        <w:t>marketing data</w:t>
      </w:r>
    </w:p>
    <w:p w:rsidR="0071587E" w:rsidRPr="0071587E" w:rsidRDefault="0071587E" w:rsidP="0071587E">
      <w:r>
        <w:t>A detailed analysis of safety issues related to post-marketing dat</w:t>
      </w:r>
      <w:r w:rsidR="00042EDE">
        <w:t>a is available in Attachment 2.</w:t>
      </w:r>
    </w:p>
    <w:p w:rsidR="00042EDE" w:rsidRDefault="00605AD4" w:rsidP="00042EDE">
      <w:pPr>
        <w:pStyle w:val="Heading4"/>
      </w:pPr>
      <w:r w:rsidRPr="00605AD4">
        <w:lastRenderedPageBreak/>
        <w:t>Evaluator’s conclusions on safety</w:t>
      </w:r>
    </w:p>
    <w:p w:rsidR="00042EDE" w:rsidRPr="00042EDE" w:rsidRDefault="00042EDE" w:rsidP="00042EDE">
      <w:r>
        <w:t>The following provides a summary of the clinical evaluator’s conclusions on safety. Please see Attachment 2 for further details.</w:t>
      </w:r>
    </w:p>
    <w:p w:rsidR="00AB35A4" w:rsidRPr="00325509" w:rsidRDefault="00AB35A4" w:rsidP="00AB35A4">
      <w:r w:rsidRPr="00325509">
        <w:t xml:space="preserve">Drawing conclusions regarding the safety of </w:t>
      </w:r>
      <w:proofErr w:type="spellStart"/>
      <w:r w:rsidRPr="00325509">
        <w:t>nivolumab</w:t>
      </w:r>
      <w:proofErr w:type="spellEnd"/>
      <w:r w:rsidRPr="00325509">
        <w:t xml:space="preserve"> in the </w:t>
      </w:r>
      <w:proofErr w:type="spellStart"/>
      <w:r w:rsidRPr="00325509">
        <w:t>cHL</w:t>
      </w:r>
      <w:proofErr w:type="spellEnd"/>
      <w:r w:rsidRPr="00325509">
        <w:t xml:space="preserve"> population is difficult due to the small numbers of patients exposed and the large difference in reported rates of events in the two studies. This difference in rates of AEs may be attributed to the difference in duration of t</w:t>
      </w:r>
      <w:r>
        <w:t>herapy between the two studies;</w:t>
      </w:r>
      <w:r w:rsidRPr="00325509">
        <w:t xml:space="preserve"> it is notable that comparison of reported rates of AEs acros</w:t>
      </w:r>
      <w:r>
        <w:t>s the different cohorts of Study</w:t>
      </w:r>
      <w:r w:rsidRPr="00325509">
        <w:t xml:space="preserve"> CA209205 and </w:t>
      </w:r>
      <w:r w:rsidR="00BF498E">
        <w:t>Study </w:t>
      </w:r>
      <w:r w:rsidRPr="00325509">
        <w:t xml:space="preserve">CA209039 increase considerably as the duration of treatment increases. The safety of </w:t>
      </w:r>
      <w:proofErr w:type="spellStart"/>
      <w:r w:rsidRPr="00325509">
        <w:t>nivolumab</w:t>
      </w:r>
      <w:proofErr w:type="spellEnd"/>
      <w:r w:rsidRPr="00325509">
        <w:t xml:space="preserve"> observed in patients with solid tumours cannot be extrapolated to patients with </w:t>
      </w:r>
      <w:proofErr w:type="spellStart"/>
      <w:r w:rsidRPr="00325509">
        <w:t>cHL</w:t>
      </w:r>
      <w:proofErr w:type="spellEnd"/>
      <w:r w:rsidRPr="00325509">
        <w:t xml:space="preserve"> due to the much longer duration of therapy observed in </w:t>
      </w:r>
      <w:proofErr w:type="spellStart"/>
      <w:r w:rsidRPr="00325509">
        <w:t>cHL</w:t>
      </w:r>
      <w:proofErr w:type="spellEnd"/>
      <w:r w:rsidRPr="00325509">
        <w:t xml:space="preserve"> patients and the reduced </w:t>
      </w:r>
      <w:proofErr w:type="spellStart"/>
      <w:r w:rsidRPr="00325509">
        <w:t>ni</w:t>
      </w:r>
      <w:r>
        <w:t>volumab</w:t>
      </w:r>
      <w:proofErr w:type="spellEnd"/>
      <w:r>
        <w:t xml:space="preserve"> clearance.</w:t>
      </w:r>
    </w:p>
    <w:p w:rsidR="00AB35A4" w:rsidRPr="00325509" w:rsidRDefault="00AB35A4" w:rsidP="00AB35A4">
      <w:r w:rsidRPr="00325509">
        <w:t xml:space="preserve">Almost every </w:t>
      </w:r>
      <w:proofErr w:type="spellStart"/>
      <w:r w:rsidRPr="00325509">
        <w:t>cHL</w:t>
      </w:r>
      <w:proofErr w:type="spellEnd"/>
      <w:r w:rsidRPr="00325509">
        <w:t xml:space="preserve"> patient in Study CA209039 and Cohort B of </w:t>
      </w:r>
      <w:r>
        <w:t xml:space="preserve">Study </w:t>
      </w:r>
      <w:r w:rsidRPr="00325509">
        <w:t>CA209</w:t>
      </w:r>
      <w:r>
        <w:t>205 experienced at least one AE</w:t>
      </w:r>
      <w:r w:rsidRPr="00325509">
        <w:t xml:space="preserve">. Averaging across the two groups, around half </w:t>
      </w:r>
      <w:r>
        <w:t xml:space="preserve">experienced Grade 3 or </w:t>
      </w:r>
      <w:r w:rsidRPr="00325509">
        <w:t>4 AEs and around one third had SAEs reported. From the analysis of the pooled population provided by the sponsor, around 40% of patients were hospitalised due to SAEs (or had hospitalisation prolonged). Despite these factors, using the measures of the small number of patients who d</w:t>
      </w:r>
      <w:r>
        <w:t>iscontinued treatment due to AEs</w:t>
      </w:r>
      <w:r w:rsidRPr="00325509">
        <w:t xml:space="preserve"> and the proportion of patients who received ≥</w:t>
      </w:r>
      <w:r>
        <w:t xml:space="preserve"> </w:t>
      </w:r>
      <w:r w:rsidRPr="00325509">
        <w:t xml:space="preserve">90% of planned dose intensity (76% for Cohort B and 78% for </w:t>
      </w:r>
      <w:r>
        <w:t xml:space="preserve">Study </w:t>
      </w:r>
      <w:r w:rsidRPr="00325509">
        <w:t xml:space="preserve">CA209039), </w:t>
      </w:r>
      <w:proofErr w:type="spellStart"/>
      <w:r w:rsidRPr="00325509">
        <w:t>nivolumab</w:t>
      </w:r>
      <w:proofErr w:type="spellEnd"/>
      <w:r w:rsidRPr="00325509">
        <w:t xml:space="preserve"> appears to be well tolerated in many patients.</w:t>
      </w:r>
    </w:p>
    <w:p w:rsidR="00AB35A4" w:rsidRPr="00325509" w:rsidRDefault="00AB35A4" w:rsidP="00AB35A4">
      <w:r w:rsidRPr="00325509">
        <w:t>Immune mediated adverse reactions are the major safety concern. These appear to occur commonly, with most cases of mild severity and to respond to dose delay</w:t>
      </w:r>
      <w:r w:rsidR="00CF47FB">
        <w:t> </w:t>
      </w:r>
      <w:r w:rsidRPr="00325509">
        <w:t>±</w:t>
      </w:r>
      <w:r w:rsidR="00CF47FB">
        <w:t> </w:t>
      </w:r>
      <w:r w:rsidRPr="00325509">
        <w:t>immunosuppressive therapy. However, there are patients who have more severe manifestations of these events, requiring hospitalisation and having</w:t>
      </w:r>
      <w:r w:rsidR="00CF47FB">
        <w:t xml:space="preserve"> a</w:t>
      </w:r>
      <w:r w:rsidRPr="00325509">
        <w:t xml:space="preserve"> fatal outcome. In some of these patients, delayed recognition of the immune basis of the illness appears to have resulted in delays in appropriate immunosuppressive therapy, with this potentially worsening outcome (recurrent hospitalisations, potentially contributing to death). Seemingly haphazard administration of corticosteroids was also apparent in some of the narratives provided. This occurred despite the Investigator’s Broc</w:t>
      </w:r>
      <w:r>
        <w:t>hure and investigator training;</w:t>
      </w:r>
      <w:r w:rsidRPr="00325509">
        <w:t xml:space="preserve"> this raises the concern that the safety seen in the clinical trials may not translate to the wider setting unless clinicians are provided with at leas</w:t>
      </w:r>
      <w:r>
        <w:t>t similar support and training.</w:t>
      </w:r>
    </w:p>
    <w:p w:rsidR="00950F7A" w:rsidRPr="00950F7A" w:rsidRDefault="00AB35A4" w:rsidP="00950F7A">
      <w:r w:rsidRPr="00325509">
        <w:t xml:space="preserve">Final conclusions regarding the safety of </w:t>
      </w:r>
      <w:proofErr w:type="spellStart"/>
      <w:r w:rsidRPr="00325509">
        <w:t>nivolumab</w:t>
      </w:r>
      <w:proofErr w:type="spellEnd"/>
      <w:r w:rsidRPr="00325509">
        <w:t xml:space="preserve"> in patients with </w:t>
      </w:r>
      <w:proofErr w:type="spellStart"/>
      <w:r w:rsidRPr="00325509">
        <w:t>cHL</w:t>
      </w:r>
      <w:proofErr w:type="spellEnd"/>
      <w:r w:rsidRPr="00325509">
        <w:t xml:space="preserve"> cannot be drawn by the evaluator at this stage. The 160 patients from Cohort</w:t>
      </w:r>
      <w:r w:rsidR="00CF47FB">
        <w:t>s A and C have had a further 12 </w:t>
      </w:r>
      <w:r w:rsidRPr="00325509">
        <w:t xml:space="preserve">months of follow-up since </w:t>
      </w:r>
      <w:r w:rsidR="00CF47FB">
        <w:t>DBL</w:t>
      </w:r>
      <w:r w:rsidRPr="00325509">
        <w:t xml:space="preserve"> for the interim analysis of Study CA209205. The evaluator notes that later safety related information regarding these patients has been provided to the FDA and has been included in the review of the safety signal regarding </w:t>
      </w:r>
      <w:proofErr w:type="spellStart"/>
      <w:r w:rsidRPr="00325509">
        <w:t>allo</w:t>
      </w:r>
      <w:proofErr w:type="spellEnd"/>
      <w:r w:rsidRPr="00325509">
        <w:t xml:space="preserve">-SCT in the most recent PBRER. The provision of updated safety results for these patients to the TGA may provide important additional safety information and is indispensable for any final conclusions made by this evaluator regarding the safety of </w:t>
      </w:r>
      <w:proofErr w:type="spellStart"/>
      <w:r w:rsidRPr="00325509">
        <w:t>nivolumab</w:t>
      </w:r>
      <w:proofErr w:type="spellEnd"/>
      <w:r w:rsidRPr="00325509">
        <w:t xml:space="preserve"> in patients with </w:t>
      </w:r>
      <w:proofErr w:type="spellStart"/>
      <w:r w:rsidRPr="00325509">
        <w:t>cHL.</w:t>
      </w:r>
      <w:proofErr w:type="spellEnd"/>
    </w:p>
    <w:p w:rsidR="00605AD4" w:rsidRDefault="00605AD4" w:rsidP="00605AD4">
      <w:pPr>
        <w:pStyle w:val="Heading3"/>
        <w:rPr>
          <w:rFonts w:eastAsia="Cambria"/>
        </w:rPr>
      </w:pPr>
      <w:bookmarkStart w:id="82" w:name="_Toc497992244"/>
      <w:r w:rsidRPr="00605AD4">
        <w:rPr>
          <w:rFonts w:eastAsia="Cambria"/>
        </w:rPr>
        <w:t>First Round Benefit-Risk Assessment</w:t>
      </w:r>
      <w:bookmarkEnd w:id="82"/>
    </w:p>
    <w:p w:rsidR="00042EDE" w:rsidRPr="00042EDE" w:rsidRDefault="004525A0" w:rsidP="00042EDE">
      <w:r>
        <w:t>The following t</w:t>
      </w:r>
      <w:r w:rsidR="00042EDE">
        <w:t>ables provide a summary of the benefits, and risks as assessed by the clinical evaluator at the first round. Please see Attachment 2 for further details.</w:t>
      </w:r>
    </w:p>
    <w:p w:rsidR="00605AD4" w:rsidRDefault="00605AD4" w:rsidP="00605AD4">
      <w:pPr>
        <w:pStyle w:val="Heading4"/>
      </w:pPr>
      <w:r w:rsidRPr="00605AD4">
        <w:t>First round assessment of benefits</w:t>
      </w:r>
    </w:p>
    <w:p w:rsidR="00340C8B" w:rsidRPr="00340C8B" w:rsidRDefault="00367E65" w:rsidP="00340C8B">
      <w:r>
        <w:t>A summary of</w:t>
      </w:r>
      <w:r w:rsidR="00340C8B">
        <w:t xml:space="preserve"> the clinical evaluator’s </w:t>
      </w:r>
      <w:r>
        <w:t>first round assessment of benefits</w:t>
      </w:r>
      <w:r w:rsidR="005A1DFD">
        <w:t xml:space="preserve">, along with the strengths and uncertainties of the evidence for those benefits </w:t>
      </w:r>
      <w:r w:rsidR="001379C9">
        <w:t>for the first and second parts of the proposed i</w:t>
      </w:r>
      <w:r w:rsidR="004525A0">
        <w:t>ndication are shown in Tables 11 and 12</w:t>
      </w:r>
      <w:r w:rsidR="001379C9">
        <w:t xml:space="preserve"> respectively.</w:t>
      </w:r>
    </w:p>
    <w:p w:rsidR="00486219" w:rsidRPr="000427F0" w:rsidRDefault="00340C8B" w:rsidP="00486219">
      <w:pPr>
        <w:pStyle w:val="Tabletitle0"/>
        <w:rPr>
          <w:lang w:eastAsia="ja-JP"/>
        </w:rPr>
      </w:pPr>
      <w:proofErr w:type="gramStart"/>
      <w:r>
        <w:rPr>
          <w:lang w:eastAsia="ja-JP"/>
        </w:rPr>
        <w:lastRenderedPageBreak/>
        <w:t>Table 1</w:t>
      </w:r>
      <w:r w:rsidR="004525A0">
        <w:rPr>
          <w:lang w:eastAsia="ja-JP"/>
        </w:rPr>
        <w:t>1</w:t>
      </w:r>
      <w:r w:rsidR="00486219">
        <w:rPr>
          <w:lang w:eastAsia="ja-JP"/>
        </w:rPr>
        <w:t>.</w:t>
      </w:r>
      <w:proofErr w:type="gramEnd"/>
      <w:r w:rsidR="00486219">
        <w:rPr>
          <w:lang w:eastAsia="ja-JP"/>
        </w:rPr>
        <w:t xml:space="preserve"> First round assessment of benefits</w:t>
      </w:r>
      <w:r w:rsidR="001379C9">
        <w:rPr>
          <w:lang w:eastAsia="ja-JP"/>
        </w:rPr>
        <w:t xml:space="preserve"> (first part of indication)</w:t>
      </w: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11 is a list of the first round of assessment of benefits"/>
      </w:tblPr>
      <w:tblGrid>
        <w:gridCol w:w="3085"/>
        <w:gridCol w:w="6203"/>
      </w:tblGrid>
      <w:tr w:rsidR="00486219" w:rsidRPr="0034616A" w:rsidTr="00A2181C">
        <w:trPr>
          <w:cantSplit/>
          <w:trHeight w:val="811"/>
          <w:tblHeader/>
        </w:trPr>
        <w:tc>
          <w:tcPr>
            <w:tcW w:w="92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006DA7"/>
          </w:tcPr>
          <w:p w:rsidR="00486219" w:rsidRPr="00A2181C" w:rsidRDefault="00486219" w:rsidP="00A2181C">
            <w:pPr>
              <w:keepNext/>
              <w:ind w:right="170"/>
              <w:rPr>
                <w:b/>
                <w:color w:val="FFFFFF"/>
                <w:szCs w:val="21"/>
                <w:lang w:eastAsia="ja-JP"/>
              </w:rPr>
            </w:pPr>
            <w:r w:rsidRPr="00A2181C">
              <w:rPr>
                <w:b/>
                <w:color w:val="FFFFFF"/>
                <w:szCs w:val="21"/>
                <w:lang w:eastAsia="ja-JP"/>
              </w:rPr>
              <w:t xml:space="preserve">Indication: </w:t>
            </w:r>
            <w:proofErr w:type="spellStart"/>
            <w:r w:rsidRPr="000F1DDC">
              <w:rPr>
                <w:i/>
                <w:iCs/>
                <w:color w:val="FFFFFF"/>
                <w:szCs w:val="21"/>
                <w:lang w:eastAsia="ja-JP"/>
              </w:rPr>
              <w:t>Opdivo</w:t>
            </w:r>
            <w:proofErr w:type="spellEnd"/>
            <w:r w:rsidRPr="000F1DDC">
              <w:rPr>
                <w:i/>
                <w:iCs/>
                <w:color w:val="FFFFFF"/>
                <w:szCs w:val="21"/>
                <w:lang w:eastAsia="ja-JP"/>
              </w:rPr>
              <w:t>, as monotherapy is indicated for the treatment of patients with relapsed or refractory classical Hodgkin lymphoma (</w:t>
            </w:r>
            <w:proofErr w:type="spellStart"/>
            <w:r w:rsidRPr="000F1DDC">
              <w:rPr>
                <w:i/>
                <w:iCs/>
                <w:color w:val="FFFFFF"/>
                <w:szCs w:val="21"/>
                <w:lang w:eastAsia="ja-JP"/>
              </w:rPr>
              <w:t>cHL</w:t>
            </w:r>
            <w:proofErr w:type="spellEnd"/>
            <w:r w:rsidRPr="000F1DDC">
              <w:rPr>
                <w:i/>
                <w:iCs/>
                <w:color w:val="FFFFFF"/>
                <w:szCs w:val="21"/>
                <w:lang w:eastAsia="ja-JP"/>
              </w:rPr>
              <w:t xml:space="preserve">) following autologous stem cell transplant (ASCT) and treatment with </w:t>
            </w:r>
            <w:proofErr w:type="spellStart"/>
            <w:r w:rsidRPr="000F1DDC">
              <w:rPr>
                <w:i/>
                <w:iCs/>
                <w:color w:val="FFFFFF"/>
                <w:szCs w:val="21"/>
                <w:lang w:eastAsia="ja-JP"/>
              </w:rPr>
              <w:t>brentuximab</w:t>
            </w:r>
            <w:proofErr w:type="spellEnd"/>
            <w:r w:rsidRPr="000F1DDC">
              <w:rPr>
                <w:i/>
                <w:iCs/>
                <w:color w:val="FFFFFF"/>
                <w:szCs w:val="21"/>
                <w:lang w:eastAsia="ja-JP"/>
              </w:rPr>
              <w:t xml:space="preserve"> </w:t>
            </w:r>
            <w:proofErr w:type="spellStart"/>
            <w:r w:rsidRPr="000F1DDC">
              <w:rPr>
                <w:i/>
                <w:iCs/>
                <w:color w:val="FFFFFF"/>
                <w:szCs w:val="21"/>
                <w:lang w:eastAsia="ja-JP"/>
              </w:rPr>
              <w:t>vedotin</w:t>
            </w:r>
            <w:proofErr w:type="spellEnd"/>
          </w:p>
        </w:tc>
      </w:tr>
      <w:tr w:rsidR="00486219" w:rsidRPr="0034616A" w:rsidTr="000F1DDC">
        <w:trPr>
          <w:cantSplit/>
        </w:trPr>
        <w:tc>
          <w:tcPr>
            <w:tcW w:w="3085" w:type="dxa"/>
            <w:shd w:val="clear" w:color="auto" w:fill="auto"/>
          </w:tcPr>
          <w:p w:rsidR="00486219" w:rsidRPr="00A2181C" w:rsidRDefault="00486219" w:rsidP="00A2181C">
            <w:pPr>
              <w:ind w:left="170" w:right="170"/>
              <w:rPr>
                <w:b/>
                <w:color w:val="000000"/>
                <w:szCs w:val="21"/>
                <w:lang w:eastAsia="ja-JP"/>
              </w:rPr>
            </w:pPr>
            <w:r w:rsidRPr="00A2181C">
              <w:rPr>
                <w:b/>
                <w:color w:val="000000"/>
                <w:szCs w:val="21"/>
                <w:lang w:eastAsia="ja-JP"/>
              </w:rPr>
              <w:t>Benefits</w:t>
            </w:r>
          </w:p>
        </w:tc>
        <w:tc>
          <w:tcPr>
            <w:tcW w:w="6203" w:type="dxa"/>
            <w:shd w:val="clear" w:color="auto" w:fill="auto"/>
          </w:tcPr>
          <w:p w:rsidR="00486219" w:rsidRPr="00A2181C" w:rsidRDefault="00486219" w:rsidP="00A2181C">
            <w:pPr>
              <w:ind w:left="170" w:right="170"/>
              <w:rPr>
                <w:b/>
                <w:color w:val="000000"/>
                <w:szCs w:val="21"/>
                <w:lang w:eastAsia="ja-JP"/>
              </w:rPr>
            </w:pPr>
            <w:r w:rsidRPr="00A2181C">
              <w:rPr>
                <w:b/>
                <w:color w:val="000000"/>
                <w:szCs w:val="21"/>
                <w:lang w:eastAsia="ja-JP"/>
              </w:rPr>
              <w:t>Strengths and Uncertainties</w:t>
            </w:r>
          </w:p>
        </w:tc>
      </w:tr>
      <w:tr w:rsidR="00486219" w:rsidRPr="0034616A" w:rsidTr="000F1DDC">
        <w:tc>
          <w:tcPr>
            <w:tcW w:w="3085" w:type="dxa"/>
            <w:shd w:val="clear" w:color="auto" w:fill="auto"/>
          </w:tcPr>
          <w:p w:rsidR="00486219" w:rsidRPr="000F1DDC" w:rsidRDefault="00486219" w:rsidP="00A2181C">
            <w:pPr>
              <w:ind w:right="170"/>
              <w:rPr>
                <w:color w:val="000000"/>
                <w:sz w:val="20"/>
                <w:szCs w:val="21"/>
                <w:lang w:eastAsia="ja-JP"/>
              </w:rPr>
            </w:pPr>
            <w:r w:rsidRPr="000F1DDC">
              <w:rPr>
                <w:color w:val="000000"/>
                <w:sz w:val="20"/>
                <w:szCs w:val="21"/>
                <w:lang w:eastAsia="ja-JP"/>
              </w:rPr>
              <w:t>Improvement in ORR in Study CA209205 with:</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ORR per IRRC = 53/80, 66.3% (95% CI 54.8, 76.4)</w:t>
            </w:r>
          </w:p>
          <w:p w:rsidR="00486219" w:rsidRPr="000F1DDC" w:rsidRDefault="000F1DDC" w:rsidP="00A2181C">
            <w:pPr>
              <w:pStyle w:val="ListBullet2"/>
              <w:numPr>
                <w:ilvl w:val="1"/>
                <w:numId w:val="3"/>
              </w:numPr>
              <w:ind w:right="170"/>
              <w:rPr>
                <w:color w:val="000000"/>
                <w:sz w:val="20"/>
                <w:szCs w:val="21"/>
                <w:lang w:eastAsia="ja-JP"/>
              </w:rPr>
            </w:pPr>
            <w:r>
              <w:rPr>
                <w:color w:val="000000"/>
                <w:sz w:val="20"/>
                <w:szCs w:val="21"/>
                <w:lang w:eastAsia="ja-JP"/>
              </w:rPr>
              <w:t>Number</w:t>
            </w:r>
            <w:r w:rsidR="00486219" w:rsidRPr="000F1DDC">
              <w:rPr>
                <w:color w:val="000000"/>
                <w:sz w:val="20"/>
                <w:szCs w:val="21"/>
                <w:lang w:eastAsia="ja-JP"/>
              </w:rPr>
              <w:t xml:space="preserve"> with CR = 7/80</w:t>
            </w:r>
          </w:p>
          <w:p w:rsidR="00486219" w:rsidRPr="000F1DDC" w:rsidRDefault="000F1DDC" w:rsidP="00A2181C">
            <w:pPr>
              <w:pStyle w:val="ListBullet2"/>
              <w:numPr>
                <w:ilvl w:val="1"/>
                <w:numId w:val="3"/>
              </w:numPr>
              <w:ind w:right="170"/>
              <w:rPr>
                <w:color w:val="000000"/>
                <w:sz w:val="20"/>
                <w:szCs w:val="21"/>
                <w:lang w:eastAsia="ja-JP"/>
              </w:rPr>
            </w:pPr>
            <w:r>
              <w:rPr>
                <w:color w:val="000000"/>
                <w:sz w:val="20"/>
                <w:szCs w:val="21"/>
                <w:lang w:eastAsia="ja-JP"/>
              </w:rPr>
              <w:t>Number</w:t>
            </w:r>
            <w:r w:rsidR="00486219" w:rsidRPr="000F1DDC">
              <w:rPr>
                <w:color w:val="000000"/>
                <w:sz w:val="20"/>
                <w:szCs w:val="21"/>
                <w:lang w:eastAsia="ja-JP"/>
              </w:rPr>
              <w:t xml:space="preserve"> with PR = 46/80.</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Estimated median duration of response (DOR) 7.8 months (95% CI 6.64, NA).</w:t>
            </w:r>
          </w:p>
          <w:p w:rsidR="00486219" w:rsidRPr="000F1DDC" w:rsidRDefault="00486219" w:rsidP="00A2181C">
            <w:pPr>
              <w:ind w:right="170"/>
              <w:rPr>
                <w:color w:val="000000"/>
                <w:sz w:val="20"/>
                <w:szCs w:val="21"/>
                <w:lang w:eastAsia="ja-JP"/>
              </w:rPr>
            </w:pPr>
            <w:r w:rsidRPr="000F1DDC">
              <w:rPr>
                <w:color w:val="000000"/>
                <w:sz w:val="20"/>
                <w:szCs w:val="21"/>
                <w:lang w:eastAsia="ja-JP"/>
              </w:rPr>
              <w:t>Note: 31/53 responders per IRRC were still on treatment and censored prior to the analysis.</w:t>
            </w:r>
          </w:p>
        </w:tc>
        <w:tc>
          <w:tcPr>
            <w:tcW w:w="6203" w:type="dxa"/>
            <w:shd w:val="clear" w:color="auto" w:fill="auto"/>
          </w:tcPr>
          <w:p w:rsidR="00486219" w:rsidRPr="000F1DDC" w:rsidRDefault="00486219" w:rsidP="00A2181C">
            <w:pPr>
              <w:spacing w:line="240" w:lineRule="auto"/>
              <w:ind w:right="170"/>
              <w:rPr>
                <w:color w:val="000000"/>
                <w:sz w:val="20"/>
                <w:szCs w:val="21"/>
                <w:lang w:eastAsia="ja-JP"/>
              </w:rPr>
            </w:pPr>
            <w:r w:rsidRPr="000F1DDC">
              <w:rPr>
                <w:color w:val="000000"/>
                <w:sz w:val="20"/>
                <w:szCs w:val="21"/>
                <w:lang w:eastAsia="ja-JP"/>
              </w:rPr>
              <w:t>Strength: Clinically meaningful ORR.</w:t>
            </w:r>
          </w:p>
          <w:p w:rsidR="00486219" w:rsidRPr="000F1DDC" w:rsidRDefault="00486219" w:rsidP="00A2181C">
            <w:pPr>
              <w:spacing w:line="240" w:lineRule="auto"/>
              <w:ind w:right="170"/>
              <w:rPr>
                <w:color w:val="000000"/>
                <w:sz w:val="20"/>
                <w:szCs w:val="21"/>
                <w:lang w:eastAsia="ja-JP"/>
              </w:rPr>
            </w:pPr>
            <w:r w:rsidRPr="000F1DDC">
              <w:rPr>
                <w:color w:val="000000"/>
                <w:sz w:val="20"/>
                <w:szCs w:val="21"/>
                <w:lang w:eastAsia="ja-JP"/>
              </w:rPr>
              <w:t>Uncertainties: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Study design: Open label, non-comparator study with surrogate end-point and results based on outcomes of 80 patients.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Study conduct: Questions regarding study conduct at two sites responsible for treating 21/80 patients.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Low rate of CR (8.8%). Historically, treatments with high CR rates have had better patient outcomes.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Durability of response not known; the estimated DOR of 7.8 months at the time of analysis is unstable due to the number of censored patients.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 xml:space="preserve">Translation to improved overall survival not known; median OS not reached during a median of 9 months follow-up. Median OS in patients with </w:t>
            </w:r>
            <w:proofErr w:type="spellStart"/>
            <w:r w:rsidRPr="000F1DDC">
              <w:rPr>
                <w:color w:val="000000"/>
                <w:sz w:val="20"/>
                <w:szCs w:val="21"/>
                <w:lang w:eastAsia="ja-JP"/>
              </w:rPr>
              <w:t>cHL</w:t>
            </w:r>
            <w:proofErr w:type="spellEnd"/>
            <w:r w:rsidRPr="000F1DDC">
              <w:rPr>
                <w:color w:val="000000"/>
                <w:sz w:val="20"/>
                <w:szCs w:val="21"/>
                <w:lang w:eastAsia="ja-JP"/>
              </w:rPr>
              <w:t xml:space="preserve"> relapsing after ASCT with current therapies estimated at approximately 2 years.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 xml:space="preserve">Clinical importance of the results; historically ORRs of 50 to 70 have been reported for a number of treatment options in relapsed or refractory </w:t>
            </w:r>
            <w:proofErr w:type="spellStart"/>
            <w:r w:rsidRPr="000F1DDC">
              <w:rPr>
                <w:color w:val="000000"/>
                <w:sz w:val="20"/>
                <w:szCs w:val="21"/>
                <w:lang w:eastAsia="ja-JP"/>
              </w:rPr>
              <w:t>cHL</w:t>
            </w:r>
            <w:proofErr w:type="spellEnd"/>
            <w:r w:rsidRPr="000F1DDC">
              <w:rPr>
                <w:color w:val="000000"/>
                <w:sz w:val="20"/>
                <w:szCs w:val="21"/>
                <w:lang w:eastAsia="ja-JP"/>
              </w:rPr>
              <w:t>, together with median DORs of 5 to 7 months.</w:t>
            </w:r>
          </w:p>
        </w:tc>
      </w:tr>
      <w:tr w:rsidR="00486219" w:rsidRPr="0034616A" w:rsidTr="000F1DDC">
        <w:trPr>
          <w:cantSplit/>
        </w:trPr>
        <w:tc>
          <w:tcPr>
            <w:tcW w:w="3085" w:type="dxa"/>
            <w:shd w:val="clear" w:color="auto" w:fill="auto"/>
          </w:tcPr>
          <w:p w:rsidR="00486219" w:rsidRPr="000F1DDC" w:rsidRDefault="00486219" w:rsidP="00A2181C">
            <w:pPr>
              <w:ind w:right="170"/>
              <w:rPr>
                <w:color w:val="000000"/>
                <w:sz w:val="20"/>
                <w:szCs w:val="21"/>
                <w:lang w:eastAsia="ja-JP"/>
              </w:rPr>
            </w:pPr>
            <w:r w:rsidRPr="000F1DDC">
              <w:rPr>
                <w:color w:val="000000"/>
                <w:sz w:val="20"/>
                <w:szCs w:val="21"/>
                <w:lang w:eastAsia="ja-JP"/>
              </w:rPr>
              <w:t>Improvement in ORR in Study CA209039 with:</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ORR of 60% in comparable group</w:t>
            </w:r>
          </w:p>
          <w:p w:rsidR="00486219" w:rsidRPr="000F1DDC" w:rsidRDefault="00486219" w:rsidP="00A2181C">
            <w:pPr>
              <w:pStyle w:val="ListBullet2"/>
              <w:numPr>
                <w:ilvl w:val="1"/>
                <w:numId w:val="3"/>
              </w:numPr>
              <w:ind w:right="170"/>
              <w:rPr>
                <w:color w:val="000000"/>
                <w:sz w:val="20"/>
                <w:szCs w:val="21"/>
                <w:lang w:eastAsia="ja-JP"/>
              </w:rPr>
            </w:pPr>
            <w:r w:rsidRPr="000F1DDC">
              <w:rPr>
                <w:color w:val="000000"/>
                <w:sz w:val="20"/>
                <w:szCs w:val="21"/>
                <w:lang w:eastAsia="ja-JP"/>
              </w:rPr>
              <w:t>No with CR= 0/15</w:t>
            </w:r>
          </w:p>
          <w:p w:rsidR="00486219" w:rsidRPr="000F1DDC" w:rsidRDefault="00486219" w:rsidP="00A2181C">
            <w:pPr>
              <w:pStyle w:val="ListBullet2"/>
              <w:numPr>
                <w:ilvl w:val="1"/>
                <w:numId w:val="3"/>
              </w:numPr>
              <w:ind w:right="170"/>
              <w:rPr>
                <w:color w:val="000000"/>
                <w:sz w:val="20"/>
                <w:szCs w:val="21"/>
                <w:lang w:eastAsia="ja-JP"/>
              </w:rPr>
            </w:pPr>
            <w:r w:rsidRPr="000F1DDC">
              <w:rPr>
                <w:color w:val="000000"/>
                <w:sz w:val="20"/>
                <w:szCs w:val="21"/>
                <w:lang w:eastAsia="en-AU"/>
              </w:rPr>
              <w:t>No with PR = 9/15.</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Estimated median duration of response 12 months (95% CI 1.8, NA).</w:t>
            </w:r>
          </w:p>
        </w:tc>
        <w:tc>
          <w:tcPr>
            <w:tcW w:w="6203" w:type="dxa"/>
            <w:shd w:val="clear" w:color="auto" w:fill="auto"/>
          </w:tcPr>
          <w:p w:rsidR="00486219" w:rsidRPr="000F1DDC" w:rsidRDefault="00486219" w:rsidP="00A2181C">
            <w:pPr>
              <w:ind w:right="170"/>
              <w:rPr>
                <w:color w:val="000000"/>
                <w:sz w:val="20"/>
                <w:szCs w:val="21"/>
                <w:lang w:eastAsia="ja-JP"/>
              </w:rPr>
            </w:pPr>
            <w:r w:rsidRPr="000F1DDC">
              <w:rPr>
                <w:color w:val="000000"/>
                <w:sz w:val="20"/>
                <w:szCs w:val="21"/>
                <w:lang w:eastAsia="ja-JP"/>
              </w:rPr>
              <w:t>Strengths: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ORR result consistent across the two studies.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Estimated median DOR clinically meaningful.</w:t>
            </w:r>
          </w:p>
          <w:p w:rsidR="00486219" w:rsidRPr="000F1DDC" w:rsidRDefault="00486219" w:rsidP="00A2181C">
            <w:pPr>
              <w:ind w:right="170"/>
              <w:rPr>
                <w:color w:val="000000"/>
                <w:sz w:val="20"/>
                <w:szCs w:val="21"/>
                <w:lang w:eastAsia="ja-JP"/>
              </w:rPr>
            </w:pPr>
            <w:r w:rsidRPr="000F1DDC">
              <w:rPr>
                <w:color w:val="000000"/>
                <w:sz w:val="20"/>
                <w:szCs w:val="21"/>
                <w:lang w:eastAsia="ja-JP"/>
              </w:rPr>
              <w:t>Uncertainties: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 xml:space="preserve">Open label, non-comparator study with surrogate endpoint and results based on a group of 15 patients with </w:t>
            </w:r>
            <w:proofErr w:type="spellStart"/>
            <w:r w:rsidRPr="000F1DDC">
              <w:rPr>
                <w:color w:val="000000"/>
                <w:sz w:val="20"/>
                <w:szCs w:val="21"/>
                <w:lang w:eastAsia="ja-JP"/>
              </w:rPr>
              <w:t>cHL</w:t>
            </w:r>
            <w:proofErr w:type="spellEnd"/>
            <w:r w:rsidRPr="000F1DDC">
              <w:rPr>
                <w:color w:val="000000"/>
                <w:sz w:val="20"/>
                <w:szCs w:val="21"/>
                <w:lang w:eastAsia="ja-JP"/>
              </w:rPr>
              <w:t xml:space="preserve"> who have received prior ASCT followed by </w:t>
            </w:r>
            <w:proofErr w:type="spellStart"/>
            <w:r w:rsidRPr="000F1DDC">
              <w:rPr>
                <w:color w:val="000000"/>
                <w:sz w:val="20"/>
                <w:szCs w:val="21"/>
                <w:lang w:eastAsia="ja-JP"/>
              </w:rPr>
              <w:t>brentuximab</w:t>
            </w:r>
            <w:proofErr w:type="spellEnd"/>
            <w:r w:rsidRPr="000F1DDC">
              <w:rPr>
                <w:color w:val="000000"/>
                <w:sz w:val="20"/>
                <w:szCs w:val="21"/>
                <w:lang w:eastAsia="ja-JP"/>
              </w:rPr>
              <w:t xml:space="preserve"> </w:t>
            </w:r>
            <w:proofErr w:type="spellStart"/>
            <w:r w:rsidRPr="000F1DDC">
              <w:rPr>
                <w:color w:val="000000"/>
                <w:sz w:val="20"/>
                <w:szCs w:val="21"/>
                <w:lang w:eastAsia="ja-JP"/>
              </w:rPr>
              <w:t>vedotin</w:t>
            </w:r>
            <w:proofErr w:type="spellEnd"/>
            <w:r w:rsidRPr="000F1DDC">
              <w:rPr>
                <w:color w:val="000000"/>
                <w:sz w:val="20"/>
                <w:szCs w:val="21"/>
                <w:lang w:eastAsia="ja-JP"/>
              </w:rPr>
              <w:t xml:space="preserve"> who were recruited by chance.</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Retrospective analysis of tumour response by IRRC following late protocol amendment.</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No patient achieved CR.</w:t>
            </w:r>
          </w:p>
        </w:tc>
      </w:tr>
      <w:tr w:rsidR="00486219" w:rsidRPr="0034616A" w:rsidTr="000F1DDC">
        <w:tc>
          <w:tcPr>
            <w:tcW w:w="3085" w:type="dxa"/>
            <w:shd w:val="clear" w:color="auto" w:fill="auto"/>
          </w:tcPr>
          <w:p w:rsidR="00486219" w:rsidRPr="000F1DDC" w:rsidRDefault="00486219" w:rsidP="00A2181C">
            <w:pPr>
              <w:ind w:right="170"/>
              <w:rPr>
                <w:color w:val="000000"/>
                <w:sz w:val="20"/>
                <w:szCs w:val="21"/>
                <w:lang w:eastAsia="ja-JP"/>
              </w:rPr>
            </w:pPr>
            <w:r w:rsidRPr="000F1DDC">
              <w:rPr>
                <w:color w:val="000000"/>
                <w:sz w:val="20"/>
                <w:szCs w:val="21"/>
                <w:lang w:eastAsia="ja-JP"/>
              </w:rPr>
              <w:t>Future studies to confirm the results of these early studies.</w:t>
            </w:r>
          </w:p>
        </w:tc>
        <w:tc>
          <w:tcPr>
            <w:tcW w:w="6203" w:type="dxa"/>
            <w:shd w:val="clear" w:color="auto" w:fill="auto"/>
          </w:tcPr>
          <w:p w:rsidR="00486219" w:rsidRPr="000F1DDC" w:rsidRDefault="000F1DDC" w:rsidP="00A2181C">
            <w:pPr>
              <w:ind w:right="170"/>
              <w:rPr>
                <w:color w:val="000000"/>
                <w:sz w:val="20"/>
                <w:szCs w:val="21"/>
                <w:lang w:eastAsia="ja-JP"/>
              </w:rPr>
            </w:pPr>
            <w:r>
              <w:rPr>
                <w:color w:val="000000"/>
                <w:sz w:val="20"/>
                <w:szCs w:val="21"/>
                <w:lang w:eastAsia="ja-JP"/>
              </w:rPr>
              <w:t xml:space="preserve">Uncertainty: Confirmatory study. </w:t>
            </w:r>
            <w:r w:rsidR="00486219" w:rsidRPr="000F1DDC">
              <w:rPr>
                <w:color w:val="000000"/>
                <w:sz w:val="20"/>
                <w:szCs w:val="21"/>
                <w:lang w:eastAsia="ja-JP"/>
              </w:rPr>
              <w:t xml:space="preserve">The sponsor has provided written advice to the TGA that no confirmatory studies are planned: [The sponsor] </w:t>
            </w:r>
            <w:r w:rsidR="00486219" w:rsidRPr="000F1DDC">
              <w:rPr>
                <w:i/>
                <w:color w:val="000000"/>
                <w:sz w:val="20"/>
                <w:szCs w:val="21"/>
                <w:lang w:eastAsia="ja-JP"/>
              </w:rPr>
              <w:t>‘has not conducted nor is planning a confirmatory Phase III study in this precise patient population due to the small number of patients available, the late stage of disease and the absence of an approved comparator’.</w:t>
            </w:r>
          </w:p>
        </w:tc>
      </w:tr>
    </w:tbl>
    <w:p w:rsidR="00486219" w:rsidRDefault="00367E65" w:rsidP="00486219">
      <w:pPr>
        <w:pStyle w:val="Tabletitle0"/>
        <w:rPr>
          <w:lang w:eastAsia="ja-JP"/>
        </w:rPr>
      </w:pPr>
      <w:proofErr w:type="gramStart"/>
      <w:r>
        <w:rPr>
          <w:lang w:eastAsia="ja-JP"/>
        </w:rPr>
        <w:lastRenderedPageBreak/>
        <w:t>Table 1</w:t>
      </w:r>
      <w:r w:rsidR="004525A0">
        <w:rPr>
          <w:lang w:eastAsia="ja-JP"/>
        </w:rPr>
        <w:t>2</w:t>
      </w:r>
      <w:r w:rsidR="00486219">
        <w:rPr>
          <w:lang w:eastAsia="ja-JP"/>
        </w:rPr>
        <w:t>.</w:t>
      </w:r>
      <w:proofErr w:type="gramEnd"/>
      <w:r w:rsidR="00486219">
        <w:rPr>
          <w:lang w:eastAsia="ja-JP"/>
        </w:rPr>
        <w:t xml:space="preserve"> First round assessment of benefits</w:t>
      </w:r>
      <w:r w:rsidR="001379C9">
        <w:rPr>
          <w:lang w:eastAsia="ja-JP"/>
        </w:rPr>
        <w:t xml:space="preserve"> (second part of indication)</w:t>
      </w: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085"/>
        <w:gridCol w:w="6203"/>
      </w:tblGrid>
      <w:tr w:rsidR="00486219" w:rsidRPr="0034616A" w:rsidTr="00A2181C">
        <w:trPr>
          <w:cantSplit/>
          <w:tblHeader/>
        </w:trPr>
        <w:tc>
          <w:tcPr>
            <w:tcW w:w="928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006DA7"/>
          </w:tcPr>
          <w:p w:rsidR="00486219" w:rsidRPr="00A2181C" w:rsidRDefault="00486219" w:rsidP="00A2181C">
            <w:pPr>
              <w:keepNext/>
              <w:ind w:right="170"/>
              <w:rPr>
                <w:b/>
                <w:color w:val="FFFFFF"/>
                <w:szCs w:val="21"/>
                <w:lang w:eastAsia="ja-JP"/>
              </w:rPr>
            </w:pPr>
            <w:r w:rsidRPr="00A2181C">
              <w:rPr>
                <w:b/>
                <w:color w:val="FFFFFF"/>
                <w:szCs w:val="21"/>
                <w:lang w:eastAsia="ja-JP"/>
              </w:rPr>
              <w:t xml:space="preserve">Indication: </w:t>
            </w:r>
            <w:proofErr w:type="spellStart"/>
            <w:r w:rsidRPr="000F1DDC">
              <w:rPr>
                <w:i/>
                <w:iCs/>
                <w:color w:val="FFFFFF"/>
                <w:szCs w:val="21"/>
                <w:lang w:eastAsia="ja-JP"/>
              </w:rPr>
              <w:t>Opdivo</w:t>
            </w:r>
            <w:proofErr w:type="spellEnd"/>
            <w:r w:rsidRPr="000F1DDC">
              <w:rPr>
                <w:i/>
                <w:iCs/>
                <w:color w:val="FFFFFF"/>
                <w:szCs w:val="21"/>
                <w:lang w:eastAsia="ja-JP"/>
              </w:rPr>
              <w:t>, as monotherapy is indicated for the treatment of patients with relapsed or refractory classical Hodgkin lymphoma (</w:t>
            </w:r>
            <w:proofErr w:type="spellStart"/>
            <w:r w:rsidRPr="000F1DDC">
              <w:rPr>
                <w:i/>
                <w:iCs/>
                <w:color w:val="FFFFFF"/>
                <w:szCs w:val="21"/>
                <w:lang w:eastAsia="ja-JP"/>
              </w:rPr>
              <w:t>cHL</w:t>
            </w:r>
            <w:proofErr w:type="spellEnd"/>
            <w:r w:rsidRPr="000F1DDC">
              <w:rPr>
                <w:i/>
                <w:iCs/>
                <w:color w:val="FFFFFF"/>
                <w:szCs w:val="21"/>
                <w:lang w:eastAsia="ja-JP"/>
              </w:rPr>
              <w:t>) following at least two prior therapies in patients who are not candidates for ASCT.</w:t>
            </w:r>
          </w:p>
        </w:tc>
      </w:tr>
      <w:tr w:rsidR="00486219" w:rsidRPr="0034616A" w:rsidTr="000F1DDC">
        <w:trPr>
          <w:cantSplit/>
        </w:trPr>
        <w:tc>
          <w:tcPr>
            <w:tcW w:w="3085" w:type="dxa"/>
            <w:shd w:val="clear" w:color="auto" w:fill="auto"/>
          </w:tcPr>
          <w:p w:rsidR="00486219" w:rsidRPr="00A2181C" w:rsidRDefault="00486219" w:rsidP="00A2181C">
            <w:pPr>
              <w:ind w:left="170" w:right="170"/>
              <w:rPr>
                <w:b/>
                <w:color w:val="000000"/>
                <w:szCs w:val="21"/>
                <w:lang w:eastAsia="ja-JP"/>
              </w:rPr>
            </w:pPr>
            <w:r w:rsidRPr="00A2181C">
              <w:rPr>
                <w:b/>
                <w:color w:val="000000"/>
                <w:szCs w:val="21"/>
                <w:lang w:eastAsia="ja-JP"/>
              </w:rPr>
              <w:t>Benefits</w:t>
            </w:r>
          </w:p>
        </w:tc>
        <w:tc>
          <w:tcPr>
            <w:tcW w:w="6203" w:type="dxa"/>
            <w:shd w:val="clear" w:color="auto" w:fill="auto"/>
          </w:tcPr>
          <w:p w:rsidR="00486219" w:rsidRPr="00A2181C" w:rsidRDefault="00486219" w:rsidP="00A2181C">
            <w:pPr>
              <w:ind w:left="170" w:right="170"/>
              <w:rPr>
                <w:b/>
                <w:color w:val="000000"/>
                <w:szCs w:val="21"/>
                <w:lang w:eastAsia="ja-JP"/>
              </w:rPr>
            </w:pPr>
            <w:r w:rsidRPr="00A2181C">
              <w:rPr>
                <w:b/>
                <w:color w:val="000000"/>
                <w:szCs w:val="21"/>
                <w:lang w:eastAsia="ja-JP"/>
              </w:rPr>
              <w:t>Strengths and Uncertainties</w:t>
            </w:r>
          </w:p>
        </w:tc>
      </w:tr>
      <w:tr w:rsidR="00486219" w:rsidRPr="0034616A" w:rsidTr="000F1DDC">
        <w:tc>
          <w:tcPr>
            <w:tcW w:w="3085" w:type="dxa"/>
            <w:shd w:val="clear" w:color="auto" w:fill="auto"/>
          </w:tcPr>
          <w:p w:rsidR="00486219" w:rsidRPr="000F1DDC" w:rsidRDefault="00486219" w:rsidP="00A2181C">
            <w:pPr>
              <w:ind w:right="170"/>
              <w:rPr>
                <w:color w:val="000000"/>
                <w:sz w:val="20"/>
                <w:szCs w:val="21"/>
                <w:lang w:eastAsia="ja-JP"/>
              </w:rPr>
            </w:pPr>
            <w:r w:rsidRPr="000F1DDC">
              <w:rPr>
                <w:color w:val="000000"/>
                <w:sz w:val="20"/>
                <w:szCs w:val="21"/>
                <w:lang w:eastAsia="ja-JP"/>
              </w:rPr>
              <w:t xml:space="preserve">There were 5 patients in Study CA209039 who had not received prior ASCT. Of the 5 ASCT naïve patients, 4 had an objective response to </w:t>
            </w:r>
            <w:proofErr w:type="spellStart"/>
            <w:r w:rsidRPr="000F1DDC">
              <w:rPr>
                <w:color w:val="000000"/>
                <w:sz w:val="20"/>
                <w:szCs w:val="21"/>
                <w:lang w:eastAsia="ja-JP"/>
              </w:rPr>
              <w:t>nivolumab</w:t>
            </w:r>
            <w:proofErr w:type="spellEnd"/>
            <w:r w:rsidRPr="000F1DDC">
              <w:rPr>
                <w:color w:val="000000"/>
                <w:sz w:val="20"/>
                <w:szCs w:val="21"/>
                <w:lang w:eastAsia="ja-JP"/>
              </w:rPr>
              <w:t>, with BOR per IRRC of CR (n = 3), PR (n = 1) and SD (n = 1).</w:t>
            </w:r>
          </w:p>
        </w:tc>
        <w:tc>
          <w:tcPr>
            <w:tcW w:w="6203" w:type="dxa"/>
            <w:shd w:val="clear" w:color="auto" w:fill="auto"/>
          </w:tcPr>
          <w:p w:rsidR="00486219" w:rsidRPr="000F1DDC" w:rsidRDefault="00486219" w:rsidP="00A2181C">
            <w:pPr>
              <w:ind w:right="170"/>
              <w:rPr>
                <w:color w:val="000000"/>
                <w:sz w:val="20"/>
                <w:szCs w:val="21"/>
                <w:lang w:eastAsia="ja-JP"/>
              </w:rPr>
            </w:pPr>
            <w:r w:rsidRPr="000F1DDC">
              <w:rPr>
                <w:color w:val="000000"/>
                <w:sz w:val="20"/>
                <w:szCs w:val="21"/>
                <w:lang w:eastAsia="ja-JP"/>
              </w:rPr>
              <w:t>Uncertainties: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 xml:space="preserve">Given the small number of patients, determining benefit in this patient population requires generalisation from other patients with </w:t>
            </w:r>
            <w:proofErr w:type="spellStart"/>
            <w:r w:rsidRPr="000F1DDC">
              <w:rPr>
                <w:color w:val="000000"/>
                <w:sz w:val="20"/>
                <w:szCs w:val="21"/>
                <w:lang w:eastAsia="ja-JP"/>
              </w:rPr>
              <w:t>cHL.</w:t>
            </w:r>
            <w:proofErr w:type="spellEnd"/>
            <w:r w:rsidRPr="000F1DDC">
              <w:rPr>
                <w:color w:val="000000"/>
                <w:sz w:val="20"/>
                <w:szCs w:val="21"/>
                <w:lang w:eastAsia="ja-JP"/>
              </w:rPr>
              <w:t xml:space="preserve"> This may suggest clinically relevant tumour response but has not demonstrated any more meaningful benefits, such as increased PFS or OS.</w:t>
            </w:r>
          </w:p>
          <w:p w:rsidR="00486219" w:rsidRPr="000F1DDC" w:rsidRDefault="00486219" w:rsidP="00A2181C">
            <w:pPr>
              <w:pStyle w:val="ListBullet"/>
              <w:numPr>
                <w:ilvl w:val="0"/>
                <w:numId w:val="3"/>
              </w:numPr>
              <w:ind w:right="170"/>
              <w:rPr>
                <w:color w:val="000000"/>
                <w:sz w:val="20"/>
                <w:szCs w:val="21"/>
                <w:lang w:eastAsia="ja-JP"/>
              </w:rPr>
            </w:pPr>
            <w:r w:rsidRPr="000F1DDC">
              <w:rPr>
                <w:color w:val="000000"/>
                <w:sz w:val="20"/>
                <w:szCs w:val="21"/>
                <w:lang w:eastAsia="ja-JP"/>
              </w:rPr>
              <w:t xml:space="preserve">Current phrasing of this part of the indication would allow </w:t>
            </w:r>
            <w:proofErr w:type="spellStart"/>
            <w:r w:rsidRPr="000F1DDC">
              <w:rPr>
                <w:color w:val="000000"/>
                <w:sz w:val="20"/>
                <w:szCs w:val="21"/>
                <w:lang w:eastAsia="ja-JP"/>
              </w:rPr>
              <w:t>nivolumab</w:t>
            </w:r>
            <w:proofErr w:type="spellEnd"/>
            <w:r w:rsidRPr="000F1DDC">
              <w:rPr>
                <w:color w:val="000000"/>
                <w:sz w:val="20"/>
                <w:szCs w:val="21"/>
                <w:lang w:eastAsia="ja-JP"/>
              </w:rPr>
              <w:t xml:space="preserve"> to be used instead of the more established </w:t>
            </w:r>
            <w:proofErr w:type="spellStart"/>
            <w:r w:rsidRPr="000F1DDC">
              <w:rPr>
                <w:color w:val="000000"/>
                <w:sz w:val="20"/>
                <w:szCs w:val="21"/>
                <w:lang w:eastAsia="ja-JP"/>
              </w:rPr>
              <w:t>brentuximab</w:t>
            </w:r>
            <w:proofErr w:type="spellEnd"/>
            <w:r w:rsidRPr="000F1DDC">
              <w:rPr>
                <w:color w:val="000000"/>
                <w:sz w:val="20"/>
                <w:szCs w:val="21"/>
                <w:lang w:eastAsia="ja-JP"/>
              </w:rPr>
              <w:t xml:space="preserve"> </w:t>
            </w:r>
            <w:proofErr w:type="spellStart"/>
            <w:r w:rsidRPr="000F1DDC">
              <w:rPr>
                <w:color w:val="000000"/>
                <w:sz w:val="20"/>
                <w:szCs w:val="21"/>
                <w:lang w:eastAsia="ja-JP"/>
              </w:rPr>
              <w:t>vedotin</w:t>
            </w:r>
            <w:proofErr w:type="spellEnd"/>
            <w:r w:rsidRPr="000F1DDC">
              <w:rPr>
                <w:color w:val="000000"/>
                <w:sz w:val="20"/>
                <w:szCs w:val="21"/>
                <w:lang w:eastAsia="ja-JP"/>
              </w:rPr>
              <w:t>.</w:t>
            </w:r>
          </w:p>
        </w:tc>
      </w:tr>
    </w:tbl>
    <w:p w:rsidR="00605AD4" w:rsidRDefault="00605AD4" w:rsidP="00605AD4">
      <w:pPr>
        <w:pStyle w:val="Heading4"/>
      </w:pPr>
      <w:r w:rsidRPr="00605AD4">
        <w:t>First round assessment of risks</w:t>
      </w:r>
    </w:p>
    <w:p w:rsidR="00D03A53" w:rsidRPr="00D03A53" w:rsidRDefault="004525A0" w:rsidP="00D03A53">
      <w:r>
        <w:t>Table 13</w:t>
      </w:r>
      <w:r w:rsidR="00D03A53">
        <w:t xml:space="preserve"> summarises the clinical </w:t>
      </w:r>
      <w:proofErr w:type="gramStart"/>
      <w:r w:rsidR="00D03A53">
        <w:t>evaluators</w:t>
      </w:r>
      <w:proofErr w:type="gramEnd"/>
      <w:r w:rsidR="00D03A53">
        <w:t xml:space="preserve"> first round assessment of risks</w:t>
      </w:r>
      <w:r w:rsidR="005A1DFD">
        <w:t xml:space="preserve"> along with the strengths and uncertainties </w:t>
      </w:r>
      <w:r w:rsidR="00DE2584">
        <w:t>based on the available</w:t>
      </w:r>
      <w:r w:rsidR="005A1DFD">
        <w:t xml:space="preserve"> evidence.</w:t>
      </w:r>
    </w:p>
    <w:p w:rsidR="00860CC3" w:rsidRPr="000427F0" w:rsidRDefault="00D03A53" w:rsidP="00860CC3">
      <w:pPr>
        <w:pStyle w:val="Tabletitle0"/>
        <w:rPr>
          <w:lang w:eastAsia="ja-JP"/>
        </w:rPr>
      </w:pPr>
      <w:proofErr w:type="gramStart"/>
      <w:r>
        <w:rPr>
          <w:lang w:eastAsia="ja-JP"/>
        </w:rPr>
        <w:t>Table 1</w:t>
      </w:r>
      <w:r w:rsidR="004525A0">
        <w:rPr>
          <w:lang w:eastAsia="ja-JP"/>
        </w:rPr>
        <w:t>3</w:t>
      </w:r>
      <w:r w:rsidR="00860CC3">
        <w:rPr>
          <w:lang w:eastAsia="ja-JP"/>
        </w:rPr>
        <w:t>.</w:t>
      </w:r>
      <w:proofErr w:type="gramEnd"/>
      <w:r w:rsidR="00860CC3">
        <w:rPr>
          <w:lang w:eastAsia="ja-JP"/>
        </w:rPr>
        <w:t xml:space="preserve"> First round assessment of risks</w:t>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211"/>
        <w:gridCol w:w="4111"/>
      </w:tblGrid>
      <w:tr w:rsidR="00DF5D00" w:rsidRPr="0034616A" w:rsidTr="000F1DDC">
        <w:trPr>
          <w:tblHeader/>
        </w:trPr>
        <w:tc>
          <w:tcPr>
            <w:tcW w:w="5211" w:type="dxa"/>
            <w:tcBorders>
              <w:top w:val="single" w:sz="8" w:space="0" w:color="000000"/>
              <w:left w:val="single" w:sz="8" w:space="0" w:color="000000"/>
              <w:bottom w:val="single" w:sz="8" w:space="0" w:color="000000"/>
              <w:right w:val="nil"/>
              <w:tl2br w:val="nil"/>
              <w:tr2bl w:val="nil"/>
            </w:tcBorders>
            <w:shd w:val="clear" w:color="auto" w:fill="006DA7"/>
          </w:tcPr>
          <w:p w:rsidR="00860CC3" w:rsidRPr="00A2181C" w:rsidRDefault="00860CC3" w:rsidP="00A2181C">
            <w:pPr>
              <w:keepNext/>
              <w:ind w:left="170" w:right="170"/>
              <w:rPr>
                <w:b/>
                <w:color w:val="FFFFFF"/>
                <w:szCs w:val="21"/>
                <w:lang w:eastAsia="ja-JP"/>
              </w:rPr>
            </w:pPr>
            <w:r w:rsidRPr="00A2181C">
              <w:rPr>
                <w:b/>
                <w:color w:val="FFFFFF"/>
                <w:szCs w:val="21"/>
                <w:lang w:eastAsia="ja-JP"/>
              </w:rPr>
              <w:t>Risks</w:t>
            </w:r>
          </w:p>
        </w:tc>
        <w:tc>
          <w:tcPr>
            <w:tcW w:w="4111" w:type="dxa"/>
            <w:tcBorders>
              <w:top w:val="single" w:sz="8" w:space="0" w:color="000000"/>
              <w:left w:val="nil"/>
              <w:bottom w:val="single" w:sz="8" w:space="0" w:color="000000"/>
              <w:right w:val="single" w:sz="8" w:space="0" w:color="000000"/>
              <w:tl2br w:val="nil"/>
              <w:tr2bl w:val="nil"/>
            </w:tcBorders>
            <w:shd w:val="clear" w:color="auto" w:fill="006DA7"/>
          </w:tcPr>
          <w:p w:rsidR="00860CC3" w:rsidRPr="00A2181C" w:rsidRDefault="00860CC3" w:rsidP="00A2181C">
            <w:pPr>
              <w:keepNext/>
              <w:ind w:left="170" w:right="170"/>
              <w:rPr>
                <w:b/>
                <w:color w:val="FFFFFF"/>
                <w:szCs w:val="21"/>
                <w:lang w:eastAsia="ja-JP"/>
              </w:rPr>
            </w:pPr>
            <w:r w:rsidRPr="00A2181C">
              <w:rPr>
                <w:b/>
                <w:color w:val="FFFFFF"/>
                <w:szCs w:val="21"/>
                <w:lang w:eastAsia="ja-JP"/>
              </w:rPr>
              <w:t>Strengths and Uncertainties</w:t>
            </w:r>
          </w:p>
        </w:tc>
      </w:tr>
      <w:tr w:rsidR="00F2324F" w:rsidRPr="0034616A" w:rsidTr="000F1DDC">
        <w:tc>
          <w:tcPr>
            <w:tcW w:w="5211" w:type="dxa"/>
            <w:shd w:val="clear" w:color="auto" w:fill="auto"/>
          </w:tcPr>
          <w:p w:rsidR="00860CC3" w:rsidRPr="00A2181C" w:rsidRDefault="00860CC3" w:rsidP="00A2181C">
            <w:pPr>
              <w:ind w:right="170"/>
              <w:rPr>
                <w:color w:val="000000"/>
                <w:szCs w:val="21"/>
                <w:lang w:eastAsia="ja-JP"/>
              </w:rPr>
            </w:pPr>
            <w:r w:rsidRPr="00A2181C">
              <w:rPr>
                <w:color w:val="000000"/>
                <w:szCs w:val="21"/>
                <w:lang w:eastAsia="ja-JP"/>
              </w:rPr>
              <w:t xml:space="preserve">Patients with </w:t>
            </w:r>
            <w:proofErr w:type="spellStart"/>
            <w:r w:rsidRPr="00A2181C">
              <w:rPr>
                <w:color w:val="000000"/>
                <w:szCs w:val="21"/>
                <w:lang w:eastAsia="ja-JP"/>
              </w:rPr>
              <w:t>cHL</w:t>
            </w:r>
            <w:proofErr w:type="spellEnd"/>
            <w:r w:rsidRPr="00A2181C">
              <w:rPr>
                <w:color w:val="000000"/>
                <w:szCs w:val="21"/>
                <w:lang w:eastAsia="ja-JP"/>
              </w:rPr>
              <w:t xml:space="preserve"> who have failed ASCT followed by </w:t>
            </w:r>
            <w:proofErr w:type="spellStart"/>
            <w:r w:rsidRPr="00A2181C">
              <w:rPr>
                <w:color w:val="000000"/>
                <w:szCs w:val="21"/>
                <w:lang w:eastAsia="ja-JP"/>
              </w:rPr>
              <w:t>brentuximab</w:t>
            </w:r>
            <w:proofErr w:type="spellEnd"/>
            <w:r w:rsidRPr="00A2181C">
              <w:rPr>
                <w:color w:val="000000"/>
                <w:szCs w:val="21"/>
                <w:lang w:eastAsia="ja-JP"/>
              </w:rPr>
              <w:t xml:space="preserve"> </w:t>
            </w:r>
            <w:proofErr w:type="spellStart"/>
            <w:r w:rsidRPr="00A2181C">
              <w:rPr>
                <w:color w:val="000000"/>
                <w:szCs w:val="21"/>
                <w:lang w:eastAsia="ja-JP"/>
              </w:rPr>
              <w:t>vedotin</w:t>
            </w:r>
            <w:proofErr w:type="spellEnd"/>
            <w:r w:rsidRPr="00A2181C">
              <w:rPr>
                <w:color w:val="000000"/>
                <w:szCs w:val="21"/>
                <w:lang w:eastAsia="ja-JP"/>
              </w:rPr>
              <w:t xml:space="preserve"> treated with </w:t>
            </w:r>
            <w:proofErr w:type="spellStart"/>
            <w:r w:rsidRPr="00A2181C">
              <w:rPr>
                <w:color w:val="000000"/>
                <w:szCs w:val="21"/>
                <w:lang w:eastAsia="ja-JP"/>
              </w:rPr>
              <w:t>nivolumab</w:t>
            </w:r>
            <w:proofErr w:type="spellEnd"/>
            <w:r w:rsidRPr="00A2181C">
              <w:rPr>
                <w:color w:val="000000"/>
                <w:szCs w:val="21"/>
                <w:lang w:eastAsia="ja-JP"/>
              </w:rPr>
              <w:t xml:space="preserve"> monotherapy for Cohort B of Study CA209205:</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Adverse reactions, all cause, all grades reported in almost all patients (&gt; 98%). Most common reactions: fatigue 36%, pyrexia 31%</w:t>
            </w:r>
            <w:proofErr w:type="gramStart"/>
            <w:r w:rsidRPr="00A2181C">
              <w:rPr>
                <w:color w:val="000000"/>
                <w:szCs w:val="21"/>
                <w:lang w:eastAsia="ja-JP"/>
              </w:rPr>
              <w:t>,</w:t>
            </w:r>
            <w:proofErr w:type="gramEnd"/>
            <w:r w:rsidRPr="00A2181C">
              <w:rPr>
                <w:color w:val="000000"/>
                <w:szCs w:val="21"/>
                <w:lang w:eastAsia="ja-JP"/>
              </w:rPr>
              <w:t xml:space="preserve"> cough 27.5%, diarrhoea 27.5%, nausea 24%.</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Adverse reactions, all cause, Grade 3 or 4 in 40%. Most common reactions, apart from laboratory abnormalities, were dyspnoea (2.5%), lung infection (2.5%), and rash (2.5%).</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 xml:space="preserve">SAEs, all cause, reported in 25%, with Grade 3 or 4 in 12.5%. Grade 3 or 4 SAEs were all reported in single patients and included: pneumonia, lung infection, dyspnoea, meningitis, pyrexia, generalised oedema, arrhythmia, pericardial effusion, cardiac failure, gastrointestinal stromal tumour, hypercalcaemia, syncope, rash, maculopapular rash, platelet count decreased, osteonecrosis, febrile </w:t>
            </w:r>
            <w:proofErr w:type="spellStart"/>
            <w:r w:rsidRPr="00A2181C">
              <w:rPr>
                <w:color w:val="000000"/>
                <w:szCs w:val="21"/>
                <w:lang w:eastAsia="ja-JP"/>
              </w:rPr>
              <w:t>neutrop</w:t>
            </w:r>
            <w:r w:rsidR="001E6C89" w:rsidRPr="00A2181C">
              <w:rPr>
                <w:color w:val="000000"/>
                <w:szCs w:val="21"/>
                <w:lang w:eastAsia="ja-JP"/>
              </w:rPr>
              <w:t>a</w:t>
            </w:r>
            <w:r w:rsidRPr="00A2181C">
              <w:rPr>
                <w:color w:val="000000"/>
                <w:szCs w:val="21"/>
                <w:lang w:eastAsia="ja-JP"/>
              </w:rPr>
              <w:t>enia</w:t>
            </w:r>
            <w:proofErr w:type="spellEnd"/>
            <w:r w:rsidRPr="00A2181C">
              <w:rPr>
                <w:color w:val="000000"/>
                <w:szCs w:val="21"/>
                <w:lang w:eastAsia="ja-JP"/>
              </w:rPr>
              <w:t xml:space="preserve"> and embolism.</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Discontinuations due to AEs in 3 patients (3.8%).</w:t>
            </w:r>
          </w:p>
          <w:p w:rsidR="00860CC3" w:rsidRPr="00A2181C" w:rsidRDefault="00860CC3" w:rsidP="00A2181C">
            <w:pPr>
              <w:pStyle w:val="ListBullet"/>
              <w:keepNext/>
              <w:numPr>
                <w:ilvl w:val="0"/>
                <w:numId w:val="3"/>
              </w:numPr>
              <w:ind w:right="173"/>
              <w:rPr>
                <w:color w:val="000000"/>
                <w:szCs w:val="21"/>
                <w:lang w:eastAsia="ja-JP"/>
              </w:rPr>
            </w:pPr>
            <w:r w:rsidRPr="00A2181C">
              <w:rPr>
                <w:color w:val="000000"/>
                <w:szCs w:val="21"/>
                <w:lang w:eastAsia="ja-JP"/>
              </w:rPr>
              <w:t xml:space="preserve">Deaths due to </w:t>
            </w:r>
            <w:proofErr w:type="spellStart"/>
            <w:r w:rsidRPr="00A2181C">
              <w:rPr>
                <w:color w:val="000000"/>
                <w:szCs w:val="21"/>
                <w:lang w:eastAsia="ja-JP"/>
              </w:rPr>
              <w:t>nivolumab</w:t>
            </w:r>
            <w:proofErr w:type="spellEnd"/>
            <w:r w:rsidRPr="00A2181C">
              <w:rPr>
                <w:color w:val="000000"/>
                <w:szCs w:val="21"/>
                <w:lang w:eastAsia="ja-JP"/>
              </w:rPr>
              <w:t xml:space="preserve"> toxicity reported in </w:t>
            </w:r>
            <w:r w:rsidRPr="00A2181C">
              <w:rPr>
                <w:color w:val="000000"/>
                <w:szCs w:val="21"/>
                <w:lang w:eastAsia="ja-JP"/>
              </w:rPr>
              <w:lastRenderedPageBreak/>
              <w:t xml:space="preserve">one patient (MSOF) (1.25%) although this was changed after </w:t>
            </w:r>
            <w:r w:rsidR="001E6C89" w:rsidRPr="00A2181C">
              <w:rPr>
                <w:color w:val="000000"/>
                <w:szCs w:val="21"/>
                <w:lang w:eastAsia="ja-JP"/>
              </w:rPr>
              <w:t>DBL</w:t>
            </w:r>
            <w:r w:rsidRPr="00A2181C">
              <w:rPr>
                <w:color w:val="000000"/>
                <w:szCs w:val="21"/>
                <w:lang w:eastAsia="ja-JP"/>
              </w:rPr>
              <w:t>.</w:t>
            </w:r>
          </w:p>
          <w:p w:rsidR="00042EDE" w:rsidRDefault="00860CC3" w:rsidP="00A2181C">
            <w:pPr>
              <w:ind w:right="170"/>
              <w:rPr>
                <w:color w:val="000000"/>
                <w:szCs w:val="21"/>
                <w:lang w:eastAsia="ja-JP"/>
              </w:rPr>
            </w:pPr>
            <w:r w:rsidRPr="00A2181C">
              <w:rPr>
                <w:color w:val="000000"/>
                <w:szCs w:val="21"/>
                <w:lang w:eastAsia="ja-JP"/>
              </w:rPr>
              <w:t xml:space="preserve">In other </w:t>
            </w:r>
            <w:proofErr w:type="spellStart"/>
            <w:r w:rsidRPr="00A2181C">
              <w:rPr>
                <w:color w:val="000000"/>
                <w:szCs w:val="21"/>
                <w:lang w:eastAsia="ja-JP"/>
              </w:rPr>
              <w:t>cHL</w:t>
            </w:r>
            <w:proofErr w:type="spellEnd"/>
            <w:r w:rsidRPr="00A2181C">
              <w:rPr>
                <w:color w:val="000000"/>
                <w:szCs w:val="21"/>
                <w:lang w:eastAsia="ja-JP"/>
              </w:rPr>
              <w:t xml:space="preserve"> patients (Cohort A + C of Studies CA209205 and CA209039), all cause/all grade AEs had a similar pattern although there were higher rep</w:t>
            </w:r>
            <w:r w:rsidR="00042EDE">
              <w:rPr>
                <w:color w:val="000000"/>
                <w:szCs w:val="21"/>
                <w:lang w:eastAsia="ja-JP"/>
              </w:rPr>
              <w:t>orting rates in Study CA209039.</w:t>
            </w:r>
          </w:p>
          <w:p w:rsidR="00860CC3" w:rsidRPr="00A2181C" w:rsidRDefault="00860CC3" w:rsidP="00A2181C">
            <w:pPr>
              <w:ind w:right="170"/>
              <w:rPr>
                <w:color w:val="000000"/>
                <w:szCs w:val="21"/>
                <w:lang w:val="en-GB" w:eastAsia="ja-JP"/>
              </w:rPr>
            </w:pPr>
            <w:r w:rsidRPr="00A2181C">
              <w:rPr>
                <w:color w:val="000000"/>
                <w:szCs w:val="21"/>
                <w:lang w:eastAsia="ja-JP"/>
              </w:rPr>
              <w:t xml:space="preserve">There was one other death attributed to </w:t>
            </w:r>
            <w:proofErr w:type="spellStart"/>
            <w:r w:rsidRPr="00A2181C">
              <w:rPr>
                <w:color w:val="000000"/>
                <w:szCs w:val="21"/>
                <w:lang w:eastAsia="ja-JP"/>
              </w:rPr>
              <w:t>nivolumab</w:t>
            </w:r>
            <w:proofErr w:type="spellEnd"/>
            <w:r w:rsidRPr="00A2181C">
              <w:rPr>
                <w:color w:val="000000"/>
                <w:szCs w:val="21"/>
                <w:lang w:eastAsia="ja-JP"/>
              </w:rPr>
              <w:t xml:space="preserve"> toxicity, MSOF following </w:t>
            </w:r>
            <w:r w:rsidR="001E6C89" w:rsidRPr="00A2181C">
              <w:rPr>
                <w:i/>
                <w:color w:val="000000"/>
                <w:szCs w:val="21"/>
                <w:lang w:val="en-GB" w:eastAsia="ja-JP"/>
              </w:rPr>
              <w:t xml:space="preserve">Pneumocystis </w:t>
            </w:r>
            <w:proofErr w:type="spellStart"/>
            <w:r w:rsidR="001E6C89" w:rsidRPr="00A2181C">
              <w:rPr>
                <w:i/>
                <w:color w:val="000000"/>
                <w:szCs w:val="21"/>
                <w:lang w:val="en-GB" w:eastAsia="ja-JP"/>
              </w:rPr>
              <w:t>jiroveci</w:t>
            </w:r>
            <w:proofErr w:type="spellEnd"/>
            <w:r w:rsidR="001E6C89" w:rsidRPr="00A2181C">
              <w:rPr>
                <w:color w:val="000000"/>
                <w:szCs w:val="21"/>
                <w:lang w:val="en-GB" w:eastAsia="ja-JP"/>
              </w:rPr>
              <w:t xml:space="preserve"> pneumonia.</w:t>
            </w:r>
          </w:p>
          <w:p w:rsidR="00860CC3" w:rsidRPr="00A2181C" w:rsidRDefault="00860CC3" w:rsidP="00A2181C">
            <w:pPr>
              <w:ind w:right="170"/>
              <w:rPr>
                <w:color w:val="000000"/>
                <w:szCs w:val="21"/>
                <w:lang w:eastAsia="ja-JP"/>
              </w:rPr>
            </w:pPr>
            <w:r w:rsidRPr="00A2181C">
              <w:rPr>
                <w:color w:val="000000"/>
                <w:szCs w:val="21"/>
                <w:lang w:eastAsia="ja-JP"/>
              </w:rPr>
              <w:t xml:space="preserve">Possible increase in GVHD and other complications in patients having </w:t>
            </w:r>
            <w:proofErr w:type="spellStart"/>
            <w:r w:rsidRPr="00A2181C">
              <w:rPr>
                <w:color w:val="000000"/>
                <w:szCs w:val="21"/>
                <w:lang w:eastAsia="ja-JP"/>
              </w:rPr>
              <w:t>allo</w:t>
            </w:r>
            <w:proofErr w:type="spellEnd"/>
            <w:r w:rsidRPr="00A2181C">
              <w:rPr>
                <w:color w:val="000000"/>
                <w:szCs w:val="21"/>
                <w:lang w:eastAsia="ja-JP"/>
              </w:rPr>
              <w:t xml:space="preserve">-SCT after </w:t>
            </w:r>
            <w:proofErr w:type="spellStart"/>
            <w:r w:rsidRPr="00A2181C">
              <w:rPr>
                <w:color w:val="000000"/>
                <w:szCs w:val="21"/>
                <w:lang w:eastAsia="ja-JP"/>
              </w:rPr>
              <w:t>nivolumab</w:t>
            </w:r>
            <w:proofErr w:type="spellEnd"/>
            <w:r w:rsidRPr="00A2181C">
              <w:rPr>
                <w:color w:val="000000"/>
                <w:szCs w:val="21"/>
                <w:lang w:eastAsia="ja-JP"/>
              </w:rPr>
              <w:t xml:space="preserve"> treatment.</w:t>
            </w:r>
          </w:p>
          <w:p w:rsidR="00860CC3" w:rsidRPr="00A2181C" w:rsidRDefault="00860CC3" w:rsidP="00A2181C">
            <w:pPr>
              <w:ind w:right="170"/>
              <w:rPr>
                <w:color w:val="000000"/>
                <w:szCs w:val="21"/>
                <w:lang w:eastAsia="ja-JP"/>
              </w:rPr>
            </w:pPr>
            <w:r w:rsidRPr="00A2181C">
              <w:rPr>
                <w:color w:val="000000"/>
                <w:szCs w:val="21"/>
                <w:lang w:eastAsia="ja-JP"/>
              </w:rPr>
              <w:t xml:space="preserve">The immune mediated events of pneumonitis, </w:t>
            </w:r>
            <w:r w:rsidR="001E6C89" w:rsidRPr="00A2181C">
              <w:rPr>
                <w:color w:val="000000"/>
                <w:szCs w:val="21"/>
                <w:lang w:eastAsia="ja-JP"/>
              </w:rPr>
              <w:t>TEN</w:t>
            </w:r>
            <w:r w:rsidRPr="00A2181C">
              <w:rPr>
                <w:color w:val="000000"/>
                <w:szCs w:val="21"/>
                <w:lang w:eastAsia="ja-JP"/>
              </w:rPr>
              <w:t xml:space="preserve">, </w:t>
            </w:r>
            <w:r w:rsidR="001E6C89" w:rsidRPr="00A2181C">
              <w:rPr>
                <w:color w:val="000000"/>
                <w:szCs w:val="21"/>
                <w:lang w:eastAsia="ja-JP"/>
              </w:rPr>
              <w:t>SJS</w:t>
            </w:r>
            <w:r w:rsidRPr="00A2181C">
              <w:rPr>
                <w:color w:val="000000"/>
                <w:szCs w:val="21"/>
                <w:lang w:eastAsia="ja-JP"/>
              </w:rPr>
              <w:t xml:space="preserve">, hepatitis, encephalitis, myasthenia gravis, myositis, myocarditis and rhabdomyolysis have each been associated with fatal outcome in patients receiving </w:t>
            </w:r>
            <w:proofErr w:type="spellStart"/>
            <w:r w:rsidRPr="00A2181C">
              <w:rPr>
                <w:color w:val="000000"/>
                <w:szCs w:val="21"/>
                <w:lang w:eastAsia="ja-JP"/>
              </w:rPr>
              <w:t>nivolumab</w:t>
            </w:r>
            <w:proofErr w:type="spellEnd"/>
            <w:r w:rsidRPr="00A2181C">
              <w:rPr>
                <w:color w:val="000000"/>
                <w:szCs w:val="21"/>
                <w:lang w:eastAsia="ja-JP"/>
              </w:rPr>
              <w:t xml:space="preserve"> monotherapy.</w:t>
            </w:r>
          </w:p>
        </w:tc>
        <w:tc>
          <w:tcPr>
            <w:tcW w:w="4111" w:type="dxa"/>
            <w:shd w:val="clear" w:color="auto" w:fill="auto"/>
          </w:tcPr>
          <w:p w:rsidR="00860CC3" w:rsidRPr="00A2181C" w:rsidRDefault="00860CC3" w:rsidP="00A2181C">
            <w:pPr>
              <w:ind w:right="170"/>
              <w:rPr>
                <w:color w:val="000000"/>
                <w:szCs w:val="21"/>
                <w:lang w:eastAsia="ja-JP"/>
              </w:rPr>
            </w:pPr>
            <w:r w:rsidRPr="00A2181C">
              <w:rPr>
                <w:color w:val="000000"/>
                <w:szCs w:val="21"/>
                <w:lang w:eastAsia="ja-JP"/>
              </w:rPr>
              <w:lastRenderedPageBreak/>
              <w:t>Strengths:</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 xml:space="preserve">Despite the frequency of AEs, there was no apparent effect on average measures of </w:t>
            </w:r>
            <w:proofErr w:type="spellStart"/>
            <w:r w:rsidRPr="00A2181C">
              <w:rPr>
                <w:color w:val="000000"/>
                <w:szCs w:val="21"/>
                <w:lang w:eastAsia="ja-JP"/>
              </w:rPr>
              <w:t>QoL</w:t>
            </w:r>
            <w:proofErr w:type="spellEnd"/>
            <w:r w:rsidRPr="00A2181C">
              <w:rPr>
                <w:color w:val="000000"/>
                <w:szCs w:val="21"/>
                <w:lang w:eastAsia="ja-JP"/>
              </w:rPr>
              <w:t xml:space="preserve"> during Weeks 9 to 33 of treatment.</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 xml:space="preserve">Deaths and discontinuations due to </w:t>
            </w:r>
            <w:proofErr w:type="spellStart"/>
            <w:r w:rsidRPr="00A2181C">
              <w:rPr>
                <w:color w:val="000000"/>
                <w:szCs w:val="21"/>
                <w:lang w:eastAsia="ja-JP"/>
              </w:rPr>
              <w:t>nivolumab</w:t>
            </w:r>
            <w:proofErr w:type="spellEnd"/>
            <w:r w:rsidRPr="00A2181C">
              <w:rPr>
                <w:color w:val="000000"/>
                <w:szCs w:val="21"/>
                <w:lang w:eastAsia="ja-JP"/>
              </w:rPr>
              <w:t xml:space="preserve"> toxicity were rare.</w:t>
            </w:r>
          </w:p>
          <w:p w:rsidR="00860CC3" w:rsidRPr="00A2181C" w:rsidRDefault="00860CC3" w:rsidP="00A2181C">
            <w:pPr>
              <w:ind w:right="170"/>
              <w:rPr>
                <w:color w:val="000000"/>
                <w:szCs w:val="21"/>
                <w:lang w:eastAsia="ja-JP"/>
              </w:rPr>
            </w:pPr>
            <w:r w:rsidRPr="00A2181C">
              <w:rPr>
                <w:color w:val="000000"/>
                <w:szCs w:val="21"/>
                <w:lang w:eastAsia="ja-JP"/>
              </w:rPr>
              <w:t>Uncertainties:</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Reliability of results given small patient number and noting differences in reported AEs, Grade 3 or 4 AEs and SAEs between the two studies presented by the sponsor.</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Generalisability to target population, noting that patients with ECOG &gt; 1 and patients with interstitial lung disease were excluded.</w:t>
            </w:r>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 xml:space="preserve">Generalisability from safety as established in patients with solid tumours to patients with </w:t>
            </w:r>
            <w:proofErr w:type="spellStart"/>
            <w:r w:rsidRPr="00A2181C">
              <w:rPr>
                <w:color w:val="000000"/>
                <w:szCs w:val="21"/>
                <w:lang w:eastAsia="ja-JP"/>
              </w:rPr>
              <w:t>cHL</w:t>
            </w:r>
            <w:proofErr w:type="spellEnd"/>
            <w:r w:rsidRPr="00A2181C">
              <w:rPr>
                <w:color w:val="000000"/>
                <w:szCs w:val="21"/>
                <w:lang w:eastAsia="ja-JP"/>
              </w:rPr>
              <w:t xml:space="preserve">, noting increased duration of </w:t>
            </w:r>
            <w:r w:rsidRPr="00A2181C">
              <w:rPr>
                <w:color w:val="000000"/>
                <w:szCs w:val="21"/>
                <w:lang w:eastAsia="ja-JP"/>
              </w:rPr>
              <w:lastRenderedPageBreak/>
              <w:t xml:space="preserve">treatment and different PK in patients with </w:t>
            </w:r>
            <w:proofErr w:type="spellStart"/>
            <w:r w:rsidRPr="00A2181C">
              <w:rPr>
                <w:color w:val="000000"/>
                <w:szCs w:val="21"/>
                <w:lang w:eastAsia="ja-JP"/>
              </w:rPr>
              <w:t>cHL.</w:t>
            </w:r>
            <w:proofErr w:type="spellEnd"/>
          </w:p>
          <w:p w:rsidR="00860CC3" w:rsidRPr="00A2181C" w:rsidRDefault="00860CC3" w:rsidP="00A2181C">
            <w:pPr>
              <w:pStyle w:val="ListBullet"/>
              <w:numPr>
                <w:ilvl w:val="0"/>
                <w:numId w:val="3"/>
              </w:numPr>
              <w:ind w:right="170"/>
              <w:rPr>
                <w:color w:val="000000"/>
                <w:szCs w:val="21"/>
                <w:lang w:eastAsia="ja-JP"/>
              </w:rPr>
            </w:pPr>
            <w:r w:rsidRPr="00A2181C">
              <w:rPr>
                <w:color w:val="000000"/>
                <w:szCs w:val="21"/>
                <w:lang w:eastAsia="ja-JP"/>
              </w:rPr>
              <w:t xml:space="preserve">Generalisability to wider population given </w:t>
            </w:r>
            <w:proofErr w:type="gramStart"/>
            <w:r w:rsidRPr="00A2181C">
              <w:rPr>
                <w:color w:val="000000"/>
                <w:szCs w:val="21"/>
                <w:lang w:eastAsia="ja-JP"/>
              </w:rPr>
              <w:t>that immune mediated adverse reactions</w:t>
            </w:r>
            <w:proofErr w:type="gramEnd"/>
            <w:r w:rsidRPr="00A2181C">
              <w:rPr>
                <w:color w:val="000000"/>
                <w:szCs w:val="21"/>
                <w:lang w:eastAsia="ja-JP"/>
              </w:rPr>
              <w:t xml:space="preserve"> in some patients in the clinical trials had delayed recognition and management despite training and the investigator’s brochure.</w:t>
            </w:r>
          </w:p>
        </w:tc>
      </w:tr>
    </w:tbl>
    <w:p w:rsidR="00605AD4" w:rsidRDefault="00605AD4" w:rsidP="003362FC">
      <w:pPr>
        <w:pStyle w:val="Heading4"/>
      </w:pPr>
      <w:r w:rsidRPr="00605AD4">
        <w:lastRenderedPageBreak/>
        <w:t>First round assessment of benefit-risk balance</w:t>
      </w:r>
    </w:p>
    <w:p w:rsidR="009F5F33" w:rsidRPr="0034616A" w:rsidRDefault="009F5F33" w:rsidP="00C41DE4">
      <w:pPr>
        <w:pStyle w:val="Heading5"/>
      </w:pPr>
      <w:r w:rsidRPr="0034616A">
        <w:t>Benefit</w:t>
      </w:r>
      <w:r w:rsidR="00F2324F">
        <w:t>s</w:t>
      </w:r>
    </w:p>
    <w:p w:rsidR="009F5F33" w:rsidRPr="0034616A" w:rsidRDefault="009F5F33" w:rsidP="009F5F33">
      <w:pPr>
        <w:rPr>
          <w:lang w:eastAsia="ja-JP"/>
        </w:rPr>
      </w:pPr>
      <w:r w:rsidRPr="0034616A">
        <w:rPr>
          <w:lang w:eastAsia="ja-JP"/>
        </w:rPr>
        <w:t xml:space="preserve">The main benefit offered by </w:t>
      </w:r>
      <w:proofErr w:type="spellStart"/>
      <w:r w:rsidRPr="0034616A">
        <w:rPr>
          <w:lang w:eastAsia="ja-JP"/>
        </w:rPr>
        <w:t>nivolumab</w:t>
      </w:r>
      <w:proofErr w:type="spellEnd"/>
      <w:r w:rsidRPr="0034616A">
        <w:rPr>
          <w:lang w:eastAsia="ja-JP"/>
        </w:rPr>
        <w:t xml:space="preserve"> in the treatment of patients with relapsed </w:t>
      </w:r>
      <w:proofErr w:type="spellStart"/>
      <w:r w:rsidRPr="0034616A">
        <w:rPr>
          <w:lang w:eastAsia="ja-JP"/>
        </w:rPr>
        <w:t>cHL</w:t>
      </w:r>
      <w:proofErr w:type="spellEnd"/>
      <w:r w:rsidRPr="0034616A">
        <w:rPr>
          <w:lang w:eastAsia="ja-JP"/>
        </w:rPr>
        <w:t xml:space="preserve"> (after ASCT and </w:t>
      </w:r>
      <w:proofErr w:type="spellStart"/>
      <w:r w:rsidRPr="0034616A">
        <w:rPr>
          <w:lang w:eastAsia="ja-JP"/>
        </w:rPr>
        <w:t>brentuximab</w:t>
      </w:r>
      <w:proofErr w:type="spellEnd"/>
      <w:r w:rsidRPr="0034616A">
        <w:rPr>
          <w:lang w:eastAsia="ja-JP"/>
        </w:rPr>
        <w:t xml:space="preserve"> </w:t>
      </w:r>
      <w:proofErr w:type="spellStart"/>
      <w:r w:rsidRPr="0034616A">
        <w:rPr>
          <w:lang w:eastAsia="ja-JP"/>
        </w:rPr>
        <w:t>vedotin</w:t>
      </w:r>
      <w:proofErr w:type="spellEnd"/>
      <w:r w:rsidRPr="0034616A">
        <w:rPr>
          <w:lang w:eastAsia="ja-JP"/>
        </w:rPr>
        <w:t xml:space="preserve">) is an </w:t>
      </w:r>
      <w:r w:rsidR="00C41DE4">
        <w:rPr>
          <w:lang w:eastAsia="ja-JP"/>
        </w:rPr>
        <w:t>ORR</w:t>
      </w:r>
      <w:r w:rsidRPr="0034616A">
        <w:rPr>
          <w:lang w:eastAsia="ja-JP"/>
        </w:rPr>
        <w:t xml:space="preserve"> of 60%. Due to the immaturity of the analysis, it is unknown as to whether this will translate into more meaningful outcome measures su</w:t>
      </w:r>
      <w:r>
        <w:rPr>
          <w:lang w:eastAsia="ja-JP"/>
        </w:rPr>
        <w:t>ch as an increase in PFS or OS.</w:t>
      </w:r>
    </w:p>
    <w:p w:rsidR="009F5F33" w:rsidRPr="0034616A" w:rsidRDefault="009F5F33" w:rsidP="009F5F33">
      <w:pPr>
        <w:rPr>
          <w:lang w:eastAsia="ja-JP"/>
        </w:rPr>
      </w:pPr>
      <w:r w:rsidRPr="0034616A">
        <w:rPr>
          <w:lang w:eastAsia="ja-JP"/>
        </w:rPr>
        <w:t xml:space="preserve">The evaluator notes that </w:t>
      </w:r>
      <w:proofErr w:type="spellStart"/>
      <w:r w:rsidRPr="0034616A">
        <w:rPr>
          <w:lang w:eastAsia="ja-JP"/>
        </w:rPr>
        <w:t>nivolumab</w:t>
      </w:r>
      <w:proofErr w:type="spellEnd"/>
      <w:r w:rsidRPr="0034616A">
        <w:rPr>
          <w:lang w:eastAsia="ja-JP"/>
        </w:rPr>
        <w:t xml:space="preserve"> has received accelerated approval for the proposed indication in the US. However, there is currently no framework for granting conditional/provisional/accelerate</w:t>
      </w:r>
      <w:r>
        <w:rPr>
          <w:lang w:eastAsia="ja-JP"/>
        </w:rPr>
        <w:t>d approval of drugs by the TGA.</w:t>
      </w:r>
    </w:p>
    <w:p w:rsidR="009F5F33" w:rsidRPr="0034616A" w:rsidRDefault="009F5F33" w:rsidP="00C41DE4">
      <w:pPr>
        <w:pStyle w:val="Heading5"/>
      </w:pPr>
      <w:r w:rsidRPr="0034616A">
        <w:t>Risk</w:t>
      </w:r>
      <w:r w:rsidR="00F2324F">
        <w:t>s</w:t>
      </w:r>
    </w:p>
    <w:p w:rsidR="009F5F33" w:rsidRPr="0034616A" w:rsidRDefault="009F5F33" w:rsidP="009F5F33">
      <w:pPr>
        <w:rPr>
          <w:lang w:eastAsia="ja-JP"/>
        </w:rPr>
      </w:pPr>
      <w:r w:rsidRPr="0034616A">
        <w:rPr>
          <w:lang w:eastAsia="ja-JP"/>
        </w:rPr>
        <w:t xml:space="preserve">The main risk is that the reported ORR will not translate into improved PFS or OS. If this is the case, then there will be no benefit and only the risk of AEs due to </w:t>
      </w:r>
      <w:proofErr w:type="spellStart"/>
      <w:r>
        <w:rPr>
          <w:lang w:eastAsia="ja-JP"/>
        </w:rPr>
        <w:t>nivolumab</w:t>
      </w:r>
      <w:proofErr w:type="spellEnd"/>
      <w:r>
        <w:rPr>
          <w:lang w:eastAsia="ja-JP"/>
        </w:rPr>
        <w:t xml:space="preserve"> in patients with </w:t>
      </w:r>
      <w:proofErr w:type="spellStart"/>
      <w:r>
        <w:rPr>
          <w:lang w:eastAsia="ja-JP"/>
        </w:rPr>
        <w:t>cHL.</w:t>
      </w:r>
      <w:proofErr w:type="spellEnd"/>
    </w:p>
    <w:p w:rsidR="009F5F33" w:rsidRPr="0034616A" w:rsidRDefault="009F5F33" w:rsidP="009F5F33">
      <w:pPr>
        <w:rPr>
          <w:lang w:eastAsia="ja-JP"/>
        </w:rPr>
      </w:pPr>
      <w:r w:rsidRPr="0034616A">
        <w:rPr>
          <w:lang w:eastAsia="ja-JP"/>
        </w:rPr>
        <w:t xml:space="preserve">The sponsor proposes that </w:t>
      </w:r>
      <w:proofErr w:type="spellStart"/>
      <w:r w:rsidRPr="0034616A">
        <w:rPr>
          <w:lang w:eastAsia="ja-JP"/>
        </w:rPr>
        <w:t>nivolumab</w:t>
      </w:r>
      <w:proofErr w:type="spellEnd"/>
      <w:r w:rsidRPr="0034616A">
        <w:rPr>
          <w:lang w:eastAsia="ja-JP"/>
        </w:rPr>
        <w:t xml:space="preserve"> be continued until disease progression or unacceptable toxicity. Only the patients in </w:t>
      </w:r>
      <w:r>
        <w:rPr>
          <w:lang w:eastAsia="ja-JP"/>
        </w:rPr>
        <w:t xml:space="preserve">Study </w:t>
      </w:r>
      <w:r w:rsidRPr="0034616A">
        <w:rPr>
          <w:lang w:eastAsia="ja-JP"/>
        </w:rPr>
        <w:t xml:space="preserve">CA209039 completed the course of </w:t>
      </w:r>
      <w:r>
        <w:rPr>
          <w:lang w:eastAsia="ja-JP"/>
        </w:rPr>
        <w:t xml:space="preserve">treatment defined in this way; </w:t>
      </w:r>
      <w:r w:rsidRPr="0034616A">
        <w:rPr>
          <w:lang w:eastAsia="ja-JP"/>
        </w:rPr>
        <w:t>only 3/23 patients were still on treatment after median follow-up of 23 months. At the time of the interim analysis, with median follow-up of 9 months, 51/8</w:t>
      </w:r>
      <w:r>
        <w:rPr>
          <w:lang w:eastAsia="ja-JP"/>
        </w:rPr>
        <w:t>0 patients in Cohort B of Study </w:t>
      </w:r>
      <w:r w:rsidRPr="0034616A">
        <w:rPr>
          <w:lang w:eastAsia="ja-JP"/>
        </w:rPr>
        <w:t>CA209205 were still receiving treatment. Comparison o</w:t>
      </w:r>
      <w:r w:rsidR="00C41DE4">
        <w:rPr>
          <w:lang w:eastAsia="ja-JP"/>
        </w:rPr>
        <w:t>f the rates of AEs across the two</w:t>
      </w:r>
      <w:r w:rsidRPr="0034616A">
        <w:rPr>
          <w:lang w:eastAsia="ja-JP"/>
        </w:rPr>
        <w:t xml:space="preserve"> </w:t>
      </w:r>
      <w:proofErr w:type="spellStart"/>
      <w:r w:rsidRPr="0034616A">
        <w:rPr>
          <w:lang w:eastAsia="ja-JP"/>
        </w:rPr>
        <w:t>cHL</w:t>
      </w:r>
      <w:proofErr w:type="spellEnd"/>
      <w:r w:rsidRPr="0034616A">
        <w:rPr>
          <w:lang w:eastAsia="ja-JP"/>
        </w:rPr>
        <w:t xml:space="preserve"> studies </w:t>
      </w:r>
      <w:r w:rsidR="00F2324F">
        <w:rPr>
          <w:lang w:eastAsia="ja-JP"/>
        </w:rPr>
        <w:t>and within the cohorts of Study </w:t>
      </w:r>
      <w:r w:rsidRPr="0034616A">
        <w:rPr>
          <w:lang w:eastAsia="ja-JP"/>
        </w:rPr>
        <w:t>CA209205 has shown that these rates increase substantially as the du</w:t>
      </w:r>
      <w:r>
        <w:rPr>
          <w:lang w:eastAsia="ja-JP"/>
        </w:rPr>
        <w:t xml:space="preserve">ration of treatment increases. </w:t>
      </w:r>
      <w:r w:rsidRPr="0034616A">
        <w:rPr>
          <w:lang w:eastAsia="ja-JP"/>
        </w:rPr>
        <w:t>Determining a safety profile that can be generalised to the proposed target population requires more mature safety results in a larger group of patients than has been provided by the sponsor. These concerns may be resolved by the provision of updated safety information from Study CA209205.</w:t>
      </w:r>
    </w:p>
    <w:p w:rsidR="009F5F33" w:rsidRPr="009F5F33" w:rsidRDefault="009F5F33" w:rsidP="009F5F33">
      <w:pPr>
        <w:rPr>
          <w:lang w:eastAsia="ja-JP"/>
        </w:rPr>
      </w:pPr>
      <w:r w:rsidRPr="0034616A">
        <w:rPr>
          <w:lang w:eastAsia="ja-JP"/>
        </w:rPr>
        <w:t xml:space="preserve">The benefit-risk balance of </w:t>
      </w:r>
      <w:proofErr w:type="spellStart"/>
      <w:r w:rsidRPr="0034616A">
        <w:rPr>
          <w:lang w:eastAsia="ja-JP"/>
        </w:rPr>
        <w:t>nivolumab</w:t>
      </w:r>
      <w:proofErr w:type="spellEnd"/>
      <w:r w:rsidRPr="0034616A">
        <w:rPr>
          <w:lang w:eastAsia="ja-JP"/>
        </w:rPr>
        <w:t>, given the proposed usage, is undeterminable at this time.</w:t>
      </w:r>
    </w:p>
    <w:p w:rsidR="00605AD4" w:rsidRDefault="00605AD4" w:rsidP="003362FC">
      <w:pPr>
        <w:pStyle w:val="Heading3"/>
        <w:rPr>
          <w:rFonts w:eastAsia="Cambria"/>
        </w:rPr>
      </w:pPr>
      <w:bookmarkStart w:id="83" w:name="_Toc497992245"/>
      <w:r w:rsidRPr="00605AD4">
        <w:rPr>
          <w:rFonts w:eastAsia="Cambria"/>
        </w:rPr>
        <w:lastRenderedPageBreak/>
        <w:t>First Round Recommendation Regarding Authorisation</w:t>
      </w:r>
      <w:bookmarkEnd w:id="83"/>
    </w:p>
    <w:p w:rsidR="00C41DE4" w:rsidRPr="00C41DE4" w:rsidRDefault="00C41DE4" w:rsidP="00C41DE4">
      <w:r w:rsidRPr="00C41DE4">
        <w:t xml:space="preserve">This </w:t>
      </w:r>
      <w:r w:rsidR="00FF7E7D">
        <w:t xml:space="preserve">clinical </w:t>
      </w:r>
      <w:r w:rsidRPr="00C41DE4">
        <w:t>evaluator is unable to make a recommendation at this time.</w:t>
      </w:r>
    </w:p>
    <w:p w:rsidR="00C41DE4" w:rsidRPr="00C41DE4" w:rsidRDefault="00C41DE4" w:rsidP="00C41DE4">
      <w:pPr>
        <w:pStyle w:val="Heading4"/>
      </w:pPr>
      <w:r w:rsidRPr="00C41DE4">
        <w:t>Issues</w:t>
      </w:r>
    </w:p>
    <w:p w:rsidR="00C41DE4" w:rsidRPr="00C41DE4" w:rsidRDefault="00C41DE4" w:rsidP="00C41DE4">
      <w:pPr>
        <w:pStyle w:val="Heading5"/>
      </w:pPr>
      <w:r w:rsidRPr="00C41DE4">
        <w:t>Efficacy</w:t>
      </w:r>
    </w:p>
    <w:p w:rsidR="00C41DE4" w:rsidRPr="00C41DE4" w:rsidRDefault="00C41DE4" w:rsidP="00C41DE4">
      <w:r w:rsidRPr="00C41DE4">
        <w:t>The evidence provided by the sponsor is of early analyses of two early phase studies (of 15 and 80 patients respectively), with immature results for the meaningful outcome measures of PFS and OS. The end-point of a consistent ORR of 60% across the two studies is encouraging but the very low CR rate is concerning.</w:t>
      </w:r>
    </w:p>
    <w:p w:rsidR="00C41DE4" w:rsidRPr="00C41DE4" w:rsidRDefault="00C41DE4" w:rsidP="00C41DE4">
      <w:r w:rsidRPr="00C41DE4">
        <w:t>The evaluator has also expressed concern regarding study conduct at two sites, on the basis of disproportionate numbers of relevant and significant protocol deviations and disproportionate reporting of the AE of infusion related reactions.</w:t>
      </w:r>
    </w:p>
    <w:p w:rsidR="00C41DE4" w:rsidRPr="00C41DE4" w:rsidRDefault="00C41DE4" w:rsidP="00C41DE4">
      <w:r w:rsidRPr="00C41DE4">
        <w:t xml:space="preserve">The evaluator notes that </w:t>
      </w:r>
      <w:proofErr w:type="spellStart"/>
      <w:r w:rsidRPr="00C41DE4">
        <w:t>nivolumab</w:t>
      </w:r>
      <w:proofErr w:type="spellEnd"/>
      <w:r w:rsidRPr="00C41DE4">
        <w:t xml:space="preserve"> has received accelerated approval for the proposed indication in the US. However, there is currently no framework for granting conditional/provisional/accelerated approval of drugs by the TGA.</w:t>
      </w:r>
    </w:p>
    <w:p w:rsidR="00C41DE4" w:rsidRPr="00C41DE4" w:rsidRDefault="00C41DE4" w:rsidP="00C41DE4">
      <w:r w:rsidRPr="00C41DE4">
        <w:t xml:space="preserve">The evaluator requests updated data regarding efficacy of </w:t>
      </w:r>
      <w:proofErr w:type="spellStart"/>
      <w:r w:rsidRPr="00C41DE4">
        <w:t>nivolumab</w:t>
      </w:r>
      <w:proofErr w:type="spellEnd"/>
      <w:r w:rsidRPr="00C41DE4">
        <w:t xml:space="preserve"> in Cohort B of Study CA209205 and a more comprehensive discussion of the clinical relevance of this to assist in determining efficacy. The evaluator also has a number of other questions regarding efficacy, the sponsor’s responses to these questions will further assist in the assessment of efficacy.</w:t>
      </w:r>
    </w:p>
    <w:p w:rsidR="00C41DE4" w:rsidRPr="00C41DE4" w:rsidRDefault="00C41DE4" w:rsidP="00C41DE4">
      <w:pPr>
        <w:tabs>
          <w:tab w:val="num" w:pos="1134"/>
        </w:tabs>
        <w:rPr>
          <w:b/>
          <w:bCs/>
        </w:rPr>
      </w:pPr>
      <w:r w:rsidRPr="00C41DE4">
        <w:rPr>
          <w:b/>
          <w:bCs/>
        </w:rPr>
        <w:t>Safety</w:t>
      </w:r>
    </w:p>
    <w:p w:rsidR="00C41DE4" w:rsidRPr="00C41DE4" w:rsidRDefault="00C41DE4" w:rsidP="00C41DE4">
      <w:r w:rsidRPr="00C41DE4">
        <w:t xml:space="preserve">The analysis of safety presented by the sponsor is problematic as it includes patients recently enrolled into other cohorts of Study CA209205 and who have received few </w:t>
      </w:r>
      <w:proofErr w:type="spellStart"/>
      <w:r w:rsidRPr="00C41DE4">
        <w:t>nivolumab</w:t>
      </w:r>
      <w:proofErr w:type="spellEnd"/>
      <w:r w:rsidRPr="00C41DE4">
        <w:t xml:space="preserve"> treatments. However, within the limitations of the patient numbers and varying durations of therapy, </w:t>
      </w:r>
      <w:proofErr w:type="spellStart"/>
      <w:r w:rsidRPr="00C41DE4">
        <w:t>nivolumab</w:t>
      </w:r>
      <w:proofErr w:type="spellEnd"/>
      <w:r w:rsidRPr="00C41DE4">
        <w:t xml:space="preserve"> treatment appears to be well tolerated although there were 2 deaths attributed to </w:t>
      </w:r>
      <w:proofErr w:type="spellStart"/>
      <w:r w:rsidRPr="00C41DE4">
        <w:t>nivolumab</w:t>
      </w:r>
      <w:proofErr w:type="spellEnd"/>
      <w:r w:rsidRPr="00C41DE4">
        <w:t xml:space="preserve"> toxicity (in 263 </w:t>
      </w:r>
      <w:proofErr w:type="spellStart"/>
      <w:r w:rsidRPr="00C41DE4">
        <w:t>cHL</w:t>
      </w:r>
      <w:proofErr w:type="spellEnd"/>
      <w:r w:rsidRPr="00C41DE4">
        <w:t xml:space="preserve"> patients).</w:t>
      </w:r>
    </w:p>
    <w:p w:rsidR="00C41DE4" w:rsidRPr="00C41DE4" w:rsidRDefault="00C41DE4" w:rsidP="00C41DE4">
      <w:r w:rsidRPr="00C41DE4">
        <w:t>However, there is uncertainty regarding the rate of AEs/SAEs with longer duration therapy, the reported</w:t>
      </w:r>
      <w:r w:rsidR="00F2324F">
        <w:t xml:space="preserve"> rates were higher in the ASCT-</w:t>
      </w:r>
      <w:proofErr w:type="spellStart"/>
      <w:r w:rsidR="00F2324F">
        <w:t>bren</w:t>
      </w:r>
      <w:proofErr w:type="spellEnd"/>
      <w:r w:rsidR="00F2324F">
        <w:t xml:space="preserve"> f</w:t>
      </w:r>
      <w:r w:rsidRPr="00C41DE4">
        <w:t>ailed group of patients, almost all of whom had discontinued treatment after a median follow-up of 23 months. At the time of the interim analysis of Cohort B, the median duration of follow-up was 9 months with 64% of patients were continuing on treatment. More mature safety results from Cohort B would enable determining the rate of AEs/SAEs with longer durations of therapy.</w:t>
      </w:r>
    </w:p>
    <w:p w:rsidR="00C41DE4" w:rsidRPr="00C41DE4" w:rsidRDefault="00C41DE4" w:rsidP="00C41DE4">
      <w:r w:rsidRPr="00C41DE4">
        <w:t xml:space="preserve">There is also uncertainty regarding whether the safety of </w:t>
      </w:r>
      <w:proofErr w:type="spellStart"/>
      <w:r w:rsidRPr="00C41DE4">
        <w:t>nivolumab</w:t>
      </w:r>
      <w:proofErr w:type="spellEnd"/>
      <w:r w:rsidRPr="00C41DE4">
        <w:t xml:space="preserve"> monotherapy is comparable to that reported with other tumour types. The duration of </w:t>
      </w:r>
      <w:proofErr w:type="spellStart"/>
      <w:r w:rsidRPr="00C41DE4">
        <w:t>nivolumab</w:t>
      </w:r>
      <w:proofErr w:type="spellEnd"/>
      <w:r w:rsidRPr="00C41DE4">
        <w:t xml:space="preserve"> treatment appears to be considerably longer in patients with </w:t>
      </w:r>
      <w:proofErr w:type="spellStart"/>
      <w:r w:rsidRPr="00C41DE4">
        <w:t>cHL</w:t>
      </w:r>
      <w:proofErr w:type="spellEnd"/>
      <w:r w:rsidRPr="00C41DE4">
        <w:t xml:space="preserve"> (on the basis of the median number of doses) and some data suggests higher rates of Grade 3 or 4 AEs and SAEs in the </w:t>
      </w:r>
      <w:proofErr w:type="spellStart"/>
      <w:r w:rsidRPr="00C41DE4">
        <w:t>cHL</w:t>
      </w:r>
      <w:proofErr w:type="spellEnd"/>
      <w:r w:rsidRPr="00C41DE4">
        <w:t xml:space="preserve"> group. Also of note is the apparently different PK of </w:t>
      </w:r>
      <w:proofErr w:type="spellStart"/>
      <w:r w:rsidRPr="00C41DE4">
        <w:t>nivolumab</w:t>
      </w:r>
      <w:proofErr w:type="spellEnd"/>
      <w:r w:rsidRPr="00C41DE4">
        <w:t xml:space="preserve"> in patients with </w:t>
      </w:r>
      <w:proofErr w:type="spellStart"/>
      <w:r w:rsidRPr="00C41DE4">
        <w:t>cHL</w:t>
      </w:r>
      <w:proofErr w:type="spellEnd"/>
      <w:r w:rsidRPr="00C41DE4">
        <w:t>, with decreased clear</w:t>
      </w:r>
      <w:r w:rsidR="00965DAA">
        <w:t>ance resulting in a longer half</w:t>
      </w:r>
      <w:r w:rsidR="00E34FE9">
        <w:t>-</w:t>
      </w:r>
      <w:r w:rsidRPr="00C41DE4">
        <w:t xml:space="preserve">life and increased exposure (according to </w:t>
      </w:r>
      <w:proofErr w:type="spellStart"/>
      <w:r w:rsidRPr="00C41DE4">
        <w:t>C</w:t>
      </w:r>
      <w:r w:rsidRPr="00C41DE4">
        <w:rPr>
          <w:vertAlign w:val="subscript"/>
        </w:rPr>
        <w:t>avg</w:t>
      </w:r>
      <w:proofErr w:type="gramStart"/>
      <w:r w:rsidR="003E29AB">
        <w:rPr>
          <w:vertAlign w:val="subscript"/>
        </w:rPr>
        <w:t>,</w:t>
      </w:r>
      <w:r w:rsidRPr="00C41DE4">
        <w:rPr>
          <w:vertAlign w:val="subscript"/>
        </w:rPr>
        <w:t>ss</w:t>
      </w:r>
      <w:proofErr w:type="spellEnd"/>
      <w:proofErr w:type="gramEnd"/>
      <w:r w:rsidRPr="00C41DE4">
        <w:t xml:space="preserve">). Patients with </w:t>
      </w:r>
      <w:proofErr w:type="spellStart"/>
      <w:r w:rsidRPr="00C41DE4">
        <w:t>cHL</w:t>
      </w:r>
      <w:proofErr w:type="spellEnd"/>
      <w:r w:rsidRPr="00C41DE4">
        <w:t xml:space="preserve"> may experience a higher rate of AEs/SAEs due to both longer duration of treatment and progressively increasing serum concentration.</w:t>
      </w:r>
    </w:p>
    <w:p w:rsidR="00C41DE4" w:rsidRPr="00C41DE4" w:rsidRDefault="00C41DE4" w:rsidP="00C41DE4">
      <w:r w:rsidRPr="00C41DE4">
        <w:t xml:space="preserve">Immune mediated adverse reactions are a major concern with </w:t>
      </w:r>
      <w:proofErr w:type="spellStart"/>
      <w:r w:rsidRPr="00C41DE4">
        <w:t>nivolumab</w:t>
      </w:r>
      <w:proofErr w:type="spellEnd"/>
      <w:r w:rsidRPr="00C41DE4">
        <w:t>. These represent a new type of adverse drug reaction and are notable for their non-specific presentations with a high degree of vigilance and pro-active monitoring required for their detection. Early detection and management by dose delay ± immunosuppressive treatment is believed to improve outcome. The narratives provided by the sponsor indicate that even in the closely monitored setting of the clinical st</w:t>
      </w:r>
      <w:r w:rsidR="003E29AB">
        <w:t>udy and with an Investigator’s B</w:t>
      </w:r>
      <w:r w:rsidRPr="00C41DE4">
        <w:t xml:space="preserve">rochure to provide assistance, there </w:t>
      </w:r>
      <w:r w:rsidR="003E29AB">
        <w:t xml:space="preserve">were patients in whom an immune </w:t>
      </w:r>
      <w:r w:rsidRPr="00C41DE4">
        <w:t xml:space="preserve">mediated condition did not appear to be considered, with delayed commencement of immunosuppressive treatment and possible worse outcome. There also appeared to be some haphazard administration of </w:t>
      </w:r>
      <w:r w:rsidRPr="00C41DE4">
        <w:lastRenderedPageBreak/>
        <w:t>corticosteroids for these conditions. This raises considerable concerns regarding the safety that may be achieved outside clinical trials.</w:t>
      </w:r>
    </w:p>
    <w:p w:rsidR="00C41DE4" w:rsidRPr="00C41DE4" w:rsidRDefault="00C41DE4" w:rsidP="00C41DE4">
      <w:r w:rsidRPr="00C41DE4">
        <w:t xml:space="preserve">The evaluator requests updated data regarding safety of </w:t>
      </w:r>
      <w:proofErr w:type="spellStart"/>
      <w:r w:rsidRPr="00C41DE4">
        <w:t>nivolumab</w:t>
      </w:r>
      <w:proofErr w:type="spellEnd"/>
      <w:r w:rsidRPr="00C41DE4">
        <w:t xml:space="preserve"> in Cohort B of Study CA209205, and Cohorts A and C, together with an updated comparison to other tumour types to assist in determining safety of </w:t>
      </w:r>
      <w:proofErr w:type="spellStart"/>
      <w:r w:rsidRPr="00C41DE4">
        <w:t>nivolumab</w:t>
      </w:r>
      <w:proofErr w:type="spellEnd"/>
      <w:r w:rsidRPr="00C41DE4">
        <w:t xml:space="preserve"> for the proposed usage. The evaluator also has a number of other questions regarding </w:t>
      </w:r>
      <w:proofErr w:type="gramStart"/>
      <w:r w:rsidRPr="00C41DE4">
        <w:t>safety,</w:t>
      </w:r>
      <w:proofErr w:type="gramEnd"/>
      <w:r w:rsidRPr="00C41DE4">
        <w:t xml:space="preserve"> the sponsor’s responses to these questions will further assist in the assessment of safety.</w:t>
      </w:r>
    </w:p>
    <w:p w:rsidR="00605AD4" w:rsidRDefault="00605AD4" w:rsidP="003362FC">
      <w:pPr>
        <w:pStyle w:val="Heading3"/>
        <w:rPr>
          <w:rFonts w:eastAsia="Cambria"/>
        </w:rPr>
      </w:pPr>
      <w:bookmarkStart w:id="84" w:name="_Toc497992246"/>
      <w:r w:rsidRPr="00605AD4">
        <w:rPr>
          <w:rFonts w:eastAsia="Cambria"/>
        </w:rPr>
        <w:t>Clinical Questions</w:t>
      </w:r>
      <w:bookmarkEnd w:id="84"/>
    </w:p>
    <w:p w:rsidR="003E29AB" w:rsidRPr="003E29AB" w:rsidRDefault="003E29AB" w:rsidP="003E29AB">
      <w:r>
        <w:t>For details of the clinical evaluator’s questions, sponsor’s responses, and the evaluation of these responses please see Attachment 2.</w:t>
      </w:r>
    </w:p>
    <w:p w:rsidR="00605AD4" w:rsidRDefault="00605AD4" w:rsidP="00546154">
      <w:pPr>
        <w:pStyle w:val="Heading3"/>
        <w:rPr>
          <w:rFonts w:eastAsia="Cambria"/>
        </w:rPr>
      </w:pPr>
      <w:bookmarkStart w:id="85" w:name="_Toc497992247"/>
      <w:r w:rsidRPr="00605AD4">
        <w:rPr>
          <w:rFonts w:eastAsia="Cambria"/>
        </w:rPr>
        <w:t>Second Round Benefit-Risk Assessment</w:t>
      </w:r>
      <w:bookmarkEnd w:id="85"/>
    </w:p>
    <w:p w:rsidR="00A744C8" w:rsidRPr="00A744C8" w:rsidRDefault="00A744C8" w:rsidP="00A744C8">
      <w:pPr>
        <w:pStyle w:val="Heading4"/>
      </w:pPr>
      <w:r>
        <w:t>Second round assessment of benefits</w:t>
      </w:r>
    </w:p>
    <w:p w:rsidR="00A744C8" w:rsidRDefault="00A744C8" w:rsidP="00A744C8">
      <w:pPr>
        <w:rPr>
          <w:lang w:eastAsia="ja-JP"/>
        </w:rPr>
      </w:pPr>
      <w:r w:rsidRPr="009D4CE3">
        <w:rPr>
          <w:lang w:eastAsia="ja-JP"/>
        </w:rPr>
        <w:t xml:space="preserve">Substantial new clinical information has been presented. The sponsor’s responses to clinical questions </w:t>
      </w:r>
      <w:r w:rsidR="009253D4">
        <w:rPr>
          <w:lang w:eastAsia="ja-JP"/>
        </w:rPr>
        <w:t xml:space="preserve">(see Attachment 2) </w:t>
      </w:r>
      <w:r w:rsidRPr="009D4CE3">
        <w:rPr>
          <w:lang w:eastAsia="ja-JP"/>
        </w:rPr>
        <w:t xml:space="preserve">have provided updated efficacy and safety data over a longer period of follow-up with </w:t>
      </w:r>
      <w:r w:rsidR="002029E5">
        <w:rPr>
          <w:lang w:eastAsia="ja-JP"/>
        </w:rPr>
        <w:t>DBL</w:t>
      </w:r>
      <w:r w:rsidRPr="009D4CE3">
        <w:rPr>
          <w:lang w:eastAsia="ja-JP"/>
        </w:rPr>
        <w:t xml:space="preserve"> of February 2016 for Study CA209205 (median 15.44 months compared to median 8.9 months). However, it is concerning that the data from a subsequent DBL in June 2016 for Study CA209205 has not been used to provide the requested updated efficacy analysis. It is also concerning that the requested updated PFS and OS analysis for Study </w:t>
      </w:r>
      <w:r>
        <w:rPr>
          <w:lang w:eastAsia="ja-JP"/>
        </w:rPr>
        <w:t>C</w:t>
      </w:r>
      <w:r w:rsidRPr="009D4CE3">
        <w:rPr>
          <w:lang w:eastAsia="ja-JP"/>
        </w:rPr>
        <w:t>A209039 was not provided (noting that the study protocol indicates that follow-up is to continue for 5 years).</w:t>
      </w:r>
    </w:p>
    <w:p w:rsidR="009253D4" w:rsidRDefault="009253D4" w:rsidP="00A744C8">
      <w:r>
        <w:t>A summary of the clinical evaluator’s second round assessment of benefits, along with the strengths and uncertainties of the evidence for those benefits for the first and second parts of the proposed i</w:t>
      </w:r>
      <w:r w:rsidR="00003527">
        <w:t>ndication are shown in Tables 14 and 15</w:t>
      </w:r>
      <w:r>
        <w:t xml:space="preserve"> respectively.</w:t>
      </w:r>
    </w:p>
    <w:p w:rsidR="00A744C8" w:rsidRPr="005655C5" w:rsidRDefault="002029E5" w:rsidP="00A744C8">
      <w:pPr>
        <w:pStyle w:val="Tabletitle0"/>
      </w:pPr>
      <w:proofErr w:type="gramStart"/>
      <w:r>
        <w:t xml:space="preserve">Table </w:t>
      </w:r>
      <w:r w:rsidR="00003527">
        <w:t>14</w:t>
      </w:r>
      <w:r w:rsidR="00A744C8">
        <w:t>.</w:t>
      </w:r>
      <w:proofErr w:type="gramEnd"/>
      <w:r w:rsidR="00A744C8">
        <w:t xml:space="preserve"> Second round assessment of benefits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14 is a list of the second round of assessment of benefits"/>
      </w:tblPr>
      <w:tblGrid>
        <w:gridCol w:w="4336"/>
        <w:gridCol w:w="4934"/>
      </w:tblGrid>
      <w:tr w:rsidR="00A744C8" w:rsidRPr="009D4CE3" w:rsidTr="00A2181C">
        <w:trPr>
          <w:tblHeader/>
        </w:trPr>
        <w:tc>
          <w:tcPr>
            <w:tcW w:w="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006DA7"/>
            <w:hideMark/>
          </w:tcPr>
          <w:p w:rsidR="00A744C8" w:rsidRPr="00A2181C" w:rsidRDefault="00A744C8" w:rsidP="00A2181C">
            <w:pPr>
              <w:keepNext/>
              <w:ind w:left="170" w:right="170"/>
              <w:rPr>
                <w:b/>
                <w:color w:val="FFFFFF"/>
                <w:szCs w:val="21"/>
                <w:lang w:eastAsia="ja-JP"/>
              </w:rPr>
            </w:pPr>
            <w:r w:rsidRPr="00A2181C">
              <w:rPr>
                <w:b/>
                <w:color w:val="FFFFFF"/>
                <w:szCs w:val="21"/>
                <w:lang w:eastAsia="ja-JP"/>
              </w:rPr>
              <w:t xml:space="preserve">Indication: </w:t>
            </w:r>
            <w:r w:rsidRPr="000F1DDC">
              <w:rPr>
                <w:i/>
                <w:color w:val="FFFFFF"/>
                <w:szCs w:val="21"/>
                <w:lang w:eastAsia="ja-JP"/>
              </w:rPr>
              <w:t>‘</w:t>
            </w:r>
            <w:proofErr w:type="spellStart"/>
            <w:r w:rsidRPr="000F1DDC">
              <w:rPr>
                <w:i/>
                <w:iCs/>
                <w:color w:val="FFFFFF"/>
                <w:szCs w:val="21"/>
                <w:lang w:eastAsia="ja-JP"/>
              </w:rPr>
              <w:t>Opdivo</w:t>
            </w:r>
            <w:proofErr w:type="spellEnd"/>
            <w:r w:rsidRPr="000F1DDC">
              <w:rPr>
                <w:i/>
                <w:iCs/>
                <w:color w:val="FFFFFF"/>
                <w:szCs w:val="21"/>
                <w:lang w:eastAsia="ja-JP"/>
              </w:rPr>
              <w:t>, as monotherapy is indicated for the treatment of patients with relapsed or refractory classical Hodgkin lymphoma (</w:t>
            </w:r>
            <w:proofErr w:type="spellStart"/>
            <w:r w:rsidRPr="000F1DDC">
              <w:rPr>
                <w:i/>
                <w:iCs/>
                <w:color w:val="FFFFFF"/>
                <w:szCs w:val="21"/>
                <w:lang w:eastAsia="ja-JP"/>
              </w:rPr>
              <w:t>cHL</w:t>
            </w:r>
            <w:proofErr w:type="spellEnd"/>
            <w:r w:rsidRPr="000F1DDC">
              <w:rPr>
                <w:i/>
                <w:iCs/>
                <w:color w:val="FFFFFF"/>
                <w:szCs w:val="21"/>
                <w:lang w:eastAsia="ja-JP"/>
              </w:rPr>
              <w:t xml:space="preserve">) following autologous stem cell transplant (ASCT) and treatment with </w:t>
            </w:r>
            <w:proofErr w:type="spellStart"/>
            <w:r w:rsidRPr="000F1DDC">
              <w:rPr>
                <w:i/>
                <w:iCs/>
                <w:color w:val="FFFFFF"/>
                <w:szCs w:val="21"/>
                <w:lang w:eastAsia="ja-JP"/>
              </w:rPr>
              <w:t>brentuximab</w:t>
            </w:r>
            <w:proofErr w:type="spellEnd"/>
            <w:r w:rsidRPr="000F1DDC">
              <w:rPr>
                <w:i/>
                <w:iCs/>
                <w:color w:val="FFFFFF"/>
                <w:szCs w:val="21"/>
                <w:lang w:eastAsia="ja-JP"/>
              </w:rPr>
              <w:t xml:space="preserve"> </w:t>
            </w:r>
            <w:proofErr w:type="spellStart"/>
            <w:r w:rsidRPr="000F1DDC">
              <w:rPr>
                <w:i/>
                <w:iCs/>
                <w:color w:val="FFFFFF"/>
                <w:szCs w:val="21"/>
                <w:lang w:eastAsia="ja-JP"/>
              </w:rPr>
              <w:t>vedotin</w:t>
            </w:r>
            <w:proofErr w:type="spellEnd"/>
            <w:r w:rsidRPr="000F1DDC">
              <w:rPr>
                <w:i/>
                <w:iCs/>
                <w:color w:val="FFFFFF"/>
                <w:szCs w:val="21"/>
                <w:lang w:eastAsia="ja-JP"/>
              </w:rPr>
              <w:t>.’</w:t>
            </w:r>
          </w:p>
        </w:tc>
      </w:tr>
      <w:tr w:rsidR="00A744C8" w:rsidRPr="009D4CE3" w:rsidTr="00A2181C">
        <w:tc>
          <w:tcPr>
            <w:tcW w:w="0" w:type="dxa"/>
            <w:shd w:val="clear" w:color="auto" w:fill="auto"/>
            <w:hideMark/>
          </w:tcPr>
          <w:p w:rsidR="00A744C8" w:rsidRPr="00A2181C" w:rsidRDefault="00A744C8" w:rsidP="00A2181C">
            <w:pPr>
              <w:ind w:left="170" w:right="170"/>
              <w:rPr>
                <w:b/>
                <w:color w:val="000000"/>
                <w:szCs w:val="21"/>
                <w:lang w:eastAsia="ja-JP"/>
              </w:rPr>
            </w:pPr>
            <w:r w:rsidRPr="00A2181C">
              <w:rPr>
                <w:b/>
                <w:color w:val="000000"/>
                <w:szCs w:val="21"/>
                <w:lang w:eastAsia="ja-JP"/>
              </w:rPr>
              <w:t>Benefits</w:t>
            </w:r>
          </w:p>
        </w:tc>
        <w:tc>
          <w:tcPr>
            <w:tcW w:w="0" w:type="dxa"/>
            <w:shd w:val="clear" w:color="auto" w:fill="auto"/>
            <w:hideMark/>
          </w:tcPr>
          <w:p w:rsidR="00A744C8" w:rsidRPr="00A2181C" w:rsidRDefault="00A744C8" w:rsidP="00A2181C">
            <w:pPr>
              <w:ind w:left="170" w:right="170"/>
              <w:rPr>
                <w:b/>
                <w:color w:val="000000"/>
                <w:szCs w:val="21"/>
                <w:lang w:eastAsia="ja-JP"/>
              </w:rPr>
            </w:pPr>
            <w:r w:rsidRPr="00A2181C">
              <w:rPr>
                <w:b/>
                <w:color w:val="000000"/>
                <w:szCs w:val="21"/>
                <w:lang w:eastAsia="ja-JP"/>
              </w:rPr>
              <w:t>Strengths and Uncertainties</w:t>
            </w:r>
          </w:p>
        </w:tc>
      </w:tr>
      <w:tr w:rsidR="00A744C8" w:rsidRPr="009D4CE3" w:rsidTr="00A2181C">
        <w:tc>
          <w:tcPr>
            <w:tcW w:w="0" w:type="dxa"/>
            <w:shd w:val="clear" w:color="auto" w:fill="auto"/>
            <w:hideMark/>
          </w:tcPr>
          <w:p w:rsidR="00A744C8" w:rsidRPr="00A2181C" w:rsidRDefault="00A744C8" w:rsidP="00A2181C">
            <w:pPr>
              <w:ind w:left="170" w:right="170"/>
              <w:rPr>
                <w:color w:val="000000"/>
                <w:szCs w:val="21"/>
                <w:lang w:eastAsia="ja-JP"/>
              </w:rPr>
            </w:pPr>
            <w:r w:rsidRPr="00A2181C">
              <w:rPr>
                <w:color w:val="000000"/>
                <w:szCs w:val="21"/>
                <w:lang w:eastAsia="ja-JP"/>
              </w:rPr>
              <w:t>Improvement in ORR in Study CA209205 with:</w:t>
            </w:r>
          </w:p>
          <w:p w:rsidR="00A744C8" w:rsidRPr="00A2181C" w:rsidRDefault="00A744C8" w:rsidP="00A2181C">
            <w:pPr>
              <w:pStyle w:val="ListBullet"/>
              <w:numPr>
                <w:ilvl w:val="0"/>
                <w:numId w:val="3"/>
              </w:numPr>
              <w:ind w:right="170"/>
              <w:rPr>
                <w:color w:val="000000"/>
                <w:szCs w:val="21"/>
                <w:lang w:eastAsia="ja-JP"/>
              </w:rPr>
            </w:pPr>
            <w:r w:rsidRPr="00A2181C">
              <w:rPr>
                <w:color w:val="000000"/>
                <w:szCs w:val="21"/>
                <w:lang w:eastAsia="ja-JP"/>
              </w:rPr>
              <w:t>ORR per IRRC = 53/80, 66.3% (95% CI 54.8, 76.4)</w:t>
            </w:r>
          </w:p>
          <w:p w:rsidR="00A744C8" w:rsidRPr="00A2181C" w:rsidRDefault="00A744C8" w:rsidP="00A2181C">
            <w:pPr>
              <w:pStyle w:val="ListBullet2"/>
              <w:numPr>
                <w:ilvl w:val="1"/>
                <w:numId w:val="3"/>
              </w:numPr>
              <w:ind w:right="170"/>
              <w:rPr>
                <w:color w:val="000000"/>
                <w:szCs w:val="21"/>
                <w:lang w:eastAsia="ja-JP"/>
              </w:rPr>
            </w:pPr>
            <w:r w:rsidRPr="00A2181C">
              <w:rPr>
                <w:color w:val="000000"/>
                <w:szCs w:val="21"/>
                <w:lang w:eastAsia="ja-JP"/>
              </w:rPr>
              <w:t>No with CR = 6/80</w:t>
            </w:r>
          </w:p>
          <w:p w:rsidR="00A744C8" w:rsidRPr="00A2181C" w:rsidRDefault="00A744C8" w:rsidP="00A2181C">
            <w:pPr>
              <w:pStyle w:val="ListBullet2"/>
              <w:numPr>
                <w:ilvl w:val="1"/>
                <w:numId w:val="3"/>
              </w:numPr>
              <w:ind w:right="170"/>
              <w:rPr>
                <w:color w:val="000000"/>
                <w:szCs w:val="21"/>
                <w:lang w:eastAsia="ja-JP"/>
              </w:rPr>
            </w:pPr>
            <w:r w:rsidRPr="00A2181C">
              <w:rPr>
                <w:color w:val="000000"/>
                <w:szCs w:val="21"/>
                <w:lang w:eastAsia="ja-JP"/>
              </w:rPr>
              <w:t>No with PR = 48/80</w:t>
            </w:r>
          </w:p>
          <w:p w:rsidR="00A744C8" w:rsidRPr="00A2181C" w:rsidRDefault="00A744C8" w:rsidP="00A2181C">
            <w:pPr>
              <w:ind w:left="170" w:right="170"/>
              <w:rPr>
                <w:color w:val="000000"/>
                <w:szCs w:val="21"/>
                <w:lang w:eastAsia="ja-JP"/>
              </w:rPr>
            </w:pPr>
            <w:r w:rsidRPr="00A2181C">
              <w:rPr>
                <w:color w:val="000000"/>
                <w:szCs w:val="21"/>
                <w:lang w:eastAsia="ja-JP"/>
              </w:rPr>
              <w:t>With median follow-up of 15.4 months:</w:t>
            </w:r>
          </w:p>
          <w:p w:rsidR="00A744C8" w:rsidRPr="00A2181C" w:rsidRDefault="00A744C8" w:rsidP="00A2181C">
            <w:pPr>
              <w:pStyle w:val="ListBullet"/>
              <w:numPr>
                <w:ilvl w:val="0"/>
                <w:numId w:val="3"/>
              </w:numPr>
              <w:ind w:right="170"/>
              <w:rPr>
                <w:color w:val="000000"/>
                <w:szCs w:val="21"/>
                <w:lang w:eastAsia="ja-JP"/>
              </w:rPr>
            </w:pPr>
            <w:r w:rsidRPr="00A2181C">
              <w:rPr>
                <w:color w:val="000000"/>
                <w:szCs w:val="21"/>
                <w:lang w:eastAsia="ja-JP"/>
              </w:rPr>
              <w:t xml:space="preserve">median duration of response (DOR) per IRRC 13.14 months (95% CI 8.74, NA) </w:t>
            </w:r>
          </w:p>
          <w:p w:rsidR="00A744C8" w:rsidRPr="00A2181C" w:rsidRDefault="00A744C8" w:rsidP="00A2181C">
            <w:pPr>
              <w:pStyle w:val="ListBullet"/>
              <w:numPr>
                <w:ilvl w:val="0"/>
                <w:numId w:val="3"/>
              </w:numPr>
              <w:ind w:right="170"/>
              <w:rPr>
                <w:color w:val="000000"/>
                <w:szCs w:val="21"/>
                <w:lang w:eastAsia="ja-JP"/>
              </w:rPr>
            </w:pPr>
            <w:r w:rsidRPr="00A2181C">
              <w:rPr>
                <w:color w:val="000000"/>
                <w:szCs w:val="21"/>
                <w:lang w:eastAsia="ja-JP"/>
              </w:rPr>
              <w:t>median PFS 14.78 months (95% CI 11.33, NA)</w:t>
            </w:r>
          </w:p>
          <w:p w:rsidR="00A744C8" w:rsidRPr="00A2181C" w:rsidRDefault="00A744C8" w:rsidP="00A2181C">
            <w:pPr>
              <w:pStyle w:val="ListBullet"/>
              <w:numPr>
                <w:ilvl w:val="0"/>
                <w:numId w:val="3"/>
              </w:numPr>
              <w:ind w:right="170"/>
              <w:rPr>
                <w:color w:val="000000"/>
                <w:szCs w:val="21"/>
                <w:lang w:eastAsia="ja-JP"/>
              </w:rPr>
            </w:pPr>
            <w:proofErr w:type="gramStart"/>
            <w:r w:rsidRPr="00A2181C">
              <w:rPr>
                <w:color w:val="000000"/>
                <w:szCs w:val="21"/>
                <w:lang w:eastAsia="ja-JP"/>
              </w:rPr>
              <w:lastRenderedPageBreak/>
              <w:t>median</w:t>
            </w:r>
            <w:proofErr w:type="gramEnd"/>
            <w:r w:rsidRPr="00A2181C">
              <w:rPr>
                <w:color w:val="000000"/>
                <w:szCs w:val="21"/>
                <w:lang w:eastAsia="ja-JP"/>
              </w:rPr>
              <w:t xml:space="preserve"> OS not reached.</w:t>
            </w:r>
          </w:p>
        </w:tc>
        <w:tc>
          <w:tcPr>
            <w:tcW w:w="0" w:type="dxa"/>
            <w:shd w:val="clear" w:color="auto" w:fill="auto"/>
            <w:hideMark/>
          </w:tcPr>
          <w:p w:rsidR="00A744C8" w:rsidRPr="00A2181C" w:rsidRDefault="00A744C8" w:rsidP="00A2181C">
            <w:pPr>
              <w:ind w:left="170" w:right="170"/>
              <w:rPr>
                <w:color w:val="000000"/>
                <w:szCs w:val="21"/>
                <w:lang w:eastAsia="ja-JP"/>
              </w:rPr>
            </w:pPr>
            <w:r w:rsidRPr="00A2181C">
              <w:rPr>
                <w:color w:val="000000"/>
                <w:szCs w:val="21"/>
                <w:lang w:eastAsia="ja-JP"/>
              </w:rPr>
              <w:lastRenderedPageBreak/>
              <w:t>Strength:</w:t>
            </w:r>
          </w:p>
          <w:p w:rsidR="00A744C8" w:rsidRPr="00A2181C" w:rsidRDefault="00A744C8" w:rsidP="00A2181C">
            <w:pPr>
              <w:pStyle w:val="ListBullet"/>
              <w:numPr>
                <w:ilvl w:val="0"/>
                <w:numId w:val="3"/>
              </w:numPr>
              <w:ind w:right="170"/>
              <w:rPr>
                <w:color w:val="000000"/>
                <w:szCs w:val="21"/>
                <w:lang w:eastAsia="ja-JP"/>
              </w:rPr>
            </w:pPr>
            <w:r w:rsidRPr="00A2181C">
              <w:rPr>
                <w:color w:val="000000"/>
                <w:szCs w:val="21"/>
                <w:lang w:eastAsia="ja-JP"/>
              </w:rPr>
              <w:t>Clinically important ORR with promising duration of response.</w:t>
            </w:r>
          </w:p>
          <w:p w:rsidR="00A744C8" w:rsidRPr="00A2181C" w:rsidRDefault="00A744C8" w:rsidP="00A2181C">
            <w:pPr>
              <w:ind w:left="170" w:right="170"/>
              <w:rPr>
                <w:color w:val="000000"/>
                <w:szCs w:val="21"/>
                <w:lang w:eastAsia="ja-JP"/>
              </w:rPr>
            </w:pPr>
            <w:r w:rsidRPr="00A2181C">
              <w:rPr>
                <w:color w:val="000000"/>
                <w:szCs w:val="21"/>
                <w:lang w:eastAsia="ja-JP"/>
              </w:rPr>
              <w:t>Uncertainties:</w:t>
            </w:r>
          </w:p>
          <w:p w:rsidR="00A744C8" w:rsidRPr="00A2181C" w:rsidRDefault="00A744C8" w:rsidP="00A2181C">
            <w:pPr>
              <w:numPr>
                <w:ilvl w:val="0"/>
                <w:numId w:val="30"/>
              </w:numPr>
              <w:ind w:right="170"/>
              <w:rPr>
                <w:color w:val="000000"/>
                <w:szCs w:val="21"/>
                <w:lang w:eastAsia="ja-JP"/>
              </w:rPr>
            </w:pPr>
            <w:r w:rsidRPr="00A2181C">
              <w:rPr>
                <w:color w:val="000000"/>
                <w:szCs w:val="21"/>
                <w:lang w:eastAsia="ja-JP"/>
              </w:rPr>
              <w:t>Study design: Open label, non-comparator study with surrogate end-point and results based on outcomes of 80 patients</w:t>
            </w:r>
          </w:p>
          <w:p w:rsidR="00A744C8" w:rsidRPr="00A2181C" w:rsidRDefault="00A744C8" w:rsidP="00A2181C">
            <w:pPr>
              <w:numPr>
                <w:ilvl w:val="0"/>
                <w:numId w:val="30"/>
              </w:numPr>
              <w:ind w:right="170"/>
              <w:rPr>
                <w:color w:val="000000"/>
                <w:szCs w:val="21"/>
                <w:lang w:eastAsia="ja-JP"/>
              </w:rPr>
            </w:pPr>
            <w:r w:rsidRPr="00A2181C">
              <w:rPr>
                <w:color w:val="000000"/>
                <w:szCs w:val="21"/>
                <w:lang w:eastAsia="ja-JP"/>
              </w:rPr>
              <w:t>Low rate of CR (8.8%). Historically, treatments with high CR rates have had better patient outcomes</w:t>
            </w:r>
          </w:p>
          <w:p w:rsidR="00D2147D" w:rsidRPr="00A2181C" w:rsidRDefault="00A744C8" w:rsidP="00A2181C">
            <w:pPr>
              <w:numPr>
                <w:ilvl w:val="0"/>
                <w:numId w:val="30"/>
              </w:numPr>
              <w:ind w:right="170"/>
              <w:rPr>
                <w:color w:val="000000"/>
                <w:szCs w:val="21"/>
                <w:lang w:eastAsia="ja-JP"/>
              </w:rPr>
            </w:pPr>
            <w:r w:rsidRPr="00A2181C">
              <w:rPr>
                <w:color w:val="000000"/>
                <w:szCs w:val="21"/>
                <w:lang w:eastAsia="ja-JP"/>
              </w:rPr>
              <w:t>Translation to impro</w:t>
            </w:r>
            <w:r w:rsidR="00D2147D" w:rsidRPr="00A2181C">
              <w:rPr>
                <w:color w:val="000000"/>
                <w:szCs w:val="21"/>
                <w:lang w:eastAsia="ja-JP"/>
              </w:rPr>
              <w:t>ved overall survival not known</w:t>
            </w:r>
          </w:p>
          <w:p w:rsidR="00A744C8" w:rsidRPr="00A2181C" w:rsidRDefault="00D2147D" w:rsidP="00A2181C">
            <w:pPr>
              <w:numPr>
                <w:ilvl w:val="0"/>
                <w:numId w:val="30"/>
              </w:numPr>
              <w:ind w:right="170"/>
              <w:rPr>
                <w:color w:val="000000"/>
                <w:szCs w:val="21"/>
                <w:lang w:eastAsia="ja-JP"/>
              </w:rPr>
            </w:pPr>
            <w:r w:rsidRPr="00A2181C">
              <w:rPr>
                <w:color w:val="000000"/>
                <w:szCs w:val="21"/>
                <w:lang w:eastAsia="ja-JP"/>
              </w:rPr>
              <w:lastRenderedPageBreak/>
              <w:t>M</w:t>
            </w:r>
            <w:r w:rsidR="00A744C8" w:rsidRPr="00A2181C">
              <w:rPr>
                <w:color w:val="000000"/>
                <w:szCs w:val="21"/>
                <w:lang w:eastAsia="ja-JP"/>
              </w:rPr>
              <w:t>edian OS not reached during median 15.44 month</w:t>
            </w:r>
            <w:r w:rsidRPr="00A2181C">
              <w:rPr>
                <w:color w:val="000000"/>
                <w:szCs w:val="21"/>
                <w:lang w:eastAsia="ja-JP"/>
              </w:rPr>
              <w:t>s</w:t>
            </w:r>
            <w:r w:rsidR="00A744C8" w:rsidRPr="00A2181C">
              <w:rPr>
                <w:color w:val="000000"/>
                <w:szCs w:val="21"/>
                <w:lang w:eastAsia="ja-JP"/>
              </w:rPr>
              <w:t xml:space="preserve"> follow-up.  Median OS in patients with </w:t>
            </w:r>
            <w:proofErr w:type="spellStart"/>
            <w:r w:rsidR="00A744C8" w:rsidRPr="00A2181C">
              <w:rPr>
                <w:color w:val="000000"/>
                <w:szCs w:val="21"/>
                <w:lang w:eastAsia="ja-JP"/>
              </w:rPr>
              <w:t>cHL</w:t>
            </w:r>
            <w:proofErr w:type="spellEnd"/>
            <w:r w:rsidR="00A744C8" w:rsidRPr="00A2181C">
              <w:rPr>
                <w:color w:val="000000"/>
                <w:szCs w:val="21"/>
                <w:lang w:eastAsia="ja-JP"/>
              </w:rPr>
              <w:t xml:space="preserve"> relapsing after ASCT with current therapies estimated at approximately 2 years.</w:t>
            </w:r>
          </w:p>
        </w:tc>
      </w:tr>
      <w:tr w:rsidR="00A744C8" w:rsidRPr="009D4CE3" w:rsidTr="00A2181C">
        <w:tc>
          <w:tcPr>
            <w:tcW w:w="0" w:type="dxa"/>
            <w:shd w:val="clear" w:color="auto" w:fill="auto"/>
            <w:hideMark/>
          </w:tcPr>
          <w:p w:rsidR="00A744C8" w:rsidRPr="00A2181C" w:rsidRDefault="00A744C8" w:rsidP="00A2181C">
            <w:pPr>
              <w:ind w:left="170" w:right="170"/>
              <w:rPr>
                <w:color w:val="000000"/>
                <w:szCs w:val="21"/>
                <w:lang w:eastAsia="ja-JP"/>
              </w:rPr>
            </w:pPr>
            <w:r w:rsidRPr="00A2181C">
              <w:rPr>
                <w:color w:val="000000"/>
                <w:szCs w:val="21"/>
                <w:lang w:eastAsia="ja-JP"/>
              </w:rPr>
              <w:lastRenderedPageBreak/>
              <w:t>Improvement in ORR in Study CA209039 with:</w:t>
            </w:r>
          </w:p>
          <w:p w:rsidR="00A744C8" w:rsidRPr="00A2181C" w:rsidRDefault="00A744C8" w:rsidP="00A2181C">
            <w:pPr>
              <w:pStyle w:val="ListBullet"/>
              <w:numPr>
                <w:ilvl w:val="0"/>
                <w:numId w:val="3"/>
              </w:numPr>
              <w:ind w:right="170"/>
              <w:rPr>
                <w:color w:val="000000"/>
                <w:szCs w:val="21"/>
                <w:lang w:eastAsia="ja-JP"/>
              </w:rPr>
            </w:pPr>
            <w:r w:rsidRPr="00A2181C">
              <w:rPr>
                <w:color w:val="000000"/>
                <w:szCs w:val="21"/>
                <w:lang w:eastAsia="ja-JP"/>
              </w:rPr>
              <w:t>ORR of 60% in comparable group</w:t>
            </w:r>
          </w:p>
          <w:p w:rsidR="00A744C8" w:rsidRPr="00A2181C" w:rsidRDefault="00A744C8" w:rsidP="00A2181C">
            <w:pPr>
              <w:pStyle w:val="ListBullet2"/>
              <w:numPr>
                <w:ilvl w:val="1"/>
                <w:numId w:val="3"/>
              </w:numPr>
              <w:ind w:right="170"/>
              <w:rPr>
                <w:color w:val="000000"/>
                <w:szCs w:val="21"/>
                <w:lang w:eastAsia="ja-JP"/>
              </w:rPr>
            </w:pPr>
            <w:r w:rsidRPr="00A2181C">
              <w:rPr>
                <w:color w:val="000000"/>
                <w:szCs w:val="21"/>
                <w:lang w:eastAsia="ja-JP"/>
              </w:rPr>
              <w:t>No with CR= 0/15</w:t>
            </w:r>
          </w:p>
          <w:p w:rsidR="00A744C8" w:rsidRPr="00A2181C" w:rsidRDefault="00A744C8" w:rsidP="00A2181C">
            <w:pPr>
              <w:pStyle w:val="ListBullet2"/>
              <w:numPr>
                <w:ilvl w:val="1"/>
                <w:numId w:val="3"/>
              </w:numPr>
              <w:ind w:right="170"/>
              <w:rPr>
                <w:color w:val="000000"/>
                <w:szCs w:val="21"/>
                <w:lang w:eastAsia="ja-JP"/>
              </w:rPr>
            </w:pPr>
            <w:r w:rsidRPr="00A2181C">
              <w:rPr>
                <w:color w:val="000000"/>
                <w:szCs w:val="21"/>
                <w:lang w:eastAsia="ja-JP"/>
              </w:rPr>
              <w:t>No with PR = 9/15</w:t>
            </w:r>
          </w:p>
          <w:p w:rsidR="00A744C8" w:rsidRPr="00A2181C" w:rsidRDefault="00A744C8" w:rsidP="00A2181C">
            <w:pPr>
              <w:pStyle w:val="ListBullet"/>
              <w:numPr>
                <w:ilvl w:val="0"/>
                <w:numId w:val="3"/>
              </w:numPr>
              <w:ind w:right="170"/>
              <w:rPr>
                <w:color w:val="000000"/>
                <w:szCs w:val="21"/>
                <w:lang w:eastAsia="ja-JP"/>
              </w:rPr>
            </w:pPr>
            <w:r w:rsidRPr="00A2181C">
              <w:rPr>
                <w:color w:val="000000"/>
                <w:szCs w:val="21"/>
                <w:lang w:eastAsia="ja-JP"/>
              </w:rPr>
              <w:t>Estimated median duration of response 12 months (95% CI 1.8, NA)</w:t>
            </w:r>
          </w:p>
        </w:tc>
        <w:tc>
          <w:tcPr>
            <w:tcW w:w="0" w:type="dxa"/>
            <w:shd w:val="clear" w:color="auto" w:fill="auto"/>
            <w:hideMark/>
          </w:tcPr>
          <w:p w:rsidR="00A744C8" w:rsidRPr="00A2181C" w:rsidRDefault="00A744C8" w:rsidP="00A2181C">
            <w:pPr>
              <w:ind w:left="170" w:right="170"/>
              <w:rPr>
                <w:color w:val="000000"/>
                <w:szCs w:val="21"/>
                <w:lang w:eastAsia="ja-JP"/>
              </w:rPr>
            </w:pPr>
            <w:r w:rsidRPr="00A2181C">
              <w:rPr>
                <w:color w:val="000000"/>
                <w:szCs w:val="21"/>
                <w:lang w:eastAsia="ja-JP"/>
              </w:rPr>
              <w:t>Strength:</w:t>
            </w:r>
          </w:p>
          <w:p w:rsidR="00A744C8" w:rsidRPr="00A2181C" w:rsidRDefault="00A744C8" w:rsidP="00A2181C">
            <w:pPr>
              <w:numPr>
                <w:ilvl w:val="0"/>
                <w:numId w:val="31"/>
              </w:numPr>
              <w:ind w:right="170"/>
              <w:rPr>
                <w:color w:val="000000"/>
                <w:szCs w:val="21"/>
                <w:lang w:eastAsia="ja-JP"/>
              </w:rPr>
            </w:pPr>
            <w:r w:rsidRPr="00A2181C">
              <w:rPr>
                <w:color w:val="000000"/>
                <w:szCs w:val="21"/>
                <w:lang w:eastAsia="ja-JP"/>
              </w:rPr>
              <w:t>ORR result consistent across the two studies</w:t>
            </w:r>
          </w:p>
          <w:p w:rsidR="00A744C8" w:rsidRPr="00A2181C" w:rsidRDefault="00A744C8" w:rsidP="00A2181C">
            <w:pPr>
              <w:numPr>
                <w:ilvl w:val="0"/>
                <w:numId w:val="31"/>
              </w:numPr>
              <w:ind w:right="170"/>
              <w:rPr>
                <w:color w:val="000000"/>
                <w:szCs w:val="21"/>
                <w:lang w:eastAsia="ja-JP"/>
              </w:rPr>
            </w:pPr>
            <w:r w:rsidRPr="00A2181C">
              <w:rPr>
                <w:color w:val="000000"/>
                <w:szCs w:val="21"/>
                <w:lang w:eastAsia="ja-JP"/>
              </w:rPr>
              <w:t>Estimated median DOR clinically meaningful</w:t>
            </w:r>
          </w:p>
          <w:p w:rsidR="00A744C8" w:rsidRPr="00A2181C" w:rsidRDefault="00A744C8" w:rsidP="00A2181C">
            <w:pPr>
              <w:ind w:left="170" w:right="170"/>
              <w:rPr>
                <w:color w:val="000000"/>
                <w:szCs w:val="21"/>
                <w:lang w:eastAsia="ja-JP"/>
              </w:rPr>
            </w:pPr>
            <w:r w:rsidRPr="00A2181C">
              <w:rPr>
                <w:color w:val="000000"/>
                <w:szCs w:val="21"/>
                <w:lang w:eastAsia="ja-JP"/>
              </w:rPr>
              <w:t>Uncertainties:</w:t>
            </w:r>
          </w:p>
          <w:p w:rsidR="00A744C8" w:rsidRPr="00A2181C" w:rsidRDefault="00A744C8" w:rsidP="00A2181C">
            <w:pPr>
              <w:numPr>
                <w:ilvl w:val="0"/>
                <w:numId w:val="30"/>
              </w:numPr>
              <w:ind w:right="170"/>
              <w:rPr>
                <w:color w:val="000000"/>
                <w:szCs w:val="21"/>
                <w:lang w:eastAsia="ja-JP"/>
              </w:rPr>
            </w:pPr>
            <w:r w:rsidRPr="00A2181C">
              <w:rPr>
                <w:color w:val="000000"/>
                <w:szCs w:val="21"/>
                <w:lang w:eastAsia="ja-JP"/>
              </w:rPr>
              <w:t xml:space="preserve">Open label, non-comparator study with surrogate end-point and results based on a group of 15 patients with </w:t>
            </w:r>
            <w:proofErr w:type="spellStart"/>
            <w:r w:rsidRPr="00A2181C">
              <w:rPr>
                <w:color w:val="000000"/>
                <w:szCs w:val="21"/>
                <w:lang w:eastAsia="ja-JP"/>
              </w:rPr>
              <w:t>cHL</w:t>
            </w:r>
            <w:proofErr w:type="spellEnd"/>
            <w:r w:rsidRPr="00A2181C">
              <w:rPr>
                <w:color w:val="000000"/>
                <w:szCs w:val="21"/>
                <w:lang w:eastAsia="ja-JP"/>
              </w:rPr>
              <w:t xml:space="preserve"> who have received prior ASCT followed by </w:t>
            </w:r>
            <w:proofErr w:type="spellStart"/>
            <w:r w:rsidRPr="00A2181C">
              <w:rPr>
                <w:color w:val="000000"/>
                <w:szCs w:val="21"/>
                <w:lang w:eastAsia="ja-JP"/>
              </w:rPr>
              <w:t>brentuximab</w:t>
            </w:r>
            <w:proofErr w:type="spellEnd"/>
            <w:r w:rsidRPr="00A2181C">
              <w:rPr>
                <w:color w:val="000000"/>
                <w:szCs w:val="21"/>
                <w:lang w:eastAsia="ja-JP"/>
              </w:rPr>
              <w:t xml:space="preserve"> </w:t>
            </w:r>
            <w:proofErr w:type="spellStart"/>
            <w:r w:rsidRPr="00A2181C">
              <w:rPr>
                <w:color w:val="000000"/>
                <w:szCs w:val="21"/>
                <w:lang w:eastAsia="ja-JP"/>
              </w:rPr>
              <w:t>vedotin</w:t>
            </w:r>
            <w:proofErr w:type="spellEnd"/>
            <w:r w:rsidRPr="00A2181C">
              <w:rPr>
                <w:color w:val="000000"/>
                <w:szCs w:val="21"/>
                <w:lang w:eastAsia="ja-JP"/>
              </w:rPr>
              <w:t xml:space="preserve"> who were recruited by chance</w:t>
            </w:r>
          </w:p>
          <w:p w:rsidR="00A744C8" w:rsidRPr="00A2181C" w:rsidRDefault="00A744C8" w:rsidP="00A2181C">
            <w:pPr>
              <w:numPr>
                <w:ilvl w:val="0"/>
                <w:numId w:val="30"/>
              </w:numPr>
              <w:ind w:right="170"/>
              <w:rPr>
                <w:color w:val="000000"/>
                <w:szCs w:val="21"/>
                <w:lang w:eastAsia="ja-JP"/>
              </w:rPr>
            </w:pPr>
            <w:r w:rsidRPr="00A2181C">
              <w:rPr>
                <w:color w:val="000000"/>
                <w:szCs w:val="21"/>
                <w:lang w:eastAsia="ja-JP"/>
              </w:rPr>
              <w:t>Retrospective analysis of tumour response by IRRC following late protocol amendment</w:t>
            </w:r>
          </w:p>
          <w:p w:rsidR="00A744C8" w:rsidRPr="00A2181C" w:rsidRDefault="00A744C8" w:rsidP="00A2181C">
            <w:pPr>
              <w:numPr>
                <w:ilvl w:val="0"/>
                <w:numId w:val="30"/>
              </w:numPr>
              <w:ind w:right="170"/>
              <w:rPr>
                <w:color w:val="000000"/>
                <w:szCs w:val="21"/>
                <w:lang w:eastAsia="ja-JP"/>
              </w:rPr>
            </w:pPr>
            <w:r w:rsidRPr="00A2181C">
              <w:rPr>
                <w:color w:val="000000"/>
                <w:szCs w:val="21"/>
                <w:lang w:eastAsia="ja-JP"/>
              </w:rPr>
              <w:t>No patient achieved CR.</w:t>
            </w:r>
          </w:p>
        </w:tc>
      </w:tr>
      <w:tr w:rsidR="00A744C8" w:rsidRPr="009D4CE3" w:rsidTr="00A2181C">
        <w:trPr>
          <w:trHeight w:val="5366"/>
        </w:trPr>
        <w:tc>
          <w:tcPr>
            <w:tcW w:w="0" w:type="dxa"/>
            <w:shd w:val="clear" w:color="auto" w:fill="auto"/>
            <w:hideMark/>
          </w:tcPr>
          <w:p w:rsidR="00A744C8" w:rsidRPr="00A2181C" w:rsidRDefault="00A744C8" w:rsidP="00A2181C">
            <w:pPr>
              <w:ind w:left="170" w:right="170"/>
              <w:rPr>
                <w:color w:val="000000"/>
                <w:szCs w:val="21"/>
                <w:lang w:eastAsia="ja-JP"/>
              </w:rPr>
            </w:pPr>
            <w:r w:rsidRPr="00A2181C">
              <w:rPr>
                <w:color w:val="000000"/>
                <w:szCs w:val="21"/>
                <w:lang w:eastAsia="ja-JP"/>
              </w:rPr>
              <w:t>Future studies to confirm the results of these early studies</w:t>
            </w:r>
          </w:p>
        </w:tc>
        <w:tc>
          <w:tcPr>
            <w:tcW w:w="0" w:type="dxa"/>
            <w:shd w:val="clear" w:color="auto" w:fill="auto"/>
            <w:hideMark/>
          </w:tcPr>
          <w:p w:rsidR="00A744C8" w:rsidRPr="00A2181C" w:rsidRDefault="00A744C8" w:rsidP="00A2181C">
            <w:pPr>
              <w:ind w:left="170" w:right="170"/>
              <w:rPr>
                <w:color w:val="000000"/>
                <w:szCs w:val="21"/>
                <w:lang w:eastAsia="ja-JP"/>
              </w:rPr>
            </w:pPr>
            <w:r w:rsidRPr="00A2181C">
              <w:rPr>
                <w:color w:val="000000"/>
                <w:szCs w:val="21"/>
                <w:lang w:eastAsia="ja-JP"/>
              </w:rPr>
              <w:t xml:space="preserve">There is no confirmatory study planned. A Phase III study of </w:t>
            </w:r>
            <w:proofErr w:type="spellStart"/>
            <w:r w:rsidRPr="00A2181C">
              <w:rPr>
                <w:color w:val="000000"/>
                <w:szCs w:val="21"/>
                <w:lang w:eastAsia="ja-JP"/>
              </w:rPr>
              <w:t>brentuximab</w:t>
            </w:r>
            <w:proofErr w:type="spellEnd"/>
            <w:r w:rsidRPr="00A2181C">
              <w:rPr>
                <w:color w:val="000000"/>
                <w:szCs w:val="21"/>
                <w:lang w:eastAsia="ja-JP"/>
              </w:rPr>
              <w:t xml:space="preserve"> </w:t>
            </w:r>
            <w:proofErr w:type="spellStart"/>
            <w:r w:rsidRPr="00A2181C">
              <w:rPr>
                <w:color w:val="000000"/>
                <w:szCs w:val="21"/>
                <w:lang w:eastAsia="ja-JP"/>
              </w:rPr>
              <w:t>vedotin</w:t>
            </w:r>
            <w:proofErr w:type="spellEnd"/>
            <w:r w:rsidRPr="00A2181C">
              <w:rPr>
                <w:color w:val="000000"/>
                <w:szCs w:val="21"/>
                <w:lang w:eastAsia="ja-JP"/>
              </w:rPr>
              <w:t xml:space="preserve"> + </w:t>
            </w:r>
            <w:proofErr w:type="spellStart"/>
            <w:r w:rsidRPr="00A2181C">
              <w:rPr>
                <w:color w:val="000000"/>
                <w:szCs w:val="21"/>
                <w:lang w:eastAsia="ja-JP"/>
              </w:rPr>
              <w:t>nivolumab</w:t>
            </w:r>
            <w:proofErr w:type="spellEnd"/>
            <w:r w:rsidRPr="00A2181C">
              <w:rPr>
                <w:color w:val="000000"/>
                <w:szCs w:val="21"/>
                <w:lang w:eastAsia="ja-JP"/>
              </w:rPr>
              <w:t xml:space="preserve"> versus </w:t>
            </w:r>
            <w:proofErr w:type="spellStart"/>
            <w:r w:rsidRPr="00A2181C">
              <w:rPr>
                <w:color w:val="000000"/>
                <w:szCs w:val="21"/>
                <w:lang w:eastAsia="ja-JP"/>
              </w:rPr>
              <w:t>brentuximab</w:t>
            </w:r>
            <w:proofErr w:type="spellEnd"/>
            <w:r w:rsidRPr="00A2181C">
              <w:rPr>
                <w:color w:val="000000"/>
                <w:szCs w:val="21"/>
                <w:lang w:eastAsia="ja-JP"/>
              </w:rPr>
              <w:t xml:space="preserve"> </w:t>
            </w:r>
            <w:proofErr w:type="spellStart"/>
            <w:r w:rsidRPr="00A2181C">
              <w:rPr>
                <w:color w:val="000000"/>
                <w:szCs w:val="21"/>
                <w:lang w:eastAsia="ja-JP"/>
              </w:rPr>
              <w:t>vedotin</w:t>
            </w:r>
            <w:proofErr w:type="spellEnd"/>
            <w:r w:rsidRPr="00A2181C">
              <w:rPr>
                <w:color w:val="000000"/>
                <w:szCs w:val="21"/>
                <w:lang w:eastAsia="ja-JP"/>
              </w:rPr>
              <w:t xml:space="preserve"> is planned. This will not include a </w:t>
            </w:r>
            <w:proofErr w:type="spellStart"/>
            <w:r w:rsidRPr="00A2181C">
              <w:rPr>
                <w:color w:val="000000"/>
                <w:szCs w:val="21"/>
                <w:lang w:eastAsia="ja-JP"/>
              </w:rPr>
              <w:t>nivolumab</w:t>
            </w:r>
            <w:proofErr w:type="spellEnd"/>
            <w:r w:rsidRPr="00A2181C">
              <w:rPr>
                <w:color w:val="000000"/>
                <w:szCs w:val="21"/>
                <w:lang w:eastAsia="ja-JP"/>
              </w:rPr>
              <w:t xml:space="preserve"> monotherapy arm and will not provide any further information regarding safety and efficacy for the proposed indication.</w:t>
            </w:r>
          </w:p>
          <w:p w:rsidR="00A744C8" w:rsidRPr="00A2181C" w:rsidRDefault="00A744C8" w:rsidP="00A2181C">
            <w:pPr>
              <w:ind w:left="170" w:right="170"/>
              <w:rPr>
                <w:color w:val="000000"/>
                <w:szCs w:val="21"/>
                <w:lang w:eastAsia="ja-JP"/>
              </w:rPr>
            </w:pPr>
            <w:r w:rsidRPr="00A2181C">
              <w:rPr>
                <w:color w:val="000000"/>
                <w:szCs w:val="21"/>
                <w:lang w:eastAsia="ja-JP"/>
              </w:rPr>
              <w:t xml:space="preserve">The efficacy results for Cohorts A and C from Study CA209205 have yet to be provided to the TGA. These will provide some additional information regarding efficacy in patients with relapsed/refractory </w:t>
            </w:r>
            <w:proofErr w:type="spellStart"/>
            <w:r w:rsidRPr="00A2181C">
              <w:rPr>
                <w:color w:val="000000"/>
                <w:szCs w:val="21"/>
                <w:lang w:eastAsia="ja-JP"/>
              </w:rPr>
              <w:t>cHL</w:t>
            </w:r>
            <w:proofErr w:type="spellEnd"/>
            <w:r w:rsidRPr="00A2181C">
              <w:rPr>
                <w:color w:val="000000"/>
                <w:szCs w:val="21"/>
                <w:lang w:eastAsia="ja-JP"/>
              </w:rPr>
              <w:t xml:space="preserve"> who have been treated with ASCT (Cohort A: patients who have received ASCT but not </w:t>
            </w:r>
            <w:proofErr w:type="spellStart"/>
            <w:r w:rsidRPr="00A2181C">
              <w:rPr>
                <w:color w:val="000000"/>
                <w:szCs w:val="21"/>
                <w:lang w:eastAsia="ja-JP"/>
              </w:rPr>
              <w:t>brentuximab</w:t>
            </w:r>
            <w:proofErr w:type="spellEnd"/>
            <w:r w:rsidRPr="00A2181C">
              <w:rPr>
                <w:color w:val="000000"/>
                <w:szCs w:val="21"/>
                <w:lang w:eastAsia="ja-JP"/>
              </w:rPr>
              <w:t xml:space="preserve"> </w:t>
            </w:r>
            <w:proofErr w:type="spellStart"/>
            <w:r w:rsidRPr="00A2181C">
              <w:rPr>
                <w:color w:val="000000"/>
                <w:szCs w:val="21"/>
                <w:lang w:eastAsia="ja-JP"/>
              </w:rPr>
              <w:t>vedotin</w:t>
            </w:r>
            <w:proofErr w:type="spellEnd"/>
            <w:r w:rsidRPr="00A2181C">
              <w:rPr>
                <w:color w:val="000000"/>
                <w:szCs w:val="21"/>
                <w:lang w:eastAsia="ja-JP"/>
              </w:rPr>
              <w:t xml:space="preserve">; Cohort C: patients who have received ASCT and </w:t>
            </w:r>
            <w:proofErr w:type="spellStart"/>
            <w:r w:rsidRPr="00A2181C">
              <w:rPr>
                <w:color w:val="000000"/>
                <w:szCs w:val="21"/>
                <w:lang w:eastAsia="ja-JP"/>
              </w:rPr>
              <w:t>brentuximab</w:t>
            </w:r>
            <w:proofErr w:type="spellEnd"/>
            <w:r w:rsidRPr="00A2181C">
              <w:rPr>
                <w:color w:val="000000"/>
                <w:szCs w:val="21"/>
                <w:lang w:eastAsia="ja-JP"/>
              </w:rPr>
              <w:t xml:space="preserve"> </w:t>
            </w:r>
            <w:proofErr w:type="spellStart"/>
            <w:r w:rsidRPr="00A2181C">
              <w:rPr>
                <w:color w:val="000000"/>
                <w:szCs w:val="21"/>
                <w:lang w:eastAsia="ja-JP"/>
              </w:rPr>
              <w:t>vedotin</w:t>
            </w:r>
            <w:proofErr w:type="spellEnd"/>
            <w:r w:rsidRPr="00A2181C">
              <w:rPr>
                <w:color w:val="000000"/>
                <w:szCs w:val="21"/>
                <w:lang w:eastAsia="ja-JP"/>
              </w:rPr>
              <w:t xml:space="preserve"> but not in any specific order). The evaluator notes that in the response to question, the sponsor stated: ‘</w:t>
            </w:r>
            <w:r w:rsidRPr="00A2181C">
              <w:rPr>
                <w:i/>
                <w:color w:val="000000"/>
                <w:szCs w:val="21"/>
                <w:lang w:eastAsia="ja-JP"/>
              </w:rPr>
              <w:t>A subsequent DBL for all 3 cohorts took place on 28 June 2016 after requisite minimum follow-ups for Cohorts A (9 months) was met</w:t>
            </w:r>
            <w:r w:rsidRPr="00A2181C">
              <w:rPr>
                <w:color w:val="000000"/>
                <w:szCs w:val="21"/>
                <w:lang w:eastAsia="ja-JP"/>
              </w:rPr>
              <w:t>’. Safety data from this DBL has been provided, but no efficacy data.</w:t>
            </w:r>
          </w:p>
        </w:tc>
      </w:tr>
    </w:tbl>
    <w:p w:rsidR="00D2147D" w:rsidRDefault="00003527" w:rsidP="00D2147D">
      <w:pPr>
        <w:pStyle w:val="Tabletitle0"/>
        <w:rPr>
          <w:lang w:eastAsia="ja-JP"/>
        </w:rPr>
      </w:pPr>
      <w:proofErr w:type="gramStart"/>
      <w:r>
        <w:rPr>
          <w:lang w:eastAsia="ja-JP"/>
        </w:rPr>
        <w:lastRenderedPageBreak/>
        <w:t>Table 15</w:t>
      </w:r>
      <w:r w:rsidR="00D2147D">
        <w:rPr>
          <w:lang w:eastAsia="ja-JP"/>
        </w:rPr>
        <w:t>.</w:t>
      </w:r>
      <w:proofErr w:type="gramEnd"/>
      <w:r w:rsidR="00D2147D">
        <w:rPr>
          <w:lang w:eastAsia="ja-JP"/>
        </w:rPr>
        <w:t xml:space="preserve"> </w:t>
      </w:r>
      <w:r w:rsidR="00D2147D">
        <w:t>Second round assessment of benefits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15 is the second round of assessment of benefits"/>
      </w:tblPr>
      <w:tblGrid>
        <w:gridCol w:w="4212"/>
        <w:gridCol w:w="5058"/>
      </w:tblGrid>
      <w:tr w:rsidR="00D2147D" w:rsidRPr="009D4CE3" w:rsidTr="00A2181C">
        <w:trPr>
          <w:tblHeader/>
        </w:trPr>
        <w:tc>
          <w:tcPr>
            <w:tcW w:w="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006DA7"/>
          </w:tcPr>
          <w:p w:rsidR="00D2147D" w:rsidRPr="00A2181C" w:rsidRDefault="00D2147D" w:rsidP="00A2181C">
            <w:pPr>
              <w:keepNext/>
              <w:ind w:left="170" w:right="170"/>
              <w:rPr>
                <w:b/>
                <w:color w:val="FFFFFF"/>
                <w:szCs w:val="21"/>
                <w:lang w:eastAsia="ja-JP"/>
              </w:rPr>
            </w:pPr>
            <w:r w:rsidRPr="00A2181C">
              <w:rPr>
                <w:b/>
                <w:color w:val="FFFFFF"/>
                <w:szCs w:val="21"/>
                <w:lang w:eastAsia="ja-JP"/>
              </w:rPr>
              <w:t xml:space="preserve">Indication: </w:t>
            </w:r>
            <w:proofErr w:type="spellStart"/>
            <w:r w:rsidRPr="00B659EE">
              <w:rPr>
                <w:i/>
                <w:iCs/>
                <w:color w:val="FFFFFF"/>
                <w:szCs w:val="21"/>
                <w:lang w:eastAsia="ja-JP"/>
              </w:rPr>
              <w:t>Opdivo</w:t>
            </w:r>
            <w:proofErr w:type="spellEnd"/>
            <w:r w:rsidRPr="00B659EE">
              <w:rPr>
                <w:i/>
                <w:iCs/>
                <w:color w:val="FFFFFF"/>
                <w:szCs w:val="21"/>
                <w:lang w:eastAsia="ja-JP"/>
              </w:rPr>
              <w:t>, as monotherapy is indicated for the treatment of patients with relapsed or refractory classical Hodgkin lymphoma (</w:t>
            </w:r>
            <w:proofErr w:type="spellStart"/>
            <w:r w:rsidRPr="00B659EE">
              <w:rPr>
                <w:i/>
                <w:iCs/>
                <w:color w:val="FFFFFF"/>
                <w:szCs w:val="21"/>
                <w:lang w:eastAsia="ja-JP"/>
              </w:rPr>
              <w:t>cHL</w:t>
            </w:r>
            <w:proofErr w:type="spellEnd"/>
            <w:r w:rsidRPr="00B659EE">
              <w:rPr>
                <w:i/>
                <w:iCs/>
                <w:color w:val="FFFFFF"/>
                <w:szCs w:val="21"/>
                <w:lang w:eastAsia="ja-JP"/>
              </w:rPr>
              <w:t>) […] in patients w</w:t>
            </w:r>
            <w:r w:rsidR="00B659EE">
              <w:rPr>
                <w:i/>
                <w:iCs/>
                <w:color w:val="FFFFFF"/>
                <w:szCs w:val="21"/>
                <w:lang w:eastAsia="ja-JP"/>
              </w:rPr>
              <w:t>ho are not candidates for ASCT.</w:t>
            </w:r>
          </w:p>
        </w:tc>
      </w:tr>
      <w:tr w:rsidR="00D2147D" w:rsidRPr="009D4CE3" w:rsidTr="00A2181C">
        <w:tc>
          <w:tcPr>
            <w:tcW w:w="0" w:type="dxa"/>
            <w:shd w:val="clear" w:color="auto" w:fill="auto"/>
          </w:tcPr>
          <w:p w:rsidR="00D2147D" w:rsidRPr="00A2181C" w:rsidRDefault="00D2147D" w:rsidP="00AB7ADA">
            <w:pPr>
              <w:ind w:left="170" w:right="170"/>
              <w:rPr>
                <w:b/>
                <w:color w:val="000000"/>
                <w:szCs w:val="21"/>
                <w:lang w:eastAsia="ja-JP"/>
              </w:rPr>
            </w:pPr>
            <w:r w:rsidRPr="00A2181C">
              <w:rPr>
                <w:b/>
                <w:color w:val="000000"/>
                <w:szCs w:val="21"/>
                <w:lang w:eastAsia="ja-JP"/>
              </w:rPr>
              <w:t>Benefits</w:t>
            </w:r>
          </w:p>
        </w:tc>
        <w:tc>
          <w:tcPr>
            <w:tcW w:w="0" w:type="dxa"/>
            <w:shd w:val="clear" w:color="auto" w:fill="auto"/>
          </w:tcPr>
          <w:p w:rsidR="00D2147D" w:rsidRPr="00A2181C" w:rsidRDefault="00D2147D" w:rsidP="00A2181C">
            <w:pPr>
              <w:keepNext/>
              <w:ind w:left="170" w:right="170"/>
              <w:rPr>
                <w:b/>
                <w:color w:val="000000"/>
                <w:szCs w:val="21"/>
                <w:lang w:eastAsia="ja-JP"/>
              </w:rPr>
            </w:pPr>
            <w:r w:rsidRPr="00A2181C">
              <w:rPr>
                <w:b/>
                <w:color w:val="000000"/>
                <w:szCs w:val="21"/>
                <w:lang w:eastAsia="ja-JP"/>
              </w:rPr>
              <w:t>Strengths and Uncertainties</w:t>
            </w:r>
          </w:p>
        </w:tc>
      </w:tr>
      <w:tr w:rsidR="00D2147D" w:rsidRPr="009D4CE3" w:rsidTr="00A2181C">
        <w:tc>
          <w:tcPr>
            <w:tcW w:w="0" w:type="dxa"/>
            <w:shd w:val="clear" w:color="auto" w:fill="auto"/>
          </w:tcPr>
          <w:p w:rsidR="00D2147D" w:rsidRPr="00A2181C" w:rsidRDefault="00D2147D" w:rsidP="00AB7ADA">
            <w:pPr>
              <w:ind w:left="170" w:right="170"/>
              <w:rPr>
                <w:color w:val="000000"/>
                <w:szCs w:val="21"/>
                <w:lang w:eastAsia="ja-JP"/>
              </w:rPr>
            </w:pPr>
            <w:r w:rsidRPr="00A2181C">
              <w:rPr>
                <w:color w:val="000000"/>
                <w:szCs w:val="21"/>
                <w:lang w:eastAsia="ja-JP"/>
              </w:rPr>
              <w:t xml:space="preserve">There were 5 patients in CA209039 who had not received prior ASCT. Of the 5 ASCT naïve patients, 4 had an objective response to </w:t>
            </w:r>
            <w:proofErr w:type="spellStart"/>
            <w:r w:rsidRPr="00A2181C">
              <w:rPr>
                <w:color w:val="000000"/>
                <w:szCs w:val="21"/>
                <w:lang w:eastAsia="ja-JP"/>
              </w:rPr>
              <w:t>nivolumab</w:t>
            </w:r>
            <w:proofErr w:type="spellEnd"/>
            <w:r w:rsidRPr="00A2181C">
              <w:rPr>
                <w:color w:val="000000"/>
                <w:szCs w:val="21"/>
                <w:lang w:eastAsia="ja-JP"/>
              </w:rPr>
              <w:t>, with BOR per IRRC of CR (n = 3), PR (n = 1) and SD (n = 1).</w:t>
            </w:r>
          </w:p>
        </w:tc>
        <w:tc>
          <w:tcPr>
            <w:tcW w:w="0" w:type="dxa"/>
            <w:shd w:val="clear" w:color="auto" w:fill="auto"/>
          </w:tcPr>
          <w:p w:rsidR="00D2147D" w:rsidRPr="00A2181C" w:rsidRDefault="00D2147D" w:rsidP="00A2181C">
            <w:pPr>
              <w:keepNext/>
              <w:ind w:left="170" w:right="170"/>
              <w:rPr>
                <w:color w:val="000000"/>
                <w:szCs w:val="21"/>
                <w:lang w:eastAsia="ja-JP"/>
              </w:rPr>
            </w:pPr>
            <w:r w:rsidRPr="00A2181C">
              <w:rPr>
                <w:color w:val="000000"/>
                <w:szCs w:val="21"/>
                <w:lang w:eastAsia="ja-JP"/>
              </w:rPr>
              <w:t>Uncertainties:</w:t>
            </w:r>
          </w:p>
          <w:p w:rsidR="00D2147D" w:rsidRPr="00A2181C" w:rsidRDefault="00D2147D" w:rsidP="00A2181C">
            <w:pPr>
              <w:pStyle w:val="ListBullet"/>
              <w:keepNext/>
              <w:numPr>
                <w:ilvl w:val="0"/>
                <w:numId w:val="3"/>
              </w:numPr>
              <w:ind w:right="170"/>
              <w:rPr>
                <w:color w:val="000000"/>
                <w:szCs w:val="21"/>
                <w:lang w:eastAsia="ja-JP"/>
              </w:rPr>
            </w:pPr>
            <w:r w:rsidRPr="00A2181C">
              <w:rPr>
                <w:color w:val="000000"/>
                <w:szCs w:val="21"/>
                <w:lang w:eastAsia="ja-JP"/>
              </w:rPr>
              <w:t>The number of patients described in the dossier is too small to support the proposed indication</w:t>
            </w:r>
          </w:p>
          <w:p w:rsidR="00D2147D" w:rsidRPr="00A2181C" w:rsidRDefault="00D2147D" w:rsidP="00A2181C">
            <w:pPr>
              <w:pStyle w:val="ListBullet"/>
              <w:keepNext/>
              <w:numPr>
                <w:ilvl w:val="0"/>
                <w:numId w:val="3"/>
              </w:numPr>
              <w:ind w:right="170"/>
              <w:rPr>
                <w:color w:val="000000"/>
                <w:szCs w:val="21"/>
                <w:lang w:eastAsia="ja-JP"/>
              </w:rPr>
            </w:pPr>
            <w:r w:rsidRPr="00A2181C">
              <w:rPr>
                <w:color w:val="000000"/>
                <w:szCs w:val="21"/>
                <w:lang w:eastAsia="ja-JP"/>
              </w:rPr>
              <w:t>There will be no further information available regarding this indication from studies planned by the sponsor.</w:t>
            </w:r>
          </w:p>
        </w:tc>
      </w:tr>
    </w:tbl>
    <w:p w:rsidR="00A744C8" w:rsidRPr="009D4CE3" w:rsidRDefault="00A744C8" w:rsidP="00A744C8">
      <w:pPr>
        <w:rPr>
          <w:lang w:eastAsia="ja-JP"/>
        </w:rPr>
      </w:pPr>
      <w:r w:rsidRPr="009D4CE3">
        <w:rPr>
          <w:lang w:eastAsia="ja-JP"/>
        </w:rPr>
        <w:t xml:space="preserve">The main benefit offered by </w:t>
      </w:r>
      <w:proofErr w:type="spellStart"/>
      <w:r w:rsidRPr="009D4CE3">
        <w:rPr>
          <w:lang w:eastAsia="ja-JP"/>
        </w:rPr>
        <w:t>nivolumab</w:t>
      </w:r>
      <w:proofErr w:type="spellEnd"/>
      <w:r w:rsidRPr="009D4CE3">
        <w:rPr>
          <w:lang w:eastAsia="ja-JP"/>
        </w:rPr>
        <w:t xml:space="preserve"> in the treatment of patients with relapsed </w:t>
      </w:r>
      <w:proofErr w:type="spellStart"/>
      <w:r w:rsidRPr="009D4CE3">
        <w:rPr>
          <w:lang w:eastAsia="ja-JP"/>
        </w:rPr>
        <w:t>cHL</w:t>
      </w:r>
      <w:proofErr w:type="spellEnd"/>
      <w:r w:rsidRPr="009D4CE3">
        <w:rPr>
          <w:lang w:eastAsia="ja-JP"/>
        </w:rPr>
        <w:t xml:space="preserve"> after ASCT and </w:t>
      </w:r>
      <w:proofErr w:type="spellStart"/>
      <w:r w:rsidRPr="009D4CE3">
        <w:rPr>
          <w:lang w:eastAsia="ja-JP"/>
        </w:rPr>
        <w:t>brentuximab</w:t>
      </w:r>
      <w:proofErr w:type="spellEnd"/>
      <w:r w:rsidRPr="009D4CE3">
        <w:rPr>
          <w:lang w:eastAsia="ja-JP"/>
        </w:rPr>
        <w:t xml:space="preserve"> </w:t>
      </w:r>
      <w:proofErr w:type="spellStart"/>
      <w:r w:rsidRPr="009D4CE3">
        <w:rPr>
          <w:lang w:eastAsia="ja-JP"/>
        </w:rPr>
        <w:t>vedotin</w:t>
      </w:r>
      <w:proofErr w:type="spellEnd"/>
      <w:r w:rsidRPr="009D4CE3">
        <w:rPr>
          <w:lang w:eastAsia="ja-JP"/>
        </w:rPr>
        <w:t xml:space="preserve"> is a clinically important objective response rate of 66% with a median duration of response of 13 months. In the updated analysis fo</w:t>
      </w:r>
      <w:r>
        <w:rPr>
          <w:lang w:eastAsia="ja-JP"/>
        </w:rPr>
        <w:t>r Cohort B of Study </w:t>
      </w:r>
      <w:r w:rsidRPr="009D4CE3">
        <w:rPr>
          <w:lang w:eastAsia="ja-JP"/>
        </w:rPr>
        <w:t>CA209205, after a median follow-up of 15 months, a median PFS of 14.8 months was reported and the median OS had not been reached. Given that the medi</w:t>
      </w:r>
      <w:r>
        <w:rPr>
          <w:lang w:eastAsia="ja-JP"/>
        </w:rPr>
        <w:t xml:space="preserve">an </w:t>
      </w:r>
      <w:r w:rsidR="005D4397">
        <w:rPr>
          <w:lang w:eastAsia="ja-JP"/>
        </w:rPr>
        <w:t>OS</w:t>
      </w:r>
      <w:r>
        <w:rPr>
          <w:lang w:eastAsia="ja-JP"/>
        </w:rPr>
        <w:t xml:space="preserve"> of relapsed or </w:t>
      </w:r>
      <w:r w:rsidRPr="009D4CE3">
        <w:rPr>
          <w:lang w:eastAsia="ja-JP"/>
        </w:rPr>
        <w:t xml:space="preserve">refractory </w:t>
      </w:r>
      <w:proofErr w:type="spellStart"/>
      <w:r w:rsidRPr="009D4CE3">
        <w:rPr>
          <w:lang w:eastAsia="ja-JP"/>
        </w:rPr>
        <w:t>cHL</w:t>
      </w:r>
      <w:proofErr w:type="spellEnd"/>
      <w:r w:rsidRPr="009D4CE3">
        <w:rPr>
          <w:lang w:eastAsia="ja-JP"/>
        </w:rPr>
        <w:t xml:space="preserve"> with current therapies is estimated at 2 years, it is too early to say if </w:t>
      </w:r>
      <w:proofErr w:type="spellStart"/>
      <w:r w:rsidRPr="009D4CE3">
        <w:rPr>
          <w:lang w:eastAsia="ja-JP"/>
        </w:rPr>
        <w:t>nivolumab</w:t>
      </w:r>
      <w:proofErr w:type="spellEnd"/>
      <w:r w:rsidRPr="009D4CE3">
        <w:rPr>
          <w:lang w:eastAsia="ja-JP"/>
        </w:rPr>
        <w:t xml:space="preserve"> monotherapy will compare favourably with historical controls.</w:t>
      </w:r>
    </w:p>
    <w:p w:rsidR="00A744C8" w:rsidRPr="009D4CE3" w:rsidRDefault="00A744C8" w:rsidP="00A744C8">
      <w:pPr>
        <w:rPr>
          <w:lang w:eastAsia="ja-JP"/>
        </w:rPr>
      </w:pPr>
      <w:r w:rsidRPr="009D4CE3">
        <w:rPr>
          <w:lang w:eastAsia="ja-JP"/>
        </w:rPr>
        <w:t xml:space="preserve">The evidence in support of </w:t>
      </w:r>
      <w:proofErr w:type="spellStart"/>
      <w:r w:rsidRPr="009D4CE3">
        <w:rPr>
          <w:lang w:eastAsia="ja-JP"/>
        </w:rPr>
        <w:t>nivolumab</w:t>
      </w:r>
      <w:proofErr w:type="spellEnd"/>
      <w:r w:rsidRPr="009D4CE3">
        <w:rPr>
          <w:lang w:eastAsia="ja-JP"/>
        </w:rPr>
        <w:t xml:space="preserve"> is limited to 80 patients from a </w:t>
      </w:r>
      <w:r>
        <w:rPr>
          <w:lang w:eastAsia="ja-JP"/>
        </w:rPr>
        <w:t>Phase II study and 15 </w:t>
      </w:r>
      <w:r w:rsidRPr="009D4CE3">
        <w:rPr>
          <w:lang w:eastAsia="ja-JP"/>
        </w:rPr>
        <w:t xml:space="preserve">patients from a </w:t>
      </w:r>
      <w:r>
        <w:rPr>
          <w:lang w:eastAsia="ja-JP"/>
        </w:rPr>
        <w:t>Phase I</w:t>
      </w:r>
      <w:r w:rsidRPr="009D4CE3">
        <w:rPr>
          <w:lang w:eastAsia="ja-JP"/>
        </w:rPr>
        <w:t xml:space="preserve"> study. It is important to note that there is no confirmatory </w:t>
      </w:r>
      <w:r>
        <w:rPr>
          <w:lang w:eastAsia="ja-JP"/>
        </w:rPr>
        <w:t>Phase III</w:t>
      </w:r>
      <w:r w:rsidRPr="009D4CE3">
        <w:rPr>
          <w:lang w:eastAsia="ja-JP"/>
        </w:rPr>
        <w:t xml:space="preserve"> study planned. Future information to support this part of the indication will be limited to the ongoing PFS and OS assessments for both studies and to the efficacy results for Cohorts A and C from Study CA209205.</w:t>
      </w:r>
    </w:p>
    <w:p w:rsidR="00A744C8" w:rsidRPr="009D4CE3" w:rsidRDefault="00A744C8" w:rsidP="00A744C8">
      <w:pPr>
        <w:rPr>
          <w:lang w:eastAsia="ja-JP"/>
        </w:rPr>
      </w:pPr>
      <w:r w:rsidRPr="009D4CE3">
        <w:rPr>
          <w:lang w:eastAsia="ja-JP"/>
        </w:rPr>
        <w:t xml:space="preserve">The evidence to support the second part of the indication is limited to 5 patients in the </w:t>
      </w:r>
      <w:r>
        <w:rPr>
          <w:lang w:eastAsia="ja-JP"/>
        </w:rPr>
        <w:t>Phase I</w:t>
      </w:r>
      <w:r w:rsidRPr="009D4CE3">
        <w:rPr>
          <w:lang w:eastAsia="ja-JP"/>
        </w:rPr>
        <w:t xml:space="preserve"> study. In the absence of any other supportive evidence and no future planned studies, the evaluator is of the opinion that the evidence is insufficient to support the use of </w:t>
      </w:r>
      <w:proofErr w:type="spellStart"/>
      <w:r w:rsidRPr="009D4CE3">
        <w:rPr>
          <w:lang w:eastAsia="ja-JP"/>
        </w:rPr>
        <w:t>nivolumab</w:t>
      </w:r>
      <w:proofErr w:type="spellEnd"/>
      <w:r w:rsidRPr="009D4CE3">
        <w:rPr>
          <w:lang w:eastAsia="ja-JP"/>
        </w:rPr>
        <w:t xml:space="preserve"> monotherapy in patients with relapsed </w:t>
      </w:r>
      <w:proofErr w:type="spellStart"/>
      <w:r w:rsidRPr="009D4CE3">
        <w:rPr>
          <w:lang w:eastAsia="ja-JP"/>
        </w:rPr>
        <w:t>cHL</w:t>
      </w:r>
      <w:proofErr w:type="spellEnd"/>
      <w:r w:rsidRPr="009D4CE3">
        <w:rPr>
          <w:lang w:eastAsia="ja-JP"/>
        </w:rPr>
        <w:t xml:space="preserve"> who are ineligible for ASCT.</w:t>
      </w:r>
    </w:p>
    <w:p w:rsidR="00E4149F" w:rsidRDefault="00A744C8" w:rsidP="00E4149F">
      <w:r w:rsidRPr="009D4CE3">
        <w:rPr>
          <w:lang w:eastAsia="ja-JP"/>
        </w:rPr>
        <w:t xml:space="preserve">The evaluator notes that </w:t>
      </w:r>
      <w:proofErr w:type="spellStart"/>
      <w:r w:rsidRPr="009D4CE3">
        <w:rPr>
          <w:lang w:eastAsia="ja-JP"/>
        </w:rPr>
        <w:t>nivolumab</w:t>
      </w:r>
      <w:proofErr w:type="spellEnd"/>
      <w:r w:rsidRPr="009D4CE3">
        <w:rPr>
          <w:lang w:eastAsia="ja-JP"/>
        </w:rPr>
        <w:t xml:space="preserve"> has received accelerated approval for the treatment of relapsed </w:t>
      </w:r>
      <w:proofErr w:type="spellStart"/>
      <w:r w:rsidRPr="009D4CE3">
        <w:rPr>
          <w:lang w:eastAsia="ja-JP"/>
        </w:rPr>
        <w:t>cHL</w:t>
      </w:r>
      <w:proofErr w:type="spellEnd"/>
      <w:r w:rsidRPr="009D4CE3">
        <w:rPr>
          <w:lang w:eastAsia="ja-JP"/>
        </w:rPr>
        <w:t xml:space="preserve"> after ASCT and </w:t>
      </w:r>
      <w:proofErr w:type="spellStart"/>
      <w:r w:rsidRPr="009D4CE3">
        <w:rPr>
          <w:lang w:eastAsia="ja-JP"/>
        </w:rPr>
        <w:t>brentuximab</w:t>
      </w:r>
      <w:proofErr w:type="spellEnd"/>
      <w:r w:rsidRPr="009D4CE3">
        <w:rPr>
          <w:lang w:eastAsia="ja-JP"/>
        </w:rPr>
        <w:t xml:space="preserve"> </w:t>
      </w:r>
      <w:proofErr w:type="spellStart"/>
      <w:r w:rsidRPr="009D4CE3">
        <w:rPr>
          <w:lang w:eastAsia="ja-JP"/>
        </w:rPr>
        <w:t>vedotin</w:t>
      </w:r>
      <w:proofErr w:type="spellEnd"/>
      <w:r w:rsidRPr="009D4CE3">
        <w:rPr>
          <w:lang w:eastAsia="ja-JP"/>
        </w:rPr>
        <w:t xml:space="preserve"> in the US and has more recently received full approval by the EMA. Both regulatory bodies revised the proposed indication and removed that part of the indication for patie</w:t>
      </w:r>
      <w:r w:rsidR="00E4149F">
        <w:rPr>
          <w:lang w:eastAsia="ja-JP"/>
        </w:rPr>
        <w:t>nts who are ineligible for ASCT.</w:t>
      </w:r>
      <w:bookmarkStart w:id="86" w:name="_Toc473012635"/>
    </w:p>
    <w:p w:rsidR="0056587A" w:rsidRPr="009D4CE3" w:rsidRDefault="0056587A" w:rsidP="00E4149F">
      <w:pPr>
        <w:pStyle w:val="Heading4"/>
      </w:pPr>
      <w:r w:rsidRPr="009D4CE3">
        <w:t>Second round assessment of risks</w:t>
      </w:r>
      <w:bookmarkEnd w:id="86"/>
    </w:p>
    <w:p w:rsidR="0056587A" w:rsidRPr="009D4CE3" w:rsidRDefault="0056587A" w:rsidP="0056587A">
      <w:pPr>
        <w:rPr>
          <w:lang w:eastAsia="ja-JP"/>
        </w:rPr>
      </w:pPr>
      <w:r w:rsidRPr="009D4CE3">
        <w:rPr>
          <w:lang w:eastAsia="ja-JP"/>
        </w:rPr>
        <w:t>The sponsor’s responses to clinical questions have provide</w:t>
      </w:r>
      <w:r>
        <w:rPr>
          <w:lang w:eastAsia="ja-JP"/>
        </w:rPr>
        <w:t>d updated safety data for Study </w:t>
      </w:r>
      <w:r w:rsidRPr="009D4CE3">
        <w:rPr>
          <w:lang w:eastAsia="ja-JP"/>
        </w:rPr>
        <w:t xml:space="preserve">CA209205 for a longer period of follow-up with </w:t>
      </w:r>
      <w:r w:rsidR="00066A28">
        <w:rPr>
          <w:lang w:eastAsia="ja-JP"/>
        </w:rPr>
        <w:t>DBL</w:t>
      </w:r>
      <w:r w:rsidRPr="009D4CE3">
        <w:rPr>
          <w:lang w:eastAsia="ja-JP"/>
        </w:rPr>
        <w:t xml:space="preserve"> of June 2016 (median follow-up of 10 months for Cohort C, 14 months for Cohort A and 15 months for Cohort B).</w:t>
      </w:r>
    </w:p>
    <w:p w:rsidR="0056587A" w:rsidRDefault="0056587A" w:rsidP="0056587A">
      <w:pPr>
        <w:rPr>
          <w:lang w:eastAsia="ja-JP"/>
        </w:rPr>
      </w:pPr>
      <w:r w:rsidRPr="009D4CE3">
        <w:rPr>
          <w:lang w:eastAsia="ja-JP"/>
        </w:rPr>
        <w:t xml:space="preserve">After consideration of the responses to clinical questions, the risks of </w:t>
      </w:r>
      <w:proofErr w:type="spellStart"/>
      <w:r w:rsidRPr="009D4CE3">
        <w:rPr>
          <w:lang w:eastAsia="ja-JP"/>
        </w:rPr>
        <w:t>nivolum</w:t>
      </w:r>
      <w:r>
        <w:rPr>
          <w:lang w:eastAsia="ja-JP"/>
        </w:rPr>
        <w:t>a</w:t>
      </w:r>
      <w:r w:rsidRPr="009D4CE3">
        <w:rPr>
          <w:lang w:eastAsia="ja-JP"/>
        </w:rPr>
        <w:t>b</w:t>
      </w:r>
      <w:proofErr w:type="spellEnd"/>
      <w:r w:rsidRPr="009D4CE3">
        <w:rPr>
          <w:lang w:eastAsia="ja-JP"/>
        </w:rPr>
        <w:t xml:space="preserve"> in the proposed usage are largely unchanged from those identified in </w:t>
      </w:r>
      <w:r w:rsidR="00E4149F">
        <w:rPr>
          <w:lang w:eastAsia="ja-JP"/>
        </w:rPr>
        <w:t>the f</w:t>
      </w:r>
      <w:r>
        <w:rPr>
          <w:lang w:eastAsia="ja-JP"/>
        </w:rPr>
        <w:t xml:space="preserve">irst round assessment of risks (see above). </w:t>
      </w:r>
      <w:r w:rsidR="00E4149F" w:rsidRPr="00E4149F">
        <w:rPr>
          <w:lang w:eastAsia="ja-JP"/>
        </w:rPr>
        <w:t>Tab</w:t>
      </w:r>
      <w:r w:rsidR="00003527">
        <w:rPr>
          <w:lang w:eastAsia="ja-JP"/>
        </w:rPr>
        <w:t>le 16</w:t>
      </w:r>
      <w:r w:rsidR="00E4149F">
        <w:rPr>
          <w:lang w:eastAsia="ja-JP"/>
        </w:rPr>
        <w:t xml:space="preserve"> (shown below) however</w:t>
      </w:r>
      <w:r w:rsidRPr="009D4CE3">
        <w:rPr>
          <w:lang w:eastAsia="ja-JP"/>
        </w:rPr>
        <w:t xml:space="preserve"> contains updated data and some new information from the sponsor’s responses</w:t>
      </w:r>
      <w:r>
        <w:rPr>
          <w:lang w:eastAsia="ja-JP"/>
        </w:rPr>
        <w:t>.</w:t>
      </w:r>
    </w:p>
    <w:p w:rsidR="0056587A" w:rsidRPr="009D4CE3" w:rsidRDefault="00003527" w:rsidP="00E4149F">
      <w:pPr>
        <w:pStyle w:val="Tabletitle0"/>
        <w:rPr>
          <w:lang w:eastAsia="ja-JP"/>
        </w:rPr>
      </w:pPr>
      <w:proofErr w:type="gramStart"/>
      <w:r>
        <w:rPr>
          <w:lang w:eastAsia="ja-JP"/>
        </w:rPr>
        <w:lastRenderedPageBreak/>
        <w:t>Table 16</w:t>
      </w:r>
      <w:r w:rsidR="0056587A">
        <w:rPr>
          <w:lang w:eastAsia="ja-JP"/>
        </w:rPr>
        <w:t>.</w:t>
      </w:r>
      <w:proofErr w:type="gramEnd"/>
      <w:r w:rsidR="0056587A">
        <w:rPr>
          <w:lang w:eastAsia="ja-JP"/>
        </w:rPr>
        <w:t xml:space="preserve"> Second round assessment of risks</w:t>
      </w:r>
    </w:p>
    <w:tbl>
      <w:tblPr>
        <w:tblW w:w="88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16 is the second round of assessment of risks"/>
      </w:tblPr>
      <w:tblGrid>
        <w:gridCol w:w="5353"/>
        <w:gridCol w:w="3544"/>
      </w:tblGrid>
      <w:tr w:rsidR="00DF5D00" w:rsidRPr="009D4CE3" w:rsidTr="00B659EE">
        <w:trPr>
          <w:tblHeader/>
        </w:trPr>
        <w:tc>
          <w:tcPr>
            <w:tcW w:w="5353" w:type="dxa"/>
            <w:tcBorders>
              <w:top w:val="single" w:sz="8" w:space="0" w:color="000000"/>
              <w:left w:val="single" w:sz="8" w:space="0" w:color="000000"/>
              <w:bottom w:val="single" w:sz="8" w:space="0" w:color="000000"/>
              <w:right w:val="nil"/>
              <w:tl2br w:val="nil"/>
              <w:tr2bl w:val="nil"/>
            </w:tcBorders>
            <w:shd w:val="clear" w:color="auto" w:fill="006DA7"/>
            <w:hideMark/>
          </w:tcPr>
          <w:p w:rsidR="0056587A" w:rsidRPr="00A2181C" w:rsidRDefault="0056587A" w:rsidP="00A2181C">
            <w:pPr>
              <w:keepNext/>
              <w:ind w:left="170" w:right="170"/>
              <w:rPr>
                <w:b/>
                <w:color w:val="FFFFFF"/>
                <w:szCs w:val="21"/>
                <w:lang w:eastAsia="ja-JP"/>
              </w:rPr>
            </w:pPr>
            <w:r w:rsidRPr="00A2181C">
              <w:rPr>
                <w:b/>
                <w:color w:val="FFFFFF"/>
                <w:szCs w:val="21"/>
                <w:lang w:eastAsia="ja-JP"/>
              </w:rPr>
              <w:t>Risks</w:t>
            </w:r>
          </w:p>
        </w:tc>
        <w:tc>
          <w:tcPr>
            <w:tcW w:w="3544" w:type="dxa"/>
            <w:tcBorders>
              <w:top w:val="single" w:sz="8" w:space="0" w:color="000000"/>
              <w:left w:val="nil"/>
              <w:bottom w:val="single" w:sz="8" w:space="0" w:color="000000"/>
              <w:right w:val="single" w:sz="8" w:space="0" w:color="000000"/>
              <w:tl2br w:val="nil"/>
              <w:tr2bl w:val="nil"/>
            </w:tcBorders>
            <w:shd w:val="clear" w:color="auto" w:fill="006DA7"/>
            <w:hideMark/>
          </w:tcPr>
          <w:p w:rsidR="0056587A" w:rsidRPr="00A2181C" w:rsidRDefault="0056587A" w:rsidP="00A2181C">
            <w:pPr>
              <w:keepNext/>
              <w:ind w:left="170" w:right="170"/>
              <w:rPr>
                <w:b/>
                <w:color w:val="FFFFFF"/>
                <w:szCs w:val="21"/>
                <w:lang w:eastAsia="ja-JP"/>
              </w:rPr>
            </w:pPr>
            <w:r w:rsidRPr="00A2181C">
              <w:rPr>
                <w:b/>
                <w:color w:val="FFFFFF"/>
                <w:szCs w:val="21"/>
                <w:lang w:eastAsia="ja-JP"/>
              </w:rPr>
              <w:t>Strengths and Uncertainties</w:t>
            </w:r>
          </w:p>
        </w:tc>
      </w:tr>
      <w:tr w:rsidR="0056587A" w:rsidRPr="009D4CE3" w:rsidTr="00B659EE">
        <w:tc>
          <w:tcPr>
            <w:tcW w:w="5353" w:type="dxa"/>
            <w:shd w:val="clear" w:color="auto" w:fill="auto"/>
          </w:tcPr>
          <w:p w:rsidR="0056587A" w:rsidRPr="00B659EE" w:rsidRDefault="0056587A" w:rsidP="00B659EE">
            <w:pPr>
              <w:keepNext/>
              <w:ind w:right="170"/>
              <w:rPr>
                <w:color w:val="000000"/>
                <w:sz w:val="20"/>
                <w:szCs w:val="21"/>
                <w:lang w:eastAsia="ja-JP"/>
              </w:rPr>
            </w:pPr>
            <w:r w:rsidRPr="00B659EE">
              <w:rPr>
                <w:color w:val="000000"/>
                <w:sz w:val="20"/>
                <w:szCs w:val="21"/>
                <w:lang w:eastAsia="ja-JP"/>
              </w:rPr>
              <w:t xml:space="preserve">Patients with </w:t>
            </w:r>
            <w:proofErr w:type="spellStart"/>
            <w:r w:rsidRPr="00B659EE">
              <w:rPr>
                <w:color w:val="000000"/>
                <w:sz w:val="20"/>
                <w:szCs w:val="21"/>
                <w:lang w:eastAsia="ja-JP"/>
              </w:rPr>
              <w:t>cHL</w:t>
            </w:r>
            <w:proofErr w:type="spellEnd"/>
            <w:r w:rsidRPr="00B659EE">
              <w:rPr>
                <w:color w:val="000000"/>
                <w:sz w:val="20"/>
                <w:szCs w:val="21"/>
                <w:lang w:eastAsia="ja-JP"/>
              </w:rPr>
              <w:t xml:space="preserve"> who have failed ASCT followed by </w:t>
            </w:r>
            <w:proofErr w:type="spellStart"/>
            <w:r w:rsidRPr="00B659EE">
              <w:rPr>
                <w:color w:val="000000"/>
                <w:sz w:val="20"/>
                <w:szCs w:val="21"/>
                <w:lang w:eastAsia="ja-JP"/>
              </w:rPr>
              <w:t>brentuximab</w:t>
            </w:r>
            <w:proofErr w:type="spellEnd"/>
            <w:r w:rsidRPr="00B659EE">
              <w:rPr>
                <w:color w:val="000000"/>
                <w:sz w:val="20"/>
                <w:szCs w:val="21"/>
                <w:lang w:eastAsia="ja-JP"/>
              </w:rPr>
              <w:t xml:space="preserve"> </w:t>
            </w:r>
            <w:proofErr w:type="spellStart"/>
            <w:r w:rsidRPr="00B659EE">
              <w:rPr>
                <w:color w:val="000000"/>
                <w:sz w:val="20"/>
                <w:szCs w:val="21"/>
                <w:lang w:eastAsia="ja-JP"/>
              </w:rPr>
              <w:t>vedotin</w:t>
            </w:r>
            <w:proofErr w:type="spellEnd"/>
            <w:r w:rsidRPr="00B659EE">
              <w:rPr>
                <w:color w:val="000000"/>
                <w:sz w:val="20"/>
                <w:szCs w:val="21"/>
                <w:lang w:eastAsia="ja-JP"/>
              </w:rPr>
              <w:t xml:space="preserve"> treated with </w:t>
            </w:r>
            <w:proofErr w:type="spellStart"/>
            <w:r w:rsidRPr="00B659EE">
              <w:rPr>
                <w:color w:val="000000"/>
                <w:sz w:val="20"/>
                <w:szCs w:val="21"/>
                <w:lang w:eastAsia="ja-JP"/>
              </w:rPr>
              <w:t>nivolumab</w:t>
            </w:r>
            <w:proofErr w:type="spellEnd"/>
            <w:r w:rsidR="00B659EE">
              <w:rPr>
                <w:color w:val="000000"/>
                <w:sz w:val="20"/>
                <w:szCs w:val="21"/>
                <w:lang w:eastAsia="ja-JP"/>
              </w:rPr>
              <w:t xml:space="preserve"> monotherapy (Cohort B of Study </w:t>
            </w:r>
            <w:r w:rsidRPr="00B659EE">
              <w:rPr>
                <w:color w:val="000000"/>
                <w:sz w:val="20"/>
                <w:szCs w:val="21"/>
                <w:lang w:eastAsia="ja-JP"/>
              </w:rPr>
              <w:t xml:space="preserve">CA209205 and the </w:t>
            </w:r>
            <w:r w:rsidR="00E4149F" w:rsidRPr="00B659EE">
              <w:rPr>
                <w:color w:val="000000"/>
                <w:sz w:val="20"/>
                <w:szCs w:val="21"/>
                <w:lang w:eastAsia="ja-JP"/>
              </w:rPr>
              <w:t>ASCT-</w:t>
            </w:r>
            <w:proofErr w:type="spellStart"/>
            <w:r w:rsidR="00E4149F" w:rsidRPr="00B659EE">
              <w:rPr>
                <w:color w:val="000000"/>
                <w:sz w:val="20"/>
                <w:szCs w:val="21"/>
                <w:lang w:eastAsia="ja-JP"/>
              </w:rPr>
              <w:t>bren</w:t>
            </w:r>
            <w:proofErr w:type="spellEnd"/>
            <w:r w:rsidR="00E4149F" w:rsidRPr="00B659EE">
              <w:rPr>
                <w:color w:val="000000"/>
                <w:sz w:val="20"/>
                <w:szCs w:val="21"/>
                <w:lang w:eastAsia="ja-JP"/>
              </w:rPr>
              <w:t xml:space="preserve"> f</w:t>
            </w:r>
            <w:r w:rsidR="00B659EE">
              <w:rPr>
                <w:color w:val="000000"/>
                <w:sz w:val="20"/>
                <w:szCs w:val="21"/>
                <w:lang w:eastAsia="ja-JP"/>
              </w:rPr>
              <w:t>ailed group in Study </w:t>
            </w:r>
            <w:r w:rsidRPr="00B659EE">
              <w:rPr>
                <w:color w:val="000000"/>
                <w:sz w:val="20"/>
                <w:szCs w:val="21"/>
                <w:lang w:eastAsia="ja-JP"/>
              </w:rPr>
              <w:t>CA209039 n = 95):</w:t>
            </w:r>
          </w:p>
          <w:p w:rsidR="0056587A" w:rsidRPr="00B659EE" w:rsidRDefault="00340BAD" w:rsidP="00A2181C">
            <w:pPr>
              <w:keepNext/>
              <w:ind w:left="170" w:right="170"/>
              <w:rPr>
                <w:color w:val="000000"/>
                <w:sz w:val="20"/>
                <w:szCs w:val="21"/>
                <w:lang w:eastAsia="ja-JP"/>
              </w:rPr>
            </w:pPr>
            <w:r w:rsidRPr="00B659EE">
              <w:rPr>
                <w:i/>
                <w:color w:val="000000"/>
                <w:sz w:val="20"/>
                <w:szCs w:val="21"/>
                <w:lang w:eastAsia="ja-JP"/>
              </w:rPr>
              <w:t>Adverse r</w:t>
            </w:r>
            <w:r w:rsidR="0056587A" w:rsidRPr="00B659EE">
              <w:rPr>
                <w:i/>
                <w:color w:val="000000"/>
                <w:sz w:val="20"/>
                <w:szCs w:val="21"/>
                <w:lang w:eastAsia="ja-JP"/>
              </w:rPr>
              <w:t>eactions</w:t>
            </w:r>
            <w:r w:rsidR="0056587A" w:rsidRPr="00B659EE">
              <w:rPr>
                <w:color w:val="000000"/>
                <w:sz w:val="20"/>
                <w:szCs w:val="21"/>
                <w:lang w:eastAsia="ja-JP"/>
              </w:rPr>
              <w:t>:</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AEs, all cause, all grades reported in all patients (100%)</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Grade 3 or 4 AEs, all cause, reported in 49.5%</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SAEs, all cause, reported in 30.5%, with Grade 3 or 4 in 20%</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Discontinuations due to AEs in 7 patients (7.4%)</w:t>
            </w:r>
          </w:p>
          <w:p w:rsidR="0056587A" w:rsidRPr="00B659EE" w:rsidRDefault="0056587A" w:rsidP="00A2181C">
            <w:pPr>
              <w:keepNext/>
              <w:ind w:left="170" w:right="170"/>
              <w:rPr>
                <w:i/>
                <w:color w:val="000000"/>
                <w:sz w:val="20"/>
                <w:szCs w:val="21"/>
                <w:lang w:eastAsia="ja-JP"/>
              </w:rPr>
            </w:pPr>
            <w:r w:rsidRPr="00B659EE">
              <w:rPr>
                <w:i/>
                <w:color w:val="000000"/>
                <w:sz w:val="20"/>
                <w:szCs w:val="21"/>
                <w:lang w:eastAsia="ja-JP"/>
              </w:rPr>
              <w:t>Hospitalisation:</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 xml:space="preserve">Prolonged hospitalisation in 28% due to SAEs in the </w:t>
            </w:r>
            <w:proofErr w:type="spellStart"/>
            <w:r w:rsidRPr="00B659EE">
              <w:rPr>
                <w:color w:val="000000"/>
                <w:sz w:val="20"/>
                <w:szCs w:val="21"/>
                <w:lang w:eastAsia="ja-JP"/>
              </w:rPr>
              <w:t>cHL</w:t>
            </w:r>
            <w:proofErr w:type="spellEnd"/>
            <w:r w:rsidRPr="00B659EE">
              <w:rPr>
                <w:color w:val="000000"/>
                <w:sz w:val="20"/>
                <w:szCs w:val="21"/>
                <w:lang w:eastAsia="ja-JP"/>
              </w:rPr>
              <w:t xml:space="preserve"> SCE group (Cohort B of </w:t>
            </w:r>
            <w:r w:rsidR="00340BAD" w:rsidRPr="00B659EE">
              <w:rPr>
                <w:color w:val="000000"/>
                <w:sz w:val="20"/>
                <w:szCs w:val="21"/>
                <w:lang w:eastAsia="ja-JP"/>
              </w:rPr>
              <w:t xml:space="preserve">Study </w:t>
            </w:r>
            <w:r w:rsidR="00E4149F" w:rsidRPr="00B659EE">
              <w:rPr>
                <w:color w:val="000000"/>
                <w:sz w:val="20"/>
                <w:szCs w:val="21"/>
                <w:lang w:eastAsia="ja-JP"/>
              </w:rPr>
              <w:t>CA209205 + ASCT-</w:t>
            </w:r>
            <w:proofErr w:type="spellStart"/>
            <w:r w:rsidR="00E4149F" w:rsidRPr="00B659EE">
              <w:rPr>
                <w:color w:val="000000"/>
                <w:sz w:val="20"/>
                <w:szCs w:val="21"/>
                <w:lang w:eastAsia="ja-JP"/>
              </w:rPr>
              <w:t>bren</w:t>
            </w:r>
            <w:proofErr w:type="spellEnd"/>
            <w:r w:rsidR="00E4149F" w:rsidRPr="00B659EE">
              <w:rPr>
                <w:color w:val="000000"/>
                <w:sz w:val="20"/>
                <w:szCs w:val="21"/>
                <w:lang w:eastAsia="ja-JP"/>
              </w:rPr>
              <w:t xml:space="preserve"> f</w:t>
            </w:r>
            <w:r w:rsidRPr="00B659EE">
              <w:rPr>
                <w:color w:val="000000"/>
                <w:sz w:val="20"/>
                <w:szCs w:val="21"/>
                <w:lang w:eastAsia="ja-JP"/>
              </w:rPr>
              <w:t xml:space="preserve">ailed group of </w:t>
            </w:r>
            <w:r w:rsidR="00340BAD" w:rsidRPr="00B659EE">
              <w:rPr>
                <w:color w:val="000000"/>
                <w:sz w:val="20"/>
                <w:szCs w:val="21"/>
                <w:lang w:eastAsia="ja-JP"/>
              </w:rPr>
              <w:t xml:space="preserve">Study </w:t>
            </w:r>
            <w:r w:rsidRPr="00B659EE">
              <w:rPr>
                <w:color w:val="000000"/>
                <w:sz w:val="20"/>
                <w:szCs w:val="21"/>
                <w:lang w:eastAsia="ja-JP"/>
              </w:rPr>
              <w:t>CA209039)</w:t>
            </w:r>
          </w:p>
          <w:p w:rsidR="0056587A" w:rsidRPr="00B659EE" w:rsidRDefault="0056587A" w:rsidP="00A2181C">
            <w:pPr>
              <w:keepNext/>
              <w:ind w:left="170" w:right="170"/>
              <w:rPr>
                <w:i/>
                <w:color w:val="000000"/>
                <w:sz w:val="20"/>
                <w:szCs w:val="21"/>
                <w:lang w:eastAsia="ja-JP"/>
              </w:rPr>
            </w:pPr>
            <w:r w:rsidRPr="00B659EE">
              <w:rPr>
                <w:i/>
                <w:color w:val="000000"/>
                <w:sz w:val="20"/>
                <w:szCs w:val="21"/>
                <w:lang w:eastAsia="ja-JP"/>
              </w:rPr>
              <w:t>Death:</w:t>
            </w:r>
          </w:p>
          <w:p w:rsidR="00340BAD" w:rsidRPr="00B659EE" w:rsidRDefault="0056587A" w:rsidP="00A2181C">
            <w:pPr>
              <w:keepNext/>
              <w:numPr>
                <w:ilvl w:val="0"/>
                <w:numId w:val="32"/>
              </w:numPr>
              <w:ind w:right="170"/>
              <w:rPr>
                <w:color w:val="000000"/>
                <w:sz w:val="20"/>
                <w:szCs w:val="21"/>
                <w:lang w:eastAsia="ja-JP"/>
              </w:rPr>
            </w:pPr>
            <w:r w:rsidRPr="00B659EE">
              <w:rPr>
                <w:color w:val="000000"/>
                <w:sz w:val="20"/>
                <w:szCs w:val="21"/>
                <w:lang w:eastAsia="ja-JP"/>
              </w:rPr>
              <w:t xml:space="preserve">Deaths due to </w:t>
            </w:r>
            <w:proofErr w:type="spellStart"/>
            <w:r w:rsidRPr="00B659EE">
              <w:rPr>
                <w:color w:val="000000"/>
                <w:sz w:val="20"/>
                <w:szCs w:val="21"/>
                <w:lang w:eastAsia="ja-JP"/>
              </w:rPr>
              <w:t>nivolumab</w:t>
            </w:r>
            <w:proofErr w:type="spellEnd"/>
            <w:r w:rsidRPr="00B659EE">
              <w:rPr>
                <w:color w:val="000000"/>
                <w:sz w:val="20"/>
                <w:szCs w:val="21"/>
                <w:lang w:eastAsia="ja-JP"/>
              </w:rPr>
              <w:t xml:space="preserve"> toxicity reported in one patient (MSOF) (1.25%) although this w</w:t>
            </w:r>
            <w:r w:rsidR="00340BAD" w:rsidRPr="00B659EE">
              <w:rPr>
                <w:color w:val="000000"/>
                <w:sz w:val="20"/>
                <w:szCs w:val="21"/>
                <w:lang w:eastAsia="ja-JP"/>
              </w:rPr>
              <w:t>as changed after database lock.</w:t>
            </w:r>
          </w:p>
          <w:p w:rsidR="0056587A" w:rsidRPr="00B659EE" w:rsidRDefault="0056587A" w:rsidP="00A2181C">
            <w:pPr>
              <w:keepNext/>
              <w:numPr>
                <w:ilvl w:val="0"/>
                <w:numId w:val="32"/>
              </w:numPr>
              <w:ind w:right="170"/>
              <w:rPr>
                <w:color w:val="000000"/>
                <w:sz w:val="20"/>
                <w:szCs w:val="21"/>
                <w:lang w:eastAsia="ja-JP"/>
              </w:rPr>
            </w:pPr>
            <w:r w:rsidRPr="00B659EE">
              <w:rPr>
                <w:color w:val="000000"/>
                <w:sz w:val="20"/>
                <w:szCs w:val="21"/>
                <w:lang w:eastAsia="en-AU"/>
              </w:rPr>
              <w:t xml:space="preserve">Narratives of deaths and SAEs suggest that </w:t>
            </w:r>
            <w:proofErr w:type="spellStart"/>
            <w:r w:rsidRPr="00B659EE">
              <w:rPr>
                <w:color w:val="000000"/>
                <w:sz w:val="20"/>
                <w:szCs w:val="21"/>
                <w:lang w:eastAsia="en-AU"/>
              </w:rPr>
              <w:t>irAEs</w:t>
            </w:r>
            <w:proofErr w:type="spellEnd"/>
            <w:r w:rsidRPr="00B659EE">
              <w:rPr>
                <w:color w:val="000000"/>
                <w:sz w:val="20"/>
                <w:szCs w:val="21"/>
                <w:lang w:eastAsia="en-AU"/>
              </w:rPr>
              <w:t xml:space="preserve"> were under-recognised and under-treated in some patients and may have contributed to deaths.</w:t>
            </w:r>
          </w:p>
          <w:p w:rsidR="0056587A" w:rsidRPr="00B659EE" w:rsidRDefault="0056587A" w:rsidP="00A2181C">
            <w:pPr>
              <w:keepNext/>
              <w:ind w:left="170" w:right="170"/>
              <w:rPr>
                <w:i/>
                <w:color w:val="000000"/>
                <w:sz w:val="20"/>
                <w:szCs w:val="21"/>
                <w:lang w:eastAsia="ja-JP"/>
              </w:rPr>
            </w:pPr>
            <w:r w:rsidRPr="00B659EE">
              <w:rPr>
                <w:i/>
                <w:color w:val="000000"/>
                <w:sz w:val="20"/>
                <w:szCs w:val="21"/>
                <w:lang w:eastAsia="ja-JP"/>
              </w:rPr>
              <w:t>Immune mediated AEs:</w:t>
            </w:r>
          </w:p>
          <w:p w:rsidR="0056587A" w:rsidRPr="00B659EE" w:rsidRDefault="005218B6" w:rsidP="00A2181C">
            <w:pPr>
              <w:pStyle w:val="ListBullet"/>
              <w:keepNext/>
              <w:numPr>
                <w:ilvl w:val="0"/>
                <w:numId w:val="3"/>
              </w:numPr>
              <w:ind w:right="170"/>
              <w:rPr>
                <w:color w:val="000000"/>
                <w:sz w:val="20"/>
                <w:szCs w:val="21"/>
                <w:lang w:eastAsia="ja-JP"/>
              </w:rPr>
            </w:pPr>
            <w:r w:rsidRPr="00B659EE">
              <w:rPr>
                <w:color w:val="000000"/>
                <w:sz w:val="20"/>
                <w:szCs w:val="21"/>
                <w:lang w:eastAsia="ja-JP"/>
              </w:rPr>
              <w:t>All cause IM</w:t>
            </w:r>
            <w:r w:rsidR="0056587A" w:rsidRPr="00B659EE">
              <w:rPr>
                <w:color w:val="000000"/>
                <w:sz w:val="20"/>
                <w:szCs w:val="21"/>
                <w:lang w:eastAsia="ja-JP"/>
              </w:rPr>
              <w:t>AEs (up to 100 days post last dose and requiring treatment with immunosuppression) included: rash (14%), hypersensitivity (6.3%), pneumonitis (5.3%), hepatitis (5.3%), diarrhoea/colitis (1.1%), nephritis and renal dysfunction (0.4%)</w:t>
            </w:r>
            <w:r w:rsidR="00340BAD" w:rsidRPr="00B659EE">
              <w:rPr>
                <w:color w:val="000000"/>
                <w:sz w:val="20"/>
                <w:szCs w:val="21"/>
                <w:lang w:eastAsia="ja-JP"/>
              </w:rPr>
              <w:t>.</w:t>
            </w:r>
          </w:p>
          <w:p w:rsidR="00340BAD"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 xml:space="preserve">All cause immune mediated endocrine AEs not requiring immunosuppression: hypothyroidism/thyroiditis (15.8%), adrenal insufficiency (1.1%), </w:t>
            </w:r>
            <w:proofErr w:type="gramStart"/>
            <w:r w:rsidRPr="00B659EE">
              <w:rPr>
                <w:color w:val="000000"/>
                <w:sz w:val="20"/>
                <w:szCs w:val="21"/>
                <w:lang w:eastAsia="ja-JP"/>
              </w:rPr>
              <w:t>hyperthyroidism</w:t>
            </w:r>
            <w:proofErr w:type="gramEnd"/>
            <w:r w:rsidRPr="00B659EE">
              <w:rPr>
                <w:color w:val="000000"/>
                <w:sz w:val="20"/>
                <w:szCs w:val="21"/>
                <w:lang w:eastAsia="ja-JP"/>
              </w:rPr>
              <w:t xml:space="preserve"> (1.1%)</w:t>
            </w:r>
            <w:r w:rsidR="00340BAD" w:rsidRPr="00B659EE">
              <w:rPr>
                <w:color w:val="000000"/>
                <w:sz w:val="20"/>
                <w:szCs w:val="21"/>
                <w:lang w:eastAsia="ja-JP"/>
              </w:rPr>
              <w:t>.</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 xml:space="preserve">The </w:t>
            </w:r>
            <w:r w:rsidR="00340BAD" w:rsidRPr="00B659EE">
              <w:rPr>
                <w:color w:val="000000"/>
                <w:sz w:val="20"/>
                <w:szCs w:val="21"/>
                <w:lang w:eastAsia="ja-JP"/>
              </w:rPr>
              <w:t>IMAEs</w:t>
            </w:r>
            <w:r w:rsidRPr="00B659EE">
              <w:rPr>
                <w:color w:val="000000"/>
                <w:sz w:val="20"/>
                <w:szCs w:val="21"/>
                <w:lang w:eastAsia="ja-JP"/>
              </w:rPr>
              <w:t xml:space="preserve"> of pneumonitis, </w:t>
            </w:r>
            <w:r w:rsidR="00340BAD" w:rsidRPr="00B659EE">
              <w:rPr>
                <w:color w:val="000000"/>
                <w:sz w:val="20"/>
                <w:szCs w:val="21"/>
                <w:lang w:eastAsia="ja-JP"/>
              </w:rPr>
              <w:t>TEN</w:t>
            </w:r>
            <w:r w:rsidRPr="00B659EE">
              <w:rPr>
                <w:color w:val="000000"/>
                <w:sz w:val="20"/>
                <w:szCs w:val="21"/>
                <w:lang w:eastAsia="ja-JP"/>
              </w:rPr>
              <w:t xml:space="preserve">, </w:t>
            </w:r>
            <w:r w:rsidR="00340BAD" w:rsidRPr="00B659EE">
              <w:rPr>
                <w:color w:val="000000"/>
                <w:sz w:val="20"/>
                <w:szCs w:val="21"/>
                <w:lang w:eastAsia="ja-JP"/>
              </w:rPr>
              <w:t>SJS</w:t>
            </w:r>
            <w:r w:rsidRPr="00B659EE">
              <w:rPr>
                <w:color w:val="000000"/>
                <w:sz w:val="20"/>
                <w:szCs w:val="21"/>
                <w:lang w:eastAsia="ja-JP"/>
              </w:rPr>
              <w:t xml:space="preserve">, hepatitis, encephalitis, myasthenia gravis, myositis, myocarditis and rhabdomyolysis have each been associated with fatal outcome in patients receiving </w:t>
            </w:r>
            <w:proofErr w:type="spellStart"/>
            <w:r w:rsidRPr="00B659EE">
              <w:rPr>
                <w:color w:val="000000"/>
                <w:sz w:val="20"/>
                <w:szCs w:val="21"/>
                <w:lang w:eastAsia="ja-JP"/>
              </w:rPr>
              <w:t>nivolumab</w:t>
            </w:r>
            <w:proofErr w:type="spellEnd"/>
            <w:r w:rsidRPr="00B659EE">
              <w:rPr>
                <w:color w:val="000000"/>
                <w:sz w:val="20"/>
                <w:szCs w:val="21"/>
                <w:lang w:eastAsia="ja-JP"/>
              </w:rPr>
              <w:t xml:space="preserve"> monotherapy.</w:t>
            </w:r>
          </w:p>
          <w:p w:rsidR="0056587A" w:rsidRPr="00B659EE" w:rsidRDefault="0056587A" w:rsidP="00A2181C">
            <w:pPr>
              <w:keepNext/>
              <w:ind w:left="170" w:right="170"/>
              <w:rPr>
                <w:i/>
                <w:color w:val="000000"/>
                <w:sz w:val="20"/>
                <w:szCs w:val="21"/>
                <w:lang w:eastAsia="ja-JP"/>
              </w:rPr>
            </w:pPr>
            <w:r w:rsidRPr="00B659EE">
              <w:rPr>
                <w:i/>
                <w:color w:val="000000"/>
                <w:sz w:val="20"/>
                <w:szCs w:val="21"/>
                <w:lang w:eastAsia="ja-JP"/>
              </w:rPr>
              <w:t xml:space="preserve">Increased risk of complications of </w:t>
            </w:r>
            <w:proofErr w:type="spellStart"/>
            <w:r w:rsidRPr="00B659EE">
              <w:rPr>
                <w:i/>
                <w:color w:val="000000"/>
                <w:sz w:val="20"/>
                <w:szCs w:val="21"/>
                <w:lang w:eastAsia="ja-JP"/>
              </w:rPr>
              <w:t>allo</w:t>
            </w:r>
            <w:proofErr w:type="spellEnd"/>
            <w:r w:rsidRPr="00B659EE">
              <w:rPr>
                <w:i/>
                <w:color w:val="000000"/>
                <w:sz w:val="20"/>
                <w:szCs w:val="21"/>
                <w:lang w:eastAsia="ja-JP"/>
              </w:rPr>
              <w:t>-SCT:</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 xml:space="preserve">Potential increase in GVHD and other complications in patients having </w:t>
            </w:r>
            <w:proofErr w:type="spellStart"/>
            <w:r w:rsidRPr="00B659EE">
              <w:rPr>
                <w:color w:val="000000"/>
                <w:sz w:val="20"/>
                <w:szCs w:val="21"/>
                <w:lang w:eastAsia="ja-JP"/>
              </w:rPr>
              <w:t>allo</w:t>
            </w:r>
            <w:proofErr w:type="spellEnd"/>
            <w:r w:rsidRPr="00B659EE">
              <w:rPr>
                <w:color w:val="000000"/>
                <w:sz w:val="20"/>
                <w:szCs w:val="21"/>
                <w:lang w:eastAsia="ja-JP"/>
              </w:rPr>
              <w:t xml:space="preserve">-SCT after </w:t>
            </w:r>
            <w:proofErr w:type="spellStart"/>
            <w:r w:rsidRPr="00B659EE">
              <w:rPr>
                <w:color w:val="000000"/>
                <w:sz w:val="20"/>
                <w:szCs w:val="21"/>
                <w:lang w:eastAsia="ja-JP"/>
              </w:rPr>
              <w:t>nivolumab</w:t>
            </w:r>
            <w:proofErr w:type="spellEnd"/>
            <w:r w:rsidRPr="00B659EE">
              <w:rPr>
                <w:color w:val="000000"/>
                <w:sz w:val="20"/>
                <w:szCs w:val="21"/>
                <w:lang w:eastAsia="ja-JP"/>
              </w:rPr>
              <w:t xml:space="preserve"> treatment.</w:t>
            </w:r>
          </w:p>
        </w:tc>
        <w:tc>
          <w:tcPr>
            <w:tcW w:w="3544" w:type="dxa"/>
            <w:shd w:val="clear" w:color="auto" w:fill="auto"/>
          </w:tcPr>
          <w:p w:rsidR="0056587A" w:rsidRPr="00B659EE" w:rsidRDefault="0056587A" w:rsidP="00B659EE">
            <w:pPr>
              <w:keepNext/>
              <w:ind w:right="170"/>
              <w:rPr>
                <w:color w:val="000000"/>
                <w:sz w:val="20"/>
                <w:szCs w:val="21"/>
                <w:lang w:eastAsia="en-AU"/>
              </w:rPr>
            </w:pPr>
            <w:r w:rsidRPr="00B659EE">
              <w:rPr>
                <w:color w:val="000000"/>
                <w:sz w:val="20"/>
                <w:szCs w:val="21"/>
                <w:lang w:eastAsia="ja-JP"/>
              </w:rPr>
              <w:t>Strengths:</w:t>
            </w:r>
          </w:p>
          <w:p w:rsidR="0056587A" w:rsidRPr="00B659EE" w:rsidRDefault="0056587A" w:rsidP="00A2181C">
            <w:pPr>
              <w:pStyle w:val="ListBullet"/>
              <w:keepNext/>
              <w:ind w:right="170"/>
              <w:rPr>
                <w:color w:val="000000"/>
                <w:sz w:val="20"/>
                <w:szCs w:val="21"/>
                <w:lang w:eastAsia="ja-JP"/>
              </w:rPr>
            </w:pPr>
            <w:r w:rsidRPr="00B659EE">
              <w:rPr>
                <w:color w:val="000000"/>
                <w:sz w:val="20"/>
                <w:szCs w:val="21"/>
                <w:lang w:eastAsia="ja-JP"/>
              </w:rPr>
              <w:t>Despite the frequency of AEs, there was no apparent effect on aver</w:t>
            </w:r>
            <w:r w:rsidR="00340BAD" w:rsidRPr="00B659EE">
              <w:rPr>
                <w:color w:val="000000"/>
                <w:sz w:val="20"/>
                <w:szCs w:val="21"/>
                <w:lang w:eastAsia="ja-JP"/>
              </w:rPr>
              <w:t xml:space="preserve">age measures of </w:t>
            </w:r>
            <w:proofErr w:type="spellStart"/>
            <w:r w:rsidR="00340BAD" w:rsidRPr="00B659EE">
              <w:rPr>
                <w:color w:val="000000"/>
                <w:sz w:val="20"/>
                <w:szCs w:val="21"/>
                <w:lang w:eastAsia="ja-JP"/>
              </w:rPr>
              <w:t>QoL</w:t>
            </w:r>
            <w:proofErr w:type="spellEnd"/>
            <w:r w:rsidR="00340BAD" w:rsidRPr="00B659EE">
              <w:rPr>
                <w:color w:val="000000"/>
                <w:sz w:val="20"/>
                <w:szCs w:val="21"/>
                <w:lang w:eastAsia="ja-JP"/>
              </w:rPr>
              <w:t xml:space="preserve"> during the Weeks 9 to</w:t>
            </w:r>
            <w:r w:rsidRPr="00B659EE">
              <w:rPr>
                <w:color w:val="000000"/>
                <w:sz w:val="20"/>
                <w:szCs w:val="21"/>
                <w:lang w:eastAsia="ja-JP"/>
              </w:rPr>
              <w:t>33 of treatment</w:t>
            </w:r>
          </w:p>
          <w:p w:rsidR="0056587A" w:rsidRPr="00B659EE" w:rsidRDefault="0056587A" w:rsidP="00A2181C">
            <w:pPr>
              <w:pStyle w:val="ListBullet"/>
              <w:keepNext/>
              <w:ind w:right="170"/>
              <w:rPr>
                <w:color w:val="000000"/>
                <w:sz w:val="20"/>
                <w:szCs w:val="21"/>
                <w:lang w:eastAsia="ja-JP"/>
              </w:rPr>
            </w:pPr>
            <w:r w:rsidRPr="00B659EE">
              <w:rPr>
                <w:color w:val="000000"/>
                <w:sz w:val="20"/>
                <w:szCs w:val="21"/>
                <w:lang w:eastAsia="ja-JP"/>
              </w:rPr>
              <w:t xml:space="preserve">Deaths recognised as resulting from </w:t>
            </w:r>
            <w:proofErr w:type="spellStart"/>
            <w:r w:rsidRPr="00B659EE">
              <w:rPr>
                <w:color w:val="000000"/>
                <w:sz w:val="20"/>
                <w:szCs w:val="21"/>
                <w:lang w:eastAsia="ja-JP"/>
              </w:rPr>
              <w:t>nivolumab</w:t>
            </w:r>
            <w:proofErr w:type="spellEnd"/>
            <w:r w:rsidRPr="00B659EE">
              <w:rPr>
                <w:color w:val="000000"/>
                <w:sz w:val="20"/>
                <w:szCs w:val="21"/>
                <w:lang w:eastAsia="ja-JP"/>
              </w:rPr>
              <w:t xml:space="preserve"> toxicity were rare; discontinuations due to AEs were infrequent.</w:t>
            </w:r>
          </w:p>
          <w:p w:rsidR="0056587A" w:rsidRPr="00B659EE" w:rsidRDefault="0056587A" w:rsidP="00B659EE">
            <w:pPr>
              <w:keepNext/>
              <w:ind w:right="170"/>
              <w:rPr>
                <w:color w:val="000000"/>
                <w:sz w:val="20"/>
                <w:szCs w:val="21"/>
                <w:lang w:eastAsia="en-AU"/>
              </w:rPr>
            </w:pPr>
            <w:r w:rsidRPr="00B659EE">
              <w:rPr>
                <w:color w:val="000000"/>
                <w:sz w:val="20"/>
                <w:szCs w:val="21"/>
                <w:lang w:eastAsia="ja-JP"/>
              </w:rPr>
              <w:t>Uncertainties:</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Reliability of results given small patient number and notin</w:t>
            </w:r>
            <w:r w:rsidR="00E4149F" w:rsidRPr="00B659EE">
              <w:rPr>
                <w:color w:val="000000"/>
                <w:sz w:val="20"/>
                <w:szCs w:val="21"/>
                <w:lang w:eastAsia="ja-JP"/>
              </w:rPr>
              <w:t xml:space="preserve">g differences in reported AEs, Grade 3 or </w:t>
            </w:r>
            <w:r w:rsidRPr="00B659EE">
              <w:rPr>
                <w:color w:val="000000"/>
                <w:sz w:val="20"/>
                <w:szCs w:val="21"/>
                <w:lang w:eastAsia="ja-JP"/>
              </w:rPr>
              <w:t xml:space="preserve">4 AEs and SAEs between the two studies presented by the sponsor and between the two </w:t>
            </w:r>
            <w:proofErr w:type="spellStart"/>
            <w:r w:rsidRPr="00B659EE">
              <w:rPr>
                <w:color w:val="000000"/>
                <w:sz w:val="20"/>
                <w:szCs w:val="21"/>
                <w:lang w:eastAsia="ja-JP"/>
              </w:rPr>
              <w:t>cHL</w:t>
            </w:r>
            <w:proofErr w:type="spellEnd"/>
            <w:r w:rsidRPr="00B659EE">
              <w:rPr>
                <w:color w:val="000000"/>
                <w:sz w:val="20"/>
                <w:szCs w:val="21"/>
                <w:lang w:eastAsia="ja-JP"/>
              </w:rPr>
              <w:t xml:space="preserve"> populations (target </w:t>
            </w:r>
            <w:proofErr w:type="spellStart"/>
            <w:r w:rsidRPr="00B659EE">
              <w:rPr>
                <w:color w:val="000000"/>
                <w:sz w:val="20"/>
                <w:szCs w:val="21"/>
                <w:lang w:eastAsia="ja-JP"/>
              </w:rPr>
              <w:t>cHL</w:t>
            </w:r>
            <w:proofErr w:type="spellEnd"/>
            <w:r w:rsidRPr="00B659EE">
              <w:rPr>
                <w:color w:val="000000"/>
                <w:sz w:val="20"/>
                <w:szCs w:val="21"/>
                <w:lang w:eastAsia="ja-JP"/>
              </w:rPr>
              <w:t xml:space="preserve"> population and all </w:t>
            </w:r>
            <w:proofErr w:type="spellStart"/>
            <w:r w:rsidRPr="00B659EE">
              <w:rPr>
                <w:color w:val="000000"/>
                <w:sz w:val="20"/>
                <w:szCs w:val="21"/>
                <w:lang w:eastAsia="ja-JP"/>
              </w:rPr>
              <w:t>cHL</w:t>
            </w:r>
            <w:proofErr w:type="spellEnd"/>
            <w:r w:rsidRPr="00B659EE">
              <w:rPr>
                <w:color w:val="000000"/>
                <w:sz w:val="20"/>
                <w:szCs w:val="21"/>
                <w:lang w:eastAsia="ja-JP"/>
              </w:rPr>
              <w:t xml:space="preserve"> population)</w:t>
            </w:r>
          </w:p>
          <w:p w:rsidR="0056587A" w:rsidRPr="00B659EE" w:rsidRDefault="0056587A" w:rsidP="00A2181C">
            <w:pPr>
              <w:pStyle w:val="ListBullet"/>
              <w:keepNext/>
              <w:numPr>
                <w:ilvl w:val="0"/>
                <w:numId w:val="3"/>
              </w:numPr>
              <w:ind w:right="170"/>
              <w:rPr>
                <w:color w:val="000000"/>
                <w:sz w:val="20"/>
                <w:szCs w:val="21"/>
                <w:lang w:eastAsia="ja-JP"/>
              </w:rPr>
            </w:pPr>
            <w:r w:rsidRPr="00B659EE">
              <w:rPr>
                <w:color w:val="000000"/>
                <w:sz w:val="20"/>
                <w:szCs w:val="21"/>
                <w:lang w:eastAsia="ja-JP"/>
              </w:rPr>
              <w:t xml:space="preserve">Uncertainty regarding safety in the </w:t>
            </w:r>
            <w:proofErr w:type="spellStart"/>
            <w:r w:rsidRPr="00B659EE">
              <w:rPr>
                <w:color w:val="000000"/>
                <w:sz w:val="20"/>
                <w:szCs w:val="21"/>
                <w:lang w:eastAsia="ja-JP"/>
              </w:rPr>
              <w:t>cHL</w:t>
            </w:r>
            <w:proofErr w:type="spellEnd"/>
            <w:r w:rsidRPr="00B659EE">
              <w:rPr>
                <w:color w:val="000000"/>
                <w:sz w:val="20"/>
                <w:szCs w:val="21"/>
                <w:lang w:eastAsia="ja-JP"/>
              </w:rPr>
              <w:t xml:space="preserve"> SCE population in comparison to safety reported in other tumour types, noting the increased exposure in patients with </w:t>
            </w:r>
            <w:proofErr w:type="spellStart"/>
            <w:r w:rsidRPr="00B659EE">
              <w:rPr>
                <w:color w:val="000000"/>
                <w:sz w:val="20"/>
                <w:szCs w:val="21"/>
                <w:lang w:eastAsia="ja-JP"/>
              </w:rPr>
              <w:t>cHL</w:t>
            </w:r>
            <w:proofErr w:type="spellEnd"/>
            <w:r w:rsidRPr="00B659EE">
              <w:rPr>
                <w:color w:val="000000"/>
                <w:sz w:val="20"/>
                <w:szCs w:val="21"/>
                <w:lang w:eastAsia="ja-JP"/>
              </w:rPr>
              <w:t xml:space="preserve"> (due to reduced clearance and longer duration)</w:t>
            </w:r>
          </w:p>
          <w:p w:rsidR="00B659EE" w:rsidRDefault="0056587A" w:rsidP="005218B6">
            <w:pPr>
              <w:pStyle w:val="ListBullet"/>
              <w:keepNext/>
              <w:numPr>
                <w:ilvl w:val="0"/>
                <w:numId w:val="3"/>
              </w:numPr>
              <w:ind w:right="170"/>
              <w:rPr>
                <w:color w:val="000000"/>
                <w:sz w:val="20"/>
                <w:szCs w:val="21"/>
                <w:lang w:eastAsia="ja-JP"/>
              </w:rPr>
            </w:pPr>
            <w:r w:rsidRPr="00B659EE">
              <w:rPr>
                <w:color w:val="000000"/>
                <w:sz w:val="20"/>
                <w:szCs w:val="21"/>
                <w:lang w:eastAsia="ja-JP"/>
              </w:rPr>
              <w:t>Generalisability of safety results to the wider population outside clinical studies, noting that:</w:t>
            </w:r>
          </w:p>
          <w:p w:rsidR="00B659EE" w:rsidRPr="00B659EE" w:rsidRDefault="0056587A" w:rsidP="00B659EE">
            <w:pPr>
              <w:pStyle w:val="ListBullet2"/>
              <w:rPr>
                <w:sz w:val="20"/>
                <w:lang w:eastAsia="ja-JP"/>
              </w:rPr>
            </w:pPr>
            <w:proofErr w:type="gramStart"/>
            <w:r w:rsidRPr="00B659EE">
              <w:rPr>
                <w:sz w:val="20"/>
                <w:lang w:eastAsia="ja-JP"/>
              </w:rPr>
              <w:t>patients</w:t>
            </w:r>
            <w:proofErr w:type="gramEnd"/>
            <w:r w:rsidRPr="00B659EE">
              <w:rPr>
                <w:sz w:val="20"/>
                <w:lang w:eastAsia="ja-JP"/>
              </w:rPr>
              <w:t xml:space="preserve"> with ECOG &gt;1 and patients with interstitial lung disease were excluded.</w:t>
            </w:r>
          </w:p>
          <w:p w:rsidR="0056587A" w:rsidRPr="00B659EE" w:rsidRDefault="00B659EE" w:rsidP="00B659EE">
            <w:pPr>
              <w:pStyle w:val="ListBullet2"/>
              <w:rPr>
                <w:lang w:eastAsia="ja-JP"/>
              </w:rPr>
            </w:pPr>
            <w:r w:rsidRPr="00B659EE">
              <w:rPr>
                <w:sz w:val="20"/>
                <w:lang w:eastAsia="ja-JP"/>
              </w:rPr>
              <w:t>IMARs</w:t>
            </w:r>
            <w:r w:rsidR="0056587A" w:rsidRPr="00B659EE">
              <w:rPr>
                <w:sz w:val="20"/>
                <w:lang w:eastAsia="ja-JP"/>
              </w:rPr>
              <w:t xml:space="preserve"> in some patients in the clinical trials had delayed recognition and management despite specific training and the investigator’s brochure.</w:t>
            </w:r>
          </w:p>
        </w:tc>
      </w:tr>
    </w:tbl>
    <w:p w:rsidR="0056587A" w:rsidRPr="009D4CE3" w:rsidRDefault="0056587A" w:rsidP="0056587A">
      <w:pPr>
        <w:rPr>
          <w:lang w:eastAsia="ja-JP"/>
        </w:rPr>
      </w:pPr>
      <w:r w:rsidRPr="009D4CE3">
        <w:rPr>
          <w:lang w:eastAsia="ja-JP"/>
        </w:rPr>
        <w:lastRenderedPageBreak/>
        <w:t xml:space="preserve">With the updated safety data, it is apparent, from discrepancies across the </w:t>
      </w:r>
      <w:r>
        <w:rPr>
          <w:lang w:eastAsia="ja-JP"/>
        </w:rPr>
        <w:t>two</w:t>
      </w:r>
      <w:r w:rsidRPr="009D4CE3">
        <w:rPr>
          <w:lang w:eastAsia="ja-JP"/>
        </w:rPr>
        <w:t xml:space="preserve"> </w:t>
      </w:r>
      <w:proofErr w:type="spellStart"/>
      <w:r w:rsidRPr="009D4CE3">
        <w:rPr>
          <w:lang w:eastAsia="ja-JP"/>
        </w:rPr>
        <w:t>cHL</w:t>
      </w:r>
      <w:proofErr w:type="spellEnd"/>
      <w:r w:rsidRPr="009D4CE3">
        <w:rPr>
          <w:lang w:eastAsia="ja-JP"/>
        </w:rPr>
        <w:t xml:space="preserve"> popu</w:t>
      </w:r>
      <w:r>
        <w:rPr>
          <w:lang w:eastAsia="ja-JP"/>
        </w:rPr>
        <w:t xml:space="preserve">lations in the rates of Grade 3 to 4 AEs, SAEs and </w:t>
      </w:r>
      <w:r w:rsidR="00340BAD">
        <w:rPr>
          <w:lang w:eastAsia="ja-JP"/>
        </w:rPr>
        <w:t>DR</w:t>
      </w:r>
      <w:r w:rsidRPr="009D4CE3">
        <w:rPr>
          <w:lang w:eastAsia="ja-JP"/>
        </w:rPr>
        <w:t xml:space="preserve">AEs, that there are some uncertainties in the characterisation of the safety of </w:t>
      </w:r>
      <w:proofErr w:type="spellStart"/>
      <w:r w:rsidRPr="009D4CE3">
        <w:rPr>
          <w:lang w:eastAsia="ja-JP"/>
        </w:rPr>
        <w:t>nivolumab</w:t>
      </w:r>
      <w:proofErr w:type="spellEnd"/>
      <w:r w:rsidRPr="009D4CE3">
        <w:rPr>
          <w:lang w:eastAsia="ja-JP"/>
        </w:rPr>
        <w:t xml:space="preserve"> for the proposed indication. Discrepancies between the safety summaries of the two </w:t>
      </w:r>
      <w:proofErr w:type="spellStart"/>
      <w:r w:rsidRPr="009D4CE3">
        <w:rPr>
          <w:lang w:eastAsia="ja-JP"/>
        </w:rPr>
        <w:t>cHL</w:t>
      </w:r>
      <w:proofErr w:type="spellEnd"/>
      <w:r w:rsidRPr="009D4CE3">
        <w:rPr>
          <w:lang w:eastAsia="ja-JP"/>
        </w:rPr>
        <w:t xml:space="preserve"> populations and solid tumour populations also limit any generalisability from current experience with </w:t>
      </w:r>
      <w:proofErr w:type="spellStart"/>
      <w:r w:rsidRPr="009D4CE3">
        <w:rPr>
          <w:lang w:eastAsia="ja-JP"/>
        </w:rPr>
        <w:t>nivolumab</w:t>
      </w:r>
      <w:proofErr w:type="spellEnd"/>
      <w:r w:rsidRPr="009D4CE3">
        <w:rPr>
          <w:lang w:eastAsia="ja-JP"/>
        </w:rPr>
        <w:t xml:space="preserve">. The possibility that safety may be worse in patients with </w:t>
      </w:r>
      <w:proofErr w:type="spellStart"/>
      <w:r w:rsidRPr="009D4CE3">
        <w:rPr>
          <w:lang w:eastAsia="ja-JP"/>
        </w:rPr>
        <w:t>cHL</w:t>
      </w:r>
      <w:proofErr w:type="spellEnd"/>
      <w:r w:rsidRPr="009D4CE3">
        <w:rPr>
          <w:lang w:eastAsia="ja-JP"/>
        </w:rPr>
        <w:t xml:space="preserve">, both due to longer treatment duration and higher exposure per dose, </w:t>
      </w:r>
      <w:r>
        <w:rPr>
          <w:lang w:eastAsia="ja-JP"/>
        </w:rPr>
        <w:t>cannot be excluded.</w:t>
      </w:r>
    </w:p>
    <w:p w:rsidR="0056587A" w:rsidRPr="009D4CE3" w:rsidRDefault="0056587A" w:rsidP="0056587A">
      <w:pPr>
        <w:rPr>
          <w:lang w:eastAsia="ja-JP"/>
        </w:rPr>
      </w:pPr>
      <w:r w:rsidRPr="009D4CE3">
        <w:rPr>
          <w:lang w:eastAsia="ja-JP"/>
        </w:rPr>
        <w:t xml:space="preserve">Determining the impact of </w:t>
      </w:r>
      <w:proofErr w:type="spellStart"/>
      <w:r w:rsidRPr="009D4CE3">
        <w:rPr>
          <w:lang w:eastAsia="ja-JP"/>
        </w:rPr>
        <w:t>nivolumab</w:t>
      </w:r>
      <w:proofErr w:type="spellEnd"/>
      <w:r w:rsidRPr="009D4CE3">
        <w:rPr>
          <w:lang w:eastAsia="ja-JP"/>
        </w:rPr>
        <w:t xml:space="preserve"> treatment on patients is difficult from the data provided. The narratives describe a number of </w:t>
      </w:r>
      <w:r>
        <w:rPr>
          <w:lang w:eastAsia="ja-JP"/>
        </w:rPr>
        <w:t xml:space="preserve">patients with </w:t>
      </w:r>
      <w:r w:rsidR="00340BAD">
        <w:rPr>
          <w:lang w:eastAsia="ja-JP"/>
        </w:rPr>
        <w:t>IR</w:t>
      </w:r>
      <w:r>
        <w:rPr>
          <w:lang w:eastAsia="ja-JP"/>
        </w:rPr>
        <w:t>AEs</w:t>
      </w:r>
      <w:r w:rsidRPr="009D4CE3">
        <w:rPr>
          <w:lang w:eastAsia="ja-JP"/>
        </w:rPr>
        <w:t xml:space="preserve"> occurring both concurrently and sequentially. In some of these patients, adverse reactions that appear from the narratives t</w:t>
      </w:r>
      <w:r>
        <w:rPr>
          <w:lang w:eastAsia="ja-JP"/>
        </w:rPr>
        <w:t>o</w:t>
      </w:r>
      <w:r w:rsidRPr="009D4CE3">
        <w:rPr>
          <w:lang w:eastAsia="ja-JP"/>
        </w:rPr>
        <w:t xml:space="preserve"> be immune related were not suspected by the investigator and treatment with immunosuppressive therapy was delayed. There were also some deaths th</w:t>
      </w:r>
      <w:r>
        <w:rPr>
          <w:lang w:eastAsia="ja-JP"/>
        </w:rPr>
        <w:t xml:space="preserve">at appeared to be due to </w:t>
      </w:r>
      <w:proofErr w:type="spellStart"/>
      <w:r w:rsidR="00D9067B">
        <w:rPr>
          <w:lang w:eastAsia="ja-JP"/>
        </w:rPr>
        <w:t>irAR</w:t>
      </w:r>
      <w:r w:rsidR="00340BAD">
        <w:rPr>
          <w:lang w:eastAsia="ja-JP"/>
        </w:rPr>
        <w:t>s</w:t>
      </w:r>
      <w:proofErr w:type="spellEnd"/>
      <w:r w:rsidRPr="009D4CE3">
        <w:rPr>
          <w:lang w:eastAsia="ja-JP"/>
        </w:rPr>
        <w:t xml:space="preserve"> that had not been attributed to </w:t>
      </w:r>
      <w:proofErr w:type="spellStart"/>
      <w:r w:rsidRPr="009D4CE3">
        <w:rPr>
          <w:lang w:eastAsia="ja-JP"/>
        </w:rPr>
        <w:t>nivolumab</w:t>
      </w:r>
      <w:proofErr w:type="spellEnd"/>
      <w:r w:rsidRPr="009D4CE3">
        <w:rPr>
          <w:lang w:eastAsia="ja-JP"/>
        </w:rPr>
        <w:t xml:space="preserve"> treatment. The sponsor’s response to one clinical question has indicated that around one third of </w:t>
      </w:r>
      <w:proofErr w:type="spellStart"/>
      <w:r w:rsidRPr="009D4CE3">
        <w:rPr>
          <w:lang w:eastAsia="ja-JP"/>
        </w:rPr>
        <w:t>cHL</w:t>
      </w:r>
      <w:proofErr w:type="spellEnd"/>
      <w:r w:rsidRPr="009D4CE3">
        <w:rPr>
          <w:lang w:eastAsia="ja-JP"/>
        </w:rPr>
        <w:t xml:space="preserve"> patients require prolonged hospitalisation during treatment with </w:t>
      </w:r>
      <w:proofErr w:type="spellStart"/>
      <w:r w:rsidRPr="009D4CE3">
        <w:rPr>
          <w:lang w:eastAsia="ja-JP"/>
        </w:rPr>
        <w:t>nivolumab</w:t>
      </w:r>
      <w:proofErr w:type="spellEnd"/>
      <w:r w:rsidRPr="009D4CE3">
        <w:rPr>
          <w:lang w:eastAsia="ja-JP"/>
        </w:rPr>
        <w:t>. However, the rate of discontinuations due to AEs was low and the analysis of the quality of life measures found an average improvement to baseline for the first 33 weeks.</w:t>
      </w:r>
    </w:p>
    <w:p w:rsidR="0056587A" w:rsidRPr="009D4CE3" w:rsidRDefault="0056587A" w:rsidP="0056587A">
      <w:pPr>
        <w:rPr>
          <w:lang w:eastAsia="ja-JP"/>
        </w:rPr>
      </w:pPr>
      <w:r w:rsidRPr="009D4CE3">
        <w:rPr>
          <w:lang w:eastAsia="ja-JP"/>
        </w:rPr>
        <w:t>The proposed methods of distribution of the full PI remain a concern, given the dependence by the sponsor on third parties for availability of the electronic version. It is also concerning that while the sponsor’s other documents, such as the P</w:t>
      </w:r>
      <w:r w:rsidR="00340BAD">
        <w:rPr>
          <w:lang w:eastAsia="ja-JP"/>
        </w:rPr>
        <w:t xml:space="preserve">atient Alert Card and the </w:t>
      </w:r>
      <w:proofErr w:type="spellStart"/>
      <w:r w:rsidR="00D9067B">
        <w:rPr>
          <w:lang w:eastAsia="ja-JP"/>
        </w:rPr>
        <w:t>irAR</w:t>
      </w:r>
      <w:proofErr w:type="spellEnd"/>
      <w:r w:rsidRPr="009D4CE3">
        <w:rPr>
          <w:lang w:eastAsia="ja-JP"/>
        </w:rPr>
        <w:t xml:space="preserve"> Management Guide, appropriately direct readers to consult the full PI, these documents do not provide internet addresses at which the electronic version can be found. A telephone number is provided but it is not clear to the evaluator as to wheth</w:t>
      </w:r>
      <w:r>
        <w:rPr>
          <w:lang w:eastAsia="ja-JP"/>
        </w:rPr>
        <w:t xml:space="preserve">er this will be available </w:t>
      </w:r>
      <w:r w:rsidR="00F622E4">
        <w:rPr>
          <w:lang w:eastAsia="ja-JP"/>
        </w:rPr>
        <w:t>on a 24 hourly</w:t>
      </w:r>
      <w:r>
        <w:rPr>
          <w:lang w:eastAsia="ja-JP"/>
        </w:rPr>
        <w:t>, 7 days a week basis.</w:t>
      </w:r>
    </w:p>
    <w:p w:rsidR="0056587A" w:rsidRPr="009D4CE3" w:rsidRDefault="0056587A" w:rsidP="0056587A">
      <w:pPr>
        <w:rPr>
          <w:lang w:eastAsia="ja-JP"/>
        </w:rPr>
      </w:pPr>
      <w:r w:rsidRPr="009D4CE3">
        <w:rPr>
          <w:lang w:eastAsia="ja-JP"/>
        </w:rPr>
        <w:t xml:space="preserve">The </w:t>
      </w:r>
      <w:r w:rsidR="00340BAD">
        <w:rPr>
          <w:lang w:eastAsia="ja-JP"/>
        </w:rPr>
        <w:t xml:space="preserve">availability of the sponsor’s </w:t>
      </w:r>
      <w:proofErr w:type="spellStart"/>
      <w:r w:rsidR="00D9067B">
        <w:rPr>
          <w:lang w:eastAsia="ja-JP"/>
        </w:rPr>
        <w:t>irAR</w:t>
      </w:r>
      <w:proofErr w:type="spellEnd"/>
      <w:r w:rsidRPr="009D4CE3">
        <w:rPr>
          <w:lang w:eastAsia="ja-JP"/>
        </w:rPr>
        <w:t xml:space="preserve"> Management Guideline to clinicians is less of a concern now that other groups have developed management guidelines (</w:t>
      </w:r>
      <w:r>
        <w:rPr>
          <w:lang w:eastAsia="ja-JP"/>
        </w:rPr>
        <w:t>for example,</w:t>
      </w:r>
      <w:r w:rsidRPr="009D4CE3">
        <w:rPr>
          <w:lang w:eastAsia="ja-JP"/>
        </w:rPr>
        <w:t xml:space="preserve"> </w:t>
      </w:r>
      <w:proofErr w:type="spellStart"/>
      <w:r w:rsidRPr="009D4CE3">
        <w:rPr>
          <w:lang w:eastAsia="ja-JP"/>
        </w:rPr>
        <w:t>eviQ</w:t>
      </w:r>
      <w:proofErr w:type="spellEnd"/>
      <w:r w:rsidRPr="009D4CE3">
        <w:rPr>
          <w:lang w:eastAsia="ja-JP"/>
        </w:rPr>
        <w:t xml:space="preserve"> guidelines published in December 2016).</w:t>
      </w:r>
    </w:p>
    <w:p w:rsidR="0056587A" w:rsidRPr="009D4CE3" w:rsidRDefault="0056587A" w:rsidP="003C6278">
      <w:pPr>
        <w:pStyle w:val="Heading4"/>
      </w:pPr>
      <w:bookmarkStart w:id="87" w:name="_Toc272414711"/>
      <w:bookmarkStart w:id="88" w:name="_Toc290846351"/>
      <w:bookmarkStart w:id="89" w:name="_Toc473012636"/>
      <w:r w:rsidRPr="009D4CE3">
        <w:t>Second round assessment of benefit-risk balance</w:t>
      </w:r>
      <w:bookmarkEnd w:id="87"/>
      <w:bookmarkEnd w:id="88"/>
      <w:bookmarkEnd w:id="89"/>
    </w:p>
    <w:p w:rsidR="0056587A" w:rsidRPr="009D4CE3" w:rsidRDefault="0056587A" w:rsidP="0056587A">
      <w:pPr>
        <w:rPr>
          <w:lang w:eastAsia="ja-JP"/>
        </w:rPr>
      </w:pPr>
      <w:r w:rsidRPr="009D4CE3">
        <w:rPr>
          <w:lang w:eastAsia="ja-JP"/>
        </w:rPr>
        <w:t xml:space="preserve">Patients with relapsed/refractory </w:t>
      </w:r>
      <w:proofErr w:type="spellStart"/>
      <w:r w:rsidRPr="009D4CE3">
        <w:rPr>
          <w:lang w:eastAsia="ja-JP"/>
        </w:rPr>
        <w:t>cHL</w:t>
      </w:r>
      <w:proofErr w:type="spellEnd"/>
      <w:r w:rsidRPr="009D4CE3">
        <w:rPr>
          <w:lang w:eastAsia="ja-JP"/>
        </w:rPr>
        <w:t xml:space="preserve"> following ASCT and </w:t>
      </w:r>
      <w:proofErr w:type="spellStart"/>
      <w:r w:rsidRPr="009D4CE3">
        <w:rPr>
          <w:lang w:eastAsia="ja-JP"/>
        </w:rPr>
        <w:t>brentuximab</w:t>
      </w:r>
      <w:proofErr w:type="spellEnd"/>
      <w:r w:rsidRPr="009D4CE3">
        <w:rPr>
          <w:lang w:eastAsia="ja-JP"/>
        </w:rPr>
        <w:t xml:space="preserve"> </w:t>
      </w:r>
      <w:proofErr w:type="spellStart"/>
      <w:r w:rsidRPr="009D4CE3">
        <w:rPr>
          <w:lang w:eastAsia="ja-JP"/>
        </w:rPr>
        <w:t>vedotin</w:t>
      </w:r>
      <w:proofErr w:type="spellEnd"/>
      <w:r w:rsidRPr="009D4CE3">
        <w:rPr>
          <w:lang w:eastAsia="ja-JP"/>
        </w:rPr>
        <w:t xml:space="preserve"> represent a group with unmet need and poor prognosis. Current treatment options may require a sequence of therapies to achieve a median overall survival of 2 years. In this setting, and despite the uncertainties regarding translation of the high ORR into improved overall survival, </w:t>
      </w:r>
      <w:proofErr w:type="spellStart"/>
      <w:r w:rsidRPr="009D4CE3">
        <w:rPr>
          <w:lang w:eastAsia="ja-JP"/>
        </w:rPr>
        <w:t>nivolumab</w:t>
      </w:r>
      <w:proofErr w:type="spellEnd"/>
      <w:r w:rsidRPr="009D4CE3">
        <w:rPr>
          <w:lang w:eastAsia="ja-JP"/>
        </w:rPr>
        <w:t xml:space="preserve"> treatment may provide an acceptable alternative treatment option.</w:t>
      </w:r>
    </w:p>
    <w:p w:rsidR="0056587A" w:rsidRDefault="0056587A" w:rsidP="0056587A">
      <w:pPr>
        <w:rPr>
          <w:lang w:eastAsia="ja-JP"/>
        </w:rPr>
      </w:pPr>
      <w:r w:rsidRPr="009D4CE3">
        <w:rPr>
          <w:lang w:eastAsia="ja-JP"/>
        </w:rPr>
        <w:t>The ben</w:t>
      </w:r>
      <w:r w:rsidR="003C6278">
        <w:rPr>
          <w:lang w:eastAsia="ja-JP"/>
        </w:rPr>
        <w:t xml:space="preserve">efit-risk balance of </w:t>
      </w:r>
      <w:proofErr w:type="spellStart"/>
      <w:r w:rsidR="003C6278">
        <w:rPr>
          <w:lang w:eastAsia="ja-JP"/>
        </w:rPr>
        <w:t>nivolumab</w:t>
      </w:r>
      <w:proofErr w:type="spellEnd"/>
      <w:r w:rsidR="003C6278">
        <w:rPr>
          <w:lang w:eastAsia="ja-JP"/>
        </w:rPr>
        <w:t xml:space="preserve"> is favourable provided the </w:t>
      </w:r>
      <w:r w:rsidRPr="009D4CE3">
        <w:rPr>
          <w:lang w:eastAsia="ja-JP"/>
        </w:rPr>
        <w:t xml:space="preserve">changes recommended in </w:t>
      </w:r>
      <w:r>
        <w:rPr>
          <w:lang w:eastAsia="ja-JP"/>
        </w:rPr>
        <w:t>the following ‘Second round recommendation regarding authorisation’</w:t>
      </w:r>
      <w:r w:rsidRPr="009D4CE3">
        <w:rPr>
          <w:lang w:eastAsia="ja-JP"/>
        </w:rPr>
        <w:t xml:space="preserve"> are adopted.</w:t>
      </w:r>
    </w:p>
    <w:p w:rsidR="009809FD" w:rsidRPr="009D4CE3" w:rsidRDefault="009809FD" w:rsidP="009809FD">
      <w:pPr>
        <w:pStyle w:val="Heading4"/>
      </w:pPr>
      <w:bookmarkStart w:id="90" w:name="_Toc430959554"/>
      <w:r w:rsidRPr="003442FE">
        <w:t>Second round recommendation regarding authorisation</w:t>
      </w:r>
      <w:bookmarkEnd w:id="90"/>
    </w:p>
    <w:p w:rsidR="003C6278" w:rsidRPr="005655C5" w:rsidRDefault="003C6278" w:rsidP="003C6278">
      <w:pPr>
        <w:rPr>
          <w:lang w:eastAsia="ja-JP"/>
        </w:rPr>
      </w:pPr>
      <w:r w:rsidRPr="005655C5">
        <w:rPr>
          <w:lang w:eastAsia="ja-JP"/>
        </w:rPr>
        <w:t xml:space="preserve">The evaluator recommends that </w:t>
      </w:r>
      <w:proofErr w:type="spellStart"/>
      <w:r w:rsidRPr="005655C5">
        <w:rPr>
          <w:lang w:eastAsia="ja-JP"/>
        </w:rPr>
        <w:t>nivolumab</w:t>
      </w:r>
      <w:proofErr w:type="spellEnd"/>
      <w:r w:rsidRPr="005655C5">
        <w:rPr>
          <w:lang w:eastAsia="ja-JP"/>
        </w:rPr>
        <w:t xml:space="preserve"> be approved for the following indication:</w:t>
      </w:r>
    </w:p>
    <w:p w:rsidR="003C6278" w:rsidRPr="005655C5" w:rsidRDefault="003C6278" w:rsidP="003C6278">
      <w:pPr>
        <w:ind w:left="720"/>
        <w:rPr>
          <w:i/>
        </w:rPr>
      </w:pPr>
      <w:r w:rsidRPr="005655C5">
        <w:rPr>
          <w:i/>
        </w:rPr>
        <w:t>‘</w:t>
      </w:r>
      <w:proofErr w:type="spellStart"/>
      <w:r>
        <w:rPr>
          <w:i/>
        </w:rPr>
        <w:t>Opdivo</w:t>
      </w:r>
      <w:proofErr w:type="spellEnd"/>
      <w:r w:rsidRPr="005655C5">
        <w:rPr>
          <w:i/>
        </w:rPr>
        <w:t xml:space="preserve"> as monotherapy is indicated for the treatment of adult patients with relapsed or refractory classical Hodgkin lymphoma (</w:t>
      </w:r>
      <w:proofErr w:type="spellStart"/>
      <w:r w:rsidRPr="005655C5">
        <w:rPr>
          <w:i/>
        </w:rPr>
        <w:t>cHL</w:t>
      </w:r>
      <w:proofErr w:type="spellEnd"/>
      <w:r w:rsidRPr="005655C5">
        <w:rPr>
          <w:i/>
        </w:rPr>
        <w:t xml:space="preserve">) after autologous stem cell transplant (ASCT) and treatment with </w:t>
      </w:r>
      <w:proofErr w:type="spellStart"/>
      <w:r w:rsidRPr="005655C5">
        <w:rPr>
          <w:i/>
        </w:rPr>
        <w:t>brentuximab</w:t>
      </w:r>
      <w:proofErr w:type="spellEnd"/>
      <w:r w:rsidRPr="005655C5">
        <w:rPr>
          <w:i/>
        </w:rPr>
        <w:t xml:space="preserve"> </w:t>
      </w:r>
      <w:proofErr w:type="spellStart"/>
      <w:r w:rsidRPr="005655C5">
        <w:rPr>
          <w:i/>
        </w:rPr>
        <w:t>vedotin</w:t>
      </w:r>
      <w:proofErr w:type="spellEnd"/>
      <w:r w:rsidRPr="005655C5">
        <w:rPr>
          <w:i/>
        </w:rPr>
        <w:t>.</w:t>
      </w:r>
    </w:p>
    <w:p w:rsidR="003C6278" w:rsidRPr="005655C5" w:rsidRDefault="003C6278" w:rsidP="003C6278">
      <w:pPr>
        <w:ind w:left="720"/>
        <w:rPr>
          <w:i/>
        </w:rPr>
      </w:pPr>
      <w:r w:rsidRPr="005655C5">
        <w:rPr>
          <w:i/>
        </w:rPr>
        <w:t xml:space="preserve">Note to </w:t>
      </w:r>
      <w:proofErr w:type="spellStart"/>
      <w:r w:rsidRPr="005655C5">
        <w:rPr>
          <w:i/>
        </w:rPr>
        <w:t>cHL</w:t>
      </w:r>
      <w:proofErr w:type="spellEnd"/>
      <w:r w:rsidRPr="005655C5">
        <w:rPr>
          <w:i/>
        </w:rPr>
        <w:t xml:space="preserve"> Indication: The approval for this indication is on the basis of objective response rate. An improvement in progression free survival or overall survival has not been demonstrated.’</w:t>
      </w:r>
    </w:p>
    <w:p w:rsidR="003C6278" w:rsidRPr="005655C5" w:rsidRDefault="003C6278" w:rsidP="003C6278">
      <w:pPr>
        <w:rPr>
          <w:lang w:eastAsia="ja-JP"/>
        </w:rPr>
      </w:pPr>
      <w:r w:rsidRPr="005655C5">
        <w:rPr>
          <w:lang w:eastAsia="ja-JP"/>
        </w:rPr>
        <w:t>This favourable recommendation is contingent on:</w:t>
      </w:r>
    </w:p>
    <w:p w:rsidR="003C6278" w:rsidRPr="005655C5" w:rsidRDefault="003C6278" w:rsidP="003C6278">
      <w:pPr>
        <w:pStyle w:val="ListBullet"/>
        <w:numPr>
          <w:ilvl w:val="0"/>
          <w:numId w:val="3"/>
        </w:numPr>
        <w:rPr>
          <w:lang w:eastAsia="ja-JP"/>
        </w:rPr>
      </w:pPr>
      <w:r w:rsidRPr="005655C5">
        <w:rPr>
          <w:lang w:eastAsia="ja-JP"/>
        </w:rPr>
        <w:t>Changes to the indication as recommended by the evaluator being adopted</w:t>
      </w:r>
      <w:r>
        <w:rPr>
          <w:lang w:eastAsia="ja-JP"/>
        </w:rPr>
        <w:t>.</w:t>
      </w:r>
    </w:p>
    <w:p w:rsidR="003C6278" w:rsidRPr="005655C5" w:rsidRDefault="003C6278" w:rsidP="003C6278">
      <w:pPr>
        <w:pStyle w:val="ListBullet"/>
        <w:numPr>
          <w:ilvl w:val="0"/>
          <w:numId w:val="3"/>
        </w:numPr>
        <w:rPr>
          <w:lang w:eastAsia="ja-JP"/>
        </w:rPr>
      </w:pPr>
      <w:r w:rsidRPr="005655C5">
        <w:rPr>
          <w:lang w:eastAsia="ja-JP"/>
        </w:rPr>
        <w:lastRenderedPageBreak/>
        <w:t>Changes to the product documentation as recommended by the evaluator being adopted</w:t>
      </w:r>
      <w:r>
        <w:rPr>
          <w:lang w:eastAsia="ja-JP"/>
        </w:rPr>
        <w:t>.</w:t>
      </w:r>
    </w:p>
    <w:p w:rsidR="003C6278" w:rsidRPr="005655C5" w:rsidRDefault="003C6278" w:rsidP="003C6278">
      <w:pPr>
        <w:pStyle w:val="ListBullet"/>
        <w:numPr>
          <w:ilvl w:val="0"/>
          <w:numId w:val="3"/>
        </w:numPr>
        <w:rPr>
          <w:lang w:eastAsia="ja-JP"/>
        </w:rPr>
      </w:pPr>
      <w:r w:rsidRPr="005655C5">
        <w:rPr>
          <w:lang w:eastAsia="ja-JP"/>
        </w:rPr>
        <w:t>Updated PFS and OS analysis for Study CA209039 being provided to the TGA</w:t>
      </w:r>
      <w:r>
        <w:rPr>
          <w:lang w:eastAsia="ja-JP"/>
        </w:rPr>
        <w:t>.</w:t>
      </w:r>
    </w:p>
    <w:p w:rsidR="00605AD4" w:rsidRPr="00605AD4" w:rsidRDefault="003C6278" w:rsidP="00546154">
      <w:pPr>
        <w:pStyle w:val="ListBullet"/>
        <w:numPr>
          <w:ilvl w:val="0"/>
          <w:numId w:val="3"/>
        </w:numPr>
        <w:rPr>
          <w:lang w:eastAsia="ja-JP"/>
        </w:rPr>
      </w:pPr>
      <w:r w:rsidRPr="005655C5">
        <w:rPr>
          <w:lang w:eastAsia="ja-JP"/>
        </w:rPr>
        <w:t xml:space="preserve">Updated efficacy results for Cohort B and </w:t>
      </w:r>
      <w:r>
        <w:rPr>
          <w:lang w:eastAsia="ja-JP"/>
        </w:rPr>
        <w:t>efficacy results for Cohorts A and C from Study </w:t>
      </w:r>
      <w:r w:rsidRPr="005655C5">
        <w:rPr>
          <w:lang w:eastAsia="ja-JP"/>
        </w:rPr>
        <w:t>CA2</w:t>
      </w:r>
      <w:r>
        <w:rPr>
          <w:lang w:eastAsia="ja-JP"/>
        </w:rPr>
        <w:t>09205 being provided to the TGA.</w:t>
      </w:r>
    </w:p>
    <w:p w:rsidR="00546154" w:rsidRDefault="008E7846" w:rsidP="00BE2F3C">
      <w:pPr>
        <w:pStyle w:val="Heading2"/>
      </w:pPr>
      <w:bookmarkStart w:id="91" w:name="_Toc497992248"/>
      <w:r w:rsidRPr="00E41208">
        <w:t xml:space="preserve">V. Pharmacovigilance </w:t>
      </w:r>
      <w:r>
        <w:t>f</w:t>
      </w:r>
      <w:r w:rsidRPr="00E41208">
        <w:t>indings</w:t>
      </w:r>
      <w:bookmarkStart w:id="92" w:name="_Toc247691526"/>
      <w:bookmarkStart w:id="93" w:name="_Toc314842509"/>
      <w:bookmarkEnd w:id="75"/>
      <w:bookmarkEnd w:id="76"/>
      <w:bookmarkEnd w:id="91"/>
    </w:p>
    <w:p w:rsidR="008E7846" w:rsidRDefault="00386150" w:rsidP="008E7846">
      <w:pPr>
        <w:pStyle w:val="Heading3"/>
        <w:rPr>
          <w:lang w:eastAsia="en-AU"/>
        </w:rPr>
      </w:pPr>
      <w:bookmarkStart w:id="94" w:name="_Toc497992249"/>
      <w:r>
        <w:rPr>
          <w:lang w:eastAsia="en-AU"/>
        </w:rPr>
        <w:t>Risk m</w:t>
      </w:r>
      <w:r w:rsidR="008E7846">
        <w:rPr>
          <w:lang w:eastAsia="en-AU"/>
        </w:rPr>
        <w:t xml:space="preserve">anagement </w:t>
      </w:r>
      <w:r>
        <w:rPr>
          <w:lang w:eastAsia="en-AU"/>
        </w:rPr>
        <w:t>p</w:t>
      </w:r>
      <w:r w:rsidR="008E7846">
        <w:rPr>
          <w:lang w:eastAsia="en-AU"/>
        </w:rPr>
        <w:t>lan</w:t>
      </w:r>
      <w:bookmarkEnd w:id="92"/>
      <w:bookmarkEnd w:id="93"/>
      <w:bookmarkEnd w:id="94"/>
    </w:p>
    <w:p w:rsidR="008E7846" w:rsidRDefault="008E7846" w:rsidP="008E7846">
      <w:pPr>
        <w:rPr>
          <w:lang w:eastAsia="en-AU"/>
        </w:rPr>
      </w:pPr>
      <w:r>
        <w:rPr>
          <w:lang w:eastAsia="en-AU"/>
        </w:rPr>
        <w:t>The sponsor submitted a Risk Management Plan</w:t>
      </w:r>
      <w:r w:rsidR="00412E08">
        <w:rPr>
          <w:lang w:eastAsia="en-AU"/>
        </w:rPr>
        <w:t xml:space="preserve"> (RMP)</w:t>
      </w:r>
      <w:r w:rsidR="005735F6">
        <w:rPr>
          <w:lang w:eastAsia="en-AU"/>
        </w:rPr>
        <w:t xml:space="preserve">: </w:t>
      </w:r>
      <w:r w:rsidR="005735F6" w:rsidRPr="005735F6">
        <w:rPr>
          <w:lang w:eastAsia="en-AU"/>
        </w:rPr>
        <w:t>EU-RMP version 6 (</w:t>
      </w:r>
      <w:r w:rsidR="005735F6">
        <w:rPr>
          <w:lang w:eastAsia="en-AU"/>
        </w:rPr>
        <w:t xml:space="preserve">dated </w:t>
      </w:r>
      <w:r w:rsidR="005735F6" w:rsidRPr="005735F6">
        <w:rPr>
          <w:lang w:eastAsia="en-AU"/>
        </w:rPr>
        <w:t>25 May 2016</w:t>
      </w:r>
      <w:r w:rsidR="005735F6">
        <w:rPr>
          <w:lang w:eastAsia="en-AU"/>
        </w:rPr>
        <w:t xml:space="preserve"> with a</w:t>
      </w:r>
      <w:r w:rsidR="005735F6" w:rsidRPr="005735F6">
        <w:rPr>
          <w:lang w:eastAsia="en-AU"/>
        </w:rPr>
        <w:t xml:space="preserve"> DLP </w:t>
      </w:r>
      <w:r w:rsidR="005735F6">
        <w:rPr>
          <w:lang w:eastAsia="en-AU"/>
        </w:rPr>
        <w:t xml:space="preserve">of </w:t>
      </w:r>
      <w:r w:rsidR="005735F6" w:rsidRPr="005735F6">
        <w:rPr>
          <w:lang w:eastAsia="en-AU"/>
        </w:rPr>
        <w:t xml:space="preserve">18 December 2015) and </w:t>
      </w:r>
      <w:r w:rsidR="005735F6">
        <w:rPr>
          <w:lang w:eastAsia="en-AU"/>
        </w:rPr>
        <w:t>Australian Specific Annex (</w:t>
      </w:r>
      <w:r w:rsidR="005735F6" w:rsidRPr="005735F6">
        <w:rPr>
          <w:lang w:eastAsia="en-AU"/>
        </w:rPr>
        <w:t>ASA</w:t>
      </w:r>
      <w:r w:rsidR="005735F6">
        <w:rPr>
          <w:lang w:eastAsia="en-AU"/>
        </w:rPr>
        <w:t>)</w:t>
      </w:r>
      <w:r w:rsidR="005735F6" w:rsidRPr="005735F6">
        <w:rPr>
          <w:lang w:eastAsia="en-AU"/>
        </w:rPr>
        <w:t xml:space="preserve"> version 6 (</w:t>
      </w:r>
      <w:r w:rsidR="005735F6">
        <w:rPr>
          <w:lang w:eastAsia="en-AU"/>
        </w:rPr>
        <w:t xml:space="preserve">dated </w:t>
      </w:r>
      <w:r w:rsidR="00E37261">
        <w:rPr>
          <w:lang w:eastAsia="en-AU"/>
        </w:rPr>
        <w:t>20 </w:t>
      </w:r>
      <w:r w:rsidR="005735F6" w:rsidRPr="005735F6">
        <w:rPr>
          <w:lang w:eastAsia="en-AU"/>
        </w:rPr>
        <w:t>September 2016)</w:t>
      </w:r>
      <w:r w:rsidR="005735F6">
        <w:rPr>
          <w:lang w:eastAsia="en-AU"/>
        </w:rPr>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604BF2" w:rsidRDefault="00604BF2" w:rsidP="00604BF2">
      <w:r>
        <w:t>The s</w:t>
      </w:r>
      <w:r w:rsidRPr="00604BF2">
        <w:t>ponsor has proposed the following Summary of Safety Concerns</w:t>
      </w:r>
      <w:r w:rsidR="00EB4A5D">
        <w:t xml:space="preserve"> shown in Table 22</w:t>
      </w:r>
      <w:r w:rsidR="00E37261">
        <w:t xml:space="preserve"> below</w:t>
      </w:r>
      <w:r w:rsidRPr="00604BF2">
        <w:t>. The Summary of Safety Co</w:t>
      </w:r>
      <w:r w:rsidR="00E37261">
        <w:t>ncerns remains unchanged in EU-R</w:t>
      </w:r>
      <w:r w:rsidRPr="00604BF2">
        <w:t xml:space="preserve">MP version 6 from the previous version. However, the Safety Concerns listed in the ASA include specific risks recommended by the RMP Evaluator (with the exception of the inclusion of </w:t>
      </w:r>
      <w:r w:rsidR="00E37261" w:rsidRPr="00E54B25">
        <w:t>systemic inflamm</w:t>
      </w:r>
      <w:r w:rsidR="00E37261">
        <w:t xml:space="preserve">atory response syndrome (SIRS), </w:t>
      </w:r>
      <w:r w:rsidR="00E37261" w:rsidRPr="00E54B25">
        <w:t>multiple or</w:t>
      </w:r>
      <w:r w:rsidR="00E37261">
        <w:t xml:space="preserve">gan dysfunction </w:t>
      </w:r>
      <w:proofErr w:type="gramStart"/>
      <w:r w:rsidR="00E37261">
        <w:t>syndrome</w:t>
      </w:r>
      <w:proofErr w:type="gramEnd"/>
      <w:r w:rsidR="00E37261">
        <w:t xml:space="preserve"> (MODS) and </w:t>
      </w:r>
      <w:r w:rsidR="00E37261" w:rsidRPr="00E54B25">
        <w:t>multiple organ failure (MOF)</w:t>
      </w:r>
      <w:r w:rsidR="00E37261">
        <w:t xml:space="preserve">) </w:t>
      </w:r>
      <w:r w:rsidRPr="00604BF2">
        <w:t xml:space="preserve">in the RMP evaluation for the </w:t>
      </w:r>
      <w:r w:rsidR="00487EC6">
        <w:t>RCC</w:t>
      </w:r>
      <w:r w:rsidRPr="00604BF2">
        <w:t xml:space="preserve"> indication. These additions </w:t>
      </w:r>
      <w:r w:rsidR="00EB4A5D">
        <w:t xml:space="preserve">with explanations are </w:t>
      </w:r>
      <w:r>
        <w:t xml:space="preserve">footnoted in </w:t>
      </w:r>
      <w:r w:rsidR="00EB4A5D">
        <w:t>T</w:t>
      </w:r>
      <w:r>
        <w:t>able</w:t>
      </w:r>
      <w:r w:rsidR="00003527">
        <w:t xml:space="preserve"> 17</w:t>
      </w:r>
      <w:r>
        <w:t xml:space="preserve"> below.</w:t>
      </w:r>
    </w:p>
    <w:p w:rsidR="008E7846" w:rsidRDefault="00003527" w:rsidP="008467B9">
      <w:pPr>
        <w:pStyle w:val="Tabletitle0"/>
        <w:rPr>
          <w:lang w:eastAsia="en-AU"/>
        </w:rPr>
      </w:pPr>
      <w:proofErr w:type="gramStart"/>
      <w:r>
        <w:rPr>
          <w:lang w:eastAsia="en-AU"/>
        </w:rPr>
        <w:t>Table 17</w:t>
      </w:r>
      <w:r w:rsidR="008467B9">
        <w:rPr>
          <w:lang w:eastAsia="en-AU"/>
        </w:rPr>
        <w:t>.</w:t>
      </w:r>
      <w:proofErr w:type="gramEnd"/>
      <w:r w:rsidR="009D4200">
        <w:rPr>
          <w:lang w:eastAsia="en-AU"/>
        </w:rPr>
        <w:t xml:space="preserve"> </w:t>
      </w:r>
      <w:r w:rsidR="009D4200" w:rsidRPr="00E54B25">
        <w:t>Sponsor’s sum</w:t>
      </w:r>
      <w:r w:rsidR="009D4200">
        <w:t>mary of ongoing safety concerns</w:t>
      </w:r>
    </w:p>
    <w:tbl>
      <w:tblPr>
        <w:tblW w:w="90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17 is a list of sponsor’s summary of ongoing safety concerns"/>
      </w:tblPr>
      <w:tblGrid>
        <w:gridCol w:w="3085"/>
        <w:gridCol w:w="5932"/>
      </w:tblGrid>
      <w:tr w:rsidR="00E54B25" w:rsidRPr="00030329" w:rsidTr="00A2181C">
        <w:trPr>
          <w:trHeight w:val="190"/>
          <w:tblHeader/>
        </w:trPr>
        <w:tc>
          <w:tcPr>
            <w:tcW w:w="9017"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006DA7"/>
          </w:tcPr>
          <w:p w:rsidR="00E54B25" w:rsidRPr="00A2181C" w:rsidRDefault="00003527" w:rsidP="00A2181C">
            <w:pPr>
              <w:keepNext/>
              <w:ind w:right="170"/>
              <w:rPr>
                <w:b/>
                <w:color w:val="FFFFFF"/>
                <w:szCs w:val="21"/>
                <w:lang w:eastAsia="en-AU"/>
              </w:rPr>
            </w:pPr>
            <w:r>
              <w:rPr>
                <w:b/>
                <w:color w:val="FFFFFF"/>
                <w:szCs w:val="21"/>
                <w:lang w:eastAsia="en-AU"/>
              </w:rPr>
              <w:t>Sponsor’s summary of ongoing safety concerns</w:t>
            </w:r>
          </w:p>
        </w:tc>
      </w:tr>
      <w:tr w:rsidR="00E54B25" w:rsidRPr="00030329" w:rsidTr="00003527">
        <w:trPr>
          <w:trHeight w:val="20"/>
        </w:trPr>
        <w:tc>
          <w:tcPr>
            <w:tcW w:w="3085" w:type="dxa"/>
            <w:vMerge w:val="restart"/>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Important identified risks</w:t>
            </w: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Immune related pneumonitis</w:t>
            </w:r>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Immune related colitis</w:t>
            </w:r>
          </w:p>
        </w:tc>
      </w:tr>
      <w:tr w:rsidR="00E54B25" w:rsidRPr="00E44A02"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Immune related hepatitis</w:t>
            </w:r>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Immune related nephritis or renal dysfunction</w:t>
            </w:r>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 xml:space="preserve">Immune related </w:t>
            </w:r>
            <w:proofErr w:type="spellStart"/>
            <w:r w:rsidRPr="00A2181C">
              <w:rPr>
                <w:color w:val="000000"/>
                <w:szCs w:val="21"/>
                <w:lang w:eastAsia="en-AU"/>
              </w:rPr>
              <w:t>endocrinopathies</w:t>
            </w:r>
            <w:proofErr w:type="spellEnd"/>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vertAlign w:val="superscript"/>
                <w:lang w:eastAsia="en-AU"/>
              </w:rPr>
            </w:pPr>
            <w:r w:rsidRPr="00A2181C">
              <w:rPr>
                <w:color w:val="000000"/>
                <w:szCs w:val="21"/>
                <w:lang w:eastAsia="en-AU"/>
              </w:rPr>
              <w:t>Immune related skin adverse reactions</w:t>
            </w:r>
            <w:r w:rsidR="00604BF2" w:rsidRPr="00A2181C">
              <w:rPr>
                <w:color w:val="000000"/>
                <w:szCs w:val="21"/>
                <w:vertAlign w:val="superscript"/>
                <w:lang w:eastAsia="en-AU"/>
              </w:rPr>
              <w:t>1</w:t>
            </w:r>
          </w:p>
        </w:tc>
      </w:tr>
      <w:tr w:rsidR="00E54B25" w:rsidRPr="007A362B"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vertAlign w:val="superscript"/>
                <w:lang w:eastAsia="en-AU"/>
              </w:rPr>
            </w:pPr>
            <w:r w:rsidRPr="00A2181C">
              <w:rPr>
                <w:color w:val="000000"/>
                <w:szCs w:val="21"/>
                <w:lang w:eastAsia="en-AU"/>
              </w:rPr>
              <w:t>Immune related neurological adverse events</w:t>
            </w:r>
            <w:r w:rsidR="00604BF2" w:rsidRPr="00A2181C">
              <w:rPr>
                <w:color w:val="000000"/>
                <w:szCs w:val="21"/>
                <w:vertAlign w:val="superscript"/>
                <w:lang w:eastAsia="en-AU"/>
              </w:rPr>
              <w:t>2</w:t>
            </w:r>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vertAlign w:val="superscript"/>
                <w:lang w:eastAsia="en-AU"/>
              </w:rPr>
            </w:pPr>
            <w:r w:rsidRPr="00A2181C">
              <w:rPr>
                <w:color w:val="000000"/>
                <w:szCs w:val="21"/>
                <w:lang w:eastAsia="en-AU"/>
              </w:rPr>
              <w:t xml:space="preserve">Other </w:t>
            </w:r>
            <w:proofErr w:type="spellStart"/>
            <w:r w:rsidR="00D9067B" w:rsidRPr="00A2181C">
              <w:rPr>
                <w:color w:val="000000"/>
                <w:szCs w:val="21"/>
                <w:lang w:eastAsia="en-AU"/>
              </w:rPr>
              <w:t>irAR</w:t>
            </w:r>
            <w:r w:rsidRPr="00A2181C">
              <w:rPr>
                <w:color w:val="000000"/>
                <w:szCs w:val="21"/>
                <w:lang w:eastAsia="en-AU"/>
              </w:rPr>
              <w:t>s</w:t>
            </w:r>
            <w:proofErr w:type="spellEnd"/>
            <w:r w:rsidRPr="00A2181C">
              <w:rPr>
                <w:color w:val="000000"/>
                <w:szCs w:val="21"/>
                <w:lang w:eastAsia="en-AU"/>
              </w:rPr>
              <w:t xml:space="preserve"> (including</w:t>
            </w:r>
            <w:r w:rsidR="00E37261" w:rsidRPr="00A2181C">
              <w:rPr>
                <w:color w:val="000000"/>
                <w:szCs w:val="21"/>
                <w:lang w:eastAsia="en-AU"/>
              </w:rPr>
              <w:t xml:space="preserve"> SIRS/MODS/MOF</w:t>
            </w:r>
            <w:r w:rsidRPr="00A2181C">
              <w:rPr>
                <w:color w:val="000000"/>
                <w:szCs w:val="21"/>
                <w:lang w:eastAsia="en-AU"/>
              </w:rPr>
              <w:t xml:space="preserve">, uveitis, pancreatitis, gastritis, sarcoidosis, </w:t>
            </w:r>
            <w:proofErr w:type="spellStart"/>
            <w:r w:rsidRPr="00A2181C">
              <w:rPr>
                <w:color w:val="000000"/>
                <w:szCs w:val="21"/>
                <w:lang w:eastAsia="en-AU"/>
              </w:rPr>
              <w:t>duodenitis</w:t>
            </w:r>
            <w:proofErr w:type="spellEnd"/>
            <w:r w:rsidRPr="00A2181C">
              <w:rPr>
                <w:color w:val="000000"/>
                <w:szCs w:val="21"/>
                <w:lang w:eastAsia="en-AU"/>
              </w:rPr>
              <w:t>, myositis, myocarditis, rhabdomyolysis)</w:t>
            </w:r>
            <w:r w:rsidR="00604BF2" w:rsidRPr="00A2181C">
              <w:rPr>
                <w:color w:val="000000"/>
                <w:szCs w:val="21"/>
                <w:vertAlign w:val="superscript"/>
                <w:lang w:eastAsia="en-AU"/>
              </w:rPr>
              <w:t>3</w:t>
            </w:r>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Severe infusion reactions</w:t>
            </w:r>
          </w:p>
        </w:tc>
      </w:tr>
      <w:tr w:rsidR="00E54B25" w:rsidRPr="00030329" w:rsidTr="00003527">
        <w:trPr>
          <w:cantSplit/>
          <w:trHeight w:val="20"/>
        </w:trPr>
        <w:tc>
          <w:tcPr>
            <w:tcW w:w="3085" w:type="dxa"/>
            <w:vMerge w:val="restart"/>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Important potential risks</w:t>
            </w:r>
          </w:p>
        </w:tc>
        <w:tc>
          <w:tcPr>
            <w:tcW w:w="5932" w:type="dxa"/>
            <w:shd w:val="clear" w:color="auto" w:fill="auto"/>
          </w:tcPr>
          <w:p w:rsidR="00E54B25" w:rsidRPr="00A2181C" w:rsidRDefault="00E54B25" w:rsidP="00A2181C">
            <w:pPr>
              <w:ind w:left="170" w:right="170"/>
              <w:rPr>
                <w:color w:val="000000"/>
                <w:szCs w:val="21"/>
                <w:lang w:eastAsia="en-AU"/>
              </w:rPr>
            </w:pPr>
            <w:proofErr w:type="spellStart"/>
            <w:r w:rsidRPr="00A2181C">
              <w:rPr>
                <w:color w:val="000000"/>
                <w:szCs w:val="21"/>
                <w:lang w:eastAsia="en-AU"/>
              </w:rPr>
              <w:t>Embryofetal</w:t>
            </w:r>
            <w:proofErr w:type="spellEnd"/>
            <w:r w:rsidRPr="00A2181C">
              <w:rPr>
                <w:color w:val="000000"/>
                <w:szCs w:val="21"/>
                <w:lang w:eastAsia="en-AU"/>
              </w:rPr>
              <w:t xml:space="preserve"> toxicity</w:t>
            </w:r>
          </w:p>
        </w:tc>
      </w:tr>
      <w:tr w:rsidR="00E54B25" w:rsidRPr="00030329" w:rsidTr="00003527">
        <w:trPr>
          <w:cantSplit/>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Immunogenicity</w:t>
            </w:r>
          </w:p>
        </w:tc>
      </w:tr>
      <w:tr w:rsidR="00E54B25" w:rsidRPr="00030329" w:rsidTr="00003527">
        <w:trPr>
          <w:cantSplit/>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Cardiac arrhythmias (previously treated melanoma indication only)</w:t>
            </w:r>
          </w:p>
        </w:tc>
      </w:tr>
      <w:tr w:rsidR="00E54B25" w:rsidRPr="00030329" w:rsidTr="00003527">
        <w:trPr>
          <w:trHeight w:val="20"/>
        </w:trPr>
        <w:tc>
          <w:tcPr>
            <w:tcW w:w="3085" w:type="dxa"/>
            <w:vMerge w:val="restart"/>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Missing information</w:t>
            </w: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Paediatric patients &lt; 18 years of age</w:t>
            </w:r>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Patients with severe hepatic and/or renal impairment</w:t>
            </w:r>
          </w:p>
        </w:tc>
      </w:tr>
      <w:tr w:rsidR="00E54B25" w:rsidRPr="00030329" w:rsidTr="00003527">
        <w:trPr>
          <w:trHeight w:val="46"/>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lang w:eastAsia="en-AU"/>
              </w:rPr>
            </w:pPr>
            <w:r w:rsidRPr="00A2181C">
              <w:rPr>
                <w:color w:val="000000"/>
                <w:szCs w:val="21"/>
                <w:lang w:eastAsia="en-AU"/>
              </w:rPr>
              <w:t>Patients with autoimmune disease</w:t>
            </w:r>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vertAlign w:val="superscript"/>
                <w:lang w:eastAsia="en-AU"/>
              </w:rPr>
            </w:pPr>
            <w:r w:rsidRPr="00A2181C">
              <w:rPr>
                <w:color w:val="000000"/>
                <w:szCs w:val="21"/>
                <w:lang w:eastAsia="en-AU"/>
              </w:rPr>
              <w:t xml:space="preserve">Patients already receiving systemic </w:t>
            </w:r>
            <w:proofErr w:type="spellStart"/>
            <w:r w:rsidRPr="00A2181C">
              <w:rPr>
                <w:color w:val="000000"/>
                <w:szCs w:val="21"/>
                <w:lang w:eastAsia="en-AU"/>
              </w:rPr>
              <w:t>immunosuppressants</w:t>
            </w:r>
            <w:proofErr w:type="spellEnd"/>
            <w:r w:rsidRPr="00A2181C">
              <w:rPr>
                <w:color w:val="000000"/>
                <w:szCs w:val="21"/>
                <w:lang w:eastAsia="en-AU"/>
              </w:rPr>
              <w:t xml:space="preserve"> before starting </w:t>
            </w:r>
            <w:proofErr w:type="spellStart"/>
            <w:r w:rsidRPr="00A2181C">
              <w:rPr>
                <w:color w:val="000000"/>
                <w:szCs w:val="21"/>
                <w:lang w:eastAsia="en-AU"/>
              </w:rPr>
              <w:t>nivolumab</w:t>
            </w:r>
            <w:proofErr w:type="spellEnd"/>
          </w:p>
        </w:tc>
      </w:tr>
      <w:tr w:rsidR="00E54B25" w:rsidRPr="00030329" w:rsidTr="00003527">
        <w:trPr>
          <w:trHeight w:val="20"/>
        </w:trPr>
        <w:tc>
          <w:tcPr>
            <w:tcW w:w="3085" w:type="dxa"/>
            <w:vMerge/>
            <w:shd w:val="clear" w:color="auto" w:fill="auto"/>
          </w:tcPr>
          <w:p w:rsidR="00E54B25" w:rsidRPr="00A2181C" w:rsidRDefault="00E54B25" w:rsidP="00A2181C">
            <w:pPr>
              <w:ind w:left="170" w:right="170"/>
              <w:rPr>
                <w:color w:val="000000"/>
                <w:szCs w:val="21"/>
                <w:lang w:eastAsia="en-AU"/>
              </w:rPr>
            </w:pPr>
          </w:p>
        </w:tc>
        <w:tc>
          <w:tcPr>
            <w:tcW w:w="5932" w:type="dxa"/>
            <w:shd w:val="clear" w:color="auto" w:fill="auto"/>
          </w:tcPr>
          <w:p w:rsidR="00E54B25" w:rsidRPr="00A2181C" w:rsidRDefault="00E54B25" w:rsidP="00A2181C">
            <w:pPr>
              <w:ind w:left="170" w:right="170"/>
              <w:rPr>
                <w:color w:val="000000"/>
                <w:szCs w:val="21"/>
                <w:vertAlign w:val="superscript"/>
                <w:lang w:eastAsia="en-AU"/>
              </w:rPr>
            </w:pPr>
            <w:r w:rsidRPr="00A2181C">
              <w:rPr>
                <w:color w:val="000000"/>
                <w:szCs w:val="21"/>
                <w:lang w:eastAsia="en-AU"/>
              </w:rPr>
              <w:t xml:space="preserve">Potential effect of influenza vaccine on safety risks to patients treated with </w:t>
            </w:r>
            <w:proofErr w:type="spellStart"/>
            <w:r w:rsidRPr="00A2181C">
              <w:rPr>
                <w:color w:val="000000"/>
                <w:szCs w:val="21"/>
                <w:lang w:eastAsia="en-AU"/>
              </w:rPr>
              <w:t>nivolumab</w:t>
            </w:r>
            <w:proofErr w:type="spellEnd"/>
            <w:r w:rsidRPr="00A2181C">
              <w:rPr>
                <w:color w:val="000000"/>
                <w:szCs w:val="21"/>
                <w:lang w:eastAsia="en-AU"/>
              </w:rPr>
              <w:t xml:space="preserve"> or with the combination regimen</w:t>
            </w:r>
            <w:r w:rsidR="00604BF2" w:rsidRPr="00A2181C">
              <w:rPr>
                <w:color w:val="000000"/>
                <w:szCs w:val="21"/>
                <w:vertAlign w:val="superscript"/>
                <w:lang w:eastAsia="en-AU"/>
              </w:rPr>
              <w:t>2</w:t>
            </w:r>
          </w:p>
        </w:tc>
      </w:tr>
    </w:tbl>
    <w:p w:rsidR="00E37261" w:rsidRDefault="00604BF2" w:rsidP="00604BF2">
      <w:pPr>
        <w:pStyle w:val="TableDescription"/>
      </w:pPr>
      <w:r>
        <w:rPr>
          <w:lang w:eastAsia="en-AU"/>
        </w:rPr>
        <w:t xml:space="preserve">1) </w:t>
      </w:r>
      <w:r w:rsidRPr="00E83227">
        <w:t>Slight alteration</w:t>
      </w:r>
      <w:r>
        <w:t xml:space="preserve"> in the wording</w:t>
      </w:r>
      <w:r w:rsidRPr="00E83227">
        <w:t xml:space="preserve"> from ASA version 4</w:t>
      </w:r>
      <w:r>
        <w:t xml:space="preserve"> (Immune </w:t>
      </w:r>
      <w:r w:rsidRPr="00E83227">
        <w:t>Related Rash and Severe Skin Reactions) to ASA version 6 (</w:t>
      </w:r>
      <w:r>
        <w:t>Immune related skin adverse r</w:t>
      </w:r>
      <w:r w:rsidRPr="00E83227">
        <w:t>eactions)</w:t>
      </w:r>
      <w:r>
        <w:t>. In the EU RMP version 6 this Safety Concern is s</w:t>
      </w:r>
      <w:r w:rsidR="00E37261">
        <w:t>tated as ‘Immune Related Rash.’</w:t>
      </w:r>
    </w:p>
    <w:p w:rsidR="00E37261" w:rsidRDefault="00604BF2" w:rsidP="00604BF2">
      <w:pPr>
        <w:pStyle w:val="TableDescription"/>
      </w:pPr>
      <w:r>
        <w:t>2)</w:t>
      </w:r>
      <w:r w:rsidR="008467B9">
        <w:t xml:space="preserve"> Safety concerns </w:t>
      </w:r>
      <w:r w:rsidR="008467B9" w:rsidRPr="008467B9">
        <w:t xml:space="preserve">listed in the ASA </w:t>
      </w:r>
      <w:r w:rsidR="008467B9">
        <w:t xml:space="preserve">and added to </w:t>
      </w:r>
      <w:r w:rsidR="008467B9" w:rsidRPr="008467B9">
        <w:t>include specifi</w:t>
      </w:r>
      <w:r w:rsidR="008467B9">
        <w:t>c risks recommended by the RMP e</w:t>
      </w:r>
      <w:r w:rsidR="008467B9" w:rsidRPr="008467B9">
        <w:t xml:space="preserve">valuator in the RMP evaluation for the </w:t>
      </w:r>
      <w:r w:rsidR="00487EC6">
        <w:t>RCC</w:t>
      </w:r>
      <w:r w:rsidR="008467B9" w:rsidRPr="008467B9">
        <w:t xml:space="preserve"> indication.</w:t>
      </w:r>
    </w:p>
    <w:p w:rsidR="00E54B25" w:rsidRPr="00604BF2" w:rsidRDefault="008467B9" w:rsidP="00604BF2">
      <w:pPr>
        <w:pStyle w:val="TableDescription"/>
        <w:rPr>
          <w:lang w:eastAsia="en-AU"/>
        </w:rPr>
      </w:pPr>
      <w:r>
        <w:t>3) Recommended by the clinical e</w:t>
      </w:r>
      <w:r w:rsidRPr="008467B9">
        <w:t xml:space="preserve">valuator for the Safety Concerns for </w:t>
      </w:r>
      <w:proofErr w:type="spellStart"/>
      <w:r w:rsidRPr="008467B9">
        <w:t>nivolumab</w:t>
      </w:r>
      <w:proofErr w:type="spellEnd"/>
      <w:r w:rsidRPr="008467B9">
        <w:t xml:space="preserve"> and the extension of indication (</w:t>
      </w:r>
      <w:r w:rsidR="00487EC6">
        <w:t>RCC</w:t>
      </w:r>
      <w:r w:rsidRPr="008467B9">
        <w:t xml:space="preserve">) but at this stage not added to the Safety Concerns by the sponsor in ASA version 6. At the 7 October 2016 ACPM meeting, the Committee considered that there is insufficient evidence to support a precaution about </w:t>
      </w:r>
      <w:r>
        <w:t>SIRS/MODS/</w:t>
      </w:r>
      <w:r w:rsidRPr="008467B9">
        <w:t xml:space="preserve">MOF. The ACPM noted that the number of SIRS reviewed by sponsor is insufficient to make a causal linkage and that based on the data available from MODS/MOF cases, these events could be attributed to underlying disease progression rather than </w:t>
      </w:r>
      <w:proofErr w:type="spellStart"/>
      <w:r w:rsidRPr="008467B9">
        <w:t>nivolumab</w:t>
      </w:r>
      <w:proofErr w:type="spellEnd"/>
      <w:r w:rsidRPr="008467B9">
        <w:t xml:space="preserve"> therapy.</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8467B9" w:rsidRDefault="008467B9" w:rsidP="008467B9">
      <w:pPr>
        <w:rPr>
          <w:lang w:eastAsia="en-AU"/>
        </w:rPr>
      </w:pPr>
      <w:r w:rsidRPr="008467B9">
        <w:rPr>
          <w:lang w:eastAsia="en-AU"/>
        </w:rPr>
        <w:t xml:space="preserve">Additional pharmacovigilance activities have been proposed for the important identified risks, as well as the important potential risk of cardiac arrhythmia </w:t>
      </w:r>
      <w:r w:rsidR="009D4200">
        <w:rPr>
          <w:lang w:eastAsia="en-AU"/>
        </w:rPr>
        <w:t xml:space="preserve">and are shown in </w:t>
      </w:r>
      <w:r w:rsidR="00003527">
        <w:rPr>
          <w:lang w:eastAsia="en-AU"/>
        </w:rPr>
        <w:t>Table 18</w:t>
      </w:r>
      <w:r w:rsidR="009D4200">
        <w:rPr>
          <w:lang w:eastAsia="en-AU"/>
        </w:rPr>
        <w:t xml:space="preserve"> below</w:t>
      </w:r>
      <w:r w:rsidRPr="008467B9">
        <w:rPr>
          <w:lang w:eastAsia="en-AU"/>
        </w:rPr>
        <w:t xml:space="preserve">. No tumour/indication specific changes have been proposed to the Pharmacovigilance section of the ASA since the TGA approved </w:t>
      </w:r>
      <w:proofErr w:type="spellStart"/>
      <w:r w:rsidRPr="008467B9">
        <w:rPr>
          <w:lang w:eastAsia="en-AU"/>
        </w:rPr>
        <w:t>nivolumab</w:t>
      </w:r>
      <w:proofErr w:type="spellEnd"/>
      <w:r w:rsidRPr="008467B9">
        <w:rPr>
          <w:lang w:eastAsia="en-AU"/>
        </w:rPr>
        <w:t xml:space="preserve"> ASA v</w:t>
      </w:r>
      <w:r>
        <w:rPr>
          <w:lang w:eastAsia="en-AU"/>
        </w:rPr>
        <w:t xml:space="preserve">ersion </w:t>
      </w:r>
      <w:r w:rsidRPr="008467B9">
        <w:rPr>
          <w:lang w:eastAsia="en-AU"/>
        </w:rPr>
        <w:t>2.2 (</w:t>
      </w:r>
      <w:r>
        <w:rPr>
          <w:lang w:eastAsia="en-AU"/>
        </w:rPr>
        <w:t xml:space="preserve">that is, </w:t>
      </w:r>
      <w:r w:rsidRPr="008467B9">
        <w:rPr>
          <w:lang w:eastAsia="en-AU"/>
        </w:rPr>
        <w:t>versions 2.2 through 6).</w:t>
      </w:r>
    </w:p>
    <w:p w:rsidR="008E21B8" w:rsidRPr="008E21B8" w:rsidRDefault="00003527" w:rsidP="009D4200">
      <w:pPr>
        <w:pStyle w:val="Tabletitle0"/>
        <w:rPr>
          <w:lang w:eastAsia="en-AU"/>
        </w:rPr>
      </w:pPr>
      <w:proofErr w:type="gramStart"/>
      <w:r>
        <w:rPr>
          <w:lang w:eastAsia="en-AU"/>
        </w:rPr>
        <w:t>Table 18</w:t>
      </w:r>
      <w:r w:rsidR="008E21B8" w:rsidRPr="008E21B8">
        <w:rPr>
          <w:lang w:eastAsia="en-AU"/>
        </w:rPr>
        <w:t>.</w:t>
      </w:r>
      <w:proofErr w:type="gramEnd"/>
      <w:r w:rsidR="008E21B8" w:rsidRPr="008E21B8">
        <w:rPr>
          <w:lang w:eastAsia="en-AU"/>
        </w:rPr>
        <w:t xml:space="preserve"> Pharmacovigilance plan</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Description w:val="Table 18 is a list of the pharmacovigilance plan"/>
      </w:tblPr>
      <w:tblGrid>
        <w:gridCol w:w="1951"/>
        <w:gridCol w:w="3119"/>
        <w:gridCol w:w="2126"/>
        <w:gridCol w:w="1984"/>
      </w:tblGrid>
      <w:tr w:rsidR="00DF5D00" w:rsidRPr="008E21B8" w:rsidTr="00E03EF5">
        <w:trPr>
          <w:tblHeader/>
        </w:trPr>
        <w:tc>
          <w:tcPr>
            <w:tcW w:w="1951" w:type="dxa"/>
            <w:tcBorders>
              <w:top w:val="single" w:sz="8" w:space="0" w:color="000000"/>
              <w:left w:val="single" w:sz="8" w:space="0" w:color="000000"/>
              <w:bottom w:val="single" w:sz="8" w:space="0" w:color="000000"/>
              <w:right w:val="nil"/>
              <w:tl2br w:val="nil"/>
              <w:tr2bl w:val="nil"/>
            </w:tcBorders>
            <w:shd w:val="clear" w:color="auto" w:fill="006DA7"/>
          </w:tcPr>
          <w:p w:rsidR="008E21B8" w:rsidRPr="00A2181C" w:rsidRDefault="00E03EF5" w:rsidP="00E03EF5">
            <w:pPr>
              <w:keepNext/>
              <w:ind w:right="170"/>
              <w:rPr>
                <w:b/>
                <w:color w:val="FFFFFF"/>
                <w:szCs w:val="21"/>
                <w:lang w:eastAsia="en-AU"/>
              </w:rPr>
            </w:pPr>
            <w:r>
              <w:rPr>
                <w:b/>
                <w:color w:val="FFFFFF"/>
                <w:szCs w:val="21"/>
                <w:lang w:eastAsia="en-AU"/>
              </w:rPr>
              <w:t>Safety c</w:t>
            </w:r>
            <w:r w:rsidR="008E21B8" w:rsidRPr="00A2181C">
              <w:rPr>
                <w:b/>
                <w:color w:val="FFFFFF"/>
                <w:szCs w:val="21"/>
                <w:lang w:eastAsia="en-AU"/>
              </w:rPr>
              <w:t>oncern</w:t>
            </w:r>
          </w:p>
        </w:tc>
        <w:tc>
          <w:tcPr>
            <w:tcW w:w="3119" w:type="dxa"/>
            <w:tcBorders>
              <w:top w:val="single" w:sz="8" w:space="0" w:color="000000"/>
              <w:left w:val="nil"/>
              <w:bottom w:val="single" w:sz="8" w:space="0" w:color="000000"/>
              <w:right w:val="nil"/>
              <w:tl2br w:val="nil"/>
              <w:tr2bl w:val="nil"/>
            </w:tcBorders>
            <w:shd w:val="clear" w:color="auto" w:fill="006DA7"/>
          </w:tcPr>
          <w:p w:rsidR="008E21B8" w:rsidRPr="00A2181C" w:rsidRDefault="008E21B8" w:rsidP="00E03EF5">
            <w:pPr>
              <w:keepNext/>
              <w:ind w:right="170"/>
              <w:rPr>
                <w:b/>
                <w:color w:val="FFFFFF"/>
                <w:szCs w:val="21"/>
                <w:lang w:eastAsia="en-AU"/>
              </w:rPr>
            </w:pPr>
            <w:r w:rsidRPr="00A2181C">
              <w:rPr>
                <w:b/>
                <w:color w:val="FFFFFF"/>
                <w:szCs w:val="21"/>
                <w:lang w:eastAsia="en-AU"/>
              </w:rPr>
              <w:t>Additional activity</w:t>
            </w:r>
          </w:p>
        </w:tc>
        <w:tc>
          <w:tcPr>
            <w:tcW w:w="2126" w:type="dxa"/>
            <w:tcBorders>
              <w:top w:val="single" w:sz="8" w:space="0" w:color="000000"/>
              <w:left w:val="nil"/>
              <w:bottom w:val="single" w:sz="8" w:space="0" w:color="000000"/>
              <w:right w:val="nil"/>
              <w:tl2br w:val="nil"/>
              <w:tr2bl w:val="nil"/>
            </w:tcBorders>
            <w:shd w:val="clear" w:color="auto" w:fill="006DA7"/>
          </w:tcPr>
          <w:p w:rsidR="008E21B8" w:rsidRPr="00A2181C" w:rsidRDefault="008E21B8" w:rsidP="00E03EF5">
            <w:pPr>
              <w:keepNext/>
              <w:rPr>
                <w:b/>
                <w:color w:val="FFFFFF"/>
                <w:szCs w:val="21"/>
                <w:lang w:eastAsia="en-AU"/>
              </w:rPr>
            </w:pPr>
            <w:r w:rsidRPr="00A2181C">
              <w:rPr>
                <w:b/>
                <w:color w:val="FFFFFF"/>
                <w:szCs w:val="21"/>
                <w:lang w:eastAsia="en-AU"/>
              </w:rPr>
              <w:t>Proposed actions/outcomes</w:t>
            </w:r>
          </w:p>
        </w:tc>
        <w:tc>
          <w:tcPr>
            <w:tcW w:w="1984" w:type="dxa"/>
            <w:tcBorders>
              <w:top w:val="single" w:sz="8" w:space="0" w:color="000000"/>
              <w:left w:val="nil"/>
              <w:bottom w:val="single" w:sz="8" w:space="0" w:color="000000"/>
              <w:right w:val="single" w:sz="8" w:space="0" w:color="000000"/>
              <w:tl2br w:val="nil"/>
              <w:tr2bl w:val="nil"/>
            </w:tcBorders>
            <w:shd w:val="clear" w:color="auto" w:fill="006DA7"/>
          </w:tcPr>
          <w:p w:rsidR="008E21B8" w:rsidRPr="00A2181C" w:rsidRDefault="008E21B8" w:rsidP="00E03EF5">
            <w:pPr>
              <w:keepNext/>
              <w:rPr>
                <w:b/>
                <w:color w:val="FFFFFF"/>
                <w:szCs w:val="21"/>
                <w:lang w:eastAsia="en-AU"/>
              </w:rPr>
            </w:pPr>
            <w:r w:rsidRPr="00A2181C">
              <w:rPr>
                <w:b/>
                <w:color w:val="FFFFFF"/>
                <w:szCs w:val="21"/>
                <w:lang w:eastAsia="en-AU"/>
              </w:rPr>
              <w:t>Planned submission date</w:t>
            </w:r>
          </w:p>
        </w:tc>
      </w:tr>
      <w:tr w:rsidR="008E21B8" w:rsidRPr="008E21B8" w:rsidTr="00E03EF5">
        <w:tc>
          <w:tcPr>
            <w:tcW w:w="9180" w:type="dxa"/>
            <w:gridSpan w:val="4"/>
            <w:shd w:val="clear" w:color="auto" w:fill="auto"/>
          </w:tcPr>
          <w:p w:rsidR="008E21B8" w:rsidRPr="00A2181C" w:rsidRDefault="00115ED5" w:rsidP="00A2181C">
            <w:pPr>
              <w:ind w:left="170" w:right="170"/>
              <w:rPr>
                <w:b/>
                <w:i/>
                <w:color w:val="000000"/>
                <w:szCs w:val="21"/>
                <w:lang w:eastAsia="en-AU"/>
              </w:rPr>
            </w:pPr>
            <w:r w:rsidRPr="00A2181C">
              <w:rPr>
                <w:b/>
                <w:i/>
                <w:color w:val="000000"/>
                <w:szCs w:val="21"/>
                <w:lang w:eastAsia="en-AU"/>
              </w:rPr>
              <w:t>Ongoing studies (</w:t>
            </w:r>
            <w:r w:rsidR="008E21B8" w:rsidRPr="00A2181C">
              <w:rPr>
                <w:b/>
                <w:i/>
                <w:color w:val="000000"/>
                <w:szCs w:val="21"/>
                <w:lang w:eastAsia="en-AU"/>
              </w:rPr>
              <w:t>RMP)</w:t>
            </w:r>
          </w:p>
        </w:tc>
      </w:tr>
      <w:tr w:rsidR="00264F5A" w:rsidRPr="008E21B8" w:rsidTr="00E03EF5">
        <w:tc>
          <w:tcPr>
            <w:tcW w:w="1951" w:type="dxa"/>
            <w:vMerge w:val="restart"/>
            <w:shd w:val="clear" w:color="auto" w:fill="auto"/>
          </w:tcPr>
          <w:p w:rsidR="008E21B8" w:rsidRPr="00B659EE" w:rsidRDefault="008E21B8" w:rsidP="00A2181C">
            <w:pPr>
              <w:ind w:right="170"/>
              <w:rPr>
                <w:color w:val="000000"/>
                <w:sz w:val="20"/>
                <w:szCs w:val="20"/>
                <w:lang w:eastAsia="en-AU"/>
              </w:rPr>
            </w:pPr>
            <w:r w:rsidRPr="00B659EE">
              <w:rPr>
                <w:color w:val="000000"/>
                <w:sz w:val="20"/>
                <w:szCs w:val="20"/>
                <w:lang w:eastAsia="en-AU"/>
              </w:rPr>
              <w:t>Immunogenicity</w:t>
            </w:r>
          </w:p>
          <w:p w:rsidR="008E21B8" w:rsidRPr="00B659EE" w:rsidRDefault="008E21B8" w:rsidP="00A2181C">
            <w:pPr>
              <w:ind w:right="170"/>
              <w:rPr>
                <w:color w:val="000000"/>
                <w:sz w:val="20"/>
                <w:szCs w:val="20"/>
                <w:lang w:eastAsia="en-AU"/>
              </w:rPr>
            </w:pPr>
            <w:r w:rsidRPr="00B659EE">
              <w:rPr>
                <w:color w:val="000000"/>
                <w:sz w:val="20"/>
                <w:szCs w:val="20"/>
                <w:lang w:eastAsia="en-AU"/>
              </w:rPr>
              <w:t>Cardiac arrhythmias (previously treated melanoma indication, only)</w:t>
            </w:r>
          </w:p>
        </w:tc>
        <w:tc>
          <w:tcPr>
            <w:tcW w:w="3119" w:type="dxa"/>
            <w:shd w:val="clear" w:color="auto" w:fill="auto"/>
          </w:tcPr>
          <w:p w:rsidR="008E21B8" w:rsidRPr="00B659EE" w:rsidRDefault="008E21B8" w:rsidP="00A2181C">
            <w:pPr>
              <w:ind w:right="170"/>
              <w:rPr>
                <w:color w:val="000000"/>
                <w:sz w:val="20"/>
                <w:szCs w:val="20"/>
                <w:lang w:eastAsia="en-AU"/>
              </w:rPr>
            </w:pPr>
            <w:r w:rsidRPr="00B659EE">
              <w:rPr>
                <w:color w:val="000000"/>
                <w:sz w:val="20"/>
                <w:szCs w:val="20"/>
                <w:lang w:eastAsia="en-AU"/>
              </w:rPr>
              <w:t xml:space="preserve">Study CA209172: A Phase II, single arm, open label, multicentre clinical trial with </w:t>
            </w:r>
            <w:proofErr w:type="spellStart"/>
            <w:r w:rsidRPr="00B659EE">
              <w:rPr>
                <w:color w:val="000000"/>
                <w:sz w:val="20"/>
                <w:szCs w:val="20"/>
                <w:lang w:eastAsia="en-AU"/>
              </w:rPr>
              <w:t>nivolumab</w:t>
            </w:r>
            <w:proofErr w:type="spellEnd"/>
            <w:r w:rsidRPr="00B659EE">
              <w:rPr>
                <w:color w:val="000000"/>
                <w:sz w:val="20"/>
                <w:szCs w:val="20"/>
                <w:lang w:eastAsia="en-AU"/>
              </w:rPr>
              <w:t xml:space="preserve"> for subjects with histologically confirmed Stage III (</w:t>
            </w:r>
            <w:proofErr w:type="spellStart"/>
            <w:r w:rsidRPr="00B659EE">
              <w:rPr>
                <w:color w:val="000000"/>
                <w:sz w:val="20"/>
                <w:szCs w:val="20"/>
                <w:lang w:eastAsia="en-AU"/>
              </w:rPr>
              <w:t>unresectable</w:t>
            </w:r>
            <w:proofErr w:type="spellEnd"/>
            <w:r w:rsidRPr="00B659EE">
              <w:rPr>
                <w:color w:val="000000"/>
                <w:sz w:val="20"/>
                <w:szCs w:val="20"/>
                <w:lang w:eastAsia="en-AU"/>
              </w:rPr>
              <w:t>) or Stage IV melanoma progressing post prior treatment containing an anti-CTLA-4 monoclonal antibody</w:t>
            </w:r>
          </w:p>
        </w:tc>
        <w:tc>
          <w:tcPr>
            <w:tcW w:w="2126" w:type="dxa"/>
            <w:vMerge w:val="restart"/>
            <w:shd w:val="clear" w:color="auto" w:fill="auto"/>
          </w:tcPr>
          <w:p w:rsidR="008E21B8" w:rsidRPr="00B659EE" w:rsidRDefault="008E21B8" w:rsidP="00A2181C">
            <w:pPr>
              <w:ind w:right="170"/>
              <w:rPr>
                <w:color w:val="000000"/>
                <w:sz w:val="20"/>
                <w:szCs w:val="20"/>
                <w:lang w:eastAsia="en-AU"/>
              </w:rPr>
            </w:pPr>
            <w:r w:rsidRPr="00B659EE">
              <w:rPr>
                <w:color w:val="000000"/>
                <w:sz w:val="20"/>
                <w:szCs w:val="20"/>
                <w:lang w:eastAsia="en-AU"/>
              </w:rPr>
              <w:t>To further characterise immunogenicity and its impact on efficacy and safety</w:t>
            </w:r>
          </w:p>
          <w:p w:rsidR="008E21B8" w:rsidRPr="00B659EE" w:rsidRDefault="008E21B8" w:rsidP="00A2181C">
            <w:pPr>
              <w:ind w:right="170"/>
              <w:rPr>
                <w:color w:val="000000"/>
                <w:sz w:val="20"/>
                <w:szCs w:val="20"/>
                <w:lang w:eastAsia="en-AU"/>
              </w:rPr>
            </w:pPr>
            <w:r w:rsidRPr="00B659EE">
              <w:rPr>
                <w:color w:val="000000"/>
                <w:sz w:val="20"/>
                <w:szCs w:val="20"/>
                <w:lang w:eastAsia="en-AU"/>
              </w:rPr>
              <w:t>To evaluate and characterise cardiac arrhythmia risk</w:t>
            </w:r>
          </w:p>
        </w:tc>
        <w:tc>
          <w:tcPr>
            <w:tcW w:w="1984" w:type="dxa"/>
            <w:shd w:val="clear" w:color="auto" w:fill="auto"/>
          </w:tcPr>
          <w:p w:rsidR="008E21B8" w:rsidRPr="00B659EE" w:rsidRDefault="008E21B8" w:rsidP="00A2181C">
            <w:pPr>
              <w:ind w:right="170"/>
              <w:rPr>
                <w:color w:val="000000"/>
                <w:sz w:val="20"/>
                <w:szCs w:val="20"/>
                <w:lang w:eastAsia="en-AU"/>
              </w:rPr>
            </w:pPr>
            <w:r w:rsidRPr="00B659EE">
              <w:rPr>
                <w:color w:val="000000"/>
                <w:sz w:val="20"/>
                <w:szCs w:val="20"/>
                <w:lang w:eastAsia="en-AU"/>
              </w:rPr>
              <w:t>4Q 2017</w:t>
            </w:r>
          </w:p>
        </w:tc>
      </w:tr>
      <w:tr w:rsidR="00264F5A" w:rsidRPr="008E21B8" w:rsidTr="00E03EF5">
        <w:trPr>
          <w:trHeight w:val="178"/>
        </w:trPr>
        <w:tc>
          <w:tcPr>
            <w:tcW w:w="1951" w:type="dxa"/>
            <w:vMerge/>
            <w:shd w:val="clear" w:color="auto" w:fill="auto"/>
          </w:tcPr>
          <w:p w:rsidR="008E21B8" w:rsidRPr="00B659EE" w:rsidRDefault="008E21B8" w:rsidP="00A2181C">
            <w:pPr>
              <w:ind w:left="170" w:right="170"/>
              <w:rPr>
                <w:color w:val="000000"/>
                <w:sz w:val="20"/>
                <w:szCs w:val="20"/>
                <w:lang w:eastAsia="en-AU"/>
              </w:rPr>
            </w:pPr>
          </w:p>
        </w:tc>
        <w:tc>
          <w:tcPr>
            <w:tcW w:w="3119" w:type="dxa"/>
            <w:shd w:val="clear" w:color="auto" w:fill="auto"/>
          </w:tcPr>
          <w:p w:rsidR="008E21B8" w:rsidRPr="00B659EE" w:rsidRDefault="008E21B8" w:rsidP="00A2181C">
            <w:pPr>
              <w:ind w:right="170"/>
              <w:rPr>
                <w:color w:val="000000"/>
                <w:sz w:val="20"/>
                <w:szCs w:val="20"/>
                <w:lang w:eastAsia="en-AU"/>
              </w:rPr>
            </w:pPr>
            <w:r w:rsidRPr="00B659EE">
              <w:rPr>
                <w:color w:val="000000"/>
                <w:sz w:val="20"/>
                <w:szCs w:val="20"/>
                <w:lang w:eastAsia="en-AU"/>
              </w:rPr>
              <w:t>Study CA209171</w:t>
            </w:r>
            <w:r w:rsidR="00412E43" w:rsidRPr="00B659EE">
              <w:rPr>
                <w:color w:val="000000"/>
                <w:sz w:val="20"/>
                <w:szCs w:val="20"/>
                <w:lang w:eastAsia="en-AU"/>
              </w:rPr>
              <w:t>: A single arm, open label, multicent</w:t>
            </w:r>
            <w:r w:rsidRPr="00B659EE">
              <w:rPr>
                <w:color w:val="000000"/>
                <w:sz w:val="20"/>
                <w:szCs w:val="20"/>
                <w:lang w:eastAsia="en-AU"/>
              </w:rPr>
              <w:t>r</w:t>
            </w:r>
            <w:r w:rsidR="00412E43" w:rsidRPr="00B659EE">
              <w:rPr>
                <w:color w:val="000000"/>
                <w:sz w:val="20"/>
                <w:szCs w:val="20"/>
                <w:lang w:eastAsia="en-AU"/>
              </w:rPr>
              <w:t xml:space="preserve">e clinical trial with </w:t>
            </w:r>
            <w:proofErr w:type="spellStart"/>
            <w:r w:rsidR="00412E43" w:rsidRPr="00B659EE">
              <w:rPr>
                <w:color w:val="000000"/>
                <w:sz w:val="20"/>
                <w:szCs w:val="20"/>
                <w:lang w:eastAsia="en-AU"/>
              </w:rPr>
              <w:t>n</w:t>
            </w:r>
            <w:r w:rsidRPr="00B659EE">
              <w:rPr>
                <w:color w:val="000000"/>
                <w:sz w:val="20"/>
                <w:szCs w:val="20"/>
                <w:lang w:eastAsia="en-AU"/>
              </w:rPr>
              <w:t>ivolumab</w:t>
            </w:r>
            <w:proofErr w:type="spellEnd"/>
            <w:r w:rsidR="00412E43" w:rsidRPr="00B659EE">
              <w:rPr>
                <w:color w:val="000000"/>
                <w:sz w:val="20"/>
                <w:szCs w:val="20"/>
                <w:lang w:eastAsia="en-AU"/>
              </w:rPr>
              <w:t xml:space="preserve"> </w:t>
            </w:r>
            <w:r w:rsidR="00A949B5" w:rsidRPr="00B659EE">
              <w:rPr>
                <w:color w:val="000000"/>
                <w:sz w:val="20"/>
                <w:szCs w:val="20"/>
                <w:lang w:eastAsia="en-AU"/>
              </w:rPr>
              <w:t xml:space="preserve">monotherapy in subjects with advanced or metastatic SQ NSCLC who have received at least two prior systemic regimens for the treatment of Stage </w:t>
            </w:r>
            <w:proofErr w:type="spellStart"/>
            <w:r w:rsidR="00A949B5" w:rsidRPr="00B659EE">
              <w:rPr>
                <w:color w:val="000000"/>
                <w:sz w:val="20"/>
                <w:szCs w:val="20"/>
                <w:lang w:eastAsia="en-AU"/>
              </w:rPr>
              <w:t>IIIb</w:t>
            </w:r>
            <w:proofErr w:type="spellEnd"/>
            <w:r w:rsidR="00A949B5" w:rsidRPr="00B659EE">
              <w:rPr>
                <w:color w:val="000000"/>
                <w:sz w:val="20"/>
                <w:szCs w:val="20"/>
                <w:lang w:eastAsia="en-AU"/>
              </w:rPr>
              <w:t>/IV SQ NSCLC.</w:t>
            </w:r>
          </w:p>
        </w:tc>
        <w:tc>
          <w:tcPr>
            <w:tcW w:w="2126" w:type="dxa"/>
            <w:vMerge/>
            <w:shd w:val="clear" w:color="auto" w:fill="auto"/>
          </w:tcPr>
          <w:p w:rsidR="008E21B8" w:rsidRPr="00B659EE" w:rsidRDefault="008E21B8" w:rsidP="00A2181C">
            <w:pPr>
              <w:ind w:left="170" w:right="170"/>
              <w:rPr>
                <w:color w:val="000000"/>
                <w:sz w:val="20"/>
                <w:szCs w:val="20"/>
                <w:lang w:eastAsia="en-AU"/>
              </w:rPr>
            </w:pPr>
          </w:p>
        </w:tc>
        <w:tc>
          <w:tcPr>
            <w:tcW w:w="1984" w:type="dxa"/>
            <w:shd w:val="clear" w:color="auto" w:fill="auto"/>
          </w:tcPr>
          <w:p w:rsidR="008E21B8" w:rsidRPr="00B659EE" w:rsidRDefault="008E21B8" w:rsidP="00A2181C">
            <w:pPr>
              <w:ind w:right="170"/>
              <w:rPr>
                <w:color w:val="000000"/>
                <w:sz w:val="20"/>
                <w:szCs w:val="20"/>
                <w:lang w:eastAsia="en-AU"/>
              </w:rPr>
            </w:pPr>
            <w:r w:rsidRPr="00B659EE">
              <w:rPr>
                <w:color w:val="000000"/>
                <w:sz w:val="20"/>
                <w:szCs w:val="20"/>
                <w:lang w:eastAsia="en-AU"/>
              </w:rPr>
              <w:t>4Q 2017</w:t>
            </w:r>
          </w:p>
        </w:tc>
      </w:tr>
      <w:tr w:rsidR="00264F5A" w:rsidRPr="008E21B8" w:rsidTr="00E03EF5">
        <w:trPr>
          <w:trHeight w:val="112"/>
        </w:trPr>
        <w:tc>
          <w:tcPr>
            <w:tcW w:w="1951" w:type="dxa"/>
            <w:vMerge/>
            <w:shd w:val="clear" w:color="auto" w:fill="auto"/>
          </w:tcPr>
          <w:p w:rsidR="008E21B8" w:rsidRPr="00B659EE" w:rsidRDefault="008E21B8" w:rsidP="00A2181C">
            <w:pPr>
              <w:ind w:left="170" w:right="170"/>
              <w:rPr>
                <w:color w:val="000000"/>
                <w:sz w:val="20"/>
                <w:szCs w:val="20"/>
                <w:lang w:eastAsia="en-AU"/>
              </w:rPr>
            </w:pPr>
          </w:p>
        </w:tc>
        <w:tc>
          <w:tcPr>
            <w:tcW w:w="3119" w:type="dxa"/>
            <w:shd w:val="clear" w:color="auto" w:fill="auto"/>
          </w:tcPr>
          <w:p w:rsidR="008E21B8" w:rsidRPr="00B659EE" w:rsidRDefault="00A949B5" w:rsidP="00A2181C">
            <w:pPr>
              <w:ind w:right="170"/>
              <w:rPr>
                <w:color w:val="000000"/>
                <w:sz w:val="20"/>
                <w:szCs w:val="20"/>
                <w:lang w:eastAsia="en-AU"/>
              </w:rPr>
            </w:pPr>
            <w:r w:rsidRPr="00B659EE">
              <w:rPr>
                <w:color w:val="000000"/>
                <w:sz w:val="20"/>
                <w:szCs w:val="20"/>
                <w:lang w:eastAsia="en-AU"/>
              </w:rPr>
              <w:t xml:space="preserve">Study </w:t>
            </w:r>
            <w:r w:rsidR="008E21B8" w:rsidRPr="00B659EE">
              <w:rPr>
                <w:color w:val="000000"/>
                <w:sz w:val="20"/>
                <w:szCs w:val="20"/>
                <w:lang w:eastAsia="en-AU"/>
              </w:rPr>
              <w:t>CA209357</w:t>
            </w:r>
            <w:r w:rsidRPr="00B659EE">
              <w:rPr>
                <w:color w:val="000000"/>
                <w:sz w:val="20"/>
                <w:szCs w:val="20"/>
                <w:lang w:eastAsia="en-AU"/>
              </w:rPr>
              <w:t>:</w:t>
            </w:r>
            <w:r w:rsidR="008E21B8" w:rsidRPr="00B659EE">
              <w:rPr>
                <w:color w:val="000000"/>
                <w:sz w:val="20"/>
                <w:szCs w:val="20"/>
                <w:lang w:eastAsia="en-AU"/>
              </w:rPr>
              <w:t xml:space="preserve"> A US </w:t>
            </w:r>
            <w:r w:rsidR="00264F5A" w:rsidRPr="00B659EE">
              <w:rPr>
                <w:color w:val="000000"/>
                <w:sz w:val="20"/>
                <w:szCs w:val="20"/>
                <w:lang w:eastAsia="en-AU"/>
              </w:rPr>
              <w:t xml:space="preserve">multisite observational registry in patients with </w:t>
            </w:r>
            <w:proofErr w:type="spellStart"/>
            <w:r w:rsidR="00264F5A" w:rsidRPr="00B659EE">
              <w:rPr>
                <w:color w:val="000000"/>
                <w:sz w:val="20"/>
                <w:szCs w:val="20"/>
                <w:lang w:eastAsia="en-AU"/>
              </w:rPr>
              <w:t>unresectable</w:t>
            </w:r>
            <w:proofErr w:type="spellEnd"/>
            <w:r w:rsidR="00264F5A" w:rsidRPr="00B659EE">
              <w:rPr>
                <w:color w:val="000000"/>
                <w:sz w:val="20"/>
                <w:szCs w:val="20"/>
                <w:lang w:eastAsia="en-AU"/>
              </w:rPr>
              <w:t xml:space="preserve"> and metastatic melanoma (observational registry).</w:t>
            </w:r>
          </w:p>
        </w:tc>
        <w:tc>
          <w:tcPr>
            <w:tcW w:w="2126" w:type="dxa"/>
            <w:vMerge/>
            <w:shd w:val="clear" w:color="auto" w:fill="auto"/>
          </w:tcPr>
          <w:p w:rsidR="008E21B8" w:rsidRPr="00B659EE" w:rsidRDefault="008E21B8" w:rsidP="00A2181C">
            <w:pPr>
              <w:ind w:left="170" w:right="170"/>
              <w:rPr>
                <w:color w:val="000000"/>
                <w:sz w:val="20"/>
                <w:szCs w:val="20"/>
                <w:lang w:eastAsia="en-AU"/>
              </w:rPr>
            </w:pPr>
          </w:p>
        </w:tc>
        <w:tc>
          <w:tcPr>
            <w:tcW w:w="1984" w:type="dxa"/>
            <w:shd w:val="clear" w:color="auto" w:fill="auto"/>
          </w:tcPr>
          <w:p w:rsidR="008E21B8" w:rsidRPr="00B659EE" w:rsidRDefault="008E21B8" w:rsidP="00A2181C">
            <w:pPr>
              <w:ind w:right="170"/>
              <w:rPr>
                <w:color w:val="000000"/>
                <w:sz w:val="20"/>
                <w:szCs w:val="20"/>
                <w:lang w:eastAsia="en-AU"/>
              </w:rPr>
            </w:pPr>
            <w:r w:rsidRPr="00B659EE">
              <w:rPr>
                <w:color w:val="000000"/>
                <w:sz w:val="20"/>
                <w:szCs w:val="20"/>
                <w:lang w:eastAsia="en-AU"/>
              </w:rPr>
              <w:t>Annual reports</w:t>
            </w:r>
          </w:p>
          <w:p w:rsidR="008E21B8" w:rsidRPr="00B659EE" w:rsidRDefault="008E21B8" w:rsidP="00A2181C">
            <w:pPr>
              <w:ind w:right="170"/>
              <w:rPr>
                <w:color w:val="000000"/>
                <w:sz w:val="20"/>
                <w:szCs w:val="20"/>
                <w:lang w:eastAsia="en-AU"/>
              </w:rPr>
            </w:pPr>
            <w:r w:rsidRPr="00B659EE">
              <w:rPr>
                <w:color w:val="000000"/>
                <w:sz w:val="20"/>
                <w:szCs w:val="20"/>
                <w:lang w:eastAsia="en-AU"/>
              </w:rPr>
              <w:t>Ongoing</w:t>
            </w:r>
          </w:p>
        </w:tc>
      </w:tr>
      <w:tr w:rsidR="008E21B8" w:rsidRPr="008E21B8" w:rsidTr="00E03EF5">
        <w:trPr>
          <w:trHeight w:val="170"/>
        </w:trPr>
        <w:tc>
          <w:tcPr>
            <w:tcW w:w="9180" w:type="dxa"/>
            <w:gridSpan w:val="4"/>
            <w:shd w:val="clear" w:color="auto" w:fill="auto"/>
          </w:tcPr>
          <w:p w:rsidR="008E21B8" w:rsidRPr="00A2181C" w:rsidRDefault="008E21B8" w:rsidP="00A2181C">
            <w:pPr>
              <w:ind w:left="170" w:right="170"/>
              <w:rPr>
                <w:b/>
                <w:color w:val="000000"/>
                <w:szCs w:val="21"/>
                <w:lang w:eastAsia="en-AU"/>
              </w:rPr>
            </w:pPr>
            <w:r w:rsidRPr="00A2181C">
              <w:rPr>
                <w:b/>
                <w:i/>
                <w:color w:val="000000"/>
                <w:szCs w:val="21"/>
                <w:lang w:eastAsia="en-AU"/>
              </w:rPr>
              <w:t>Ongoing studies (ASA)</w:t>
            </w:r>
          </w:p>
        </w:tc>
      </w:tr>
      <w:tr w:rsidR="00264F5A" w:rsidRPr="008E21B8" w:rsidTr="00E03EF5">
        <w:trPr>
          <w:trHeight w:val="110"/>
        </w:trPr>
        <w:tc>
          <w:tcPr>
            <w:tcW w:w="1951"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Immune-related pneumonitis, colitis, hepatitis, nephritis and renal dysfun</w:t>
            </w:r>
            <w:r w:rsidR="00264F5A" w:rsidRPr="00B659EE">
              <w:rPr>
                <w:color w:val="000000"/>
                <w:sz w:val="20"/>
                <w:szCs w:val="21"/>
                <w:lang w:eastAsia="en-AU"/>
              </w:rPr>
              <w:t xml:space="preserve">ction, </w:t>
            </w:r>
            <w:proofErr w:type="spellStart"/>
            <w:r w:rsidR="00264F5A" w:rsidRPr="00B659EE">
              <w:rPr>
                <w:color w:val="000000"/>
                <w:sz w:val="20"/>
                <w:szCs w:val="21"/>
                <w:lang w:eastAsia="en-AU"/>
              </w:rPr>
              <w:t>endocrinopathies</w:t>
            </w:r>
            <w:proofErr w:type="spellEnd"/>
            <w:r w:rsidR="00264F5A" w:rsidRPr="00B659EE">
              <w:rPr>
                <w:color w:val="000000"/>
                <w:sz w:val="20"/>
                <w:szCs w:val="21"/>
                <w:lang w:eastAsia="en-AU"/>
              </w:rPr>
              <w:t xml:space="preserve">, skin ARs, neurological ARs, other </w:t>
            </w:r>
            <w:proofErr w:type="spellStart"/>
            <w:r w:rsidR="00D9067B" w:rsidRPr="00B659EE">
              <w:rPr>
                <w:color w:val="000000"/>
                <w:sz w:val="20"/>
                <w:szCs w:val="21"/>
                <w:lang w:eastAsia="en-AU"/>
              </w:rPr>
              <w:t>irAR</w:t>
            </w:r>
            <w:r w:rsidRPr="00B659EE">
              <w:rPr>
                <w:color w:val="000000"/>
                <w:sz w:val="20"/>
                <w:szCs w:val="21"/>
                <w:lang w:eastAsia="en-AU"/>
              </w:rPr>
              <w:t>s</w:t>
            </w:r>
            <w:proofErr w:type="spellEnd"/>
            <w:r w:rsidRPr="00B659EE">
              <w:rPr>
                <w:color w:val="000000"/>
                <w:sz w:val="20"/>
                <w:szCs w:val="21"/>
                <w:lang w:eastAsia="en-AU"/>
              </w:rPr>
              <w:t>, and infusion reactions</w:t>
            </w:r>
          </w:p>
        </w:tc>
        <w:tc>
          <w:tcPr>
            <w:tcW w:w="3119" w:type="dxa"/>
            <w:shd w:val="clear" w:color="auto" w:fill="auto"/>
          </w:tcPr>
          <w:p w:rsidR="008E21B8" w:rsidRPr="00B659EE" w:rsidRDefault="00264F5A" w:rsidP="00A2181C">
            <w:pPr>
              <w:ind w:right="170"/>
              <w:rPr>
                <w:color w:val="000000"/>
                <w:sz w:val="20"/>
                <w:szCs w:val="21"/>
                <w:lang w:eastAsia="en-AU"/>
              </w:rPr>
            </w:pPr>
            <w:r w:rsidRPr="00B659EE">
              <w:rPr>
                <w:color w:val="000000"/>
                <w:sz w:val="20"/>
                <w:szCs w:val="21"/>
                <w:lang w:eastAsia="en-AU"/>
              </w:rPr>
              <w:t xml:space="preserve">Clinical trial of </w:t>
            </w:r>
            <w:proofErr w:type="spellStart"/>
            <w:r w:rsidRPr="00B659EE">
              <w:rPr>
                <w:color w:val="000000"/>
                <w:sz w:val="20"/>
                <w:szCs w:val="21"/>
                <w:lang w:eastAsia="en-AU"/>
              </w:rPr>
              <w:t>nivolumab</w:t>
            </w:r>
            <w:proofErr w:type="spellEnd"/>
            <w:r w:rsidRPr="00B659EE">
              <w:rPr>
                <w:color w:val="000000"/>
                <w:sz w:val="20"/>
                <w:szCs w:val="21"/>
                <w:lang w:eastAsia="en-AU"/>
              </w:rPr>
              <w:t xml:space="preserve"> combined with </w:t>
            </w:r>
            <w:proofErr w:type="spellStart"/>
            <w:r w:rsidRPr="00B659EE">
              <w:rPr>
                <w:color w:val="000000"/>
                <w:sz w:val="20"/>
                <w:szCs w:val="21"/>
                <w:lang w:eastAsia="en-AU"/>
              </w:rPr>
              <w:t>ipilimumab</w:t>
            </w:r>
            <w:proofErr w:type="spellEnd"/>
            <w:r w:rsidRPr="00B659EE">
              <w:rPr>
                <w:color w:val="000000"/>
                <w:sz w:val="20"/>
                <w:szCs w:val="21"/>
                <w:lang w:eastAsia="en-AU"/>
              </w:rPr>
              <w:t xml:space="preserve"> followed by </w:t>
            </w:r>
            <w:proofErr w:type="spellStart"/>
            <w:r w:rsidRPr="00B659EE">
              <w:rPr>
                <w:color w:val="000000"/>
                <w:sz w:val="20"/>
                <w:szCs w:val="21"/>
                <w:lang w:eastAsia="en-AU"/>
              </w:rPr>
              <w:t>nivolumab</w:t>
            </w:r>
            <w:proofErr w:type="spellEnd"/>
            <w:r w:rsidRPr="00B659EE">
              <w:rPr>
                <w:color w:val="000000"/>
                <w:sz w:val="20"/>
                <w:szCs w:val="21"/>
                <w:lang w:eastAsia="en-AU"/>
              </w:rPr>
              <w:t xml:space="preserve"> monotherapy as first line therapy of subjects with histologically confirmed Stage III (</w:t>
            </w:r>
            <w:proofErr w:type="spellStart"/>
            <w:r w:rsidRPr="00B659EE">
              <w:rPr>
                <w:color w:val="000000"/>
                <w:sz w:val="20"/>
                <w:szCs w:val="21"/>
                <w:lang w:eastAsia="en-AU"/>
              </w:rPr>
              <w:t>unresectable</w:t>
            </w:r>
            <w:proofErr w:type="spellEnd"/>
            <w:r w:rsidRPr="00B659EE">
              <w:rPr>
                <w:color w:val="000000"/>
                <w:sz w:val="20"/>
                <w:szCs w:val="21"/>
                <w:lang w:eastAsia="en-AU"/>
              </w:rPr>
              <w:t>) or Stage IV melanoma.</w:t>
            </w:r>
          </w:p>
          <w:p w:rsidR="008E21B8" w:rsidRPr="00B659EE" w:rsidRDefault="00264F5A" w:rsidP="00A2181C">
            <w:pPr>
              <w:ind w:right="170"/>
              <w:rPr>
                <w:color w:val="000000"/>
                <w:sz w:val="20"/>
                <w:szCs w:val="21"/>
                <w:lang w:eastAsia="en-AU"/>
              </w:rPr>
            </w:pPr>
            <w:r w:rsidRPr="00B659EE">
              <w:rPr>
                <w:color w:val="000000"/>
                <w:sz w:val="20"/>
                <w:szCs w:val="21"/>
                <w:lang w:eastAsia="en-AU"/>
              </w:rPr>
              <w:t>At TGA request, this study is included as an Australian-specific additional pharmacovigilance activity. (Study CA209401)</w:t>
            </w:r>
          </w:p>
        </w:tc>
        <w:tc>
          <w:tcPr>
            <w:tcW w:w="2126"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To ch</w:t>
            </w:r>
            <w:r w:rsidR="00264F5A" w:rsidRPr="00B659EE">
              <w:rPr>
                <w:color w:val="000000"/>
                <w:sz w:val="20"/>
                <w:szCs w:val="21"/>
                <w:lang w:eastAsia="en-AU"/>
              </w:rPr>
              <w:t xml:space="preserve">aracterise high-grade treatment </w:t>
            </w:r>
            <w:r w:rsidRPr="00B659EE">
              <w:rPr>
                <w:color w:val="000000"/>
                <w:sz w:val="20"/>
                <w:szCs w:val="21"/>
                <w:lang w:eastAsia="en-AU"/>
              </w:rPr>
              <w:t>related AEs.</w:t>
            </w:r>
          </w:p>
          <w:p w:rsidR="008E21B8" w:rsidRPr="00B659EE" w:rsidRDefault="008E21B8" w:rsidP="00A2181C">
            <w:pPr>
              <w:ind w:right="170"/>
              <w:rPr>
                <w:color w:val="000000"/>
                <w:sz w:val="20"/>
                <w:szCs w:val="21"/>
                <w:lang w:eastAsia="en-AU"/>
              </w:rPr>
            </w:pPr>
            <w:r w:rsidRPr="00B659EE">
              <w:rPr>
                <w:color w:val="000000"/>
                <w:sz w:val="20"/>
                <w:szCs w:val="21"/>
                <w:lang w:eastAsia="en-AU"/>
              </w:rPr>
              <w:t xml:space="preserve">Global study </w:t>
            </w:r>
            <w:r w:rsidR="00264F5A" w:rsidRPr="00B659EE">
              <w:rPr>
                <w:color w:val="000000"/>
                <w:sz w:val="20"/>
                <w:szCs w:val="21"/>
                <w:lang w:eastAsia="en-AU"/>
              </w:rPr>
              <w:t>and Australia is a participant.</w:t>
            </w:r>
          </w:p>
        </w:tc>
        <w:tc>
          <w:tcPr>
            <w:tcW w:w="1984"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Q2 2022 (estimated)</w:t>
            </w:r>
            <w:r w:rsidR="000F6FFE" w:rsidRPr="00B659EE">
              <w:rPr>
                <w:color w:val="000000"/>
                <w:sz w:val="20"/>
                <w:szCs w:val="21"/>
                <w:lang w:eastAsia="en-AU"/>
              </w:rPr>
              <w:t>.</w:t>
            </w:r>
          </w:p>
        </w:tc>
      </w:tr>
      <w:tr w:rsidR="00264F5A" w:rsidRPr="008E21B8" w:rsidTr="00E03EF5">
        <w:trPr>
          <w:trHeight w:val="2798"/>
        </w:trPr>
        <w:tc>
          <w:tcPr>
            <w:tcW w:w="1951" w:type="dxa"/>
            <w:shd w:val="clear" w:color="auto" w:fill="auto"/>
          </w:tcPr>
          <w:p w:rsidR="008E21B8" w:rsidRPr="00B659EE" w:rsidRDefault="00264F5A" w:rsidP="00A2181C">
            <w:pPr>
              <w:ind w:right="170"/>
              <w:rPr>
                <w:color w:val="000000"/>
                <w:sz w:val="20"/>
                <w:szCs w:val="21"/>
                <w:lang w:eastAsia="en-AU"/>
              </w:rPr>
            </w:pPr>
            <w:r w:rsidRPr="00B659EE">
              <w:rPr>
                <w:color w:val="000000"/>
                <w:sz w:val="20"/>
                <w:szCs w:val="21"/>
                <w:lang w:eastAsia="en-AU"/>
              </w:rPr>
              <w:t xml:space="preserve">Immune </w:t>
            </w:r>
            <w:r w:rsidR="008E21B8" w:rsidRPr="00B659EE">
              <w:rPr>
                <w:color w:val="000000"/>
                <w:sz w:val="20"/>
                <w:szCs w:val="21"/>
                <w:lang w:eastAsia="en-AU"/>
              </w:rPr>
              <w:t>related pneumonitis, colitis,</w:t>
            </w:r>
            <w:r w:rsidRPr="00B659EE">
              <w:rPr>
                <w:color w:val="000000"/>
                <w:sz w:val="20"/>
                <w:szCs w:val="21"/>
                <w:lang w:eastAsia="en-AU"/>
              </w:rPr>
              <w:t xml:space="preserve"> </w:t>
            </w:r>
            <w:r w:rsidR="008E21B8" w:rsidRPr="00B659EE">
              <w:rPr>
                <w:color w:val="000000"/>
                <w:sz w:val="20"/>
                <w:szCs w:val="21"/>
                <w:lang w:eastAsia="en-AU"/>
              </w:rPr>
              <w:t>hepatitis, nephritis and ren</w:t>
            </w:r>
            <w:r w:rsidR="00E03EF5">
              <w:rPr>
                <w:color w:val="000000"/>
                <w:sz w:val="20"/>
                <w:szCs w:val="21"/>
                <w:lang w:eastAsia="en-AU"/>
              </w:rPr>
              <w:t xml:space="preserve">al dysfunction, </w:t>
            </w:r>
            <w:proofErr w:type="spellStart"/>
            <w:r w:rsidR="00E03EF5">
              <w:rPr>
                <w:color w:val="000000"/>
                <w:sz w:val="20"/>
                <w:szCs w:val="21"/>
                <w:lang w:eastAsia="en-AU"/>
              </w:rPr>
              <w:t>endocrinopathies</w:t>
            </w:r>
            <w:proofErr w:type="spellEnd"/>
            <w:r w:rsidR="008E21B8" w:rsidRPr="00B659EE">
              <w:rPr>
                <w:color w:val="000000"/>
                <w:sz w:val="20"/>
                <w:szCs w:val="21"/>
                <w:lang w:eastAsia="en-AU"/>
              </w:rPr>
              <w:t>, skin A</w:t>
            </w:r>
            <w:r w:rsidRPr="00B659EE">
              <w:rPr>
                <w:color w:val="000000"/>
                <w:sz w:val="20"/>
                <w:szCs w:val="21"/>
                <w:lang w:eastAsia="en-AU"/>
              </w:rPr>
              <w:t xml:space="preserve">Rs , neurological ARs, other </w:t>
            </w:r>
            <w:proofErr w:type="spellStart"/>
            <w:r w:rsidR="00D9067B" w:rsidRPr="00B659EE">
              <w:rPr>
                <w:color w:val="000000"/>
                <w:sz w:val="20"/>
                <w:szCs w:val="21"/>
                <w:lang w:eastAsia="en-AU"/>
              </w:rPr>
              <w:t>irAR</w:t>
            </w:r>
            <w:r w:rsidR="008E21B8" w:rsidRPr="00B659EE">
              <w:rPr>
                <w:color w:val="000000"/>
                <w:sz w:val="20"/>
                <w:szCs w:val="21"/>
                <w:lang w:eastAsia="en-AU"/>
              </w:rPr>
              <w:t>s</w:t>
            </w:r>
            <w:proofErr w:type="spellEnd"/>
            <w:r w:rsidR="008E21B8" w:rsidRPr="00B659EE">
              <w:rPr>
                <w:color w:val="000000"/>
                <w:sz w:val="20"/>
                <w:szCs w:val="21"/>
                <w:lang w:eastAsia="en-AU"/>
              </w:rPr>
              <w:t>, and infusion reactions</w:t>
            </w:r>
          </w:p>
        </w:tc>
        <w:tc>
          <w:tcPr>
            <w:tcW w:w="3119"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Post</w:t>
            </w:r>
            <w:r w:rsidR="00264F5A" w:rsidRPr="00B659EE">
              <w:rPr>
                <w:color w:val="000000"/>
                <w:sz w:val="20"/>
                <w:szCs w:val="21"/>
                <w:lang w:eastAsia="en-AU"/>
              </w:rPr>
              <w:t>-</w:t>
            </w:r>
            <w:r w:rsidRPr="00B659EE">
              <w:rPr>
                <w:color w:val="000000"/>
                <w:sz w:val="20"/>
                <w:szCs w:val="21"/>
                <w:lang w:eastAsia="en-AU"/>
              </w:rPr>
              <w:t xml:space="preserve">marketing </w:t>
            </w:r>
            <w:proofErr w:type="spellStart"/>
            <w:r w:rsidR="00264F5A" w:rsidRPr="00B659EE">
              <w:rPr>
                <w:color w:val="000000"/>
                <w:sz w:val="20"/>
                <w:szCs w:val="21"/>
                <w:lang w:eastAsia="en-AU"/>
              </w:rPr>
              <w:t>pharmacoepidemiology</w:t>
            </w:r>
            <w:proofErr w:type="spellEnd"/>
            <w:r w:rsidR="00264F5A" w:rsidRPr="00B659EE">
              <w:rPr>
                <w:color w:val="000000"/>
                <w:sz w:val="20"/>
                <w:szCs w:val="21"/>
                <w:lang w:eastAsia="en-AU"/>
              </w:rPr>
              <w:t xml:space="preserve"> study: pattern of use and safety/effectiveness of </w:t>
            </w:r>
            <w:proofErr w:type="spellStart"/>
            <w:r w:rsidR="00264F5A" w:rsidRPr="00B659EE">
              <w:rPr>
                <w:color w:val="000000"/>
                <w:sz w:val="20"/>
                <w:szCs w:val="21"/>
                <w:lang w:eastAsia="en-AU"/>
              </w:rPr>
              <w:t>nivolumab</w:t>
            </w:r>
            <w:proofErr w:type="spellEnd"/>
            <w:r w:rsidR="00264F5A" w:rsidRPr="00B659EE">
              <w:rPr>
                <w:color w:val="000000"/>
                <w:sz w:val="20"/>
                <w:szCs w:val="21"/>
                <w:lang w:eastAsia="en-AU"/>
              </w:rPr>
              <w:t xml:space="preserve"> in routine oncology practice. </w:t>
            </w:r>
            <w:proofErr w:type="gramStart"/>
            <w:r w:rsidR="00264F5A" w:rsidRPr="00B659EE">
              <w:rPr>
                <w:color w:val="000000"/>
                <w:sz w:val="20"/>
                <w:szCs w:val="21"/>
                <w:lang w:eastAsia="en-AU"/>
              </w:rPr>
              <w:t>includes</w:t>
            </w:r>
            <w:proofErr w:type="gramEnd"/>
            <w:r w:rsidR="00264F5A" w:rsidRPr="00B659EE">
              <w:rPr>
                <w:color w:val="000000"/>
                <w:sz w:val="20"/>
                <w:szCs w:val="21"/>
                <w:lang w:eastAsia="en-AU"/>
              </w:rPr>
              <w:t xml:space="preserve"> patients with melanoma and NSCLC </w:t>
            </w:r>
            <w:r w:rsidRPr="00B659EE">
              <w:rPr>
                <w:color w:val="000000"/>
                <w:sz w:val="20"/>
                <w:szCs w:val="21"/>
                <w:lang w:eastAsia="en-AU"/>
              </w:rPr>
              <w:t>(</w:t>
            </w:r>
            <w:r w:rsidR="00264F5A" w:rsidRPr="00B659EE">
              <w:rPr>
                <w:color w:val="000000"/>
                <w:sz w:val="20"/>
                <w:szCs w:val="21"/>
                <w:lang w:eastAsia="en-AU"/>
              </w:rPr>
              <w:t xml:space="preserve">Study </w:t>
            </w:r>
            <w:r w:rsidRPr="00B659EE">
              <w:rPr>
                <w:color w:val="000000"/>
                <w:sz w:val="20"/>
                <w:szCs w:val="21"/>
                <w:lang w:eastAsia="en-AU"/>
              </w:rPr>
              <w:t>CA209234)</w:t>
            </w:r>
            <w:r w:rsidR="00264F5A" w:rsidRPr="00B659EE">
              <w:rPr>
                <w:color w:val="000000"/>
                <w:sz w:val="20"/>
                <w:szCs w:val="21"/>
                <w:lang w:eastAsia="en-AU"/>
              </w:rPr>
              <w:t>.</w:t>
            </w:r>
          </w:p>
        </w:tc>
        <w:tc>
          <w:tcPr>
            <w:tcW w:w="2126"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To assess use pattern, effectiveness, and safety of</w:t>
            </w:r>
            <w:r w:rsidR="00264F5A" w:rsidRPr="00B659EE">
              <w:rPr>
                <w:color w:val="000000"/>
                <w:sz w:val="20"/>
                <w:szCs w:val="21"/>
                <w:lang w:eastAsia="en-AU"/>
              </w:rPr>
              <w:t xml:space="preserve"> </w:t>
            </w:r>
            <w:proofErr w:type="spellStart"/>
            <w:r w:rsidRPr="00B659EE">
              <w:rPr>
                <w:color w:val="000000"/>
                <w:sz w:val="20"/>
                <w:szCs w:val="21"/>
                <w:lang w:eastAsia="en-AU"/>
              </w:rPr>
              <w:t>nivolumab</w:t>
            </w:r>
            <w:proofErr w:type="spellEnd"/>
            <w:r w:rsidRPr="00B659EE">
              <w:rPr>
                <w:color w:val="000000"/>
                <w:sz w:val="20"/>
                <w:szCs w:val="21"/>
                <w:lang w:eastAsia="en-AU"/>
              </w:rPr>
              <w:t xml:space="preserve">, and management of important identified risks of </w:t>
            </w:r>
            <w:proofErr w:type="spellStart"/>
            <w:r w:rsidRPr="00B659EE">
              <w:rPr>
                <w:color w:val="000000"/>
                <w:sz w:val="20"/>
                <w:szCs w:val="21"/>
                <w:lang w:eastAsia="en-AU"/>
              </w:rPr>
              <w:t>nivolumab</w:t>
            </w:r>
            <w:proofErr w:type="spellEnd"/>
            <w:r w:rsidRPr="00B659EE">
              <w:rPr>
                <w:color w:val="000000"/>
                <w:sz w:val="20"/>
                <w:szCs w:val="21"/>
                <w:lang w:eastAsia="en-AU"/>
              </w:rPr>
              <w:t>.</w:t>
            </w:r>
          </w:p>
          <w:p w:rsidR="008E21B8" w:rsidRPr="00B659EE" w:rsidRDefault="008E21B8" w:rsidP="00A2181C">
            <w:pPr>
              <w:ind w:right="170"/>
              <w:rPr>
                <w:color w:val="000000"/>
                <w:sz w:val="20"/>
                <w:szCs w:val="21"/>
                <w:lang w:eastAsia="en-AU"/>
              </w:rPr>
            </w:pPr>
            <w:r w:rsidRPr="00B659EE">
              <w:rPr>
                <w:color w:val="000000"/>
                <w:sz w:val="20"/>
                <w:szCs w:val="21"/>
                <w:lang w:eastAsia="en-AU"/>
              </w:rPr>
              <w:t>Includes Australian patients</w:t>
            </w:r>
          </w:p>
        </w:tc>
        <w:tc>
          <w:tcPr>
            <w:tcW w:w="1984" w:type="dxa"/>
            <w:shd w:val="clear" w:color="auto" w:fill="auto"/>
          </w:tcPr>
          <w:p w:rsidR="00E03EF5" w:rsidRDefault="00E03EF5" w:rsidP="00A2181C">
            <w:pPr>
              <w:ind w:right="170"/>
              <w:rPr>
                <w:color w:val="000000"/>
                <w:sz w:val="20"/>
                <w:szCs w:val="21"/>
                <w:lang w:eastAsia="en-AU"/>
              </w:rPr>
            </w:pPr>
            <w:r>
              <w:rPr>
                <w:color w:val="000000"/>
                <w:sz w:val="20"/>
                <w:szCs w:val="21"/>
                <w:lang w:eastAsia="en-AU"/>
              </w:rPr>
              <w:t>Interim annual reports;</w:t>
            </w:r>
          </w:p>
          <w:p w:rsidR="008E21B8" w:rsidRPr="00B659EE" w:rsidRDefault="00E03EF5" w:rsidP="00A2181C">
            <w:pPr>
              <w:ind w:right="170"/>
              <w:rPr>
                <w:color w:val="000000"/>
                <w:sz w:val="20"/>
                <w:szCs w:val="21"/>
                <w:lang w:eastAsia="en-AU"/>
              </w:rPr>
            </w:pPr>
            <w:r>
              <w:rPr>
                <w:color w:val="000000"/>
                <w:sz w:val="20"/>
                <w:szCs w:val="21"/>
                <w:lang w:eastAsia="en-AU"/>
              </w:rPr>
              <w:t xml:space="preserve">Final CSR: </w:t>
            </w:r>
            <w:r w:rsidR="008E21B8" w:rsidRPr="00B659EE">
              <w:rPr>
                <w:color w:val="000000"/>
                <w:sz w:val="20"/>
                <w:szCs w:val="21"/>
                <w:lang w:eastAsia="en-AU"/>
              </w:rPr>
              <w:t>4Q 2024</w:t>
            </w:r>
          </w:p>
        </w:tc>
      </w:tr>
      <w:tr w:rsidR="008E21B8" w:rsidRPr="008E21B8" w:rsidTr="00E03EF5">
        <w:tc>
          <w:tcPr>
            <w:tcW w:w="9180" w:type="dxa"/>
            <w:gridSpan w:val="4"/>
            <w:shd w:val="clear" w:color="auto" w:fill="auto"/>
          </w:tcPr>
          <w:p w:rsidR="008E21B8" w:rsidRPr="00A2181C" w:rsidRDefault="00115ED5" w:rsidP="00A2181C">
            <w:pPr>
              <w:ind w:left="170" w:right="170"/>
              <w:rPr>
                <w:b/>
                <w:i/>
                <w:color w:val="000000"/>
                <w:szCs w:val="21"/>
                <w:lang w:eastAsia="en-AU"/>
              </w:rPr>
            </w:pPr>
            <w:r w:rsidRPr="00A2181C">
              <w:rPr>
                <w:b/>
                <w:i/>
                <w:color w:val="000000"/>
                <w:szCs w:val="21"/>
                <w:lang w:eastAsia="en-AU"/>
              </w:rPr>
              <w:t>Planned Studies (</w:t>
            </w:r>
            <w:r w:rsidR="008E21B8" w:rsidRPr="00A2181C">
              <w:rPr>
                <w:b/>
                <w:i/>
                <w:color w:val="000000"/>
                <w:szCs w:val="21"/>
                <w:lang w:eastAsia="en-AU"/>
              </w:rPr>
              <w:t>RMP)</w:t>
            </w:r>
          </w:p>
        </w:tc>
      </w:tr>
      <w:tr w:rsidR="00264F5A" w:rsidRPr="008E21B8" w:rsidTr="00E03EF5">
        <w:tc>
          <w:tcPr>
            <w:tcW w:w="1951"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Use in patients who have undergone influenza vaccination</w:t>
            </w:r>
            <w:r w:rsidR="00264F5A" w:rsidRPr="00B659EE">
              <w:rPr>
                <w:color w:val="000000"/>
                <w:sz w:val="20"/>
                <w:szCs w:val="21"/>
                <w:lang w:eastAsia="en-AU"/>
              </w:rPr>
              <w:t>.</w:t>
            </w:r>
          </w:p>
        </w:tc>
        <w:tc>
          <w:tcPr>
            <w:tcW w:w="3119" w:type="dxa"/>
            <w:shd w:val="clear" w:color="auto" w:fill="auto"/>
          </w:tcPr>
          <w:p w:rsidR="008E21B8" w:rsidRPr="00B659EE" w:rsidRDefault="00264F5A" w:rsidP="00A2181C">
            <w:pPr>
              <w:ind w:right="170"/>
              <w:rPr>
                <w:color w:val="000000"/>
                <w:sz w:val="20"/>
                <w:szCs w:val="21"/>
                <w:lang w:eastAsia="en-AU"/>
              </w:rPr>
            </w:pPr>
            <w:r w:rsidRPr="00B659EE">
              <w:rPr>
                <w:color w:val="000000"/>
                <w:sz w:val="20"/>
                <w:szCs w:val="21"/>
                <w:lang w:eastAsia="en-AU"/>
              </w:rPr>
              <w:t xml:space="preserve">Study CA20999J: Evaluation of risk of muscle damage in cancer patients on checkpoint inhibitor therapies after receiving influenza vaccination. </w:t>
            </w:r>
            <w:r w:rsidR="008E21B8" w:rsidRPr="00B659EE">
              <w:rPr>
                <w:color w:val="000000"/>
                <w:sz w:val="20"/>
                <w:szCs w:val="21"/>
                <w:lang w:eastAsia="en-AU"/>
              </w:rPr>
              <w:t>A nested case-control study using claims data.</w:t>
            </w:r>
          </w:p>
        </w:tc>
        <w:tc>
          <w:tcPr>
            <w:tcW w:w="2126"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No Australian patients</w:t>
            </w:r>
          </w:p>
        </w:tc>
        <w:tc>
          <w:tcPr>
            <w:tcW w:w="1984"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Q4 2018</w:t>
            </w:r>
          </w:p>
        </w:tc>
      </w:tr>
      <w:tr w:rsidR="00264F5A" w:rsidRPr="008E21B8" w:rsidTr="00E03EF5">
        <w:tc>
          <w:tcPr>
            <w:tcW w:w="1951" w:type="dxa"/>
            <w:shd w:val="clear" w:color="auto" w:fill="auto"/>
          </w:tcPr>
          <w:p w:rsidR="008E21B8" w:rsidRPr="00B659EE" w:rsidRDefault="000F6FFE" w:rsidP="00A2181C">
            <w:pPr>
              <w:ind w:right="170"/>
              <w:rPr>
                <w:color w:val="000000"/>
                <w:sz w:val="20"/>
                <w:szCs w:val="21"/>
                <w:lang w:eastAsia="en-AU"/>
              </w:rPr>
            </w:pPr>
            <w:r w:rsidRPr="00B659EE">
              <w:rPr>
                <w:color w:val="000000"/>
                <w:sz w:val="20"/>
                <w:szCs w:val="21"/>
                <w:lang w:eastAsia="en-AU"/>
              </w:rPr>
              <w:lastRenderedPageBreak/>
              <w:t xml:space="preserve">Safety of </w:t>
            </w:r>
            <w:proofErr w:type="spellStart"/>
            <w:r w:rsidRPr="00B659EE">
              <w:rPr>
                <w:color w:val="000000"/>
                <w:sz w:val="20"/>
                <w:szCs w:val="21"/>
                <w:lang w:eastAsia="en-AU"/>
              </w:rPr>
              <w:t>nivolumab</w:t>
            </w:r>
            <w:proofErr w:type="spellEnd"/>
            <w:r w:rsidRPr="00B659EE">
              <w:rPr>
                <w:color w:val="000000"/>
                <w:sz w:val="20"/>
                <w:szCs w:val="21"/>
                <w:lang w:eastAsia="en-AU"/>
              </w:rPr>
              <w:t xml:space="preserve"> in p</w:t>
            </w:r>
            <w:r w:rsidR="008E21B8" w:rsidRPr="00B659EE">
              <w:rPr>
                <w:color w:val="000000"/>
                <w:sz w:val="20"/>
                <w:szCs w:val="21"/>
                <w:lang w:eastAsia="en-AU"/>
              </w:rPr>
              <w:t xml:space="preserve">atients with </w:t>
            </w:r>
            <w:proofErr w:type="spellStart"/>
            <w:r w:rsidR="008E21B8" w:rsidRPr="00B659EE">
              <w:rPr>
                <w:color w:val="000000"/>
                <w:sz w:val="20"/>
                <w:szCs w:val="21"/>
                <w:lang w:eastAsia="en-AU"/>
              </w:rPr>
              <w:t>cHL</w:t>
            </w:r>
            <w:proofErr w:type="spellEnd"/>
            <w:r w:rsidR="008E21B8" w:rsidRPr="00B659EE">
              <w:rPr>
                <w:color w:val="000000"/>
                <w:sz w:val="20"/>
                <w:szCs w:val="21"/>
                <w:lang w:eastAsia="en-AU"/>
              </w:rPr>
              <w:t xml:space="preserve"> who undergo HCT</w:t>
            </w:r>
            <w:r w:rsidRPr="00B659EE">
              <w:rPr>
                <w:color w:val="000000"/>
                <w:sz w:val="20"/>
                <w:szCs w:val="21"/>
                <w:lang w:eastAsia="en-AU"/>
              </w:rPr>
              <w:t>.</w:t>
            </w:r>
          </w:p>
        </w:tc>
        <w:tc>
          <w:tcPr>
            <w:tcW w:w="3119" w:type="dxa"/>
            <w:shd w:val="clear" w:color="auto" w:fill="auto"/>
          </w:tcPr>
          <w:p w:rsidR="008E21B8" w:rsidRPr="00B659EE" w:rsidRDefault="00264F5A" w:rsidP="00A2181C">
            <w:pPr>
              <w:ind w:right="170"/>
              <w:rPr>
                <w:color w:val="000000"/>
                <w:sz w:val="20"/>
                <w:szCs w:val="21"/>
                <w:lang w:eastAsia="en-AU"/>
              </w:rPr>
            </w:pPr>
            <w:r w:rsidRPr="00B659EE">
              <w:rPr>
                <w:color w:val="000000"/>
                <w:sz w:val="20"/>
                <w:szCs w:val="21"/>
                <w:lang w:eastAsia="en-AU"/>
              </w:rPr>
              <w:t xml:space="preserve">Study </w:t>
            </w:r>
            <w:r w:rsidR="008E21B8" w:rsidRPr="00B659EE">
              <w:rPr>
                <w:color w:val="000000"/>
                <w:sz w:val="20"/>
                <w:szCs w:val="21"/>
                <w:lang w:eastAsia="en-AU"/>
              </w:rPr>
              <w:t>CA209835: A registry study in patients who underwent post-</w:t>
            </w:r>
            <w:proofErr w:type="spellStart"/>
            <w:r w:rsidR="008E21B8" w:rsidRPr="00B659EE">
              <w:rPr>
                <w:color w:val="000000"/>
                <w:sz w:val="20"/>
                <w:szCs w:val="21"/>
                <w:lang w:eastAsia="en-AU"/>
              </w:rPr>
              <w:t>nivolumab</w:t>
            </w:r>
            <w:proofErr w:type="spellEnd"/>
            <w:r w:rsidR="008E21B8" w:rsidRPr="00B659EE">
              <w:rPr>
                <w:color w:val="000000"/>
                <w:sz w:val="20"/>
                <w:szCs w:val="21"/>
                <w:lang w:eastAsia="en-AU"/>
              </w:rPr>
              <w:t xml:space="preserve"> allogeneic </w:t>
            </w:r>
            <w:r w:rsidR="000F6FFE" w:rsidRPr="00B659EE">
              <w:rPr>
                <w:color w:val="000000"/>
                <w:sz w:val="20"/>
                <w:szCs w:val="21"/>
                <w:lang w:eastAsia="en-AU"/>
              </w:rPr>
              <w:t>HSCT</w:t>
            </w:r>
            <w:r w:rsidRPr="00B659EE">
              <w:rPr>
                <w:color w:val="000000"/>
                <w:sz w:val="20"/>
                <w:szCs w:val="21"/>
                <w:lang w:eastAsia="en-AU"/>
              </w:rPr>
              <w:t xml:space="preserve">. </w:t>
            </w:r>
            <w:r w:rsidR="008E21B8" w:rsidRPr="00B659EE">
              <w:rPr>
                <w:color w:val="000000"/>
                <w:sz w:val="20"/>
                <w:szCs w:val="21"/>
                <w:lang w:eastAsia="en-AU"/>
              </w:rPr>
              <w:t>The primary objective of this study is to analyse treatment</w:t>
            </w:r>
            <w:r w:rsidRPr="00B659EE">
              <w:rPr>
                <w:color w:val="000000"/>
                <w:sz w:val="20"/>
                <w:szCs w:val="21"/>
                <w:lang w:eastAsia="en-AU"/>
              </w:rPr>
              <w:t xml:space="preserve"> related mortality</w:t>
            </w:r>
            <w:r w:rsidR="008E21B8" w:rsidRPr="00B659EE">
              <w:rPr>
                <w:color w:val="000000"/>
                <w:sz w:val="20"/>
                <w:szCs w:val="21"/>
                <w:lang w:eastAsia="en-AU"/>
              </w:rPr>
              <w:t xml:space="preserve"> at 6 months after an allogeneic HCT among patients with </w:t>
            </w:r>
            <w:proofErr w:type="spellStart"/>
            <w:r w:rsidR="008E21B8" w:rsidRPr="00B659EE">
              <w:rPr>
                <w:color w:val="000000"/>
                <w:sz w:val="20"/>
                <w:szCs w:val="21"/>
                <w:lang w:eastAsia="en-AU"/>
              </w:rPr>
              <w:t>cHL</w:t>
            </w:r>
            <w:proofErr w:type="spellEnd"/>
            <w:r w:rsidR="008E21B8" w:rsidRPr="00B659EE">
              <w:rPr>
                <w:color w:val="000000"/>
                <w:sz w:val="20"/>
                <w:szCs w:val="21"/>
                <w:lang w:eastAsia="en-AU"/>
              </w:rPr>
              <w:t xml:space="preserve"> who were previously treated with </w:t>
            </w:r>
            <w:proofErr w:type="spellStart"/>
            <w:r w:rsidR="008E21B8" w:rsidRPr="00B659EE">
              <w:rPr>
                <w:color w:val="000000"/>
                <w:sz w:val="20"/>
                <w:szCs w:val="21"/>
                <w:lang w:eastAsia="en-AU"/>
              </w:rPr>
              <w:t>nivolumab</w:t>
            </w:r>
            <w:proofErr w:type="spellEnd"/>
            <w:r w:rsidR="008E21B8" w:rsidRPr="00B659EE">
              <w:rPr>
                <w:color w:val="000000"/>
                <w:sz w:val="20"/>
                <w:szCs w:val="21"/>
                <w:lang w:eastAsia="en-AU"/>
              </w:rPr>
              <w:t>, either alone or in combination.</w:t>
            </w:r>
          </w:p>
        </w:tc>
        <w:tc>
          <w:tcPr>
            <w:tcW w:w="2126" w:type="dxa"/>
            <w:shd w:val="clear" w:color="auto" w:fill="auto"/>
          </w:tcPr>
          <w:p w:rsidR="008E21B8" w:rsidRPr="00B659EE" w:rsidRDefault="008E21B8" w:rsidP="00A2181C">
            <w:pPr>
              <w:ind w:right="170"/>
              <w:rPr>
                <w:color w:val="000000"/>
                <w:sz w:val="20"/>
                <w:szCs w:val="21"/>
                <w:lang w:eastAsia="en-AU"/>
              </w:rPr>
            </w:pPr>
            <w:r w:rsidRPr="00B659EE">
              <w:rPr>
                <w:color w:val="000000"/>
                <w:sz w:val="20"/>
                <w:szCs w:val="21"/>
                <w:lang w:eastAsia="en-AU"/>
              </w:rPr>
              <w:t>No Australian involvement</w:t>
            </w:r>
            <w:r w:rsidR="000F6FFE" w:rsidRPr="00B659EE">
              <w:rPr>
                <w:color w:val="000000"/>
                <w:sz w:val="20"/>
                <w:szCs w:val="21"/>
                <w:lang w:eastAsia="en-AU"/>
              </w:rPr>
              <w:t>.</w:t>
            </w:r>
          </w:p>
          <w:p w:rsidR="008E21B8" w:rsidRPr="00B659EE" w:rsidRDefault="000F6FFE" w:rsidP="00A2181C">
            <w:pPr>
              <w:ind w:right="170"/>
              <w:rPr>
                <w:color w:val="000000"/>
                <w:sz w:val="20"/>
                <w:szCs w:val="21"/>
                <w:lang w:eastAsia="en-AU"/>
              </w:rPr>
            </w:pPr>
            <w:r w:rsidRPr="00B659EE">
              <w:rPr>
                <w:color w:val="000000"/>
                <w:sz w:val="20"/>
                <w:szCs w:val="21"/>
                <w:lang w:eastAsia="en-AU"/>
              </w:rPr>
              <w:t>(Draft protocol synopsis i</w:t>
            </w:r>
            <w:r w:rsidR="008E21B8" w:rsidRPr="00B659EE">
              <w:rPr>
                <w:color w:val="000000"/>
                <w:sz w:val="20"/>
                <w:szCs w:val="21"/>
                <w:lang w:eastAsia="en-AU"/>
              </w:rPr>
              <w:t>n this submission)</w:t>
            </w:r>
            <w:r w:rsidRPr="00B659EE">
              <w:rPr>
                <w:color w:val="000000"/>
                <w:sz w:val="20"/>
                <w:szCs w:val="21"/>
                <w:lang w:eastAsia="en-AU"/>
              </w:rPr>
              <w:t>.</w:t>
            </w:r>
          </w:p>
        </w:tc>
        <w:tc>
          <w:tcPr>
            <w:tcW w:w="1984" w:type="dxa"/>
            <w:shd w:val="clear" w:color="auto" w:fill="auto"/>
          </w:tcPr>
          <w:p w:rsidR="008E21B8" w:rsidRPr="00B659EE" w:rsidRDefault="000F6FFE" w:rsidP="00A2181C">
            <w:pPr>
              <w:ind w:right="170"/>
              <w:rPr>
                <w:color w:val="000000"/>
                <w:sz w:val="20"/>
                <w:szCs w:val="21"/>
                <w:lang w:eastAsia="en-AU"/>
              </w:rPr>
            </w:pPr>
            <w:r w:rsidRPr="00B659EE">
              <w:rPr>
                <w:color w:val="000000"/>
                <w:sz w:val="20"/>
                <w:szCs w:val="21"/>
                <w:lang w:eastAsia="en-AU"/>
              </w:rPr>
              <w:t>Annual update w</w:t>
            </w:r>
            <w:r w:rsidR="008E21B8" w:rsidRPr="00B659EE">
              <w:rPr>
                <w:color w:val="000000"/>
                <w:sz w:val="20"/>
                <w:szCs w:val="21"/>
                <w:lang w:eastAsia="en-AU"/>
              </w:rPr>
              <w:t>ith PSUR starting at</w:t>
            </w:r>
            <w:r w:rsidRPr="00B659EE">
              <w:rPr>
                <w:color w:val="000000"/>
                <w:sz w:val="20"/>
                <w:szCs w:val="21"/>
                <w:lang w:eastAsia="en-AU"/>
              </w:rPr>
              <w:t xml:space="preserve"> DLP 3 July </w:t>
            </w:r>
            <w:r w:rsidR="008E21B8" w:rsidRPr="00B659EE">
              <w:rPr>
                <w:color w:val="000000"/>
                <w:sz w:val="20"/>
                <w:szCs w:val="21"/>
                <w:lang w:eastAsia="en-AU"/>
              </w:rPr>
              <w:t>2017</w:t>
            </w:r>
            <w:r w:rsidRPr="00B659EE">
              <w:rPr>
                <w:color w:val="000000"/>
                <w:sz w:val="20"/>
                <w:szCs w:val="21"/>
                <w:lang w:eastAsia="en-AU"/>
              </w:rPr>
              <w:t>.</w:t>
            </w:r>
          </w:p>
          <w:p w:rsidR="008E21B8" w:rsidRPr="00B659EE" w:rsidRDefault="000F6FFE" w:rsidP="00A2181C">
            <w:pPr>
              <w:ind w:right="170"/>
              <w:rPr>
                <w:color w:val="000000"/>
                <w:sz w:val="20"/>
                <w:szCs w:val="21"/>
                <w:lang w:eastAsia="en-AU"/>
              </w:rPr>
            </w:pPr>
            <w:r w:rsidRPr="00B659EE">
              <w:rPr>
                <w:color w:val="000000"/>
                <w:sz w:val="20"/>
                <w:szCs w:val="21"/>
                <w:lang w:eastAsia="en-AU"/>
              </w:rPr>
              <w:t xml:space="preserve">Interim CSR submission July </w:t>
            </w:r>
            <w:r w:rsidR="008E21B8" w:rsidRPr="00B659EE">
              <w:rPr>
                <w:color w:val="000000"/>
                <w:sz w:val="20"/>
                <w:szCs w:val="21"/>
                <w:lang w:eastAsia="en-AU"/>
              </w:rPr>
              <w:t>2019</w:t>
            </w:r>
            <w:r w:rsidRPr="00B659EE">
              <w:rPr>
                <w:color w:val="000000"/>
                <w:sz w:val="20"/>
                <w:szCs w:val="21"/>
                <w:lang w:eastAsia="en-AU"/>
              </w:rPr>
              <w:t>.</w:t>
            </w:r>
          </w:p>
          <w:p w:rsidR="008E21B8" w:rsidRPr="00B659EE" w:rsidRDefault="008E21B8" w:rsidP="00A2181C">
            <w:pPr>
              <w:ind w:right="170"/>
              <w:rPr>
                <w:color w:val="000000"/>
                <w:sz w:val="20"/>
                <w:szCs w:val="21"/>
                <w:lang w:eastAsia="en-AU"/>
              </w:rPr>
            </w:pPr>
            <w:r w:rsidRPr="00B659EE">
              <w:rPr>
                <w:color w:val="000000"/>
                <w:sz w:val="20"/>
                <w:szCs w:val="21"/>
                <w:lang w:eastAsia="en-AU"/>
              </w:rPr>
              <w:t>Final CSR submission 4Q2022</w:t>
            </w:r>
          </w:p>
        </w:tc>
      </w:tr>
    </w:tbl>
    <w:p w:rsidR="008E21B8" w:rsidRPr="008E21B8" w:rsidRDefault="00C362E7" w:rsidP="000F6FFE">
      <w:pPr>
        <w:pStyle w:val="Tabletitle0"/>
        <w:rPr>
          <w:lang w:eastAsia="en-AU"/>
        </w:rPr>
      </w:pPr>
      <w:proofErr w:type="gramStart"/>
      <w:r>
        <w:rPr>
          <w:lang w:eastAsia="en-AU"/>
        </w:rPr>
        <w:t>Table 19</w:t>
      </w:r>
      <w:r w:rsidR="008E21B8" w:rsidRPr="008E21B8">
        <w:rPr>
          <w:lang w:eastAsia="en-AU"/>
        </w:rPr>
        <w:t>.</w:t>
      </w:r>
      <w:proofErr w:type="gramEnd"/>
      <w:r w:rsidR="008E21B8" w:rsidRPr="008E21B8">
        <w:rPr>
          <w:lang w:eastAsia="en-AU"/>
        </w:rPr>
        <w:t xml:space="preserve"> Ongoing efficacy studies</w:t>
      </w:r>
    </w:p>
    <w:tbl>
      <w:tblPr>
        <w:tblW w:w="9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19 is a list of the ongoing efficacy studies"/>
      </w:tblPr>
      <w:tblGrid>
        <w:gridCol w:w="2376"/>
        <w:gridCol w:w="4820"/>
        <w:gridCol w:w="1843"/>
      </w:tblGrid>
      <w:tr w:rsidR="00E03EF5" w:rsidRPr="008E21B8" w:rsidTr="00F84633">
        <w:trPr>
          <w:trHeight w:val="694"/>
          <w:tblHeader/>
        </w:trPr>
        <w:tc>
          <w:tcPr>
            <w:tcW w:w="2376" w:type="dxa"/>
            <w:tcBorders>
              <w:top w:val="single" w:sz="8" w:space="0" w:color="000000"/>
              <w:left w:val="single" w:sz="8" w:space="0" w:color="000000"/>
              <w:bottom w:val="single" w:sz="8" w:space="0" w:color="000000"/>
              <w:right w:val="nil"/>
              <w:tl2br w:val="nil"/>
              <w:tr2bl w:val="nil"/>
            </w:tcBorders>
            <w:shd w:val="clear" w:color="auto" w:fill="006DA7"/>
          </w:tcPr>
          <w:p w:rsidR="008E21B8" w:rsidRPr="00A2181C" w:rsidRDefault="008E21B8" w:rsidP="00A2181C">
            <w:pPr>
              <w:keepNext/>
              <w:ind w:left="170" w:right="170"/>
              <w:rPr>
                <w:b/>
                <w:color w:val="FFFFFF"/>
                <w:szCs w:val="21"/>
                <w:lang w:eastAsia="en-AU"/>
              </w:rPr>
            </w:pPr>
            <w:r w:rsidRPr="00A2181C">
              <w:rPr>
                <w:b/>
                <w:color w:val="FFFFFF"/>
                <w:szCs w:val="21"/>
                <w:lang w:eastAsia="en-AU"/>
              </w:rPr>
              <w:t>Study ID</w:t>
            </w:r>
          </w:p>
        </w:tc>
        <w:tc>
          <w:tcPr>
            <w:tcW w:w="4820" w:type="dxa"/>
            <w:tcBorders>
              <w:top w:val="single" w:sz="8" w:space="0" w:color="000000"/>
              <w:left w:val="nil"/>
              <w:bottom w:val="single" w:sz="8" w:space="0" w:color="000000"/>
              <w:right w:val="nil"/>
              <w:tl2br w:val="nil"/>
              <w:tr2bl w:val="nil"/>
            </w:tcBorders>
            <w:shd w:val="clear" w:color="auto" w:fill="006DA7"/>
          </w:tcPr>
          <w:p w:rsidR="008E21B8" w:rsidRPr="00A2181C" w:rsidRDefault="000F6FFE" w:rsidP="00A2181C">
            <w:pPr>
              <w:keepNext/>
              <w:ind w:left="170" w:right="170"/>
              <w:rPr>
                <w:b/>
                <w:color w:val="FFFFFF"/>
                <w:szCs w:val="21"/>
                <w:lang w:eastAsia="en-AU"/>
              </w:rPr>
            </w:pPr>
            <w:r w:rsidRPr="00A2181C">
              <w:rPr>
                <w:b/>
                <w:color w:val="FFFFFF"/>
                <w:szCs w:val="21"/>
                <w:lang w:eastAsia="en-AU"/>
              </w:rPr>
              <w:t>Study description/</w:t>
            </w:r>
            <w:r w:rsidR="008E21B8" w:rsidRPr="00A2181C">
              <w:rPr>
                <w:b/>
                <w:color w:val="FFFFFF"/>
                <w:szCs w:val="21"/>
                <w:lang w:eastAsia="en-AU"/>
              </w:rPr>
              <w:t>aim</w:t>
            </w:r>
          </w:p>
        </w:tc>
        <w:tc>
          <w:tcPr>
            <w:tcW w:w="1843" w:type="dxa"/>
            <w:tcBorders>
              <w:top w:val="single" w:sz="8" w:space="0" w:color="000000"/>
              <w:left w:val="nil"/>
              <w:bottom w:val="single" w:sz="8" w:space="0" w:color="000000"/>
              <w:right w:val="single" w:sz="8" w:space="0" w:color="000000"/>
              <w:tl2br w:val="nil"/>
              <w:tr2bl w:val="nil"/>
            </w:tcBorders>
            <w:shd w:val="clear" w:color="auto" w:fill="006DA7"/>
          </w:tcPr>
          <w:p w:rsidR="008E21B8" w:rsidRPr="00A2181C" w:rsidRDefault="008E21B8" w:rsidP="00A2181C">
            <w:pPr>
              <w:keepNext/>
              <w:ind w:right="170"/>
              <w:rPr>
                <w:b/>
                <w:color w:val="FFFFFF"/>
                <w:szCs w:val="21"/>
                <w:lang w:eastAsia="en-AU"/>
              </w:rPr>
            </w:pPr>
            <w:r w:rsidRPr="00A2181C">
              <w:rPr>
                <w:b/>
                <w:color w:val="FFFFFF"/>
                <w:szCs w:val="21"/>
                <w:lang w:eastAsia="en-AU"/>
              </w:rPr>
              <w:t>Final CSR submission</w:t>
            </w:r>
          </w:p>
        </w:tc>
      </w:tr>
      <w:tr w:rsidR="00E03EF5" w:rsidRPr="008E21B8" w:rsidTr="00F84633">
        <w:trPr>
          <w:trHeight w:val="1186"/>
        </w:trPr>
        <w:tc>
          <w:tcPr>
            <w:tcW w:w="2376"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CA209067</w:t>
            </w:r>
          </w:p>
        </w:tc>
        <w:tc>
          <w:tcPr>
            <w:tcW w:w="4820" w:type="dxa"/>
            <w:shd w:val="clear" w:color="auto" w:fill="auto"/>
          </w:tcPr>
          <w:p w:rsidR="009D4200" w:rsidRPr="00E03EF5" w:rsidRDefault="008E21B8" w:rsidP="00A2181C">
            <w:pPr>
              <w:ind w:right="170"/>
              <w:rPr>
                <w:color w:val="000000"/>
                <w:sz w:val="20"/>
                <w:szCs w:val="21"/>
                <w:lang w:eastAsia="en-AU"/>
              </w:rPr>
            </w:pPr>
            <w:r w:rsidRPr="00E03EF5">
              <w:rPr>
                <w:color w:val="000000"/>
                <w:sz w:val="20"/>
                <w:szCs w:val="21"/>
                <w:lang w:eastAsia="en-AU"/>
              </w:rPr>
              <w:t>Final clini</w:t>
            </w:r>
            <w:r w:rsidR="000F6FFE" w:rsidRPr="00E03EF5">
              <w:rPr>
                <w:color w:val="000000"/>
                <w:sz w:val="20"/>
                <w:szCs w:val="21"/>
                <w:lang w:eastAsia="en-AU"/>
              </w:rPr>
              <w:t>cal study report for Study CA209067: A</w:t>
            </w:r>
            <w:r w:rsidRPr="00E03EF5">
              <w:rPr>
                <w:color w:val="000000"/>
                <w:sz w:val="20"/>
                <w:szCs w:val="21"/>
                <w:lang w:eastAsia="en-AU"/>
              </w:rPr>
              <w:t xml:space="preserve"> Phase </w:t>
            </w:r>
            <w:r w:rsidR="002C5E3F" w:rsidRPr="00E03EF5">
              <w:rPr>
                <w:color w:val="000000"/>
                <w:sz w:val="20"/>
                <w:szCs w:val="21"/>
                <w:lang w:eastAsia="en-AU"/>
              </w:rPr>
              <w:t>III</w:t>
            </w:r>
            <w:r w:rsidRPr="00E03EF5">
              <w:rPr>
                <w:color w:val="000000"/>
                <w:sz w:val="20"/>
                <w:szCs w:val="21"/>
                <w:lang w:eastAsia="en-AU"/>
              </w:rPr>
              <w:t>,</w:t>
            </w:r>
            <w:r w:rsidR="000F6FFE" w:rsidRPr="00E03EF5">
              <w:rPr>
                <w:color w:val="000000"/>
                <w:sz w:val="20"/>
                <w:szCs w:val="21"/>
                <w:lang w:eastAsia="en-AU"/>
              </w:rPr>
              <w:t xml:space="preserve"> randomised, double </w:t>
            </w:r>
            <w:r w:rsidRPr="00E03EF5">
              <w:rPr>
                <w:color w:val="000000"/>
                <w:sz w:val="20"/>
                <w:szCs w:val="21"/>
                <w:lang w:eastAsia="en-AU"/>
              </w:rPr>
              <w:t xml:space="preserve">blind study of overall survival in subjects treated with </w:t>
            </w:r>
            <w:proofErr w:type="spellStart"/>
            <w:r w:rsidRPr="00E03EF5">
              <w:rPr>
                <w:color w:val="000000"/>
                <w:sz w:val="20"/>
                <w:szCs w:val="21"/>
                <w:lang w:eastAsia="en-AU"/>
              </w:rPr>
              <w:t>nivolumab</w:t>
            </w:r>
            <w:proofErr w:type="spellEnd"/>
            <w:r w:rsidRPr="00E03EF5">
              <w:rPr>
                <w:color w:val="000000"/>
                <w:sz w:val="20"/>
                <w:szCs w:val="21"/>
                <w:lang w:eastAsia="en-AU"/>
              </w:rPr>
              <w:t xml:space="preserve"> monotherapy, </w:t>
            </w:r>
            <w:proofErr w:type="spellStart"/>
            <w:r w:rsidRPr="00E03EF5">
              <w:rPr>
                <w:color w:val="000000"/>
                <w:sz w:val="20"/>
                <w:szCs w:val="21"/>
                <w:lang w:eastAsia="en-AU"/>
              </w:rPr>
              <w:t>ipilimumab</w:t>
            </w:r>
            <w:proofErr w:type="spellEnd"/>
            <w:r w:rsidRPr="00E03EF5">
              <w:rPr>
                <w:color w:val="000000"/>
                <w:sz w:val="20"/>
                <w:szCs w:val="21"/>
                <w:lang w:eastAsia="en-AU"/>
              </w:rPr>
              <w:t xml:space="preserve"> monotherapy, and </w:t>
            </w:r>
            <w:proofErr w:type="spellStart"/>
            <w:r w:rsidRPr="00E03EF5">
              <w:rPr>
                <w:color w:val="000000"/>
                <w:sz w:val="20"/>
                <w:szCs w:val="21"/>
                <w:lang w:eastAsia="en-AU"/>
              </w:rPr>
              <w:t>nivolumab</w:t>
            </w:r>
            <w:proofErr w:type="spellEnd"/>
            <w:r w:rsidRPr="00E03EF5">
              <w:rPr>
                <w:color w:val="000000"/>
                <w:sz w:val="20"/>
                <w:szCs w:val="21"/>
                <w:lang w:eastAsia="en-AU"/>
              </w:rPr>
              <w:t xml:space="preserve"> combined with </w:t>
            </w:r>
            <w:proofErr w:type="spellStart"/>
            <w:r w:rsidRPr="00E03EF5">
              <w:rPr>
                <w:color w:val="000000"/>
                <w:sz w:val="20"/>
                <w:szCs w:val="21"/>
                <w:lang w:eastAsia="en-AU"/>
              </w:rPr>
              <w:t>ipilimumab</w:t>
            </w:r>
            <w:proofErr w:type="spellEnd"/>
            <w:r w:rsidR="000F6FFE" w:rsidRPr="00E03EF5">
              <w:rPr>
                <w:color w:val="000000"/>
                <w:sz w:val="20"/>
                <w:szCs w:val="21"/>
                <w:lang w:eastAsia="en-AU"/>
              </w:rPr>
              <w:t>.</w:t>
            </w:r>
          </w:p>
        </w:tc>
        <w:tc>
          <w:tcPr>
            <w:tcW w:w="1843"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31 March 2017</w:t>
            </w:r>
          </w:p>
        </w:tc>
      </w:tr>
      <w:tr w:rsidR="008E21B8" w:rsidRPr="008E21B8" w:rsidTr="00E03EF5">
        <w:trPr>
          <w:trHeight w:val="1839"/>
        </w:trPr>
        <w:tc>
          <w:tcPr>
            <w:tcW w:w="9039" w:type="dxa"/>
            <w:gridSpan w:val="3"/>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To further investigate the value of biomarkers other than PD-L1 expression status at tumour cell membrane level by IHC (</w:t>
            </w:r>
            <w:r w:rsidR="000F6FFE" w:rsidRPr="00E03EF5">
              <w:rPr>
                <w:color w:val="000000"/>
                <w:sz w:val="20"/>
                <w:szCs w:val="21"/>
                <w:lang w:eastAsia="en-AU"/>
              </w:rPr>
              <w:t>for example, other genomic-based methods/</w:t>
            </w:r>
            <w:r w:rsidRPr="00E03EF5">
              <w:rPr>
                <w:color w:val="000000"/>
                <w:sz w:val="20"/>
                <w:szCs w:val="21"/>
                <w:lang w:eastAsia="en-AU"/>
              </w:rPr>
              <w:t xml:space="preserve">assays, and associated cut-offs, that might prove more sensitive and specific in predicting response to treatment based on PDL1, PD-L2, tumour infiltrating lymphocytes with measurement of CD8+T density, RNA signature, expression of components of antigen-presentation complexes and/or other inhibitory checkpoint receptors/ligands within tumour, </w:t>
            </w:r>
            <w:r w:rsidR="000F6FFE" w:rsidRPr="00E03EF5">
              <w:rPr>
                <w:color w:val="000000"/>
                <w:sz w:val="20"/>
                <w:szCs w:val="21"/>
                <w:lang w:eastAsia="en-AU"/>
              </w:rPr>
              <w:t xml:space="preserve">and so on) </w:t>
            </w:r>
            <w:r w:rsidRPr="00E03EF5">
              <w:rPr>
                <w:color w:val="000000"/>
                <w:sz w:val="20"/>
                <w:szCs w:val="21"/>
                <w:lang w:eastAsia="en-AU"/>
              </w:rPr>
              <w:t xml:space="preserve">as predictive of </w:t>
            </w:r>
            <w:proofErr w:type="spellStart"/>
            <w:r w:rsidRPr="00E03EF5">
              <w:rPr>
                <w:color w:val="000000"/>
                <w:sz w:val="20"/>
                <w:szCs w:val="21"/>
                <w:lang w:eastAsia="en-AU"/>
              </w:rPr>
              <w:t>nivolumab</w:t>
            </w:r>
            <w:proofErr w:type="spellEnd"/>
            <w:r w:rsidRPr="00E03EF5">
              <w:rPr>
                <w:color w:val="000000"/>
                <w:sz w:val="20"/>
                <w:szCs w:val="21"/>
                <w:lang w:eastAsia="en-AU"/>
              </w:rPr>
              <w:t xml:space="preserve"> and/or </w:t>
            </w:r>
            <w:proofErr w:type="spellStart"/>
            <w:r w:rsidRPr="00E03EF5">
              <w:rPr>
                <w:color w:val="000000"/>
                <w:sz w:val="20"/>
                <w:szCs w:val="21"/>
                <w:lang w:eastAsia="en-AU"/>
              </w:rPr>
              <w:t>nivolumab</w:t>
            </w:r>
            <w:proofErr w:type="spellEnd"/>
            <w:r w:rsidRPr="00E03EF5">
              <w:rPr>
                <w:color w:val="000000"/>
                <w:sz w:val="20"/>
                <w:szCs w:val="21"/>
                <w:lang w:eastAsia="en-AU"/>
              </w:rPr>
              <w:t xml:space="preserve"> + </w:t>
            </w:r>
            <w:proofErr w:type="spellStart"/>
            <w:r w:rsidRPr="00E03EF5">
              <w:rPr>
                <w:color w:val="000000"/>
                <w:sz w:val="20"/>
                <w:szCs w:val="21"/>
                <w:lang w:eastAsia="en-AU"/>
              </w:rPr>
              <w:t>ipilimumab</w:t>
            </w:r>
            <w:proofErr w:type="spellEnd"/>
            <w:r w:rsidRPr="00E03EF5">
              <w:rPr>
                <w:color w:val="000000"/>
                <w:sz w:val="20"/>
                <w:szCs w:val="21"/>
                <w:lang w:eastAsia="en-AU"/>
              </w:rPr>
              <w:t xml:space="preserve"> combination therapy efficacy. This will be provided for all the approved indications</w:t>
            </w:r>
            <w:r w:rsidR="000F6FFE" w:rsidRPr="00E03EF5">
              <w:rPr>
                <w:color w:val="000000"/>
                <w:sz w:val="20"/>
                <w:szCs w:val="21"/>
                <w:lang w:eastAsia="en-AU"/>
              </w:rPr>
              <w:t>.</w:t>
            </w:r>
          </w:p>
        </w:tc>
      </w:tr>
      <w:tr w:rsidR="00E03EF5" w:rsidRPr="008E21B8" w:rsidTr="00F84633">
        <w:trPr>
          <w:trHeight w:val="159"/>
        </w:trPr>
        <w:tc>
          <w:tcPr>
            <w:tcW w:w="2376" w:type="dxa"/>
            <w:shd w:val="clear" w:color="auto" w:fill="auto"/>
          </w:tcPr>
          <w:p w:rsidR="008E21B8" w:rsidRPr="00E03EF5" w:rsidRDefault="00E03EF5" w:rsidP="00A2181C">
            <w:pPr>
              <w:ind w:right="170"/>
              <w:rPr>
                <w:color w:val="000000"/>
                <w:sz w:val="20"/>
                <w:szCs w:val="21"/>
                <w:lang w:eastAsia="en-AU"/>
              </w:rPr>
            </w:pPr>
            <w:r>
              <w:rPr>
                <w:color w:val="000000"/>
                <w:sz w:val="20"/>
                <w:szCs w:val="21"/>
                <w:lang w:eastAsia="en-AU"/>
              </w:rPr>
              <w:t xml:space="preserve">CA209038, </w:t>
            </w:r>
            <w:r w:rsidR="008E21B8" w:rsidRPr="00E03EF5">
              <w:rPr>
                <w:color w:val="000000"/>
                <w:sz w:val="20"/>
                <w:szCs w:val="21"/>
                <w:lang w:eastAsia="en-AU"/>
              </w:rPr>
              <w:t>CA209066</w:t>
            </w:r>
          </w:p>
        </w:tc>
        <w:tc>
          <w:tcPr>
            <w:tcW w:w="4820" w:type="dxa"/>
            <w:shd w:val="clear" w:color="auto" w:fill="auto"/>
          </w:tcPr>
          <w:p w:rsidR="008E21B8" w:rsidRPr="00E03EF5" w:rsidRDefault="00E03EF5" w:rsidP="00E03EF5">
            <w:pPr>
              <w:ind w:right="170"/>
              <w:rPr>
                <w:color w:val="000000"/>
                <w:sz w:val="20"/>
                <w:szCs w:val="21"/>
                <w:lang w:eastAsia="en-AU"/>
              </w:rPr>
            </w:pPr>
            <w:r>
              <w:rPr>
                <w:color w:val="000000"/>
                <w:sz w:val="20"/>
                <w:szCs w:val="21"/>
                <w:lang w:eastAsia="en-AU"/>
              </w:rPr>
              <w:t>Melanoma monotherapy studies</w:t>
            </w:r>
          </w:p>
        </w:tc>
        <w:tc>
          <w:tcPr>
            <w:tcW w:w="1843"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30 September 2017</w:t>
            </w:r>
          </w:p>
        </w:tc>
      </w:tr>
      <w:tr w:rsidR="00E03EF5" w:rsidRPr="008E21B8" w:rsidTr="00F84633">
        <w:trPr>
          <w:trHeight w:val="122"/>
        </w:trPr>
        <w:tc>
          <w:tcPr>
            <w:tcW w:w="2376" w:type="dxa"/>
            <w:shd w:val="clear" w:color="auto" w:fill="auto"/>
          </w:tcPr>
          <w:p w:rsidR="008E21B8" w:rsidRPr="00E03EF5" w:rsidRDefault="00E03EF5" w:rsidP="00A2181C">
            <w:pPr>
              <w:ind w:right="170"/>
              <w:rPr>
                <w:color w:val="000000"/>
                <w:sz w:val="20"/>
                <w:szCs w:val="21"/>
                <w:vertAlign w:val="superscript"/>
                <w:lang w:eastAsia="en-AU"/>
              </w:rPr>
            </w:pPr>
            <w:r>
              <w:rPr>
                <w:color w:val="000000"/>
                <w:sz w:val="20"/>
                <w:szCs w:val="21"/>
                <w:lang w:eastAsia="en-AU"/>
              </w:rPr>
              <w:t xml:space="preserve">CA209038, CA209067, </w:t>
            </w:r>
            <w:r w:rsidR="008E21B8" w:rsidRPr="00E03EF5">
              <w:rPr>
                <w:color w:val="000000"/>
                <w:sz w:val="20"/>
                <w:szCs w:val="21"/>
                <w:lang w:eastAsia="en-AU"/>
              </w:rPr>
              <w:t>CA20906</w:t>
            </w:r>
            <w:r w:rsidR="00287CB3" w:rsidRPr="00E03EF5">
              <w:rPr>
                <w:color w:val="000000"/>
                <w:sz w:val="20"/>
                <w:szCs w:val="21"/>
                <w:vertAlign w:val="superscript"/>
                <w:lang w:eastAsia="en-AU"/>
              </w:rPr>
              <w:t>a</w:t>
            </w:r>
          </w:p>
        </w:tc>
        <w:tc>
          <w:tcPr>
            <w:tcW w:w="4820"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 xml:space="preserve">Melanoma combination (with </w:t>
            </w:r>
            <w:proofErr w:type="spellStart"/>
            <w:r w:rsidRPr="00E03EF5">
              <w:rPr>
                <w:color w:val="000000"/>
                <w:sz w:val="20"/>
                <w:szCs w:val="21"/>
                <w:lang w:eastAsia="en-AU"/>
              </w:rPr>
              <w:t>ipilimumab</w:t>
            </w:r>
            <w:proofErr w:type="spellEnd"/>
            <w:r w:rsidRPr="00E03EF5">
              <w:rPr>
                <w:color w:val="000000"/>
                <w:sz w:val="20"/>
                <w:szCs w:val="21"/>
                <w:lang w:eastAsia="en-AU"/>
              </w:rPr>
              <w:t>) studies</w:t>
            </w:r>
          </w:p>
        </w:tc>
        <w:tc>
          <w:tcPr>
            <w:tcW w:w="1843"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31 March 2019</w:t>
            </w:r>
          </w:p>
        </w:tc>
      </w:tr>
      <w:tr w:rsidR="00E03EF5" w:rsidRPr="008E21B8" w:rsidTr="00F84633">
        <w:trPr>
          <w:trHeight w:val="178"/>
        </w:trPr>
        <w:tc>
          <w:tcPr>
            <w:tcW w:w="2376"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CA209017, CA209057</w:t>
            </w:r>
            <w:r w:rsidR="00E03EF5">
              <w:rPr>
                <w:color w:val="000000"/>
                <w:sz w:val="20"/>
                <w:szCs w:val="21"/>
                <w:lang w:eastAsia="en-AU"/>
              </w:rPr>
              <w:t xml:space="preserve">, </w:t>
            </w:r>
            <w:r w:rsidRPr="00E03EF5">
              <w:rPr>
                <w:color w:val="000000"/>
                <w:sz w:val="20"/>
                <w:szCs w:val="21"/>
                <w:lang w:eastAsia="en-AU"/>
              </w:rPr>
              <w:t>CA209026</w:t>
            </w:r>
          </w:p>
        </w:tc>
        <w:tc>
          <w:tcPr>
            <w:tcW w:w="4820"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NSCLC</w:t>
            </w:r>
            <w:r w:rsidR="000F6FFE" w:rsidRPr="00E03EF5">
              <w:rPr>
                <w:color w:val="000000"/>
                <w:sz w:val="20"/>
                <w:szCs w:val="21"/>
                <w:lang w:eastAsia="en-AU"/>
              </w:rPr>
              <w:t xml:space="preserve"> studies</w:t>
            </w:r>
          </w:p>
        </w:tc>
        <w:tc>
          <w:tcPr>
            <w:tcW w:w="1843"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31 March 2018</w:t>
            </w:r>
          </w:p>
        </w:tc>
      </w:tr>
      <w:tr w:rsidR="00E03EF5" w:rsidRPr="008E21B8" w:rsidTr="00F84633">
        <w:trPr>
          <w:trHeight w:val="94"/>
        </w:trPr>
        <w:tc>
          <w:tcPr>
            <w:tcW w:w="2376"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C</w:t>
            </w:r>
            <w:r w:rsidR="00E03EF5">
              <w:rPr>
                <w:color w:val="000000"/>
                <w:sz w:val="20"/>
                <w:szCs w:val="21"/>
                <w:lang w:eastAsia="en-AU"/>
              </w:rPr>
              <w:t xml:space="preserve">A209025, </w:t>
            </w:r>
            <w:r w:rsidRPr="00E03EF5">
              <w:rPr>
                <w:color w:val="000000"/>
                <w:sz w:val="20"/>
                <w:szCs w:val="21"/>
                <w:lang w:eastAsia="en-AU"/>
              </w:rPr>
              <w:t>CA209009</w:t>
            </w:r>
          </w:p>
        </w:tc>
        <w:tc>
          <w:tcPr>
            <w:tcW w:w="4820" w:type="dxa"/>
            <w:shd w:val="clear" w:color="auto" w:fill="auto"/>
          </w:tcPr>
          <w:p w:rsidR="008E21B8" w:rsidRPr="00E03EF5" w:rsidRDefault="00E03EF5" w:rsidP="00A2181C">
            <w:pPr>
              <w:ind w:right="170"/>
              <w:rPr>
                <w:color w:val="000000"/>
                <w:sz w:val="20"/>
                <w:szCs w:val="21"/>
                <w:lang w:eastAsia="en-AU"/>
              </w:rPr>
            </w:pPr>
            <w:r>
              <w:rPr>
                <w:color w:val="000000"/>
                <w:sz w:val="20"/>
                <w:szCs w:val="21"/>
                <w:lang w:eastAsia="en-AU"/>
              </w:rPr>
              <w:t>RCC studies</w:t>
            </w:r>
          </w:p>
        </w:tc>
        <w:tc>
          <w:tcPr>
            <w:tcW w:w="1843"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31 March 2018</w:t>
            </w:r>
          </w:p>
        </w:tc>
      </w:tr>
      <w:tr w:rsidR="00E03EF5" w:rsidRPr="008E21B8" w:rsidTr="00F84633">
        <w:trPr>
          <w:trHeight w:val="94"/>
        </w:trPr>
        <w:tc>
          <w:tcPr>
            <w:tcW w:w="2376"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CA209009, CA209038</w:t>
            </w:r>
            <w:r w:rsidR="00E03EF5">
              <w:rPr>
                <w:color w:val="000000"/>
                <w:sz w:val="20"/>
                <w:szCs w:val="21"/>
                <w:lang w:eastAsia="en-AU"/>
              </w:rPr>
              <w:t xml:space="preserve">, </w:t>
            </w:r>
            <w:r w:rsidR="00F84633">
              <w:rPr>
                <w:color w:val="000000"/>
                <w:sz w:val="20"/>
                <w:szCs w:val="21"/>
                <w:lang w:eastAsia="en-AU"/>
              </w:rPr>
              <w:t>CA209064</w:t>
            </w:r>
          </w:p>
        </w:tc>
        <w:tc>
          <w:tcPr>
            <w:tcW w:w="4820"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To further investigate the relation between PD-L1 and PDL</w:t>
            </w:r>
            <w:r w:rsidR="000F6FFE" w:rsidRPr="00E03EF5">
              <w:rPr>
                <w:color w:val="000000"/>
                <w:sz w:val="20"/>
                <w:szCs w:val="21"/>
                <w:lang w:eastAsia="en-AU"/>
              </w:rPr>
              <w:t>2 expression in Phase I studies.</w:t>
            </w:r>
          </w:p>
        </w:tc>
        <w:tc>
          <w:tcPr>
            <w:tcW w:w="1843"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31 March 2017</w:t>
            </w:r>
          </w:p>
        </w:tc>
      </w:tr>
      <w:tr w:rsidR="00E03EF5" w:rsidRPr="008E21B8" w:rsidTr="00F84633">
        <w:trPr>
          <w:trHeight w:val="94"/>
        </w:trPr>
        <w:tc>
          <w:tcPr>
            <w:tcW w:w="2376" w:type="dxa"/>
            <w:shd w:val="clear" w:color="auto" w:fill="auto"/>
          </w:tcPr>
          <w:p w:rsidR="008E21B8" w:rsidRPr="00E03EF5" w:rsidRDefault="00E03EF5" w:rsidP="00A2181C">
            <w:pPr>
              <w:ind w:right="170"/>
              <w:rPr>
                <w:color w:val="000000"/>
                <w:sz w:val="20"/>
                <w:szCs w:val="21"/>
                <w:lang w:eastAsia="en-AU"/>
              </w:rPr>
            </w:pPr>
            <w:r>
              <w:rPr>
                <w:color w:val="000000"/>
                <w:sz w:val="20"/>
                <w:szCs w:val="21"/>
                <w:lang w:eastAsia="en-AU"/>
              </w:rPr>
              <w:t xml:space="preserve">CA209066, CA209057, </w:t>
            </w:r>
            <w:r w:rsidR="00F84633">
              <w:rPr>
                <w:color w:val="000000"/>
                <w:sz w:val="20"/>
                <w:szCs w:val="21"/>
                <w:lang w:eastAsia="en-AU"/>
              </w:rPr>
              <w:t>CA209025</w:t>
            </w:r>
          </w:p>
        </w:tc>
        <w:tc>
          <w:tcPr>
            <w:tcW w:w="4820"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To further investigate the associative analyses between PD-L1 and</w:t>
            </w:r>
            <w:r w:rsidR="000F6FFE" w:rsidRPr="00E03EF5">
              <w:rPr>
                <w:color w:val="000000"/>
                <w:sz w:val="20"/>
                <w:szCs w:val="21"/>
                <w:lang w:eastAsia="en-AU"/>
              </w:rPr>
              <w:t xml:space="preserve"> PD-L2 expression conducted in S</w:t>
            </w:r>
            <w:r w:rsidRPr="00E03EF5">
              <w:rPr>
                <w:color w:val="000000"/>
                <w:sz w:val="20"/>
                <w:szCs w:val="21"/>
                <w:lang w:eastAsia="en-AU"/>
              </w:rPr>
              <w:t>tudies CA209066, CA209057, and CA209025.</w:t>
            </w:r>
          </w:p>
        </w:tc>
        <w:tc>
          <w:tcPr>
            <w:tcW w:w="1843"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30 June 2018</w:t>
            </w:r>
          </w:p>
        </w:tc>
      </w:tr>
      <w:tr w:rsidR="00E03EF5" w:rsidRPr="008E21B8" w:rsidTr="00F84633">
        <w:trPr>
          <w:trHeight w:val="94"/>
        </w:trPr>
        <w:tc>
          <w:tcPr>
            <w:tcW w:w="2376"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 xml:space="preserve">CA209009, </w:t>
            </w:r>
            <w:r w:rsidR="00E03EF5">
              <w:rPr>
                <w:color w:val="000000"/>
                <w:sz w:val="20"/>
                <w:szCs w:val="21"/>
                <w:lang w:eastAsia="en-AU"/>
              </w:rPr>
              <w:t xml:space="preserve">CA209038, </w:t>
            </w:r>
            <w:r w:rsidR="00F84633">
              <w:rPr>
                <w:color w:val="000000"/>
                <w:sz w:val="20"/>
                <w:szCs w:val="21"/>
                <w:lang w:eastAsia="en-AU"/>
              </w:rPr>
              <w:t>CA209064</w:t>
            </w:r>
          </w:p>
        </w:tc>
        <w:tc>
          <w:tcPr>
            <w:tcW w:w="4820"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To further investigate the possible change in PD-L1 status of the tumour during treatment and/or tumour progression</w:t>
            </w:r>
            <w:r w:rsidR="000F6FFE" w:rsidRPr="00E03EF5">
              <w:rPr>
                <w:color w:val="000000"/>
                <w:sz w:val="20"/>
                <w:szCs w:val="21"/>
                <w:lang w:eastAsia="en-AU"/>
              </w:rPr>
              <w:t xml:space="preserve"> in S</w:t>
            </w:r>
            <w:r w:rsidRPr="00E03EF5">
              <w:rPr>
                <w:color w:val="000000"/>
                <w:sz w:val="20"/>
                <w:szCs w:val="21"/>
                <w:lang w:eastAsia="en-AU"/>
              </w:rPr>
              <w:t>tudies CA209009, CA209038 and CA209064.</w:t>
            </w:r>
          </w:p>
        </w:tc>
        <w:tc>
          <w:tcPr>
            <w:tcW w:w="1843" w:type="dxa"/>
            <w:shd w:val="clear" w:color="auto" w:fill="auto"/>
          </w:tcPr>
          <w:p w:rsidR="008E21B8" w:rsidRPr="00E03EF5" w:rsidRDefault="008E21B8" w:rsidP="00A2181C">
            <w:pPr>
              <w:ind w:right="170"/>
              <w:rPr>
                <w:color w:val="000000"/>
                <w:sz w:val="20"/>
                <w:szCs w:val="21"/>
                <w:lang w:eastAsia="en-AU"/>
              </w:rPr>
            </w:pPr>
            <w:r w:rsidRPr="00E03EF5">
              <w:rPr>
                <w:color w:val="000000"/>
                <w:sz w:val="20"/>
                <w:szCs w:val="21"/>
                <w:lang w:eastAsia="en-AU"/>
              </w:rPr>
              <w:t>30 September 2017</w:t>
            </w:r>
          </w:p>
        </w:tc>
      </w:tr>
    </w:tbl>
    <w:p w:rsidR="008E21B8" w:rsidRPr="008467B9" w:rsidRDefault="000F6FFE" w:rsidP="008467B9">
      <w:pPr>
        <w:rPr>
          <w:lang w:eastAsia="en-AU"/>
        </w:rPr>
      </w:pPr>
      <w:r>
        <w:rPr>
          <w:lang w:eastAsia="en-AU"/>
        </w:rPr>
        <w:lastRenderedPageBreak/>
        <w:t xml:space="preserve">Note: </w:t>
      </w:r>
      <w:r w:rsidR="008E21B8" w:rsidRPr="008E21B8">
        <w:rPr>
          <w:lang w:eastAsia="en-AU"/>
        </w:rPr>
        <w:t>These studies are conditions of the Mar</w:t>
      </w:r>
      <w:r>
        <w:rPr>
          <w:lang w:eastAsia="en-AU"/>
        </w:rPr>
        <w:t>k</w:t>
      </w:r>
      <w:r w:rsidR="00287CB3">
        <w:rPr>
          <w:lang w:eastAsia="en-AU"/>
        </w:rPr>
        <w:t>eting Authorisation in the EU; a</w:t>
      </w:r>
      <w:r>
        <w:rPr>
          <w:lang w:eastAsia="en-AU"/>
        </w:rPr>
        <w:t>)</w:t>
      </w:r>
      <w:r w:rsidR="00287CB3">
        <w:rPr>
          <w:lang w:eastAsia="en-AU"/>
        </w:rPr>
        <w:t xml:space="preserve"> </w:t>
      </w:r>
      <w:proofErr w:type="gramStart"/>
      <w:r w:rsidR="00115ED5">
        <w:rPr>
          <w:lang w:eastAsia="en-AU"/>
        </w:rPr>
        <w:t>As</w:t>
      </w:r>
      <w:proofErr w:type="gramEnd"/>
      <w:r w:rsidR="00115ED5">
        <w:rPr>
          <w:lang w:eastAsia="en-AU"/>
        </w:rPr>
        <w:t xml:space="preserve"> reported in the </w:t>
      </w:r>
      <w:r w:rsidR="008E21B8" w:rsidRPr="008E21B8">
        <w:rPr>
          <w:lang w:eastAsia="en-AU"/>
        </w:rPr>
        <w:t xml:space="preserve">RMP. The sponsor has clarified that this should read </w:t>
      </w:r>
      <w:r w:rsidR="00287CB3">
        <w:rPr>
          <w:lang w:eastAsia="en-AU"/>
        </w:rPr>
        <w:t xml:space="preserve">Study </w:t>
      </w:r>
      <w:r w:rsidR="008E21B8" w:rsidRPr="008E21B8">
        <w:rPr>
          <w:lang w:eastAsia="en-AU"/>
        </w:rPr>
        <w:t xml:space="preserve">CA209069 and will correct </w:t>
      </w:r>
      <w:r w:rsidR="00115ED5">
        <w:rPr>
          <w:lang w:eastAsia="en-AU"/>
        </w:rPr>
        <w:t xml:space="preserve">it in future versions of the </w:t>
      </w:r>
      <w:r w:rsidR="008E21B8" w:rsidRPr="008E21B8">
        <w:rPr>
          <w:lang w:eastAsia="en-AU"/>
        </w:rPr>
        <w:t>RMP.</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287CB3" w:rsidRPr="00287CB3" w:rsidRDefault="00287CB3" w:rsidP="00287CB3">
      <w:bookmarkStart w:id="95" w:name="_Toc247691527"/>
      <w:r w:rsidRPr="00287CB3">
        <w:t xml:space="preserve">Additional risk minimisation activities are planned for the important identified risks: </w:t>
      </w:r>
      <w:r>
        <w:t xml:space="preserve">immune related pneumonitis, immune related colitis, immune related hepatitis, immune </w:t>
      </w:r>
      <w:r w:rsidRPr="00287CB3">
        <w:t>related nephrit</w:t>
      </w:r>
      <w:r>
        <w:t xml:space="preserve">is or renal dysfunction, immune </w:t>
      </w:r>
      <w:r w:rsidRPr="00287CB3">
        <w:t>r</w:t>
      </w:r>
      <w:r>
        <w:t xml:space="preserve">elated </w:t>
      </w:r>
      <w:proofErr w:type="spellStart"/>
      <w:r>
        <w:t>endocrinopathies</w:t>
      </w:r>
      <w:proofErr w:type="spellEnd"/>
      <w:r>
        <w:t xml:space="preserve">, immune </w:t>
      </w:r>
      <w:r w:rsidRPr="00287CB3">
        <w:t>related</w:t>
      </w:r>
      <w:r>
        <w:t xml:space="preserve"> skin adverse reactions, immune </w:t>
      </w:r>
      <w:r w:rsidRPr="00287CB3">
        <w:t xml:space="preserve">related neurological adverse events and other </w:t>
      </w:r>
      <w:proofErr w:type="spellStart"/>
      <w:r w:rsidR="00D9067B">
        <w:t>irAR</w:t>
      </w:r>
      <w:r>
        <w:t>s</w:t>
      </w:r>
      <w:proofErr w:type="spellEnd"/>
      <w:r>
        <w:t>.</w:t>
      </w:r>
    </w:p>
    <w:p w:rsidR="00287CB3" w:rsidRPr="00287CB3" w:rsidRDefault="00287CB3" w:rsidP="00287CB3">
      <w:r w:rsidRPr="00287CB3">
        <w:t>The additional risk minimisation activities (as per the EU-RMP version 6 and ASA version 6</w:t>
      </w:r>
      <w:r w:rsidR="009D4200">
        <w:t>)</w:t>
      </w:r>
      <w:r w:rsidR="00EB4A5D">
        <w:t xml:space="preserve"> consist of</w:t>
      </w:r>
      <w:r w:rsidRPr="00287CB3">
        <w:t>:</w:t>
      </w:r>
    </w:p>
    <w:p w:rsidR="00287CB3" w:rsidRDefault="00EB4A5D" w:rsidP="00287CB3">
      <w:pPr>
        <w:pStyle w:val="ListBullet"/>
      </w:pPr>
      <w:r>
        <w:t xml:space="preserve">a </w:t>
      </w:r>
      <w:r w:rsidR="00287CB3">
        <w:t>Healthcare P</w:t>
      </w:r>
      <w:r w:rsidR="00287CB3" w:rsidRPr="00287CB3">
        <w:t>rofessional (HCP) communication tool (</w:t>
      </w:r>
      <w:proofErr w:type="spellStart"/>
      <w:r w:rsidR="00D9067B">
        <w:t>irAR</w:t>
      </w:r>
      <w:proofErr w:type="spellEnd"/>
      <w:r>
        <w:t xml:space="preserve"> Management Guide);</w:t>
      </w:r>
      <w:r w:rsidR="00287CB3" w:rsidRPr="00287CB3">
        <w:t xml:space="preserve"> a</w:t>
      </w:r>
      <w:r>
        <w:t>nd</w:t>
      </w:r>
    </w:p>
    <w:p w:rsidR="00287CB3" w:rsidRPr="00287CB3" w:rsidRDefault="00287CB3" w:rsidP="00287CB3">
      <w:pPr>
        <w:pStyle w:val="ListBullet"/>
      </w:pPr>
      <w:proofErr w:type="gramStart"/>
      <w:r w:rsidRPr="00287CB3">
        <w:t>a</w:t>
      </w:r>
      <w:proofErr w:type="gramEnd"/>
      <w:r w:rsidRPr="00287CB3">
        <w:t xml:space="preserve"> patient communication tool (Patient Alert Card</w:t>
      </w:r>
      <w:r>
        <w:t xml:space="preserve"> (PAC)</w:t>
      </w:r>
      <w:r w:rsidRPr="00287CB3">
        <w:t xml:space="preserve">), to facilitate safe and effective use of </w:t>
      </w:r>
      <w:proofErr w:type="spellStart"/>
      <w:r w:rsidRPr="00287CB3">
        <w:t>nivolumab</w:t>
      </w:r>
      <w:proofErr w:type="spellEnd"/>
      <w:r w:rsidRPr="00287CB3">
        <w:t xml:space="preserve"> in the post-marketing setting.</w:t>
      </w:r>
    </w:p>
    <w:p w:rsidR="00287CB3" w:rsidRPr="00287CB3" w:rsidRDefault="00EB4A5D" w:rsidP="00287CB3">
      <w:r>
        <w:t>The s</w:t>
      </w:r>
      <w:r w:rsidR="00287CB3">
        <w:t xml:space="preserve">ponsor agreed to </w:t>
      </w:r>
      <w:r w:rsidR="00287CB3" w:rsidRPr="00287CB3">
        <w:t xml:space="preserve">implement a smaller, streamlined and less complex format for </w:t>
      </w:r>
      <w:r w:rsidR="009D4200">
        <w:t>the PAC, and to update the PAC</w:t>
      </w:r>
      <w:r w:rsidR="00287CB3" w:rsidRPr="00287CB3">
        <w:t xml:space="preserve"> to reflect the rev</w:t>
      </w:r>
      <w:r w:rsidR="00287CB3">
        <w:t>ised Summary of Safety Concerns.</w:t>
      </w:r>
    </w:p>
    <w:p w:rsidR="00287CB3" w:rsidRPr="00287CB3" w:rsidRDefault="00287CB3" w:rsidP="00287CB3">
      <w:r w:rsidRPr="00287CB3">
        <w:t xml:space="preserve">The sponsor has provided two simplified </w:t>
      </w:r>
      <w:r>
        <w:t>PACs</w:t>
      </w:r>
      <w:r w:rsidRPr="00287CB3">
        <w:t xml:space="preserve"> in the appendices of ASA version 6, one for monotherapy and one for use in combination with </w:t>
      </w:r>
      <w:proofErr w:type="spellStart"/>
      <w:r w:rsidRPr="00287CB3">
        <w:t>ipilimumab</w:t>
      </w:r>
      <w:proofErr w:type="spellEnd"/>
      <w:r w:rsidRPr="00287CB3">
        <w:t xml:space="preserve"> (</w:t>
      </w:r>
      <w:proofErr w:type="spellStart"/>
      <w:r w:rsidRPr="00287CB3">
        <w:t>Yervoy</w:t>
      </w:r>
      <w:proofErr w:type="spellEnd"/>
      <w:r w:rsidRPr="00287CB3">
        <w:t>). Both have been simplified and are more suited for consumers. They include reference to the neurological side effects reflecting the i</w:t>
      </w:r>
      <w:r>
        <w:t xml:space="preserve">mmune </w:t>
      </w:r>
      <w:r w:rsidRPr="00287CB3">
        <w:t>related neurological adverse events included as an Important Identified Risk in the Summary of Safety Concerns.</w:t>
      </w:r>
    </w:p>
    <w:p w:rsidR="00287CB3" w:rsidRPr="00287CB3" w:rsidRDefault="00287CB3" w:rsidP="00287CB3">
      <w:r w:rsidRPr="00287CB3">
        <w:t>The sponsor has committed to providing the TGA the updated versions when available</w:t>
      </w:r>
      <w:r w:rsidR="00EB4A5D">
        <w:t>, after finalisation of the PI.</w:t>
      </w:r>
    </w:p>
    <w:p w:rsidR="006F25B8" w:rsidRPr="00287CB3" w:rsidRDefault="00287CB3" w:rsidP="00287CB3">
      <w:r>
        <w:t>The s</w:t>
      </w:r>
      <w:r w:rsidRPr="00287CB3">
        <w:t>ponsor has also provided an updated HCP Tool in ASA version 6 which includes</w:t>
      </w:r>
      <w:r>
        <w:t xml:space="preserve"> the </w:t>
      </w:r>
      <w:r w:rsidR="00487EC6">
        <w:t>RCC</w:t>
      </w:r>
      <w:r w:rsidRPr="00287CB3">
        <w:t xml:space="preserve"> indication and reflects the revised Summary of Safety C</w:t>
      </w:r>
      <w:r>
        <w:t xml:space="preserve">oncerns. In updating the HCP </w:t>
      </w:r>
      <w:proofErr w:type="spellStart"/>
      <w:r w:rsidR="00D9067B">
        <w:t>irAR</w:t>
      </w:r>
      <w:proofErr w:type="spellEnd"/>
      <w:r>
        <w:t xml:space="preserve"> Management Guide, the s</w:t>
      </w:r>
      <w:r w:rsidRPr="00287CB3">
        <w:t xml:space="preserve">ponsor no longer lists specific non-corticosteroid therapy products and make a reference to them in more general terms </w:t>
      </w:r>
      <w:r>
        <w:t>(for example anti-TNF</w:t>
      </w:r>
      <w:r w:rsidR="009D4200">
        <w:t xml:space="preserve">α </w:t>
      </w:r>
      <w:r w:rsidRPr="00287CB3">
        <w:t xml:space="preserve">agents or to the use of other systemic </w:t>
      </w:r>
      <w:proofErr w:type="spellStart"/>
      <w:r w:rsidRPr="00287CB3">
        <w:t>immunosuppressants</w:t>
      </w:r>
      <w:proofErr w:type="spellEnd"/>
      <w:r w:rsidRPr="00287CB3">
        <w:t xml:space="preserve">). On completion of this application and finalisation of the </w:t>
      </w:r>
      <w:proofErr w:type="spellStart"/>
      <w:r w:rsidRPr="00287CB3">
        <w:t>Opdivo</w:t>
      </w:r>
      <w:proofErr w:type="spellEnd"/>
      <w:r w:rsidRPr="00287CB3">
        <w:t xml:space="preserve"> </w:t>
      </w:r>
      <w:r>
        <w:t>PI, the s</w:t>
      </w:r>
      <w:r w:rsidRPr="00287CB3">
        <w:t xml:space="preserve">ponsor commits to provide the updated HCP Tool to the TGA. This should include the </w:t>
      </w:r>
      <w:proofErr w:type="spellStart"/>
      <w:r w:rsidRPr="00287CB3">
        <w:t>cHL</w:t>
      </w:r>
      <w:proofErr w:type="spellEnd"/>
      <w:r w:rsidRPr="00287CB3">
        <w:t xml:space="preserve"> indication.</w:t>
      </w:r>
    </w:p>
    <w:p w:rsidR="006F25B8" w:rsidRDefault="006F25B8" w:rsidP="006F25B8">
      <w:pPr>
        <w:pStyle w:val="Heading4"/>
        <w:rPr>
          <w:lang w:eastAsia="en-AU"/>
        </w:rPr>
      </w:pPr>
      <w:r w:rsidRPr="006F25B8">
        <w:rPr>
          <w:lang w:eastAsia="en-AU"/>
        </w:rPr>
        <w:t xml:space="preserve">Reconciliation of issues outlined in the RMP report </w:t>
      </w:r>
    </w:p>
    <w:p w:rsidR="006F25B8" w:rsidRDefault="00C362E7" w:rsidP="006F25B8">
      <w:pPr>
        <w:rPr>
          <w:lang w:eastAsia="en-AU"/>
        </w:rPr>
      </w:pPr>
      <w:r>
        <w:rPr>
          <w:lang w:eastAsia="en-AU"/>
        </w:rPr>
        <w:t>Table 20</w:t>
      </w:r>
      <w:r w:rsidR="005F0812">
        <w:rPr>
          <w:lang w:eastAsia="en-AU"/>
        </w:rPr>
        <w:t xml:space="preserve"> below</w:t>
      </w:r>
      <w:r w:rsidR="006F25B8">
        <w:rPr>
          <w:lang w:eastAsia="en-AU"/>
        </w:rPr>
        <w:t xml:space="preserve"> summarises the </w:t>
      </w:r>
      <w:r w:rsidR="005F0812">
        <w:rPr>
          <w:lang w:eastAsia="en-AU"/>
        </w:rPr>
        <w:t>RMP evaluator’s</w:t>
      </w:r>
      <w:r w:rsidR="006F25B8">
        <w:rPr>
          <w:lang w:eastAsia="en-AU"/>
        </w:rPr>
        <w:t xml:space="preserve"> first round evaluation of the RMP, the sponsor’s responses to issues raised </w:t>
      </w:r>
      <w:r w:rsidR="005F0812">
        <w:rPr>
          <w:lang w:eastAsia="en-AU"/>
        </w:rPr>
        <w:t>and the TGA’s</w:t>
      </w:r>
      <w:r w:rsidR="006F25B8">
        <w:rPr>
          <w:lang w:eastAsia="en-AU"/>
        </w:rPr>
        <w:t xml:space="preserve"> evaluat</w:t>
      </w:r>
      <w:r w:rsidR="005F0812">
        <w:rPr>
          <w:lang w:eastAsia="en-AU"/>
        </w:rPr>
        <w:t>ion of the sponsor’s responses.</w:t>
      </w:r>
    </w:p>
    <w:p w:rsidR="005F0812" w:rsidRDefault="00C362E7" w:rsidP="005F0812">
      <w:pPr>
        <w:pStyle w:val="Tabletitle0"/>
        <w:rPr>
          <w:lang w:eastAsia="en-AU"/>
        </w:rPr>
      </w:pPr>
      <w:proofErr w:type="gramStart"/>
      <w:r>
        <w:rPr>
          <w:lang w:eastAsia="en-AU"/>
        </w:rPr>
        <w:lastRenderedPageBreak/>
        <w:t>Table 20</w:t>
      </w:r>
      <w:r w:rsidR="005F0812">
        <w:rPr>
          <w:lang w:eastAsia="en-AU"/>
        </w:rPr>
        <w:t>.</w:t>
      </w:r>
      <w:proofErr w:type="gramEnd"/>
      <w:r w:rsidR="005F0812">
        <w:rPr>
          <w:lang w:eastAsia="en-AU"/>
        </w:rPr>
        <w:t xml:space="preserve"> Reconciliation of issues outlined in the RMP report</w:t>
      </w:r>
    </w:p>
    <w:tbl>
      <w:tblPr>
        <w:tblW w:w="494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Description w:val="Table 20 is a list of the reconciliation of issues outlined in the RMP report"/>
      </w:tblPr>
      <w:tblGrid>
        <w:gridCol w:w="8626"/>
      </w:tblGrid>
      <w:tr w:rsidR="006C68BC" w:rsidRPr="00502C09" w:rsidTr="00A2181C">
        <w:trPr>
          <w:tblHeader/>
        </w:trPr>
        <w:tc>
          <w:tcPr>
            <w:tcW w:w="5000" w:type="pct"/>
            <w:tcBorders>
              <w:top w:val="single" w:sz="8" w:space="0" w:color="000000"/>
              <w:left w:val="single" w:sz="8" w:space="0" w:color="000000"/>
              <w:bottom w:val="single" w:sz="8" w:space="0" w:color="000000"/>
              <w:right w:val="single" w:sz="8" w:space="0" w:color="000000"/>
              <w:tl2br w:val="nil"/>
              <w:tr2bl w:val="nil"/>
            </w:tcBorders>
            <w:shd w:val="clear" w:color="auto" w:fill="006DA7"/>
            <w:noWrap/>
          </w:tcPr>
          <w:p w:rsidR="006C68BC" w:rsidRPr="00A2181C" w:rsidRDefault="00F84633" w:rsidP="00AB7ADA">
            <w:pPr>
              <w:pStyle w:val="Tabletitle0"/>
              <w:rPr>
                <w:lang w:eastAsia="en-AU"/>
              </w:rPr>
            </w:pPr>
            <w:r w:rsidRPr="00AB7ADA">
              <w:rPr>
                <w:color w:val="FFFFFF" w:themeColor="background1"/>
                <w:lang w:eastAsia="en-AU"/>
              </w:rPr>
              <w:t>Reconciliation of issues outlined in the RMP report</w:t>
            </w:r>
          </w:p>
        </w:tc>
      </w:tr>
      <w:tr w:rsidR="00384761" w:rsidRPr="00502C09" w:rsidTr="00A2181C">
        <w:tc>
          <w:tcPr>
            <w:tcW w:w="5000" w:type="pct"/>
            <w:shd w:val="clear" w:color="auto" w:fill="auto"/>
            <w:noWrap/>
          </w:tcPr>
          <w:p w:rsidR="00384761" w:rsidRPr="00A2181C" w:rsidRDefault="00384761" w:rsidP="00A2181C">
            <w:pPr>
              <w:pStyle w:val="Tabletext"/>
              <w:keepNext/>
              <w:keepLines/>
              <w:ind w:left="170" w:right="170"/>
              <w:rPr>
                <w:color w:val="000000"/>
                <w:sz w:val="22"/>
                <w:szCs w:val="21"/>
                <w:lang w:eastAsia="en-AU"/>
              </w:rPr>
            </w:pPr>
            <w:r w:rsidRPr="00A2181C">
              <w:rPr>
                <w:b/>
                <w:color w:val="000000"/>
                <w:sz w:val="22"/>
                <w:szCs w:val="21"/>
                <w:lang w:eastAsia="en-AU"/>
              </w:rPr>
              <w:t>Recommendation 1</w:t>
            </w:r>
            <w:r w:rsidRPr="00A2181C">
              <w:rPr>
                <w:color w:val="000000"/>
                <w:sz w:val="22"/>
                <w:szCs w:val="21"/>
                <w:lang w:eastAsia="en-AU"/>
              </w:rPr>
              <w:t>: Any saf</w:t>
            </w:r>
            <w:r w:rsidR="006C68BC" w:rsidRPr="00A2181C">
              <w:rPr>
                <w:color w:val="000000"/>
                <w:sz w:val="22"/>
                <w:szCs w:val="21"/>
                <w:lang w:eastAsia="en-AU"/>
              </w:rPr>
              <w:t>ety concerns identified by the clinical e</w:t>
            </w:r>
            <w:r w:rsidRPr="00A2181C">
              <w:rPr>
                <w:color w:val="000000"/>
                <w:sz w:val="22"/>
                <w:szCs w:val="21"/>
                <w:lang w:eastAsia="en-AU"/>
              </w:rPr>
              <w:t>valuator that impact on the safety specifications should be addressed in a revised RMP</w:t>
            </w:r>
            <w:r w:rsidRPr="00A2181C">
              <w:rPr>
                <w:bCs/>
                <w:color w:val="000000"/>
                <w:sz w:val="22"/>
                <w:szCs w:val="21"/>
                <w:lang w:eastAsia="en-AU"/>
              </w:rPr>
              <w:t>.</w:t>
            </w:r>
          </w:p>
        </w:tc>
      </w:tr>
      <w:tr w:rsidR="00384761" w:rsidRPr="00502C09" w:rsidTr="00A2181C">
        <w:tc>
          <w:tcPr>
            <w:tcW w:w="5000" w:type="pct"/>
            <w:shd w:val="clear" w:color="auto" w:fill="auto"/>
            <w:noWrap/>
          </w:tcPr>
          <w:p w:rsidR="00384761" w:rsidRPr="00A2181C" w:rsidRDefault="00384761" w:rsidP="00A2181C">
            <w:pPr>
              <w:pStyle w:val="Tabletext"/>
              <w:keepNext/>
              <w:keepLines/>
              <w:ind w:left="170" w:right="170"/>
              <w:rPr>
                <w:i/>
                <w:color w:val="000000"/>
                <w:sz w:val="22"/>
                <w:szCs w:val="21"/>
                <w:lang w:eastAsia="en-AU"/>
              </w:rPr>
            </w:pPr>
            <w:r w:rsidRPr="00A2181C">
              <w:rPr>
                <w:i/>
                <w:color w:val="000000"/>
                <w:sz w:val="22"/>
                <w:szCs w:val="21"/>
                <w:lang w:eastAsia="en-AU"/>
              </w:rPr>
              <w:t>Sponsor’s response:</w:t>
            </w:r>
            <w:r w:rsidRPr="00A2181C">
              <w:rPr>
                <w:color w:val="000000"/>
                <w:sz w:val="22"/>
                <w:szCs w:val="21"/>
                <w:lang w:eastAsia="en-AU"/>
              </w:rPr>
              <w:t xml:space="preserve"> </w:t>
            </w:r>
            <w:r w:rsidR="006C68BC" w:rsidRPr="00A2181C">
              <w:rPr>
                <w:i/>
                <w:color w:val="000000"/>
                <w:sz w:val="22"/>
                <w:szCs w:val="21"/>
                <w:lang w:eastAsia="en-AU"/>
              </w:rPr>
              <w:t>The sponsor acknowledges the RMP e</w:t>
            </w:r>
            <w:r w:rsidRPr="00A2181C">
              <w:rPr>
                <w:i/>
                <w:color w:val="000000"/>
                <w:sz w:val="22"/>
                <w:szCs w:val="21"/>
                <w:lang w:eastAsia="en-AU"/>
              </w:rPr>
              <w:t>valuator’s request. The only relevant question raised within the Clinical Evaluation Report, on the safety with subsequent allogeni</w:t>
            </w:r>
            <w:r w:rsidR="006C68BC" w:rsidRPr="00A2181C">
              <w:rPr>
                <w:i/>
                <w:color w:val="000000"/>
                <w:sz w:val="22"/>
                <w:szCs w:val="21"/>
                <w:lang w:eastAsia="en-AU"/>
              </w:rPr>
              <w:t xml:space="preserve">c stem cell transplant </w:t>
            </w:r>
            <w:r w:rsidRPr="00A2181C">
              <w:rPr>
                <w:i/>
                <w:color w:val="000000"/>
                <w:sz w:val="22"/>
                <w:szCs w:val="21"/>
                <w:lang w:eastAsia="en-AU"/>
              </w:rPr>
              <w:t xml:space="preserve">has been addressed in </w:t>
            </w:r>
            <w:r w:rsidR="006C68BC" w:rsidRPr="00A2181C">
              <w:rPr>
                <w:i/>
                <w:color w:val="000000"/>
                <w:sz w:val="22"/>
                <w:szCs w:val="21"/>
                <w:lang w:eastAsia="en-AU"/>
              </w:rPr>
              <w:t>the</w:t>
            </w:r>
            <w:r w:rsidRPr="00A2181C">
              <w:rPr>
                <w:i/>
                <w:color w:val="000000"/>
                <w:sz w:val="22"/>
                <w:szCs w:val="21"/>
                <w:lang w:eastAsia="en-AU"/>
              </w:rPr>
              <w:t xml:space="preserve"> Response </w:t>
            </w:r>
            <w:r w:rsidR="006C68BC" w:rsidRPr="00A2181C">
              <w:rPr>
                <w:i/>
                <w:color w:val="000000"/>
                <w:sz w:val="22"/>
                <w:szCs w:val="21"/>
                <w:lang w:eastAsia="en-AU"/>
              </w:rPr>
              <w:t xml:space="preserve">to Clinical Evaluation Report. </w:t>
            </w:r>
            <w:r w:rsidRPr="00A2181C">
              <w:rPr>
                <w:i/>
                <w:color w:val="000000"/>
                <w:sz w:val="22"/>
                <w:szCs w:val="21"/>
                <w:lang w:eastAsia="en-AU"/>
              </w:rPr>
              <w:t>Further, 2 sp</w:t>
            </w:r>
            <w:r w:rsidR="006C68BC" w:rsidRPr="00A2181C">
              <w:rPr>
                <w:i/>
                <w:color w:val="000000"/>
                <w:sz w:val="22"/>
                <w:szCs w:val="21"/>
                <w:lang w:eastAsia="en-AU"/>
              </w:rPr>
              <w:t xml:space="preserve">ecific Questions on the RMP </w:t>
            </w:r>
            <w:r w:rsidRPr="00A2181C">
              <w:rPr>
                <w:i/>
                <w:color w:val="000000"/>
                <w:sz w:val="22"/>
                <w:szCs w:val="21"/>
                <w:lang w:eastAsia="en-AU"/>
              </w:rPr>
              <w:t>have been raised b</w:t>
            </w:r>
            <w:r w:rsidR="006C68BC" w:rsidRPr="00A2181C">
              <w:rPr>
                <w:i/>
                <w:color w:val="000000"/>
                <w:sz w:val="22"/>
                <w:szCs w:val="21"/>
                <w:lang w:eastAsia="en-AU"/>
              </w:rPr>
              <w:t xml:space="preserve">y the Clinical Evaluator and sponsor’s Responses to the RMP </w:t>
            </w:r>
            <w:r w:rsidRPr="00A2181C">
              <w:rPr>
                <w:i/>
                <w:color w:val="000000"/>
                <w:sz w:val="22"/>
                <w:szCs w:val="21"/>
                <w:lang w:eastAsia="en-AU"/>
              </w:rPr>
              <w:t xml:space="preserve">related questions in the Clinical Evaluation Report are provided in </w:t>
            </w:r>
            <w:r w:rsidR="006C68BC" w:rsidRPr="00A2181C">
              <w:rPr>
                <w:i/>
                <w:color w:val="000000"/>
                <w:sz w:val="22"/>
                <w:szCs w:val="21"/>
                <w:lang w:eastAsia="en-AU"/>
              </w:rPr>
              <w:t>the</w:t>
            </w:r>
            <w:r w:rsidRPr="00A2181C">
              <w:rPr>
                <w:i/>
                <w:color w:val="000000"/>
                <w:sz w:val="22"/>
                <w:szCs w:val="21"/>
                <w:lang w:eastAsia="en-AU"/>
              </w:rPr>
              <w:t xml:space="preserve"> Response to Clinical Evaluation Report.</w:t>
            </w:r>
          </w:p>
        </w:tc>
      </w:tr>
      <w:tr w:rsidR="00384761" w:rsidRPr="008A1993" w:rsidTr="00A2181C">
        <w:tc>
          <w:tcPr>
            <w:tcW w:w="5000" w:type="pct"/>
            <w:shd w:val="clear" w:color="auto" w:fill="auto"/>
            <w:noWrap/>
          </w:tcPr>
          <w:p w:rsidR="00384761" w:rsidRPr="00A2181C" w:rsidRDefault="0053036F" w:rsidP="00A2181C">
            <w:pPr>
              <w:pStyle w:val="Tabletext"/>
              <w:keepLines/>
              <w:ind w:left="170" w:right="170"/>
              <w:rPr>
                <w:color w:val="000000"/>
                <w:sz w:val="22"/>
                <w:szCs w:val="21"/>
                <w:lang w:eastAsia="en-AU"/>
              </w:rPr>
            </w:pPr>
            <w:r w:rsidRPr="00A2181C">
              <w:rPr>
                <w:b/>
                <w:color w:val="000000"/>
                <w:sz w:val="22"/>
                <w:szCs w:val="21"/>
                <w:lang w:eastAsia="en-AU"/>
              </w:rPr>
              <w:t>RMP e</w:t>
            </w:r>
            <w:r w:rsidR="00384761" w:rsidRPr="00A2181C">
              <w:rPr>
                <w:b/>
                <w:color w:val="000000"/>
                <w:sz w:val="22"/>
                <w:szCs w:val="21"/>
                <w:lang w:eastAsia="en-AU"/>
              </w:rPr>
              <w:t xml:space="preserve">valuator comment: </w:t>
            </w:r>
            <w:r w:rsidR="00384761" w:rsidRPr="00A2181C">
              <w:rPr>
                <w:color w:val="000000"/>
                <w:sz w:val="22"/>
                <w:szCs w:val="21"/>
                <w:lang w:eastAsia="en-AU"/>
              </w:rPr>
              <w:t>Study CA209</w:t>
            </w:r>
            <w:r w:rsidR="006C68BC" w:rsidRPr="00A2181C">
              <w:rPr>
                <w:color w:val="000000"/>
                <w:sz w:val="22"/>
                <w:szCs w:val="21"/>
                <w:lang w:eastAsia="en-AU"/>
              </w:rPr>
              <w:t>835, a</w:t>
            </w:r>
            <w:r w:rsidR="00384761" w:rsidRPr="00A2181C">
              <w:rPr>
                <w:color w:val="000000"/>
                <w:sz w:val="22"/>
                <w:szCs w:val="21"/>
                <w:lang w:eastAsia="en-AU"/>
              </w:rPr>
              <w:t xml:space="preserve"> registry study in patients who unde</w:t>
            </w:r>
            <w:r w:rsidR="006C68BC" w:rsidRPr="00A2181C">
              <w:rPr>
                <w:color w:val="000000"/>
                <w:sz w:val="22"/>
                <w:szCs w:val="21"/>
                <w:lang w:eastAsia="en-AU"/>
              </w:rPr>
              <w:t>rwent post-</w:t>
            </w:r>
            <w:proofErr w:type="spellStart"/>
            <w:r w:rsidR="006C68BC" w:rsidRPr="00A2181C">
              <w:rPr>
                <w:color w:val="000000"/>
                <w:sz w:val="22"/>
                <w:szCs w:val="21"/>
                <w:lang w:eastAsia="en-AU"/>
              </w:rPr>
              <w:t>nivolumab</w:t>
            </w:r>
            <w:proofErr w:type="spellEnd"/>
            <w:r w:rsidR="006C68BC" w:rsidRPr="00A2181C">
              <w:rPr>
                <w:color w:val="000000"/>
                <w:sz w:val="22"/>
                <w:szCs w:val="21"/>
                <w:lang w:eastAsia="en-AU"/>
              </w:rPr>
              <w:t xml:space="preserve"> </w:t>
            </w:r>
            <w:proofErr w:type="spellStart"/>
            <w:r w:rsidR="006C68BC" w:rsidRPr="00A2181C">
              <w:rPr>
                <w:color w:val="000000"/>
                <w:sz w:val="22"/>
                <w:szCs w:val="21"/>
                <w:lang w:eastAsia="en-AU"/>
              </w:rPr>
              <w:t>allo</w:t>
            </w:r>
            <w:proofErr w:type="spellEnd"/>
            <w:r w:rsidR="006C68BC" w:rsidRPr="00A2181C">
              <w:rPr>
                <w:color w:val="000000"/>
                <w:sz w:val="22"/>
                <w:szCs w:val="21"/>
                <w:lang w:eastAsia="en-AU"/>
              </w:rPr>
              <w:t>-HSCT</w:t>
            </w:r>
            <w:r w:rsidR="00384761" w:rsidRPr="00A2181C">
              <w:rPr>
                <w:color w:val="000000"/>
                <w:sz w:val="22"/>
                <w:szCs w:val="21"/>
                <w:lang w:eastAsia="en-AU"/>
              </w:rPr>
              <w:t xml:space="preserve"> has been included in the pharmacovigilance plan to address the above issue. Inclusion of this safety concern in the ASA is recommended.</w:t>
            </w:r>
          </w:p>
        </w:tc>
      </w:tr>
      <w:tr w:rsidR="00384761" w:rsidRPr="00502C09" w:rsidTr="00A2181C">
        <w:tc>
          <w:tcPr>
            <w:tcW w:w="5000" w:type="pct"/>
            <w:shd w:val="clear" w:color="auto" w:fill="auto"/>
            <w:noWrap/>
          </w:tcPr>
          <w:p w:rsidR="00384761" w:rsidRPr="00A2181C" w:rsidRDefault="00384761" w:rsidP="00A2181C">
            <w:pPr>
              <w:pStyle w:val="Tabletext"/>
              <w:keepNext/>
              <w:keepLines/>
              <w:ind w:left="170" w:right="170"/>
              <w:rPr>
                <w:color w:val="000000"/>
                <w:sz w:val="22"/>
                <w:szCs w:val="21"/>
                <w:lang w:eastAsia="en-AU"/>
              </w:rPr>
            </w:pPr>
            <w:r w:rsidRPr="00A2181C">
              <w:rPr>
                <w:b/>
                <w:color w:val="000000"/>
                <w:sz w:val="22"/>
                <w:szCs w:val="21"/>
                <w:lang w:eastAsia="en-AU"/>
              </w:rPr>
              <w:t>Recommendation 2</w:t>
            </w:r>
            <w:r w:rsidRPr="00A2181C">
              <w:rPr>
                <w:color w:val="000000"/>
                <w:sz w:val="22"/>
                <w:szCs w:val="21"/>
                <w:lang w:eastAsia="en-AU"/>
              </w:rPr>
              <w:t xml:space="preserve">: The safety concern </w:t>
            </w:r>
            <w:r w:rsidR="006C68BC" w:rsidRPr="00A2181C">
              <w:rPr>
                <w:color w:val="000000"/>
                <w:sz w:val="22"/>
                <w:szCs w:val="21"/>
                <w:lang w:eastAsia="en-AU"/>
              </w:rPr>
              <w:t>‘immune related r</w:t>
            </w:r>
            <w:r w:rsidRPr="00A2181C">
              <w:rPr>
                <w:color w:val="000000"/>
                <w:sz w:val="22"/>
                <w:szCs w:val="21"/>
                <w:lang w:eastAsia="en-AU"/>
              </w:rPr>
              <w:t>ash</w:t>
            </w:r>
            <w:r w:rsidR="00115ED5" w:rsidRPr="00A2181C">
              <w:rPr>
                <w:color w:val="000000"/>
                <w:sz w:val="22"/>
                <w:szCs w:val="21"/>
                <w:lang w:eastAsia="en-AU"/>
              </w:rPr>
              <w:t xml:space="preserve">’ in the </w:t>
            </w:r>
            <w:r w:rsidRPr="00A2181C">
              <w:rPr>
                <w:color w:val="000000"/>
                <w:sz w:val="22"/>
                <w:szCs w:val="21"/>
                <w:lang w:eastAsia="en-AU"/>
              </w:rPr>
              <w:t xml:space="preserve">RMP should be amended </w:t>
            </w:r>
            <w:r w:rsidR="00115ED5" w:rsidRPr="00A2181C">
              <w:rPr>
                <w:color w:val="000000"/>
                <w:sz w:val="22"/>
                <w:szCs w:val="21"/>
                <w:lang w:eastAsia="en-AU"/>
              </w:rPr>
              <w:t xml:space="preserve">in the next version of the </w:t>
            </w:r>
            <w:r w:rsidRPr="00A2181C">
              <w:rPr>
                <w:color w:val="000000"/>
                <w:sz w:val="22"/>
                <w:szCs w:val="21"/>
                <w:lang w:eastAsia="en-AU"/>
              </w:rPr>
              <w:t xml:space="preserve">RMP to </w:t>
            </w:r>
            <w:r w:rsidR="006C68BC" w:rsidRPr="00A2181C">
              <w:rPr>
                <w:color w:val="000000"/>
                <w:sz w:val="22"/>
                <w:szCs w:val="21"/>
                <w:lang w:eastAsia="en-AU"/>
              </w:rPr>
              <w:t>read ‘immune r</w:t>
            </w:r>
            <w:r w:rsidRPr="00A2181C">
              <w:rPr>
                <w:color w:val="000000"/>
                <w:sz w:val="22"/>
                <w:szCs w:val="21"/>
                <w:lang w:eastAsia="en-AU"/>
              </w:rPr>
              <w:t>elated skin adverse reactions</w:t>
            </w:r>
            <w:r w:rsidR="006C68BC" w:rsidRPr="00A2181C">
              <w:rPr>
                <w:color w:val="000000"/>
                <w:sz w:val="22"/>
                <w:szCs w:val="21"/>
                <w:lang w:eastAsia="en-AU"/>
              </w:rPr>
              <w:t>’</w:t>
            </w:r>
            <w:r w:rsidRPr="00A2181C">
              <w:rPr>
                <w:color w:val="000000"/>
                <w:sz w:val="22"/>
                <w:szCs w:val="21"/>
                <w:lang w:eastAsia="en-AU"/>
              </w:rPr>
              <w:t xml:space="preserve"> as per ASA version 6.</w:t>
            </w:r>
          </w:p>
        </w:tc>
      </w:tr>
      <w:tr w:rsidR="00384761" w:rsidRPr="00502C09" w:rsidTr="00A2181C">
        <w:tc>
          <w:tcPr>
            <w:tcW w:w="5000" w:type="pct"/>
            <w:shd w:val="clear" w:color="auto" w:fill="auto"/>
            <w:noWrap/>
          </w:tcPr>
          <w:p w:rsidR="00384761" w:rsidRPr="00A2181C" w:rsidRDefault="00384761" w:rsidP="00A2181C">
            <w:pPr>
              <w:pStyle w:val="Tabletext"/>
              <w:keepNext/>
              <w:keepLines/>
              <w:ind w:left="170" w:right="170"/>
              <w:rPr>
                <w:i/>
                <w:color w:val="000000"/>
                <w:sz w:val="22"/>
                <w:szCs w:val="21"/>
                <w:lang w:eastAsia="en-AU"/>
              </w:rPr>
            </w:pPr>
            <w:r w:rsidRPr="00A2181C">
              <w:rPr>
                <w:i/>
                <w:color w:val="000000"/>
                <w:sz w:val="22"/>
                <w:szCs w:val="21"/>
                <w:lang w:eastAsia="en-AU"/>
              </w:rPr>
              <w:t xml:space="preserve">Sponsor’s response: </w:t>
            </w:r>
            <w:r w:rsidR="006C68BC" w:rsidRPr="00A2181C">
              <w:rPr>
                <w:i/>
                <w:color w:val="000000"/>
                <w:sz w:val="22"/>
                <w:szCs w:val="21"/>
                <w:lang w:eastAsia="en-AU"/>
              </w:rPr>
              <w:t xml:space="preserve">The sponsor confirms that the </w:t>
            </w:r>
            <w:proofErr w:type="spellStart"/>
            <w:r w:rsidR="006C68BC" w:rsidRPr="00A2181C">
              <w:rPr>
                <w:i/>
                <w:color w:val="000000"/>
                <w:sz w:val="22"/>
                <w:szCs w:val="21"/>
                <w:lang w:eastAsia="en-AU"/>
              </w:rPr>
              <w:t>n</w:t>
            </w:r>
            <w:r w:rsidR="00115ED5" w:rsidRPr="00A2181C">
              <w:rPr>
                <w:i/>
                <w:color w:val="000000"/>
                <w:sz w:val="22"/>
                <w:szCs w:val="21"/>
                <w:lang w:eastAsia="en-AU"/>
              </w:rPr>
              <w:t>ivolumab</w:t>
            </w:r>
            <w:proofErr w:type="spellEnd"/>
            <w:r w:rsidR="00115ED5" w:rsidRPr="00A2181C">
              <w:rPr>
                <w:i/>
                <w:color w:val="000000"/>
                <w:sz w:val="22"/>
                <w:szCs w:val="21"/>
                <w:lang w:eastAsia="en-AU"/>
              </w:rPr>
              <w:t xml:space="preserve"> EU-</w:t>
            </w:r>
            <w:r w:rsidRPr="00A2181C">
              <w:rPr>
                <w:i/>
                <w:color w:val="000000"/>
                <w:sz w:val="22"/>
                <w:szCs w:val="21"/>
                <w:lang w:eastAsia="en-AU"/>
              </w:rPr>
              <w:t>RMP v</w:t>
            </w:r>
            <w:r w:rsidR="006C68BC" w:rsidRPr="00A2181C">
              <w:rPr>
                <w:i/>
                <w:color w:val="000000"/>
                <w:sz w:val="22"/>
                <w:szCs w:val="21"/>
                <w:lang w:eastAsia="en-AU"/>
              </w:rPr>
              <w:t xml:space="preserve">ersion </w:t>
            </w:r>
            <w:r w:rsidRPr="00A2181C">
              <w:rPr>
                <w:i/>
                <w:color w:val="000000"/>
                <w:sz w:val="22"/>
                <w:szCs w:val="21"/>
                <w:lang w:eastAsia="en-AU"/>
              </w:rPr>
              <w:t xml:space="preserve">5.6 submitted </w:t>
            </w:r>
            <w:r w:rsidR="006C68BC" w:rsidRPr="00A2181C">
              <w:rPr>
                <w:i/>
                <w:color w:val="000000"/>
                <w:sz w:val="22"/>
                <w:szCs w:val="21"/>
                <w:lang w:eastAsia="en-AU"/>
              </w:rPr>
              <w:t>with this r</w:t>
            </w:r>
            <w:r w:rsidRPr="00A2181C">
              <w:rPr>
                <w:i/>
                <w:color w:val="000000"/>
                <w:sz w:val="22"/>
                <w:szCs w:val="21"/>
                <w:lang w:eastAsia="en-AU"/>
              </w:rPr>
              <w:t>esponse has listed this</w:t>
            </w:r>
            <w:r w:rsidR="006C68BC" w:rsidRPr="00A2181C">
              <w:rPr>
                <w:i/>
                <w:color w:val="000000"/>
                <w:sz w:val="22"/>
                <w:szCs w:val="21"/>
                <w:lang w:eastAsia="en-AU"/>
              </w:rPr>
              <w:t xml:space="preserve"> </w:t>
            </w:r>
            <w:r w:rsidRPr="00A2181C">
              <w:rPr>
                <w:i/>
                <w:color w:val="000000"/>
                <w:sz w:val="22"/>
                <w:szCs w:val="21"/>
                <w:lang w:eastAsia="en-AU"/>
              </w:rPr>
              <w:t>safety</w:t>
            </w:r>
            <w:r w:rsidR="006C68BC" w:rsidRPr="00A2181C">
              <w:rPr>
                <w:i/>
                <w:color w:val="000000"/>
                <w:sz w:val="22"/>
                <w:szCs w:val="21"/>
                <w:lang w:eastAsia="en-AU"/>
              </w:rPr>
              <w:t xml:space="preserve"> concern as ‘immune </w:t>
            </w:r>
            <w:r w:rsidRPr="00A2181C">
              <w:rPr>
                <w:i/>
                <w:color w:val="000000"/>
                <w:sz w:val="22"/>
                <w:szCs w:val="21"/>
                <w:lang w:eastAsia="en-AU"/>
              </w:rPr>
              <w:t>related skin adverse reactions</w:t>
            </w:r>
            <w:r w:rsidR="006C68BC" w:rsidRPr="00A2181C">
              <w:rPr>
                <w:i/>
                <w:color w:val="000000"/>
                <w:sz w:val="22"/>
                <w:szCs w:val="21"/>
                <w:lang w:eastAsia="en-AU"/>
              </w:rPr>
              <w:t>’.</w:t>
            </w:r>
          </w:p>
        </w:tc>
      </w:tr>
      <w:tr w:rsidR="00384761" w:rsidRPr="00502C09" w:rsidTr="00A2181C">
        <w:tc>
          <w:tcPr>
            <w:tcW w:w="5000" w:type="pct"/>
            <w:shd w:val="clear" w:color="auto" w:fill="auto"/>
            <w:noWrap/>
          </w:tcPr>
          <w:p w:rsidR="00384761" w:rsidRPr="00A2181C" w:rsidRDefault="0053036F" w:rsidP="00A2181C">
            <w:pPr>
              <w:pStyle w:val="Tabletext"/>
              <w:keepLines/>
              <w:ind w:left="170" w:right="170"/>
              <w:rPr>
                <w:b/>
                <w:color w:val="000000"/>
                <w:sz w:val="22"/>
                <w:szCs w:val="21"/>
                <w:lang w:eastAsia="en-AU"/>
              </w:rPr>
            </w:pPr>
            <w:r w:rsidRPr="00A2181C">
              <w:rPr>
                <w:b/>
                <w:color w:val="000000"/>
                <w:sz w:val="22"/>
                <w:szCs w:val="21"/>
                <w:lang w:eastAsia="en-AU"/>
              </w:rPr>
              <w:t>RMP e</w:t>
            </w:r>
            <w:r w:rsidR="00384761" w:rsidRPr="00A2181C">
              <w:rPr>
                <w:b/>
                <w:color w:val="000000"/>
                <w:sz w:val="22"/>
                <w:szCs w:val="21"/>
                <w:lang w:eastAsia="en-AU"/>
              </w:rPr>
              <w:t xml:space="preserve">valuator comment: </w:t>
            </w:r>
            <w:r w:rsidR="00384761" w:rsidRPr="00A2181C">
              <w:rPr>
                <w:color w:val="000000"/>
                <w:sz w:val="22"/>
                <w:szCs w:val="21"/>
                <w:lang w:eastAsia="en-AU"/>
              </w:rPr>
              <w:t xml:space="preserve">The terminology used in the EU-RMP and ASA has been amended as requested, and the terminology has also been updated in the </w:t>
            </w:r>
            <w:proofErr w:type="spellStart"/>
            <w:r w:rsidR="00D9067B" w:rsidRPr="00A2181C">
              <w:rPr>
                <w:color w:val="000000"/>
                <w:sz w:val="22"/>
                <w:szCs w:val="21"/>
                <w:lang w:eastAsia="en-AU"/>
              </w:rPr>
              <w:t>irAR</w:t>
            </w:r>
            <w:proofErr w:type="spellEnd"/>
            <w:r w:rsidR="00384761" w:rsidRPr="00A2181C">
              <w:rPr>
                <w:color w:val="000000"/>
                <w:sz w:val="22"/>
                <w:szCs w:val="21"/>
                <w:lang w:eastAsia="en-AU"/>
              </w:rPr>
              <w:t xml:space="preserve"> Management Guide.</w:t>
            </w:r>
          </w:p>
        </w:tc>
      </w:tr>
      <w:tr w:rsidR="00384761" w:rsidRPr="00502C09" w:rsidTr="00A2181C">
        <w:tc>
          <w:tcPr>
            <w:tcW w:w="5000" w:type="pct"/>
            <w:shd w:val="clear" w:color="auto" w:fill="auto"/>
            <w:noWrap/>
          </w:tcPr>
          <w:p w:rsidR="00384761" w:rsidRPr="00A2181C" w:rsidRDefault="00384761" w:rsidP="00A2181C">
            <w:pPr>
              <w:pStyle w:val="Tabletext"/>
              <w:keepNext/>
              <w:keepLines/>
              <w:ind w:left="170" w:right="170"/>
              <w:rPr>
                <w:color w:val="000000"/>
                <w:sz w:val="22"/>
                <w:szCs w:val="21"/>
                <w:lang w:eastAsia="en-AU"/>
              </w:rPr>
            </w:pPr>
            <w:r w:rsidRPr="00A2181C">
              <w:rPr>
                <w:b/>
                <w:color w:val="000000"/>
                <w:sz w:val="22"/>
                <w:szCs w:val="21"/>
                <w:lang w:eastAsia="en-AU"/>
              </w:rPr>
              <w:t>Recommendation 3</w:t>
            </w:r>
            <w:r w:rsidRPr="00A2181C">
              <w:rPr>
                <w:color w:val="000000"/>
                <w:sz w:val="22"/>
                <w:szCs w:val="21"/>
                <w:lang w:eastAsia="en-AU"/>
              </w:rPr>
              <w:t>: Include the planned date of submission of Study CA209401 in the ASA when next updated.</w:t>
            </w:r>
          </w:p>
        </w:tc>
      </w:tr>
      <w:tr w:rsidR="00384761" w:rsidRPr="00502C09" w:rsidTr="00A2181C">
        <w:trPr>
          <w:trHeight w:val="180"/>
        </w:trPr>
        <w:tc>
          <w:tcPr>
            <w:tcW w:w="5000" w:type="pct"/>
            <w:shd w:val="clear" w:color="auto" w:fill="auto"/>
            <w:noWrap/>
          </w:tcPr>
          <w:p w:rsidR="00384761" w:rsidRPr="00A2181C" w:rsidRDefault="00384761" w:rsidP="00A2181C">
            <w:pPr>
              <w:pStyle w:val="Tabletext"/>
              <w:keepNext/>
              <w:keepLines/>
              <w:ind w:left="170" w:right="170"/>
              <w:rPr>
                <w:i/>
                <w:color w:val="000000"/>
                <w:sz w:val="22"/>
                <w:szCs w:val="21"/>
                <w:lang w:eastAsia="en-AU"/>
              </w:rPr>
            </w:pPr>
            <w:r w:rsidRPr="00A2181C">
              <w:rPr>
                <w:i/>
                <w:color w:val="000000"/>
                <w:sz w:val="22"/>
                <w:szCs w:val="21"/>
                <w:lang w:eastAsia="en-AU"/>
              </w:rPr>
              <w:t xml:space="preserve">Sponsor’s response: </w:t>
            </w:r>
            <w:r w:rsidR="006C68BC" w:rsidRPr="00A2181C">
              <w:rPr>
                <w:i/>
                <w:color w:val="000000"/>
                <w:sz w:val="22"/>
                <w:szCs w:val="21"/>
                <w:lang w:eastAsia="en-AU"/>
              </w:rPr>
              <w:t>The sponsor</w:t>
            </w:r>
            <w:r w:rsidRPr="00A2181C">
              <w:rPr>
                <w:i/>
                <w:color w:val="000000"/>
                <w:sz w:val="22"/>
                <w:szCs w:val="21"/>
                <w:lang w:eastAsia="en-AU"/>
              </w:rPr>
              <w:t xml:space="preserve"> does not agree with including planned submission dates in the ASA, as these are subject to chan</w:t>
            </w:r>
            <w:r w:rsidR="005F0812" w:rsidRPr="00A2181C">
              <w:rPr>
                <w:i/>
                <w:color w:val="000000"/>
                <w:sz w:val="22"/>
                <w:szCs w:val="21"/>
                <w:lang w:eastAsia="en-AU"/>
              </w:rPr>
              <w:t>ge. As per the response to the s</w:t>
            </w:r>
            <w:r w:rsidRPr="00A2181C">
              <w:rPr>
                <w:i/>
                <w:color w:val="000000"/>
                <w:sz w:val="22"/>
                <w:szCs w:val="21"/>
                <w:lang w:eastAsia="en-AU"/>
              </w:rPr>
              <w:t xml:space="preserve">econd round </w:t>
            </w:r>
            <w:r w:rsidR="00487EC6" w:rsidRPr="00A2181C">
              <w:rPr>
                <w:i/>
                <w:color w:val="000000"/>
                <w:sz w:val="22"/>
                <w:szCs w:val="21"/>
                <w:lang w:eastAsia="en-AU"/>
              </w:rPr>
              <w:t>RCC</w:t>
            </w:r>
            <w:r w:rsidR="005F0812" w:rsidRPr="00A2181C">
              <w:rPr>
                <w:i/>
                <w:color w:val="000000"/>
                <w:sz w:val="22"/>
                <w:szCs w:val="21"/>
                <w:lang w:eastAsia="en-AU"/>
              </w:rPr>
              <w:t xml:space="preserve"> RMP e</w:t>
            </w:r>
            <w:r w:rsidRPr="00A2181C">
              <w:rPr>
                <w:i/>
                <w:color w:val="000000"/>
                <w:sz w:val="22"/>
                <w:szCs w:val="21"/>
                <w:lang w:eastAsia="en-AU"/>
              </w:rPr>
              <w:t>valuation</w:t>
            </w:r>
            <w:r w:rsidR="005F0812" w:rsidRPr="00A2181C">
              <w:rPr>
                <w:i/>
                <w:color w:val="000000"/>
                <w:sz w:val="22"/>
                <w:szCs w:val="21"/>
                <w:lang w:eastAsia="en-AU"/>
              </w:rPr>
              <w:t xml:space="preserve"> r</w:t>
            </w:r>
            <w:r w:rsidR="0053036F" w:rsidRPr="00A2181C">
              <w:rPr>
                <w:i/>
                <w:color w:val="000000"/>
                <w:sz w:val="22"/>
                <w:szCs w:val="21"/>
                <w:lang w:eastAsia="en-AU"/>
              </w:rPr>
              <w:t xml:space="preserve">eport </w:t>
            </w:r>
            <w:r w:rsidRPr="00A2181C">
              <w:rPr>
                <w:i/>
                <w:color w:val="000000"/>
                <w:sz w:val="22"/>
                <w:szCs w:val="21"/>
                <w:lang w:eastAsia="en-AU"/>
              </w:rPr>
              <w:t>a fin</w:t>
            </w:r>
            <w:r w:rsidR="0053036F" w:rsidRPr="00A2181C">
              <w:rPr>
                <w:i/>
                <w:color w:val="000000"/>
                <w:sz w:val="22"/>
                <w:szCs w:val="21"/>
                <w:lang w:eastAsia="en-AU"/>
              </w:rPr>
              <w:t>al study report for Study CA209</w:t>
            </w:r>
            <w:r w:rsidRPr="00A2181C">
              <w:rPr>
                <w:i/>
                <w:color w:val="000000"/>
                <w:sz w:val="22"/>
                <w:szCs w:val="21"/>
                <w:lang w:eastAsia="en-AU"/>
              </w:rPr>
              <w:t xml:space="preserve">401 is due in Q2 2022 </w:t>
            </w:r>
            <w:r w:rsidR="0053036F" w:rsidRPr="00A2181C">
              <w:rPr>
                <w:i/>
                <w:color w:val="000000"/>
                <w:sz w:val="22"/>
                <w:szCs w:val="21"/>
                <w:lang w:eastAsia="en-AU"/>
              </w:rPr>
              <w:t>(estimated) and the sponsor</w:t>
            </w:r>
            <w:r w:rsidRPr="00A2181C">
              <w:rPr>
                <w:i/>
                <w:color w:val="000000"/>
                <w:sz w:val="22"/>
                <w:szCs w:val="21"/>
                <w:lang w:eastAsia="en-AU"/>
              </w:rPr>
              <w:t xml:space="preserve"> agrees to submit the final report to the TGA</w:t>
            </w:r>
            <w:r w:rsidR="0053036F" w:rsidRPr="00A2181C">
              <w:rPr>
                <w:i/>
                <w:color w:val="000000"/>
                <w:sz w:val="22"/>
                <w:szCs w:val="21"/>
                <w:lang w:eastAsia="en-AU"/>
              </w:rPr>
              <w:t>.</w:t>
            </w:r>
            <w:r w:rsidRPr="00A2181C">
              <w:rPr>
                <w:i/>
                <w:color w:val="000000"/>
                <w:sz w:val="22"/>
                <w:szCs w:val="21"/>
                <w:lang w:eastAsia="en-AU"/>
              </w:rPr>
              <w:t xml:space="preserve"> Any new safety inform</w:t>
            </w:r>
            <w:r w:rsidR="0053036F" w:rsidRPr="00A2181C">
              <w:rPr>
                <w:i/>
                <w:color w:val="000000"/>
                <w:sz w:val="22"/>
                <w:szCs w:val="21"/>
                <w:lang w:eastAsia="en-AU"/>
              </w:rPr>
              <w:t>ation emerging from Study CA209</w:t>
            </w:r>
            <w:r w:rsidRPr="00A2181C">
              <w:rPr>
                <w:i/>
                <w:color w:val="000000"/>
                <w:sz w:val="22"/>
                <w:szCs w:val="21"/>
                <w:lang w:eastAsia="en-AU"/>
              </w:rPr>
              <w:t>401 will be reported to the TGA in accordance with the TGA pharmacovigilance regulations (Australian Requirements and Recommendations for Pharmacovigilance Responsibilities of Sponsors of Medicines, version 1.3</w:t>
            </w:r>
            <w:r w:rsidR="0053036F" w:rsidRPr="00A2181C">
              <w:rPr>
                <w:i/>
                <w:color w:val="000000"/>
                <w:sz w:val="22"/>
                <w:szCs w:val="21"/>
                <w:lang w:eastAsia="en-AU"/>
              </w:rPr>
              <w:t xml:space="preserve">, </w:t>
            </w:r>
            <w:r w:rsidRPr="00A2181C">
              <w:rPr>
                <w:i/>
                <w:color w:val="000000"/>
                <w:sz w:val="22"/>
                <w:szCs w:val="21"/>
                <w:lang w:eastAsia="en-AU"/>
              </w:rPr>
              <w:t>June 2014).</w:t>
            </w:r>
          </w:p>
        </w:tc>
      </w:tr>
      <w:tr w:rsidR="00384761" w:rsidRPr="00502C09" w:rsidTr="00A2181C">
        <w:trPr>
          <w:trHeight w:val="110"/>
        </w:trPr>
        <w:tc>
          <w:tcPr>
            <w:tcW w:w="5000" w:type="pct"/>
            <w:shd w:val="clear" w:color="auto" w:fill="auto"/>
            <w:noWrap/>
          </w:tcPr>
          <w:p w:rsidR="00384761" w:rsidRPr="00A2181C" w:rsidRDefault="0053036F" w:rsidP="00A2181C">
            <w:pPr>
              <w:pStyle w:val="Tabletext"/>
              <w:keepLines/>
              <w:ind w:left="170" w:right="170"/>
              <w:rPr>
                <w:b/>
                <w:color w:val="000000"/>
                <w:sz w:val="22"/>
                <w:szCs w:val="21"/>
                <w:lang w:eastAsia="en-AU"/>
              </w:rPr>
            </w:pPr>
            <w:r w:rsidRPr="00A2181C">
              <w:rPr>
                <w:b/>
                <w:color w:val="000000"/>
                <w:sz w:val="22"/>
                <w:szCs w:val="21"/>
                <w:lang w:eastAsia="en-AU"/>
              </w:rPr>
              <w:t>RMP e</w:t>
            </w:r>
            <w:r w:rsidR="00384761" w:rsidRPr="00A2181C">
              <w:rPr>
                <w:b/>
                <w:color w:val="000000"/>
                <w:sz w:val="22"/>
                <w:szCs w:val="21"/>
                <w:lang w:eastAsia="en-AU"/>
              </w:rPr>
              <w:t xml:space="preserve">valuator comment: </w:t>
            </w:r>
            <w:r w:rsidR="00384761" w:rsidRPr="00A2181C">
              <w:rPr>
                <w:color w:val="000000"/>
                <w:sz w:val="22"/>
                <w:szCs w:val="21"/>
                <w:lang w:eastAsia="en-AU"/>
              </w:rPr>
              <w:t xml:space="preserve">The estimated due date has been noted in the RMP Evaluation </w:t>
            </w:r>
            <w:r w:rsidRPr="00A2181C">
              <w:rPr>
                <w:color w:val="000000"/>
                <w:sz w:val="22"/>
                <w:szCs w:val="21"/>
                <w:lang w:eastAsia="en-AU"/>
              </w:rPr>
              <w:t>Report</w:t>
            </w:r>
            <w:r w:rsidR="00384761" w:rsidRPr="00A2181C">
              <w:rPr>
                <w:color w:val="000000"/>
                <w:sz w:val="22"/>
                <w:szCs w:val="21"/>
                <w:lang w:eastAsia="en-AU"/>
              </w:rPr>
              <w:t>.</w:t>
            </w:r>
          </w:p>
        </w:tc>
      </w:tr>
      <w:tr w:rsidR="00384761" w:rsidRPr="00502C09" w:rsidTr="00A2181C">
        <w:trPr>
          <w:trHeight w:val="140"/>
        </w:trPr>
        <w:tc>
          <w:tcPr>
            <w:tcW w:w="5000" w:type="pct"/>
            <w:shd w:val="clear" w:color="auto" w:fill="auto"/>
            <w:noWrap/>
          </w:tcPr>
          <w:p w:rsidR="00384761" w:rsidRPr="00A2181C" w:rsidRDefault="00384761" w:rsidP="00A2181C">
            <w:pPr>
              <w:pStyle w:val="Tabletext"/>
              <w:keepNext/>
              <w:keepLines/>
              <w:ind w:left="170" w:right="170"/>
              <w:rPr>
                <w:color w:val="000000"/>
                <w:sz w:val="22"/>
                <w:szCs w:val="21"/>
                <w:lang w:eastAsia="en-AU"/>
              </w:rPr>
            </w:pPr>
            <w:r w:rsidRPr="00A2181C">
              <w:rPr>
                <w:b/>
                <w:color w:val="000000"/>
                <w:sz w:val="22"/>
                <w:szCs w:val="21"/>
                <w:lang w:eastAsia="en-AU"/>
              </w:rPr>
              <w:lastRenderedPageBreak/>
              <w:t>Recommendation 4</w:t>
            </w:r>
            <w:r w:rsidRPr="00A2181C">
              <w:rPr>
                <w:color w:val="000000"/>
                <w:sz w:val="22"/>
                <w:szCs w:val="21"/>
                <w:lang w:eastAsia="en-AU"/>
              </w:rPr>
              <w:t xml:space="preserve">: </w:t>
            </w:r>
            <w:r w:rsidR="0053036F" w:rsidRPr="00A2181C">
              <w:rPr>
                <w:color w:val="000000"/>
                <w:sz w:val="22"/>
                <w:szCs w:val="21"/>
                <w:lang w:eastAsia="en-AU"/>
              </w:rPr>
              <w:t>The status of S</w:t>
            </w:r>
            <w:r w:rsidRPr="00A2181C">
              <w:rPr>
                <w:color w:val="000000"/>
                <w:sz w:val="22"/>
                <w:szCs w:val="21"/>
                <w:lang w:eastAsia="en-AU"/>
              </w:rPr>
              <w:t>tudy CA209234 should be updated in the EU-RMP to indicate tha</w:t>
            </w:r>
            <w:r w:rsidR="0053036F" w:rsidRPr="00A2181C">
              <w:rPr>
                <w:color w:val="000000"/>
                <w:sz w:val="22"/>
                <w:szCs w:val="21"/>
                <w:lang w:eastAsia="en-AU"/>
              </w:rPr>
              <w:t>t it is currently ongoing. The s</w:t>
            </w:r>
            <w:r w:rsidRPr="00A2181C">
              <w:rPr>
                <w:color w:val="000000"/>
                <w:sz w:val="22"/>
                <w:szCs w:val="21"/>
                <w:lang w:eastAsia="en-AU"/>
              </w:rPr>
              <w:t>ponsor should also amend the number of Study CA20906</w:t>
            </w:r>
            <w:r w:rsidR="0053036F" w:rsidRPr="00A2181C">
              <w:rPr>
                <w:color w:val="000000"/>
                <w:sz w:val="22"/>
                <w:szCs w:val="21"/>
                <w:lang w:eastAsia="en-AU"/>
              </w:rPr>
              <w:t>9</w:t>
            </w:r>
            <w:r w:rsidRPr="00A2181C">
              <w:rPr>
                <w:color w:val="000000"/>
                <w:sz w:val="22"/>
                <w:szCs w:val="21"/>
                <w:lang w:eastAsia="en-AU"/>
              </w:rPr>
              <w:t xml:space="preserve"> </w:t>
            </w:r>
            <w:r w:rsidR="00115ED5" w:rsidRPr="00A2181C">
              <w:rPr>
                <w:color w:val="000000"/>
                <w:sz w:val="22"/>
                <w:szCs w:val="21"/>
                <w:lang w:eastAsia="en-AU"/>
              </w:rPr>
              <w:t xml:space="preserve">in the future version of the </w:t>
            </w:r>
            <w:r w:rsidRPr="00A2181C">
              <w:rPr>
                <w:color w:val="000000"/>
                <w:sz w:val="22"/>
                <w:szCs w:val="21"/>
                <w:lang w:eastAsia="en-AU"/>
              </w:rPr>
              <w:t>RMP</w:t>
            </w:r>
            <w:r w:rsidR="0053036F" w:rsidRPr="00A2181C">
              <w:rPr>
                <w:color w:val="000000"/>
                <w:sz w:val="22"/>
                <w:szCs w:val="21"/>
                <w:lang w:eastAsia="en-AU"/>
              </w:rPr>
              <w:t>.</w:t>
            </w:r>
          </w:p>
        </w:tc>
      </w:tr>
      <w:tr w:rsidR="00384761" w:rsidRPr="00502C09" w:rsidTr="00A2181C">
        <w:trPr>
          <w:trHeight w:val="180"/>
        </w:trPr>
        <w:tc>
          <w:tcPr>
            <w:tcW w:w="5000" w:type="pct"/>
            <w:shd w:val="clear" w:color="auto" w:fill="auto"/>
            <w:noWrap/>
          </w:tcPr>
          <w:p w:rsidR="00384761" w:rsidRPr="00A2181C" w:rsidRDefault="00384761" w:rsidP="00A2181C">
            <w:pPr>
              <w:pStyle w:val="Tabletext"/>
              <w:keepNext/>
              <w:keepLines/>
              <w:ind w:left="170" w:right="170"/>
              <w:rPr>
                <w:i/>
                <w:color w:val="000000"/>
                <w:sz w:val="22"/>
                <w:szCs w:val="21"/>
                <w:lang w:eastAsia="en-AU"/>
              </w:rPr>
            </w:pPr>
            <w:r w:rsidRPr="00A2181C">
              <w:rPr>
                <w:i/>
                <w:color w:val="000000"/>
                <w:sz w:val="22"/>
                <w:szCs w:val="21"/>
                <w:lang w:eastAsia="en-AU"/>
              </w:rPr>
              <w:t>Sponsor’s response: These updates are</w:t>
            </w:r>
            <w:r w:rsidR="0053036F" w:rsidRPr="00A2181C">
              <w:rPr>
                <w:i/>
                <w:color w:val="000000"/>
                <w:sz w:val="22"/>
                <w:szCs w:val="21"/>
                <w:lang w:eastAsia="en-AU"/>
              </w:rPr>
              <w:t xml:space="preserve"> reflected in the </w:t>
            </w:r>
            <w:proofErr w:type="spellStart"/>
            <w:r w:rsidR="0053036F" w:rsidRPr="00A2181C">
              <w:rPr>
                <w:i/>
                <w:color w:val="000000"/>
                <w:sz w:val="22"/>
                <w:szCs w:val="21"/>
                <w:lang w:eastAsia="en-AU"/>
              </w:rPr>
              <w:t>n</w:t>
            </w:r>
            <w:r w:rsidR="00115ED5" w:rsidRPr="00A2181C">
              <w:rPr>
                <w:i/>
                <w:color w:val="000000"/>
                <w:sz w:val="22"/>
                <w:szCs w:val="21"/>
                <w:lang w:eastAsia="en-AU"/>
              </w:rPr>
              <w:t>ivolumab</w:t>
            </w:r>
            <w:proofErr w:type="spellEnd"/>
            <w:r w:rsidR="00115ED5" w:rsidRPr="00A2181C">
              <w:rPr>
                <w:i/>
                <w:color w:val="000000"/>
                <w:sz w:val="22"/>
                <w:szCs w:val="21"/>
                <w:lang w:eastAsia="en-AU"/>
              </w:rPr>
              <w:t xml:space="preserve"> EU-</w:t>
            </w:r>
            <w:r w:rsidRPr="00A2181C">
              <w:rPr>
                <w:i/>
                <w:color w:val="000000"/>
                <w:sz w:val="22"/>
                <w:szCs w:val="21"/>
                <w:lang w:eastAsia="en-AU"/>
              </w:rPr>
              <w:t>RMP v</w:t>
            </w:r>
            <w:r w:rsidR="0053036F" w:rsidRPr="00A2181C">
              <w:rPr>
                <w:i/>
                <w:color w:val="000000"/>
                <w:sz w:val="22"/>
                <w:szCs w:val="21"/>
                <w:lang w:eastAsia="en-AU"/>
              </w:rPr>
              <w:t xml:space="preserve">ersion </w:t>
            </w:r>
            <w:r w:rsidRPr="00A2181C">
              <w:rPr>
                <w:i/>
                <w:color w:val="000000"/>
                <w:sz w:val="22"/>
                <w:szCs w:val="21"/>
                <w:lang w:eastAsia="en-AU"/>
              </w:rPr>
              <w:t>5.6 submitted with this response.</w:t>
            </w:r>
          </w:p>
        </w:tc>
      </w:tr>
      <w:tr w:rsidR="00384761" w:rsidRPr="00502C09" w:rsidTr="00A2181C">
        <w:trPr>
          <w:trHeight w:val="130"/>
        </w:trPr>
        <w:tc>
          <w:tcPr>
            <w:tcW w:w="5000" w:type="pct"/>
            <w:shd w:val="clear" w:color="auto" w:fill="auto"/>
            <w:noWrap/>
          </w:tcPr>
          <w:p w:rsidR="00384761" w:rsidRPr="00A2181C" w:rsidRDefault="0053036F" w:rsidP="00A2181C">
            <w:pPr>
              <w:pStyle w:val="Tabletext"/>
              <w:keepLines/>
              <w:ind w:left="170" w:right="170"/>
              <w:rPr>
                <w:b/>
                <w:color w:val="000000"/>
                <w:sz w:val="22"/>
                <w:szCs w:val="21"/>
                <w:lang w:eastAsia="en-AU"/>
              </w:rPr>
            </w:pPr>
            <w:r w:rsidRPr="00A2181C">
              <w:rPr>
                <w:b/>
                <w:color w:val="000000"/>
                <w:sz w:val="22"/>
                <w:szCs w:val="21"/>
                <w:lang w:eastAsia="en-AU"/>
              </w:rPr>
              <w:t>RMP e</w:t>
            </w:r>
            <w:r w:rsidR="00384761" w:rsidRPr="00A2181C">
              <w:rPr>
                <w:b/>
                <w:color w:val="000000"/>
                <w:sz w:val="22"/>
                <w:szCs w:val="21"/>
                <w:lang w:eastAsia="en-AU"/>
              </w:rPr>
              <w:t xml:space="preserve">valuator comment: </w:t>
            </w:r>
            <w:r w:rsidR="00115ED5" w:rsidRPr="00A2181C">
              <w:rPr>
                <w:color w:val="000000"/>
                <w:sz w:val="22"/>
                <w:szCs w:val="21"/>
                <w:lang w:eastAsia="en-AU"/>
              </w:rPr>
              <w:t xml:space="preserve">The </w:t>
            </w:r>
            <w:r w:rsidR="00384761" w:rsidRPr="00A2181C">
              <w:rPr>
                <w:color w:val="000000"/>
                <w:sz w:val="22"/>
                <w:szCs w:val="21"/>
                <w:lang w:eastAsia="en-AU"/>
              </w:rPr>
              <w:t>RMP has been amended.</w:t>
            </w:r>
          </w:p>
        </w:tc>
      </w:tr>
      <w:tr w:rsidR="00384761" w:rsidRPr="00502C09" w:rsidTr="00A2181C">
        <w:trPr>
          <w:trHeight w:val="120"/>
        </w:trPr>
        <w:tc>
          <w:tcPr>
            <w:tcW w:w="5000" w:type="pct"/>
            <w:shd w:val="clear" w:color="auto" w:fill="auto"/>
            <w:noWrap/>
          </w:tcPr>
          <w:p w:rsidR="00384761" w:rsidRPr="00A2181C" w:rsidRDefault="00384761" w:rsidP="00A2181C">
            <w:pPr>
              <w:pStyle w:val="Tabletext"/>
              <w:keepNext/>
              <w:keepLines/>
              <w:ind w:left="170" w:right="170"/>
              <w:rPr>
                <w:color w:val="000000"/>
                <w:sz w:val="22"/>
                <w:szCs w:val="21"/>
                <w:lang w:eastAsia="en-AU"/>
              </w:rPr>
            </w:pPr>
            <w:r w:rsidRPr="00A2181C">
              <w:rPr>
                <w:b/>
                <w:color w:val="000000"/>
                <w:sz w:val="22"/>
                <w:szCs w:val="21"/>
                <w:lang w:eastAsia="en-AU"/>
              </w:rPr>
              <w:t>Recommendation 5</w:t>
            </w:r>
            <w:r w:rsidRPr="00A2181C">
              <w:rPr>
                <w:color w:val="000000"/>
                <w:sz w:val="22"/>
                <w:szCs w:val="21"/>
                <w:lang w:eastAsia="en-AU"/>
              </w:rPr>
              <w:t xml:space="preserve">: The sponsor should include the </w:t>
            </w:r>
            <w:proofErr w:type="spellStart"/>
            <w:r w:rsidRPr="00A2181C">
              <w:rPr>
                <w:color w:val="000000"/>
                <w:sz w:val="22"/>
                <w:szCs w:val="21"/>
                <w:lang w:eastAsia="en-AU"/>
              </w:rPr>
              <w:t>cHL</w:t>
            </w:r>
            <w:proofErr w:type="spellEnd"/>
            <w:r w:rsidRPr="00A2181C">
              <w:rPr>
                <w:color w:val="000000"/>
                <w:sz w:val="22"/>
                <w:szCs w:val="21"/>
                <w:lang w:eastAsia="en-AU"/>
              </w:rPr>
              <w:t xml:space="preserve"> indication in the updated HCP Tool and submit when available to the TGA.</w:t>
            </w:r>
          </w:p>
        </w:tc>
      </w:tr>
      <w:tr w:rsidR="00384761" w:rsidRPr="00502C09" w:rsidTr="00A2181C">
        <w:trPr>
          <w:trHeight w:val="180"/>
        </w:trPr>
        <w:tc>
          <w:tcPr>
            <w:tcW w:w="5000" w:type="pct"/>
            <w:shd w:val="clear" w:color="auto" w:fill="auto"/>
            <w:noWrap/>
          </w:tcPr>
          <w:p w:rsidR="00384761" w:rsidRPr="00A2181C" w:rsidRDefault="00384761" w:rsidP="00A2181C">
            <w:pPr>
              <w:pStyle w:val="Tabletext"/>
              <w:keepNext/>
              <w:keepLines/>
              <w:ind w:left="170" w:right="170"/>
              <w:rPr>
                <w:i/>
                <w:color w:val="000000"/>
                <w:sz w:val="22"/>
                <w:szCs w:val="21"/>
                <w:lang w:eastAsia="en-AU"/>
              </w:rPr>
            </w:pPr>
            <w:r w:rsidRPr="00A2181C">
              <w:rPr>
                <w:i/>
                <w:color w:val="000000"/>
                <w:sz w:val="22"/>
                <w:szCs w:val="21"/>
                <w:lang w:eastAsia="en-AU"/>
              </w:rPr>
              <w:t xml:space="preserve">Sponsor’s response: The </w:t>
            </w:r>
            <w:r w:rsidR="0053036F" w:rsidRPr="00A2181C">
              <w:rPr>
                <w:i/>
                <w:color w:val="000000"/>
                <w:sz w:val="22"/>
                <w:szCs w:val="21"/>
                <w:lang w:eastAsia="en-AU"/>
              </w:rPr>
              <w:t>HCP</w:t>
            </w:r>
            <w:r w:rsidRPr="00A2181C">
              <w:rPr>
                <w:i/>
                <w:color w:val="000000"/>
                <w:sz w:val="22"/>
                <w:szCs w:val="21"/>
                <w:lang w:eastAsia="en-AU"/>
              </w:rPr>
              <w:t xml:space="preserve"> Tool is intended to focus primarily on the </w:t>
            </w:r>
            <w:proofErr w:type="spellStart"/>
            <w:r w:rsidR="00D9067B" w:rsidRPr="00A2181C">
              <w:rPr>
                <w:i/>
                <w:color w:val="000000"/>
                <w:sz w:val="22"/>
                <w:szCs w:val="21"/>
                <w:lang w:eastAsia="en-AU"/>
              </w:rPr>
              <w:t>irAR</w:t>
            </w:r>
            <w:r w:rsidR="0053036F" w:rsidRPr="00A2181C">
              <w:rPr>
                <w:i/>
                <w:color w:val="000000"/>
                <w:sz w:val="22"/>
                <w:szCs w:val="21"/>
                <w:lang w:eastAsia="en-AU"/>
              </w:rPr>
              <w:t>s</w:t>
            </w:r>
            <w:proofErr w:type="spellEnd"/>
            <w:r w:rsidRPr="00A2181C">
              <w:rPr>
                <w:i/>
                <w:color w:val="000000"/>
                <w:sz w:val="22"/>
                <w:szCs w:val="21"/>
                <w:lang w:eastAsia="en-AU"/>
              </w:rPr>
              <w:t xml:space="preserve"> and their managem</w:t>
            </w:r>
            <w:r w:rsidR="0053036F" w:rsidRPr="00A2181C">
              <w:rPr>
                <w:i/>
                <w:color w:val="000000"/>
                <w:sz w:val="22"/>
                <w:szCs w:val="21"/>
                <w:lang w:eastAsia="en-AU"/>
              </w:rPr>
              <w:t>ent. The sponsor</w:t>
            </w:r>
            <w:r w:rsidRPr="00A2181C">
              <w:rPr>
                <w:i/>
                <w:color w:val="000000"/>
                <w:sz w:val="22"/>
                <w:szCs w:val="21"/>
                <w:lang w:eastAsia="en-AU"/>
              </w:rPr>
              <w:t xml:space="preserve"> has a large number of potential indications planned and wishes to reduce the burden of version management for HCPs. As discussed and agreed with </w:t>
            </w:r>
            <w:r w:rsidR="0053036F" w:rsidRPr="00A2181C">
              <w:rPr>
                <w:i/>
                <w:color w:val="000000"/>
                <w:sz w:val="22"/>
                <w:szCs w:val="21"/>
                <w:lang w:eastAsia="en-AU"/>
              </w:rPr>
              <w:t>the TGA</w:t>
            </w:r>
            <w:r w:rsidRPr="00A2181C">
              <w:rPr>
                <w:i/>
                <w:color w:val="000000"/>
                <w:sz w:val="22"/>
                <w:szCs w:val="21"/>
                <w:lang w:eastAsia="en-AU"/>
              </w:rPr>
              <w:t xml:space="preserve"> on 24 November 2016, </w:t>
            </w:r>
            <w:r w:rsidR="005F0812" w:rsidRPr="00A2181C">
              <w:rPr>
                <w:i/>
                <w:color w:val="000000"/>
                <w:sz w:val="22"/>
                <w:szCs w:val="21"/>
                <w:lang w:eastAsia="en-AU"/>
              </w:rPr>
              <w:t>the sponsor</w:t>
            </w:r>
            <w:r w:rsidRPr="00A2181C">
              <w:rPr>
                <w:i/>
                <w:color w:val="000000"/>
                <w:sz w:val="22"/>
                <w:szCs w:val="21"/>
                <w:lang w:eastAsia="en-AU"/>
              </w:rPr>
              <w:t xml:space="preserve"> plans to remove the indications from the HCP Tool. The HCP Tool will, however, include a reference to </w:t>
            </w:r>
            <w:r w:rsidR="005F0812" w:rsidRPr="00A2181C">
              <w:rPr>
                <w:i/>
                <w:color w:val="000000"/>
                <w:sz w:val="22"/>
                <w:szCs w:val="21"/>
                <w:lang w:eastAsia="en-AU"/>
              </w:rPr>
              <w:t>the most recent Australian</w:t>
            </w:r>
            <w:r w:rsidRPr="00A2181C">
              <w:rPr>
                <w:i/>
                <w:color w:val="000000"/>
                <w:sz w:val="22"/>
                <w:szCs w:val="21"/>
                <w:lang w:eastAsia="en-AU"/>
              </w:rPr>
              <w:t xml:space="preserve"> PI.</w:t>
            </w:r>
          </w:p>
        </w:tc>
      </w:tr>
      <w:tr w:rsidR="00384761" w:rsidRPr="00502C09" w:rsidTr="00A2181C">
        <w:trPr>
          <w:trHeight w:val="180"/>
        </w:trPr>
        <w:tc>
          <w:tcPr>
            <w:tcW w:w="5000" w:type="pct"/>
            <w:shd w:val="clear" w:color="auto" w:fill="auto"/>
            <w:noWrap/>
          </w:tcPr>
          <w:p w:rsidR="00384761" w:rsidRPr="00A2181C" w:rsidRDefault="0053036F" w:rsidP="00A2181C">
            <w:pPr>
              <w:pStyle w:val="Tabletext"/>
              <w:keepLines/>
              <w:ind w:left="170" w:right="170"/>
              <w:rPr>
                <w:b/>
                <w:color w:val="000000"/>
                <w:sz w:val="22"/>
                <w:szCs w:val="21"/>
                <w:lang w:eastAsia="en-AU"/>
              </w:rPr>
            </w:pPr>
            <w:r w:rsidRPr="00A2181C">
              <w:rPr>
                <w:b/>
                <w:color w:val="000000"/>
                <w:sz w:val="22"/>
                <w:szCs w:val="21"/>
                <w:lang w:eastAsia="en-AU"/>
              </w:rPr>
              <w:t>RMP e</w:t>
            </w:r>
            <w:r w:rsidR="00384761" w:rsidRPr="00A2181C">
              <w:rPr>
                <w:b/>
                <w:color w:val="000000"/>
                <w:sz w:val="22"/>
                <w:szCs w:val="21"/>
                <w:lang w:eastAsia="en-AU"/>
              </w:rPr>
              <w:t xml:space="preserve">valuator comment: </w:t>
            </w:r>
            <w:r w:rsidRPr="00A2181C">
              <w:rPr>
                <w:color w:val="000000"/>
                <w:sz w:val="22"/>
                <w:szCs w:val="21"/>
                <w:lang w:eastAsia="en-AU"/>
              </w:rPr>
              <w:t>The s</w:t>
            </w:r>
            <w:r w:rsidR="00384761" w:rsidRPr="00A2181C">
              <w:rPr>
                <w:color w:val="000000"/>
                <w:sz w:val="22"/>
                <w:szCs w:val="21"/>
                <w:lang w:eastAsia="en-AU"/>
              </w:rPr>
              <w:t xml:space="preserve">ponsor’s response is satisfactory as discussed and agreed by teleconference with the RMP Evaluation Section. </w:t>
            </w:r>
          </w:p>
        </w:tc>
      </w:tr>
    </w:tbl>
    <w:p w:rsidR="008E7846" w:rsidRDefault="008E7846" w:rsidP="005F0812">
      <w:pPr>
        <w:pStyle w:val="Heading4"/>
        <w:rPr>
          <w:lang w:eastAsia="en-AU"/>
        </w:rPr>
      </w:pPr>
      <w:r>
        <w:rPr>
          <w:lang w:eastAsia="en-AU"/>
        </w:rPr>
        <w:t xml:space="preserve">Summary of </w:t>
      </w:r>
      <w:r w:rsidR="003A7F6C">
        <w:rPr>
          <w:lang w:eastAsia="en-AU"/>
        </w:rPr>
        <w:t>r</w:t>
      </w:r>
      <w:r>
        <w:rPr>
          <w:lang w:eastAsia="en-AU"/>
        </w:rPr>
        <w:t>ecommendations</w:t>
      </w:r>
    </w:p>
    <w:p w:rsidR="0053036F" w:rsidRPr="0053036F" w:rsidRDefault="0053036F" w:rsidP="005F0812">
      <w:pPr>
        <w:keepNext/>
        <w:rPr>
          <w:lang w:eastAsia="en-AU"/>
        </w:rPr>
      </w:pPr>
      <w:r w:rsidRPr="0053036F">
        <w:rPr>
          <w:lang w:eastAsia="en-AU"/>
        </w:rPr>
        <w:t xml:space="preserve">The following </w:t>
      </w:r>
      <w:r w:rsidRPr="004B5B45">
        <w:rPr>
          <w:lang w:eastAsia="en-AU"/>
        </w:rPr>
        <w:t>new or outstanding</w:t>
      </w:r>
      <w:r w:rsidRPr="0053036F">
        <w:rPr>
          <w:i/>
          <w:lang w:eastAsia="en-AU"/>
        </w:rPr>
        <w:t xml:space="preserve"> </w:t>
      </w:r>
      <w:r w:rsidRPr="005F0812">
        <w:rPr>
          <w:lang w:eastAsia="en-AU"/>
        </w:rPr>
        <w:t>issues</w:t>
      </w:r>
      <w:r w:rsidRPr="0053036F">
        <w:rPr>
          <w:b/>
          <w:lang w:eastAsia="en-AU"/>
        </w:rPr>
        <w:t xml:space="preserve"> </w:t>
      </w:r>
      <w:r w:rsidRPr="0053036F">
        <w:rPr>
          <w:lang w:eastAsia="en-AU"/>
        </w:rPr>
        <w:t>should be addressed by the sponsor:</w:t>
      </w:r>
    </w:p>
    <w:p w:rsidR="0053036F" w:rsidRPr="0053036F" w:rsidRDefault="0053036F" w:rsidP="005F0812">
      <w:pPr>
        <w:keepNext/>
        <w:rPr>
          <w:lang w:eastAsia="en-AU"/>
        </w:rPr>
      </w:pPr>
      <w:r w:rsidRPr="0053036F">
        <w:rPr>
          <w:i/>
          <w:lang w:eastAsia="en-AU"/>
        </w:rPr>
        <w:t>Recommendation 1</w:t>
      </w:r>
      <w:r>
        <w:rPr>
          <w:lang w:eastAsia="en-AU"/>
        </w:rPr>
        <w:t>: The sponsor should add ‘</w:t>
      </w:r>
      <w:r w:rsidRPr="0053036F">
        <w:rPr>
          <w:lang w:eastAsia="en-AU"/>
        </w:rPr>
        <w:t xml:space="preserve">Complications of allogeneic HSCT following </w:t>
      </w:r>
      <w:proofErr w:type="spellStart"/>
      <w:r w:rsidRPr="0053036F">
        <w:rPr>
          <w:lang w:eastAsia="en-AU"/>
        </w:rPr>
        <w:t>nivolumab</w:t>
      </w:r>
      <w:proofErr w:type="spellEnd"/>
      <w:r w:rsidRPr="0053036F">
        <w:rPr>
          <w:lang w:eastAsia="en-AU"/>
        </w:rPr>
        <w:t xml:space="preserve"> therapy</w:t>
      </w:r>
      <w:r>
        <w:rPr>
          <w:lang w:eastAsia="en-AU"/>
        </w:rPr>
        <w:t>’</w:t>
      </w:r>
      <w:r w:rsidRPr="0053036F">
        <w:rPr>
          <w:lang w:eastAsia="en-AU"/>
        </w:rPr>
        <w:t xml:space="preserve"> as an Important Potential Risk to the </w:t>
      </w:r>
      <w:r w:rsidR="00115ED5">
        <w:rPr>
          <w:lang w:eastAsia="en-AU"/>
        </w:rPr>
        <w:t xml:space="preserve">ASA for consistency with the </w:t>
      </w:r>
      <w:r w:rsidRPr="0053036F">
        <w:rPr>
          <w:lang w:eastAsia="en-AU"/>
        </w:rPr>
        <w:t>RMP. Routine (</w:t>
      </w:r>
      <w:r w:rsidR="00E0353C">
        <w:rPr>
          <w:lang w:eastAsia="en-AU"/>
        </w:rPr>
        <w:t>for example,</w:t>
      </w:r>
      <w:r w:rsidRPr="0053036F">
        <w:rPr>
          <w:lang w:eastAsia="en-AU"/>
        </w:rPr>
        <w:t xml:space="preserve"> the PI statement proposed by the </w:t>
      </w:r>
      <w:r w:rsidR="00174DA1">
        <w:rPr>
          <w:lang w:eastAsia="en-AU"/>
        </w:rPr>
        <w:t>c</w:t>
      </w:r>
      <w:r w:rsidRPr="0053036F">
        <w:rPr>
          <w:lang w:eastAsia="en-AU"/>
        </w:rPr>
        <w:t xml:space="preserve">linical </w:t>
      </w:r>
      <w:r w:rsidR="00174DA1">
        <w:rPr>
          <w:lang w:eastAsia="en-AU"/>
        </w:rPr>
        <w:t>e</w:t>
      </w:r>
      <w:r w:rsidRPr="0053036F">
        <w:rPr>
          <w:lang w:eastAsia="en-AU"/>
        </w:rPr>
        <w:t>valuator) and additional risk minimisation activities should also be assigned (consistent with those in EU-RMP version 5.6)</w:t>
      </w:r>
      <w:r w:rsidR="00E0353C">
        <w:rPr>
          <w:lang w:eastAsia="en-AU"/>
        </w:rPr>
        <w:t>.</w:t>
      </w:r>
    </w:p>
    <w:p w:rsidR="0053036F" w:rsidRPr="0053036F" w:rsidRDefault="00E0353C" w:rsidP="00E0353C">
      <w:pPr>
        <w:rPr>
          <w:lang w:eastAsia="en-AU"/>
        </w:rPr>
      </w:pPr>
      <w:r w:rsidRPr="00E0353C">
        <w:rPr>
          <w:i/>
          <w:lang w:eastAsia="en-AU"/>
        </w:rPr>
        <w:t>Recommendation 2</w:t>
      </w:r>
      <w:r>
        <w:rPr>
          <w:lang w:eastAsia="en-AU"/>
        </w:rPr>
        <w:t>: The s</w:t>
      </w:r>
      <w:r w:rsidR="0053036F" w:rsidRPr="0053036F">
        <w:rPr>
          <w:lang w:eastAsia="en-AU"/>
        </w:rPr>
        <w:t xml:space="preserve">ponsor should add the potential risk of ‘Complications including acute graft versus host disease and transplant-related mortality of allogeneic haematopoietic stem cell transplant following </w:t>
      </w:r>
      <w:proofErr w:type="spellStart"/>
      <w:r w:rsidR="0053036F" w:rsidRPr="0053036F">
        <w:rPr>
          <w:lang w:eastAsia="en-AU"/>
        </w:rPr>
        <w:t>nivolumab</w:t>
      </w:r>
      <w:proofErr w:type="spellEnd"/>
      <w:r w:rsidR="0053036F" w:rsidRPr="0053036F">
        <w:rPr>
          <w:lang w:eastAsia="en-AU"/>
        </w:rPr>
        <w:t xml:space="preserve"> therapy’</w:t>
      </w:r>
      <w:r>
        <w:rPr>
          <w:lang w:eastAsia="en-AU"/>
        </w:rPr>
        <w:t xml:space="preserve"> to the </w:t>
      </w:r>
      <w:proofErr w:type="spellStart"/>
      <w:r w:rsidR="00D9067B">
        <w:rPr>
          <w:lang w:eastAsia="en-AU"/>
        </w:rPr>
        <w:t>irAR</w:t>
      </w:r>
      <w:proofErr w:type="spellEnd"/>
      <w:r w:rsidR="0053036F" w:rsidRPr="0053036F">
        <w:rPr>
          <w:lang w:eastAsia="en-AU"/>
        </w:rPr>
        <w:t xml:space="preserve"> Management Guide, consistent with the additional risk mi</w:t>
      </w:r>
      <w:r w:rsidR="00115ED5">
        <w:rPr>
          <w:lang w:eastAsia="en-AU"/>
        </w:rPr>
        <w:t xml:space="preserve">nimisation activities in the </w:t>
      </w:r>
      <w:r w:rsidR="0053036F" w:rsidRPr="0053036F">
        <w:rPr>
          <w:lang w:eastAsia="en-AU"/>
        </w:rPr>
        <w:t xml:space="preserve">RMP, and submit it to the TGA for review prior to registration. In the EU, this Guide is called an Adverse Management Guide rather than </w:t>
      </w:r>
      <w:r>
        <w:rPr>
          <w:lang w:eastAsia="en-AU"/>
        </w:rPr>
        <w:t xml:space="preserve">an </w:t>
      </w:r>
      <w:proofErr w:type="spellStart"/>
      <w:r w:rsidR="00D9067B">
        <w:rPr>
          <w:lang w:eastAsia="en-AU"/>
        </w:rPr>
        <w:t>irAR</w:t>
      </w:r>
      <w:proofErr w:type="spellEnd"/>
      <w:r w:rsidR="0053036F" w:rsidRPr="0053036F">
        <w:rPr>
          <w:lang w:eastAsia="en-AU"/>
        </w:rPr>
        <w:t xml:space="preserve"> Guide. It would be acceptable to update the title of the Australian materials in a similar way.</w:t>
      </w:r>
    </w:p>
    <w:p w:rsidR="0053036F" w:rsidRPr="0053036F" w:rsidRDefault="00E0353C" w:rsidP="00E0353C">
      <w:pPr>
        <w:rPr>
          <w:lang w:eastAsia="en-AU"/>
        </w:rPr>
      </w:pPr>
      <w:r w:rsidRPr="00E0353C">
        <w:rPr>
          <w:i/>
          <w:lang w:eastAsia="en-AU"/>
        </w:rPr>
        <w:t>Recommendation 3:</w:t>
      </w:r>
      <w:r>
        <w:rPr>
          <w:lang w:eastAsia="en-AU"/>
        </w:rPr>
        <w:t xml:space="preserve"> The s</w:t>
      </w:r>
      <w:r w:rsidR="0053036F" w:rsidRPr="0053036F">
        <w:rPr>
          <w:lang w:eastAsia="en-AU"/>
        </w:rPr>
        <w:t xml:space="preserve">ponsor should prominently display the internet address for the full PI on the </w:t>
      </w:r>
      <w:r w:rsidR="00174DA1">
        <w:rPr>
          <w:lang w:eastAsia="en-AU"/>
        </w:rPr>
        <w:t>s</w:t>
      </w:r>
      <w:r w:rsidR="0053036F" w:rsidRPr="0053036F">
        <w:rPr>
          <w:lang w:eastAsia="en-AU"/>
        </w:rPr>
        <w:t>ponsor’s additional risk minimisation documents (the pack insert, the</w:t>
      </w:r>
      <w:r>
        <w:rPr>
          <w:lang w:eastAsia="en-AU"/>
        </w:rPr>
        <w:t xml:space="preserve"> PAC, and the </w:t>
      </w:r>
      <w:proofErr w:type="spellStart"/>
      <w:r w:rsidR="00D9067B">
        <w:rPr>
          <w:lang w:eastAsia="en-AU"/>
        </w:rPr>
        <w:t>irAR</w:t>
      </w:r>
      <w:proofErr w:type="spellEnd"/>
      <w:r w:rsidR="0053036F" w:rsidRPr="0053036F">
        <w:rPr>
          <w:lang w:eastAsia="en-AU"/>
        </w:rPr>
        <w:t xml:space="preserve"> Management Guide). This will ensure that clinicians are able to easily locate and refer to the full PI</w:t>
      </w:r>
      <w:r>
        <w:rPr>
          <w:lang w:eastAsia="en-AU"/>
        </w:rPr>
        <w:t xml:space="preserve"> as per the clinical e</w:t>
      </w:r>
      <w:r w:rsidR="0053036F" w:rsidRPr="0053036F">
        <w:rPr>
          <w:lang w:eastAsia="en-AU"/>
        </w:rPr>
        <w:t>valuator’s recommendation.</w:t>
      </w:r>
    </w:p>
    <w:p w:rsidR="0053036F" w:rsidRPr="0053036F" w:rsidRDefault="00E0353C" w:rsidP="00E0353C">
      <w:pPr>
        <w:rPr>
          <w:lang w:eastAsia="en-AU"/>
        </w:rPr>
      </w:pPr>
      <w:r w:rsidRPr="004B5B45">
        <w:rPr>
          <w:i/>
          <w:lang w:eastAsia="en-AU"/>
        </w:rPr>
        <w:t>Recommendation 4</w:t>
      </w:r>
      <w:r>
        <w:rPr>
          <w:lang w:eastAsia="en-AU"/>
        </w:rPr>
        <w:t xml:space="preserve">: </w:t>
      </w:r>
      <w:r w:rsidR="004B5B45">
        <w:rPr>
          <w:lang w:eastAsia="en-AU"/>
        </w:rPr>
        <w:t>The s</w:t>
      </w:r>
      <w:r w:rsidR="0053036F" w:rsidRPr="0053036F">
        <w:rPr>
          <w:lang w:eastAsia="en-AU"/>
        </w:rPr>
        <w:t>ponsor should clarify if it still intends to undertake additional pharmacovigilance activity in the form of data analysis, to address the missing information regarding the potential effect of influenza vaccine on the safe</w:t>
      </w:r>
      <w:r w:rsidR="00115ED5">
        <w:rPr>
          <w:lang w:eastAsia="en-AU"/>
        </w:rPr>
        <w:t xml:space="preserve">ty of </w:t>
      </w:r>
      <w:proofErr w:type="spellStart"/>
      <w:r w:rsidR="00115ED5">
        <w:rPr>
          <w:lang w:eastAsia="en-AU"/>
        </w:rPr>
        <w:t>nivolumab</w:t>
      </w:r>
      <w:proofErr w:type="spellEnd"/>
      <w:r w:rsidR="00115ED5">
        <w:rPr>
          <w:lang w:eastAsia="en-AU"/>
        </w:rPr>
        <w:t xml:space="preserve"> (included in EU-</w:t>
      </w:r>
      <w:r w:rsidR="0053036F" w:rsidRPr="0053036F">
        <w:rPr>
          <w:lang w:eastAsia="en-AU"/>
        </w:rPr>
        <w:t>RMP 4.5 and ASA version 6.0 but not EU-RMP 5.6) or if this has been superseded b</w:t>
      </w:r>
      <w:r w:rsidR="005F0812">
        <w:rPr>
          <w:lang w:eastAsia="en-AU"/>
        </w:rPr>
        <w:t>y inclusion of Study CA20999J (a</w:t>
      </w:r>
      <w:r w:rsidR="0053036F" w:rsidRPr="0053036F">
        <w:rPr>
          <w:lang w:eastAsia="en-AU"/>
        </w:rPr>
        <w:t>dded in EU-RMP version 5.6).</w:t>
      </w:r>
    </w:p>
    <w:p w:rsidR="0053036F" w:rsidRPr="0053036F" w:rsidRDefault="004B5B45" w:rsidP="004B5B45">
      <w:pPr>
        <w:rPr>
          <w:lang w:eastAsia="en-AU"/>
        </w:rPr>
      </w:pPr>
      <w:r w:rsidRPr="004B5B45">
        <w:rPr>
          <w:i/>
          <w:lang w:eastAsia="en-AU"/>
        </w:rPr>
        <w:t>Recommendation 5:</w:t>
      </w:r>
      <w:r>
        <w:rPr>
          <w:lang w:eastAsia="en-AU"/>
        </w:rPr>
        <w:t xml:space="preserve"> </w:t>
      </w:r>
      <w:r w:rsidR="0053036F" w:rsidRPr="0053036F">
        <w:rPr>
          <w:lang w:eastAsia="en-AU"/>
        </w:rPr>
        <w:t xml:space="preserve">The </w:t>
      </w:r>
      <w:r>
        <w:rPr>
          <w:lang w:eastAsia="en-AU"/>
        </w:rPr>
        <w:t>s</w:t>
      </w:r>
      <w:r w:rsidR="0053036F" w:rsidRPr="0053036F">
        <w:rPr>
          <w:lang w:eastAsia="en-AU"/>
        </w:rPr>
        <w:t>ponsor should ensure that changes made to EU-RMP version 5.6 and ASA version 7.0 are incorporated</w:t>
      </w:r>
      <w:r w:rsidR="00115ED5">
        <w:rPr>
          <w:lang w:eastAsia="en-AU"/>
        </w:rPr>
        <w:t xml:space="preserve"> into subsequent versions of </w:t>
      </w:r>
      <w:r w:rsidR="0053036F" w:rsidRPr="0053036F">
        <w:rPr>
          <w:lang w:eastAsia="en-AU"/>
        </w:rPr>
        <w:t>RMP/ASA when they are created.</w:t>
      </w:r>
    </w:p>
    <w:p w:rsidR="0053036F" w:rsidRPr="0053036F" w:rsidRDefault="004B5B45" w:rsidP="004B5B45">
      <w:pPr>
        <w:pStyle w:val="Heading4"/>
        <w:rPr>
          <w:lang w:eastAsia="en-AU"/>
        </w:rPr>
      </w:pPr>
      <w:bookmarkStart w:id="96" w:name="_Toc474496752"/>
      <w:r>
        <w:rPr>
          <w:lang w:eastAsia="en-AU"/>
        </w:rPr>
        <w:lastRenderedPageBreak/>
        <w:t>Proposed w</w:t>
      </w:r>
      <w:r w:rsidR="0053036F" w:rsidRPr="0053036F">
        <w:rPr>
          <w:lang w:eastAsia="en-AU"/>
        </w:rPr>
        <w:t>ording for conditions of registration</w:t>
      </w:r>
      <w:bookmarkEnd w:id="96"/>
    </w:p>
    <w:p w:rsidR="0053036F" w:rsidRPr="0053036F" w:rsidRDefault="0053036F" w:rsidP="0053036F">
      <w:pPr>
        <w:rPr>
          <w:lang w:eastAsia="en-AU"/>
        </w:rPr>
      </w:pPr>
      <w:r w:rsidRPr="0053036F">
        <w:rPr>
          <w:lang w:eastAsia="en-AU"/>
        </w:rPr>
        <w:t>Any changes to which the sponsor has agreed should be included in a revised RMP and ASA. However, irrespective of whether or not they are included in the currently available version of the RMP document, the agreed changes become part of the risk management system</w:t>
      </w:r>
      <w:r w:rsidR="004B5B45">
        <w:rPr>
          <w:lang w:eastAsia="en-AU"/>
        </w:rPr>
        <w:t>.</w:t>
      </w:r>
    </w:p>
    <w:p w:rsidR="004B5B45" w:rsidRDefault="0053036F" w:rsidP="0053036F">
      <w:pPr>
        <w:rPr>
          <w:lang w:eastAsia="en-AU"/>
        </w:rPr>
      </w:pPr>
      <w:r w:rsidRPr="0053036F">
        <w:rPr>
          <w:lang w:eastAsia="en-AU"/>
        </w:rPr>
        <w:t>The sugge</w:t>
      </w:r>
      <w:r w:rsidR="004B5B45">
        <w:rPr>
          <w:lang w:eastAsia="en-AU"/>
        </w:rPr>
        <w:t>sted wording is:</w:t>
      </w:r>
    </w:p>
    <w:p w:rsidR="006F25B8" w:rsidRPr="00FC1FCA" w:rsidRDefault="004B5B45" w:rsidP="004B5B45">
      <w:pPr>
        <w:ind w:left="720"/>
        <w:rPr>
          <w:lang w:eastAsia="en-AU"/>
        </w:rPr>
      </w:pPr>
      <w:r>
        <w:rPr>
          <w:lang w:eastAsia="en-AU"/>
        </w:rPr>
        <w:t>‘</w:t>
      </w:r>
      <w:r w:rsidR="0053036F" w:rsidRPr="0053036F">
        <w:rPr>
          <w:i/>
          <w:lang w:eastAsia="en-AU"/>
        </w:rPr>
        <w:t>Implement EU-RMP (version 5.6, dated 9 November 2016, data lock point 26 May 2016) with Australian Specific Annex (version 7.0, dated 21 December 2016), submitted with application PM-2016-00712-1-4, and any future updates as a condition of registration.</w:t>
      </w:r>
      <w:r>
        <w:rPr>
          <w:i/>
          <w:lang w:eastAsia="en-AU"/>
        </w:rPr>
        <w:t>’</w:t>
      </w:r>
    </w:p>
    <w:p w:rsidR="008E7846" w:rsidRPr="00792A32" w:rsidRDefault="008E7846" w:rsidP="008E7846">
      <w:pPr>
        <w:pStyle w:val="Heading2"/>
      </w:pPr>
      <w:bookmarkStart w:id="97" w:name="_Toc314842510"/>
      <w:bookmarkStart w:id="98" w:name="_Toc497992250"/>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7"/>
      <w:bookmarkEnd w:id="95"/>
      <w:bookmarkEnd w:id="97"/>
      <w:bookmarkEnd w:id="98"/>
    </w:p>
    <w:p w:rsidR="008E7846" w:rsidRDefault="008E7846" w:rsidP="008E7846">
      <w:bookmarkStart w:id="99"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00" w:name="_Toc314842511"/>
      <w:bookmarkStart w:id="101" w:name="_Toc497992251"/>
      <w:r>
        <w:t>Quality</w:t>
      </w:r>
      <w:bookmarkEnd w:id="99"/>
      <w:bookmarkEnd w:id="100"/>
      <w:bookmarkEnd w:id="101"/>
    </w:p>
    <w:p w:rsidR="00E45619" w:rsidRDefault="008E7846" w:rsidP="003A7F6C">
      <w:r>
        <w:t>There was no requirement for a quality evaluation in a submission of this type.</w:t>
      </w:r>
    </w:p>
    <w:p w:rsidR="008E7846" w:rsidRDefault="008E7846" w:rsidP="008E7846">
      <w:pPr>
        <w:pStyle w:val="Heading3"/>
      </w:pPr>
      <w:bookmarkStart w:id="102" w:name="_Toc314842512"/>
      <w:bookmarkStart w:id="103" w:name="_Toc497992252"/>
      <w:r>
        <w:t>Nonclinical</w:t>
      </w:r>
      <w:bookmarkEnd w:id="102"/>
      <w:bookmarkEnd w:id="103"/>
    </w:p>
    <w:p w:rsidR="008E7846" w:rsidRDefault="008E7846" w:rsidP="008E7846">
      <w:r>
        <w:t>There was no requirement for a nonclinical evaluation in a submission of this type.</w:t>
      </w:r>
    </w:p>
    <w:p w:rsidR="008E7846" w:rsidRDefault="008E7846" w:rsidP="008E7846">
      <w:pPr>
        <w:pStyle w:val="Heading3"/>
      </w:pPr>
      <w:bookmarkStart w:id="104" w:name="_Toc247691530"/>
      <w:bookmarkStart w:id="105" w:name="_Toc314842513"/>
      <w:bookmarkStart w:id="106" w:name="_Toc497992253"/>
      <w:r>
        <w:t>Clinical</w:t>
      </w:r>
      <w:bookmarkEnd w:id="104"/>
      <w:bookmarkEnd w:id="105"/>
      <w:bookmarkEnd w:id="106"/>
    </w:p>
    <w:p w:rsidR="00565377" w:rsidRPr="00565377" w:rsidRDefault="00565377" w:rsidP="00565377">
      <w:r w:rsidRPr="00565377">
        <w:t xml:space="preserve">The </w:t>
      </w:r>
      <w:r w:rsidR="005F0812">
        <w:t>CER</w:t>
      </w:r>
      <w:r w:rsidRPr="00565377">
        <w:rPr>
          <w:b/>
        </w:rPr>
        <w:t xml:space="preserve"> </w:t>
      </w:r>
      <w:r w:rsidRPr="00565377">
        <w:t>refers to ‘overall response rate’ in some sections, while this overview refers to ‘objective response rate’. The clinical dossier included:</w:t>
      </w:r>
    </w:p>
    <w:p w:rsidR="00565377" w:rsidRPr="00565377" w:rsidRDefault="0028104A" w:rsidP="0028104A">
      <w:pPr>
        <w:pStyle w:val="ListBullet"/>
      </w:pPr>
      <w:r>
        <w:t>I</w:t>
      </w:r>
      <w:r w:rsidR="00565377" w:rsidRPr="00565377">
        <w:t xml:space="preserve">nterim </w:t>
      </w:r>
      <w:r>
        <w:t>CSRs for the Phase II</w:t>
      </w:r>
      <w:r w:rsidR="00565377" w:rsidRPr="00565377">
        <w:t xml:space="preserve"> </w:t>
      </w:r>
      <w:r>
        <w:t>S</w:t>
      </w:r>
      <w:r w:rsidR="00565377" w:rsidRPr="00565377">
        <w:t xml:space="preserve">tudy CA209205 and Phase </w:t>
      </w:r>
      <w:r>
        <w:t>I S</w:t>
      </w:r>
      <w:r w:rsidR="00565377" w:rsidRPr="00565377">
        <w:t>tudy CA209039</w:t>
      </w:r>
    </w:p>
    <w:p w:rsidR="00565377" w:rsidRPr="00565377" w:rsidRDefault="0028104A" w:rsidP="0028104A">
      <w:pPr>
        <w:pStyle w:val="ListBullet"/>
      </w:pPr>
      <w:r>
        <w:t>An Integrated Summary of S</w:t>
      </w:r>
      <w:r w:rsidR="00565377" w:rsidRPr="00565377">
        <w:t xml:space="preserve">afety in which safety data from these studies were compared to </w:t>
      </w:r>
      <w:proofErr w:type="spellStart"/>
      <w:r w:rsidR="00565377" w:rsidRPr="00565377">
        <w:t>nivolumab</w:t>
      </w:r>
      <w:proofErr w:type="spellEnd"/>
      <w:r w:rsidR="00565377" w:rsidRPr="00565377">
        <w:t xml:space="preserve"> safety data from solid organ tumours (</w:t>
      </w:r>
      <w:r w:rsidR="00487EC6">
        <w:t>RCC</w:t>
      </w:r>
      <w:r w:rsidR="00565377" w:rsidRPr="00565377">
        <w:t>, melanoma,</w:t>
      </w:r>
      <w:r w:rsidR="006A3F1C">
        <w:t xml:space="preserve"> NSCLC</w:t>
      </w:r>
      <w:r w:rsidR="00565377" w:rsidRPr="00565377">
        <w:t>)</w:t>
      </w:r>
    </w:p>
    <w:p w:rsidR="00565377" w:rsidRPr="00C02DEA" w:rsidRDefault="00565377" w:rsidP="00565377">
      <w:pPr>
        <w:pStyle w:val="ListBullet"/>
      </w:pPr>
      <w:r w:rsidRPr="00565377">
        <w:t xml:space="preserve">PPK and </w:t>
      </w:r>
      <w:r w:rsidR="005F0812">
        <w:t>exposure-response</w:t>
      </w:r>
      <w:r w:rsidRPr="00565377">
        <w:t xml:space="preserve"> analyses of </w:t>
      </w:r>
      <w:proofErr w:type="spellStart"/>
      <w:r w:rsidRPr="00565377">
        <w:t>nivolumab</w:t>
      </w:r>
      <w:proofErr w:type="spellEnd"/>
      <w:r w:rsidRPr="00565377">
        <w:t xml:space="preserve"> in treatment of CHL patients</w:t>
      </w:r>
      <w:r w:rsidR="00C02DEA">
        <w:rPr>
          <w:i/>
        </w:rPr>
        <w:t>.</w:t>
      </w:r>
    </w:p>
    <w:p w:rsidR="00565377" w:rsidRPr="00C02DEA" w:rsidRDefault="00565377" w:rsidP="00565377">
      <w:r w:rsidRPr="00565377">
        <w:t xml:space="preserve">The </w:t>
      </w:r>
      <w:r w:rsidRPr="005F0812">
        <w:t>CER</w:t>
      </w:r>
      <w:r w:rsidRPr="00565377">
        <w:t xml:space="preserve"> provided a detailed examination of the available data and discussion of issues</w:t>
      </w:r>
      <w:r w:rsidR="005F0812">
        <w:t xml:space="preserve"> and is available in Attachment 2</w:t>
      </w:r>
      <w:r w:rsidRPr="00565377">
        <w:t>. Following is a summary of the findings of the clinical evaluator and unresolved issues.</w:t>
      </w:r>
    </w:p>
    <w:p w:rsidR="00565377" w:rsidRPr="00565377" w:rsidRDefault="00565377" w:rsidP="0079782E">
      <w:pPr>
        <w:pStyle w:val="Heading4"/>
      </w:pPr>
      <w:r w:rsidRPr="00565377">
        <w:t>Pharmacology</w:t>
      </w:r>
    </w:p>
    <w:p w:rsidR="00565377" w:rsidRPr="00565377" w:rsidRDefault="00565377" w:rsidP="0079782E">
      <w:pPr>
        <w:pStyle w:val="Heading5"/>
      </w:pPr>
      <w:r w:rsidRPr="00565377">
        <w:t>Pharmacokinetics</w:t>
      </w:r>
    </w:p>
    <w:p w:rsidR="0079782E" w:rsidRDefault="00565377" w:rsidP="00565377">
      <w:r w:rsidRPr="00565377">
        <w:t xml:space="preserve">Serum </w:t>
      </w:r>
      <w:proofErr w:type="spellStart"/>
      <w:r w:rsidRPr="00565377">
        <w:t>nivolumab</w:t>
      </w:r>
      <w:proofErr w:type="spellEnd"/>
      <w:r w:rsidRPr="00565377">
        <w:t xml:space="preserve"> measurements using a sparse sampling model were obtained for both </w:t>
      </w:r>
      <w:r w:rsidR="0079782E">
        <w:t xml:space="preserve">Studies </w:t>
      </w:r>
      <w:r w:rsidRPr="00565377">
        <w:t>CA209205 and CA209039.</w:t>
      </w:r>
    </w:p>
    <w:p w:rsidR="00565377" w:rsidRPr="00565377" w:rsidRDefault="00565377" w:rsidP="00565377">
      <w:r w:rsidRPr="00565377">
        <w:t xml:space="preserve">Results were combined with data from other studies to develop the </w:t>
      </w:r>
      <w:r w:rsidR="0079782E">
        <w:t>PPK</w:t>
      </w:r>
      <w:r w:rsidRPr="00565377">
        <w:t xml:space="preserve"> model and </w:t>
      </w:r>
      <w:r w:rsidR="005F0812">
        <w:t>exposure-response</w:t>
      </w:r>
      <w:r w:rsidRPr="00565377">
        <w:t xml:space="preserve"> analyses.</w:t>
      </w:r>
    </w:p>
    <w:p w:rsidR="00565377" w:rsidRPr="0079782E" w:rsidRDefault="00565377" w:rsidP="00565377">
      <w:r w:rsidRPr="00565377">
        <w:t xml:space="preserve">The dose proposed for </w:t>
      </w:r>
      <w:proofErr w:type="spellStart"/>
      <w:r w:rsidRPr="00565377">
        <w:t>nivolumab</w:t>
      </w:r>
      <w:proofErr w:type="spellEnd"/>
      <w:r w:rsidRPr="00565377">
        <w:t xml:space="preserve"> monotherapy is 3 mg/kg administered intravenously over 60 minutes every 2 weeks, as for other tumour types</w:t>
      </w:r>
      <w:r w:rsidRPr="00565377">
        <w:rPr>
          <w:i/>
        </w:rPr>
        <w:t xml:space="preserve">. </w:t>
      </w:r>
      <w:r w:rsidRPr="00565377">
        <w:t xml:space="preserve">Pharmacokinetics has been </w:t>
      </w:r>
      <w:r w:rsidRPr="00565377">
        <w:lastRenderedPageBreak/>
        <w:t>documented in patients with different types of solid tumours including NSCLC, melanoma, RCC</w:t>
      </w:r>
      <w:r w:rsidR="0079782E">
        <w:t xml:space="preserve"> (s</w:t>
      </w:r>
      <w:r w:rsidRPr="00565377">
        <w:t>ee PK section of current PI</w:t>
      </w:r>
      <w:r w:rsidR="0079782E">
        <w:t>)</w:t>
      </w:r>
      <w:r w:rsidRPr="00565377">
        <w:t>.</w:t>
      </w:r>
    </w:p>
    <w:p w:rsidR="00565377" w:rsidRPr="00565377" w:rsidRDefault="00565377" w:rsidP="00565377">
      <w:r w:rsidRPr="00565377">
        <w:t>The evaluator noted steady stat</w:t>
      </w:r>
      <w:r w:rsidR="0079782E">
        <w:t xml:space="preserve">e was not reached in </w:t>
      </w:r>
      <w:proofErr w:type="spellStart"/>
      <w:r w:rsidR="0079782E">
        <w:t>cHL</w:t>
      </w:r>
      <w:proofErr w:type="spellEnd"/>
      <w:r w:rsidR="0079782E">
        <w:t xml:space="preserve"> until Week 20 (compared with W</w:t>
      </w:r>
      <w:r w:rsidRPr="00565377">
        <w:t xml:space="preserve">eek 12 in solid tumours) but inter-individual variability as estimated </w:t>
      </w:r>
      <w:r w:rsidR="0079782E">
        <w:t xml:space="preserve">by </w:t>
      </w:r>
      <w:r w:rsidR="00AC7FA3">
        <w:t>the coefficient of variation</w:t>
      </w:r>
      <w:r w:rsidR="0079782E">
        <w:t xml:space="preserve"> of geometric means for </w:t>
      </w:r>
      <w:r w:rsidR="00B8123D">
        <w:t xml:space="preserve">the </w:t>
      </w:r>
      <w:r w:rsidR="00A01BC4">
        <w:t>maximum serum concentration</w:t>
      </w:r>
      <w:r w:rsidR="0079782E">
        <w:t xml:space="preserve"> and </w:t>
      </w:r>
      <w:r w:rsidR="00B8123D">
        <w:t xml:space="preserve">area under the concentration-time curve from 0 to 336 hours </w:t>
      </w:r>
      <w:r w:rsidRPr="00565377">
        <w:t>was &lt; 30% and consistent with that seen in solid tumours.</w:t>
      </w:r>
    </w:p>
    <w:p w:rsidR="00565377" w:rsidRPr="00565377" w:rsidRDefault="0079782E" w:rsidP="0079782E">
      <w:pPr>
        <w:pStyle w:val="Heading6"/>
      </w:pPr>
      <w:r>
        <w:t>P</w:t>
      </w:r>
      <w:r w:rsidR="00565377" w:rsidRPr="00565377">
        <w:t>PK analyses</w:t>
      </w:r>
    </w:p>
    <w:p w:rsidR="00565377" w:rsidRDefault="00565377" w:rsidP="00565377">
      <w:r w:rsidRPr="00565377">
        <w:t xml:space="preserve">Updated PPK modelling using a model in which CL decreased with time was provided with the </w:t>
      </w:r>
      <w:r w:rsidR="0079782E">
        <w:t>sponsor’s response to TGA questions</w:t>
      </w:r>
      <w:r w:rsidRPr="00565377">
        <w:t xml:space="preserve"> response as shown </w:t>
      </w:r>
      <w:r w:rsidR="0079782E">
        <w:t xml:space="preserve">in </w:t>
      </w:r>
      <w:r w:rsidR="00B8123D" w:rsidRPr="00B8123D">
        <w:t>Figure 4</w:t>
      </w:r>
      <w:r w:rsidR="0079782E">
        <w:t xml:space="preserve"> </w:t>
      </w:r>
      <w:r w:rsidRPr="00565377">
        <w:t xml:space="preserve">below. It suggests that in patients with </w:t>
      </w:r>
      <w:proofErr w:type="spellStart"/>
      <w:r w:rsidRPr="00565377">
        <w:t>cHL</w:t>
      </w:r>
      <w:proofErr w:type="spellEnd"/>
      <w:r w:rsidRPr="00565377">
        <w:t xml:space="preserve"> </w:t>
      </w:r>
      <w:proofErr w:type="spellStart"/>
      <w:r w:rsidRPr="00565377">
        <w:t>nivolumab</w:t>
      </w:r>
      <w:proofErr w:type="spellEnd"/>
      <w:r w:rsidRPr="00565377">
        <w:t xml:space="preserve"> clearance was approximately 26% reduced compared to patients with NSCLC2L and other solid tumours</w:t>
      </w:r>
      <w:r w:rsidR="0079782E">
        <w:t>, with 39% greater exposure.</w:t>
      </w:r>
    </w:p>
    <w:p w:rsidR="00D510EE" w:rsidRPr="00565377" w:rsidRDefault="00B8123D" w:rsidP="00D510EE">
      <w:pPr>
        <w:pStyle w:val="FigureTitle"/>
      </w:pPr>
      <w:proofErr w:type="gramStart"/>
      <w:r>
        <w:t>Figure 4</w:t>
      </w:r>
      <w:r w:rsidR="00D510EE">
        <w:t>.</w:t>
      </w:r>
      <w:proofErr w:type="gramEnd"/>
      <w:r w:rsidR="00D510EE">
        <w:t xml:space="preserve"> Covariate effects on PK model parameters (full PPK model)</w:t>
      </w:r>
    </w:p>
    <w:p w:rsidR="0079782E" w:rsidRDefault="00620157" w:rsidP="0079782E">
      <w:r>
        <w:rPr>
          <w:noProof/>
          <w:lang w:eastAsia="en-AU"/>
        </w:rPr>
        <w:drawing>
          <wp:inline distT="0" distB="0" distL="0" distR="0">
            <wp:extent cx="3498215" cy="4061460"/>
            <wp:effectExtent l="0" t="0" r="6985" b="0"/>
            <wp:docPr id="8" name="Picture 8" descr="Figure 4 is a plat graph showing the covariate effects on PK model parameters (full PPK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title="Figure 4. Covariate effects on PK model parameters (full PPK model)&#10;"/>
                    <pic:cNvPicPr>
                      <a:picLocks noChangeAspect="1" noChangeArrowheads="1"/>
                    </pic:cNvPicPr>
                  </pic:nvPicPr>
                  <pic:blipFill rotWithShape="1">
                    <a:blip r:embed="rId21">
                      <a:lum bright="-20000" contrast="40000"/>
                      <a:extLst>
                        <a:ext uri="{28A0092B-C50C-407E-A947-70E740481C1C}">
                          <a14:useLocalDpi xmlns:a14="http://schemas.microsoft.com/office/drawing/2010/main" val="0"/>
                        </a:ext>
                      </a:extLst>
                    </a:blip>
                    <a:srcRect l="2857" t="9548" r="7136" b="1566"/>
                    <a:stretch/>
                  </pic:blipFill>
                  <pic:spPr bwMode="auto">
                    <a:xfrm>
                      <a:off x="0" y="0"/>
                      <a:ext cx="3498215" cy="4061460"/>
                    </a:xfrm>
                    <a:prstGeom prst="rect">
                      <a:avLst/>
                    </a:prstGeom>
                    <a:noFill/>
                    <a:ln>
                      <a:noFill/>
                    </a:ln>
                    <a:extLst>
                      <a:ext uri="{53640926-AAD7-44D8-BBD7-CCE9431645EC}">
                        <a14:shadowObscured xmlns:a14="http://schemas.microsoft.com/office/drawing/2010/main"/>
                      </a:ext>
                    </a:extLst>
                  </pic:spPr>
                </pic:pic>
              </a:graphicData>
            </a:graphic>
          </wp:inline>
        </w:drawing>
      </w:r>
    </w:p>
    <w:p w:rsidR="0079782E" w:rsidRPr="0079782E" w:rsidRDefault="0079782E" w:rsidP="00B8123D">
      <w:pPr>
        <w:pStyle w:val="FigureDescription"/>
      </w:pPr>
      <w:r w:rsidRPr="0079782E">
        <w:t>CL = clearance, VC = volume of central compartment.</w:t>
      </w:r>
    </w:p>
    <w:p w:rsidR="0079782E" w:rsidRPr="0079782E" w:rsidRDefault="00D510EE" w:rsidP="00D510EE">
      <w:pPr>
        <w:pStyle w:val="Heading5"/>
      </w:pPr>
      <w:proofErr w:type="spellStart"/>
      <w:r>
        <w:t>Pharmacodynamic</w:t>
      </w:r>
      <w:proofErr w:type="spellEnd"/>
      <w:r>
        <w:t xml:space="preserve"> data</w:t>
      </w:r>
    </w:p>
    <w:p w:rsidR="00D510EE" w:rsidRDefault="00D510EE" w:rsidP="0079782E">
      <w:r>
        <w:t>Studies</w:t>
      </w:r>
      <w:r w:rsidR="0079782E" w:rsidRPr="0079782E">
        <w:t xml:space="preserve"> CA209039 and CA209205 </w:t>
      </w:r>
      <w:r w:rsidR="001A0C1F">
        <w:t xml:space="preserve">both </w:t>
      </w:r>
      <w:r w:rsidR="0079782E" w:rsidRPr="0079782E">
        <w:t xml:space="preserve">provided </w:t>
      </w:r>
      <w:proofErr w:type="spellStart"/>
      <w:r w:rsidR="0079782E" w:rsidRPr="0079782E">
        <w:t>pharmacodynamic</w:t>
      </w:r>
      <w:proofErr w:type="spellEnd"/>
      <w:r w:rsidR="0079782E" w:rsidRPr="0079782E">
        <w:t xml:space="preserve"> data on PD-L1 expression on </w:t>
      </w:r>
      <w:r>
        <w:t>R-S</w:t>
      </w:r>
      <w:r w:rsidR="0079782E" w:rsidRPr="0079782E">
        <w:t xml:space="preserve"> cells and 9p24.1 chromosomal abnormality f</w:t>
      </w:r>
      <w:r>
        <w:t>rom a small number of patients.</w:t>
      </w:r>
    </w:p>
    <w:p w:rsidR="0079782E" w:rsidRPr="00D510EE" w:rsidRDefault="0079782E" w:rsidP="0079782E">
      <w:r w:rsidRPr="0079782E">
        <w:t>Immunogenicity was also examined by the evaluator under pharmacodynamics</w:t>
      </w:r>
      <w:r w:rsidR="00B8123D">
        <w:t>.</w:t>
      </w:r>
    </w:p>
    <w:p w:rsidR="0079782E" w:rsidRPr="0079782E" w:rsidRDefault="0079782E" w:rsidP="00D510EE">
      <w:pPr>
        <w:pStyle w:val="Heading5"/>
      </w:pPr>
      <w:r w:rsidRPr="0079782E">
        <w:t>E</w:t>
      </w:r>
      <w:r w:rsidR="00A63E6C">
        <w:t>xposure</w:t>
      </w:r>
      <w:r w:rsidRPr="0079782E">
        <w:t>-response analyses</w:t>
      </w:r>
    </w:p>
    <w:p w:rsidR="0079782E" w:rsidRPr="0079782E" w:rsidRDefault="0079782E" w:rsidP="0079782E">
      <w:r w:rsidRPr="0079782E">
        <w:t xml:space="preserve">There was minimal difference (3%) in predicted OR for a subject with </w:t>
      </w:r>
      <w:proofErr w:type="spellStart"/>
      <w:r w:rsidRPr="0079782E">
        <w:t>C</w:t>
      </w:r>
      <w:r w:rsidRPr="008D5844">
        <w:rPr>
          <w:vertAlign w:val="subscript"/>
        </w:rPr>
        <w:t>avg</w:t>
      </w:r>
      <w:r w:rsidR="008D5844" w:rsidRPr="008D5844">
        <w:rPr>
          <w:vertAlign w:val="subscript"/>
        </w:rPr>
        <w:t>,</w:t>
      </w:r>
      <w:r w:rsidRPr="008D5844">
        <w:rPr>
          <w:vertAlign w:val="subscript"/>
        </w:rPr>
        <w:t>ss</w:t>
      </w:r>
      <w:proofErr w:type="spellEnd"/>
      <w:r w:rsidR="008D5844">
        <w:t xml:space="preserve"> </w:t>
      </w:r>
      <w:r w:rsidR="003B1D57">
        <w:t>at the ninet</w:t>
      </w:r>
      <w:r w:rsidR="00F81E77">
        <w:t>y</w:t>
      </w:r>
      <w:r w:rsidR="00F81E77">
        <w:noBreakHyphen/>
      </w:r>
      <w:r w:rsidR="003B1D57">
        <w:t>fifth</w:t>
      </w:r>
      <w:r w:rsidRPr="0079782E">
        <w:t xml:space="preserve"> percentile (161.9 µg/mL) compared to a subject at the median </w:t>
      </w:r>
      <w:proofErr w:type="spellStart"/>
      <w:r w:rsidRPr="0079782E">
        <w:t>C</w:t>
      </w:r>
      <w:r w:rsidRPr="008D5844">
        <w:rPr>
          <w:vertAlign w:val="subscript"/>
        </w:rPr>
        <w:t>avg</w:t>
      </w:r>
      <w:r w:rsidR="008D5844">
        <w:rPr>
          <w:vertAlign w:val="subscript"/>
        </w:rPr>
        <w:t>,</w:t>
      </w:r>
      <w:r w:rsidRPr="008D5844">
        <w:rPr>
          <w:vertAlign w:val="subscript"/>
        </w:rPr>
        <w:t>ss</w:t>
      </w:r>
      <w:proofErr w:type="spellEnd"/>
      <w:r w:rsidRPr="0079782E">
        <w:t xml:space="preserve"> suggesting a flat range for OR in the exposure-response curve at higher concentrations. </w:t>
      </w:r>
      <w:r w:rsidRPr="0079782E">
        <w:lastRenderedPageBreak/>
        <w:t xml:space="preserve">Exposure, as measured by </w:t>
      </w:r>
      <w:proofErr w:type="spellStart"/>
      <w:r w:rsidRPr="0079782E">
        <w:t>C</w:t>
      </w:r>
      <w:r w:rsidRPr="008D5844">
        <w:rPr>
          <w:vertAlign w:val="subscript"/>
        </w:rPr>
        <w:t>avg</w:t>
      </w:r>
      <w:proofErr w:type="gramStart"/>
      <w:r w:rsidR="008D5844">
        <w:rPr>
          <w:vertAlign w:val="subscript"/>
        </w:rPr>
        <w:t>,</w:t>
      </w:r>
      <w:r w:rsidRPr="008D5844">
        <w:rPr>
          <w:vertAlign w:val="subscript"/>
        </w:rPr>
        <w:t>ss</w:t>
      </w:r>
      <w:proofErr w:type="spellEnd"/>
      <w:proofErr w:type="gramEnd"/>
      <w:r w:rsidRPr="0079782E">
        <w:t>, was not assessed as a signi</w:t>
      </w:r>
      <w:r w:rsidR="008D5844">
        <w:t>ficant predictor of Grade 3+ DR</w:t>
      </w:r>
      <w:r w:rsidRPr="0079782E">
        <w:t>AEs; the hazard ratio coefficient was 0.7949 (95% CI 0.2219, 2.847).</w:t>
      </w:r>
    </w:p>
    <w:p w:rsidR="0079782E" w:rsidRPr="0079782E" w:rsidRDefault="0079782E" w:rsidP="0079782E">
      <w:r w:rsidRPr="0079782E">
        <w:t xml:space="preserve">The increased </w:t>
      </w:r>
      <w:proofErr w:type="spellStart"/>
      <w:r w:rsidRPr="0079782E">
        <w:t>nivolumab</w:t>
      </w:r>
      <w:proofErr w:type="spellEnd"/>
      <w:r w:rsidRPr="0079782E">
        <w:t xml:space="preserve"> exposure in </w:t>
      </w:r>
      <w:proofErr w:type="spellStart"/>
      <w:r w:rsidRPr="0079782E">
        <w:t>cHL</w:t>
      </w:r>
      <w:proofErr w:type="spellEnd"/>
      <w:r w:rsidRPr="0079782E">
        <w:t xml:space="preserve"> patients relative to solid tumour patients was considered by the sponsor unlikely to be clinically relevant in the </w:t>
      </w:r>
      <w:proofErr w:type="spellStart"/>
      <w:r w:rsidRPr="0079782E">
        <w:t>cHL</w:t>
      </w:r>
      <w:proofErr w:type="spellEnd"/>
      <w:r w:rsidRPr="0079782E">
        <w:t xml:space="preserve"> population. However the evaluator noted that reliability of exposure-response modelling for </w:t>
      </w:r>
      <w:proofErr w:type="spellStart"/>
      <w:r w:rsidRPr="0079782E">
        <w:t>cHL</w:t>
      </w:r>
      <w:proofErr w:type="spellEnd"/>
      <w:r w:rsidRPr="0079782E">
        <w:t xml:space="preserve"> treatment was limited by brief duration of dosing for some subjects and the same dosing regimen across subjects.</w:t>
      </w:r>
    </w:p>
    <w:p w:rsidR="002E66DF" w:rsidRPr="002E66DF" w:rsidRDefault="00B8123D" w:rsidP="002E66DF">
      <w:pPr>
        <w:pStyle w:val="Heading6"/>
      </w:pPr>
      <w:r w:rsidRPr="002E66DF">
        <w:t>Unresolved i</w:t>
      </w:r>
      <w:r w:rsidR="0079782E" w:rsidRPr="002E66DF">
        <w:t>ssue i</w:t>
      </w:r>
      <w:r w:rsidRPr="002E66DF">
        <w:t>d</w:t>
      </w:r>
      <w:r w:rsidR="002E66DF" w:rsidRPr="002E66DF">
        <w:t>entified by clinical evaluator</w:t>
      </w:r>
    </w:p>
    <w:p w:rsidR="0079782E" w:rsidRPr="0079782E" w:rsidRDefault="0079782E" w:rsidP="00F73269">
      <w:r w:rsidRPr="002E66DF">
        <w:t>The clinical evaluator considered that a potential clinically meaningful effect of increased exposure cannot be excluded.</w:t>
      </w:r>
    </w:p>
    <w:p w:rsidR="00A63E6C" w:rsidRPr="00A63E6C" w:rsidRDefault="00A63E6C" w:rsidP="00A63E6C">
      <w:pPr>
        <w:pStyle w:val="Heading4"/>
      </w:pPr>
      <w:r w:rsidRPr="00A63E6C">
        <w:t>Efficacy</w:t>
      </w:r>
    </w:p>
    <w:p w:rsidR="00A63E6C" w:rsidRPr="00A63E6C" w:rsidRDefault="00A63E6C" w:rsidP="00A63E6C">
      <w:r w:rsidRPr="00A63E6C">
        <w:t xml:space="preserve">Efficacy in </w:t>
      </w:r>
      <w:proofErr w:type="spellStart"/>
      <w:r w:rsidRPr="00A63E6C">
        <w:t>cHL</w:t>
      </w:r>
      <w:proofErr w:type="spellEnd"/>
      <w:r w:rsidRPr="00A63E6C">
        <w:t xml:space="preserve"> is claimed based o</w:t>
      </w:r>
      <w:r w:rsidR="00F81E77">
        <w:t>n the results described in the i</w:t>
      </w:r>
      <w:r w:rsidRPr="00A63E6C">
        <w:t xml:space="preserve">nterim </w:t>
      </w:r>
      <w:r>
        <w:t>CSRs</w:t>
      </w:r>
      <w:r w:rsidRPr="00A63E6C">
        <w:t xml:space="preserve"> for P</w:t>
      </w:r>
      <w:r>
        <w:t>hase II S</w:t>
      </w:r>
      <w:r w:rsidRPr="00A63E6C">
        <w:t>tudy CA209205 and for P</w:t>
      </w:r>
      <w:r>
        <w:t>hase I S</w:t>
      </w:r>
      <w:r w:rsidRPr="00A63E6C">
        <w:t>tudy CA209039, in a total of 103 patients.</w:t>
      </w:r>
    </w:p>
    <w:p w:rsidR="00A63E6C" w:rsidRPr="00A63E6C" w:rsidRDefault="00A63E6C" w:rsidP="00B8123D">
      <w:pPr>
        <w:pStyle w:val="Heading5"/>
      </w:pPr>
      <w:r w:rsidRPr="00A63E6C">
        <w:t>Study CA209205</w:t>
      </w:r>
    </w:p>
    <w:p w:rsidR="00A63E6C" w:rsidRPr="00A63E6C" w:rsidRDefault="00A63E6C" w:rsidP="00A63E6C">
      <w:pPr>
        <w:pStyle w:val="Heading6"/>
      </w:pPr>
      <w:r w:rsidRPr="00A63E6C">
        <w:t>Design and methodology</w:t>
      </w:r>
    </w:p>
    <w:p w:rsidR="00A63E6C" w:rsidRPr="00A63E6C" w:rsidRDefault="00A63E6C" w:rsidP="00A63E6C">
      <w:r w:rsidRPr="00A63E6C">
        <w:t>This P</w:t>
      </w:r>
      <w:r>
        <w:t>hase II</w:t>
      </w:r>
      <w:r w:rsidRPr="00A63E6C">
        <w:t xml:space="preserve"> single arm open label study included patients &gt; 18 years, ECOG performance status ≤</w:t>
      </w:r>
      <w:r>
        <w:t xml:space="preserve"> </w:t>
      </w:r>
      <w:r w:rsidRPr="00A63E6C">
        <w:t xml:space="preserve">1 with relapsed/refractory </w:t>
      </w:r>
      <w:proofErr w:type="spellStart"/>
      <w:r w:rsidRPr="00A63E6C">
        <w:t>cHL</w:t>
      </w:r>
      <w:proofErr w:type="spellEnd"/>
      <w:r w:rsidRPr="00A63E6C">
        <w:t xml:space="preserve"> and measurable disease, who had failed ASCT. Biopsy confirmation of </w:t>
      </w:r>
      <w:proofErr w:type="spellStart"/>
      <w:r w:rsidRPr="00A63E6C">
        <w:t>cHL</w:t>
      </w:r>
      <w:proofErr w:type="spellEnd"/>
      <w:r w:rsidRPr="00A63E6C">
        <w:t xml:space="preserve"> prior to initiation of study drug was required. Patients with prior allogeneic SCT</w:t>
      </w:r>
      <w:r w:rsidR="00F81E77">
        <w:t xml:space="preserve"> or CNS lymphoma were excluded (see Attachment 2 for full study design and inclusion/exclusion criteria).</w:t>
      </w:r>
    </w:p>
    <w:p w:rsidR="00A63E6C" w:rsidRPr="00A63E6C" w:rsidRDefault="00A63E6C" w:rsidP="00A63E6C">
      <w:r w:rsidRPr="00A63E6C">
        <w:t xml:space="preserve">Cohort B included 80 patients who had received </w:t>
      </w:r>
      <w:proofErr w:type="spellStart"/>
      <w:r w:rsidRPr="00A63E6C">
        <w:t>brentuximab</w:t>
      </w:r>
      <w:proofErr w:type="spellEnd"/>
      <w:r w:rsidRPr="00A63E6C">
        <w:t xml:space="preserve"> </w:t>
      </w:r>
      <w:proofErr w:type="spellStart"/>
      <w:r w:rsidRPr="00A63E6C">
        <w:t>vedotin</w:t>
      </w:r>
      <w:proofErr w:type="spellEnd"/>
      <w:r w:rsidRPr="00A63E6C">
        <w:t xml:space="preserve"> treatment as salvage following failure of ASCT. This was the only cohort with efficacy results.</w:t>
      </w:r>
    </w:p>
    <w:p w:rsidR="00A63E6C" w:rsidRPr="00A63E6C" w:rsidRDefault="00A63E6C" w:rsidP="00A63E6C">
      <w:r w:rsidRPr="00A63E6C">
        <w:t xml:space="preserve">The primary outcome measure was </w:t>
      </w:r>
      <w:r>
        <w:t>ORR</w:t>
      </w:r>
      <w:r w:rsidRPr="00A63E6C">
        <w:t xml:space="preserve"> according to IRRC, using 2007 IWG criteria; defined as proportion of subjects achieving the </w:t>
      </w:r>
      <w:r>
        <w:t>BOR of either PR</w:t>
      </w:r>
      <w:r w:rsidR="00DE6683">
        <w:t xml:space="preserve"> or CR</w:t>
      </w:r>
      <w:r w:rsidRPr="00A63E6C">
        <w:t>. The BOR was defined as the best response designation recorded between the date of first dose and the date of initial objectively documented progression per the 2007 IWG criteria or the date of subsequent anti-cancer therapy, whichever occurred first. Each patient had regularly scheduled scans (CT/MRI and PET) for tumour response assessment</w:t>
      </w:r>
      <w:r>
        <w:t>, at Weeks</w:t>
      </w:r>
      <w:r w:rsidRPr="00A63E6C">
        <w:t xml:space="preserve"> 9, 17, 25, 37 and 49 (CT), and 17, 25 (PET), with additional PET for confirm CR. BOR was allocated to the highest category observed for any time-point response for each patient. Minimum duration of follow-up was 6 months for the interim analyses initially presented in the submission, with </w:t>
      </w:r>
      <w:r>
        <w:t>DBL</w:t>
      </w:r>
      <w:r w:rsidRPr="00A63E6C">
        <w:t xml:space="preserve"> </w:t>
      </w:r>
      <w:r>
        <w:t xml:space="preserve">20 August </w:t>
      </w:r>
      <w:r w:rsidRPr="00A63E6C">
        <w:t>2015. This was changed from 12 months with a late protocol amendment.</w:t>
      </w:r>
    </w:p>
    <w:p w:rsidR="00A63E6C" w:rsidRPr="00A63E6C" w:rsidRDefault="00A63E6C" w:rsidP="00A63E6C">
      <w:r w:rsidRPr="00A63E6C">
        <w:t xml:space="preserve">Secondary outcome measures included </w:t>
      </w:r>
      <w:r>
        <w:t>DOR</w:t>
      </w:r>
      <w:r w:rsidRPr="00A63E6C">
        <w:t xml:space="preserve">, </w:t>
      </w:r>
      <w:r>
        <w:t>CR</w:t>
      </w:r>
      <w:r w:rsidRPr="00A63E6C">
        <w:t xml:space="preserve">, </w:t>
      </w:r>
      <w:r>
        <w:t>PR</w:t>
      </w:r>
      <w:r w:rsidRPr="00A63E6C">
        <w:t xml:space="preserve"> rates, and health-related </w:t>
      </w:r>
      <w:proofErr w:type="spellStart"/>
      <w:r>
        <w:t>QoL</w:t>
      </w:r>
      <w:proofErr w:type="spellEnd"/>
      <w:r w:rsidRPr="00A63E6C">
        <w:t xml:space="preserve"> as assessed by </w:t>
      </w:r>
      <w:r>
        <w:t>EORTC-</w:t>
      </w:r>
      <w:r w:rsidRPr="00A63E6C">
        <w:t>Q</w:t>
      </w:r>
      <w:r w:rsidR="00F81E77">
        <w:t>LQ-C30 questionnaire v</w:t>
      </w:r>
      <w:r>
        <w:t>ersion 3.</w:t>
      </w:r>
    </w:p>
    <w:p w:rsidR="00A63E6C" w:rsidRPr="00A63E6C" w:rsidRDefault="009D4830" w:rsidP="00A63E6C">
      <w:r>
        <w:t>Exploratory end</w:t>
      </w:r>
      <w:r w:rsidR="00A63E6C" w:rsidRPr="00A63E6C">
        <w:t>points included PFS per IRRC, and OS.</w:t>
      </w:r>
    </w:p>
    <w:p w:rsidR="00A63E6C" w:rsidRPr="00A63E6C" w:rsidRDefault="00A63E6C" w:rsidP="00A63E6C">
      <w:pPr>
        <w:pStyle w:val="Heading6"/>
      </w:pPr>
      <w:r w:rsidRPr="00A63E6C">
        <w:t>Patient group</w:t>
      </w:r>
    </w:p>
    <w:p w:rsidR="00A63E6C" w:rsidRPr="00A97870" w:rsidRDefault="00A63E6C" w:rsidP="00A63E6C">
      <w:r w:rsidRPr="00A63E6C">
        <w:t xml:space="preserve">Median </w:t>
      </w:r>
      <w:r>
        <w:t>age in C</w:t>
      </w:r>
      <w:r w:rsidRPr="00A63E6C">
        <w:t xml:space="preserve">ohort B was 37 years; 89% were </w:t>
      </w:r>
      <w:r w:rsidR="00C412F6">
        <w:t>White</w:t>
      </w:r>
      <w:r>
        <w:t>, 64% male, 67.5% S</w:t>
      </w:r>
      <w:r w:rsidRPr="00A63E6C">
        <w:t>tage IV disease at study entry, 92.5% with lesion</w:t>
      </w:r>
      <w:r w:rsidR="009D4830">
        <w:t>s in lymph nodes, 27.5% in lung</w:t>
      </w:r>
      <w:r w:rsidRPr="00A63E6C">
        <w:t xml:space="preserve">; 45% </w:t>
      </w:r>
      <w:proofErr w:type="spellStart"/>
      <w:r w:rsidRPr="00A63E6C">
        <w:t>extralymphatic</w:t>
      </w:r>
      <w:proofErr w:type="spellEnd"/>
      <w:r w:rsidRPr="00A63E6C">
        <w:t xml:space="preserve"> involvement, bone marrow involvement 10</w:t>
      </w:r>
      <w:r w:rsidR="00F81E77">
        <w:t xml:space="preserve">%, and 22.5% had B </w:t>
      </w:r>
      <w:r w:rsidR="00A97870">
        <w:t>symptoms at B</w:t>
      </w:r>
      <w:r w:rsidRPr="00A63E6C">
        <w:t>aseline.</w:t>
      </w:r>
      <w:r w:rsidR="00A97870">
        <w:t xml:space="preserve"> </w:t>
      </w:r>
      <w:r w:rsidRPr="00A63E6C">
        <w:t>The median number of doses administe</w:t>
      </w:r>
      <w:r w:rsidR="00A97870">
        <w:t xml:space="preserve">red in Cohort B was 17 (range 3 to </w:t>
      </w:r>
      <w:r w:rsidRPr="00A63E6C">
        <w:t>25); 76% received &gt;</w:t>
      </w:r>
      <w:r w:rsidR="00F81E77">
        <w:t> </w:t>
      </w:r>
      <w:r w:rsidRPr="00A63E6C">
        <w:t xml:space="preserve">90% of planned dose intensity. </w:t>
      </w:r>
      <w:r w:rsidRPr="00DE6683">
        <w:t xml:space="preserve">See </w:t>
      </w:r>
      <w:r w:rsidR="00DE6683" w:rsidRPr="00DE6683">
        <w:t>Attachment 2 for</w:t>
      </w:r>
      <w:r w:rsidRPr="00DE6683">
        <w:t xml:space="preserve"> discontinuations at initial DBL.</w:t>
      </w:r>
      <w:r w:rsidR="00901AD2">
        <w:t xml:space="preserve"> 10 </w:t>
      </w:r>
      <w:r w:rsidRPr="00A63E6C">
        <w:t>subjects had systemic thera</w:t>
      </w:r>
      <w:r w:rsidR="00901AD2">
        <w:t>py, 5</w:t>
      </w:r>
      <w:r w:rsidR="002E66DF">
        <w:t xml:space="preserve"> proceeded to </w:t>
      </w:r>
      <w:proofErr w:type="spellStart"/>
      <w:r w:rsidR="002E66DF">
        <w:t>allo</w:t>
      </w:r>
      <w:proofErr w:type="spellEnd"/>
      <w:r w:rsidRPr="00A63E6C">
        <w:t>-SCT and one to ASCT.</w:t>
      </w:r>
    </w:p>
    <w:p w:rsidR="00A63E6C" w:rsidRPr="00A63E6C" w:rsidRDefault="00A63E6C" w:rsidP="00A97870">
      <w:pPr>
        <w:pStyle w:val="Heading6"/>
      </w:pPr>
      <w:r w:rsidRPr="00A63E6C">
        <w:t>Efficacy results</w:t>
      </w:r>
    </w:p>
    <w:p w:rsidR="00A63E6C" w:rsidRPr="00A63E6C" w:rsidRDefault="00A97870" w:rsidP="00A63E6C">
      <w:pPr>
        <w:rPr>
          <w:b/>
        </w:rPr>
      </w:pPr>
      <w:r>
        <w:t xml:space="preserve">At the </w:t>
      </w:r>
      <w:r w:rsidR="00A63E6C" w:rsidRPr="00A97870">
        <w:t>October 2015 DBL; as</w:t>
      </w:r>
      <w:r w:rsidR="00A63E6C" w:rsidRPr="00A63E6C">
        <w:t xml:space="preserve"> per the interim CSRs initially submitted, wi</w:t>
      </w:r>
      <w:r w:rsidR="00F81E77">
        <w:t>th median follow</w:t>
      </w:r>
      <w:r w:rsidR="00F81E77">
        <w:noBreakHyphen/>
      </w:r>
      <w:r w:rsidR="002E66DF">
        <w:t>up 8.92 months:</w:t>
      </w:r>
    </w:p>
    <w:p w:rsidR="00A97870" w:rsidRPr="00A97870" w:rsidRDefault="00901AD2" w:rsidP="00A97870">
      <w:pPr>
        <w:pStyle w:val="ListBullet"/>
      </w:pPr>
      <w:r>
        <w:lastRenderedPageBreak/>
        <w:t xml:space="preserve">The primary efficacy variable was ORR </w:t>
      </w:r>
      <w:r w:rsidR="00A63E6C" w:rsidRPr="00A63E6C">
        <w:t>as per IRRC:</w:t>
      </w:r>
    </w:p>
    <w:p w:rsidR="00A97870" w:rsidRDefault="00A63E6C" w:rsidP="00A97870">
      <w:pPr>
        <w:pStyle w:val="ListBullet2"/>
      </w:pPr>
      <w:r w:rsidRPr="00A97870">
        <w:t>ORR (95% CI)</w:t>
      </w:r>
      <w:r w:rsidR="00A97870">
        <w:t>:</w:t>
      </w:r>
      <w:r w:rsidRPr="00A97870">
        <w:t xml:space="preserve"> 53/80,</w:t>
      </w:r>
      <w:r w:rsidR="00A97870">
        <w:t xml:space="preserve"> 66.3% (54.8, 76.4)</w:t>
      </w:r>
    </w:p>
    <w:p w:rsidR="00A97870" w:rsidRDefault="00A63E6C" w:rsidP="00A97870">
      <w:pPr>
        <w:pStyle w:val="ListBullet2"/>
      </w:pPr>
      <w:r w:rsidRPr="00A97870">
        <w:t xml:space="preserve">based on the </w:t>
      </w:r>
      <w:r w:rsidR="00A97870">
        <w:t>BOR</w:t>
      </w:r>
      <w:r w:rsidRPr="00A97870">
        <w:t xml:space="preserve"> of CR (95% CI)</w:t>
      </w:r>
      <w:r w:rsidR="00A97870">
        <w:t>:</w:t>
      </w:r>
      <w:r w:rsidRPr="00A97870">
        <w:t xml:space="preserve"> 7/80, 8.8%</w:t>
      </w:r>
      <w:r w:rsidR="00A97870">
        <w:t xml:space="preserve"> (3.6, 17.2)</w:t>
      </w:r>
    </w:p>
    <w:p w:rsidR="00A63E6C" w:rsidRPr="00A97870" w:rsidRDefault="002E66DF" w:rsidP="00A97870">
      <w:pPr>
        <w:pStyle w:val="ListBullet2"/>
      </w:pPr>
      <w:r>
        <w:t>CR +</w:t>
      </w:r>
      <w:r w:rsidR="00A63E6C" w:rsidRPr="00A97870">
        <w:t xml:space="preserve"> PR (95% CI)</w:t>
      </w:r>
      <w:r w:rsidR="00A97870">
        <w:t>:</w:t>
      </w:r>
      <w:r w:rsidR="00A63E6C" w:rsidRPr="00A97870">
        <w:t xml:space="preserve"> 46/80, 57.5%</w:t>
      </w:r>
      <w:r w:rsidR="00A97870">
        <w:t xml:space="preserve"> (45.9, 68.5).</w:t>
      </w:r>
    </w:p>
    <w:p w:rsidR="00A63E6C" w:rsidRPr="00A63E6C" w:rsidRDefault="006C2D00" w:rsidP="00A97870">
      <w:pPr>
        <w:pStyle w:val="ListBullet"/>
      </w:pPr>
      <w:r>
        <w:t>SD</w:t>
      </w:r>
      <w:r w:rsidR="00A63E6C" w:rsidRPr="00A63E6C">
        <w:t xml:space="preserve"> was reported for 18 subjects (22.5%), relapsed or progressive disease (PD) in 6 subjects, and BOR could not be determined in 3 subjects.</w:t>
      </w:r>
    </w:p>
    <w:p w:rsidR="00A63E6C" w:rsidRPr="00A63E6C" w:rsidRDefault="00A63E6C" w:rsidP="00A97870">
      <w:pPr>
        <w:pStyle w:val="Heading6"/>
      </w:pPr>
      <w:r w:rsidRPr="00A63E6C">
        <w:t>Other variables</w:t>
      </w:r>
    </w:p>
    <w:p w:rsidR="00A97870" w:rsidRDefault="002E66DF" w:rsidP="00A63E6C">
      <w:pPr>
        <w:pStyle w:val="ListBullet"/>
      </w:pPr>
      <w:r>
        <w:t>DOR:</w:t>
      </w:r>
    </w:p>
    <w:p w:rsidR="00A97870" w:rsidRDefault="00A63E6C" w:rsidP="00A97870">
      <w:pPr>
        <w:pStyle w:val="ListBullet2"/>
      </w:pPr>
      <w:r w:rsidRPr="00DE6683">
        <w:t>DOR</w:t>
      </w:r>
      <w:r w:rsidRPr="00A63E6C">
        <w:t xml:space="preserve"> median (95% CI)</w:t>
      </w:r>
      <w:r w:rsidR="00A97870">
        <w:t>:</w:t>
      </w:r>
      <w:r w:rsidR="002E66DF">
        <w:t xml:space="preserve"> </w:t>
      </w:r>
      <w:r w:rsidRPr="00A63E6C">
        <w:t>7.8 month</w:t>
      </w:r>
      <w:r w:rsidR="00A97870">
        <w:t>s (6.6, NA), range 0.0+, 9.5+</w:t>
      </w:r>
    </w:p>
    <w:p w:rsidR="00A63E6C" w:rsidRPr="00A63E6C" w:rsidRDefault="00A63E6C" w:rsidP="00A97870">
      <w:pPr>
        <w:pStyle w:val="ListBullet2"/>
      </w:pPr>
      <w:r w:rsidRPr="00A63E6C">
        <w:t>DOR is immature due to censoring, with 31/53 responders per IRRC still on treatment and censored prior to the median.</w:t>
      </w:r>
    </w:p>
    <w:p w:rsidR="00A63E6C" w:rsidRPr="00A63E6C" w:rsidRDefault="00A63E6C" w:rsidP="00A63E6C">
      <w:pPr>
        <w:pStyle w:val="ListBullet"/>
      </w:pPr>
      <w:r w:rsidRPr="00A97870">
        <w:t>Time to Response</w:t>
      </w:r>
      <w:r w:rsidRPr="00901AD2">
        <w:t>:</w:t>
      </w:r>
      <w:r w:rsidRPr="00A63E6C">
        <w:rPr>
          <w:b/>
        </w:rPr>
        <w:t xml:space="preserve"> </w:t>
      </w:r>
      <w:r w:rsidRPr="00A63E6C">
        <w:t>31 of the 53 (58.5%) responders achieved their response by the time of first scan (9 weeks). Median time t</w:t>
      </w:r>
      <w:r w:rsidR="002E66DF">
        <w:t>o CR and PR was 4.44 (range 3.3 to 6.9) and 2.10 (1.6 to 5.7) months, respectively.</w:t>
      </w:r>
    </w:p>
    <w:p w:rsidR="00A97870" w:rsidRDefault="00A63E6C" w:rsidP="00A63E6C">
      <w:pPr>
        <w:pStyle w:val="ListBullet"/>
      </w:pPr>
      <w:r w:rsidRPr="00A63E6C">
        <w:t xml:space="preserve">The median </w:t>
      </w:r>
      <w:r w:rsidRPr="00A97870">
        <w:t>PFS per IRRC</w:t>
      </w:r>
      <w:r w:rsidRPr="00A63E6C">
        <w:t xml:space="preserve"> was estimated at about 10 months (95% CI: 8.41, NA); at median follow-up of 8.9 months and with 24 events (23 progression and 1 death), due to the number censored (56/80) this was considered ‘unstable’.</w:t>
      </w:r>
    </w:p>
    <w:p w:rsidR="00A63E6C" w:rsidRPr="00A63E6C" w:rsidRDefault="00A63E6C" w:rsidP="00A63E6C">
      <w:pPr>
        <w:pStyle w:val="ListBullet"/>
      </w:pPr>
      <w:r w:rsidRPr="00A63E6C">
        <w:t xml:space="preserve">Other outcome measures </w:t>
      </w:r>
      <w:r w:rsidR="002E66DF">
        <w:t>are shown in Attachment 2</w:t>
      </w:r>
      <w:r w:rsidRPr="00A63E6C">
        <w:t>. The ORR was 66.7% in subjects with PD-L1 ≥</w:t>
      </w:r>
      <w:r w:rsidR="002E66DF">
        <w:t xml:space="preserve"> </w:t>
      </w:r>
      <w:r w:rsidRPr="00A63E6C">
        <w:t>1% expression (n</w:t>
      </w:r>
      <w:r w:rsidR="002E66DF">
        <w:t xml:space="preserve"> </w:t>
      </w:r>
      <w:r w:rsidRPr="00A63E6C">
        <w:t>=</w:t>
      </w:r>
      <w:r w:rsidR="002E66DF">
        <w:t xml:space="preserve"> </w:t>
      </w:r>
      <w:r w:rsidRPr="00A63E6C">
        <w:t>34 PR, n</w:t>
      </w:r>
      <w:r w:rsidR="002E66DF">
        <w:t xml:space="preserve"> </w:t>
      </w:r>
      <w:r w:rsidRPr="00A63E6C">
        <w:t>= 4 CR), 83.3% in subjects with PD-L1 &lt; 1% (n</w:t>
      </w:r>
      <w:r w:rsidR="00901AD2">
        <w:t> </w:t>
      </w:r>
      <w:r w:rsidRPr="00A63E6C">
        <w:t>= 5 PR), and 58.5% in those without a quantifia</w:t>
      </w:r>
      <w:r w:rsidR="002E66DF">
        <w:t>ble PD-L1 (n = 7 PR, n = 3 CR).</w:t>
      </w:r>
    </w:p>
    <w:p w:rsidR="00A63E6C" w:rsidRDefault="00A63E6C" w:rsidP="00A63E6C">
      <w:r w:rsidRPr="00A63E6C">
        <w:t>Of the 18/</w:t>
      </w:r>
      <w:r w:rsidR="007A6FDA">
        <w:t>80 patients with B symptoms at B</w:t>
      </w:r>
      <w:r w:rsidRPr="00A63E6C">
        <w:t xml:space="preserve">aseline, 16 had resolution of symptoms. The </w:t>
      </w:r>
      <w:r w:rsidR="00901AD2">
        <w:t>SCE</w:t>
      </w:r>
      <w:r w:rsidRPr="00A63E6C">
        <w:t xml:space="preserve"> stated ‘</w:t>
      </w:r>
      <w:r w:rsidRPr="00870029">
        <w:rPr>
          <w:i/>
        </w:rPr>
        <w:t>No clinically meaningful deterioration was o</w:t>
      </w:r>
      <w:r w:rsidR="00901AD2" w:rsidRPr="00870029">
        <w:rPr>
          <w:i/>
        </w:rPr>
        <w:t>bserved in any of the EORTC QLQ</w:t>
      </w:r>
      <w:r w:rsidR="00901AD2" w:rsidRPr="00870029">
        <w:rPr>
          <w:i/>
        </w:rPr>
        <w:noBreakHyphen/>
      </w:r>
      <w:r w:rsidRPr="00870029">
        <w:rPr>
          <w:i/>
        </w:rPr>
        <w:t>C30’</w:t>
      </w:r>
      <w:r w:rsidRPr="00A63E6C">
        <w:t xml:space="preserve">; the evaluator commented that while interpretation was difficult, it was consistent with the results of EQ-5D VAS, and suggested </w:t>
      </w:r>
      <w:proofErr w:type="spellStart"/>
      <w:r w:rsidRPr="00A63E6C">
        <w:t>QoL</w:t>
      </w:r>
      <w:proofErr w:type="spellEnd"/>
      <w:r w:rsidRPr="00A63E6C">
        <w:t xml:space="preserve"> was not worsened in most patients.</w:t>
      </w:r>
    </w:p>
    <w:p w:rsidR="001B3FA4" w:rsidRPr="001B3FA4" w:rsidRDefault="00C362E7" w:rsidP="001B3FA4">
      <w:r>
        <w:t>Table 21</w:t>
      </w:r>
      <w:r w:rsidR="001B3FA4">
        <w:t xml:space="preserve"> below gives the results as initially submitted; no updated data were provided.</w:t>
      </w:r>
    </w:p>
    <w:p w:rsidR="001B3FA4" w:rsidRDefault="001B3FA4" w:rsidP="001B3FA4">
      <w:pPr>
        <w:pStyle w:val="Tabletitle0"/>
      </w:pPr>
      <w:proofErr w:type="gramStart"/>
      <w:r>
        <w:t>Table</w:t>
      </w:r>
      <w:r w:rsidR="00C362E7">
        <w:t xml:space="preserve"> 21</w:t>
      </w:r>
      <w:r>
        <w:t>.</w:t>
      </w:r>
      <w:proofErr w:type="gramEnd"/>
      <w:r>
        <w:t xml:space="preserve"> ORR after median follow-up of 23.3 months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21 is a list of ORR after median follow-up of 23.3 months"/>
      </w:tblPr>
      <w:tblGrid>
        <w:gridCol w:w="2178"/>
        <w:gridCol w:w="1446"/>
        <w:gridCol w:w="1746"/>
        <w:gridCol w:w="1642"/>
        <w:gridCol w:w="1708"/>
      </w:tblGrid>
      <w:tr w:rsidR="00DF5D00" w:rsidRPr="00CA15AE" w:rsidTr="00A2181C">
        <w:trPr>
          <w:tblHeader/>
        </w:trPr>
        <w:tc>
          <w:tcPr>
            <w:tcW w:w="2178" w:type="dxa"/>
            <w:tcBorders>
              <w:top w:val="single" w:sz="8" w:space="0" w:color="000000"/>
              <w:left w:val="single" w:sz="8" w:space="0" w:color="000000"/>
              <w:bottom w:val="single" w:sz="8" w:space="0" w:color="000000"/>
              <w:right w:val="nil"/>
              <w:tl2br w:val="nil"/>
              <w:tr2bl w:val="nil"/>
            </w:tcBorders>
            <w:shd w:val="clear" w:color="auto" w:fill="006DA7"/>
          </w:tcPr>
          <w:p w:rsidR="001B3FA4" w:rsidRPr="00A2181C" w:rsidRDefault="001B3FA4" w:rsidP="00A2181C">
            <w:pPr>
              <w:keepNext/>
              <w:ind w:left="170" w:right="170"/>
              <w:rPr>
                <w:b/>
                <w:color w:val="FFFFFF"/>
                <w:szCs w:val="21"/>
                <w:lang w:eastAsia="en-AU"/>
              </w:rPr>
            </w:pPr>
          </w:p>
        </w:tc>
        <w:tc>
          <w:tcPr>
            <w:tcW w:w="3192" w:type="dxa"/>
            <w:gridSpan w:val="2"/>
            <w:tcBorders>
              <w:top w:val="single" w:sz="8" w:space="0" w:color="000000"/>
              <w:left w:val="nil"/>
              <w:bottom w:val="single" w:sz="8" w:space="0" w:color="000000"/>
              <w:right w:val="nil"/>
              <w:tl2br w:val="nil"/>
              <w:tr2bl w:val="nil"/>
            </w:tcBorders>
            <w:shd w:val="clear" w:color="auto" w:fill="006DA7"/>
          </w:tcPr>
          <w:p w:rsidR="001B3FA4" w:rsidRPr="00A2181C" w:rsidRDefault="001B3FA4" w:rsidP="00A2181C">
            <w:pPr>
              <w:keepNext/>
              <w:ind w:right="170"/>
              <w:rPr>
                <w:b/>
                <w:color w:val="FFFFFF"/>
                <w:szCs w:val="21"/>
                <w:lang w:eastAsia="en-AU"/>
              </w:rPr>
            </w:pPr>
            <w:r w:rsidRPr="00A2181C">
              <w:rPr>
                <w:b/>
                <w:color w:val="FFFFFF"/>
                <w:szCs w:val="21"/>
                <w:lang w:eastAsia="en-AU"/>
              </w:rPr>
              <w:t>Result per IRRC</w:t>
            </w:r>
          </w:p>
        </w:tc>
        <w:tc>
          <w:tcPr>
            <w:tcW w:w="3350" w:type="dxa"/>
            <w:gridSpan w:val="2"/>
            <w:tcBorders>
              <w:top w:val="single" w:sz="8" w:space="0" w:color="000000"/>
              <w:left w:val="nil"/>
              <w:bottom w:val="single" w:sz="8" w:space="0" w:color="000000"/>
              <w:right w:val="single" w:sz="8" w:space="0" w:color="000000"/>
              <w:tl2br w:val="nil"/>
              <w:tr2bl w:val="nil"/>
            </w:tcBorders>
            <w:shd w:val="clear" w:color="auto" w:fill="006DA7"/>
            <w:hideMark/>
          </w:tcPr>
          <w:p w:rsidR="001B3FA4" w:rsidRPr="00A2181C" w:rsidRDefault="001B3FA4" w:rsidP="00A2181C">
            <w:pPr>
              <w:keepNext/>
              <w:ind w:right="170"/>
              <w:rPr>
                <w:b/>
                <w:color w:val="FFFFFF"/>
                <w:szCs w:val="21"/>
                <w:lang w:eastAsia="en-AU"/>
              </w:rPr>
            </w:pPr>
            <w:r w:rsidRPr="00A2181C">
              <w:rPr>
                <w:b/>
                <w:color w:val="FFFFFF"/>
                <w:szCs w:val="21"/>
                <w:lang w:eastAsia="en-AU"/>
              </w:rPr>
              <w:t>Result per Investigator</w:t>
            </w:r>
          </w:p>
        </w:tc>
      </w:tr>
      <w:tr w:rsidR="00DF5D00" w:rsidRPr="00CA15AE" w:rsidTr="00A2181C">
        <w:tc>
          <w:tcPr>
            <w:tcW w:w="2178" w:type="dxa"/>
            <w:shd w:val="clear" w:color="auto" w:fill="auto"/>
          </w:tcPr>
          <w:p w:rsidR="001B3FA4" w:rsidRPr="00A2181C" w:rsidRDefault="001B3FA4" w:rsidP="001B3FA4">
            <w:pPr>
              <w:rPr>
                <w:color w:val="000000"/>
                <w:szCs w:val="21"/>
                <w:lang w:eastAsia="en-AU"/>
              </w:rPr>
            </w:pPr>
            <w:r w:rsidRPr="00A2181C">
              <w:rPr>
                <w:color w:val="000000"/>
                <w:szCs w:val="21"/>
                <w:lang w:eastAsia="en-AU"/>
              </w:rPr>
              <w:t>Efficacy parameter</w:t>
            </w:r>
          </w:p>
        </w:tc>
        <w:tc>
          <w:tcPr>
            <w:tcW w:w="14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All patients (n = 23)</w:t>
            </w:r>
          </w:p>
        </w:tc>
        <w:tc>
          <w:tcPr>
            <w:tcW w:w="17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ASCT-Bren Failed group (n = 15)</w:t>
            </w:r>
          </w:p>
        </w:tc>
        <w:tc>
          <w:tcPr>
            <w:tcW w:w="1642" w:type="dxa"/>
            <w:shd w:val="clear" w:color="auto" w:fill="auto"/>
          </w:tcPr>
          <w:p w:rsidR="001B3FA4" w:rsidRPr="00A2181C" w:rsidRDefault="001B3FA4" w:rsidP="001B3FA4">
            <w:pPr>
              <w:rPr>
                <w:color w:val="000000"/>
                <w:szCs w:val="21"/>
                <w:lang w:eastAsia="en-AU"/>
              </w:rPr>
            </w:pPr>
            <w:r w:rsidRPr="00A2181C">
              <w:rPr>
                <w:color w:val="000000"/>
                <w:szCs w:val="21"/>
                <w:lang w:eastAsia="en-AU"/>
              </w:rPr>
              <w:t>All patients (n = 23)</w:t>
            </w:r>
          </w:p>
        </w:tc>
        <w:tc>
          <w:tcPr>
            <w:tcW w:w="1708" w:type="dxa"/>
            <w:shd w:val="clear" w:color="auto" w:fill="auto"/>
          </w:tcPr>
          <w:p w:rsidR="001B3FA4" w:rsidRPr="00A2181C" w:rsidRDefault="001B3FA4" w:rsidP="001B3FA4">
            <w:pPr>
              <w:rPr>
                <w:color w:val="000000"/>
                <w:szCs w:val="21"/>
                <w:lang w:eastAsia="en-AU"/>
              </w:rPr>
            </w:pPr>
            <w:r w:rsidRPr="00A2181C">
              <w:rPr>
                <w:color w:val="000000"/>
                <w:szCs w:val="21"/>
                <w:lang w:eastAsia="en-AU"/>
              </w:rPr>
              <w:t>ASCT-Bren Failed group (n = 15)</w:t>
            </w:r>
          </w:p>
        </w:tc>
      </w:tr>
      <w:tr w:rsidR="00DF5D00" w:rsidRPr="00CA15AE" w:rsidTr="00A2181C">
        <w:tc>
          <w:tcPr>
            <w:tcW w:w="2178" w:type="dxa"/>
            <w:shd w:val="clear" w:color="auto" w:fill="auto"/>
            <w:hideMark/>
          </w:tcPr>
          <w:p w:rsidR="001B3FA4" w:rsidRPr="00A2181C" w:rsidRDefault="001B3FA4" w:rsidP="001B3FA4">
            <w:pPr>
              <w:rPr>
                <w:color w:val="000000"/>
                <w:szCs w:val="21"/>
                <w:lang w:eastAsia="en-AU"/>
              </w:rPr>
            </w:pPr>
            <w:r w:rsidRPr="00A2181C">
              <w:rPr>
                <w:color w:val="000000"/>
                <w:szCs w:val="21"/>
                <w:lang w:eastAsia="en-AU"/>
              </w:rPr>
              <w:t>ORR (CR + PR/total)</w:t>
            </w:r>
          </w:p>
        </w:tc>
        <w:tc>
          <w:tcPr>
            <w:tcW w:w="14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61%</w:t>
            </w:r>
          </w:p>
        </w:tc>
        <w:tc>
          <w:tcPr>
            <w:tcW w:w="17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60%</w:t>
            </w:r>
          </w:p>
        </w:tc>
        <w:tc>
          <w:tcPr>
            <w:tcW w:w="1642" w:type="dxa"/>
            <w:shd w:val="clear" w:color="auto" w:fill="auto"/>
            <w:hideMark/>
          </w:tcPr>
          <w:p w:rsidR="001B3FA4" w:rsidRPr="00A2181C" w:rsidRDefault="001B3FA4" w:rsidP="001B3FA4">
            <w:pPr>
              <w:rPr>
                <w:color w:val="000000"/>
                <w:szCs w:val="21"/>
                <w:lang w:eastAsia="en-AU"/>
              </w:rPr>
            </w:pPr>
            <w:r w:rsidRPr="00A2181C">
              <w:rPr>
                <w:color w:val="000000"/>
                <w:szCs w:val="21"/>
                <w:lang w:eastAsia="en-AU"/>
              </w:rPr>
              <w:t>87%</w:t>
            </w:r>
          </w:p>
        </w:tc>
        <w:tc>
          <w:tcPr>
            <w:tcW w:w="1708" w:type="dxa"/>
            <w:shd w:val="clear" w:color="auto" w:fill="auto"/>
          </w:tcPr>
          <w:p w:rsidR="001B3FA4" w:rsidRPr="00A2181C" w:rsidRDefault="001B3FA4" w:rsidP="001B3FA4">
            <w:pPr>
              <w:rPr>
                <w:color w:val="000000"/>
                <w:szCs w:val="21"/>
                <w:lang w:eastAsia="en-AU"/>
              </w:rPr>
            </w:pPr>
            <w:r w:rsidRPr="00A2181C">
              <w:rPr>
                <w:color w:val="000000"/>
                <w:szCs w:val="21"/>
                <w:lang w:eastAsia="en-AU"/>
              </w:rPr>
              <w:t>87%</w:t>
            </w:r>
          </w:p>
        </w:tc>
      </w:tr>
      <w:tr w:rsidR="00DF5D00" w:rsidRPr="00CA15AE" w:rsidTr="00A2181C">
        <w:tc>
          <w:tcPr>
            <w:tcW w:w="2178" w:type="dxa"/>
            <w:shd w:val="clear" w:color="auto" w:fill="auto"/>
            <w:hideMark/>
          </w:tcPr>
          <w:p w:rsidR="001B3FA4" w:rsidRPr="00A2181C" w:rsidRDefault="001B3FA4" w:rsidP="001B3FA4">
            <w:pPr>
              <w:rPr>
                <w:color w:val="000000"/>
                <w:szCs w:val="21"/>
                <w:lang w:eastAsia="en-AU"/>
              </w:rPr>
            </w:pPr>
            <w:r w:rsidRPr="00A2181C">
              <w:rPr>
                <w:color w:val="000000"/>
                <w:szCs w:val="21"/>
                <w:lang w:eastAsia="en-AU"/>
              </w:rPr>
              <w:t>Number with CR</w:t>
            </w:r>
          </w:p>
        </w:tc>
        <w:tc>
          <w:tcPr>
            <w:tcW w:w="14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3</w:t>
            </w:r>
          </w:p>
        </w:tc>
        <w:tc>
          <w:tcPr>
            <w:tcW w:w="17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0</w:t>
            </w:r>
          </w:p>
        </w:tc>
        <w:tc>
          <w:tcPr>
            <w:tcW w:w="1642" w:type="dxa"/>
            <w:shd w:val="clear" w:color="auto" w:fill="auto"/>
            <w:hideMark/>
          </w:tcPr>
          <w:p w:rsidR="001B3FA4" w:rsidRPr="00A2181C" w:rsidRDefault="001B3FA4" w:rsidP="001B3FA4">
            <w:pPr>
              <w:rPr>
                <w:color w:val="000000"/>
                <w:szCs w:val="21"/>
                <w:lang w:eastAsia="en-AU"/>
              </w:rPr>
            </w:pPr>
            <w:r w:rsidRPr="00A2181C">
              <w:rPr>
                <w:color w:val="000000"/>
                <w:szCs w:val="21"/>
                <w:lang w:eastAsia="en-AU"/>
              </w:rPr>
              <w:t>5</w:t>
            </w:r>
          </w:p>
        </w:tc>
        <w:tc>
          <w:tcPr>
            <w:tcW w:w="1708" w:type="dxa"/>
            <w:shd w:val="clear" w:color="auto" w:fill="auto"/>
          </w:tcPr>
          <w:p w:rsidR="001B3FA4" w:rsidRPr="00A2181C" w:rsidRDefault="001B3FA4" w:rsidP="001B3FA4">
            <w:pPr>
              <w:rPr>
                <w:color w:val="000000"/>
                <w:szCs w:val="21"/>
                <w:lang w:eastAsia="en-AU"/>
              </w:rPr>
            </w:pPr>
            <w:r w:rsidRPr="00A2181C">
              <w:rPr>
                <w:color w:val="000000"/>
                <w:szCs w:val="21"/>
                <w:lang w:eastAsia="en-AU"/>
              </w:rPr>
              <w:t>2</w:t>
            </w:r>
          </w:p>
        </w:tc>
      </w:tr>
      <w:tr w:rsidR="00DF5D00" w:rsidRPr="00CA15AE" w:rsidTr="00A2181C">
        <w:tc>
          <w:tcPr>
            <w:tcW w:w="2178" w:type="dxa"/>
            <w:shd w:val="clear" w:color="auto" w:fill="auto"/>
            <w:hideMark/>
          </w:tcPr>
          <w:p w:rsidR="001B3FA4" w:rsidRPr="00A2181C" w:rsidRDefault="001B3FA4" w:rsidP="001B3FA4">
            <w:pPr>
              <w:rPr>
                <w:color w:val="000000"/>
                <w:szCs w:val="21"/>
                <w:lang w:eastAsia="en-AU"/>
              </w:rPr>
            </w:pPr>
            <w:r w:rsidRPr="00A2181C">
              <w:rPr>
                <w:color w:val="000000"/>
                <w:szCs w:val="21"/>
                <w:lang w:eastAsia="en-AU"/>
              </w:rPr>
              <w:t>Number with PR</w:t>
            </w:r>
          </w:p>
        </w:tc>
        <w:tc>
          <w:tcPr>
            <w:tcW w:w="14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11</w:t>
            </w:r>
          </w:p>
        </w:tc>
        <w:tc>
          <w:tcPr>
            <w:tcW w:w="17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9</w:t>
            </w:r>
          </w:p>
        </w:tc>
        <w:tc>
          <w:tcPr>
            <w:tcW w:w="1642" w:type="dxa"/>
            <w:shd w:val="clear" w:color="auto" w:fill="auto"/>
            <w:hideMark/>
          </w:tcPr>
          <w:p w:rsidR="001B3FA4" w:rsidRPr="00A2181C" w:rsidRDefault="001B3FA4" w:rsidP="001B3FA4">
            <w:pPr>
              <w:rPr>
                <w:color w:val="000000"/>
                <w:szCs w:val="21"/>
                <w:lang w:eastAsia="en-AU"/>
              </w:rPr>
            </w:pPr>
            <w:r w:rsidRPr="00A2181C">
              <w:rPr>
                <w:color w:val="000000"/>
                <w:szCs w:val="21"/>
                <w:lang w:eastAsia="en-AU"/>
              </w:rPr>
              <w:t>15</w:t>
            </w:r>
          </w:p>
        </w:tc>
        <w:tc>
          <w:tcPr>
            <w:tcW w:w="1708" w:type="dxa"/>
            <w:shd w:val="clear" w:color="auto" w:fill="auto"/>
          </w:tcPr>
          <w:p w:rsidR="001B3FA4" w:rsidRPr="00A2181C" w:rsidRDefault="001B3FA4" w:rsidP="001B3FA4">
            <w:pPr>
              <w:rPr>
                <w:color w:val="000000"/>
                <w:szCs w:val="21"/>
                <w:lang w:eastAsia="en-AU"/>
              </w:rPr>
            </w:pPr>
            <w:r w:rsidRPr="00A2181C">
              <w:rPr>
                <w:color w:val="000000"/>
                <w:szCs w:val="21"/>
                <w:lang w:eastAsia="en-AU"/>
              </w:rPr>
              <w:t>11</w:t>
            </w:r>
          </w:p>
        </w:tc>
      </w:tr>
      <w:tr w:rsidR="00DF5D00" w:rsidRPr="00CA15AE" w:rsidTr="00A2181C">
        <w:tc>
          <w:tcPr>
            <w:tcW w:w="2178" w:type="dxa"/>
            <w:shd w:val="clear" w:color="auto" w:fill="auto"/>
            <w:hideMark/>
          </w:tcPr>
          <w:p w:rsidR="001B3FA4" w:rsidRPr="00A2181C" w:rsidRDefault="001B3FA4" w:rsidP="001B3FA4">
            <w:pPr>
              <w:rPr>
                <w:color w:val="000000"/>
                <w:szCs w:val="21"/>
                <w:lang w:eastAsia="en-AU"/>
              </w:rPr>
            </w:pPr>
            <w:r w:rsidRPr="00A2181C">
              <w:rPr>
                <w:color w:val="000000"/>
                <w:szCs w:val="21"/>
                <w:lang w:eastAsia="en-AU"/>
              </w:rPr>
              <w:t xml:space="preserve">Number with SD </w:t>
            </w:r>
          </w:p>
        </w:tc>
        <w:tc>
          <w:tcPr>
            <w:tcW w:w="14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7</w:t>
            </w:r>
          </w:p>
        </w:tc>
        <w:tc>
          <w:tcPr>
            <w:tcW w:w="1746" w:type="dxa"/>
            <w:shd w:val="clear" w:color="auto" w:fill="auto"/>
          </w:tcPr>
          <w:p w:rsidR="001B3FA4" w:rsidRPr="00A2181C" w:rsidRDefault="001B3FA4" w:rsidP="001B3FA4">
            <w:pPr>
              <w:rPr>
                <w:color w:val="000000"/>
                <w:szCs w:val="21"/>
                <w:lang w:eastAsia="en-AU"/>
              </w:rPr>
            </w:pPr>
            <w:r w:rsidRPr="00A2181C">
              <w:rPr>
                <w:color w:val="000000"/>
                <w:szCs w:val="21"/>
                <w:lang w:eastAsia="en-AU"/>
              </w:rPr>
              <w:t>5</w:t>
            </w:r>
          </w:p>
        </w:tc>
        <w:tc>
          <w:tcPr>
            <w:tcW w:w="1642" w:type="dxa"/>
            <w:shd w:val="clear" w:color="auto" w:fill="auto"/>
            <w:hideMark/>
          </w:tcPr>
          <w:p w:rsidR="001B3FA4" w:rsidRPr="00A2181C" w:rsidRDefault="001B3FA4" w:rsidP="001B3FA4">
            <w:pPr>
              <w:rPr>
                <w:color w:val="000000"/>
                <w:szCs w:val="21"/>
                <w:lang w:eastAsia="en-AU"/>
              </w:rPr>
            </w:pPr>
            <w:r w:rsidRPr="00A2181C">
              <w:rPr>
                <w:color w:val="000000"/>
                <w:szCs w:val="21"/>
                <w:lang w:eastAsia="en-AU"/>
              </w:rPr>
              <w:t>3</w:t>
            </w:r>
          </w:p>
        </w:tc>
        <w:tc>
          <w:tcPr>
            <w:tcW w:w="1708" w:type="dxa"/>
            <w:shd w:val="clear" w:color="auto" w:fill="auto"/>
          </w:tcPr>
          <w:p w:rsidR="001B3FA4" w:rsidRPr="00A2181C" w:rsidRDefault="001B3FA4" w:rsidP="001B3FA4">
            <w:pPr>
              <w:rPr>
                <w:color w:val="000000"/>
                <w:szCs w:val="21"/>
                <w:lang w:eastAsia="en-AU"/>
              </w:rPr>
            </w:pPr>
            <w:r w:rsidRPr="00A2181C">
              <w:rPr>
                <w:color w:val="000000"/>
                <w:szCs w:val="21"/>
                <w:lang w:eastAsia="en-AU"/>
              </w:rPr>
              <w:t>2</w:t>
            </w:r>
          </w:p>
        </w:tc>
      </w:tr>
    </w:tbl>
    <w:p w:rsidR="001B3FA4" w:rsidRPr="001B3FA4" w:rsidRDefault="001B3FA4" w:rsidP="001B3FA4">
      <w:r>
        <w:t xml:space="preserve">The </w:t>
      </w:r>
      <w:r w:rsidRPr="001B3FA4">
        <w:t>K</w:t>
      </w:r>
      <w:r>
        <w:t>-</w:t>
      </w:r>
      <w:r w:rsidRPr="001B3FA4">
        <w:t xml:space="preserve">M estimate of median </w:t>
      </w:r>
      <w:r w:rsidR="00D213CB">
        <w:t>DOR</w:t>
      </w:r>
      <w:r w:rsidRPr="001B3FA4">
        <w:t xml:space="preserve"> per IRRC</w:t>
      </w:r>
      <w:r>
        <w:t>:</w:t>
      </w:r>
    </w:p>
    <w:p w:rsidR="001B3FA4" w:rsidRDefault="001B3FA4" w:rsidP="001B3FA4">
      <w:pPr>
        <w:pStyle w:val="ListBullet"/>
      </w:pPr>
      <w:r w:rsidRPr="001B3FA4">
        <w:t>12 months (95% CI</w:t>
      </w:r>
      <w:r w:rsidR="00D213CB">
        <w:t xml:space="preserve"> 1.8, NA) for the ASCT-</w:t>
      </w:r>
      <w:proofErr w:type="spellStart"/>
      <w:r w:rsidR="00D213CB">
        <w:t>bren</w:t>
      </w:r>
      <w:proofErr w:type="spellEnd"/>
      <w:r w:rsidR="00D213CB">
        <w:t xml:space="preserve"> f</w:t>
      </w:r>
      <w:r>
        <w:t>ailed g</w:t>
      </w:r>
      <w:r w:rsidRPr="001B3FA4">
        <w:t>roup</w:t>
      </w:r>
    </w:p>
    <w:p w:rsidR="00565377" w:rsidRDefault="00D213CB" w:rsidP="001B3FA4">
      <w:pPr>
        <w:pStyle w:val="ListBullet"/>
      </w:pPr>
      <w:r>
        <w:t>This w</w:t>
      </w:r>
      <w:r w:rsidR="001B3FA4">
        <w:t>as n</w:t>
      </w:r>
      <w:r w:rsidR="001B3FA4" w:rsidRPr="001B3FA4">
        <w:t xml:space="preserve">ot reached for all </w:t>
      </w:r>
      <w:proofErr w:type="spellStart"/>
      <w:r w:rsidR="001B3FA4" w:rsidRPr="001B3FA4">
        <w:t>cHL</w:t>
      </w:r>
      <w:proofErr w:type="spellEnd"/>
      <w:r w:rsidR="001B3FA4" w:rsidRPr="001B3FA4">
        <w:t xml:space="preserve"> subjects</w:t>
      </w:r>
      <w:r w:rsidR="001B3FA4">
        <w:t>.</w:t>
      </w:r>
    </w:p>
    <w:p w:rsidR="001B3FA4" w:rsidRPr="00F90AB1" w:rsidRDefault="001B3FA4" w:rsidP="001B3FA4">
      <w:r w:rsidRPr="001B3FA4">
        <w:lastRenderedPageBreak/>
        <w:t xml:space="preserve">Subjects with ongoing disease control (ongoing CR, PR, or </w:t>
      </w:r>
      <w:r w:rsidR="00F90AB1">
        <w:t>SD</w:t>
      </w:r>
      <w:r w:rsidRPr="001B3FA4">
        <w:t>) entered the first follow-up period and no longer received study drug; assessments were continued for 1 year</w:t>
      </w:r>
      <w:r w:rsidR="00C412F6">
        <w:t>.</w:t>
      </w:r>
      <w:r w:rsidRPr="001B3FA4">
        <w:rPr>
          <w:b/>
        </w:rPr>
        <w:t xml:space="preserve"> </w:t>
      </w:r>
      <w:r w:rsidRPr="001B3FA4">
        <w:t>At the time of the CSR, 3 patients remained on treatment (investigator response PR), 13 were in follow-up, 5 had died, and 2 were lost to follow-up. Four had CR, and 2 completed the maximum of 2 years of treatment. The median number of cycles was 18 (ran</w:t>
      </w:r>
      <w:r w:rsidR="00F90AB1">
        <w:t xml:space="preserve">ge 6 to </w:t>
      </w:r>
      <w:r w:rsidRPr="001B3FA4">
        <w:t>48). Almost half the subjects had at least one dose delay (11/23) but none were due to haematological toxicity. Discontinuations reported were due to disease progression (n =</w:t>
      </w:r>
      <w:r w:rsidR="00F90AB1">
        <w:t xml:space="preserve"> 6, </w:t>
      </w:r>
      <w:r w:rsidR="00D213CB">
        <w:t>5 in the ASCT-</w:t>
      </w:r>
      <w:proofErr w:type="spellStart"/>
      <w:r w:rsidR="00D213CB">
        <w:t>bren</w:t>
      </w:r>
      <w:proofErr w:type="spellEnd"/>
      <w:r w:rsidR="00D213CB">
        <w:t xml:space="preserve"> f</w:t>
      </w:r>
      <w:r w:rsidRPr="001B3FA4">
        <w:t>ailed group), drug toxicity (n</w:t>
      </w:r>
      <w:r w:rsidR="00F90AB1">
        <w:t xml:space="preserve"> </w:t>
      </w:r>
      <w:r w:rsidRPr="001B3FA4">
        <w:t>=</w:t>
      </w:r>
      <w:r w:rsidR="00F90AB1">
        <w:t xml:space="preserve"> </w:t>
      </w:r>
      <w:r w:rsidRPr="001B3FA4">
        <w:t xml:space="preserve">2, pancreatitis and MDS </w:t>
      </w:r>
      <w:r w:rsidR="00F90AB1">
        <w:t xml:space="preserve">both </w:t>
      </w:r>
      <w:r w:rsidRPr="001B3FA4">
        <w:t>i</w:t>
      </w:r>
      <w:r w:rsidR="00D213CB">
        <w:t>n the ASCT-</w:t>
      </w:r>
      <w:proofErr w:type="spellStart"/>
      <w:r w:rsidR="00D213CB">
        <w:t>bren</w:t>
      </w:r>
      <w:proofErr w:type="spellEnd"/>
      <w:r w:rsidR="00D213CB">
        <w:t xml:space="preserve"> f</w:t>
      </w:r>
      <w:r w:rsidRPr="001B3FA4">
        <w:t>ailed group), other reasons (n = 4, ‘bone marrow transplant’ or SCT), and subject request (n = 2, allogenic SCT, joint and muscle pain).</w:t>
      </w:r>
    </w:p>
    <w:p w:rsidR="001B3FA4" w:rsidRPr="001B3FA4" w:rsidRDefault="001B3FA4" w:rsidP="001B3FA4">
      <w:r w:rsidRPr="001B3FA4">
        <w:t>Based on the IRRC assessment of PFS, the K</w:t>
      </w:r>
      <w:r w:rsidR="00F90AB1">
        <w:t>-</w:t>
      </w:r>
      <w:r w:rsidRPr="001B3FA4">
        <w:t xml:space="preserve">M estimate of median PFS </w:t>
      </w:r>
      <w:r w:rsidR="00D213CB">
        <w:t>for the ASCT-</w:t>
      </w:r>
      <w:proofErr w:type="spellStart"/>
      <w:r w:rsidR="00D213CB">
        <w:t>b</w:t>
      </w:r>
      <w:r w:rsidR="00F90AB1">
        <w:t>ren</w:t>
      </w:r>
      <w:proofErr w:type="spellEnd"/>
      <w:r w:rsidRPr="001B3FA4">
        <w:t xml:space="preserve"> </w:t>
      </w:r>
      <w:r w:rsidR="00D213CB">
        <w:t>f</w:t>
      </w:r>
      <w:r w:rsidRPr="001B3FA4">
        <w:t xml:space="preserve">ailed group was </w:t>
      </w:r>
      <w:r w:rsidR="00F90AB1">
        <w:t>12.7 months (95% CI 5.91, N</w:t>
      </w:r>
      <w:r w:rsidRPr="001B3FA4">
        <w:t xml:space="preserve">A) and not reached for all </w:t>
      </w:r>
      <w:proofErr w:type="spellStart"/>
      <w:r w:rsidRPr="001B3FA4">
        <w:t>cHL</w:t>
      </w:r>
      <w:proofErr w:type="spellEnd"/>
      <w:r w:rsidRPr="001B3FA4">
        <w:t xml:space="preserve"> subjects. At the time of </w:t>
      </w:r>
      <w:r w:rsidR="00D213CB">
        <w:t>DBL for this i</w:t>
      </w:r>
      <w:r w:rsidRPr="001B3FA4">
        <w:t xml:space="preserve">nterim </w:t>
      </w:r>
      <w:r w:rsidR="00F90AB1">
        <w:t>CSR</w:t>
      </w:r>
      <w:r w:rsidRPr="001B3FA4">
        <w:t xml:space="preserve">, with median </w:t>
      </w:r>
      <w:r w:rsidR="00F90AB1">
        <w:t xml:space="preserve">follow-up of 23 months (range 7 to </w:t>
      </w:r>
      <w:r w:rsidRPr="001B3FA4">
        <w:t>28 months), 5 pati</w:t>
      </w:r>
      <w:r w:rsidR="00D213CB">
        <w:t>ents had died, 4 from the ASCT-</w:t>
      </w:r>
      <w:proofErr w:type="spellStart"/>
      <w:r w:rsidR="00D213CB">
        <w:t>b</w:t>
      </w:r>
      <w:r w:rsidR="00F90AB1">
        <w:t>ren</w:t>
      </w:r>
      <w:proofErr w:type="spellEnd"/>
      <w:r w:rsidRPr="001B3FA4">
        <w:t xml:space="preserve"> </w:t>
      </w:r>
      <w:r w:rsidR="00D213CB">
        <w:t>f</w:t>
      </w:r>
      <w:r w:rsidRPr="001B3FA4">
        <w:t xml:space="preserve">ailed group (26.7%). Estimated median OS was not reached for </w:t>
      </w:r>
      <w:proofErr w:type="spellStart"/>
      <w:r w:rsidRPr="001B3FA4">
        <w:t>cHL</w:t>
      </w:r>
      <w:proofErr w:type="spellEnd"/>
      <w:r w:rsidRPr="001B3FA4">
        <w:t xml:space="preserve"> all subjects or </w:t>
      </w:r>
      <w:r w:rsidR="00D213CB">
        <w:t>ASCT-</w:t>
      </w:r>
      <w:proofErr w:type="spellStart"/>
      <w:r w:rsidR="00D213CB">
        <w:t>bren</w:t>
      </w:r>
      <w:proofErr w:type="spellEnd"/>
      <w:r w:rsidR="00D213CB">
        <w:t xml:space="preserve"> f</w:t>
      </w:r>
      <w:r w:rsidRPr="001B3FA4">
        <w:t>ailed subgroup.</w:t>
      </w:r>
    </w:p>
    <w:p w:rsidR="001B3FA4" w:rsidRPr="001B3FA4" w:rsidRDefault="001B3FA4" w:rsidP="001B3FA4">
      <w:r w:rsidRPr="001B3FA4">
        <w:t>Of the 5 patients with no prior ASCT, 4 had an ob</w:t>
      </w:r>
      <w:r w:rsidR="00F90AB1">
        <w:t xml:space="preserve">jective response to </w:t>
      </w:r>
      <w:proofErr w:type="spellStart"/>
      <w:r w:rsidR="00F90AB1">
        <w:t>nivolumab</w:t>
      </w:r>
      <w:proofErr w:type="spellEnd"/>
      <w:r w:rsidR="00F90AB1">
        <w:t xml:space="preserve"> (one</w:t>
      </w:r>
      <w:r w:rsidRPr="001B3FA4">
        <w:t xml:space="preserve"> CR with DOR </w:t>
      </w:r>
      <w:r w:rsidR="00F90AB1">
        <w:t xml:space="preserve">of </w:t>
      </w:r>
      <w:r w:rsidRPr="001B3FA4">
        <w:t xml:space="preserve">24 months; 2 ceased to undergo ASCT; one ceased due to disease progression and went on </w:t>
      </w:r>
      <w:r w:rsidR="00F90AB1">
        <w:t xml:space="preserve">to treatment with </w:t>
      </w:r>
      <w:proofErr w:type="spellStart"/>
      <w:r w:rsidR="00F90AB1">
        <w:t>brentuximab</w:t>
      </w:r>
      <w:proofErr w:type="spellEnd"/>
      <w:r w:rsidRPr="001B3FA4">
        <w:t xml:space="preserve"> </w:t>
      </w:r>
      <w:proofErr w:type="spellStart"/>
      <w:r w:rsidR="00F90AB1">
        <w:t>vedotin</w:t>
      </w:r>
      <w:proofErr w:type="spellEnd"/>
      <w:r w:rsidR="00F90AB1">
        <w:t xml:space="preserve"> </w:t>
      </w:r>
      <w:r w:rsidRPr="001B3FA4">
        <w:t>and radiotherapy)</w:t>
      </w:r>
      <w:r w:rsidR="00F90AB1">
        <w:t>.</w:t>
      </w:r>
    </w:p>
    <w:p w:rsidR="008E21AE" w:rsidRDefault="00F90AB1" w:rsidP="008E21AE">
      <w:pPr>
        <w:pStyle w:val="Heading5"/>
      </w:pPr>
      <w:r w:rsidRPr="00F90AB1">
        <w:t>I</w:t>
      </w:r>
      <w:r w:rsidR="008E21AE">
        <w:t>ntegrated Summary of E</w:t>
      </w:r>
      <w:r w:rsidRPr="00F90AB1">
        <w:t>fficacy</w:t>
      </w:r>
    </w:p>
    <w:p w:rsidR="00F90AB1" w:rsidRPr="008E21AE" w:rsidRDefault="008E21AE" w:rsidP="00F90AB1">
      <w:r w:rsidRPr="008E21AE">
        <w:t xml:space="preserve">The </w:t>
      </w:r>
      <w:r w:rsidR="00C412F6">
        <w:t xml:space="preserve">sponsor’s </w:t>
      </w:r>
      <w:r w:rsidRPr="008E21AE">
        <w:t>Integrated Summary of Efficacy</w:t>
      </w:r>
      <w:r w:rsidR="00F90AB1" w:rsidRPr="00F90AB1">
        <w:t xml:space="preserve"> was based on 80 subjects from Cohort B in </w:t>
      </w:r>
      <w:r>
        <w:t>Study </w:t>
      </w:r>
      <w:r w:rsidR="00F90AB1" w:rsidRPr="00F90AB1">
        <w:t xml:space="preserve">CA209205 and 15 subjects from </w:t>
      </w:r>
      <w:r>
        <w:t xml:space="preserve">Study CA209039 who had prior </w:t>
      </w:r>
      <w:proofErr w:type="spellStart"/>
      <w:r>
        <w:t>brentuximab</w:t>
      </w:r>
      <w:proofErr w:type="spellEnd"/>
      <w:r>
        <w:t xml:space="preserve"> </w:t>
      </w:r>
      <w:proofErr w:type="spellStart"/>
      <w:r>
        <w:t>vedotin</w:t>
      </w:r>
      <w:proofErr w:type="spellEnd"/>
      <w:r w:rsidR="00F90AB1" w:rsidRPr="00F90AB1">
        <w:t xml:space="preserve"> treatment after failure of ASCT. The ORR (</w:t>
      </w:r>
      <w:r>
        <w:t xml:space="preserve">95% CI) derived was 65.3% (54.8 to </w:t>
      </w:r>
      <w:r w:rsidR="00F90AB1" w:rsidRPr="00F90AB1">
        <w:t>74.7), consistent with biological activity with potentially important clinical efficacy. Discrepancies between studies included different durations of follow-up, different definitions of BOR, and different criteria for ceasing treatment.</w:t>
      </w:r>
    </w:p>
    <w:p w:rsidR="00F90AB1" w:rsidRPr="00F90AB1" w:rsidRDefault="00F90AB1" w:rsidP="008E21AE">
      <w:pPr>
        <w:pStyle w:val="Heading5"/>
      </w:pPr>
      <w:r w:rsidRPr="00F90AB1">
        <w:t xml:space="preserve">Efficacy issues </w:t>
      </w:r>
      <w:r w:rsidR="008E21AE">
        <w:t>identified as unresolved by the clinical e</w:t>
      </w:r>
      <w:r w:rsidRPr="00F90AB1">
        <w:t>valuator</w:t>
      </w:r>
    </w:p>
    <w:p w:rsidR="00F90AB1" w:rsidRPr="00F90AB1" w:rsidRDefault="00F90AB1" w:rsidP="008E21AE">
      <w:pPr>
        <w:pStyle w:val="ListBullet"/>
      </w:pPr>
      <w:r w:rsidRPr="00F90AB1">
        <w:t xml:space="preserve">The evaluator recommended removal of the second part of the proposed indication, due to insufficient data on use of </w:t>
      </w:r>
      <w:proofErr w:type="spellStart"/>
      <w:r w:rsidRPr="00F90AB1">
        <w:t>nivolumab</w:t>
      </w:r>
      <w:proofErr w:type="spellEnd"/>
      <w:r w:rsidRPr="00F90AB1">
        <w:t xml:space="preserve"> monotherapy in patie</w:t>
      </w:r>
      <w:r w:rsidR="008E21AE">
        <w:t>nts who are ineligible for ASCT</w:t>
      </w:r>
    </w:p>
    <w:p w:rsidR="00F90AB1" w:rsidRPr="00F90AB1" w:rsidRDefault="00F90AB1" w:rsidP="008E21AE">
      <w:pPr>
        <w:pStyle w:val="ListBullet"/>
      </w:pPr>
      <w:r w:rsidRPr="00F90AB1">
        <w:t xml:space="preserve">The evaluator noted that data from a subsequent DBL in June 2016 had not been used to provide updated efficacy analysis, and recommended provision of follow-up reports for </w:t>
      </w:r>
      <w:r w:rsidR="008E21AE">
        <w:t>Studies CA209205 and CA</w:t>
      </w:r>
      <w:r w:rsidRPr="00F90AB1">
        <w:t>209039</w:t>
      </w:r>
    </w:p>
    <w:p w:rsidR="001B3FA4" w:rsidRDefault="00F90AB1" w:rsidP="001B3FA4">
      <w:pPr>
        <w:pStyle w:val="ListBullet"/>
      </w:pPr>
      <w:r w:rsidRPr="00F90AB1">
        <w:t>The evaluator recommended changes to the product documentation</w:t>
      </w:r>
      <w:r w:rsidR="008E21AE">
        <w:t>.</w:t>
      </w:r>
    </w:p>
    <w:p w:rsidR="008E21AE" w:rsidRPr="008E21AE" w:rsidRDefault="008E21AE" w:rsidP="002F3CEB">
      <w:pPr>
        <w:pStyle w:val="Heading4"/>
      </w:pPr>
      <w:r w:rsidRPr="008E21AE">
        <w:t>Delegate</w:t>
      </w:r>
      <w:r w:rsidR="00D213CB">
        <w:t>’s</w:t>
      </w:r>
      <w:r w:rsidRPr="008E21AE">
        <w:t xml:space="preserve"> conclusion</w:t>
      </w:r>
      <w:r w:rsidR="00D213CB">
        <w:t>s</w:t>
      </w:r>
      <w:r w:rsidRPr="008E21AE">
        <w:t xml:space="preserve"> on efficacy</w:t>
      </w:r>
    </w:p>
    <w:p w:rsidR="008E21AE" w:rsidRPr="008E21AE" w:rsidRDefault="008E21AE" w:rsidP="008E21AE">
      <w:r w:rsidRPr="008E21AE">
        <w:t>The studies provided were small and without comparator arms</w:t>
      </w:r>
      <w:r w:rsidR="0023372B">
        <w:t xml:space="preserve">. </w:t>
      </w:r>
      <w:r w:rsidRPr="008E21AE">
        <w:t xml:space="preserve">The ORR was 60% or more in the target </w:t>
      </w:r>
      <w:proofErr w:type="spellStart"/>
      <w:r w:rsidRPr="008E21AE">
        <w:t>cHL</w:t>
      </w:r>
      <w:proofErr w:type="spellEnd"/>
      <w:r w:rsidRPr="008E21AE">
        <w:t xml:space="preserve"> population. The ORR for </w:t>
      </w:r>
      <w:proofErr w:type="spellStart"/>
      <w:r w:rsidRPr="008E21AE">
        <w:t>brentuximab</w:t>
      </w:r>
      <w:proofErr w:type="spellEnd"/>
      <w:r w:rsidRPr="008E21AE">
        <w:t xml:space="preserve"> </w:t>
      </w:r>
      <w:proofErr w:type="spellStart"/>
      <w:r w:rsidR="0023372B">
        <w:t>vedotin</w:t>
      </w:r>
      <w:proofErr w:type="spellEnd"/>
      <w:r w:rsidR="0023372B">
        <w:t xml:space="preserve"> </w:t>
      </w:r>
      <w:r w:rsidRPr="008E21AE">
        <w:t xml:space="preserve">was around 75% in </w:t>
      </w:r>
      <w:proofErr w:type="spellStart"/>
      <w:r w:rsidRPr="008E21AE">
        <w:t>cHL</w:t>
      </w:r>
      <w:proofErr w:type="spellEnd"/>
      <w:r w:rsidRPr="008E21AE">
        <w:t xml:space="preserve"> CD30+</w:t>
      </w:r>
      <w:r w:rsidR="0023372B">
        <w:t xml:space="preserve"> </w:t>
      </w:r>
      <w:proofErr w:type="gramStart"/>
      <w:r w:rsidRPr="008E21AE">
        <w:t>patients</w:t>
      </w:r>
      <w:proofErr w:type="gramEnd"/>
      <w:r w:rsidRPr="008E21AE">
        <w:t xml:space="preserve"> post-ASCT. The ORR for </w:t>
      </w:r>
      <w:proofErr w:type="spellStart"/>
      <w:r w:rsidRPr="008E21AE">
        <w:t>nivolumab</w:t>
      </w:r>
      <w:proofErr w:type="spellEnd"/>
      <w:r w:rsidRPr="008E21AE">
        <w:t xml:space="preserve"> compares favourably to available historical data for other single agents </w:t>
      </w:r>
      <w:r w:rsidR="0023372B">
        <w:t xml:space="preserve">used for </w:t>
      </w:r>
      <w:proofErr w:type="spellStart"/>
      <w:r w:rsidR="0023372B">
        <w:t>cHL.</w:t>
      </w:r>
      <w:proofErr w:type="spellEnd"/>
    </w:p>
    <w:p w:rsidR="008E21AE" w:rsidRPr="008E21AE" w:rsidRDefault="008E21AE" w:rsidP="008E21AE">
      <w:r w:rsidRPr="008E21AE">
        <w:t xml:space="preserve">It is reasonable to expect that the </w:t>
      </w:r>
      <w:proofErr w:type="spellStart"/>
      <w:r w:rsidRPr="008E21AE">
        <w:t>nivolumab</w:t>
      </w:r>
      <w:proofErr w:type="spellEnd"/>
      <w:r w:rsidRPr="008E21AE">
        <w:t xml:space="preserve"> ORR results predict meaningful clinical efficacy in patients who receive </w:t>
      </w:r>
      <w:proofErr w:type="spellStart"/>
      <w:r w:rsidRPr="008E21AE">
        <w:t>brentuximab</w:t>
      </w:r>
      <w:proofErr w:type="spellEnd"/>
      <w:r w:rsidRPr="008E21AE">
        <w:t xml:space="preserve"> treatment as salvage following failure of ASCT</w:t>
      </w:r>
      <w:r w:rsidR="0023372B">
        <w:t xml:space="preserve">. </w:t>
      </w:r>
      <w:r w:rsidRPr="008E21AE">
        <w:t>Data from 5 patients in P</w:t>
      </w:r>
      <w:r w:rsidR="0023372B">
        <w:t xml:space="preserve">hase I </w:t>
      </w:r>
      <w:r w:rsidR="00D213CB">
        <w:t>Study</w:t>
      </w:r>
      <w:r w:rsidR="0023372B">
        <w:t xml:space="preserve"> CA</w:t>
      </w:r>
      <w:r w:rsidRPr="008E21AE">
        <w:t xml:space="preserve">209039 are insufficient to support the use of </w:t>
      </w:r>
      <w:proofErr w:type="spellStart"/>
      <w:r w:rsidRPr="008E21AE">
        <w:t>nivolumab</w:t>
      </w:r>
      <w:proofErr w:type="spellEnd"/>
      <w:r w:rsidRPr="008E21AE">
        <w:t xml:space="preserve"> monotherapy in patients who are not candidates for ASCT.</w:t>
      </w:r>
    </w:p>
    <w:p w:rsidR="008E21AE" w:rsidRPr="008E21AE" w:rsidRDefault="008E21AE" w:rsidP="008E21AE">
      <w:r w:rsidRPr="008E21AE">
        <w:t>The limitations of the evidence should be clearly stated as part of the indication and the trial data should be accurately described in the PI.</w:t>
      </w:r>
    </w:p>
    <w:p w:rsidR="008E21AE" w:rsidRDefault="008E21AE" w:rsidP="008E21AE">
      <w:r w:rsidRPr="008E21AE">
        <w:t>The final CSRs for the studies provided in the dossier</w:t>
      </w:r>
      <w:r w:rsidRPr="008E21AE">
        <w:rPr>
          <w:i/>
        </w:rPr>
        <w:t xml:space="preserve"> </w:t>
      </w:r>
      <w:r w:rsidRPr="008E21AE">
        <w:t>should be provided to TGA.</w:t>
      </w:r>
    </w:p>
    <w:p w:rsidR="0023372B" w:rsidRPr="0023372B" w:rsidRDefault="0023372B" w:rsidP="0023372B">
      <w:pPr>
        <w:pStyle w:val="Heading4"/>
      </w:pPr>
      <w:r w:rsidRPr="0023372B">
        <w:lastRenderedPageBreak/>
        <w:t>Safety</w:t>
      </w:r>
    </w:p>
    <w:p w:rsidR="0023372B" w:rsidRDefault="0023372B" w:rsidP="0023372B">
      <w:r w:rsidRPr="0023372B">
        <w:t xml:space="preserve">The safety profile of </w:t>
      </w:r>
      <w:proofErr w:type="spellStart"/>
      <w:r w:rsidRPr="0023372B">
        <w:t>nivolumab</w:t>
      </w:r>
      <w:proofErr w:type="spellEnd"/>
      <w:r w:rsidRPr="0023372B">
        <w:t xml:space="preserve"> in </w:t>
      </w:r>
      <w:proofErr w:type="spellStart"/>
      <w:r w:rsidRPr="0023372B">
        <w:t>cHL</w:t>
      </w:r>
      <w:proofErr w:type="spellEnd"/>
      <w:r w:rsidRPr="0023372B">
        <w:t xml:space="preserve"> treatment was considered by the sponsor to be consistent with prior data in studies o</w:t>
      </w:r>
      <w:r w:rsidR="002B08C9">
        <w:t xml:space="preserve">f patients with solid tumours. </w:t>
      </w:r>
      <w:r w:rsidRPr="0023372B">
        <w:t xml:space="preserve">The </w:t>
      </w:r>
      <w:r w:rsidR="002B08C9">
        <w:t xml:space="preserve">clinical </w:t>
      </w:r>
      <w:r w:rsidRPr="0023372B">
        <w:t xml:space="preserve">evaluator summarised AE data from 3 datasets and 2 DBLs </w:t>
      </w:r>
      <w:r w:rsidR="00D213CB">
        <w:t>(available in Attachment 2)</w:t>
      </w:r>
      <w:r w:rsidR="00CB22BF">
        <w:t xml:space="preserve"> an</w:t>
      </w:r>
      <w:r w:rsidR="00D213CB">
        <w:t xml:space="preserve">d is </w:t>
      </w:r>
      <w:r w:rsidR="00C362E7">
        <w:t>reproduced below in Table 22</w:t>
      </w:r>
      <w:r w:rsidR="002B08C9">
        <w:t xml:space="preserve">. </w:t>
      </w:r>
      <w:r w:rsidRPr="0023372B">
        <w:t xml:space="preserve">The SCE population is the target group with relapsed or refractory </w:t>
      </w:r>
      <w:proofErr w:type="spellStart"/>
      <w:r w:rsidR="00982548">
        <w:t>cHL</w:t>
      </w:r>
      <w:proofErr w:type="spellEnd"/>
      <w:r w:rsidRPr="0023372B">
        <w:t xml:space="preserve"> who have failed treatment with ASCT and </w:t>
      </w:r>
      <w:proofErr w:type="spellStart"/>
      <w:r w:rsidRPr="0023372B">
        <w:t>brentuximab</w:t>
      </w:r>
      <w:proofErr w:type="spellEnd"/>
      <w:r w:rsidRPr="0023372B">
        <w:t>.</w:t>
      </w:r>
    </w:p>
    <w:p w:rsidR="00CB22BF" w:rsidRPr="0023372B" w:rsidRDefault="00C362E7" w:rsidP="00CB22BF">
      <w:pPr>
        <w:pStyle w:val="Tabletitle0"/>
      </w:pPr>
      <w:proofErr w:type="gramStart"/>
      <w:r>
        <w:t>Table 22</w:t>
      </w:r>
      <w:r w:rsidR="00CB22BF">
        <w:t>.</w:t>
      </w:r>
      <w:proofErr w:type="gramEnd"/>
      <w:r w:rsidR="00CB22BF">
        <w:t xml:space="preserve"> Summary of Safety,</w:t>
      </w:r>
      <w:r w:rsidR="00CB22BF" w:rsidRPr="00CB22BF">
        <w:t xml:space="preserve"> June 2016 DBL and Feb</w:t>
      </w:r>
      <w:r w:rsidR="00CB22BF">
        <w:t>ruary</w:t>
      </w:r>
      <w:r w:rsidR="00CB22BF" w:rsidRPr="00CB22BF">
        <w:t xml:space="preserve"> 2016 DBL</w:t>
      </w:r>
    </w:p>
    <w:tbl>
      <w:tblPr>
        <w:tblW w:w="89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Table 22 is a summary of Safety, June 2016 DBL and February 2016 DBL"/>
      </w:tblPr>
      <w:tblGrid>
        <w:gridCol w:w="3085"/>
        <w:gridCol w:w="2268"/>
        <w:gridCol w:w="1276"/>
        <w:gridCol w:w="2297"/>
      </w:tblGrid>
      <w:tr w:rsidR="00DF5D00" w:rsidRPr="00982548" w:rsidTr="00F84633">
        <w:trPr>
          <w:trHeight w:val="1727"/>
          <w:tblHeader/>
        </w:trPr>
        <w:tc>
          <w:tcPr>
            <w:tcW w:w="3085" w:type="dxa"/>
            <w:tcBorders>
              <w:top w:val="single" w:sz="8" w:space="0" w:color="000000"/>
              <w:left w:val="single" w:sz="8" w:space="0" w:color="000000"/>
              <w:bottom w:val="single" w:sz="8" w:space="0" w:color="000000"/>
              <w:right w:val="nil"/>
              <w:tl2br w:val="nil"/>
              <w:tr2bl w:val="nil"/>
            </w:tcBorders>
            <w:shd w:val="clear" w:color="auto" w:fill="006DA7"/>
            <w:noWrap/>
            <w:hideMark/>
          </w:tcPr>
          <w:p w:rsidR="00982548" w:rsidRPr="00A2181C" w:rsidRDefault="00982548" w:rsidP="00A2181C">
            <w:pPr>
              <w:keepNext/>
              <w:rPr>
                <w:b/>
                <w:color w:val="FFFFFF"/>
                <w:sz w:val="20"/>
                <w:szCs w:val="21"/>
                <w:lang w:eastAsia="en-AU"/>
              </w:rPr>
            </w:pPr>
          </w:p>
        </w:tc>
        <w:tc>
          <w:tcPr>
            <w:tcW w:w="2268" w:type="dxa"/>
            <w:tcBorders>
              <w:top w:val="single" w:sz="8" w:space="0" w:color="000000"/>
              <w:left w:val="nil"/>
              <w:bottom w:val="single" w:sz="8" w:space="0" w:color="000000"/>
              <w:right w:val="nil"/>
              <w:tl2br w:val="nil"/>
              <w:tr2bl w:val="nil"/>
            </w:tcBorders>
            <w:shd w:val="clear" w:color="auto" w:fill="006DA7"/>
            <w:noWrap/>
            <w:hideMark/>
          </w:tcPr>
          <w:p w:rsidR="00982548" w:rsidRPr="00A2181C" w:rsidRDefault="00982548" w:rsidP="00A2181C">
            <w:pPr>
              <w:keepNext/>
              <w:rPr>
                <w:b/>
                <w:bCs/>
                <w:color w:val="FFFFFF"/>
                <w:sz w:val="20"/>
                <w:szCs w:val="21"/>
                <w:lang w:eastAsia="en-AU"/>
              </w:rPr>
            </w:pPr>
            <w:r w:rsidRPr="00A2181C">
              <w:rPr>
                <w:b/>
                <w:bCs/>
                <w:color w:val="FFFFFF"/>
                <w:sz w:val="20"/>
                <w:szCs w:val="21"/>
                <w:lang w:eastAsia="en-AU"/>
              </w:rPr>
              <w:t xml:space="preserve">All </w:t>
            </w:r>
            <w:proofErr w:type="spellStart"/>
            <w:r w:rsidRPr="00A2181C">
              <w:rPr>
                <w:b/>
                <w:bCs/>
                <w:color w:val="FFFFFF"/>
                <w:sz w:val="20"/>
                <w:szCs w:val="21"/>
                <w:lang w:eastAsia="en-AU"/>
              </w:rPr>
              <w:t>cHL</w:t>
            </w:r>
            <w:proofErr w:type="spellEnd"/>
          </w:p>
          <w:p w:rsidR="00982548" w:rsidRPr="00A2181C" w:rsidRDefault="00982548" w:rsidP="00A2181C">
            <w:pPr>
              <w:keepNext/>
              <w:rPr>
                <w:b/>
                <w:bCs/>
                <w:color w:val="FFFFFF"/>
                <w:sz w:val="20"/>
                <w:szCs w:val="21"/>
                <w:lang w:eastAsia="en-AU"/>
              </w:rPr>
            </w:pPr>
            <w:r w:rsidRPr="00A2181C">
              <w:rPr>
                <w:b/>
                <w:bCs/>
                <w:color w:val="FFFFFF"/>
                <w:sz w:val="20"/>
                <w:szCs w:val="21"/>
                <w:lang w:eastAsia="en-AU"/>
              </w:rPr>
              <w:t>(Cohort A, B + C of Study CA209205; and Study CA209039)</w:t>
            </w:r>
          </w:p>
          <w:p w:rsidR="00982548" w:rsidRPr="00A2181C" w:rsidRDefault="00982548" w:rsidP="00A2181C">
            <w:pPr>
              <w:keepNext/>
              <w:rPr>
                <w:b/>
                <w:bCs/>
                <w:color w:val="FFFFFF"/>
                <w:sz w:val="20"/>
                <w:szCs w:val="21"/>
                <w:lang w:eastAsia="en-AU"/>
              </w:rPr>
            </w:pPr>
            <w:r w:rsidRPr="00A2181C">
              <w:rPr>
                <w:b/>
                <w:bCs/>
                <w:color w:val="FFFFFF"/>
                <w:sz w:val="20"/>
                <w:szCs w:val="21"/>
                <w:lang w:eastAsia="en-AU"/>
              </w:rPr>
              <w:t>June 2016 DBL</w:t>
            </w:r>
          </w:p>
        </w:tc>
        <w:tc>
          <w:tcPr>
            <w:tcW w:w="1276" w:type="dxa"/>
            <w:tcBorders>
              <w:top w:val="single" w:sz="8" w:space="0" w:color="000000"/>
              <w:left w:val="nil"/>
              <w:bottom w:val="single" w:sz="8" w:space="0" w:color="000000"/>
              <w:right w:val="nil"/>
              <w:tl2br w:val="nil"/>
              <w:tr2bl w:val="nil"/>
            </w:tcBorders>
            <w:shd w:val="clear" w:color="auto" w:fill="006DA7"/>
          </w:tcPr>
          <w:p w:rsidR="00982548" w:rsidRPr="00A2181C" w:rsidRDefault="00982548" w:rsidP="00A2181C">
            <w:pPr>
              <w:keepNext/>
              <w:rPr>
                <w:b/>
                <w:bCs/>
                <w:color w:val="FFFFFF"/>
                <w:sz w:val="20"/>
                <w:szCs w:val="21"/>
                <w:lang w:eastAsia="en-AU"/>
              </w:rPr>
            </w:pPr>
            <w:r w:rsidRPr="00A2181C">
              <w:rPr>
                <w:b/>
                <w:bCs/>
                <w:color w:val="FFFFFF"/>
                <w:sz w:val="20"/>
                <w:szCs w:val="21"/>
                <w:lang w:eastAsia="en-AU"/>
              </w:rPr>
              <w:t>SCE population</w:t>
            </w:r>
          </w:p>
          <w:p w:rsidR="00982548" w:rsidRPr="00A2181C" w:rsidRDefault="00982548" w:rsidP="00A2181C">
            <w:pPr>
              <w:keepNext/>
              <w:rPr>
                <w:b/>
                <w:bCs/>
                <w:color w:val="FFFFFF"/>
                <w:sz w:val="20"/>
                <w:szCs w:val="21"/>
                <w:lang w:eastAsia="en-AU"/>
              </w:rPr>
            </w:pPr>
            <w:r w:rsidRPr="00A2181C">
              <w:rPr>
                <w:b/>
                <w:bCs/>
                <w:color w:val="FFFFFF"/>
                <w:sz w:val="20"/>
                <w:szCs w:val="21"/>
                <w:lang w:eastAsia="en-AU"/>
              </w:rPr>
              <w:t>June 2016</w:t>
            </w:r>
          </w:p>
        </w:tc>
        <w:tc>
          <w:tcPr>
            <w:tcW w:w="2297" w:type="dxa"/>
            <w:tcBorders>
              <w:top w:val="single" w:sz="8" w:space="0" w:color="000000"/>
              <w:left w:val="nil"/>
              <w:bottom w:val="single" w:sz="8" w:space="0" w:color="000000"/>
              <w:right w:val="single" w:sz="8" w:space="0" w:color="000000"/>
              <w:tl2br w:val="nil"/>
              <w:tr2bl w:val="nil"/>
            </w:tcBorders>
            <w:shd w:val="clear" w:color="auto" w:fill="006DA7"/>
          </w:tcPr>
          <w:p w:rsidR="00CB22BF" w:rsidRPr="00A2181C" w:rsidRDefault="00CB22BF" w:rsidP="00A2181C">
            <w:pPr>
              <w:keepNext/>
              <w:rPr>
                <w:b/>
                <w:bCs/>
                <w:color w:val="FFFFFF"/>
                <w:sz w:val="20"/>
                <w:szCs w:val="21"/>
                <w:lang w:eastAsia="en-AU"/>
              </w:rPr>
            </w:pPr>
            <w:r w:rsidRPr="00A2181C">
              <w:rPr>
                <w:b/>
                <w:bCs/>
                <w:color w:val="FFFFFF"/>
                <w:sz w:val="20"/>
                <w:szCs w:val="21"/>
                <w:lang w:eastAsia="en-AU"/>
              </w:rPr>
              <w:t xml:space="preserve">All </w:t>
            </w:r>
            <w:proofErr w:type="spellStart"/>
            <w:r w:rsidRPr="00A2181C">
              <w:rPr>
                <w:b/>
                <w:bCs/>
                <w:color w:val="FFFFFF"/>
                <w:sz w:val="20"/>
                <w:szCs w:val="21"/>
                <w:lang w:eastAsia="en-AU"/>
              </w:rPr>
              <w:t>cHL</w:t>
            </w:r>
            <w:proofErr w:type="spellEnd"/>
          </w:p>
          <w:p w:rsidR="00982548" w:rsidRPr="00A2181C" w:rsidRDefault="00982548" w:rsidP="00A2181C">
            <w:pPr>
              <w:keepNext/>
              <w:rPr>
                <w:b/>
                <w:bCs/>
                <w:color w:val="FFFFFF"/>
                <w:sz w:val="20"/>
                <w:szCs w:val="21"/>
                <w:lang w:eastAsia="en-AU"/>
              </w:rPr>
            </w:pPr>
            <w:r w:rsidRPr="00A2181C">
              <w:rPr>
                <w:b/>
                <w:bCs/>
                <w:color w:val="FFFFFF"/>
                <w:sz w:val="20"/>
                <w:szCs w:val="21"/>
                <w:lang w:eastAsia="en-AU"/>
              </w:rPr>
              <w:t>(Cohort A, B + C of Study CA209205; and Study CA209039)</w:t>
            </w:r>
          </w:p>
          <w:p w:rsidR="00982548" w:rsidRPr="00A2181C" w:rsidRDefault="00982548" w:rsidP="00A2181C">
            <w:pPr>
              <w:keepNext/>
              <w:rPr>
                <w:b/>
                <w:bCs/>
                <w:color w:val="FFFFFF"/>
                <w:sz w:val="20"/>
                <w:szCs w:val="21"/>
                <w:lang w:eastAsia="en-AU"/>
              </w:rPr>
            </w:pPr>
            <w:r w:rsidRPr="00A2181C">
              <w:rPr>
                <w:b/>
                <w:bCs/>
                <w:color w:val="FFFFFF"/>
                <w:sz w:val="20"/>
                <w:szCs w:val="21"/>
                <w:lang w:eastAsia="en-AU"/>
              </w:rPr>
              <w:t>Feb 2016 DBL</w:t>
            </w:r>
          </w:p>
        </w:tc>
      </w:tr>
      <w:tr w:rsidR="00DF5D00" w:rsidRPr="00982548" w:rsidTr="00F84633">
        <w:trPr>
          <w:trHeight w:val="300"/>
        </w:trPr>
        <w:tc>
          <w:tcPr>
            <w:tcW w:w="3085" w:type="dxa"/>
            <w:shd w:val="clear" w:color="auto" w:fill="auto"/>
            <w:noWrap/>
            <w:hideMark/>
          </w:tcPr>
          <w:p w:rsidR="00982548" w:rsidRPr="00A2181C" w:rsidRDefault="00982548" w:rsidP="00982548">
            <w:pPr>
              <w:rPr>
                <w:color w:val="000000"/>
                <w:sz w:val="20"/>
                <w:szCs w:val="21"/>
                <w:lang w:eastAsia="en-AU"/>
              </w:rPr>
            </w:pP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N = 266</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N = 95</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N = 263</w:t>
            </w:r>
          </w:p>
        </w:tc>
      </w:tr>
      <w:tr w:rsidR="00DF5D00" w:rsidRPr="00982548" w:rsidTr="00F84633">
        <w:trPr>
          <w:trHeight w:val="300"/>
        </w:trPr>
        <w:tc>
          <w:tcPr>
            <w:tcW w:w="3085" w:type="dxa"/>
            <w:shd w:val="clear" w:color="auto" w:fill="auto"/>
            <w:noWrap/>
          </w:tcPr>
          <w:p w:rsidR="00982548" w:rsidRPr="00A2181C" w:rsidRDefault="00982548" w:rsidP="00982548">
            <w:pPr>
              <w:rPr>
                <w:color w:val="000000"/>
                <w:sz w:val="20"/>
                <w:szCs w:val="21"/>
                <w:lang w:eastAsia="en-AU"/>
              </w:rPr>
            </w:pPr>
            <w:r w:rsidRPr="00A2181C">
              <w:rPr>
                <w:color w:val="000000"/>
                <w:sz w:val="20"/>
                <w:szCs w:val="21"/>
                <w:lang w:eastAsia="en-AU"/>
              </w:rPr>
              <w:t>Median duration of therapy in months (range)</w:t>
            </w:r>
          </w:p>
        </w:tc>
        <w:tc>
          <w:tcPr>
            <w:tcW w:w="2268" w:type="dxa"/>
            <w:shd w:val="clear" w:color="auto" w:fill="auto"/>
            <w:noWrap/>
          </w:tcPr>
          <w:p w:rsidR="00982548" w:rsidRPr="00A2181C" w:rsidRDefault="00982548" w:rsidP="00982548">
            <w:pPr>
              <w:rPr>
                <w:color w:val="000000"/>
                <w:sz w:val="20"/>
                <w:szCs w:val="21"/>
                <w:lang w:eastAsia="en-AU"/>
              </w:rPr>
            </w:pPr>
            <w:r w:rsidRPr="00A2181C">
              <w:rPr>
                <w:color w:val="000000"/>
                <w:sz w:val="20"/>
                <w:szCs w:val="21"/>
                <w:lang w:eastAsia="en-AU"/>
              </w:rPr>
              <w:t>18.63 (0 to 23.4)</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13.8 (1.1 to 23.4)</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NA</w:t>
            </w:r>
          </w:p>
        </w:tc>
      </w:tr>
      <w:tr w:rsidR="00DF5D00" w:rsidRPr="00982548" w:rsidTr="00F84633">
        <w:trPr>
          <w:trHeight w:val="300"/>
        </w:trPr>
        <w:tc>
          <w:tcPr>
            <w:tcW w:w="3085"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Total subjects with an event (%)</w:t>
            </w:r>
          </w:p>
        </w:tc>
        <w:tc>
          <w:tcPr>
            <w:tcW w:w="2268" w:type="dxa"/>
            <w:shd w:val="clear" w:color="auto" w:fill="auto"/>
            <w:noWrap/>
            <w:hideMark/>
          </w:tcPr>
          <w:p w:rsidR="00982548" w:rsidRPr="00A2181C" w:rsidRDefault="00982548" w:rsidP="00982548">
            <w:pPr>
              <w:rPr>
                <w:color w:val="000000"/>
                <w:sz w:val="20"/>
                <w:szCs w:val="21"/>
                <w:lang w:eastAsia="en-AU"/>
              </w:rPr>
            </w:pPr>
          </w:p>
        </w:tc>
        <w:tc>
          <w:tcPr>
            <w:tcW w:w="1276" w:type="dxa"/>
            <w:shd w:val="clear" w:color="auto" w:fill="auto"/>
          </w:tcPr>
          <w:p w:rsidR="00982548" w:rsidRPr="00A2181C" w:rsidRDefault="00982548" w:rsidP="00982548">
            <w:pPr>
              <w:rPr>
                <w:color w:val="000000"/>
                <w:sz w:val="20"/>
                <w:szCs w:val="21"/>
                <w:lang w:eastAsia="en-AU"/>
              </w:rPr>
            </w:pPr>
          </w:p>
        </w:tc>
        <w:tc>
          <w:tcPr>
            <w:tcW w:w="2297" w:type="dxa"/>
            <w:shd w:val="clear" w:color="auto" w:fill="auto"/>
          </w:tcPr>
          <w:p w:rsidR="00982548" w:rsidRPr="00A2181C" w:rsidRDefault="00982548" w:rsidP="00982548">
            <w:pPr>
              <w:rPr>
                <w:color w:val="000000"/>
                <w:sz w:val="20"/>
                <w:szCs w:val="21"/>
                <w:lang w:eastAsia="en-AU"/>
              </w:rPr>
            </w:pPr>
          </w:p>
        </w:tc>
      </w:tr>
      <w:tr w:rsidR="00DF5D00" w:rsidRPr="00982548" w:rsidTr="00F84633">
        <w:trPr>
          <w:trHeight w:val="300"/>
        </w:trPr>
        <w:tc>
          <w:tcPr>
            <w:tcW w:w="3085" w:type="dxa"/>
            <w:shd w:val="clear" w:color="auto" w:fill="auto"/>
            <w:noWrap/>
            <w:hideMark/>
          </w:tcPr>
          <w:p w:rsidR="00982548" w:rsidRPr="00A2181C" w:rsidRDefault="00CB22BF" w:rsidP="00982548">
            <w:pPr>
              <w:rPr>
                <w:color w:val="000000"/>
                <w:sz w:val="20"/>
                <w:szCs w:val="21"/>
                <w:lang w:eastAsia="en-AU"/>
              </w:rPr>
            </w:pPr>
            <w:r w:rsidRPr="00A2181C">
              <w:rPr>
                <w:color w:val="000000"/>
                <w:sz w:val="20"/>
                <w:szCs w:val="21"/>
                <w:lang w:eastAsia="en-AU"/>
              </w:rPr>
              <w:t xml:space="preserve">All Cause, all grades </w:t>
            </w:r>
            <w:r w:rsidR="00982548" w:rsidRPr="00A2181C">
              <w:rPr>
                <w:color w:val="000000"/>
                <w:sz w:val="20"/>
                <w:szCs w:val="21"/>
                <w:lang w:eastAsia="en-AU"/>
              </w:rPr>
              <w:t>AEs</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263 (98.9)</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95 (100)</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246 (93.5)</w:t>
            </w:r>
          </w:p>
        </w:tc>
      </w:tr>
      <w:tr w:rsidR="00DF5D00" w:rsidRPr="00982548" w:rsidTr="00F84633">
        <w:trPr>
          <w:trHeight w:val="300"/>
        </w:trPr>
        <w:tc>
          <w:tcPr>
            <w:tcW w:w="3085" w:type="dxa"/>
            <w:shd w:val="clear" w:color="auto" w:fill="auto"/>
            <w:noWrap/>
            <w:hideMark/>
          </w:tcPr>
          <w:p w:rsidR="00982548" w:rsidRPr="00A2181C" w:rsidRDefault="00CB22BF" w:rsidP="00982548">
            <w:pPr>
              <w:rPr>
                <w:color w:val="000000"/>
                <w:sz w:val="20"/>
                <w:szCs w:val="21"/>
                <w:lang w:eastAsia="en-AU"/>
              </w:rPr>
            </w:pPr>
            <w:r w:rsidRPr="00A2181C">
              <w:rPr>
                <w:color w:val="000000"/>
                <w:sz w:val="20"/>
                <w:szCs w:val="21"/>
                <w:lang w:eastAsia="en-AU"/>
              </w:rPr>
              <w:t xml:space="preserve">All Cause, Grade 3 or </w:t>
            </w:r>
            <w:r w:rsidR="00982548" w:rsidRPr="00A2181C">
              <w:rPr>
                <w:color w:val="000000"/>
                <w:sz w:val="20"/>
                <w:szCs w:val="21"/>
                <w:lang w:eastAsia="en-AU"/>
              </w:rPr>
              <w:t>4 AEs</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100 (37.6)</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47 (49.5)</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79 (30)</w:t>
            </w:r>
          </w:p>
        </w:tc>
      </w:tr>
      <w:tr w:rsidR="00DF5D00" w:rsidRPr="00982548" w:rsidTr="00F84633">
        <w:trPr>
          <w:trHeight w:val="300"/>
        </w:trPr>
        <w:tc>
          <w:tcPr>
            <w:tcW w:w="3085" w:type="dxa"/>
            <w:shd w:val="clear" w:color="auto" w:fill="auto"/>
            <w:noWrap/>
            <w:hideMark/>
          </w:tcPr>
          <w:p w:rsidR="00982548" w:rsidRPr="00A2181C" w:rsidRDefault="00CB22BF" w:rsidP="00982548">
            <w:pPr>
              <w:rPr>
                <w:color w:val="000000"/>
                <w:sz w:val="20"/>
                <w:szCs w:val="21"/>
                <w:lang w:eastAsia="en-AU"/>
              </w:rPr>
            </w:pPr>
            <w:r w:rsidRPr="00A2181C">
              <w:rPr>
                <w:color w:val="000000"/>
                <w:sz w:val="20"/>
                <w:szCs w:val="21"/>
                <w:lang w:eastAsia="en-AU"/>
              </w:rPr>
              <w:t xml:space="preserve">Drug related AEs, Grade 3 or </w:t>
            </w:r>
            <w:r w:rsidR="00982548" w:rsidRPr="00A2181C">
              <w:rPr>
                <w:color w:val="000000"/>
                <w:sz w:val="20"/>
                <w:szCs w:val="21"/>
                <w:lang w:eastAsia="en-AU"/>
              </w:rPr>
              <w:t>4</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56 (21.1)</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27 (28.4)</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42 (16.0)</w:t>
            </w:r>
          </w:p>
        </w:tc>
      </w:tr>
      <w:tr w:rsidR="00DF5D00" w:rsidRPr="00982548" w:rsidTr="00F84633">
        <w:trPr>
          <w:trHeight w:val="300"/>
        </w:trPr>
        <w:tc>
          <w:tcPr>
            <w:tcW w:w="3085"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Discontinuations due to AEs</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19 (7.1)</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7 (7.4)</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11 (4.2)</w:t>
            </w:r>
          </w:p>
        </w:tc>
      </w:tr>
      <w:tr w:rsidR="00DF5D00" w:rsidRPr="00982548" w:rsidTr="00F84633">
        <w:trPr>
          <w:trHeight w:val="300"/>
        </w:trPr>
        <w:tc>
          <w:tcPr>
            <w:tcW w:w="3085"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SAEs, all grades, all causality</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68 (25.6)</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29 (30.5)</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55 (20.9)</w:t>
            </w:r>
          </w:p>
        </w:tc>
      </w:tr>
      <w:tr w:rsidR="00DF5D00" w:rsidRPr="00982548" w:rsidTr="00F84633">
        <w:trPr>
          <w:trHeight w:val="300"/>
        </w:trPr>
        <w:tc>
          <w:tcPr>
            <w:tcW w:w="3085"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Deaths</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23 (8.6)</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11 (11.6)</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12 (4.6)</w:t>
            </w:r>
          </w:p>
        </w:tc>
      </w:tr>
      <w:tr w:rsidR="00DF5D00" w:rsidRPr="00982548" w:rsidTr="00F84633">
        <w:trPr>
          <w:trHeight w:val="300"/>
        </w:trPr>
        <w:tc>
          <w:tcPr>
            <w:tcW w:w="3085"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Within 30 days of last dose</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6 (2.3)</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2 (2.1)</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4 (1.6)</w:t>
            </w:r>
          </w:p>
        </w:tc>
      </w:tr>
      <w:tr w:rsidR="00DF5D00" w:rsidRPr="00982548" w:rsidTr="00F84633">
        <w:trPr>
          <w:trHeight w:val="300"/>
        </w:trPr>
        <w:tc>
          <w:tcPr>
            <w:tcW w:w="3085"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Within 100 days of last dose</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9 (3.4)</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1 (1.1)</w:t>
            </w:r>
          </w:p>
        </w:tc>
        <w:tc>
          <w:tcPr>
            <w:tcW w:w="2297"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5 (1.9)</w:t>
            </w:r>
          </w:p>
        </w:tc>
      </w:tr>
      <w:tr w:rsidR="00DF5D00" w:rsidRPr="00982548" w:rsidTr="00F84633">
        <w:trPr>
          <w:trHeight w:val="300"/>
        </w:trPr>
        <w:tc>
          <w:tcPr>
            <w:tcW w:w="3085"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 xml:space="preserve">Attributed to </w:t>
            </w:r>
            <w:proofErr w:type="spellStart"/>
            <w:r w:rsidRPr="00A2181C">
              <w:rPr>
                <w:color w:val="000000"/>
                <w:sz w:val="20"/>
                <w:szCs w:val="21"/>
                <w:lang w:eastAsia="en-AU"/>
              </w:rPr>
              <w:t>nivolumab</w:t>
            </w:r>
            <w:proofErr w:type="spellEnd"/>
            <w:r w:rsidRPr="00A2181C">
              <w:rPr>
                <w:color w:val="000000"/>
                <w:sz w:val="20"/>
                <w:szCs w:val="21"/>
                <w:lang w:eastAsia="en-AU"/>
              </w:rPr>
              <w:t xml:space="preserve"> toxicity</w:t>
            </w:r>
          </w:p>
        </w:tc>
        <w:tc>
          <w:tcPr>
            <w:tcW w:w="2268" w:type="dxa"/>
            <w:shd w:val="clear" w:color="auto" w:fill="auto"/>
            <w:noWrap/>
            <w:hideMark/>
          </w:tcPr>
          <w:p w:rsidR="00982548" w:rsidRPr="00A2181C" w:rsidRDefault="00982548" w:rsidP="00982548">
            <w:pPr>
              <w:rPr>
                <w:color w:val="000000"/>
                <w:sz w:val="20"/>
                <w:szCs w:val="21"/>
                <w:lang w:eastAsia="en-AU"/>
              </w:rPr>
            </w:pPr>
            <w:r w:rsidRPr="00A2181C">
              <w:rPr>
                <w:color w:val="000000"/>
                <w:sz w:val="20"/>
                <w:szCs w:val="21"/>
                <w:lang w:eastAsia="en-AU"/>
              </w:rPr>
              <w:t>0</w:t>
            </w:r>
          </w:p>
        </w:tc>
        <w:tc>
          <w:tcPr>
            <w:tcW w:w="1276" w:type="dxa"/>
            <w:shd w:val="clear" w:color="auto" w:fill="auto"/>
          </w:tcPr>
          <w:p w:rsidR="00982548" w:rsidRPr="00A2181C" w:rsidRDefault="00982548" w:rsidP="00982548">
            <w:pPr>
              <w:rPr>
                <w:color w:val="000000"/>
                <w:sz w:val="20"/>
                <w:szCs w:val="21"/>
                <w:lang w:eastAsia="en-AU"/>
              </w:rPr>
            </w:pPr>
            <w:r w:rsidRPr="00A2181C">
              <w:rPr>
                <w:color w:val="000000"/>
                <w:sz w:val="20"/>
                <w:szCs w:val="21"/>
                <w:lang w:eastAsia="en-AU"/>
              </w:rPr>
              <w:t>0</w:t>
            </w:r>
          </w:p>
        </w:tc>
        <w:tc>
          <w:tcPr>
            <w:tcW w:w="2297" w:type="dxa"/>
            <w:shd w:val="clear" w:color="auto" w:fill="auto"/>
          </w:tcPr>
          <w:p w:rsidR="00982548" w:rsidRPr="00A2181C" w:rsidRDefault="00CB22BF" w:rsidP="00982548">
            <w:pPr>
              <w:rPr>
                <w:color w:val="000000"/>
                <w:sz w:val="20"/>
                <w:szCs w:val="21"/>
                <w:lang w:eastAsia="en-AU"/>
              </w:rPr>
            </w:pPr>
            <w:r w:rsidRPr="00A2181C">
              <w:rPr>
                <w:color w:val="000000"/>
                <w:sz w:val="20"/>
                <w:szCs w:val="21"/>
                <w:lang w:eastAsia="en-AU"/>
              </w:rPr>
              <w:t>1</w:t>
            </w:r>
            <w:r w:rsidRPr="00A2181C">
              <w:rPr>
                <w:color w:val="000000"/>
                <w:sz w:val="20"/>
                <w:szCs w:val="21"/>
                <w:vertAlign w:val="superscript"/>
                <w:lang w:eastAsia="en-AU"/>
              </w:rPr>
              <w:t>a</w:t>
            </w:r>
            <w:r w:rsidR="00982548" w:rsidRPr="00A2181C">
              <w:rPr>
                <w:color w:val="000000"/>
                <w:sz w:val="20"/>
                <w:szCs w:val="21"/>
                <w:lang w:eastAsia="en-AU"/>
              </w:rPr>
              <w:t xml:space="preserve"> (0.4)</w:t>
            </w:r>
          </w:p>
        </w:tc>
      </w:tr>
      <w:tr w:rsidR="00982548" w:rsidRPr="00982548" w:rsidTr="00A2181C">
        <w:trPr>
          <w:trHeight w:val="300"/>
        </w:trPr>
        <w:tc>
          <w:tcPr>
            <w:tcW w:w="8926" w:type="dxa"/>
            <w:gridSpan w:val="4"/>
            <w:shd w:val="clear" w:color="auto" w:fill="auto"/>
            <w:noWrap/>
          </w:tcPr>
          <w:p w:rsidR="00982548" w:rsidRPr="00A2181C" w:rsidRDefault="00CB22BF" w:rsidP="00CB22BF">
            <w:pPr>
              <w:rPr>
                <w:color w:val="000000"/>
                <w:sz w:val="20"/>
                <w:szCs w:val="21"/>
                <w:lang w:eastAsia="en-AU"/>
              </w:rPr>
            </w:pPr>
            <w:r w:rsidRPr="00A2181C">
              <w:rPr>
                <w:color w:val="000000"/>
                <w:sz w:val="20"/>
                <w:szCs w:val="21"/>
                <w:lang w:eastAsia="en-AU"/>
              </w:rPr>
              <w:t xml:space="preserve">a) In the 1 March </w:t>
            </w:r>
            <w:r w:rsidR="00982548" w:rsidRPr="00A2181C">
              <w:rPr>
                <w:color w:val="000000"/>
                <w:sz w:val="20"/>
                <w:szCs w:val="21"/>
                <w:lang w:eastAsia="en-AU"/>
              </w:rPr>
              <w:t>2016 SCS, 1 death was previously attributed to study drug toxicity: a Grade 5 SAE of atypical pneumonia considered related to study treatment by the investigator was changed by the</w:t>
            </w:r>
            <w:r w:rsidRPr="00A2181C">
              <w:rPr>
                <w:color w:val="000000"/>
                <w:sz w:val="20"/>
                <w:szCs w:val="21"/>
                <w:lang w:eastAsia="en-AU"/>
              </w:rPr>
              <w:t xml:space="preserve"> investigator to unrelated post-DBL.</w:t>
            </w:r>
          </w:p>
        </w:tc>
      </w:tr>
    </w:tbl>
    <w:p w:rsidR="00CB22BF" w:rsidRPr="00CB22BF" w:rsidRDefault="00CB22BF" w:rsidP="00CB22BF">
      <w:r w:rsidRPr="00CB22BF">
        <w:t xml:space="preserve">See </w:t>
      </w:r>
      <w:r w:rsidR="00D213CB">
        <w:t>Attachment 2</w:t>
      </w:r>
      <w:r w:rsidRPr="00CB22BF">
        <w:t xml:space="preserve"> for reports of deaths. The evaluator considered that it was not possible to exclude a contribution of </w:t>
      </w:r>
      <w:r w:rsidR="00D213CB">
        <w:t>IR</w:t>
      </w:r>
      <w:r w:rsidRPr="00CB22BF">
        <w:t xml:space="preserve">AEs secondary to </w:t>
      </w:r>
      <w:proofErr w:type="spellStart"/>
      <w:r w:rsidRPr="00CB22BF">
        <w:t>nivolumab</w:t>
      </w:r>
      <w:proofErr w:type="spellEnd"/>
      <w:r w:rsidRPr="00CB22BF">
        <w:t xml:space="preserve"> to some of these.</w:t>
      </w:r>
    </w:p>
    <w:p w:rsidR="00CB22BF" w:rsidRPr="00CB22BF" w:rsidRDefault="00CB22BF" w:rsidP="00CB22BF">
      <w:r w:rsidRPr="00CB22BF">
        <w:t xml:space="preserve">The evaluator collated data into a table comparing tumour types and different </w:t>
      </w:r>
      <w:proofErr w:type="spellStart"/>
      <w:r w:rsidRPr="00CB22BF">
        <w:t>cHL</w:t>
      </w:r>
      <w:proofErr w:type="spellEnd"/>
      <w:r w:rsidRPr="00CB22BF">
        <w:t xml:space="preserve"> datasets </w:t>
      </w:r>
      <w:r w:rsidR="002F3CEB">
        <w:t>(available in Attachment 2)</w:t>
      </w:r>
      <w:r w:rsidRPr="00CB22BF">
        <w:t xml:space="preserve">. There was a longer median duration of therapy for the </w:t>
      </w:r>
      <w:proofErr w:type="spellStart"/>
      <w:r w:rsidRPr="00CB22BF">
        <w:t>cHL</w:t>
      </w:r>
      <w:proofErr w:type="spellEnd"/>
      <w:r w:rsidRPr="00CB22BF">
        <w:t xml:space="preserve"> population; 18.6 months in the SCS (all </w:t>
      </w:r>
      <w:proofErr w:type="spellStart"/>
      <w:r w:rsidRPr="00CB22BF">
        <w:t>cHL</w:t>
      </w:r>
      <w:proofErr w:type="spellEnd"/>
      <w:r w:rsidRPr="00CB22BF">
        <w:t xml:space="preserve">) population and </w:t>
      </w:r>
      <w:r>
        <w:t xml:space="preserve">12 to </w:t>
      </w:r>
      <w:r w:rsidRPr="00CB22BF">
        <w:t xml:space="preserve">13 months for the target </w:t>
      </w:r>
      <w:proofErr w:type="spellStart"/>
      <w:r w:rsidRPr="00CB22BF">
        <w:t>cHL</w:t>
      </w:r>
      <w:proofErr w:type="spellEnd"/>
      <w:r w:rsidRPr="00CB22BF">
        <w:t xml:space="preserve"> population (SCE) compared to less than 6 months from the melanoma, NSCLC and RCC data. The numbers were markedly smaller from the </w:t>
      </w:r>
      <w:proofErr w:type="spellStart"/>
      <w:r w:rsidRPr="00CB22BF">
        <w:t>cHL</w:t>
      </w:r>
      <w:proofErr w:type="spellEnd"/>
      <w:r w:rsidRPr="00CB22BF">
        <w:t xml:space="preserve"> datasets. </w:t>
      </w:r>
      <w:r w:rsidR="00502C67">
        <w:t xml:space="preserve">DRAEs </w:t>
      </w:r>
      <w:r w:rsidRPr="00CB22BF">
        <w:t xml:space="preserve">were somewhat higher in the </w:t>
      </w:r>
      <w:proofErr w:type="spellStart"/>
      <w:r w:rsidRPr="00CB22BF">
        <w:t>cHL</w:t>
      </w:r>
      <w:proofErr w:type="spellEnd"/>
      <w:r w:rsidRPr="00CB22BF">
        <w:t xml:space="preserve"> S</w:t>
      </w:r>
      <w:r w:rsidR="00502C67">
        <w:t xml:space="preserve">CE group (AEs all grade: 90.5%, Grade 3 or </w:t>
      </w:r>
      <w:r w:rsidRPr="00CB22BF">
        <w:t>4</w:t>
      </w:r>
      <w:r w:rsidR="00502C67">
        <w:t>:</w:t>
      </w:r>
      <w:r w:rsidRPr="00CB22BF">
        <w:t xml:space="preserve"> 28%) compared to solid tumour types (AEs all grade</w:t>
      </w:r>
      <w:r w:rsidR="00502C67">
        <w:t xml:space="preserve">: 70 to 80%; Grade 3 or </w:t>
      </w:r>
      <w:r w:rsidRPr="00CB22BF">
        <w:t>4</w:t>
      </w:r>
      <w:r w:rsidR="00502C67">
        <w:t xml:space="preserve">: 11 to </w:t>
      </w:r>
      <w:r w:rsidRPr="00CB22BF">
        <w:t xml:space="preserve">19%). Of </w:t>
      </w:r>
      <w:r w:rsidRPr="00CB22BF">
        <w:lastRenderedPageBreak/>
        <w:t xml:space="preserve">the most frequently reported AEs, pyrexia and diarrhoea had notably increased frequency in </w:t>
      </w:r>
      <w:proofErr w:type="spellStart"/>
      <w:r w:rsidRPr="00CB22BF">
        <w:t>cHL</w:t>
      </w:r>
      <w:proofErr w:type="spellEnd"/>
      <w:r w:rsidRPr="00CB22BF">
        <w:t xml:space="preserve"> SCE dataset compared to solid tumours.</w:t>
      </w:r>
    </w:p>
    <w:p w:rsidR="00CB22BF" w:rsidRPr="00CB22BF" w:rsidRDefault="00CB22BF" w:rsidP="00CB22BF">
      <w:r w:rsidRPr="00CB22BF">
        <w:t xml:space="preserve">The evaluator examined </w:t>
      </w:r>
      <w:r w:rsidR="00502C67">
        <w:t>IM</w:t>
      </w:r>
      <w:r w:rsidRPr="00CB22BF">
        <w:t xml:space="preserve">AEs in detail </w:t>
      </w:r>
      <w:r w:rsidR="002F3CEB">
        <w:t>(see Attachment 2)</w:t>
      </w:r>
      <w:r w:rsidRPr="00CB22BF">
        <w:t xml:space="preserve"> and considered re</w:t>
      </w:r>
      <w:r w:rsidR="002F3CEB">
        <w:t xml:space="preserve">gulatory impact of these events. </w:t>
      </w:r>
      <w:r w:rsidRPr="00CB22BF">
        <w:t>The evaluator constructed a table from sour</w:t>
      </w:r>
      <w:r w:rsidR="002F3CEB">
        <w:t>ce data provided by the sponsor</w:t>
      </w:r>
      <w:r w:rsidRPr="00CB22BF">
        <w:t xml:space="preserve">. In general the rates of </w:t>
      </w:r>
      <w:r w:rsidR="00502C67">
        <w:t>IR</w:t>
      </w:r>
      <w:r w:rsidRPr="00CB22BF">
        <w:t xml:space="preserve">AEs reported in the SCS population (all </w:t>
      </w:r>
      <w:proofErr w:type="spellStart"/>
      <w:r w:rsidRPr="00CB22BF">
        <w:t>cHL</w:t>
      </w:r>
      <w:proofErr w:type="spellEnd"/>
      <w:r w:rsidRPr="00CB22BF">
        <w:t>) are lower than those in the SCE population</w:t>
      </w:r>
      <w:r w:rsidR="00502C67">
        <w:t xml:space="preserve"> (Cohort B </w:t>
      </w:r>
      <w:r w:rsidR="002F3CEB">
        <w:t>of Study CA209205 and the ASCT-</w:t>
      </w:r>
      <w:proofErr w:type="spellStart"/>
      <w:r w:rsidR="002F3CEB">
        <w:t>bren</w:t>
      </w:r>
      <w:proofErr w:type="spellEnd"/>
      <w:r w:rsidR="002F3CEB">
        <w:t xml:space="preserve"> f</w:t>
      </w:r>
      <w:r w:rsidRPr="00CB22BF">
        <w:t xml:space="preserve">ailed group from </w:t>
      </w:r>
      <w:r w:rsidR="00502C67">
        <w:t>Study CA</w:t>
      </w:r>
      <w:r w:rsidRPr="00CB22BF">
        <w:t>209039). It is not clear if this is the effect of smaller numbers.</w:t>
      </w:r>
    </w:p>
    <w:p w:rsidR="00CB22BF" w:rsidRPr="00CB22BF" w:rsidRDefault="00CB22BF" w:rsidP="00CB22BF">
      <w:r w:rsidRPr="00CB22BF">
        <w:t xml:space="preserve">The sponsor stated that while non-clinical models raised the possibility that blockade of PD-1/PD-L1 may enhance GVHD, the rates of clinical transplant-related mortality and acute GVHD were consistent with the historical literature for this </w:t>
      </w:r>
      <w:proofErr w:type="spellStart"/>
      <w:r w:rsidRPr="00CB22BF">
        <w:t>cHL</w:t>
      </w:r>
      <w:proofErr w:type="spellEnd"/>
      <w:r w:rsidRPr="00CB22BF">
        <w:t xml:space="preserve"> patient population. The sponsor confirmed that results from registry study in patients with allogenic HSCT will be provided in a report when available.</w:t>
      </w:r>
    </w:p>
    <w:p w:rsidR="00CB22BF" w:rsidRPr="00CB22BF" w:rsidRDefault="00CB22BF" w:rsidP="002F3CEB">
      <w:pPr>
        <w:pStyle w:val="Heading5"/>
      </w:pPr>
      <w:r w:rsidRPr="00CB22BF">
        <w:t>Safety issu</w:t>
      </w:r>
      <w:r w:rsidR="00502C67">
        <w:t>es identified as unresolved by e</w:t>
      </w:r>
      <w:r w:rsidRPr="00CB22BF">
        <w:t xml:space="preserve">valuator included </w:t>
      </w:r>
    </w:p>
    <w:p w:rsidR="00CB22BF" w:rsidRPr="00CB22BF" w:rsidRDefault="00CB22BF" w:rsidP="00502C67">
      <w:pPr>
        <w:pStyle w:val="ListBullet"/>
      </w:pPr>
      <w:r w:rsidRPr="00CB22BF">
        <w:t xml:space="preserve">Analysis provided by the sponsor does not exclude the potential risk of increased GVHD and other complication in patients who receive </w:t>
      </w:r>
      <w:proofErr w:type="spellStart"/>
      <w:r w:rsidRPr="00CB22BF">
        <w:t>allo</w:t>
      </w:r>
      <w:proofErr w:type="spellEnd"/>
      <w:r w:rsidRPr="00CB22BF">
        <w:t xml:space="preserve">-SCT following </w:t>
      </w:r>
      <w:proofErr w:type="spellStart"/>
      <w:r w:rsidRPr="00CB22BF">
        <w:t>nivolumab</w:t>
      </w:r>
      <w:proofErr w:type="spellEnd"/>
      <w:r w:rsidRPr="00CB22BF">
        <w:t xml:space="preserve"> therapy. Both the FDA and the EMA have included precautions and warnings about this </w:t>
      </w:r>
      <w:r w:rsidR="00502C67">
        <w:t xml:space="preserve">in their PI </w:t>
      </w:r>
      <w:r w:rsidRPr="00CB22BF">
        <w:t>equivalents, and it should be included in the PI.</w:t>
      </w:r>
    </w:p>
    <w:p w:rsidR="00CB22BF" w:rsidRPr="00CB22BF" w:rsidRDefault="00CB22BF" w:rsidP="00502C67">
      <w:pPr>
        <w:pStyle w:val="ListBullet"/>
      </w:pPr>
      <w:r w:rsidRPr="00CB22BF">
        <w:t xml:space="preserve">The possibility that increased drug-related AEs and SAEs may occur in </w:t>
      </w:r>
      <w:proofErr w:type="spellStart"/>
      <w:r w:rsidRPr="00CB22BF">
        <w:t>cHL</w:t>
      </w:r>
      <w:proofErr w:type="spellEnd"/>
      <w:r w:rsidRPr="00CB22BF">
        <w:t xml:space="preserve"> patients compared to patients with solid tumours cannot be excluded. There are discrepancies between the total </w:t>
      </w:r>
      <w:proofErr w:type="spellStart"/>
      <w:r w:rsidRPr="00CB22BF">
        <w:t>cHL</w:t>
      </w:r>
      <w:proofErr w:type="spellEnd"/>
      <w:r w:rsidRPr="00CB22BF">
        <w:t xml:space="preserve"> populations, the </w:t>
      </w:r>
      <w:proofErr w:type="spellStart"/>
      <w:r w:rsidRPr="00CB22BF">
        <w:t>cHL</w:t>
      </w:r>
      <w:proofErr w:type="spellEnd"/>
      <w:r w:rsidRPr="00CB22BF">
        <w:t xml:space="preserve"> SCE population, a</w:t>
      </w:r>
      <w:r w:rsidR="002F3CEB">
        <w:t>nd patients with solid tumours.</w:t>
      </w:r>
    </w:p>
    <w:p w:rsidR="00CB22BF" w:rsidRPr="00CB22BF" w:rsidRDefault="00CB22BF" w:rsidP="00502C67">
      <w:pPr>
        <w:pStyle w:val="ListBullet"/>
      </w:pPr>
      <w:r w:rsidRPr="00CB22BF">
        <w:t xml:space="preserve">Patient impact of AEs: Updated data indicated that 28% of the </w:t>
      </w:r>
      <w:proofErr w:type="spellStart"/>
      <w:r w:rsidRPr="00CB22BF">
        <w:t>cHL</w:t>
      </w:r>
      <w:proofErr w:type="spellEnd"/>
      <w:r w:rsidRPr="00CB22BF">
        <w:t xml:space="preserve"> SCE population required prolonged hospitalisation due to SAEs. The evaluator considered that elderly patients had a higher risk of serious adverse events including death.</w:t>
      </w:r>
    </w:p>
    <w:p w:rsidR="00CB22BF" w:rsidRPr="002F3CEB" w:rsidRDefault="00CB22BF" w:rsidP="00CB22BF">
      <w:pPr>
        <w:pStyle w:val="ListBullet"/>
        <w:rPr>
          <w:b/>
        </w:rPr>
      </w:pPr>
      <w:r w:rsidRPr="00CB22BF">
        <w:t>The online location of the full PI should be included in the pack insert a</w:t>
      </w:r>
      <w:r w:rsidR="00502C67">
        <w:t>nd other documentation.</w:t>
      </w:r>
    </w:p>
    <w:p w:rsidR="00CB22BF" w:rsidRPr="002F3CEB" w:rsidRDefault="00CB22BF" w:rsidP="002F3CEB">
      <w:pPr>
        <w:pStyle w:val="Heading4"/>
      </w:pPr>
      <w:r w:rsidRPr="00CB22BF">
        <w:t>Delegate conclusion</w:t>
      </w:r>
      <w:r w:rsidR="002F3CEB">
        <w:t>s</w:t>
      </w:r>
      <w:r w:rsidRPr="00CB22BF">
        <w:t xml:space="preserve"> on safety</w:t>
      </w:r>
    </w:p>
    <w:p w:rsidR="00CB22BF" w:rsidRPr="00CB22BF" w:rsidRDefault="00CB22BF" w:rsidP="00CB22BF">
      <w:r w:rsidRPr="00CB22BF">
        <w:t xml:space="preserve">There is a limited exposure database for the </w:t>
      </w:r>
      <w:proofErr w:type="spellStart"/>
      <w:r w:rsidRPr="00CB22BF">
        <w:t>cHL</w:t>
      </w:r>
      <w:proofErr w:type="spellEnd"/>
      <w:r w:rsidRPr="00CB22BF">
        <w:t xml:space="preserve"> indication. The </w:t>
      </w:r>
      <w:r w:rsidR="00C412F6">
        <w:t>clinical evaluator</w:t>
      </w:r>
      <w:r w:rsidR="00C412F6" w:rsidRPr="00CB22BF">
        <w:t xml:space="preserve"> </w:t>
      </w:r>
      <w:r w:rsidRPr="00CB22BF">
        <w:t xml:space="preserve">suggested that higher frequency of some AEs in the targeted population with </w:t>
      </w:r>
      <w:proofErr w:type="spellStart"/>
      <w:r w:rsidRPr="00CB22BF">
        <w:t>cHL</w:t>
      </w:r>
      <w:proofErr w:type="spellEnd"/>
      <w:r w:rsidRPr="00CB22BF">
        <w:t>, compared to those seen in solid t</w:t>
      </w:r>
      <w:r w:rsidR="002F3CEB">
        <w:t xml:space="preserve">umours, could not be excluded. </w:t>
      </w:r>
      <w:r w:rsidRPr="00CB22BF">
        <w:t>However the proposed PI pools all adverse reaction data.</w:t>
      </w:r>
    </w:p>
    <w:p w:rsidR="00CB22BF" w:rsidRPr="00CB22BF" w:rsidRDefault="00CB22BF" w:rsidP="00CB22BF">
      <w:r w:rsidRPr="00CB22BF">
        <w:t xml:space="preserve">A new safety issue is the possible increased risk of transplant-related complications of allogeneic-HSCT following </w:t>
      </w:r>
      <w:proofErr w:type="spellStart"/>
      <w:r w:rsidRPr="00CB22BF">
        <w:t>nivolumab</w:t>
      </w:r>
      <w:proofErr w:type="spellEnd"/>
      <w:r w:rsidRPr="00CB22BF">
        <w:t xml:space="preserve"> treatment. </w:t>
      </w:r>
    </w:p>
    <w:p w:rsidR="00CB22BF" w:rsidRPr="00CB22BF" w:rsidRDefault="00CB22BF" w:rsidP="00CB22BF">
      <w:r w:rsidRPr="00CB22BF">
        <w:t>Frequent monitori</w:t>
      </w:r>
      <w:r w:rsidR="002F3CEB">
        <w:t>ng for and early treatment of IR</w:t>
      </w:r>
      <w:r w:rsidRPr="00CB22BF">
        <w:t>ARs are part of standard clinical prac</w:t>
      </w:r>
      <w:r w:rsidR="002F3CEB">
        <w:t xml:space="preserve">tice with </w:t>
      </w:r>
      <w:proofErr w:type="spellStart"/>
      <w:r w:rsidR="002F3CEB">
        <w:t>nivolumab</w:t>
      </w:r>
      <w:proofErr w:type="spellEnd"/>
      <w:r w:rsidR="002F3CEB">
        <w:t xml:space="preserve"> treatment. </w:t>
      </w:r>
      <w:r w:rsidRPr="00CB22BF">
        <w:t>The safety issues raised are not suc</w:t>
      </w:r>
      <w:r w:rsidR="002F3CEB">
        <w:t xml:space="preserve">h as to preclude </w:t>
      </w:r>
      <w:r w:rsidRPr="00CB22BF">
        <w:t xml:space="preserve">the extension of indications to treatment of adult patients with relapsed or refractory </w:t>
      </w:r>
      <w:proofErr w:type="spellStart"/>
      <w:r w:rsidR="002F3CEB">
        <w:t>cHL</w:t>
      </w:r>
      <w:proofErr w:type="spellEnd"/>
      <w:r w:rsidRPr="00CB22BF">
        <w:t xml:space="preserve"> after </w:t>
      </w:r>
      <w:r w:rsidR="002F3CEB">
        <w:t>ASCT</w:t>
      </w:r>
      <w:r w:rsidRPr="00CB22BF">
        <w:t xml:space="preserve"> and treatment with </w:t>
      </w:r>
      <w:proofErr w:type="spellStart"/>
      <w:r w:rsidRPr="00CB22BF">
        <w:t>brentuximab</w:t>
      </w:r>
      <w:proofErr w:type="spellEnd"/>
      <w:r w:rsidRPr="00CB22BF">
        <w:t xml:space="preserve"> </w:t>
      </w:r>
      <w:proofErr w:type="spellStart"/>
      <w:r w:rsidRPr="00CB22BF">
        <w:t>vedotin</w:t>
      </w:r>
      <w:proofErr w:type="spellEnd"/>
      <w:r w:rsidRPr="00CB22BF">
        <w:t xml:space="preserve">, but adequate information should </w:t>
      </w:r>
      <w:r w:rsidR="002F3CEB">
        <w:t>be provided in the PI.</w:t>
      </w:r>
    </w:p>
    <w:p w:rsidR="00CB22BF" w:rsidRPr="00CB22BF" w:rsidRDefault="00CB22BF" w:rsidP="00CB22BF">
      <w:r w:rsidRPr="00CB22BF">
        <w:t>The PBRER to January 2017 should be provided as soon as it is available, to ensure all safety issues are updated adequately.</w:t>
      </w:r>
    </w:p>
    <w:p w:rsidR="0023372B" w:rsidRPr="00982548" w:rsidRDefault="00CB22BF" w:rsidP="00982548">
      <w:r w:rsidRPr="00CB22BF">
        <w:t>It is recommended that a suitable means of directing the reader to the full PI is included on all product documentation.</w:t>
      </w:r>
    </w:p>
    <w:p w:rsidR="007B6132" w:rsidRDefault="007B6132" w:rsidP="00555280">
      <w:pPr>
        <w:pStyle w:val="Heading4"/>
      </w:pPr>
      <w:bookmarkStart w:id="107" w:name="_Toc314842514"/>
      <w:r w:rsidRPr="007B6132">
        <w:t>Clin</w:t>
      </w:r>
      <w:r w:rsidR="002F3CEB">
        <w:t>ical evaluator’s recommendation</w:t>
      </w:r>
    </w:p>
    <w:p w:rsidR="00455187" w:rsidRPr="00565377" w:rsidRDefault="00455187" w:rsidP="00455187">
      <w:r w:rsidRPr="00565377">
        <w:t xml:space="preserve">The </w:t>
      </w:r>
      <w:r w:rsidR="002F3CEB">
        <w:t xml:space="preserve">clinical </w:t>
      </w:r>
      <w:r w:rsidRPr="00565377">
        <w:t xml:space="preserve">evaluator’s conclusion was that </w:t>
      </w:r>
      <w:proofErr w:type="spellStart"/>
      <w:r w:rsidRPr="00565377">
        <w:t>Opdivo</w:t>
      </w:r>
      <w:proofErr w:type="spellEnd"/>
      <w:r w:rsidR="00F84633">
        <w:t xml:space="preserve"> (</w:t>
      </w:r>
      <w:proofErr w:type="spellStart"/>
      <w:r w:rsidR="00F84633">
        <w:t>nivolumab</w:t>
      </w:r>
      <w:proofErr w:type="spellEnd"/>
      <w:r w:rsidR="00F84633">
        <w:t>)</w:t>
      </w:r>
      <w:r w:rsidRPr="00565377">
        <w:t xml:space="preserve"> could be approved for the indication</w:t>
      </w:r>
      <w:r>
        <w:t>:</w:t>
      </w:r>
    </w:p>
    <w:p w:rsidR="00455187" w:rsidRPr="00C02DEA" w:rsidRDefault="00455187" w:rsidP="00455187">
      <w:pPr>
        <w:ind w:left="720"/>
        <w:rPr>
          <w:i/>
        </w:rPr>
      </w:pPr>
      <w:r w:rsidRPr="00C02DEA">
        <w:rPr>
          <w:i/>
        </w:rPr>
        <w:lastRenderedPageBreak/>
        <w:t>‘</w:t>
      </w:r>
      <w:proofErr w:type="spellStart"/>
      <w:r w:rsidRPr="00C02DEA">
        <w:rPr>
          <w:i/>
        </w:rPr>
        <w:t>Opdivo</w:t>
      </w:r>
      <w:proofErr w:type="spellEnd"/>
      <w:r w:rsidRPr="00C02DEA">
        <w:rPr>
          <w:i/>
        </w:rPr>
        <w:t xml:space="preserve"> as monotherapy is indicated for the treatment of adult patients with relapsed or refractory classical Hodgkin lymphoma (</w:t>
      </w:r>
      <w:proofErr w:type="spellStart"/>
      <w:r w:rsidRPr="00C02DEA">
        <w:rPr>
          <w:i/>
        </w:rPr>
        <w:t>cHL</w:t>
      </w:r>
      <w:proofErr w:type="spellEnd"/>
      <w:r w:rsidRPr="00C02DEA">
        <w:rPr>
          <w:i/>
        </w:rPr>
        <w:t xml:space="preserve">) after autologous stem cell transplant (ASCT) and treatment with </w:t>
      </w:r>
      <w:proofErr w:type="spellStart"/>
      <w:r w:rsidRPr="00C02DEA">
        <w:rPr>
          <w:i/>
        </w:rPr>
        <w:t>brentuximab</w:t>
      </w:r>
      <w:proofErr w:type="spellEnd"/>
      <w:r w:rsidRPr="00C02DEA">
        <w:rPr>
          <w:i/>
        </w:rPr>
        <w:t xml:space="preserve"> </w:t>
      </w:r>
      <w:proofErr w:type="spellStart"/>
      <w:r w:rsidRPr="00C02DEA">
        <w:rPr>
          <w:i/>
        </w:rPr>
        <w:t>vedotin</w:t>
      </w:r>
      <w:proofErr w:type="spellEnd"/>
      <w:r w:rsidRPr="00C02DEA">
        <w:rPr>
          <w:i/>
        </w:rPr>
        <w:t>.</w:t>
      </w:r>
    </w:p>
    <w:p w:rsidR="00455187" w:rsidRPr="00C02DEA" w:rsidRDefault="00455187" w:rsidP="00455187">
      <w:pPr>
        <w:ind w:left="720"/>
        <w:rPr>
          <w:i/>
        </w:rPr>
      </w:pPr>
      <w:r w:rsidRPr="00C02DEA">
        <w:rPr>
          <w:i/>
        </w:rPr>
        <w:t xml:space="preserve">Note to </w:t>
      </w:r>
      <w:proofErr w:type="spellStart"/>
      <w:r w:rsidRPr="00C02DEA">
        <w:rPr>
          <w:i/>
        </w:rPr>
        <w:t>cHL</w:t>
      </w:r>
      <w:proofErr w:type="spellEnd"/>
      <w:r w:rsidRPr="00C02DEA">
        <w:rPr>
          <w:i/>
        </w:rPr>
        <w:t xml:space="preserve"> Indication: The approval for this indication is on the basis of objective response rate. An improvement in progression free survival or overall survival has not been demonstrated.’</w:t>
      </w:r>
    </w:p>
    <w:p w:rsidR="00455187" w:rsidRPr="00565377" w:rsidRDefault="00455187" w:rsidP="00455187">
      <w:r w:rsidRPr="00565377">
        <w:t>The clinical evaluator’s recommendation for approval was contingent upon</w:t>
      </w:r>
      <w:r>
        <w:t>:</w:t>
      </w:r>
    </w:p>
    <w:p w:rsidR="00455187" w:rsidRPr="00565377" w:rsidRDefault="00455187" w:rsidP="00455187">
      <w:pPr>
        <w:pStyle w:val="ListBullet"/>
      </w:pPr>
      <w:r w:rsidRPr="00565377">
        <w:t xml:space="preserve">changes to the indication and PI being adopted </w:t>
      </w:r>
      <w:r>
        <w:t>as recommended by the evaluator</w:t>
      </w:r>
    </w:p>
    <w:p w:rsidR="00455187" w:rsidRPr="00565377" w:rsidRDefault="00455187" w:rsidP="00455187">
      <w:pPr>
        <w:pStyle w:val="ListBullet"/>
      </w:pPr>
      <w:r>
        <w:t>u</w:t>
      </w:r>
      <w:r w:rsidRPr="00565377">
        <w:t>pdated PFS and OS analysis Study CA209039</w:t>
      </w:r>
      <w:r>
        <w:t>;</w:t>
      </w:r>
      <w:r w:rsidRPr="00565377">
        <w:t xml:space="preserve"> updated efficacy results for Cohort B</w:t>
      </w:r>
      <w:r>
        <w:t>;</w:t>
      </w:r>
      <w:r w:rsidRPr="00565377">
        <w:t xml:space="preserve"> and </w:t>
      </w:r>
      <w:r>
        <w:t>efficacy results for Cohorts A and</w:t>
      </w:r>
      <w:r w:rsidRPr="00565377">
        <w:t xml:space="preserve"> C from Study CA209205 being provided to the TGA.</w:t>
      </w:r>
    </w:p>
    <w:p w:rsidR="008E7846" w:rsidRDefault="00386150" w:rsidP="007B6132">
      <w:pPr>
        <w:pStyle w:val="Heading3"/>
        <w:rPr>
          <w:lang w:eastAsia="en-AU"/>
        </w:rPr>
      </w:pPr>
      <w:bookmarkStart w:id="108" w:name="_Toc497992254"/>
      <w:r>
        <w:rPr>
          <w:lang w:eastAsia="en-AU"/>
        </w:rPr>
        <w:t>Risk m</w:t>
      </w:r>
      <w:r w:rsidR="008E7846">
        <w:rPr>
          <w:lang w:eastAsia="en-AU"/>
        </w:rPr>
        <w:t xml:space="preserve">anagement </w:t>
      </w:r>
      <w:r>
        <w:rPr>
          <w:lang w:eastAsia="en-AU"/>
        </w:rPr>
        <w:t>p</w:t>
      </w:r>
      <w:r w:rsidR="008E7846">
        <w:rPr>
          <w:lang w:eastAsia="en-AU"/>
        </w:rPr>
        <w:t>lan</w:t>
      </w:r>
      <w:bookmarkEnd w:id="107"/>
      <w:bookmarkEnd w:id="108"/>
    </w:p>
    <w:p w:rsidR="00EE138F" w:rsidRPr="00EE138F" w:rsidRDefault="00EE138F" w:rsidP="00EE138F">
      <w:r>
        <w:t>EU-</w:t>
      </w:r>
      <w:r w:rsidRPr="00EE138F">
        <w:t xml:space="preserve">RMP </w:t>
      </w:r>
      <w:r>
        <w:t xml:space="preserve">version </w:t>
      </w:r>
      <w:r w:rsidRPr="00EE138F">
        <w:t xml:space="preserve">5.6 and ASA </w:t>
      </w:r>
      <w:r>
        <w:t xml:space="preserve">version </w:t>
      </w:r>
      <w:r w:rsidRPr="00EE138F">
        <w:t xml:space="preserve">5.0 were the most relevant versions evaluated for the </w:t>
      </w:r>
      <w:proofErr w:type="spellStart"/>
      <w:r w:rsidRPr="00EE138F">
        <w:t>cHL</w:t>
      </w:r>
      <w:proofErr w:type="spellEnd"/>
      <w:r w:rsidRPr="00EE138F">
        <w:t xml:space="preserve"> indication; ASA version 7.0 is the most recent at the time of this overview.</w:t>
      </w:r>
    </w:p>
    <w:p w:rsidR="00EE138F" w:rsidRPr="00EE138F" w:rsidRDefault="00EE138F" w:rsidP="00EE138F">
      <w:r w:rsidRPr="00EE138F">
        <w:t>Study CA209835, a registry study in post-</w:t>
      </w:r>
      <w:proofErr w:type="spellStart"/>
      <w:r w:rsidRPr="00EE138F">
        <w:t>nivolumab</w:t>
      </w:r>
      <w:proofErr w:type="spellEnd"/>
      <w:r w:rsidRPr="00EE138F">
        <w:t xml:space="preserve"> patients receiving allogeneic </w:t>
      </w:r>
      <w:r>
        <w:t>HSCT</w:t>
      </w:r>
      <w:r w:rsidRPr="00EE138F">
        <w:t xml:space="preserve">, has been included in the pharmacovigilance plan. Inclusion in the ASA </w:t>
      </w:r>
      <w:r>
        <w:t xml:space="preserve">and the </w:t>
      </w:r>
      <w:proofErr w:type="spellStart"/>
      <w:r w:rsidR="00D9067B">
        <w:t>irAR</w:t>
      </w:r>
      <w:proofErr w:type="spellEnd"/>
      <w:r>
        <w:t xml:space="preserve"> Management G</w:t>
      </w:r>
      <w:r w:rsidRPr="00EE138F">
        <w:t xml:space="preserve">uide of safety concern ‘complications of allogeneic HSCT following </w:t>
      </w:r>
      <w:proofErr w:type="spellStart"/>
      <w:r w:rsidRPr="00EE138F">
        <w:t>nivolumab</w:t>
      </w:r>
      <w:proofErr w:type="spellEnd"/>
      <w:r w:rsidRPr="00EE138F">
        <w:t xml:space="preserve"> therapy’ was recommended.</w:t>
      </w:r>
      <w:r>
        <w:t xml:space="preserve"> As of 2 March </w:t>
      </w:r>
      <w:r w:rsidRPr="00EE138F">
        <w:t xml:space="preserve">2017, the sponsor has notified TGA of the intention to add this potential risk to an updated ASA </w:t>
      </w:r>
      <w:r>
        <w:t>(</w:t>
      </w:r>
      <w:r w:rsidRPr="00EE138F">
        <w:t>version 8.0</w:t>
      </w:r>
      <w:r>
        <w:t>)</w:t>
      </w:r>
      <w:r w:rsidRPr="00EE138F">
        <w:t>.</w:t>
      </w:r>
    </w:p>
    <w:p w:rsidR="00EE138F" w:rsidRPr="00EE138F" w:rsidRDefault="00EE138F" w:rsidP="00EE138F">
      <w:r w:rsidRPr="00EE138F">
        <w:t>Additional risk minimisation activities (EU-RM</w:t>
      </w:r>
      <w:r w:rsidR="00E8118F">
        <w:t>P version 6 and ASA version 7):</w:t>
      </w:r>
    </w:p>
    <w:p w:rsidR="00EE138F" w:rsidRPr="00EE138F" w:rsidRDefault="005B3B9F" w:rsidP="005B3B9F">
      <w:pPr>
        <w:pStyle w:val="ListBullet"/>
      </w:pPr>
      <w:r>
        <w:t>A HCP</w:t>
      </w:r>
      <w:r w:rsidR="00EE138F" w:rsidRPr="00EE138F">
        <w:t xml:space="preserve"> communication tool (Imm</w:t>
      </w:r>
      <w:r>
        <w:t>une-Related Adverse Reaction (</w:t>
      </w:r>
      <w:proofErr w:type="spellStart"/>
      <w:r w:rsidR="00D9067B">
        <w:t>irAR</w:t>
      </w:r>
      <w:proofErr w:type="spellEnd"/>
      <w:r>
        <w:t>) Management Guide), and</w:t>
      </w:r>
    </w:p>
    <w:p w:rsidR="00EE138F" w:rsidRPr="00EE138F" w:rsidRDefault="00EE138F" w:rsidP="005B3B9F">
      <w:pPr>
        <w:pStyle w:val="ListBullet"/>
      </w:pPr>
      <w:proofErr w:type="gramStart"/>
      <w:r w:rsidRPr="00EE138F">
        <w:t>a</w:t>
      </w:r>
      <w:proofErr w:type="gramEnd"/>
      <w:r w:rsidRPr="00EE138F">
        <w:t xml:space="preserve"> </w:t>
      </w:r>
      <w:r w:rsidR="005B3B9F">
        <w:t>PAC</w:t>
      </w:r>
      <w:r w:rsidRPr="00EE138F">
        <w:t xml:space="preserve"> (Patient Alert Card), to facilitate safe and effective use of </w:t>
      </w:r>
      <w:proofErr w:type="spellStart"/>
      <w:r w:rsidRPr="00EE138F">
        <w:t>nivolumab</w:t>
      </w:r>
      <w:proofErr w:type="spellEnd"/>
      <w:r w:rsidRPr="00EE138F">
        <w:t xml:space="preserve"> in the post-marketing setting.</w:t>
      </w:r>
    </w:p>
    <w:p w:rsidR="00EE138F" w:rsidRPr="00EE138F" w:rsidRDefault="005B3B9F" w:rsidP="00EE138F">
      <w:r>
        <w:t xml:space="preserve">The sponsor </w:t>
      </w:r>
      <w:r w:rsidR="00EE138F" w:rsidRPr="00EE138F">
        <w:t xml:space="preserve">plans to remove the indications from the </w:t>
      </w:r>
      <w:proofErr w:type="spellStart"/>
      <w:r w:rsidR="00D9067B">
        <w:t>irAR</w:t>
      </w:r>
      <w:proofErr w:type="spellEnd"/>
      <w:r w:rsidR="00EE138F" w:rsidRPr="00EE138F">
        <w:t xml:space="preserve"> Management Guide, but include a reference to the most recent Australian PI. The proposed PAC and </w:t>
      </w:r>
      <w:proofErr w:type="spellStart"/>
      <w:r w:rsidR="00D9067B">
        <w:t>irAR</w:t>
      </w:r>
      <w:proofErr w:type="spellEnd"/>
      <w:r w:rsidR="00EE138F" w:rsidRPr="00EE138F">
        <w:t xml:space="preserve"> Management Guide were provided at Appendices 1 and 2 to ASA version 7.0</w:t>
      </w:r>
      <w:r>
        <w:t>.</w:t>
      </w:r>
    </w:p>
    <w:p w:rsidR="00EE138F" w:rsidRPr="00EE138F" w:rsidRDefault="00EE138F" w:rsidP="005B3B9F">
      <w:pPr>
        <w:pStyle w:val="Heading4"/>
      </w:pPr>
      <w:r w:rsidRPr="00EE138F">
        <w:t>Wording for conditions of registration</w:t>
      </w:r>
    </w:p>
    <w:p w:rsidR="008E7846" w:rsidRPr="00F3494A" w:rsidRDefault="00EE138F" w:rsidP="008E7846">
      <w:pPr>
        <w:rPr>
          <w:i/>
        </w:rPr>
      </w:pPr>
      <w:r w:rsidRPr="00EE138F">
        <w:t>The suggested wording is</w:t>
      </w:r>
      <w:r w:rsidRPr="00EE138F">
        <w:rPr>
          <w:i/>
        </w:rPr>
        <w:t>: Implement EU-RMP (version 5.6, dated 9 November 2016, data lock point 26 May 2016) with Australian Specific Annex (version 7.0, dated 21 December 2016), submitted with application PM-2016-00712-1-4, and any future updates as a condition of registration.</w:t>
      </w:r>
    </w:p>
    <w:p w:rsidR="008E7846" w:rsidRDefault="00AA0ED0" w:rsidP="008E7846">
      <w:pPr>
        <w:pStyle w:val="Heading3"/>
      </w:pPr>
      <w:bookmarkStart w:id="109" w:name="_Toc247691531"/>
      <w:bookmarkStart w:id="110" w:name="_Toc314842515"/>
      <w:bookmarkStart w:id="111" w:name="_Toc196046505"/>
      <w:bookmarkStart w:id="112" w:name="_Toc196046949"/>
      <w:bookmarkStart w:id="113" w:name="_Toc497992255"/>
      <w:r>
        <w:t>Risk-benefit a</w:t>
      </w:r>
      <w:r w:rsidR="008E7846">
        <w:t>nalysis</w:t>
      </w:r>
      <w:bookmarkEnd w:id="109"/>
      <w:bookmarkEnd w:id="110"/>
      <w:bookmarkEnd w:id="113"/>
    </w:p>
    <w:p w:rsidR="00D23139" w:rsidRDefault="00D23139" w:rsidP="00D23139">
      <w:pPr>
        <w:pStyle w:val="Heading4"/>
      </w:pPr>
      <w:r w:rsidRPr="00D23139">
        <w:t>Delegate’s consider</w:t>
      </w:r>
      <w:r w:rsidR="00F3494A">
        <w:t>ations</w:t>
      </w:r>
    </w:p>
    <w:p w:rsidR="00F3494A" w:rsidRPr="00F3494A" w:rsidRDefault="00F3494A" w:rsidP="00F3494A">
      <w:r w:rsidRPr="00F3494A">
        <w:t>There is little regulatory guidance for the use of early phase or explorat</w:t>
      </w:r>
      <w:r>
        <w:t>ory studies, rather than Phase III</w:t>
      </w:r>
      <w:r w:rsidRPr="00F3494A">
        <w:t xml:space="preserve"> pivotal studies, as the basis for current approval in Australia</w:t>
      </w:r>
      <w:r>
        <w:t>.</w:t>
      </w:r>
    </w:p>
    <w:p w:rsidR="00F3494A" w:rsidRPr="00F3494A" w:rsidRDefault="00F3494A" w:rsidP="00F3494A">
      <w:r w:rsidRPr="00F3494A">
        <w:t xml:space="preserve">The TGA-adopted EMA ‘Guideline on the evaluation of anticancer medicinal products in man’ acknowledges that it may not be possible to recruit a sufficiently large number of patients to conduct reasonably powered, randomised studies in ‘some truly rare tumours </w:t>
      </w:r>
      <w:r w:rsidRPr="00F3494A">
        <w:lastRenderedPageBreak/>
        <w:t>or very narrow indications’.</w:t>
      </w:r>
      <w:r w:rsidR="006A4C40">
        <w:rPr>
          <w:rStyle w:val="FootnoteReference"/>
        </w:rPr>
        <w:footnoteReference w:id="18"/>
      </w:r>
      <w:r w:rsidRPr="00F3494A">
        <w:t xml:space="preserve"> The guideline notes that a ‘small, randomised, reference controlled study’ or ‘a within-patient </w:t>
      </w:r>
      <w:r>
        <w:t>time-to-progression (</w:t>
      </w:r>
      <w:r w:rsidRPr="00F3494A">
        <w:t>TTP</w:t>
      </w:r>
      <w:r>
        <w:t>)</w:t>
      </w:r>
      <w:r w:rsidRPr="00F3494A">
        <w:t>/PFS analysis (or the combination)’ with TTP on last prior therapy compared with time to progression or death on the experimental therapy ‘might be a better alternative.’ External (including historical) controls are noted ‘where the treatment effect is dramatic and the usual course of the disease highly predictable’.</w:t>
      </w:r>
    </w:p>
    <w:p w:rsidR="00F3494A" w:rsidRPr="00F3494A" w:rsidRDefault="00F3494A" w:rsidP="00F3494A">
      <w:r w:rsidRPr="00F3494A">
        <w:t xml:space="preserve">The EMA </w:t>
      </w:r>
      <w:r w:rsidRPr="006A4C40">
        <w:t>‘Guideline on clinical trials in small populations’</w:t>
      </w:r>
      <w:r w:rsidRPr="00F3494A">
        <w:rPr>
          <w:b/>
        </w:rPr>
        <w:t xml:space="preserve"> </w:t>
      </w:r>
      <w:r w:rsidRPr="00F3494A">
        <w:t>notes that surrogate markers cannot serve as final proof of clinical efficacy or long-term benefit.</w:t>
      </w:r>
      <w:r w:rsidR="00350C98">
        <w:rPr>
          <w:rStyle w:val="FootnoteReference"/>
        </w:rPr>
        <w:footnoteReference w:id="19"/>
      </w:r>
    </w:p>
    <w:p w:rsidR="00F3494A" w:rsidRPr="00F3494A" w:rsidRDefault="00F3494A" w:rsidP="00F3494A">
      <w:r w:rsidRPr="00EF1903">
        <w:t>FDA guidance</w:t>
      </w:r>
      <w:r w:rsidRPr="00F3494A">
        <w:t xml:space="preserve"> mentions objective response rates as a surrogate endpoint reasonably likely to predict a clinical benefit and that a significant rate of durable complete response could provide potential</w:t>
      </w:r>
      <w:r w:rsidR="00EE1BDF">
        <w:t>ly useful additional evidence</w:t>
      </w:r>
      <w:r w:rsidRPr="00F3494A">
        <w:t>.</w:t>
      </w:r>
      <w:r w:rsidR="00EE1BDF">
        <w:rPr>
          <w:rStyle w:val="FootnoteReference"/>
        </w:rPr>
        <w:footnoteReference w:id="20"/>
      </w:r>
    </w:p>
    <w:p w:rsidR="00F3494A" w:rsidRPr="00F3494A" w:rsidRDefault="00F3494A" w:rsidP="00F3494A">
      <w:r w:rsidRPr="00F3494A">
        <w:t xml:space="preserve">The ORR of 60% derived from the available data, with median duration of response more than 12 months, suggest that a meaningful clinical benefit is likely for patients who relapse or have recurrence of </w:t>
      </w:r>
      <w:proofErr w:type="spellStart"/>
      <w:r w:rsidRPr="00F3494A">
        <w:t>cHL</w:t>
      </w:r>
      <w:proofErr w:type="spellEnd"/>
      <w:r w:rsidRPr="00F3494A">
        <w:t xml:space="preserve"> following ASCT and </w:t>
      </w:r>
      <w:proofErr w:type="spellStart"/>
      <w:r w:rsidRPr="00F3494A">
        <w:t>brentuximab</w:t>
      </w:r>
      <w:proofErr w:type="spellEnd"/>
      <w:r w:rsidRPr="00F3494A">
        <w:t xml:space="preserve"> </w:t>
      </w:r>
      <w:proofErr w:type="spellStart"/>
      <w:r w:rsidRPr="00F3494A">
        <w:t>vedotin</w:t>
      </w:r>
      <w:proofErr w:type="spellEnd"/>
      <w:r w:rsidRPr="00F3494A">
        <w:t xml:space="preserve"> treatment. Furthermore, the product is registered in Australia for other indications and has pharmacovigilance and risk minimisation systems in place. </w:t>
      </w:r>
    </w:p>
    <w:p w:rsidR="00F3494A" w:rsidRPr="00F3494A" w:rsidRDefault="00F3494A" w:rsidP="00F3494A">
      <w:r w:rsidRPr="00F3494A">
        <w:t xml:space="preserve">However the results are not sufficient to show overall survival benefit in </w:t>
      </w:r>
      <w:proofErr w:type="spellStart"/>
      <w:r w:rsidRPr="00F3494A">
        <w:t>cHL.</w:t>
      </w:r>
      <w:proofErr w:type="spellEnd"/>
      <w:r w:rsidRPr="00F3494A">
        <w:t xml:space="preserve"> No confirmatory </w:t>
      </w:r>
      <w:r w:rsidR="00EE1BDF">
        <w:t>Phase III</w:t>
      </w:r>
      <w:r w:rsidRPr="00F3494A">
        <w:t xml:space="preserve"> studies are planned for the specific indication proposed. The justification provided by the sponsor is that the indication proposed is very narrow, recruitment of a sufficient number of patients for an adequate P</w:t>
      </w:r>
      <w:r w:rsidR="00EE1BDF">
        <w:t>hase III</w:t>
      </w:r>
      <w:r w:rsidRPr="00F3494A">
        <w:t xml:space="preserve"> study is not possible, and there is no registered treatment for a comparator arm.</w:t>
      </w:r>
    </w:p>
    <w:p w:rsidR="00F3494A" w:rsidRPr="00F3494A" w:rsidRDefault="00F3494A" w:rsidP="00F3494A">
      <w:r w:rsidRPr="00F3494A">
        <w:t xml:space="preserve">The sponsor states that a </w:t>
      </w:r>
      <w:r w:rsidR="00EE1BDF">
        <w:t>Phase III</w:t>
      </w:r>
      <w:r w:rsidRPr="00F3494A">
        <w:t xml:space="preserve"> trial is planned, to include patients with relapsed/refractory </w:t>
      </w:r>
      <w:proofErr w:type="spellStart"/>
      <w:r w:rsidRPr="00F3494A">
        <w:t>cHL</w:t>
      </w:r>
      <w:proofErr w:type="spellEnd"/>
      <w:r w:rsidRPr="00F3494A">
        <w:t xml:space="preserve"> after failure of or ineligibility for ASCT; co-primary endpoints will be complete response rate/complete metabolic response rate and PFS, for </w:t>
      </w:r>
      <w:r w:rsidR="00EE1BDF">
        <w:t xml:space="preserve">the </w:t>
      </w:r>
      <w:r w:rsidRPr="00F3494A">
        <w:t xml:space="preserve">combination </w:t>
      </w:r>
      <w:r w:rsidR="00CF299A">
        <w:t xml:space="preserve">of </w:t>
      </w:r>
      <w:proofErr w:type="spellStart"/>
      <w:r w:rsidRPr="00F3494A">
        <w:t>brentuximab</w:t>
      </w:r>
      <w:proofErr w:type="spellEnd"/>
      <w:r w:rsidRPr="00F3494A">
        <w:t xml:space="preserve"> + </w:t>
      </w:r>
      <w:proofErr w:type="spellStart"/>
      <w:r w:rsidRPr="00F3494A">
        <w:t>nivolumab</w:t>
      </w:r>
      <w:proofErr w:type="spellEnd"/>
      <w:r w:rsidRPr="00F3494A">
        <w:t xml:space="preserve"> compared with single agent </w:t>
      </w:r>
      <w:proofErr w:type="spellStart"/>
      <w:r w:rsidRPr="00F3494A">
        <w:t>brentuximab</w:t>
      </w:r>
      <w:proofErr w:type="spellEnd"/>
      <w:r w:rsidRPr="00F3494A">
        <w:t>.</w:t>
      </w:r>
    </w:p>
    <w:p w:rsidR="00F3494A" w:rsidRPr="00F3494A" w:rsidRDefault="00F3494A" w:rsidP="00F3494A">
      <w:r w:rsidRPr="00F3494A">
        <w:t xml:space="preserve">The exposure and safety profile in </w:t>
      </w:r>
      <w:proofErr w:type="spellStart"/>
      <w:r w:rsidRPr="00F3494A">
        <w:t>cHL</w:t>
      </w:r>
      <w:proofErr w:type="spellEnd"/>
      <w:r w:rsidRPr="00F3494A">
        <w:t xml:space="preserve"> might vary from that in solid tumours, based on the data evaluated. The most recent PBRER should be provided, and the PI should reflect any differences.</w:t>
      </w:r>
    </w:p>
    <w:p w:rsidR="00F3494A" w:rsidRDefault="00F3494A" w:rsidP="00F3494A">
      <w:r w:rsidRPr="00F3494A">
        <w:t>As the risk minimisation activities (</w:t>
      </w:r>
      <w:r w:rsidR="00CF299A">
        <w:t>such as</w:t>
      </w:r>
      <w:r w:rsidRPr="00F3494A">
        <w:t xml:space="preserve"> pack insert, </w:t>
      </w:r>
      <w:r w:rsidR="00CF299A">
        <w:t xml:space="preserve">HCP </w:t>
      </w:r>
      <w:proofErr w:type="spellStart"/>
      <w:r w:rsidR="00D9067B">
        <w:t>irAR</w:t>
      </w:r>
      <w:proofErr w:type="spellEnd"/>
      <w:r w:rsidRPr="00F3494A">
        <w:t xml:space="preserve"> Management Tool, </w:t>
      </w:r>
      <w:r w:rsidR="00CF299A">
        <w:t xml:space="preserve">and the </w:t>
      </w:r>
      <w:r w:rsidRPr="00F3494A">
        <w:t>PAC) refer to the approved PI, the online location of the full PI (as published on TGA website) should be included on all such documents. Other means of facilitating access should be considered.</w:t>
      </w:r>
    </w:p>
    <w:p w:rsidR="00E47F29" w:rsidRDefault="00E47F29" w:rsidP="00E47F29">
      <w:pPr>
        <w:pStyle w:val="Heading4"/>
      </w:pPr>
      <w:r>
        <w:t>Summary of issues</w:t>
      </w:r>
    </w:p>
    <w:p w:rsidR="00E47F29" w:rsidRPr="00E47F29" w:rsidRDefault="00E47F29" w:rsidP="00E47F29">
      <w:pPr>
        <w:pStyle w:val="ListBullet"/>
      </w:pPr>
      <w:r w:rsidRPr="00E47F29">
        <w:t xml:space="preserve">The PK profile derived from PPK analyses appears different for </w:t>
      </w:r>
      <w:proofErr w:type="spellStart"/>
      <w:r w:rsidRPr="00E47F29">
        <w:t>cHL</w:t>
      </w:r>
      <w:proofErr w:type="spellEnd"/>
      <w:r w:rsidRPr="00E47F29">
        <w:t xml:space="preserve"> compared to solid tumours; clearance was decreased 26% compared to NSCLC 2L+ patients, with 39% higher exposure in </w:t>
      </w:r>
      <w:proofErr w:type="spellStart"/>
      <w:r w:rsidRPr="00E47F29">
        <w:t>cHL.</w:t>
      </w:r>
      <w:proofErr w:type="spellEnd"/>
    </w:p>
    <w:p w:rsidR="00E47F29" w:rsidRPr="00E47F29" w:rsidRDefault="00E71358" w:rsidP="00E47F29">
      <w:pPr>
        <w:pStyle w:val="ListBullet"/>
      </w:pPr>
      <w:r>
        <w:t>Phase I and Phase II</w:t>
      </w:r>
      <w:r w:rsidR="00E47F29" w:rsidRPr="00E47F29">
        <w:t xml:space="preserve"> interim clinical trial data are available as evidence of safety and efficacy for </w:t>
      </w:r>
      <w:proofErr w:type="spellStart"/>
      <w:r w:rsidR="00E47F29" w:rsidRPr="00E47F29">
        <w:t>nivolumab</w:t>
      </w:r>
      <w:proofErr w:type="spellEnd"/>
      <w:r w:rsidR="00E47F29" w:rsidRPr="00E47F29">
        <w:t xml:space="preserve"> in the treatment of </w:t>
      </w:r>
      <w:proofErr w:type="spellStart"/>
      <w:r w:rsidR="00E47F29" w:rsidRPr="00E47F29">
        <w:t>cHL.</w:t>
      </w:r>
      <w:proofErr w:type="spellEnd"/>
      <w:r w:rsidR="00E47F29" w:rsidRPr="00E47F29">
        <w:t xml:space="preserve"> The sponsor states that no confirmatory P</w:t>
      </w:r>
      <w:r w:rsidR="00E47F29">
        <w:t>hase III</w:t>
      </w:r>
      <w:r w:rsidR="00E47F29" w:rsidRPr="00E47F29">
        <w:t xml:space="preserve"> trials will be conducted for the population as specified in the proposed indication.</w:t>
      </w:r>
    </w:p>
    <w:p w:rsidR="00E47F29" w:rsidRPr="00E47F29" w:rsidRDefault="00E47F29" w:rsidP="00E47F29">
      <w:pPr>
        <w:pStyle w:val="ListBullet"/>
      </w:pPr>
      <w:r>
        <w:lastRenderedPageBreak/>
        <w:t>IMARs</w:t>
      </w:r>
      <w:r w:rsidRPr="00E47F29">
        <w:t xml:space="preserve"> are known risks. Some AE rates were increased in </w:t>
      </w:r>
      <w:proofErr w:type="spellStart"/>
      <w:r w:rsidRPr="00E47F29">
        <w:t>cHL</w:t>
      </w:r>
      <w:proofErr w:type="spellEnd"/>
      <w:r w:rsidRPr="00E47F29">
        <w:t xml:space="preserve"> compared to solid tumours. A newly identified potential risk following </w:t>
      </w:r>
      <w:proofErr w:type="spellStart"/>
      <w:r w:rsidRPr="00E47F29">
        <w:t>nivolumab</w:t>
      </w:r>
      <w:proofErr w:type="spellEnd"/>
      <w:r w:rsidRPr="00E47F29">
        <w:t xml:space="preserve"> therapy is risk of complications after subsequent </w:t>
      </w:r>
      <w:proofErr w:type="spellStart"/>
      <w:r w:rsidRPr="00E47F29">
        <w:t>allo</w:t>
      </w:r>
      <w:proofErr w:type="spellEnd"/>
      <w:r>
        <w:t>-</w:t>
      </w:r>
      <w:r w:rsidRPr="00E47F29">
        <w:t>SCT.</w:t>
      </w:r>
    </w:p>
    <w:p w:rsidR="00D23139" w:rsidRDefault="00D23139" w:rsidP="00D23139">
      <w:pPr>
        <w:pStyle w:val="Heading4"/>
      </w:pPr>
      <w:r w:rsidRPr="00D23139">
        <w:t>Proposed action</w:t>
      </w:r>
    </w:p>
    <w:p w:rsidR="00CF299A" w:rsidRPr="00CF299A" w:rsidRDefault="00CF299A" w:rsidP="00CF299A">
      <w:r>
        <w:rPr>
          <w:bCs/>
        </w:rPr>
        <w:t>The Delegate had</w:t>
      </w:r>
      <w:r w:rsidR="00E71358">
        <w:rPr>
          <w:bCs/>
        </w:rPr>
        <w:t xml:space="preserve"> no reason to say, at the</w:t>
      </w:r>
      <w:r w:rsidRPr="00CF299A">
        <w:rPr>
          <w:bCs/>
        </w:rPr>
        <w:t xml:space="preserve"> time, that the application for extension of indications for </w:t>
      </w:r>
      <w:proofErr w:type="spellStart"/>
      <w:r w:rsidRPr="00CF299A">
        <w:rPr>
          <w:bCs/>
        </w:rPr>
        <w:t>Opdivo</w:t>
      </w:r>
      <w:proofErr w:type="spellEnd"/>
      <w:r w:rsidRPr="00CF299A">
        <w:rPr>
          <w:bCs/>
        </w:rPr>
        <w:t xml:space="preserve"> should not be approved for registration, provided that a</w:t>
      </w:r>
      <w:r w:rsidRPr="00CF299A">
        <w:t xml:space="preserve">dditional qualifying text is </w:t>
      </w:r>
      <w:r w:rsidR="00B04914">
        <w:t>included in the i</w:t>
      </w:r>
      <w:r w:rsidRPr="00CF299A">
        <w:t xml:space="preserve">ndication to specify the limited evidence, and that the PI contains adequate efficacy and safety information for the proposed </w:t>
      </w:r>
      <w:proofErr w:type="spellStart"/>
      <w:r w:rsidRPr="00CF299A">
        <w:t>cHL</w:t>
      </w:r>
      <w:proofErr w:type="spellEnd"/>
      <w:r w:rsidRPr="00CF299A">
        <w:t xml:space="preserve"> indication.</w:t>
      </w:r>
    </w:p>
    <w:p w:rsidR="00D23139" w:rsidRDefault="00D23139" w:rsidP="00D23139">
      <w:pPr>
        <w:pStyle w:val="Heading4"/>
      </w:pPr>
      <w:r w:rsidRPr="00D23139">
        <w:t>Request</w:t>
      </w:r>
      <w:r w:rsidR="00717DCB">
        <w:t xml:space="preserve"> for AC</w:t>
      </w:r>
      <w:r w:rsidRPr="00D23139">
        <w:t>M advice</w:t>
      </w:r>
    </w:p>
    <w:p w:rsidR="00B04914" w:rsidRPr="00B04914" w:rsidRDefault="00B04914" w:rsidP="00B04914">
      <w:r w:rsidRPr="00B04914">
        <w:t>The committee is requested to provide advice on the following issues:</w:t>
      </w:r>
    </w:p>
    <w:p w:rsidR="00B04914" w:rsidRPr="00393A3E" w:rsidRDefault="00B04914" w:rsidP="00393A3E">
      <w:pPr>
        <w:pStyle w:val="Numberbullet0"/>
        <w:numPr>
          <w:ilvl w:val="0"/>
          <w:numId w:val="43"/>
        </w:numPr>
      </w:pPr>
      <w:r w:rsidRPr="00393A3E">
        <w:t>Are there any implications from the PK modelling for clinical usage and precautions? Is this aspect of the proposed PI adequate?</w:t>
      </w:r>
    </w:p>
    <w:p w:rsidR="00B04914" w:rsidRPr="00393A3E" w:rsidRDefault="00B04914" w:rsidP="00393A3E">
      <w:pPr>
        <w:pStyle w:val="Numberbullet0"/>
        <w:numPr>
          <w:ilvl w:val="0"/>
          <w:numId w:val="43"/>
        </w:numPr>
      </w:pPr>
      <w:r w:rsidRPr="00393A3E">
        <w:t xml:space="preserve">Efficacy: What are the views of the committee on the adequacy of the submitted interim study reports </w:t>
      </w:r>
      <w:r w:rsidR="00393A3E">
        <w:t>from Phase I and II</w:t>
      </w:r>
      <w:r w:rsidRPr="00393A3E">
        <w:t xml:space="preserve"> trials and updated data as support for registration for the </w:t>
      </w:r>
      <w:proofErr w:type="spellStart"/>
      <w:r w:rsidRPr="00393A3E">
        <w:t>cHL</w:t>
      </w:r>
      <w:proofErr w:type="spellEnd"/>
      <w:r w:rsidRPr="00393A3E">
        <w:t xml:space="preserve"> </w:t>
      </w:r>
      <w:proofErr w:type="gramStart"/>
      <w:r w:rsidRPr="00393A3E">
        <w:t>indication.</w:t>
      </w:r>
      <w:proofErr w:type="gramEnd"/>
      <w:r w:rsidRPr="00393A3E">
        <w:t xml:space="preserve"> Is the notation about limitation of data adequate? Should the indication wording specify adult patients?</w:t>
      </w:r>
    </w:p>
    <w:p w:rsidR="00B04914" w:rsidRPr="00B04914" w:rsidRDefault="00B04914" w:rsidP="00B04914">
      <w:pPr>
        <w:pStyle w:val="Numberbullet0"/>
        <w:numPr>
          <w:ilvl w:val="0"/>
          <w:numId w:val="43"/>
        </w:numPr>
      </w:pPr>
      <w:r w:rsidRPr="00393A3E">
        <w:t>Safety: Is the available information sufficient for the anticipated clinical setting? Is the proposed PI/CMI with pooled safety data across all indications, and other clinical information, adequate in this regard?</w:t>
      </w:r>
    </w:p>
    <w:p w:rsidR="00B04914" w:rsidRPr="00B04914" w:rsidRDefault="00B04914" w:rsidP="00B04914">
      <w:r w:rsidRPr="00B04914">
        <w:t>The committee is also requested to provide advice on any other issues that it thinks may be relevant to a decision on whether or not to approve this application.</w:t>
      </w:r>
    </w:p>
    <w:p w:rsidR="00D23139" w:rsidRDefault="00E47F29" w:rsidP="00D23139">
      <w:pPr>
        <w:pStyle w:val="Heading4"/>
      </w:pPr>
      <w:r>
        <w:t>Response from sponsor</w:t>
      </w:r>
    </w:p>
    <w:p w:rsidR="00F96FEA" w:rsidRPr="00F96FEA" w:rsidRDefault="001719D1" w:rsidP="00F96FEA">
      <w:pPr>
        <w:rPr>
          <w:lang w:val="en-GB"/>
        </w:rPr>
      </w:pPr>
      <w:r>
        <w:rPr>
          <w:lang w:val="en-GB"/>
        </w:rPr>
        <w:t>The sponsor welcomes the Delegate’s and clinical e</w:t>
      </w:r>
      <w:r w:rsidR="00F96FEA" w:rsidRPr="00F96FEA">
        <w:rPr>
          <w:lang w:val="en-GB"/>
        </w:rPr>
        <w:t xml:space="preserve">valuator’s conclusion that </w:t>
      </w:r>
      <w:proofErr w:type="spellStart"/>
      <w:r w:rsidR="00F96FEA" w:rsidRPr="00F96FEA">
        <w:rPr>
          <w:lang w:val="en-GB"/>
        </w:rPr>
        <w:t>Opdivo</w:t>
      </w:r>
      <w:proofErr w:type="spellEnd"/>
      <w:r w:rsidR="00F96FEA" w:rsidRPr="00F96FEA">
        <w:rPr>
          <w:lang w:val="en-GB"/>
        </w:rPr>
        <w:t xml:space="preserve"> can be approved for an indication in </w:t>
      </w:r>
      <w:proofErr w:type="spellStart"/>
      <w:r>
        <w:rPr>
          <w:lang w:val="en-GB"/>
        </w:rPr>
        <w:t>cHL</w:t>
      </w:r>
      <w:proofErr w:type="spellEnd"/>
      <w:r w:rsidR="00F96FEA" w:rsidRPr="00F96FEA">
        <w:rPr>
          <w:lang w:val="en-GB"/>
        </w:rPr>
        <w:t xml:space="preserve"> subject to agreed modifications to the indication and </w:t>
      </w:r>
      <w:r>
        <w:rPr>
          <w:lang w:val="en-GB"/>
        </w:rPr>
        <w:t>PI.</w:t>
      </w:r>
    </w:p>
    <w:p w:rsidR="00F96FEA" w:rsidRPr="00F96FEA" w:rsidRDefault="001719D1" w:rsidP="00F96FEA">
      <w:pPr>
        <w:rPr>
          <w:lang w:val="en-GB"/>
        </w:rPr>
      </w:pPr>
      <w:r>
        <w:rPr>
          <w:lang w:val="en-GB"/>
        </w:rPr>
        <w:t xml:space="preserve">The sponsor </w:t>
      </w:r>
      <w:r w:rsidR="00F96FEA" w:rsidRPr="00F96FEA">
        <w:rPr>
          <w:lang w:val="en-GB"/>
        </w:rPr>
        <w:t>agrees to the inclusion of a note to the indication statement to clarify the basis of approval. However, the proposed n</w:t>
      </w:r>
      <w:r>
        <w:rPr>
          <w:lang w:val="en-GB"/>
        </w:rPr>
        <w:t>ote to the indication from the clinical e</w:t>
      </w:r>
      <w:r w:rsidR="00F96FEA" w:rsidRPr="00F96FEA">
        <w:rPr>
          <w:lang w:val="en-GB"/>
        </w:rPr>
        <w:t xml:space="preserve">valuator is not an accurate reflection of the status of the data. Until mature data on PFS and OS are available it is too early to say that PFS and OS improvements have not been demonstrated from these studies. </w:t>
      </w:r>
      <w:r>
        <w:rPr>
          <w:lang w:val="en-GB"/>
        </w:rPr>
        <w:t>The sponsor</w:t>
      </w:r>
      <w:r w:rsidR="00F96FEA" w:rsidRPr="00F96FEA">
        <w:rPr>
          <w:lang w:val="en-GB"/>
        </w:rPr>
        <w:t xml:space="preserve"> recommends that a more accurate statement would be to say that d</w:t>
      </w:r>
      <w:r>
        <w:rPr>
          <w:lang w:val="en-GB"/>
        </w:rPr>
        <w:t>ata on PFS and OS are immature.</w:t>
      </w:r>
    </w:p>
    <w:p w:rsidR="00F96FEA" w:rsidRPr="00F96FEA" w:rsidRDefault="00F96FEA" w:rsidP="00F96FEA">
      <w:pPr>
        <w:rPr>
          <w:lang w:val="en-GB"/>
        </w:rPr>
      </w:pPr>
      <w:r w:rsidRPr="00F96FEA">
        <w:rPr>
          <w:lang w:val="en-GB"/>
        </w:rPr>
        <w:t xml:space="preserve">The </w:t>
      </w:r>
      <w:proofErr w:type="spellStart"/>
      <w:r w:rsidRPr="00F96FEA">
        <w:rPr>
          <w:lang w:val="en-GB"/>
        </w:rPr>
        <w:t>nivolumab</w:t>
      </w:r>
      <w:proofErr w:type="spellEnd"/>
      <w:r w:rsidRPr="00F96FEA">
        <w:rPr>
          <w:lang w:val="en-GB"/>
        </w:rPr>
        <w:t xml:space="preserve"> safety profile is well characterised and has been shown to be consistent over time and across tumours. Data from an integrated population of </w:t>
      </w:r>
      <w:proofErr w:type="spellStart"/>
      <w:r w:rsidRPr="00F96FEA">
        <w:rPr>
          <w:lang w:val="en-GB"/>
        </w:rPr>
        <w:t>cHL</w:t>
      </w:r>
      <w:proofErr w:type="spellEnd"/>
      <w:r w:rsidRPr="00F96FEA">
        <w:rPr>
          <w:lang w:val="en-GB"/>
        </w:rPr>
        <w:t xml:space="preserve"> patients demonstrates that the type, frequency, and severity of AEs were similar to other tumour t</w:t>
      </w:r>
      <w:r w:rsidR="001719D1">
        <w:rPr>
          <w:lang w:val="en-GB"/>
        </w:rPr>
        <w:t>ypes (</w:t>
      </w:r>
      <w:r w:rsidR="00487EC6">
        <w:rPr>
          <w:lang w:val="en-GB"/>
        </w:rPr>
        <w:t>RCC</w:t>
      </w:r>
      <w:r w:rsidRPr="00F96FEA">
        <w:rPr>
          <w:lang w:val="en-GB"/>
        </w:rPr>
        <w:t xml:space="preserve">, melanoma, and </w:t>
      </w:r>
      <w:r w:rsidR="001719D1">
        <w:rPr>
          <w:lang w:val="en-GB"/>
        </w:rPr>
        <w:t>NSCLC</w:t>
      </w:r>
      <w:r w:rsidRPr="00F96FEA">
        <w:rPr>
          <w:lang w:val="en-GB"/>
        </w:rPr>
        <w:t xml:space="preserve">). The PI contains clear information regarding the importance of continuous monitoring of all patients regarding early identification and intervention for adverse reactions. Furthermore, in response to the TGA’s request, text on the complications of allogeneic </w:t>
      </w:r>
      <w:r w:rsidR="001719D1">
        <w:rPr>
          <w:lang w:val="en-GB"/>
        </w:rPr>
        <w:t>HSCT</w:t>
      </w:r>
      <w:r w:rsidRPr="00F96FEA">
        <w:rPr>
          <w:lang w:val="en-GB"/>
        </w:rPr>
        <w:t xml:space="preserve"> following </w:t>
      </w:r>
      <w:proofErr w:type="spellStart"/>
      <w:r w:rsidRPr="00F96FEA">
        <w:rPr>
          <w:lang w:val="en-GB"/>
        </w:rPr>
        <w:t>nivolumab</w:t>
      </w:r>
      <w:proofErr w:type="spellEnd"/>
      <w:r w:rsidRPr="00F96FEA">
        <w:rPr>
          <w:lang w:val="en-GB"/>
        </w:rPr>
        <w:t xml:space="preserve"> therapy has been added to the </w:t>
      </w:r>
      <w:r w:rsidR="001719D1">
        <w:rPr>
          <w:lang w:val="en-GB"/>
        </w:rPr>
        <w:t>‘</w:t>
      </w:r>
      <w:r w:rsidRPr="00F96FEA">
        <w:rPr>
          <w:lang w:val="en-GB"/>
        </w:rPr>
        <w:t>Precautions and Adverse Effects</w:t>
      </w:r>
      <w:r w:rsidR="001719D1">
        <w:rPr>
          <w:lang w:val="en-GB"/>
        </w:rPr>
        <w:t>’</w:t>
      </w:r>
      <w:r w:rsidRPr="00F96FEA">
        <w:rPr>
          <w:lang w:val="en-GB"/>
        </w:rPr>
        <w:t xml:space="preserve"> sections of the PI as well as inclusion into the Australian </w:t>
      </w:r>
      <w:r w:rsidR="001719D1">
        <w:rPr>
          <w:lang w:val="en-GB"/>
        </w:rPr>
        <w:t>HCP</w:t>
      </w:r>
      <w:r w:rsidRPr="00F96FEA">
        <w:rPr>
          <w:lang w:val="en-GB"/>
        </w:rPr>
        <w:t xml:space="preserve"> risk management tool for </w:t>
      </w:r>
      <w:proofErr w:type="spellStart"/>
      <w:r w:rsidRPr="00F96FEA">
        <w:rPr>
          <w:lang w:val="en-GB"/>
        </w:rPr>
        <w:t>nivolumab</w:t>
      </w:r>
      <w:proofErr w:type="spellEnd"/>
      <w:r w:rsidRPr="00F96FEA">
        <w:rPr>
          <w:lang w:val="en-GB"/>
        </w:rPr>
        <w:t xml:space="preserve">. </w:t>
      </w:r>
      <w:r w:rsidR="001719D1">
        <w:rPr>
          <w:lang w:val="en-GB"/>
        </w:rPr>
        <w:t>The sponsor</w:t>
      </w:r>
      <w:r w:rsidRPr="00F96FEA">
        <w:rPr>
          <w:lang w:val="en-GB"/>
        </w:rPr>
        <w:t xml:space="preserve"> agrees with the Delegate that t</w:t>
      </w:r>
      <w:r w:rsidR="001719D1">
        <w:rPr>
          <w:lang w:val="en-GB"/>
        </w:rPr>
        <w:t>he safety issues raised by the clinical e</w:t>
      </w:r>
      <w:r w:rsidRPr="00F96FEA">
        <w:rPr>
          <w:lang w:val="en-GB"/>
        </w:rPr>
        <w:t>valuator do not preclude approval o</w:t>
      </w:r>
      <w:r w:rsidR="001719D1">
        <w:rPr>
          <w:lang w:val="en-GB"/>
        </w:rPr>
        <w:t>f this extension of indication.</w:t>
      </w:r>
    </w:p>
    <w:p w:rsidR="00F96FEA" w:rsidRPr="00F96FEA" w:rsidRDefault="001719D1" w:rsidP="00F96FEA">
      <w:pPr>
        <w:rPr>
          <w:lang w:val="en-GB"/>
        </w:rPr>
      </w:pPr>
      <w:r>
        <w:rPr>
          <w:lang w:val="en-GB"/>
        </w:rPr>
        <w:t>The sponsor</w:t>
      </w:r>
      <w:r w:rsidR="00F96FEA" w:rsidRPr="00F96FEA">
        <w:rPr>
          <w:lang w:val="en-GB"/>
        </w:rPr>
        <w:t xml:space="preserve"> recognises the recommendations from the Delegate and </w:t>
      </w:r>
      <w:r>
        <w:rPr>
          <w:lang w:val="en-GB"/>
        </w:rPr>
        <w:t>c</w:t>
      </w:r>
      <w:r w:rsidR="00F96FEA" w:rsidRPr="00F96FEA">
        <w:rPr>
          <w:lang w:val="en-GB"/>
        </w:rPr>
        <w:t xml:space="preserve">linical </w:t>
      </w:r>
      <w:r>
        <w:rPr>
          <w:lang w:val="en-GB"/>
        </w:rPr>
        <w:t>e</w:t>
      </w:r>
      <w:r w:rsidR="00F96FEA" w:rsidRPr="00F96FEA">
        <w:rPr>
          <w:lang w:val="en-GB"/>
        </w:rPr>
        <w:t>valuator on the proposed indication and has amended the proposed indication st</w:t>
      </w:r>
      <w:r>
        <w:rPr>
          <w:lang w:val="en-GB"/>
        </w:rPr>
        <w:t>atement as follows:</w:t>
      </w:r>
    </w:p>
    <w:p w:rsidR="00F96FEA" w:rsidRPr="00F96FEA" w:rsidRDefault="00B35CEF" w:rsidP="00B35CEF">
      <w:pPr>
        <w:ind w:left="720"/>
        <w:rPr>
          <w:lang w:val="en-GB"/>
        </w:rPr>
      </w:pPr>
      <w:r>
        <w:rPr>
          <w:i/>
          <w:iCs/>
          <w:lang w:val="en-GB"/>
        </w:rPr>
        <w:lastRenderedPageBreak/>
        <w:t>‘</w:t>
      </w:r>
      <w:proofErr w:type="spellStart"/>
      <w:r w:rsidR="00F96FEA" w:rsidRPr="00F96FEA">
        <w:rPr>
          <w:i/>
          <w:iCs/>
          <w:lang w:val="en-GB"/>
        </w:rPr>
        <w:t>O</w:t>
      </w:r>
      <w:r>
        <w:rPr>
          <w:i/>
          <w:iCs/>
          <w:lang w:val="en-GB"/>
        </w:rPr>
        <w:t>pdivo</w:t>
      </w:r>
      <w:proofErr w:type="spellEnd"/>
      <w:r w:rsidR="00F96FEA" w:rsidRPr="00F96FEA">
        <w:rPr>
          <w:i/>
          <w:iCs/>
          <w:lang w:val="en-GB"/>
        </w:rPr>
        <w:t>, as monotherapy is indicated for the treatment of adult patients with relapsed or refractory classical Hodgkin lymphoma (</w:t>
      </w:r>
      <w:proofErr w:type="spellStart"/>
      <w:r w:rsidR="00F96FEA" w:rsidRPr="00F96FEA">
        <w:rPr>
          <w:i/>
          <w:iCs/>
          <w:lang w:val="en-GB"/>
        </w:rPr>
        <w:t>cHL</w:t>
      </w:r>
      <w:proofErr w:type="spellEnd"/>
      <w:r w:rsidR="00F96FEA" w:rsidRPr="00F96FEA">
        <w:rPr>
          <w:i/>
          <w:iCs/>
          <w:lang w:val="en-GB"/>
        </w:rPr>
        <w:t>) after autolo</w:t>
      </w:r>
      <w:r w:rsidR="001719D1">
        <w:rPr>
          <w:i/>
          <w:iCs/>
          <w:lang w:val="en-GB"/>
        </w:rPr>
        <w:t>gous stem cell transplant</w:t>
      </w:r>
      <w:r w:rsidR="00F96FEA" w:rsidRPr="00F96FEA">
        <w:rPr>
          <w:i/>
          <w:iCs/>
          <w:lang w:val="en-GB"/>
        </w:rPr>
        <w:t xml:space="preserve"> and trea</w:t>
      </w:r>
      <w:r>
        <w:rPr>
          <w:i/>
          <w:iCs/>
          <w:lang w:val="en-GB"/>
        </w:rPr>
        <w:t xml:space="preserve">tment with </w:t>
      </w:r>
      <w:proofErr w:type="spellStart"/>
      <w:r>
        <w:rPr>
          <w:i/>
          <w:iCs/>
          <w:lang w:val="en-GB"/>
        </w:rPr>
        <w:t>brentuximab</w:t>
      </w:r>
      <w:proofErr w:type="spellEnd"/>
      <w:r>
        <w:rPr>
          <w:i/>
          <w:iCs/>
          <w:lang w:val="en-GB"/>
        </w:rPr>
        <w:t xml:space="preserve"> </w:t>
      </w:r>
      <w:proofErr w:type="spellStart"/>
      <w:r>
        <w:rPr>
          <w:i/>
          <w:iCs/>
          <w:lang w:val="en-GB"/>
        </w:rPr>
        <w:t>vedotin</w:t>
      </w:r>
      <w:proofErr w:type="spellEnd"/>
      <w:r>
        <w:rPr>
          <w:i/>
          <w:iCs/>
          <w:lang w:val="en-GB"/>
        </w:rPr>
        <w:t>.</w:t>
      </w:r>
    </w:p>
    <w:p w:rsidR="00F96FEA" w:rsidRPr="00F96FEA" w:rsidRDefault="00F96FEA" w:rsidP="00B35CEF">
      <w:pPr>
        <w:ind w:left="720"/>
        <w:rPr>
          <w:lang w:val="en-GB"/>
        </w:rPr>
      </w:pPr>
      <w:r w:rsidRPr="00F96FEA">
        <w:rPr>
          <w:i/>
          <w:iCs/>
          <w:lang w:val="en-GB"/>
        </w:rPr>
        <w:t xml:space="preserve">Note to </w:t>
      </w:r>
      <w:proofErr w:type="spellStart"/>
      <w:r w:rsidRPr="00F96FEA">
        <w:rPr>
          <w:i/>
          <w:iCs/>
          <w:lang w:val="en-GB"/>
        </w:rPr>
        <w:t>cHL</w:t>
      </w:r>
      <w:proofErr w:type="spellEnd"/>
      <w:r w:rsidRPr="00F96FEA">
        <w:rPr>
          <w:i/>
          <w:iCs/>
          <w:lang w:val="en-GB"/>
        </w:rPr>
        <w:t xml:space="preserve"> indication: The approval of this indication is based on overall response rate. Data on progression free survival and overall survival are immature.</w:t>
      </w:r>
      <w:r w:rsidR="00B35CEF">
        <w:rPr>
          <w:i/>
          <w:iCs/>
          <w:lang w:val="en-GB"/>
        </w:rPr>
        <w:t>’</w:t>
      </w:r>
    </w:p>
    <w:p w:rsidR="00F96FEA" w:rsidRPr="00F96FEA" w:rsidRDefault="00F96FEA" w:rsidP="00F96FEA">
      <w:pPr>
        <w:rPr>
          <w:lang w:val="en-GB"/>
        </w:rPr>
      </w:pPr>
      <w:proofErr w:type="spellStart"/>
      <w:r w:rsidRPr="00F96FEA">
        <w:rPr>
          <w:lang w:val="en-GB"/>
        </w:rPr>
        <w:t>Nivolumab</w:t>
      </w:r>
      <w:proofErr w:type="spellEnd"/>
      <w:r w:rsidRPr="00F96FEA">
        <w:rPr>
          <w:lang w:val="en-GB"/>
        </w:rPr>
        <w:t xml:space="preserve"> has been approved for the treatment of relapsed or refractory </w:t>
      </w:r>
      <w:proofErr w:type="spellStart"/>
      <w:r w:rsidRPr="00F96FEA">
        <w:rPr>
          <w:lang w:val="en-GB"/>
        </w:rPr>
        <w:t>cHL</w:t>
      </w:r>
      <w:proofErr w:type="spellEnd"/>
      <w:r w:rsidRPr="00F96FEA">
        <w:rPr>
          <w:lang w:val="en-GB"/>
        </w:rPr>
        <w:t xml:space="preserve"> in the US (17 May 2016), EU (22 November 2016), Switzerland </w:t>
      </w:r>
      <w:r w:rsidR="00B35CEF">
        <w:rPr>
          <w:lang w:val="en-GB"/>
        </w:rPr>
        <w:t>(22 December 2016) and Japan (2 December 2016).</w:t>
      </w:r>
    </w:p>
    <w:p w:rsidR="00F96FEA" w:rsidRPr="00F96FEA" w:rsidRDefault="00B35CEF" w:rsidP="00B35CEF">
      <w:pPr>
        <w:pStyle w:val="Heading5"/>
        <w:rPr>
          <w:lang w:val="en-GB"/>
        </w:rPr>
      </w:pPr>
      <w:r w:rsidRPr="00F96FEA">
        <w:rPr>
          <w:lang w:val="en-GB"/>
        </w:rPr>
        <w:t>Introduction</w:t>
      </w:r>
    </w:p>
    <w:p w:rsidR="00F96FEA" w:rsidRPr="00F96FEA" w:rsidRDefault="00F96FEA" w:rsidP="00F96FEA">
      <w:pPr>
        <w:rPr>
          <w:lang w:val="en-GB"/>
        </w:rPr>
      </w:pPr>
      <w:r w:rsidRPr="00F96FEA">
        <w:rPr>
          <w:lang w:val="en-GB"/>
        </w:rPr>
        <w:t xml:space="preserve">In Australia, </w:t>
      </w:r>
      <w:proofErr w:type="spellStart"/>
      <w:r w:rsidR="00B35CEF">
        <w:rPr>
          <w:lang w:val="en-GB"/>
        </w:rPr>
        <w:t>cHL</w:t>
      </w:r>
      <w:proofErr w:type="spellEnd"/>
      <w:r w:rsidRPr="00F96FEA">
        <w:rPr>
          <w:lang w:val="en-GB"/>
        </w:rPr>
        <w:t xml:space="preserve"> is a rare disease with high unmet clinical need. The 2013 incidence/2014 mortality rates for HL in Australia were 611 and 94, respectively. The age- adjusted incidence rate for this period is 2.6/1</w:t>
      </w:r>
      <w:r w:rsidR="00B35CEF">
        <w:rPr>
          <w:lang w:val="en-GB"/>
        </w:rPr>
        <w:t>00,000 population.</w:t>
      </w:r>
      <w:r w:rsidR="00B35CEF">
        <w:rPr>
          <w:rStyle w:val="FootnoteReference"/>
          <w:lang w:val="en-GB"/>
        </w:rPr>
        <w:footnoteReference w:id="21"/>
      </w:r>
    </w:p>
    <w:p w:rsidR="00F96FEA" w:rsidRPr="00F96FEA" w:rsidRDefault="00F96FEA" w:rsidP="00F96FEA">
      <w:pPr>
        <w:rPr>
          <w:lang w:val="en-GB"/>
        </w:rPr>
      </w:pPr>
      <w:r w:rsidRPr="00F96FEA">
        <w:rPr>
          <w:lang w:val="en-GB"/>
        </w:rPr>
        <w:t>Heavily pre</w:t>
      </w:r>
      <w:r w:rsidR="00B35CEF">
        <w:rPr>
          <w:lang w:val="en-GB"/>
        </w:rPr>
        <w:t>-</w:t>
      </w:r>
      <w:r w:rsidRPr="00F96FEA">
        <w:rPr>
          <w:lang w:val="en-GB"/>
        </w:rPr>
        <w:t xml:space="preserve">treated patients with </w:t>
      </w:r>
      <w:proofErr w:type="spellStart"/>
      <w:r w:rsidRPr="00F96FEA">
        <w:rPr>
          <w:lang w:val="en-GB"/>
        </w:rPr>
        <w:t>cHL</w:t>
      </w:r>
      <w:proofErr w:type="spellEnd"/>
      <w:r w:rsidRPr="00F96FEA">
        <w:rPr>
          <w:lang w:val="en-GB"/>
        </w:rPr>
        <w:t xml:space="preserve"> who have failed </w:t>
      </w:r>
      <w:r w:rsidR="00B35CEF">
        <w:rPr>
          <w:lang w:val="en-GB"/>
        </w:rPr>
        <w:t>ASCT</w:t>
      </w:r>
      <w:r w:rsidRPr="00F96FEA">
        <w:rPr>
          <w:lang w:val="en-GB"/>
        </w:rPr>
        <w:t xml:space="preserve"> and </w:t>
      </w:r>
      <w:proofErr w:type="spellStart"/>
      <w:r w:rsidRPr="00F96FEA">
        <w:rPr>
          <w:lang w:val="en-GB"/>
        </w:rPr>
        <w:t>brentuximab</w:t>
      </w:r>
      <w:proofErr w:type="spellEnd"/>
      <w:r w:rsidRPr="00F96FEA">
        <w:rPr>
          <w:lang w:val="en-GB"/>
        </w:rPr>
        <w:t xml:space="preserve"> </w:t>
      </w:r>
      <w:proofErr w:type="spellStart"/>
      <w:r w:rsidRPr="00F96FEA">
        <w:rPr>
          <w:lang w:val="en-GB"/>
        </w:rPr>
        <w:t>vedotin</w:t>
      </w:r>
      <w:proofErr w:type="spellEnd"/>
      <w:r w:rsidRPr="00F96FEA">
        <w:rPr>
          <w:lang w:val="en-GB"/>
        </w:rPr>
        <w:t xml:space="preserve"> represent an area of substantial unmet medical need as their overall prognosis is poor with a median survival of less than 1 to 2 years. The standard of care for patients with relapsed and refractory </w:t>
      </w:r>
      <w:proofErr w:type="spellStart"/>
      <w:r w:rsidRPr="00F96FEA">
        <w:rPr>
          <w:lang w:val="en-GB"/>
        </w:rPr>
        <w:t>cHL</w:t>
      </w:r>
      <w:proofErr w:type="spellEnd"/>
      <w:r w:rsidRPr="00F96FEA">
        <w:rPr>
          <w:lang w:val="en-GB"/>
        </w:rPr>
        <w:t xml:space="preserve"> is intensive salvage chemotherapy followed by ASCT, which can produce long-term remissions in approximately 50% of patients. The remaining 50% of ASCT patients do not experience long-term disease control with median OS of appro</w:t>
      </w:r>
      <w:r w:rsidR="00B35CEF">
        <w:rPr>
          <w:lang w:val="en-GB"/>
        </w:rPr>
        <w:t>ximately 27 months</w:t>
      </w:r>
      <w:r w:rsidRPr="00F96FEA">
        <w:rPr>
          <w:lang w:val="en-GB"/>
        </w:rPr>
        <w:t>.</w:t>
      </w:r>
      <w:r w:rsidR="00B35CEF">
        <w:rPr>
          <w:rStyle w:val="FootnoteReference"/>
          <w:lang w:val="en-GB"/>
        </w:rPr>
        <w:footnoteReference w:id="22"/>
      </w:r>
      <w:r w:rsidRPr="00F96FEA">
        <w:rPr>
          <w:lang w:val="en-GB"/>
        </w:rPr>
        <w:t xml:space="preserve"> In particular, the prognosis remains exceedingly poor for patients who experience relapse or progressive </w:t>
      </w:r>
      <w:proofErr w:type="spellStart"/>
      <w:r w:rsidRPr="00F96FEA">
        <w:rPr>
          <w:lang w:val="en-GB"/>
        </w:rPr>
        <w:t>cHL</w:t>
      </w:r>
      <w:proofErr w:type="spellEnd"/>
      <w:r w:rsidRPr="00F96FEA">
        <w:rPr>
          <w:lang w:val="en-GB"/>
        </w:rPr>
        <w:t xml:space="preserve"> within one year after ASCT where the median survival time is approximate</w:t>
      </w:r>
      <w:r w:rsidR="00B35CEF">
        <w:rPr>
          <w:lang w:val="en-GB"/>
        </w:rPr>
        <w:t>ly 1.2 years</w:t>
      </w:r>
      <w:r w:rsidRPr="00F96FEA">
        <w:rPr>
          <w:lang w:val="en-GB"/>
        </w:rPr>
        <w:t>.</w:t>
      </w:r>
      <w:r w:rsidR="00B35CEF">
        <w:rPr>
          <w:rStyle w:val="FootnoteReference"/>
          <w:lang w:val="en-GB"/>
        </w:rPr>
        <w:footnoteReference w:id="23"/>
      </w:r>
      <w:r w:rsidRPr="00F96FEA">
        <w:rPr>
          <w:lang w:val="en-GB"/>
        </w:rPr>
        <w:t xml:space="preserve"> New agents that have meaningful clinical efficacy are urgently required to address this medical need for Australian patients. There are no Australian specific treatment guidelines for the treatment of </w:t>
      </w:r>
      <w:proofErr w:type="spellStart"/>
      <w:proofErr w:type="gramStart"/>
      <w:r w:rsidRPr="00F96FEA">
        <w:rPr>
          <w:lang w:val="en-GB"/>
        </w:rPr>
        <w:t>cHL</w:t>
      </w:r>
      <w:proofErr w:type="spellEnd"/>
      <w:r w:rsidRPr="00F96FEA">
        <w:rPr>
          <w:lang w:val="en-GB"/>
        </w:rPr>
        <w:t>,</w:t>
      </w:r>
      <w:proofErr w:type="gramEnd"/>
      <w:r w:rsidRPr="00F96FEA">
        <w:rPr>
          <w:lang w:val="en-GB"/>
        </w:rPr>
        <w:t xml:space="preserve"> however, Australian haematologists tend to refer to international guidelines such as those of the National Comprehensive Cancer Network (NCCN) to help inform the development of institutional protocols. The NCCN guideline currently includes </w:t>
      </w:r>
      <w:proofErr w:type="spellStart"/>
      <w:r w:rsidRPr="00F96FEA">
        <w:rPr>
          <w:lang w:val="en-GB"/>
        </w:rPr>
        <w:t>nivolumab</w:t>
      </w:r>
      <w:proofErr w:type="spellEnd"/>
      <w:r w:rsidRPr="00F96FEA">
        <w:rPr>
          <w:lang w:val="en-GB"/>
        </w:rPr>
        <w:t xml:space="preserve"> as an additional the</w:t>
      </w:r>
      <w:r w:rsidR="0044429D">
        <w:rPr>
          <w:lang w:val="en-GB"/>
        </w:rPr>
        <w:t xml:space="preserve">rapy option for </w:t>
      </w:r>
      <w:proofErr w:type="spellStart"/>
      <w:r w:rsidR="0044429D">
        <w:rPr>
          <w:lang w:val="en-GB"/>
        </w:rPr>
        <w:t>cHL</w:t>
      </w:r>
      <w:r w:rsidRPr="00F96FEA">
        <w:rPr>
          <w:lang w:val="en-GB"/>
        </w:rPr>
        <w:t>.</w:t>
      </w:r>
      <w:proofErr w:type="spellEnd"/>
      <w:r w:rsidR="0044429D">
        <w:rPr>
          <w:rStyle w:val="FootnoteReference"/>
          <w:lang w:val="en-GB"/>
        </w:rPr>
        <w:footnoteReference w:id="24"/>
      </w:r>
    </w:p>
    <w:p w:rsidR="00F96FEA" w:rsidRDefault="00E71358" w:rsidP="0044429D">
      <w:pPr>
        <w:pStyle w:val="Heading5"/>
        <w:rPr>
          <w:lang w:val="en-GB"/>
        </w:rPr>
      </w:pPr>
      <w:r>
        <w:rPr>
          <w:lang w:val="en-GB"/>
        </w:rPr>
        <w:t>Responses to question</w:t>
      </w:r>
      <w:r w:rsidR="0075239F">
        <w:rPr>
          <w:lang w:val="en-GB"/>
        </w:rPr>
        <w:t>s</w:t>
      </w:r>
      <w:r w:rsidR="0044429D">
        <w:rPr>
          <w:lang w:val="en-GB"/>
        </w:rPr>
        <w:t xml:space="preserve"> raised by the TGA D</w:t>
      </w:r>
      <w:r w:rsidR="0044429D" w:rsidRPr="00F96FEA">
        <w:rPr>
          <w:lang w:val="en-GB"/>
        </w:rPr>
        <w:t xml:space="preserve">elegate </w:t>
      </w:r>
      <w:r w:rsidR="00D9306C">
        <w:rPr>
          <w:lang w:val="en-GB"/>
        </w:rPr>
        <w:t>in the Request for</w:t>
      </w:r>
      <w:r w:rsidR="0044429D" w:rsidRPr="00F96FEA">
        <w:rPr>
          <w:lang w:val="en-GB"/>
        </w:rPr>
        <w:t xml:space="preserve"> </w:t>
      </w:r>
      <w:r w:rsidR="0044429D">
        <w:rPr>
          <w:lang w:val="en-GB"/>
        </w:rPr>
        <w:t>ACM</w:t>
      </w:r>
      <w:r w:rsidR="00D9306C">
        <w:rPr>
          <w:lang w:val="en-GB"/>
        </w:rPr>
        <w:t xml:space="preserve"> A</w:t>
      </w:r>
      <w:r w:rsidR="0044429D" w:rsidRPr="00F96FEA">
        <w:rPr>
          <w:lang w:val="en-GB"/>
        </w:rPr>
        <w:t>dvice</w:t>
      </w:r>
    </w:p>
    <w:p w:rsidR="0044429D" w:rsidRPr="0044429D" w:rsidRDefault="0044429D" w:rsidP="0044429D">
      <w:pPr>
        <w:pStyle w:val="Heading6"/>
        <w:rPr>
          <w:lang w:val="en-GB"/>
        </w:rPr>
      </w:pPr>
      <w:r>
        <w:rPr>
          <w:lang w:val="en-GB"/>
        </w:rPr>
        <w:t>Question 1</w:t>
      </w:r>
    </w:p>
    <w:p w:rsidR="00F96FEA" w:rsidRPr="00D9306C" w:rsidRDefault="00D9306C" w:rsidP="00D9306C">
      <w:pPr>
        <w:ind w:left="720"/>
        <w:rPr>
          <w:i/>
        </w:rPr>
      </w:pPr>
      <w:r w:rsidRPr="00D9306C">
        <w:rPr>
          <w:i/>
        </w:rPr>
        <w:t>‘</w:t>
      </w:r>
      <w:r w:rsidR="00F96FEA" w:rsidRPr="00D9306C">
        <w:rPr>
          <w:i/>
        </w:rPr>
        <w:t>Are there any implications from the PK modelling for clinical usage and precautions? Is this aspect of the proposed PI adequate?</w:t>
      </w:r>
      <w:r w:rsidRPr="00D9306C">
        <w:rPr>
          <w:i/>
        </w:rPr>
        <w:t>’</w:t>
      </w:r>
    </w:p>
    <w:p w:rsidR="00F96FEA" w:rsidRPr="00F96FEA" w:rsidRDefault="0044429D" w:rsidP="00F96FEA">
      <w:pPr>
        <w:rPr>
          <w:lang w:val="en-GB"/>
        </w:rPr>
      </w:pPr>
      <w:r>
        <w:rPr>
          <w:lang w:val="en-GB"/>
        </w:rPr>
        <w:t xml:space="preserve">As described in the submission </w:t>
      </w:r>
      <w:r w:rsidR="00F96FEA" w:rsidRPr="00F96FEA">
        <w:rPr>
          <w:lang w:val="en-GB"/>
        </w:rPr>
        <w:t xml:space="preserve">although </w:t>
      </w:r>
      <w:proofErr w:type="spellStart"/>
      <w:r w:rsidR="00F96FEA" w:rsidRPr="00F96FEA">
        <w:rPr>
          <w:lang w:val="en-GB"/>
        </w:rPr>
        <w:t>nivolumab</w:t>
      </w:r>
      <w:proofErr w:type="spellEnd"/>
      <w:r w:rsidR="00F96FEA" w:rsidRPr="00F96FEA">
        <w:rPr>
          <w:lang w:val="en-GB"/>
        </w:rPr>
        <w:t xml:space="preserve"> clearance in </w:t>
      </w:r>
      <w:proofErr w:type="spellStart"/>
      <w:r w:rsidR="00F96FEA" w:rsidRPr="00F96FEA">
        <w:rPr>
          <w:lang w:val="en-GB"/>
        </w:rPr>
        <w:t>cHL</w:t>
      </w:r>
      <w:proofErr w:type="spellEnd"/>
      <w:r w:rsidR="00F96FEA" w:rsidRPr="00F96FEA">
        <w:rPr>
          <w:lang w:val="en-GB"/>
        </w:rPr>
        <w:t xml:space="preserve"> subjects is 32% lower relative to NSCLC subjects, this is not expected to result in any clinically meaningful effect as the </w:t>
      </w:r>
      <w:r w:rsidR="00D9306C">
        <w:rPr>
          <w:lang w:val="en-GB"/>
        </w:rPr>
        <w:t>exposure-response</w:t>
      </w:r>
      <w:r w:rsidR="00F96FEA" w:rsidRPr="00F96FEA">
        <w:rPr>
          <w:lang w:val="en-GB"/>
        </w:rPr>
        <w:t xml:space="preserve"> analyses demonstrated that </w:t>
      </w:r>
      <w:proofErr w:type="spellStart"/>
      <w:r w:rsidR="00F96FEA" w:rsidRPr="00F96FEA">
        <w:rPr>
          <w:lang w:val="en-GB"/>
        </w:rPr>
        <w:t>nivolumab</w:t>
      </w:r>
      <w:proofErr w:type="spellEnd"/>
      <w:r w:rsidR="00F96FEA" w:rsidRPr="00F96FEA">
        <w:rPr>
          <w:lang w:val="en-GB"/>
        </w:rPr>
        <w:t xml:space="preserve"> exposure was not a significant p</w:t>
      </w:r>
      <w:r>
        <w:rPr>
          <w:lang w:val="en-GB"/>
        </w:rPr>
        <w:t xml:space="preserve">redictor of the risk of Grade 3 or </w:t>
      </w:r>
      <w:r w:rsidR="00F96FEA" w:rsidRPr="00F96FEA">
        <w:rPr>
          <w:lang w:val="en-GB"/>
        </w:rPr>
        <w:t xml:space="preserve">4 </w:t>
      </w:r>
      <w:r>
        <w:rPr>
          <w:lang w:val="en-GB"/>
        </w:rPr>
        <w:t>DRAEs</w:t>
      </w:r>
      <w:r w:rsidR="00F96FEA" w:rsidRPr="00F96FEA">
        <w:rPr>
          <w:lang w:val="en-GB"/>
        </w:rPr>
        <w:t xml:space="preserve">. Furthermore, with the safety profile of </w:t>
      </w:r>
      <w:proofErr w:type="spellStart"/>
      <w:r w:rsidR="00F96FEA" w:rsidRPr="00F96FEA">
        <w:rPr>
          <w:lang w:val="en-GB"/>
        </w:rPr>
        <w:t>nivolumab</w:t>
      </w:r>
      <w:proofErr w:type="spellEnd"/>
      <w:r w:rsidR="00F96FEA" w:rsidRPr="00F96FEA">
        <w:rPr>
          <w:lang w:val="en-GB"/>
        </w:rPr>
        <w:t xml:space="preserve"> established up to the dose level of 10 mg/kg, 43% greater exposures (</w:t>
      </w:r>
      <w:proofErr w:type="spellStart"/>
      <w:r w:rsidR="00F96FEA" w:rsidRPr="00F96FEA">
        <w:rPr>
          <w:lang w:val="en-GB"/>
        </w:rPr>
        <w:t>C</w:t>
      </w:r>
      <w:r w:rsidR="00F96FEA" w:rsidRPr="0044429D">
        <w:rPr>
          <w:vertAlign w:val="subscript"/>
          <w:lang w:val="en-GB"/>
        </w:rPr>
        <w:t>avg</w:t>
      </w:r>
      <w:proofErr w:type="spellEnd"/>
      <w:r w:rsidR="00F96FEA" w:rsidRPr="00F96FEA">
        <w:rPr>
          <w:lang w:val="en-GB"/>
        </w:rPr>
        <w:t xml:space="preserve">) in </w:t>
      </w:r>
      <w:proofErr w:type="spellStart"/>
      <w:r w:rsidR="00F96FEA" w:rsidRPr="00F96FEA">
        <w:rPr>
          <w:lang w:val="en-GB"/>
        </w:rPr>
        <w:t>cHL</w:t>
      </w:r>
      <w:proofErr w:type="spellEnd"/>
      <w:r w:rsidR="00F96FEA" w:rsidRPr="00F96FEA">
        <w:rPr>
          <w:lang w:val="en-GB"/>
        </w:rPr>
        <w:t xml:space="preserve"> subjects relative to solid tumour subjects, are still within the range of exposures seen with the 10 mg/kg Q2W dosing regimen and therefore are not considered clinically meaningful. Additionally, the overall safety profile of </w:t>
      </w:r>
      <w:proofErr w:type="spellStart"/>
      <w:r w:rsidR="00F96FEA" w:rsidRPr="00F96FEA">
        <w:rPr>
          <w:lang w:val="en-GB"/>
        </w:rPr>
        <w:t>nivolumab</w:t>
      </w:r>
      <w:proofErr w:type="spellEnd"/>
      <w:r w:rsidR="00F96FEA" w:rsidRPr="00F96FEA">
        <w:rPr>
          <w:lang w:val="en-GB"/>
        </w:rPr>
        <w:t xml:space="preserve"> in </w:t>
      </w:r>
      <w:proofErr w:type="spellStart"/>
      <w:r w:rsidR="00F96FEA" w:rsidRPr="00F96FEA">
        <w:rPr>
          <w:lang w:val="en-GB"/>
        </w:rPr>
        <w:t>cHL</w:t>
      </w:r>
      <w:proofErr w:type="spellEnd"/>
      <w:r w:rsidR="00F96FEA" w:rsidRPr="00F96FEA">
        <w:rPr>
          <w:lang w:val="en-GB"/>
        </w:rPr>
        <w:t xml:space="preserve"> was consistent with the overall safety profile of </w:t>
      </w:r>
      <w:proofErr w:type="spellStart"/>
      <w:r w:rsidR="00F96FEA" w:rsidRPr="00F96FEA">
        <w:rPr>
          <w:lang w:val="en-GB"/>
        </w:rPr>
        <w:t>n</w:t>
      </w:r>
      <w:r>
        <w:rPr>
          <w:lang w:val="en-GB"/>
        </w:rPr>
        <w:t>ivolumab</w:t>
      </w:r>
      <w:proofErr w:type="spellEnd"/>
      <w:r>
        <w:rPr>
          <w:lang w:val="en-GB"/>
        </w:rPr>
        <w:t xml:space="preserve"> in other tumour types.</w:t>
      </w:r>
    </w:p>
    <w:p w:rsidR="00F96FEA" w:rsidRPr="00F96FEA" w:rsidRDefault="0044429D" w:rsidP="00F96FEA">
      <w:pPr>
        <w:rPr>
          <w:lang w:val="en-GB"/>
        </w:rPr>
      </w:pPr>
      <w:r>
        <w:rPr>
          <w:lang w:val="en-GB"/>
        </w:rPr>
        <w:lastRenderedPageBreak/>
        <w:t>The sponsor</w:t>
      </w:r>
      <w:r w:rsidR="00F96FEA" w:rsidRPr="00F96FEA">
        <w:rPr>
          <w:lang w:val="en-GB"/>
        </w:rPr>
        <w:t xml:space="preserve"> agrees with the Delegate’s additions to the </w:t>
      </w:r>
      <w:r>
        <w:rPr>
          <w:lang w:val="en-GB"/>
        </w:rPr>
        <w:t>PI</w:t>
      </w:r>
      <w:r w:rsidR="00F96FEA" w:rsidRPr="00F96FEA">
        <w:rPr>
          <w:lang w:val="en-GB"/>
        </w:rPr>
        <w:t xml:space="preserve"> to describe the higher exposure which is not clinically meaningful. Proposed modifications from </w:t>
      </w:r>
      <w:r>
        <w:rPr>
          <w:lang w:val="en-GB"/>
        </w:rPr>
        <w:t>the sponsor</w:t>
      </w:r>
      <w:r w:rsidR="00F96FEA" w:rsidRPr="00F96FEA">
        <w:rPr>
          <w:lang w:val="en-GB"/>
        </w:rPr>
        <w:t xml:space="preserve"> to the </w:t>
      </w:r>
      <w:r>
        <w:rPr>
          <w:lang w:val="en-GB"/>
        </w:rPr>
        <w:t>‘</w:t>
      </w:r>
      <w:r w:rsidRPr="00F96FEA">
        <w:rPr>
          <w:lang w:val="en-GB"/>
        </w:rPr>
        <w:t>Pharmacokinetics</w:t>
      </w:r>
      <w:r w:rsidR="004A7FCE">
        <w:rPr>
          <w:lang w:val="en-GB"/>
        </w:rPr>
        <w:t>’</w:t>
      </w:r>
      <w:r w:rsidR="00F96FEA" w:rsidRPr="00F96FEA">
        <w:rPr>
          <w:lang w:val="en-GB"/>
        </w:rPr>
        <w:t xml:space="preserve"> section </w:t>
      </w:r>
      <w:r w:rsidR="004A7FCE">
        <w:rPr>
          <w:lang w:val="en-GB"/>
        </w:rPr>
        <w:t>of the PI are summarised below:</w:t>
      </w:r>
    </w:p>
    <w:p w:rsidR="00F96FEA" w:rsidRPr="00F96FEA" w:rsidRDefault="004A7FCE" w:rsidP="00D9306C">
      <w:pPr>
        <w:rPr>
          <w:lang w:val="en-GB"/>
        </w:rPr>
      </w:pPr>
      <w:r>
        <w:rPr>
          <w:i/>
          <w:iCs/>
          <w:lang w:val="en-GB"/>
        </w:rPr>
        <w:t>‘</w:t>
      </w:r>
      <w:r w:rsidR="00F96FEA" w:rsidRPr="00F96FEA">
        <w:rPr>
          <w:i/>
          <w:iCs/>
          <w:lang w:val="en-GB"/>
        </w:rPr>
        <w:t xml:space="preserve">The pharmacokinetics (PK) of </w:t>
      </w:r>
      <w:proofErr w:type="spellStart"/>
      <w:r w:rsidR="00F96FEA" w:rsidRPr="00F96FEA">
        <w:rPr>
          <w:i/>
          <w:iCs/>
          <w:lang w:val="en-GB"/>
        </w:rPr>
        <w:t>nivolumab</w:t>
      </w:r>
      <w:proofErr w:type="spellEnd"/>
      <w:r w:rsidR="00F96FEA" w:rsidRPr="00F96FEA">
        <w:rPr>
          <w:i/>
          <w:iCs/>
          <w:lang w:val="en-GB"/>
        </w:rPr>
        <w:t xml:space="preserve"> is linear in the dose range of 0.1 to 10 mg/kg. The exposure to </w:t>
      </w:r>
      <w:proofErr w:type="spellStart"/>
      <w:r w:rsidR="00F96FEA" w:rsidRPr="00F96FEA">
        <w:rPr>
          <w:i/>
          <w:iCs/>
          <w:lang w:val="en-GB"/>
        </w:rPr>
        <w:t>nivolumab</w:t>
      </w:r>
      <w:proofErr w:type="spellEnd"/>
      <w:r w:rsidR="00F96FEA" w:rsidRPr="00F96FEA">
        <w:rPr>
          <w:i/>
          <w:iCs/>
          <w:lang w:val="en-GB"/>
        </w:rPr>
        <w:t xml:space="preserve"> increased dose proportionally over the dose range of 0.1 to 10 mg/kg administered every 2 weeks.</w:t>
      </w:r>
    </w:p>
    <w:p w:rsidR="00F96FEA" w:rsidRPr="00F96FEA" w:rsidRDefault="00F96FEA" w:rsidP="00D9306C">
      <w:pPr>
        <w:rPr>
          <w:lang w:val="en-GB"/>
        </w:rPr>
      </w:pPr>
      <w:r w:rsidRPr="00F96FEA">
        <w:rPr>
          <w:i/>
          <w:iCs/>
          <w:lang w:val="en-GB"/>
        </w:rPr>
        <w:t xml:space="preserve">Based on a population PK analysis, using data predominantly from patients </w:t>
      </w:r>
      <w:r w:rsidR="00D9306C">
        <w:rPr>
          <w:i/>
          <w:iCs/>
          <w:lang w:val="en-GB"/>
        </w:rPr>
        <w:t>with melanoma, NSCLC and RCC, t</w:t>
      </w:r>
      <w:r w:rsidRPr="00F96FEA">
        <w:rPr>
          <w:i/>
          <w:iCs/>
          <w:lang w:val="en-GB"/>
        </w:rPr>
        <w:t xml:space="preserve">he geometric mean clearance (CL), terminal half-life, and average exposure at steady state at 3 mg/kg every 2 weeks of </w:t>
      </w:r>
      <w:proofErr w:type="spellStart"/>
      <w:r w:rsidRPr="00F96FEA">
        <w:rPr>
          <w:i/>
          <w:iCs/>
          <w:lang w:val="en-GB"/>
        </w:rPr>
        <w:t>nivolumab</w:t>
      </w:r>
      <w:proofErr w:type="spellEnd"/>
      <w:r w:rsidRPr="00F96FEA">
        <w:rPr>
          <w:i/>
          <w:iCs/>
          <w:lang w:val="en-GB"/>
        </w:rPr>
        <w:t xml:space="preserve"> were 9.5 mL/h, 26.7 da</w:t>
      </w:r>
      <w:r w:rsidR="0075239F">
        <w:rPr>
          <w:i/>
          <w:iCs/>
          <w:lang w:val="en-GB"/>
        </w:rPr>
        <w:t xml:space="preserve">ys, and </w:t>
      </w:r>
      <w:proofErr w:type="gramStart"/>
      <w:r w:rsidR="0075239F">
        <w:rPr>
          <w:i/>
          <w:iCs/>
          <w:lang w:val="en-GB"/>
        </w:rPr>
        <w:t>75.3 </w:t>
      </w:r>
      <w:r w:rsidR="00D9306C">
        <w:rPr>
          <w:i/>
          <w:iCs/>
          <w:lang w:val="en-GB"/>
        </w:rPr>
        <w:t>µ</w:t>
      </w:r>
      <w:r w:rsidR="004A7FCE">
        <w:rPr>
          <w:i/>
          <w:iCs/>
          <w:lang w:val="en-GB"/>
        </w:rPr>
        <w:t>g/mL, respectively</w:t>
      </w:r>
      <w:proofErr w:type="gramEnd"/>
      <w:r w:rsidR="004A7FCE">
        <w:rPr>
          <w:i/>
          <w:iCs/>
          <w:lang w:val="en-GB"/>
        </w:rPr>
        <w:t>.</w:t>
      </w:r>
    </w:p>
    <w:p w:rsidR="001719D1" w:rsidRPr="001719D1" w:rsidRDefault="001719D1" w:rsidP="00D9306C">
      <w:pPr>
        <w:rPr>
          <w:lang w:val="en-GB"/>
        </w:rPr>
      </w:pPr>
      <w:r w:rsidRPr="001719D1">
        <w:rPr>
          <w:i/>
          <w:iCs/>
          <w:lang w:val="en-GB"/>
        </w:rPr>
        <w:t xml:space="preserve">Steady-state concentrations of </w:t>
      </w:r>
      <w:proofErr w:type="spellStart"/>
      <w:r w:rsidRPr="001719D1">
        <w:rPr>
          <w:i/>
          <w:iCs/>
          <w:lang w:val="en-GB"/>
        </w:rPr>
        <w:t>nivolumab</w:t>
      </w:r>
      <w:proofErr w:type="spellEnd"/>
      <w:r w:rsidRPr="001719D1">
        <w:rPr>
          <w:i/>
          <w:iCs/>
          <w:lang w:val="en-GB"/>
        </w:rPr>
        <w:t xml:space="preserve"> were reached by 12 weeks when administered at 3 mg/kg every 2 weeks, and systemic accumulation was approximately 3-fold.</w:t>
      </w:r>
    </w:p>
    <w:p w:rsidR="001719D1" w:rsidRPr="001719D1" w:rsidRDefault="001719D1" w:rsidP="00D9306C">
      <w:pPr>
        <w:rPr>
          <w:lang w:val="en-GB"/>
        </w:rPr>
      </w:pPr>
      <w:r w:rsidRPr="001719D1">
        <w:rPr>
          <w:i/>
          <w:iCs/>
          <w:lang w:val="en-GB"/>
        </w:rPr>
        <w:t xml:space="preserve">In patients with </w:t>
      </w:r>
      <w:proofErr w:type="spellStart"/>
      <w:r w:rsidRPr="001719D1">
        <w:rPr>
          <w:i/>
          <w:iCs/>
          <w:lang w:val="en-GB"/>
        </w:rPr>
        <w:t>cHL</w:t>
      </w:r>
      <w:proofErr w:type="spellEnd"/>
      <w:r w:rsidRPr="001719D1">
        <w:rPr>
          <w:i/>
          <w:iCs/>
          <w:lang w:val="en-GB"/>
        </w:rPr>
        <w:t xml:space="preserve">, </w:t>
      </w:r>
      <w:proofErr w:type="spellStart"/>
      <w:r w:rsidRPr="001719D1">
        <w:rPr>
          <w:i/>
          <w:iCs/>
          <w:lang w:val="en-GB"/>
        </w:rPr>
        <w:t>nivolumab</w:t>
      </w:r>
      <w:proofErr w:type="spellEnd"/>
      <w:r w:rsidRPr="001719D1">
        <w:rPr>
          <w:i/>
          <w:iCs/>
          <w:lang w:val="en-GB"/>
        </w:rPr>
        <w:t xml:space="preserve"> clearance was lower resulting i</w:t>
      </w:r>
      <w:r w:rsidR="00D9306C">
        <w:rPr>
          <w:i/>
          <w:iCs/>
          <w:lang w:val="en-GB"/>
        </w:rPr>
        <w:t xml:space="preserve">n a 15 day increase in the half </w:t>
      </w:r>
      <w:r w:rsidRPr="001719D1">
        <w:rPr>
          <w:i/>
          <w:iCs/>
          <w:lang w:val="en-GB"/>
        </w:rPr>
        <w:t xml:space="preserve">life and a 43% increase in exposure (as measured by median </w:t>
      </w:r>
      <w:proofErr w:type="spellStart"/>
      <w:r w:rsidRPr="001719D1">
        <w:rPr>
          <w:i/>
          <w:iCs/>
          <w:lang w:val="en-GB"/>
        </w:rPr>
        <w:t>C</w:t>
      </w:r>
      <w:r w:rsidRPr="00D9306C">
        <w:rPr>
          <w:i/>
          <w:iCs/>
          <w:vertAlign w:val="subscript"/>
          <w:lang w:val="en-GB"/>
        </w:rPr>
        <w:t>avg</w:t>
      </w:r>
      <w:proofErr w:type="gramStart"/>
      <w:r w:rsidR="00D9306C">
        <w:rPr>
          <w:i/>
          <w:iCs/>
          <w:vertAlign w:val="subscript"/>
          <w:lang w:val="en-GB"/>
        </w:rPr>
        <w:t>,</w:t>
      </w:r>
      <w:r w:rsidRPr="00D9306C">
        <w:rPr>
          <w:i/>
          <w:iCs/>
          <w:vertAlign w:val="subscript"/>
          <w:lang w:val="en-GB"/>
        </w:rPr>
        <w:t>ss</w:t>
      </w:r>
      <w:proofErr w:type="spellEnd"/>
      <w:proofErr w:type="gramEnd"/>
      <w:r w:rsidRPr="001719D1">
        <w:rPr>
          <w:i/>
          <w:iCs/>
          <w:lang w:val="en-GB"/>
        </w:rPr>
        <w:t xml:space="preserve">). The lower </w:t>
      </w:r>
      <w:proofErr w:type="spellStart"/>
      <w:r w:rsidRPr="001719D1">
        <w:rPr>
          <w:i/>
          <w:iCs/>
          <w:lang w:val="en-GB"/>
        </w:rPr>
        <w:t>nivolumab</w:t>
      </w:r>
      <w:proofErr w:type="spellEnd"/>
      <w:r w:rsidRPr="001719D1">
        <w:rPr>
          <w:i/>
          <w:iCs/>
          <w:lang w:val="en-GB"/>
        </w:rPr>
        <w:t xml:space="preserve"> clearance was not considered clinically meaningful; there was a flat predicted exposure-response relationship.</w:t>
      </w:r>
      <w:r w:rsidR="004A7FCE">
        <w:rPr>
          <w:i/>
          <w:iCs/>
          <w:lang w:val="en-GB"/>
        </w:rPr>
        <w:t>’</w:t>
      </w:r>
    </w:p>
    <w:p w:rsidR="001719D1" w:rsidRDefault="001719D1" w:rsidP="001719D1">
      <w:pPr>
        <w:rPr>
          <w:lang w:val="en-GB"/>
        </w:rPr>
      </w:pPr>
      <w:r w:rsidRPr="001719D1">
        <w:rPr>
          <w:lang w:val="en-GB"/>
        </w:rPr>
        <w:t xml:space="preserve">This recommendation for the PI is made on the basis that the </w:t>
      </w:r>
      <w:proofErr w:type="spellStart"/>
      <w:r w:rsidRPr="001719D1">
        <w:rPr>
          <w:lang w:val="en-GB"/>
        </w:rPr>
        <w:t>nivolumab</w:t>
      </w:r>
      <w:proofErr w:type="spellEnd"/>
      <w:r w:rsidRPr="001719D1">
        <w:rPr>
          <w:lang w:val="en-GB"/>
        </w:rPr>
        <w:t xml:space="preserve"> </w:t>
      </w:r>
      <w:r w:rsidR="008B715B">
        <w:rPr>
          <w:lang w:val="en-GB"/>
        </w:rPr>
        <w:t>exposure-response</w:t>
      </w:r>
      <w:r w:rsidRPr="001719D1">
        <w:rPr>
          <w:lang w:val="en-GB"/>
        </w:rPr>
        <w:t xml:space="preserve"> relationship for efficacy was relatively flat in </w:t>
      </w:r>
      <w:proofErr w:type="spellStart"/>
      <w:r w:rsidRPr="001719D1">
        <w:rPr>
          <w:lang w:val="en-GB"/>
        </w:rPr>
        <w:t>cHL</w:t>
      </w:r>
      <w:proofErr w:type="spellEnd"/>
      <w:r w:rsidRPr="001719D1">
        <w:rPr>
          <w:lang w:val="en-GB"/>
        </w:rPr>
        <w:t xml:space="preserve"> patients. Furthermore, clinically meaningful responses (ORR of 65.3% by IRRC assessment) with the 3</w:t>
      </w:r>
      <w:r w:rsidR="004A7FCE">
        <w:rPr>
          <w:lang w:val="en-GB"/>
        </w:rPr>
        <w:t xml:space="preserve"> </w:t>
      </w:r>
      <w:r w:rsidRPr="001719D1">
        <w:rPr>
          <w:lang w:val="en-GB"/>
        </w:rPr>
        <w:t xml:space="preserve">mg/kg dose were demonstrated in </w:t>
      </w:r>
      <w:proofErr w:type="spellStart"/>
      <w:r w:rsidRPr="001719D1">
        <w:rPr>
          <w:lang w:val="en-GB"/>
        </w:rPr>
        <w:t>cHL</w:t>
      </w:r>
      <w:proofErr w:type="spellEnd"/>
      <w:r w:rsidRPr="001719D1">
        <w:rPr>
          <w:lang w:val="en-GB"/>
        </w:rPr>
        <w:t xml:space="preserve"> and most importantly, higher </w:t>
      </w:r>
      <w:proofErr w:type="spellStart"/>
      <w:r w:rsidRPr="001719D1">
        <w:rPr>
          <w:lang w:val="en-GB"/>
        </w:rPr>
        <w:t>nivolumab</w:t>
      </w:r>
      <w:proofErr w:type="spellEnd"/>
      <w:r w:rsidRPr="001719D1">
        <w:rPr>
          <w:lang w:val="en-GB"/>
        </w:rPr>
        <w:t xml:space="preserve"> exposures have not been shown to be a significant p</w:t>
      </w:r>
      <w:r w:rsidR="004A7FCE">
        <w:rPr>
          <w:lang w:val="en-GB"/>
        </w:rPr>
        <w:t xml:space="preserve">redictor of the risk of Grade 3 or </w:t>
      </w:r>
      <w:r w:rsidRPr="001719D1">
        <w:rPr>
          <w:lang w:val="en-GB"/>
        </w:rPr>
        <w:t xml:space="preserve">4 </w:t>
      </w:r>
      <w:r w:rsidR="004A7FCE">
        <w:rPr>
          <w:lang w:val="en-GB"/>
        </w:rPr>
        <w:t>DRAEs.</w:t>
      </w:r>
      <w:r w:rsidRPr="001719D1">
        <w:rPr>
          <w:lang w:val="en-GB"/>
        </w:rPr>
        <w:t xml:space="preserve"> Indeed, data pr</w:t>
      </w:r>
      <w:r w:rsidR="004A7FCE">
        <w:rPr>
          <w:lang w:val="en-GB"/>
        </w:rPr>
        <w:t xml:space="preserve">esented in the application describe that Grade 3 or </w:t>
      </w:r>
      <w:r w:rsidRPr="001719D1">
        <w:rPr>
          <w:lang w:val="en-GB"/>
        </w:rPr>
        <w:t xml:space="preserve">4 AEs were reported less frequently in </w:t>
      </w:r>
      <w:proofErr w:type="spellStart"/>
      <w:r w:rsidRPr="001719D1">
        <w:rPr>
          <w:lang w:val="en-GB"/>
        </w:rPr>
        <w:t>cHL</w:t>
      </w:r>
      <w:proofErr w:type="spellEnd"/>
      <w:r w:rsidRPr="001719D1">
        <w:rPr>
          <w:lang w:val="en-GB"/>
        </w:rPr>
        <w:t xml:space="preserve"> (30.0%) compared with </w:t>
      </w:r>
      <w:r w:rsidR="00487EC6">
        <w:rPr>
          <w:lang w:val="en-GB"/>
        </w:rPr>
        <w:t>RCC</w:t>
      </w:r>
      <w:r w:rsidRPr="001719D1">
        <w:rPr>
          <w:lang w:val="en-GB"/>
        </w:rPr>
        <w:t xml:space="preserve"> (53.2%)</w:t>
      </w:r>
      <w:r w:rsidR="004A7FCE">
        <w:rPr>
          <w:lang w:val="en-GB"/>
        </w:rPr>
        <w:t>,</w:t>
      </w:r>
      <w:r w:rsidRPr="001719D1">
        <w:rPr>
          <w:lang w:val="en-GB"/>
        </w:rPr>
        <w:t xml:space="preserve"> melan</w:t>
      </w:r>
      <w:r w:rsidR="004A7FCE">
        <w:rPr>
          <w:lang w:val="en-GB"/>
        </w:rPr>
        <w:t>oma (40.5%), and NSCLC (45.6%).</w:t>
      </w:r>
    </w:p>
    <w:p w:rsidR="004A7FCE" w:rsidRPr="001719D1" w:rsidRDefault="004A7FCE" w:rsidP="004A7FCE">
      <w:pPr>
        <w:pStyle w:val="Heading6"/>
        <w:rPr>
          <w:lang w:val="en-GB"/>
        </w:rPr>
      </w:pPr>
      <w:r>
        <w:rPr>
          <w:lang w:val="en-GB"/>
        </w:rPr>
        <w:t>Question 2</w:t>
      </w:r>
    </w:p>
    <w:p w:rsidR="001719D1" w:rsidRPr="004A7FCE" w:rsidRDefault="004A7FCE" w:rsidP="004A7FCE">
      <w:pPr>
        <w:ind w:left="720"/>
        <w:rPr>
          <w:i/>
          <w:lang w:val="en-GB"/>
        </w:rPr>
      </w:pPr>
      <w:r>
        <w:rPr>
          <w:bCs/>
          <w:i/>
          <w:lang w:val="en-GB"/>
        </w:rPr>
        <w:t>‘</w:t>
      </w:r>
      <w:r w:rsidR="001719D1" w:rsidRPr="004A7FCE">
        <w:rPr>
          <w:bCs/>
          <w:i/>
          <w:lang w:val="en-GB"/>
        </w:rPr>
        <w:t>Efficacy: What are the views of the committee on the adequacy of the submitted in</w:t>
      </w:r>
      <w:r>
        <w:rPr>
          <w:bCs/>
          <w:i/>
          <w:lang w:val="en-GB"/>
        </w:rPr>
        <w:t>terim study reports from Phase I and II</w:t>
      </w:r>
      <w:r w:rsidR="001719D1" w:rsidRPr="004A7FCE">
        <w:rPr>
          <w:bCs/>
          <w:i/>
          <w:lang w:val="en-GB"/>
        </w:rPr>
        <w:t xml:space="preserve"> trials and updated data as support for registration for the </w:t>
      </w:r>
      <w:proofErr w:type="spellStart"/>
      <w:r w:rsidR="001719D1" w:rsidRPr="004A7FCE">
        <w:rPr>
          <w:bCs/>
          <w:i/>
          <w:lang w:val="en-GB"/>
        </w:rPr>
        <w:t>cHL</w:t>
      </w:r>
      <w:proofErr w:type="spellEnd"/>
      <w:r w:rsidR="001719D1" w:rsidRPr="004A7FCE">
        <w:rPr>
          <w:bCs/>
          <w:i/>
          <w:lang w:val="en-GB"/>
        </w:rPr>
        <w:t xml:space="preserve"> indication. Is the notation about limitation of data adequate? Should the indication wording specify adult patients?</w:t>
      </w:r>
      <w:r>
        <w:rPr>
          <w:bCs/>
          <w:i/>
          <w:lang w:val="en-GB"/>
        </w:rPr>
        <w:t>’</w:t>
      </w:r>
    </w:p>
    <w:p w:rsidR="001719D1" w:rsidRPr="001719D1" w:rsidRDefault="001719D1" w:rsidP="001719D1">
      <w:pPr>
        <w:rPr>
          <w:lang w:val="en-GB"/>
        </w:rPr>
      </w:pPr>
      <w:r w:rsidRPr="001719D1">
        <w:rPr>
          <w:lang w:val="en-GB"/>
        </w:rPr>
        <w:t xml:space="preserve">Efficacy data to support the proposed indication in </w:t>
      </w:r>
      <w:proofErr w:type="spellStart"/>
      <w:r w:rsidRPr="001719D1">
        <w:rPr>
          <w:lang w:val="en-GB"/>
        </w:rPr>
        <w:t>cHL</w:t>
      </w:r>
      <w:proofErr w:type="spellEnd"/>
      <w:r w:rsidRPr="001719D1">
        <w:rPr>
          <w:lang w:val="en-GB"/>
        </w:rPr>
        <w:t xml:space="preserve"> is based on data derived from two studies: </w:t>
      </w:r>
      <w:r w:rsidR="004A7FCE">
        <w:rPr>
          <w:lang w:val="en-GB"/>
        </w:rPr>
        <w:t>Study CA209205 (Phase II</w:t>
      </w:r>
      <w:r w:rsidR="008B715B">
        <w:rPr>
          <w:lang w:val="en-GB"/>
        </w:rPr>
        <w:t>,</w:t>
      </w:r>
      <w:r w:rsidRPr="001719D1">
        <w:rPr>
          <w:lang w:val="en-GB"/>
        </w:rPr>
        <w:t xml:space="preserve"> 80 subjects) and </w:t>
      </w:r>
      <w:r w:rsidR="004A7FCE">
        <w:rPr>
          <w:lang w:val="en-GB"/>
        </w:rPr>
        <w:t>Study CA209039 (Phase I</w:t>
      </w:r>
      <w:r w:rsidR="008B715B">
        <w:rPr>
          <w:lang w:val="en-GB"/>
        </w:rPr>
        <w:t>,</w:t>
      </w:r>
      <w:r w:rsidRPr="001719D1">
        <w:rPr>
          <w:lang w:val="en-GB"/>
        </w:rPr>
        <w:t xml:space="preserve"> 15 subjects). Both </w:t>
      </w:r>
      <w:r w:rsidR="004A7FCE">
        <w:rPr>
          <w:lang w:val="en-GB"/>
        </w:rPr>
        <w:t>IRRC</w:t>
      </w:r>
      <w:r w:rsidRPr="001719D1">
        <w:rPr>
          <w:lang w:val="en-GB"/>
        </w:rPr>
        <w:t xml:space="preserve"> and investigators assessments demonstrated compelling anti</w:t>
      </w:r>
      <w:r w:rsidR="004A7FCE">
        <w:rPr>
          <w:lang w:val="en-GB"/>
        </w:rPr>
        <w:t>-</w:t>
      </w:r>
      <w:r w:rsidRPr="001719D1">
        <w:rPr>
          <w:lang w:val="en-GB"/>
        </w:rPr>
        <w:t xml:space="preserve">tumour activity with </w:t>
      </w:r>
      <w:proofErr w:type="spellStart"/>
      <w:r w:rsidRPr="001719D1">
        <w:rPr>
          <w:lang w:val="en-GB"/>
        </w:rPr>
        <w:t>nivolumab</w:t>
      </w:r>
      <w:proofErr w:type="spellEnd"/>
      <w:r w:rsidRPr="001719D1">
        <w:rPr>
          <w:lang w:val="en-GB"/>
        </w:rPr>
        <w:t xml:space="preserve"> treatment which resulted in a high rate of durable objective response. </w:t>
      </w:r>
      <w:r w:rsidR="004A7FCE">
        <w:rPr>
          <w:lang w:val="en-GB"/>
        </w:rPr>
        <w:t>The sponsor</w:t>
      </w:r>
      <w:r w:rsidRPr="001719D1">
        <w:rPr>
          <w:lang w:val="en-GB"/>
        </w:rPr>
        <w:t xml:space="preserve"> believes that this is convincing evidence in the context of the proposed indication, where there is a very high unmet clinical need in a small patient population with relapsed or refractory </w:t>
      </w:r>
      <w:proofErr w:type="spellStart"/>
      <w:r w:rsidRPr="001719D1">
        <w:rPr>
          <w:lang w:val="en-GB"/>
        </w:rPr>
        <w:t>cHL</w:t>
      </w:r>
      <w:proofErr w:type="spellEnd"/>
      <w:r w:rsidRPr="001719D1">
        <w:rPr>
          <w:lang w:val="en-GB"/>
        </w:rPr>
        <w:t xml:space="preserve"> who have already received ASCT and </w:t>
      </w:r>
      <w:proofErr w:type="spellStart"/>
      <w:r w:rsidRPr="001719D1">
        <w:rPr>
          <w:lang w:val="en-GB"/>
        </w:rPr>
        <w:t>brentuximab</w:t>
      </w:r>
      <w:proofErr w:type="spellEnd"/>
      <w:r w:rsidRPr="001719D1">
        <w:rPr>
          <w:lang w:val="en-GB"/>
        </w:rPr>
        <w:t>, and who have no ot</w:t>
      </w:r>
      <w:r w:rsidR="004A7FCE">
        <w:rPr>
          <w:lang w:val="en-GB"/>
        </w:rPr>
        <w:t>her approved treatment options.</w:t>
      </w:r>
    </w:p>
    <w:p w:rsidR="001719D1" w:rsidRPr="001719D1" w:rsidRDefault="001719D1" w:rsidP="001719D1">
      <w:pPr>
        <w:rPr>
          <w:lang w:val="en-GB"/>
        </w:rPr>
      </w:pPr>
      <w:r w:rsidRPr="001719D1">
        <w:rPr>
          <w:lang w:val="en-GB"/>
        </w:rPr>
        <w:t>Based on the most re</w:t>
      </w:r>
      <w:r w:rsidR="004A7FCE">
        <w:rPr>
          <w:lang w:val="en-GB"/>
        </w:rPr>
        <w:t>cent data submitted to TGA for Study C</w:t>
      </w:r>
      <w:r w:rsidRPr="001719D1">
        <w:rPr>
          <w:lang w:val="en-GB"/>
        </w:rPr>
        <w:t xml:space="preserve">A209205 Cohort B (April 2016 </w:t>
      </w:r>
      <w:r w:rsidR="004A7FCE">
        <w:rPr>
          <w:lang w:val="en-GB"/>
        </w:rPr>
        <w:t>DLB</w:t>
      </w:r>
      <w:r w:rsidRPr="001719D1">
        <w:rPr>
          <w:lang w:val="en-GB"/>
        </w:rPr>
        <w:t xml:space="preserve">), after a minimum follow-up of 12 months (median follow-up of 15.44 months), the </w:t>
      </w:r>
      <w:r w:rsidR="003E0713">
        <w:rPr>
          <w:lang w:val="en-GB"/>
        </w:rPr>
        <w:t>ORR</w:t>
      </w:r>
      <w:r w:rsidRPr="001719D1">
        <w:rPr>
          <w:lang w:val="en-GB"/>
        </w:rPr>
        <w:t xml:space="preserve"> by IRRC was 67.5% (95% CI: 56.1, 77.6) and the median </w:t>
      </w:r>
      <w:r w:rsidR="0075239F">
        <w:rPr>
          <w:lang w:val="en-GB"/>
        </w:rPr>
        <w:t>DOR</w:t>
      </w:r>
      <w:r w:rsidRPr="001719D1">
        <w:rPr>
          <w:lang w:val="en-GB"/>
        </w:rPr>
        <w:t xml:space="preserve"> per IRRC was 1</w:t>
      </w:r>
      <w:r w:rsidR="003E0713">
        <w:rPr>
          <w:lang w:val="en-GB"/>
        </w:rPr>
        <w:t>3.14 months (95% CI: 8.74, NA).</w:t>
      </w:r>
    </w:p>
    <w:p w:rsidR="001719D1" w:rsidRPr="001719D1" w:rsidRDefault="001719D1" w:rsidP="001719D1">
      <w:pPr>
        <w:rPr>
          <w:lang w:val="en-GB"/>
        </w:rPr>
      </w:pPr>
      <w:r w:rsidRPr="001719D1">
        <w:rPr>
          <w:lang w:val="en-GB"/>
        </w:rPr>
        <w:t xml:space="preserve">Although </w:t>
      </w:r>
      <w:r w:rsidR="003E0713">
        <w:rPr>
          <w:lang w:val="en-GB"/>
        </w:rPr>
        <w:t>the sponsor</w:t>
      </w:r>
      <w:r w:rsidRPr="001719D1">
        <w:rPr>
          <w:lang w:val="en-GB"/>
        </w:rPr>
        <w:t xml:space="preserve"> acknowledges that PFS and OS were exploratory endpoints and that the data for PFS and OS continues to mature, the PFS and OS results to da</w:t>
      </w:r>
      <w:r w:rsidR="003E0713">
        <w:rPr>
          <w:lang w:val="en-GB"/>
        </w:rPr>
        <w:t xml:space="preserve">te on the use of </w:t>
      </w:r>
      <w:proofErr w:type="spellStart"/>
      <w:r w:rsidR="003E0713">
        <w:rPr>
          <w:lang w:val="en-GB"/>
        </w:rPr>
        <w:t>nivolumab</w:t>
      </w:r>
      <w:proofErr w:type="spellEnd"/>
      <w:r w:rsidR="003E0713">
        <w:rPr>
          <w:lang w:val="en-GB"/>
        </w:rPr>
        <w:t xml:space="preserve"> post-</w:t>
      </w:r>
      <w:r w:rsidRPr="001719D1">
        <w:rPr>
          <w:lang w:val="en-GB"/>
        </w:rPr>
        <w:t xml:space="preserve">ASCT and </w:t>
      </w:r>
      <w:proofErr w:type="spellStart"/>
      <w:r w:rsidRPr="001719D1">
        <w:rPr>
          <w:lang w:val="en-GB"/>
        </w:rPr>
        <w:t>brentuximab</w:t>
      </w:r>
      <w:proofErr w:type="spellEnd"/>
      <w:r w:rsidRPr="001719D1">
        <w:rPr>
          <w:lang w:val="en-GB"/>
        </w:rPr>
        <w:t xml:space="preserve"> failure provide relevant clinical outcomes in an advanced </w:t>
      </w:r>
      <w:proofErr w:type="spellStart"/>
      <w:r w:rsidRPr="001719D1">
        <w:rPr>
          <w:lang w:val="en-GB"/>
        </w:rPr>
        <w:t>cHL</w:t>
      </w:r>
      <w:proofErr w:type="spellEnd"/>
      <w:r w:rsidRPr="001719D1">
        <w:rPr>
          <w:lang w:val="en-GB"/>
        </w:rPr>
        <w:t xml:space="preserve"> population with high unmet medical need. In </w:t>
      </w:r>
      <w:r w:rsidR="003E0713">
        <w:rPr>
          <w:lang w:val="en-GB"/>
        </w:rPr>
        <w:t xml:space="preserve">Study </w:t>
      </w:r>
      <w:r w:rsidRPr="001719D1">
        <w:rPr>
          <w:lang w:val="en-GB"/>
        </w:rPr>
        <w:t xml:space="preserve">CA209205 Cohort B at the time of </w:t>
      </w:r>
      <w:r w:rsidR="003E0713">
        <w:rPr>
          <w:lang w:val="en-GB"/>
        </w:rPr>
        <w:t>DBL</w:t>
      </w:r>
      <w:r w:rsidRPr="001719D1">
        <w:rPr>
          <w:lang w:val="en-GB"/>
        </w:rPr>
        <w:t xml:space="preserve"> in April 2016, the median PFS was 14.8 months (95% CI: 11.3, NA) with a PFS rate at 12 months of 55% (95% CI 41, 66), whilst the median OS had not been reached with a 12 month </w:t>
      </w:r>
      <w:r w:rsidR="003E0713">
        <w:rPr>
          <w:lang w:val="en-GB"/>
        </w:rPr>
        <w:t>OS rate of 95% (95% CI 87, 98).</w:t>
      </w:r>
    </w:p>
    <w:p w:rsidR="001719D1" w:rsidRPr="001719D1" w:rsidRDefault="003E0713" w:rsidP="001719D1">
      <w:pPr>
        <w:rPr>
          <w:lang w:val="en-GB"/>
        </w:rPr>
      </w:pPr>
      <w:r>
        <w:rPr>
          <w:lang w:val="en-GB"/>
        </w:rPr>
        <w:t>The sponsor</w:t>
      </w:r>
      <w:r w:rsidR="001719D1" w:rsidRPr="001719D1">
        <w:rPr>
          <w:lang w:val="en-GB"/>
        </w:rPr>
        <w:t xml:space="preserve"> agrees with </w:t>
      </w:r>
      <w:r>
        <w:rPr>
          <w:lang w:val="en-GB"/>
        </w:rPr>
        <w:t>the Delegate’s conclusion that ‘</w:t>
      </w:r>
      <w:r w:rsidR="001719D1" w:rsidRPr="001719D1">
        <w:rPr>
          <w:i/>
          <w:iCs/>
          <w:lang w:val="en-GB"/>
        </w:rPr>
        <w:t xml:space="preserve">the ORR for </w:t>
      </w:r>
      <w:proofErr w:type="spellStart"/>
      <w:r w:rsidR="001719D1" w:rsidRPr="001719D1">
        <w:rPr>
          <w:i/>
          <w:iCs/>
          <w:lang w:val="en-GB"/>
        </w:rPr>
        <w:t>nivolumab</w:t>
      </w:r>
      <w:proofErr w:type="spellEnd"/>
      <w:r w:rsidR="001719D1" w:rsidRPr="001719D1">
        <w:rPr>
          <w:i/>
          <w:iCs/>
          <w:lang w:val="en-GB"/>
        </w:rPr>
        <w:t xml:space="preserve"> compares favourably to available historical data for other single agents used for </w:t>
      </w:r>
      <w:proofErr w:type="spellStart"/>
      <w:r w:rsidR="001719D1" w:rsidRPr="001719D1">
        <w:rPr>
          <w:i/>
          <w:iCs/>
          <w:lang w:val="en-GB"/>
        </w:rPr>
        <w:t>cHL</w:t>
      </w:r>
      <w:proofErr w:type="spellEnd"/>
      <w:r>
        <w:rPr>
          <w:i/>
          <w:iCs/>
          <w:lang w:val="en-GB"/>
        </w:rPr>
        <w:t>’</w:t>
      </w:r>
      <w:r w:rsidR="001719D1" w:rsidRPr="001719D1">
        <w:rPr>
          <w:lang w:val="en-GB"/>
        </w:rPr>
        <w:t xml:space="preserve">. It should be </w:t>
      </w:r>
      <w:r w:rsidR="001719D1" w:rsidRPr="001719D1">
        <w:rPr>
          <w:lang w:val="en-GB"/>
        </w:rPr>
        <w:lastRenderedPageBreak/>
        <w:t>noted that compared with the historical control data, the intended patient population for this submission consists of more heavily pre</w:t>
      </w:r>
      <w:r>
        <w:rPr>
          <w:lang w:val="en-GB"/>
        </w:rPr>
        <w:t>-</w:t>
      </w:r>
      <w:r w:rsidR="001719D1" w:rsidRPr="001719D1">
        <w:rPr>
          <w:lang w:val="en-GB"/>
        </w:rPr>
        <w:t xml:space="preserve">treated patients who had failed both ASCT and </w:t>
      </w:r>
      <w:proofErr w:type="spellStart"/>
      <w:r w:rsidR="001719D1" w:rsidRPr="001719D1">
        <w:rPr>
          <w:lang w:val="en-GB"/>
        </w:rPr>
        <w:t>brentuximab</w:t>
      </w:r>
      <w:proofErr w:type="spellEnd"/>
      <w:r w:rsidR="001719D1" w:rsidRPr="001719D1">
        <w:rPr>
          <w:lang w:val="en-GB"/>
        </w:rPr>
        <w:t xml:space="preserve"> therapy. It is also clinically noteworthy that the durability of responses consistently favoured </w:t>
      </w:r>
      <w:proofErr w:type="spellStart"/>
      <w:r w:rsidR="001719D1" w:rsidRPr="001719D1">
        <w:rPr>
          <w:lang w:val="en-GB"/>
        </w:rPr>
        <w:t>nivolumab</w:t>
      </w:r>
      <w:proofErr w:type="spellEnd"/>
      <w:r w:rsidR="001719D1" w:rsidRPr="001719D1">
        <w:rPr>
          <w:lang w:val="en-GB"/>
        </w:rPr>
        <w:t xml:space="preserve"> over h</w:t>
      </w:r>
      <w:r>
        <w:rPr>
          <w:lang w:val="en-GB"/>
        </w:rPr>
        <w:t>istorical controls.</w:t>
      </w:r>
    </w:p>
    <w:p w:rsidR="001719D1" w:rsidRPr="001719D1" w:rsidRDefault="003E0713" w:rsidP="001719D1">
      <w:pPr>
        <w:rPr>
          <w:lang w:val="en-GB"/>
        </w:rPr>
      </w:pPr>
      <w:r>
        <w:rPr>
          <w:lang w:val="en-GB"/>
        </w:rPr>
        <w:t>The sponsor</w:t>
      </w:r>
      <w:r w:rsidR="001719D1" w:rsidRPr="001719D1">
        <w:rPr>
          <w:lang w:val="en-GB"/>
        </w:rPr>
        <w:t xml:space="preserve"> recognises the recommendations from the Delegate and </w:t>
      </w:r>
      <w:r>
        <w:rPr>
          <w:lang w:val="en-GB"/>
        </w:rPr>
        <w:t>c</w:t>
      </w:r>
      <w:r w:rsidR="001719D1" w:rsidRPr="001719D1">
        <w:rPr>
          <w:lang w:val="en-GB"/>
        </w:rPr>
        <w:t xml:space="preserve">linical </w:t>
      </w:r>
      <w:r>
        <w:rPr>
          <w:lang w:val="en-GB"/>
        </w:rPr>
        <w:t>e</w:t>
      </w:r>
      <w:r w:rsidR="001719D1" w:rsidRPr="001719D1">
        <w:rPr>
          <w:lang w:val="en-GB"/>
        </w:rPr>
        <w:t>valuator on the pr</w:t>
      </w:r>
      <w:r>
        <w:rPr>
          <w:lang w:val="en-GB"/>
        </w:rPr>
        <w:t>oposed indication. In response:</w:t>
      </w:r>
    </w:p>
    <w:p w:rsidR="001719D1" w:rsidRPr="001719D1" w:rsidRDefault="003E0713" w:rsidP="00505E01">
      <w:pPr>
        <w:pStyle w:val="ListBullet"/>
        <w:rPr>
          <w:lang w:val="en-GB"/>
        </w:rPr>
      </w:pPr>
      <w:r>
        <w:rPr>
          <w:lang w:val="en-GB"/>
        </w:rPr>
        <w:t xml:space="preserve">The sponsor </w:t>
      </w:r>
      <w:r w:rsidR="001719D1" w:rsidRPr="001719D1">
        <w:rPr>
          <w:lang w:val="en-GB"/>
        </w:rPr>
        <w:t>agrees that the indication wording</w:t>
      </w:r>
      <w:r>
        <w:rPr>
          <w:lang w:val="en-GB"/>
        </w:rPr>
        <w:t xml:space="preserve"> should specify adult patients;</w:t>
      </w:r>
    </w:p>
    <w:p w:rsidR="001719D1" w:rsidRPr="001719D1" w:rsidRDefault="003E0713" w:rsidP="00505E01">
      <w:pPr>
        <w:pStyle w:val="ListBullet"/>
        <w:rPr>
          <w:lang w:val="en-GB"/>
        </w:rPr>
      </w:pPr>
      <w:r>
        <w:rPr>
          <w:lang w:val="en-GB"/>
        </w:rPr>
        <w:t>The sponsor</w:t>
      </w:r>
      <w:r w:rsidR="001719D1" w:rsidRPr="001719D1">
        <w:rPr>
          <w:lang w:val="en-GB"/>
        </w:rPr>
        <w:t xml:space="preserve"> agrees to remove the part of the indication which has sought the use of </w:t>
      </w:r>
      <w:proofErr w:type="spellStart"/>
      <w:r w:rsidR="001719D1" w:rsidRPr="001719D1">
        <w:rPr>
          <w:lang w:val="en-GB"/>
        </w:rPr>
        <w:t>nivolumab</w:t>
      </w:r>
      <w:proofErr w:type="spellEnd"/>
      <w:r w:rsidR="001719D1" w:rsidRPr="001719D1">
        <w:rPr>
          <w:lang w:val="en-GB"/>
        </w:rPr>
        <w:t xml:space="preserve"> in patients ineligible for ASCT based o</w:t>
      </w:r>
      <w:r>
        <w:rPr>
          <w:lang w:val="en-GB"/>
        </w:rPr>
        <w:t xml:space="preserve">n the limited data in </w:t>
      </w:r>
      <w:r w:rsidR="00505E01">
        <w:rPr>
          <w:lang w:val="en-GB"/>
        </w:rPr>
        <w:t>Study </w:t>
      </w:r>
      <w:r>
        <w:rPr>
          <w:lang w:val="en-GB"/>
        </w:rPr>
        <w:t>CA209039;</w:t>
      </w:r>
    </w:p>
    <w:p w:rsidR="003E0713" w:rsidRPr="003E0713" w:rsidRDefault="003E0713" w:rsidP="00505E01">
      <w:pPr>
        <w:pStyle w:val="ListBullet"/>
        <w:rPr>
          <w:lang w:val="en-GB"/>
        </w:rPr>
      </w:pPr>
      <w:r>
        <w:rPr>
          <w:lang w:val="en-GB"/>
        </w:rPr>
        <w:t>The sponsor</w:t>
      </w:r>
      <w:r w:rsidR="001719D1" w:rsidRPr="001719D1">
        <w:rPr>
          <w:lang w:val="en-GB"/>
        </w:rPr>
        <w:t xml:space="preserve"> agrees to the inclusion of a note to the indication statement to clarify the basis of approval. Specifically, </w:t>
      </w:r>
      <w:r>
        <w:rPr>
          <w:lang w:val="en-GB"/>
        </w:rPr>
        <w:t>the sponsor</w:t>
      </w:r>
      <w:r w:rsidR="001719D1" w:rsidRPr="001719D1">
        <w:rPr>
          <w:lang w:val="en-GB"/>
        </w:rPr>
        <w:t xml:space="preserve"> proposes the</w:t>
      </w:r>
      <w:r w:rsidR="0075239F">
        <w:rPr>
          <w:lang w:val="en-GB"/>
        </w:rPr>
        <w:t xml:space="preserve"> changes to the</w:t>
      </w:r>
      <w:r w:rsidR="001719D1" w:rsidRPr="001719D1">
        <w:rPr>
          <w:lang w:val="en-GB"/>
        </w:rPr>
        <w:t xml:space="preserve"> </w:t>
      </w:r>
      <w:r>
        <w:rPr>
          <w:lang w:val="en-GB"/>
        </w:rPr>
        <w:t>indication [as given</w:t>
      </w:r>
      <w:r w:rsidR="00505E01">
        <w:rPr>
          <w:lang w:val="en-GB"/>
        </w:rPr>
        <w:t xml:space="preserve"> above</w:t>
      </w:r>
      <w:r>
        <w:rPr>
          <w:lang w:val="en-GB"/>
        </w:rPr>
        <w:t xml:space="preserve"> at the start </w:t>
      </w:r>
      <w:r w:rsidR="0075239F">
        <w:rPr>
          <w:lang w:val="en-GB"/>
        </w:rPr>
        <w:t>sponsor’s response].</w:t>
      </w:r>
    </w:p>
    <w:p w:rsidR="00505E01" w:rsidRDefault="00505E01" w:rsidP="00505E01">
      <w:pPr>
        <w:rPr>
          <w:lang w:val="en-GB"/>
        </w:rPr>
      </w:pPr>
      <w:r>
        <w:rPr>
          <w:lang w:val="en-GB"/>
        </w:rPr>
        <w:t>The sponsor</w:t>
      </w:r>
      <w:r w:rsidR="001719D1" w:rsidRPr="001719D1">
        <w:rPr>
          <w:lang w:val="en-GB"/>
        </w:rPr>
        <w:t xml:space="preserve"> deems that the version of the note to </w:t>
      </w:r>
      <w:r>
        <w:rPr>
          <w:lang w:val="en-GB"/>
        </w:rPr>
        <w:t>the indication proposed by the clinical e</w:t>
      </w:r>
      <w:r w:rsidR="001719D1" w:rsidRPr="001719D1">
        <w:rPr>
          <w:lang w:val="en-GB"/>
        </w:rPr>
        <w:t xml:space="preserve">valuator which states that </w:t>
      </w:r>
      <w:r w:rsidR="001719D1" w:rsidRPr="00505E01">
        <w:rPr>
          <w:i/>
          <w:lang w:val="en-GB"/>
        </w:rPr>
        <w:t>‘</w:t>
      </w:r>
      <w:r>
        <w:rPr>
          <w:i/>
          <w:lang w:val="en-GB"/>
        </w:rPr>
        <w:t>a</w:t>
      </w:r>
      <w:r w:rsidR="001719D1" w:rsidRPr="00505E01">
        <w:rPr>
          <w:i/>
          <w:lang w:val="en-GB"/>
        </w:rPr>
        <w:t>n improvement in progression free survival or overall sur</w:t>
      </w:r>
      <w:r>
        <w:rPr>
          <w:i/>
          <w:lang w:val="en-GB"/>
        </w:rPr>
        <w:t>vival has not been demonstrated</w:t>
      </w:r>
      <w:r w:rsidR="001719D1" w:rsidRPr="00505E01">
        <w:rPr>
          <w:i/>
          <w:lang w:val="en-GB"/>
        </w:rPr>
        <w:t>’</w:t>
      </w:r>
      <w:r w:rsidR="001719D1" w:rsidRPr="001719D1">
        <w:rPr>
          <w:lang w:val="en-GB"/>
        </w:rPr>
        <w:t xml:space="preserve"> is not an accurate reflection of the status of the data. In </w:t>
      </w:r>
      <w:r>
        <w:rPr>
          <w:lang w:val="en-GB"/>
        </w:rPr>
        <w:t xml:space="preserve">Studies </w:t>
      </w:r>
      <w:r w:rsidR="001719D1" w:rsidRPr="001719D1">
        <w:rPr>
          <w:lang w:val="en-GB"/>
        </w:rPr>
        <w:t xml:space="preserve">CA209205 and CA209039, PFS and OS continues to evolve as the duration of follow-up has not yet been sufficient for a median OS to be reached. Until mature data on PFS and OS are available it is too early to say that PFS and OS improvements have not been demonstrated from these studies. </w:t>
      </w:r>
      <w:r>
        <w:rPr>
          <w:lang w:val="en-GB"/>
        </w:rPr>
        <w:t>The sponsor</w:t>
      </w:r>
      <w:r w:rsidR="001719D1" w:rsidRPr="001719D1">
        <w:rPr>
          <w:lang w:val="en-GB"/>
        </w:rPr>
        <w:t xml:space="preserve"> recommends that a more accurate statement would be to say that data on PFS and OS are immature. </w:t>
      </w:r>
      <w:r w:rsidRPr="00505E01">
        <w:t>The sponsor</w:t>
      </w:r>
      <w:r w:rsidR="001719D1" w:rsidRPr="001719D1">
        <w:rPr>
          <w:lang w:val="en-GB"/>
        </w:rPr>
        <w:t xml:space="preserve"> is agreeable to submitting the final </w:t>
      </w:r>
      <w:r>
        <w:rPr>
          <w:lang w:val="en-GB"/>
        </w:rPr>
        <w:t>CSRs</w:t>
      </w:r>
      <w:r w:rsidR="001719D1" w:rsidRPr="001719D1">
        <w:rPr>
          <w:lang w:val="en-GB"/>
        </w:rPr>
        <w:t xml:space="preserve"> for </w:t>
      </w:r>
      <w:r>
        <w:rPr>
          <w:lang w:val="en-GB"/>
        </w:rPr>
        <w:t xml:space="preserve">Studies </w:t>
      </w:r>
      <w:r w:rsidR="001719D1" w:rsidRPr="001719D1">
        <w:rPr>
          <w:lang w:val="en-GB"/>
        </w:rPr>
        <w:t>CA</w:t>
      </w:r>
      <w:r>
        <w:rPr>
          <w:lang w:val="en-GB"/>
        </w:rPr>
        <w:t>209205 and CA209039 to the TGA.</w:t>
      </w:r>
    </w:p>
    <w:p w:rsidR="00505E01" w:rsidRDefault="00505E01" w:rsidP="00505E01">
      <w:pPr>
        <w:pStyle w:val="Heading6"/>
        <w:rPr>
          <w:lang w:val="en-GB"/>
        </w:rPr>
      </w:pPr>
      <w:r>
        <w:rPr>
          <w:lang w:val="en-GB"/>
        </w:rPr>
        <w:t>Question 3</w:t>
      </w:r>
    </w:p>
    <w:p w:rsidR="00505E01" w:rsidRPr="00505E01" w:rsidRDefault="00505E01" w:rsidP="00505E01">
      <w:pPr>
        <w:ind w:left="720"/>
        <w:rPr>
          <w:i/>
        </w:rPr>
      </w:pPr>
      <w:r w:rsidRPr="00505E01">
        <w:rPr>
          <w:i/>
        </w:rPr>
        <w:t>‘</w:t>
      </w:r>
      <w:r w:rsidR="001719D1" w:rsidRPr="00505E01">
        <w:rPr>
          <w:i/>
        </w:rPr>
        <w:t>Safety: Is the available information sufficient for the anticipated clinical setting? Is the proposed PI/CMI with pooled safety data across all indications, and other clinical information, adequate in this regard?</w:t>
      </w:r>
      <w:r w:rsidRPr="00505E01">
        <w:rPr>
          <w:i/>
        </w:rPr>
        <w:t>’</w:t>
      </w:r>
    </w:p>
    <w:p w:rsidR="001719D1" w:rsidRPr="001719D1" w:rsidRDefault="00505E01" w:rsidP="001719D1">
      <w:pPr>
        <w:rPr>
          <w:lang w:val="en-GB"/>
        </w:rPr>
      </w:pPr>
      <w:r>
        <w:rPr>
          <w:lang w:val="en-GB"/>
        </w:rPr>
        <w:t>The sponsor</w:t>
      </w:r>
      <w:r w:rsidR="001719D1" w:rsidRPr="001719D1">
        <w:rPr>
          <w:lang w:val="en-GB"/>
        </w:rPr>
        <w:t xml:space="preserve"> agrees with the Delegate that the safety issues raised by the </w:t>
      </w:r>
      <w:r>
        <w:rPr>
          <w:lang w:val="en-GB"/>
        </w:rPr>
        <w:t>c</w:t>
      </w:r>
      <w:r w:rsidR="001719D1" w:rsidRPr="001719D1">
        <w:rPr>
          <w:lang w:val="en-GB"/>
        </w:rPr>
        <w:t xml:space="preserve">linical </w:t>
      </w:r>
      <w:r>
        <w:rPr>
          <w:lang w:val="en-GB"/>
        </w:rPr>
        <w:t>e</w:t>
      </w:r>
      <w:r w:rsidR="001719D1" w:rsidRPr="001719D1">
        <w:rPr>
          <w:lang w:val="en-GB"/>
        </w:rPr>
        <w:t xml:space="preserve">valuator do not preclude approval of this extension of indication. The </w:t>
      </w:r>
      <w:proofErr w:type="spellStart"/>
      <w:r w:rsidR="001719D1" w:rsidRPr="001719D1">
        <w:rPr>
          <w:lang w:val="en-GB"/>
        </w:rPr>
        <w:t>nivolumab</w:t>
      </w:r>
      <w:proofErr w:type="spellEnd"/>
      <w:r w:rsidR="001719D1" w:rsidRPr="001719D1">
        <w:rPr>
          <w:lang w:val="en-GB"/>
        </w:rPr>
        <w:t xml:space="preserve"> safety profile is well characterised and has been shown to be consistent over time and across tumours. The PI has clear information regarding the importance of continuous monitoring of patients and early identification of immune-related adverse drug reactions and provides recommendations for interventions and dose modifications for the management of these potential effects. On 27 February 2017, a </w:t>
      </w:r>
      <w:r>
        <w:rPr>
          <w:lang w:val="en-GB"/>
        </w:rPr>
        <w:t xml:space="preserve">PBRER for the period 4 July 2016 through </w:t>
      </w:r>
      <w:r w:rsidR="001719D1" w:rsidRPr="001719D1">
        <w:rPr>
          <w:lang w:val="en-GB"/>
        </w:rPr>
        <w:t xml:space="preserve">3 January 2017 was submitted to the TGA. The conclusion from the PBRER was that a comprehensive and detailed review of all safety and efficacy data/information received during the reporting period for </w:t>
      </w:r>
      <w:proofErr w:type="spellStart"/>
      <w:r w:rsidR="001719D1" w:rsidRPr="001719D1">
        <w:rPr>
          <w:lang w:val="en-GB"/>
        </w:rPr>
        <w:t>nivolumab</w:t>
      </w:r>
      <w:proofErr w:type="spellEnd"/>
      <w:r w:rsidR="001719D1" w:rsidRPr="001719D1">
        <w:rPr>
          <w:lang w:val="en-GB"/>
        </w:rPr>
        <w:t xml:space="preserve"> did not reveal any safety concern that significantly changed the established positive benefit-risk balance of </w:t>
      </w:r>
      <w:proofErr w:type="spellStart"/>
      <w:r w:rsidR="001719D1" w:rsidRPr="001719D1">
        <w:rPr>
          <w:lang w:val="en-GB"/>
        </w:rPr>
        <w:t>nivolumab</w:t>
      </w:r>
      <w:proofErr w:type="spellEnd"/>
      <w:r w:rsidR="001719D1" w:rsidRPr="001719D1">
        <w:rPr>
          <w:lang w:val="en-GB"/>
        </w:rPr>
        <w:t xml:space="preserve"> for the adult treatment of advanced (</w:t>
      </w:r>
      <w:proofErr w:type="spellStart"/>
      <w:r w:rsidR="001719D1" w:rsidRPr="001719D1">
        <w:rPr>
          <w:lang w:val="en-GB"/>
        </w:rPr>
        <w:t>unresectable</w:t>
      </w:r>
      <w:proofErr w:type="spellEnd"/>
      <w:r w:rsidR="001719D1" w:rsidRPr="001719D1">
        <w:rPr>
          <w:lang w:val="en-GB"/>
        </w:rPr>
        <w:t xml:space="preserve"> or metastatic) melanoma, locally advanced or metastatic NSCLC after prior chemotherapy, advanced </w:t>
      </w:r>
      <w:r w:rsidR="00487EC6">
        <w:rPr>
          <w:lang w:val="en-GB"/>
        </w:rPr>
        <w:t>RCC</w:t>
      </w:r>
      <w:r w:rsidR="00B563E3">
        <w:rPr>
          <w:lang w:val="en-GB"/>
        </w:rPr>
        <w:t xml:space="preserve"> </w:t>
      </w:r>
      <w:r w:rsidR="001719D1" w:rsidRPr="001719D1">
        <w:rPr>
          <w:lang w:val="en-GB"/>
        </w:rPr>
        <w:t>after prior therapy, relapsed or refractor</w:t>
      </w:r>
      <w:r w:rsidR="00B563E3">
        <w:rPr>
          <w:lang w:val="en-GB"/>
        </w:rPr>
        <w:t xml:space="preserve">y </w:t>
      </w:r>
      <w:proofErr w:type="spellStart"/>
      <w:r w:rsidR="00B563E3">
        <w:rPr>
          <w:lang w:val="en-GB"/>
        </w:rPr>
        <w:t>cHL</w:t>
      </w:r>
      <w:proofErr w:type="spellEnd"/>
      <w:r w:rsidR="00B563E3">
        <w:rPr>
          <w:lang w:val="en-GB"/>
        </w:rPr>
        <w:t xml:space="preserve">, recurrent or metastatic squamous cell carcinoma of the head and neck after platinum </w:t>
      </w:r>
      <w:r w:rsidR="001719D1" w:rsidRPr="001719D1">
        <w:rPr>
          <w:lang w:val="en-GB"/>
        </w:rPr>
        <w:t xml:space="preserve">based therapy, and the ongoing evaluation of </w:t>
      </w:r>
      <w:proofErr w:type="spellStart"/>
      <w:r w:rsidR="001719D1" w:rsidRPr="001719D1">
        <w:rPr>
          <w:lang w:val="en-GB"/>
        </w:rPr>
        <w:t>nivolumab</w:t>
      </w:r>
      <w:proofErr w:type="spellEnd"/>
      <w:r w:rsidR="001719D1" w:rsidRPr="001719D1">
        <w:rPr>
          <w:lang w:val="en-GB"/>
        </w:rPr>
        <w:t xml:space="preserve"> in additional indications </w:t>
      </w:r>
      <w:r w:rsidR="00B563E3">
        <w:rPr>
          <w:lang w:val="en-GB"/>
        </w:rPr>
        <w:t>and tumour types.</w:t>
      </w:r>
    </w:p>
    <w:p w:rsidR="001719D1" w:rsidRPr="00B563E3" w:rsidRDefault="00B563E3" w:rsidP="001719D1">
      <w:pPr>
        <w:rPr>
          <w:i/>
          <w:lang w:val="en-GB"/>
        </w:rPr>
      </w:pPr>
      <w:r w:rsidRPr="00B563E3">
        <w:rPr>
          <w:i/>
          <w:lang w:val="en-GB"/>
        </w:rPr>
        <w:t xml:space="preserve">Safety of </w:t>
      </w:r>
      <w:proofErr w:type="spellStart"/>
      <w:r w:rsidRPr="00B563E3">
        <w:rPr>
          <w:i/>
          <w:lang w:val="en-GB"/>
        </w:rPr>
        <w:t>nivolumab</w:t>
      </w:r>
      <w:proofErr w:type="spellEnd"/>
      <w:r w:rsidRPr="00B563E3">
        <w:rPr>
          <w:i/>
          <w:lang w:val="en-GB"/>
        </w:rPr>
        <w:t xml:space="preserve"> in </w:t>
      </w:r>
      <w:proofErr w:type="spellStart"/>
      <w:r w:rsidRPr="00B563E3">
        <w:rPr>
          <w:i/>
          <w:lang w:val="en-GB"/>
        </w:rPr>
        <w:t>cHL</w:t>
      </w:r>
      <w:proofErr w:type="spellEnd"/>
      <w:r w:rsidRPr="00B563E3">
        <w:rPr>
          <w:i/>
          <w:lang w:val="en-GB"/>
        </w:rPr>
        <w:t>:</w:t>
      </w:r>
      <w:r>
        <w:rPr>
          <w:i/>
          <w:lang w:val="en-GB"/>
        </w:rPr>
        <w:t xml:space="preserve"> </w:t>
      </w:r>
      <w:r w:rsidR="001719D1" w:rsidRPr="001719D1">
        <w:rPr>
          <w:lang w:val="en-GB"/>
        </w:rPr>
        <w:t xml:space="preserve">In order to characterise the safety profile of </w:t>
      </w:r>
      <w:proofErr w:type="spellStart"/>
      <w:r w:rsidR="001719D1" w:rsidRPr="001719D1">
        <w:rPr>
          <w:lang w:val="en-GB"/>
        </w:rPr>
        <w:t>nivolumab</w:t>
      </w:r>
      <w:proofErr w:type="spellEnd"/>
      <w:r w:rsidR="001719D1" w:rsidRPr="001719D1">
        <w:rPr>
          <w:lang w:val="en-GB"/>
        </w:rPr>
        <w:t xml:space="preserve"> monotherapy in patients with </w:t>
      </w:r>
      <w:proofErr w:type="spellStart"/>
      <w:r w:rsidR="001719D1" w:rsidRPr="001719D1">
        <w:rPr>
          <w:lang w:val="en-GB"/>
        </w:rPr>
        <w:t>cHL</w:t>
      </w:r>
      <w:proofErr w:type="spellEnd"/>
      <w:r w:rsidR="001719D1" w:rsidRPr="001719D1">
        <w:rPr>
          <w:lang w:val="en-GB"/>
        </w:rPr>
        <w:t xml:space="preserve">, safety data from </w:t>
      </w:r>
      <w:r>
        <w:rPr>
          <w:lang w:val="en-GB"/>
        </w:rPr>
        <w:t xml:space="preserve">Study </w:t>
      </w:r>
      <w:r w:rsidR="001719D1" w:rsidRPr="001719D1">
        <w:rPr>
          <w:lang w:val="en-GB"/>
        </w:rPr>
        <w:t>CA209205 (Cohort A</w:t>
      </w:r>
      <w:r>
        <w:rPr>
          <w:lang w:val="en-GB"/>
        </w:rPr>
        <w:t xml:space="preserve"> </w:t>
      </w:r>
      <w:r w:rsidR="001719D1" w:rsidRPr="001719D1">
        <w:rPr>
          <w:lang w:val="en-GB"/>
        </w:rPr>
        <w:t>+</w:t>
      </w:r>
      <w:r>
        <w:rPr>
          <w:lang w:val="en-GB"/>
        </w:rPr>
        <w:t xml:space="preserve"> </w:t>
      </w:r>
      <w:r w:rsidR="001719D1" w:rsidRPr="001719D1">
        <w:rPr>
          <w:lang w:val="en-GB"/>
        </w:rPr>
        <w:t>B</w:t>
      </w:r>
      <w:r>
        <w:rPr>
          <w:lang w:val="en-GB"/>
        </w:rPr>
        <w:t xml:space="preserve"> </w:t>
      </w:r>
      <w:r w:rsidR="001719D1" w:rsidRPr="001719D1">
        <w:rPr>
          <w:lang w:val="en-GB"/>
        </w:rPr>
        <w:t>+</w:t>
      </w:r>
      <w:r>
        <w:rPr>
          <w:lang w:val="en-GB"/>
        </w:rPr>
        <w:t xml:space="preserve"> </w:t>
      </w:r>
      <w:r w:rsidR="001719D1" w:rsidRPr="001719D1">
        <w:rPr>
          <w:lang w:val="en-GB"/>
        </w:rPr>
        <w:t>C; n</w:t>
      </w:r>
      <w:r>
        <w:rPr>
          <w:lang w:val="en-GB"/>
        </w:rPr>
        <w:t> = </w:t>
      </w:r>
      <w:r w:rsidR="001719D1" w:rsidRPr="001719D1">
        <w:rPr>
          <w:lang w:val="en-GB"/>
        </w:rPr>
        <w:t xml:space="preserve">240) and </w:t>
      </w:r>
      <w:r>
        <w:rPr>
          <w:lang w:val="en-GB"/>
        </w:rPr>
        <w:t xml:space="preserve">Study </w:t>
      </w:r>
      <w:r w:rsidR="001719D1" w:rsidRPr="001719D1">
        <w:rPr>
          <w:lang w:val="en-GB"/>
        </w:rPr>
        <w:t xml:space="preserve">CA209039 (all </w:t>
      </w:r>
      <w:proofErr w:type="spellStart"/>
      <w:r w:rsidR="001719D1" w:rsidRPr="001719D1">
        <w:rPr>
          <w:lang w:val="en-GB"/>
        </w:rPr>
        <w:t>cHL</w:t>
      </w:r>
      <w:proofErr w:type="spellEnd"/>
      <w:r w:rsidR="001719D1" w:rsidRPr="001719D1">
        <w:rPr>
          <w:lang w:val="en-GB"/>
        </w:rPr>
        <w:t>, n = 23) were integrated into a single analysis population (n = 263 subjects), here</w:t>
      </w:r>
      <w:r>
        <w:rPr>
          <w:lang w:val="en-GB"/>
        </w:rPr>
        <w:t xml:space="preserve"> </w:t>
      </w:r>
      <w:r w:rsidR="001719D1" w:rsidRPr="001719D1">
        <w:rPr>
          <w:lang w:val="en-GB"/>
        </w:rPr>
        <w:t xml:space="preserve">to described as the </w:t>
      </w:r>
      <w:r>
        <w:rPr>
          <w:lang w:val="en-GB"/>
        </w:rPr>
        <w:t>SCS</w:t>
      </w:r>
      <w:r w:rsidR="001719D1" w:rsidRPr="001719D1">
        <w:rPr>
          <w:lang w:val="en-GB"/>
        </w:rPr>
        <w:t xml:space="preserve"> population. While the studies/cohorts are different in size and length of follow up, all of these </w:t>
      </w:r>
      <w:proofErr w:type="spellStart"/>
      <w:r w:rsidR="001719D1" w:rsidRPr="001719D1">
        <w:rPr>
          <w:lang w:val="en-GB"/>
        </w:rPr>
        <w:t>cHL</w:t>
      </w:r>
      <w:proofErr w:type="spellEnd"/>
      <w:r w:rsidR="001719D1" w:rsidRPr="001719D1">
        <w:rPr>
          <w:lang w:val="en-GB"/>
        </w:rPr>
        <w:t xml:space="preserve"> patients received the same </w:t>
      </w:r>
      <w:proofErr w:type="spellStart"/>
      <w:r w:rsidR="001719D1" w:rsidRPr="001719D1">
        <w:rPr>
          <w:lang w:val="en-GB"/>
        </w:rPr>
        <w:t>nivolumab</w:t>
      </w:r>
      <w:proofErr w:type="spellEnd"/>
      <w:r w:rsidR="001719D1" w:rsidRPr="001719D1">
        <w:rPr>
          <w:lang w:val="en-GB"/>
        </w:rPr>
        <w:t xml:space="preserve"> dose. The integrated SCS population enables assessment of lower frequency events and provides the best opportunity to increase the precision of AE rates and provide a more clinically accurate representation of the overall adverse reaction </w:t>
      </w:r>
      <w:r w:rsidR="001719D1" w:rsidRPr="001719D1">
        <w:rPr>
          <w:lang w:val="en-GB"/>
        </w:rPr>
        <w:lastRenderedPageBreak/>
        <w:t xml:space="preserve">profile of </w:t>
      </w:r>
      <w:proofErr w:type="spellStart"/>
      <w:r w:rsidR="001719D1" w:rsidRPr="001719D1">
        <w:rPr>
          <w:lang w:val="en-GB"/>
        </w:rPr>
        <w:t>nivolumab</w:t>
      </w:r>
      <w:proofErr w:type="spellEnd"/>
      <w:r w:rsidR="001719D1" w:rsidRPr="001719D1">
        <w:rPr>
          <w:lang w:val="en-GB"/>
        </w:rPr>
        <w:t xml:space="preserve"> in </w:t>
      </w:r>
      <w:proofErr w:type="spellStart"/>
      <w:r w:rsidR="001719D1" w:rsidRPr="001719D1">
        <w:rPr>
          <w:lang w:val="en-GB"/>
        </w:rPr>
        <w:t>cHL.</w:t>
      </w:r>
      <w:proofErr w:type="spellEnd"/>
      <w:r w:rsidR="001719D1" w:rsidRPr="001719D1">
        <w:rPr>
          <w:lang w:val="en-GB"/>
        </w:rPr>
        <w:t xml:space="preserve"> For this reason, </w:t>
      </w:r>
      <w:r>
        <w:rPr>
          <w:lang w:val="en-GB"/>
        </w:rPr>
        <w:t>the sponsor</w:t>
      </w:r>
      <w:r w:rsidR="001719D1" w:rsidRPr="001719D1">
        <w:rPr>
          <w:lang w:val="en-GB"/>
        </w:rPr>
        <w:t xml:space="preserve"> presented the SCS population as the primary population for safety in the application and contends that since the </w:t>
      </w:r>
      <w:r>
        <w:rPr>
          <w:lang w:val="en-GB"/>
        </w:rPr>
        <w:t>SCE</w:t>
      </w:r>
      <w:r w:rsidR="001719D1" w:rsidRPr="001719D1">
        <w:rPr>
          <w:lang w:val="en-GB"/>
        </w:rPr>
        <w:t xml:space="preserve"> population is more limited for assessing safety (n</w:t>
      </w:r>
      <w:r>
        <w:rPr>
          <w:lang w:val="en-GB"/>
        </w:rPr>
        <w:t xml:space="preserve"> </w:t>
      </w:r>
      <w:r w:rsidR="001719D1" w:rsidRPr="001719D1">
        <w:rPr>
          <w:lang w:val="en-GB"/>
        </w:rPr>
        <w:t>=</w:t>
      </w:r>
      <w:r>
        <w:rPr>
          <w:lang w:val="en-GB"/>
        </w:rPr>
        <w:t xml:space="preserve"> </w:t>
      </w:r>
      <w:r w:rsidR="001719D1" w:rsidRPr="001719D1">
        <w:rPr>
          <w:lang w:val="en-GB"/>
        </w:rPr>
        <w:t>95), that the SCS population is a more reliable data</w:t>
      </w:r>
      <w:r>
        <w:rPr>
          <w:lang w:val="en-GB"/>
        </w:rPr>
        <w:t>set to draw conclusions from.</w:t>
      </w:r>
    </w:p>
    <w:p w:rsidR="001719D1" w:rsidRPr="001719D1" w:rsidRDefault="001719D1" w:rsidP="001719D1">
      <w:pPr>
        <w:rPr>
          <w:lang w:val="en-GB"/>
        </w:rPr>
      </w:pPr>
      <w:r w:rsidRPr="001719D1">
        <w:rPr>
          <w:lang w:val="en-GB"/>
        </w:rPr>
        <w:t xml:space="preserve">Data from the SCS population in </w:t>
      </w:r>
      <w:proofErr w:type="spellStart"/>
      <w:r w:rsidRPr="001719D1">
        <w:rPr>
          <w:lang w:val="en-GB"/>
        </w:rPr>
        <w:t>cHL</w:t>
      </w:r>
      <w:proofErr w:type="spellEnd"/>
      <w:r w:rsidRPr="001719D1">
        <w:rPr>
          <w:lang w:val="en-GB"/>
        </w:rPr>
        <w:t xml:space="preserve"> demonstrates that the type, frequency, and severity of AEs were si</w:t>
      </w:r>
      <w:r w:rsidR="00B563E3">
        <w:rPr>
          <w:lang w:val="en-GB"/>
        </w:rPr>
        <w:t>milar to other tumour types (</w:t>
      </w:r>
      <w:r w:rsidR="00487EC6">
        <w:rPr>
          <w:lang w:val="en-GB"/>
        </w:rPr>
        <w:t>RCC</w:t>
      </w:r>
      <w:r w:rsidRPr="001719D1">
        <w:rPr>
          <w:lang w:val="en-GB"/>
        </w:rPr>
        <w:t xml:space="preserve">, melanoma, and NSCLC). Although the duration of exposure was longer in </w:t>
      </w:r>
      <w:proofErr w:type="spellStart"/>
      <w:r w:rsidRPr="001719D1">
        <w:rPr>
          <w:lang w:val="en-GB"/>
        </w:rPr>
        <w:t>cHL</w:t>
      </w:r>
      <w:proofErr w:type="spellEnd"/>
      <w:r w:rsidRPr="001719D1">
        <w:rPr>
          <w:lang w:val="en-GB"/>
        </w:rPr>
        <w:t xml:space="preserve"> treated patient</w:t>
      </w:r>
      <w:r w:rsidR="00B563E3">
        <w:rPr>
          <w:lang w:val="en-GB"/>
        </w:rPr>
        <w:t xml:space="preserve">s, the exposure </w:t>
      </w:r>
      <w:r w:rsidRPr="001719D1">
        <w:rPr>
          <w:lang w:val="en-GB"/>
        </w:rPr>
        <w:t>adjusted AE inciden</w:t>
      </w:r>
      <w:r w:rsidR="00B563E3">
        <w:rPr>
          <w:lang w:val="en-GB"/>
        </w:rPr>
        <w:t xml:space="preserve">ce rates (events per 100 person </w:t>
      </w:r>
      <w:r w:rsidRPr="001719D1">
        <w:rPr>
          <w:lang w:val="en-GB"/>
        </w:rPr>
        <w:t xml:space="preserve">years of exposure) were 1652.6 in </w:t>
      </w:r>
      <w:proofErr w:type="spellStart"/>
      <w:r w:rsidRPr="001719D1">
        <w:rPr>
          <w:lang w:val="en-GB"/>
        </w:rPr>
        <w:t>cHL</w:t>
      </w:r>
      <w:proofErr w:type="spellEnd"/>
      <w:r w:rsidRPr="001719D1">
        <w:rPr>
          <w:lang w:val="en-GB"/>
        </w:rPr>
        <w:t xml:space="preserve"> and 1648.7, 1747.5, and 1795.6 in </w:t>
      </w:r>
      <w:r w:rsidR="00487EC6">
        <w:rPr>
          <w:lang w:val="en-GB"/>
        </w:rPr>
        <w:t>RCC</w:t>
      </w:r>
      <w:r w:rsidRPr="001719D1">
        <w:rPr>
          <w:lang w:val="en-GB"/>
        </w:rPr>
        <w:t xml:space="preserve">, melanoma, and NSCLC, respectively. Therefore, </w:t>
      </w:r>
      <w:r w:rsidR="00B563E3">
        <w:rPr>
          <w:lang w:val="en-GB"/>
        </w:rPr>
        <w:t>the sponsor</w:t>
      </w:r>
      <w:r w:rsidRPr="001719D1">
        <w:rPr>
          <w:lang w:val="en-GB"/>
        </w:rPr>
        <w:t xml:space="preserve"> has concluded that the safety profile of </w:t>
      </w:r>
      <w:proofErr w:type="spellStart"/>
      <w:r w:rsidRPr="001719D1">
        <w:rPr>
          <w:lang w:val="en-GB"/>
        </w:rPr>
        <w:t>nivolumab</w:t>
      </w:r>
      <w:proofErr w:type="spellEnd"/>
      <w:r w:rsidRPr="001719D1">
        <w:rPr>
          <w:lang w:val="en-GB"/>
        </w:rPr>
        <w:t xml:space="preserve"> monotherapy in </w:t>
      </w:r>
      <w:proofErr w:type="spellStart"/>
      <w:r w:rsidRPr="001719D1">
        <w:rPr>
          <w:lang w:val="en-GB"/>
        </w:rPr>
        <w:t>cHL</w:t>
      </w:r>
      <w:proofErr w:type="spellEnd"/>
      <w:r w:rsidRPr="001719D1">
        <w:rPr>
          <w:lang w:val="en-GB"/>
        </w:rPr>
        <w:t xml:space="preserve"> was consistent with the safety profiles of </w:t>
      </w:r>
      <w:proofErr w:type="spellStart"/>
      <w:r w:rsidRPr="001719D1">
        <w:rPr>
          <w:lang w:val="en-GB"/>
        </w:rPr>
        <w:t>nivolumab</w:t>
      </w:r>
      <w:proofErr w:type="spellEnd"/>
      <w:r w:rsidRPr="001719D1">
        <w:rPr>
          <w:lang w:val="en-GB"/>
        </w:rPr>
        <w:t xml:space="preserve"> monoth</w:t>
      </w:r>
      <w:r w:rsidR="00B563E3">
        <w:rPr>
          <w:lang w:val="en-GB"/>
        </w:rPr>
        <w:t>erapy in other tumour types (</w:t>
      </w:r>
      <w:r w:rsidR="00487EC6">
        <w:rPr>
          <w:lang w:val="en-GB"/>
        </w:rPr>
        <w:t>RCC</w:t>
      </w:r>
      <w:r w:rsidR="00B563E3">
        <w:rPr>
          <w:lang w:val="en-GB"/>
        </w:rPr>
        <w:t>, melanoma, and NSCLC).</w:t>
      </w:r>
    </w:p>
    <w:p w:rsidR="001719D1" w:rsidRPr="001719D1" w:rsidRDefault="001719D1" w:rsidP="001719D1">
      <w:pPr>
        <w:rPr>
          <w:lang w:val="en-GB"/>
        </w:rPr>
      </w:pPr>
      <w:r w:rsidRPr="001719D1">
        <w:rPr>
          <w:lang w:val="en-GB"/>
        </w:rPr>
        <w:t>Thus</w:t>
      </w:r>
      <w:r w:rsidR="00F84633">
        <w:rPr>
          <w:lang w:val="en-GB"/>
        </w:rPr>
        <w:t>,</w:t>
      </w:r>
      <w:r w:rsidRPr="001719D1">
        <w:rPr>
          <w:lang w:val="en-GB"/>
        </w:rPr>
        <w:t xml:space="preserve"> </w:t>
      </w:r>
      <w:r w:rsidR="00B563E3">
        <w:rPr>
          <w:lang w:val="en-GB"/>
        </w:rPr>
        <w:t>the sponsor</w:t>
      </w:r>
      <w:r w:rsidRPr="001719D1">
        <w:rPr>
          <w:lang w:val="en-GB"/>
        </w:rPr>
        <w:t xml:space="preserve"> believes that the benefit-risk assessment in the proposed indication is positive for a population of patients which currently do not have ot</w:t>
      </w:r>
      <w:r w:rsidR="00B563E3">
        <w:rPr>
          <w:lang w:val="en-GB"/>
        </w:rPr>
        <w:t>her approved treatment options.</w:t>
      </w:r>
    </w:p>
    <w:p w:rsidR="001719D1" w:rsidRPr="00B563E3" w:rsidRDefault="001719D1" w:rsidP="001719D1">
      <w:pPr>
        <w:rPr>
          <w:i/>
          <w:lang w:val="en-GB"/>
        </w:rPr>
      </w:pPr>
      <w:r w:rsidRPr="00B563E3">
        <w:rPr>
          <w:i/>
          <w:lang w:val="en-GB"/>
        </w:rPr>
        <w:t xml:space="preserve">Complications of allogeneic </w:t>
      </w:r>
      <w:r w:rsidR="00B563E3">
        <w:rPr>
          <w:i/>
          <w:lang w:val="en-GB"/>
        </w:rPr>
        <w:t xml:space="preserve">HSCT: </w:t>
      </w:r>
      <w:r w:rsidR="00B563E3">
        <w:rPr>
          <w:lang w:val="en-GB"/>
        </w:rPr>
        <w:t>The sponsor</w:t>
      </w:r>
      <w:r w:rsidRPr="001719D1">
        <w:rPr>
          <w:lang w:val="en-GB"/>
        </w:rPr>
        <w:t xml:space="preserve"> considers that current data does not indicate an identified safety risk regarding an increase in transplant related mortality or increased severity of GVHD when allogeneic HSCT is perform</w:t>
      </w:r>
      <w:r w:rsidR="00B563E3">
        <w:rPr>
          <w:lang w:val="en-GB"/>
        </w:rPr>
        <w:t xml:space="preserve">ed following </w:t>
      </w:r>
      <w:proofErr w:type="spellStart"/>
      <w:r w:rsidR="00B563E3">
        <w:rPr>
          <w:lang w:val="en-GB"/>
        </w:rPr>
        <w:t>nivolumab</w:t>
      </w:r>
      <w:proofErr w:type="spellEnd"/>
      <w:r w:rsidR="00B563E3">
        <w:rPr>
          <w:lang w:val="en-GB"/>
        </w:rPr>
        <w:t xml:space="preserve"> therapy.</w:t>
      </w:r>
    </w:p>
    <w:p w:rsidR="001719D1" w:rsidRPr="001719D1" w:rsidRDefault="001719D1" w:rsidP="001719D1">
      <w:pPr>
        <w:rPr>
          <w:lang w:val="en-GB"/>
        </w:rPr>
      </w:pPr>
      <w:r w:rsidRPr="001719D1">
        <w:rPr>
          <w:lang w:val="en-GB"/>
        </w:rPr>
        <w:t xml:space="preserve">However, in response to the TGA request, </w:t>
      </w:r>
      <w:r w:rsidR="00B563E3">
        <w:rPr>
          <w:lang w:val="en-GB"/>
        </w:rPr>
        <w:t>the sponsor agrees to add ‘</w:t>
      </w:r>
      <w:r w:rsidRPr="001719D1">
        <w:rPr>
          <w:i/>
          <w:iCs/>
          <w:lang w:val="en-GB"/>
        </w:rPr>
        <w:t xml:space="preserve">Complications of allogeneic HSCT following </w:t>
      </w:r>
      <w:proofErr w:type="spellStart"/>
      <w:r w:rsidRPr="001719D1">
        <w:rPr>
          <w:i/>
          <w:iCs/>
          <w:lang w:val="en-GB"/>
        </w:rPr>
        <w:t>nivolumab</w:t>
      </w:r>
      <w:proofErr w:type="spellEnd"/>
      <w:r w:rsidRPr="001719D1">
        <w:rPr>
          <w:i/>
          <w:iCs/>
          <w:lang w:val="en-GB"/>
        </w:rPr>
        <w:t xml:space="preserve"> therapy</w:t>
      </w:r>
      <w:r w:rsidR="00B563E3">
        <w:rPr>
          <w:lang w:val="en-GB"/>
        </w:rPr>
        <w:t>’</w:t>
      </w:r>
      <w:r w:rsidRPr="001719D1">
        <w:rPr>
          <w:lang w:val="en-GB"/>
        </w:rPr>
        <w:t xml:space="preserve"> as an Important Potential Risk to the </w:t>
      </w:r>
      <w:r w:rsidR="00B563E3">
        <w:rPr>
          <w:lang w:val="en-GB"/>
        </w:rPr>
        <w:t>RMP and ASA</w:t>
      </w:r>
      <w:r w:rsidRPr="001719D1">
        <w:rPr>
          <w:lang w:val="en-GB"/>
        </w:rPr>
        <w:t xml:space="preserve">. Consequently, </w:t>
      </w:r>
      <w:r w:rsidR="00B563E3">
        <w:rPr>
          <w:lang w:val="en-GB"/>
        </w:rPr>
        <w:t>the sponsor</w:t>
      </w:r>
      <w:r w:rsidRPr="001719D1">
        <w:rPr>
          <w:lang w:val="en-GB"/>
        </w:rPr>
        <w:t xml:space="preserve"> has also added the same text from the EU </w:t>
      </w:r>
      <w:proofErr w:type="spellStart"/>
      <w:r w:rsidRPr="001719D1">
        <w:rPr>
          <w:lang w:val="en-GB"/>
        </w:rPr>
        <w:t>SmPC</w:t>
      </w:r>
      <w:proofErr w:type="spellEnd"/>
      <w:r w:rsidRPr="001719D1">
        <w:rPr>
          <w:lang w:val="en-GB"/>
        </w:rPr>
        <w:t xml:space="preserve"> on this potential risk into the proposed Australian PI. Lastly, information on this safety concern will also be added to the </w:t>
      </w:r>
      <w:proofErr w:type="spellStart"/>
      <w:r w:rsidR="00D9067B">
        <w:rPr>
          <w:lang w:val="en-GB"/>
        </w:rPr>
        <w:t>irAR</w:t>
      </w:r>
      <w:proofErr w:type="spellEnd"/>
      <w:r w:rsidRPr="001719D1">
        <w:rPr>
          <w:lang w:val="en-GB"/>
        </w:rPr>
        <w:t xml:space="preserve"> Management Guide which is the Australian </w:t>
      </w:r>
      <w:r w:rsidR="00727D42">
        <w:rPr>
          <w:lang w:val="en-GB"/>
        </w:rPr>
        <w:t>HCP</w:t>
      </w:r>
      <w:r w:rsidRPr="001719D1">
        <w:rPr>
          <w:lang w:val="en-GB"/>
        </w:rPr>
        <w:t xml:space="preserve"> risk</w:t>
      </w:r>
      <w:r w:rsidR="00727D42">
        <w:rPr>
          <w:lang w:val="en-GB"/>
        </w:rPr>
        <w:t xml:space="preserve"> management tool for </w:t>
      </w:r>
      <w:proofErr w:type="spellStart"/>
      <w:r w:rsidR="00727D42">
        <w:rPr>
          <w:lang w:val="en-GB"/>
        </w:rPr>
        <w:t>nivolumab</w:t>
      </w:r>
      <w:proofErr w:type="spellEnd"/>
      <w:r w:rsidR="00727D42">
        <w:rPr>
          <w:lang w:val="en-GB"/>
        </w:rPr>
        <w:t>.</w:t>
      </w:r>
    </w:p>
    <w:p w:rsidR="001719D1" w:rsidRPr="001719D1" w:rsidRDefault="00727D42" w:rsidP="001719D1">
      <w:pPr>
        <w:rPr>
          <w:lang w:val="en-GB"/>
        </w:rPr>
      </w:pPr>
      <w:r>
        <w:rPr>
          <w:lang w:val="en-GB"/>
        </w:rPr>
        <w:t>The sponsor</w:t>
      </w:r>
      <w:r w:rsidR="001719D1" w:rsidRPr="001719D1">
        <w:rPr>
          <w:lang w:val="en-GB"/>
        </w:rPr>
        <w:t xml:space="preserve"> plans to initiate a registry study (</w:t>
      </w:r>
      <w:r>
        <w:rPr>
          <w:lang w:val="en-GB"/>
        </w:rPr>
        <w:t xml:space="preserve">Study </w:t>
      </w:r>
      <w:r w:rsidR="001719D1" w:rsidRPr="001719D1">
        <w:rPr>
          <w:lang w:val="en-GB"/>
        </w:rPr>
        <w:t xml:space="preserve">CA209835) in 2017 which will prospectively collect data on post- allogeneic HSCT complications in patients who were previously exposed to </w:t>
      </w:r>
      <w:proofErr w:type="spellStart"/>
      <w:r w:rsidR="001719D1" w:rsidRPr="001719D1">
        <w:rPr>
          <w:lang w:val="en-GB"/>
        </w:rPr>
        <w:t>nivolumab</w:t>
      </w:r>
      <w:proofErr w:type="spellEnd"/>
      <w:r w:rsidR="001719D1" w:rsidRPr="001719D1">
        <w:rPr>
          <w:lang w:val="en-GB"/>
        </w:rPr>
        <w:t xml:space="preserve"> and receive subsequent allogeneic HSCT. Information from this study will be used to updat</w:t>
      </w:r>
      <w:r>
        <w:rPr>
          <w:lang w:val="en-GB"/>
        </w:rPr>
        <w:t>e the EU-RMP/ASA appropriately.</w:t>
      </w:r>
    </w:p>
    <w:p w:rsidR="001719D1" w:rsidRPr="001719D1" w:rsidRDefault="00727D42" w:rsidP="001719D1">
      <w:pPr>
        <w:rPr>
          <w:lang w:val="en-GB"/>
        </w:rPr>
      </w:pPr>
      <w:r w:rsidRPr="00727D42">
        <w:rPr>
          <w:i/>
          <w:lang w:val="en-GB"/>
        </w:rPr>
        <w:t>Safety in the elderly</w:t>
      </w:r>
      <w:r>
        <w:rPr>
          <w:lang w:val="en-GB"/>
        </w:rPr>
        <w:t xml:space="preserve">: The sponsor </w:t>
      </w:r>
      <w:r w:rsidR="001719D1" w:rsidRPr="001719D1">
        <w:rPr>
          <w:lang w:val="en-GB"/>
        </w:rPr>
        <w:t xml:space="preserve">does not believe that any changes to the PI are warranted regarding the use of </w:t>
      </w:r>
      <w:proofErr w:type="spellStart"/>
      <w:r w:rsidR="001719D1" w:rsidRPr="001719D1">
        <w:rPr>
          <w:lang w:val="en-GB"/>
        </w:rPr>
        <w:t>nivolumab</w:t>
      </w:r>
      <w:proofErr w:type="spellEnd"/>
      <w:r w:rsidR="001719D1" w:rsidRPr="001719D1">
        <w:rPr>
          <w:lang w:val="en-GB"/>
        </w:rPr>
        <w:t xml:space="preserve"> in elderly patients and that the current wording which is aligned to that of the EU </w:t>
      </w:r>
      <w:proofErr w:type="spellStart"/>
      <w:r w:rsidR="001719D1" w:rsidRPr="001719D1">
        <w:rPr>
          <w:lang w:val="en-GB"/>
        </w:rPr>
        <w:t>SmPC</w:t>
      </w:r>
      <w:proofErr w:type="spellEnd"/>
      <w:r w:rsidR="001719D1" w:rsidRPr="001719D1">
        <w:rPr>
          <w:lang w:val="en-GB"/>
        </w:rPr>
        <w:t xml:space="preserve"> and US</w:t>
      </w:r>
      <w:r>
        <w:rPr>
          <w:lang w:val="en-GB"/>
        </w:rPr>
        <w:t xml:space="preserve"> </w:t>
      </w:r>
      <w:r w:rsidR="001719D1" w:rsidRPr="001719D1">
        <w:rPr>
          <w:lang w:val="en-GB"/>
        </w:rPr>
        <w:t xml:space="preserve">PI is sufficient. Although there was a numerical increase in </w:t>
      </w:r>
      <w:r>
        <w:rPr>
          <w:lang w:val="en-GB"/>
        </w:rPr>
        <w:t>SAEs</w:t>
      </w:r>
      <w:r w:rsidR="001719D1" w:rsidRPr="001719D1">
        <w:rPr>
          <w:lang w:val="en-GB"/>
        </w:rPr>
        <w:t xml:space="preserve"> in patients aged &gt;</w:t>
      </w:r>
      <w:r>
        <w:rPr>
          <w:lang w:val="en-GB"/>
        </w:rPr>
        <w:t xml:space="preserve"> 65 years. T</w:t>
      </w:r>
      <w:r w:rsidR="001719D1" w:rsidRPr="001719D1">
        <w:rPr>
          <w:lang w:val="en-GB"/>
        </w:rPr>
        <w:t xml:space="preserve">his would be in keeping with an expected greater preponderance for hospitalisation in elderly patients, where hospitalisation/prolonged existing hospitalisation </w:t>
      </w:r>
      <w:proofErr w:type="gramStart"/>
      <w:r w:rsidR="001719D1" w:rsidRPr="001719D1">
        <w:rPr>
          <w:lang w:val="en-GB"/>
        </w:rPr>
        <w:t>is</w:t>
      </w:r>
      <w:proofErr w:type="gramEnd"/>
      <w:r w:rsidR="001719D1" w:rsidRPr="001719D1">
        <w:rPr>
          <w:lang w:val="en-GB"/>
        </w:rPr>
        <w:t xml:space="preserve"> the predominant reason for defining an AE as serious. There has been no causality association established between </w:t>
      </w:r>
      <w:proofErr w:type="spellStart"/>
      <w:r w:rsidR="001719D1" w:rsidRPr="001719D1">
        <w:rPr>
          <w:lang w:val="en-GB"/>
        </w:rPr>
        <w:t>nivolumab</w:t>
      </w:r>
      <w:proofErr w:type="spellEnd"/>
      <w:r w:rsidR="001719D1" w:rsidRPr="001719D1">
        <w:rPr>
          <w:lang w:val="en-GB"/>
        </w:rPr>
        <w:t xml:space="preserve"> use and the severity of AEs or number of </w:t>
      </w:r>
      <w:r>
        <w:rPr>
          <w:lang w:val="en-GB"/>
        </w:rPr>
        <w:t>DR</w:t>
      </w:r>
      <w:r w:rsidR="001719D1" w:rsidRPr="001719D1">
        <w:rPr>
          <w:lang w:val="en-GB"/>
        </w:rPr>
        <w:t xml:space="preserve">AEs with age. All data generated in elderly patients has been descriptive in nature. </w:t>
      </w:r>
      <w:r>
        <w:rPr>
          <w:lang w:val="en-GB"/>
        </w:rPr>
        <w:t>The sponsor</w:t>
      </w:r>
      <w:r w:rsidR="001719D1" w:rsidRPr="001719D1">
        <w:rPr>
          <w:lang w:val="en-GB"/>
        </w:rPr>
        <w:t xml:space="preserve"> agrees that it is good clinical practice to monitor elderly patients closely for AEs and the </w:t>
      </w:r>
      <w:proofErr w:type="spellStart"/>
      <w:r w:rsidR="001719D1" w:rsidRPr="001719D1">
        <w:rPr>
          <w:lang w:val="en-GB"/>
        </w:rPr>
        <w:t>nivolumab</w:t>
      </w:r>
      <w:proofErr w:type="spellEnd"/>
      <w:r w:rsidR="001719D1" w:rsidRPr="001719D1">
        <w:rPr>
          <w:lang w:val="en-GB"/>
        </w:rPr>
        <w:t xml:space="preserve"> PI recommends this as</w:t>
      </w:r>
      <w:r>
        <w:rPr>
          <w:lang w:val="en-GB"/>
        </w:rPr>
        <w:t xml:space="preserve"> a precaution for all patients.</w:t>
      </w:r>
    </w:p>
    <w:p w:rsidR="001719D1" w:rsidRPr="001719D1" w:rsidRDefault="00960020" w:rsidP="001719D1">
      <w:pPr>
        <w:rPr>
          <w:lang w:val="en-GB"/>
        </w:rPr>
      </w:pPr>
      <w:r w:rsidRPr="00960020">
        <w:rPr>
          <w:i/>
          <w:lang w:val="en-GB"/>
        </w:rPr>
        <w:t>Risk minimisation documents</w:t>
      </w:r>
      <w:r>
        <w:rPr>
          <w:lang w:val="en-GB"/>
        </w:rPr>
        <w:t xml:space="preserve">: </w:t>
      </w:r>
      <w:r w:rsidR="001719D1" w:rsidRPr="001719D1">
        <w:rPr>
          <w:lang w:val="en-GB"/>
        </w:rPr>
        <w:t xml:space="preserve">The </w:t>
      </w:r>
      <w:r>
        <w:rPr>
          <w:lang w:val="en-GB"/>
        </w:rPr>
        <w:t>s</w:t>
      </w:r>
      <w:r w:rsidR="001719D1" w:rsidRPr="001719D1">
        <w:rPr>
          <w:lang w:val="en-GB"/>
        </w:rPr>
        <w:t xml:space="preserve">ponsor agrees to prominently display the internet address for the full PI on the HCP side of the </w:t>
      </w:r>
      <w:r>
        <w:rPr>
          <w:lang w:val="en-GB"/>
        </w:rPr>
        <w:t>PAC. In addition, the s</w:t>
      </w:r>
      <w:r w:rsidR="001719D1" w:rsidRPr="001719D1">
        <w:rPr>
          <w:lang w:val="en-GB"/>
        </w:rPr>
        <w:t xml:space="preserve">ponsor will prominently display the internet address for the full CMI on the patient side of the </w:t>
      </w:r>
      <w:r>
        <w:rPr>
          <w:lang w:val="en-GB"/>
        </w:rPr>
        <w:t>PAC.</w:t>
      </w:r>
    </w:p>
    <w:p w:rsidR="001719D1" w:rsidRPr="001719D1" w:rsidRDefault="001719D1" w:rsidP="001719D1">
      <w:pPr>
        <w:rPr>
          <w:lang w:val="en-GB"/>
        </w:rPr>
      </w:pPr>
      <w:r w:rsidRPr="001719D1">
        <w:rPr>
          <w:lang w:val="en-GB"/>
        </w:rPr>
        <w:t xml:space="preserve">The internet address for the full PI is already present on the back page of the </w:t>
      </w:r>
      <w:proofErr w:type="spellStart"/>
      <w:r w:rsidR="00D9067B">
        <w:rPr>
          <w:lang w:val="en-GB"/>
        </w:rPr>
        <w:t>irAR</w:t>
      </w:r>
      <w:proofErr w:type="spellEnd"/>
      <w:r w:rsidR="00960020">
        <w:rPr>
          <w:lang w:val="en-GB"/>
        </w:rPr>
        <w:t xml:space="preserve"> Management </w:t>
      </w:r>
      <w:proofErr w:type="gramStart"/>
      <w:r w:rsidR="00960020">
        <w:rPr>
          <w:lang w:val="en-GB"/>
        </w:rPr>
        <w:t>Guide,</w:t>
      </w:r>
      <w:proofErr w:type="gramEnd"/>
      <w:r w:rsidR="00960020">
        <w:rPr>
          <w:lang w:val="en-GB"/>
        </w:rPr>
        <w:t xml:space="preserve"> however the s</w:t>
      </w:r>
      <w:r w:rsidRPr="001719D1">
        <w:rPr>
          <w:lang w:val="en-GB"/>
        </w:rPr>
        <w:t>ponsor agrees to prominently display the internet address for the full PI on the front pag</w:t>
      </w:r>
      <w:r w:rsidR="00960020">
        <w:rPr>
          <w:lang w:val="en-GB"/>
        </w:rPr>
        <w:t xml:space="preserve">e of the </w:t>
      </w:r>
      <w:proofErr w:type="spellStart"/>
      <w:r w:rsidR="00960020">
        <w:rPr>
          <w:lang w:val="en-GB"/>
        </w:rPr>
        <w:t>irAR</w:t>
      </w:r>
      <w:proofErr w:type="spellEnd"/>
      <w:r w:rsidR="00960020">
        <w:rPr>
          <w:lang w:val="en-GB"/>
        </w:rPr>
        <w:t xml:space="preserve"> Management Guide.</w:t>
      </w:r>
    </w:p>
    <w:p w:rsidR="001719D1" w:rsidRPr="001719D1" w:rsidRDefault="001719D1" w:rsidP="001719D1">
      <w:pPr>
        <w:rPr>
          <w:lang w:val="en-GB"/>
        </w:rPr>
      </w:pPr>
      <w:r w:rsidRPr="001719D1">
        <w:rPr>
          <w:lang w:val="en-GB"/>
        </w:rPr>
        <w:t xml:space="preserve">The Pack Leaflet (pack insert) contains relevant information required by those HCPs (hospital pharmacists and infusion nurses) that are responsible for dispensing, preparing and administering </w:t>
      </w:r>
      <w:proofErr w:type="spellStart"/>
      <w:r w:rsidRPr="001719D1">
        <w:rPr>
          <w:lang w:val="en-GB"/>
        </w:rPr>
        <w:t>nivolumab</w:t>
      </w:r>
      <w:proofErr w:type="spellEnd"/>
      <w:r w:rsidRPr="001719D1">
        <w:rPr>
          <w:lang w:val="en-GB"/>
        </w:rPr>
        <w:t xml:space="preserve"> intravenous infusions. The prescribing healthcare professionals (medical oncologists) already have access to the full PI via multiple sources </w:t>
      </w:r>
      <w:r w:rsidRPr="001719D1">
        <w:rPr>
          <w:lang w:val="en-GB"/>
        </w:rPr>
        <w:lastRenderedPageBreak/>
        <w:t xml:space="preserve">including the TGA website, the </w:t>
      </w:r>
      <w:r w:rsidR="00960020">
        <w:rPr>
          <w:lang w:val="en-GB"/>
        </w:rPr>
        <w:t>sponsor’s</w:t>
      </w:r>
      <w:r w:rsidRPr="001719D1">
        <w:rPr>
          <w:lang w:val="en-GB"/>
        </w:rPr>
        <w:t xml:space="preserve"> website or medicines.org.au. For the reasons stated, the </w:t>
      </w:r>
      <w:r w:rsidR="00960020">
        <w:rPr>
          <w:lang w:val="en-GB"/>
        </w:rPr>
        <w:t>s</w:t>
      </w:r>
      <w:r w:rsidRPr="001719D1">
        <w:rPr>
          <w:lang w:val="en-GB"/>
        </w:rPr>
        <w:t xml:space="preserve">ponsor does not feel it is necessary to include the internet address for the </w:t>
      </w:r>
      <w:r w:rsidR="00960020">
        <w:rPr>
          <w:lang w:val="en-GB"/>
        </w:rPr>
        <w:t>full PI within the pack insert.</w:t>
      </w:r>
    </w:p>
    <w:p w:rsidR="001719D1" w:rsidRPr="00960020" w:rsidRDefault="00960020" w:rsidP="001719D1">
      <w:pPr>
        <w:rPr>
          <w:i/>
          <w:lang w:val="en-GB"/>
        </w:rPr>
      </w:pPr>
      <w:r w:rsidRPr="00960020">
        <w:rPr>
          <w:bCs/>
          <w:i/>
          <w:lang w:val="en-GB"/>
        </w:rPr>
        <w:t xml:space="preserve">Risk management plan </w:t>
      </w:r>
      <w:r w:rsidR="001719D1" w:rsidRPr="00960020">
        <w:rPr>
          <w:bCs/>
          <w:i/>
          <w:lang w:val="en-GB"/>
        </w:rPr>
        <w:t>(RMP)</w:t>
      </w:r>
      <w:r w:rsidRPr="00960020">
        <w:rPr>
          <w:bCs/>
          <w:i/>
          <w:lang w:val="en-GB"/>
        </w:rPr>
        <w:t>:</w:t>
      </w:r>
      <w:r>
        <w:rPr>
          <w:i/>
          <w:lang w:val="en-GB"/>
        </w:rPr>
        <w:t xml:space="preserve"> </w:t>
      </w:r>
      <w:r w:rsidRPr="00960020">
        <w:rPr>
          <w:lang w:val="en-GB"/>
        </w:rPr>
        <w:t>The sponsor</w:t>
      </w:r>
      <w:r>
        <w:rPr>
          <w:i/>
          <w:lang w:val="en-GB"/>
        </w:rPr>
        <w:t xml:space="preserve"> </w:t>
      </w:r>
      <w:r w:rsidR="001719D1" w:rsidRPr="001719D1">
        <w:rPr>
          <w:lang w:val="en-GB"/>
        </w:rPr>
        <w:t>can confirm that in parallel to this pre-ACM response, a response to the new and outstanding RMP recommendations will also be submitted along with an updated ASA (</w:t>
      </w:r>
      <w:r>
        <w:rPr>
          <w:lang w:val="en-GB"/>
        </w:rPr>
        <w:t>version 8.0) and an updated EU-</w:t>
      </w:r>
      <w:r w:rsidR="001719D1" w:rsidRPr="001719D1">
        <w:rPr>
          <w:lang w:val="en-GB"/>
        </w:rPr>
        <w:t xml:space="preserve">RMP (version 6.2). As described above, </w:t>
      </w:r>
      <w:r>
        <w:rPr>
          <w:lang w:val="en-GB"/>
        </w:rPr>
        <w:t>the sponsor</w:t>
      </w:r>
      <w:r w:rsidR="001719D1" w:rsidRPr="001719D1">
        <w:rPr>
          <w:lang w:val="en-GB"/>
        </w:rPr>
        <w:t xml:space="preserve"> can confirm that the potential risk of ‘Complications of allogeneic </w:t>
      </w:r>
      <w:proofErr w:type="gramStart"/>
      <w:r w:rsidR="001719D1" w:rsidRPr="001719D1">
        <w:rPr>
          <w:lang w:val="en-GB"/>
        </w:rPr>
        <w:t>HSCT following</w:t>
      </w:r>
      <w:proofErr w:type="gramEnd"/>
      <w:r w:rsidR="001719D1" w:rsidRPr="001719D1">
        <w:rPr>
          <w:lang w:val="en-GB"/>
        </w:rPr>
        <w:t xml:space="preserve"> </w:t>
      </w:r>
      <w:proofErr w:type="spellStart"/>
      <w:r w:rsidR="001719D1" w:rsidRPr="001719D1">
        <w:rPr>
          <w:lang w:val="en-GB"/>
        </w:rPr>
        <w:t>nivolumab</w:t>
      </w:r>
      <w:proofErr w:type="spellEnd"/>
      <w:r w:rsidR="001719D1" w:rsidRPr="001719D1">
        <w:rPr>
          <w:lang w:val="en-GB"/>
        </w:rPr>
        <w:t xml:space="preserve"> therapy’ h</w:t>
      </w:r>
      <w:r>
        <w:rPr>
          <w:lang w:val="en-GB"/>
        </w:rPr>
        <w:t>as been added to ASA version 8.</w:t>
      </w:r>
    </w:p>
    <w:p w:rsidR="001719D1" w:rsidRPr="001719D1" w:rsidRDefault="00960020" w:rsidP="00960020">
      <w:pPr>
        <w:pStyle w:val="Heading5"/>
        <w:rPr>
          <w:lang w:val="en-GB"/>
        </w:rPr>
      </w:pPr>
      <w:r w:rsidRPr="001719D1">
        <w:rPr>
          <w:lang w:val="en-GB"/>
        </w:rPr>
        <w:t>Conclusion</w:t>
      </w:r>
    </w:p>
    <w:p w:rsidR="001719D1" w:rsidRPr="001719D1" w:rsidRDefault="001719D1" w:rsidP="001719D1">
      <w:pPr>
        <w:rPr>
          <w:lang w:val="en-GB"/>
        </w:rPr>
      </w:pPr>
      <w:r w:rsidRPr="001719D1">
        <w:rPr>
          <w:lang w:val="en-GB"/>
        </w:rPr>
        <w:t xml:space="preserve">The clinical data presented in this application demonstrates that </w:t>
      </w:r>
      <w:proofErr w:type="spellStart"/>
      <w:r w:rsidRPr="001719D1">
        <w:rPr>
          <w:lang w:val="en-GB"/>
        </w:rPr>
        <w:t>nivolumab</w:t>
      </w:r>
      <w:proofErr w:type="spellEnd"/>
      <w:r w:rsidRPr="001719D1">
        <w:rPr>
          <w:lang w:val="en-GB"/>
        </w:rPr>
        <w:t xml:space="preserve"> monotherapy (3 mg/kg Q2W) offers meaningful clinical benefit in heavily pre</w:t>
      </w:r>
      <w:r w:rsidR="00960020">
        <w:rPr>
          <w:lang w:val="en-GB"/>
        </w:rPr>
        <w:t>-</w:t>
      </w:r>
      <w:r w:rsidRPr="001719D1">
        <w:rPr>
          <w:lang w:val="en-GB"/>
        </w:rPr>
        <w:t xml:space="preserve">treated </w:t>
      </w:r>
      <w:proofErr w:type="spellStart"/>
      <w:r w:rsidRPr="001719D1">
        <w:rPr>
          <w:lang w:val="en-GB"/>
        </w:rPr>
        <w:t>cHL</w:t>
      </w:r>
      <w:proofErr w:type="spellEnd"/>
      <w:r w:rsidRPr="001719D1">
        <w:rPr>
          <w:lang w:val="en-GB"/>
        </w:rPr>
        <w:t xml:space="preserve"> patients after failure of ASCT and </w:t>
      </w:r>
      <w:proofErr w:type="spellStart"/>
      <w:r w:rsidRPr="001719D1">
        <w:rPr>
          <w:lang w:val="en-GB"/>
        </w:rPr>
        <w:t>brentuximab</w:t>
      </w:r>
      <w:proofErr w:type="spellEnd"/>
      <w:r w:rsidRPr="001719D1">
        <w:rPr>
          <w:lang w:val="en-GB"/>
        </w:rPr>
        <w:t xml:space="preserve"> </w:t>
      </w:r>
      <w:proofErr w:type="spellStart"/>
      <w:r w:rsidRPr="001719D1">
        <w:rPr>
          <w:lang w:val="en-GB"/>
        </w:rPr>
        <w:t>vedotin</w:t>
      </w:r>
      <w:proofErr w:type="spellEnd"/>
      <w:r w:rsidRPr="001719D1">
        <w:rPr>
          <w:lang w:val="en-GB"/>
        </w:rPr>
        <w:t xml:space="preserve"> treatment. In addition, the overall safety profile of </w:t>
      </w:r>
      <w:proofErr w:type="spellStart"/>
      <w:r w:rsidRPr="001719D1">
        <w:rPr>
          <w:lang w:val="en-GB"/>
        </w:rPr>
        <w:t>nivolumab</w:t>
      </w:r>
      <w:proofErr w:type="spellEnd"/>
      <w:r w:rsidRPr="001719D1">
        <w:rPr>
          <w:lang w:val="en-GB"/>
        </w:rPr>
        <w:t xml:space="preserve"> monotherapy was consistent wit</w:t>
      </w:r>
      <w:r w:rsidR="0075239F">
        <w:rPr>
          <w:lang w:val="en-GB"/>
        </w:rPr>
        <w:t xml:space="preserve">h the known and well </w:t>
      </w:r>
      <w:r w:rsidR="00415698">
        <w:rPr>
          <w:lang w:val="en-GB"/>
        </w:rPr>
        <w:t>characteris</w:t>
      </w:r>
      <w:r w:rsidRPr="001719D1">
        <w:rPr>
          <w:lang w:val="en-GB"/>
        </w:rPr>
        <w:t>ed safety profile of the drug and was comparable to the profiles observed across other tumour types in terms of the type, frequency, and severity of AEs observ</w:t>
      </w:r>
      <w:r w:rsidR="00960020">
        <w:rPr>
          <w:lang w:val="en-GB"/>
        </w:rPr>
        <w:t>ed.</w:t>
      </w:r>
    </w:p>
    <w:p w:rsidR="001719D1" w:rsidRPr="00960020" w:rsidRDefault="001719D1" w:rsidP="001719D1">
      <w:pPr>
        <w:rPr>
          <w:lang w:val="en-GB"/>
        </w:rPr>
      </w:pPr>
      <w:r w:rsidRPr="001719D1">
        <w:rPr>
          <w:lang w:val="en-GB"/>
        </w:rPr>
        <w:t xml:space="preserve">Based on the clinical data submitted with this application, the benefit/risk profile is favourable with a safety profile that is consistent with the current use of </w:t>
      </w:r>
      <w:proofErr w:type="spellStart"/>
      <w:r w:rsidRPr="001719D1">
        <w:rPr>
          <w:lang w:val="en-GB"/>
        </w:rPr>
        <w:t>nivolumab</w:t>
      </w:r>
      <w:proofErr w:type="spellEnd"/>
      <w:r w:rsidRPr="001719D1">
        <w:rPr>
          <w:lang w:val="en-GB"/>
        </w:rPr>
        <w:t xml:space="preserve"> monotherapy in the treatment of other malignancies. Approval of </w:t>
      </w:r>
      <w:proofErr w:type="spellStart"/>
      <w:r w:rsidRPr="001719D1">
        <w:rPr>
          <w:lang w:val="en-GB"/>
        </w:rPr>
        <w:t>nivolumab</w:t>
      </w:r>
      <w:proofErr w:type="spellEnd"/>
      <w:r w:rsidRPr="001719D1">
        <w:rPr>
          <w:lang w:val="en-GB"/>
        </w:rPr>
        <w:t xml:space="preserve"> for the treatment of Australian patients with </w:t>
      </w:r>
      <w:proofErr w:type="spellStart"/>
      <w:r w:rsidRPr="001719D1">
        <w:rPr>
          <w:lang w:val="en-GB"/>
        </w:rPr>
        <w:t>cHL</w:t>
      </w:r>
      <w:proofErr w:type="spellEnd"/>
      <w:r w:rsidRPr="001719D1">
        <w:rPr>
          <w:lang w:val="en-GB"/>
        </w:rPr>
        <w:t xml:space="preserve"> who fail ASCT and </w:t>
      </w:r>
      <w:proofErr w:type="spellStart"/>
      <w:r w:rsidRPr="001719D1">
        <w:rPr>
          <w:lang w:val="en-GB"/>
        </w:rPr>
        <w:t>brentuximab</w:t>
      </w:r>
      <w:proofErr w:type="spellEnd"/>
      <w:r w:rsidRPr="001719D1">
        <w:rPr>
          <w:lang w:val="en-GB"/>
        </w:rPr>
        <w:t xml:space="preserve"> </w:t>
      </w:r>
      <w:proofErr w:type="spellStart"/>
      <w:r w:rsidRPr="001719D1">
        <w:rPr>
          <w:lang w:val="en-GB"/>
        </w:rPr>
        <w:t>vedotin</w:t>
      </w:r>
      <w:proofErr w:type="spellEnd"/>
      <w:r w:rsidRPr="001719D1">
        <w:rPr>
          <w:lang w:val="en-GB"/>
        </w:rPr>
        <w:t xml:space="preserve"> will provide a new therapeutic alternative in a clinical setting where no treatment options currently exist and prognosis fo</w:t>
      </w:r>
      <w:r w:rsidR="00960020">
        <w:rPr>
          <w:lang w:val="en-GB"/>
        </w:rPr>
        <w:t>r survival is exceedingly poor.</w:t>
      </w:r>
    </w:p>
    <w:p w:rsidR="008E7846" w:rsidRDefault="00EE4F23" w:rsidP="008E7846">
      <w:pPr>
        <w:pStyle w:val="Heading4"/>
      </w:pPr>
      <w:r>
        <w:t>Advisory Committee c</w:t>
      </w:r>
      <w:r w:rsidR="008E7846">
        <w:t>onsiderations</w:t>
      </w:r>
    </w:p>
    <w:p w:rsidR="00122E16" w:rsidRDefault="00122E16" w:rsidP="00122E16">
      <w:r w:rsidRPr="00883627">
        <w:t xml:space="preserve">The ACM taking into account the submitted evidence of efficacy, safety and quality, agreed with the delegate and considered </w:t>
      </w:r>
      <w:r>
        <w:rPr>
          <w:noProof/>
        </w:rPr>
        <w:t>Opdivo</w:t>
      </w:r>
      <w:r w:rsidRPr="00883627">
        <w:t xml:space="preserve"> </w:t>
      </w:r>
      <w:r w:rsidRPr="00883627">
        <w:rPr>
          <w:noProof/>
        </w:rPr>
        <w:t>concentrate solution for IV infusion vial</w:t>
      </w:r>
      <w:r w:rsidRPr="00883627">
        <w:t xml:space="preserve"> containing </w:t>
      </w:r>
      <w:r w:rsidRPr="00883627">
        <w:rPr>
          <w:noProof/>
        </w:rPr>
        <w:t>40 mg in 4 mL (10mg/mL) and 100 mg in 10 mL (10mg/mL)</w:t>
      </w:r>
      <w:r w:rsidRPr="00883627">
        <w:t xml:space="preserve"> of </w:t>
      </w:r>
      <w:r w:rsidRPr="00883627">
        <w:rPr>
          <w:noProof/>
        </w:rPr>
        <w:t>nivolumab</w:t>
      </w:r>
      <w:r>
        <w:rPr>
          <w:noProof/>
        </w:rPr>
        <w:t xml:space="preserve"> </w:t>
      </w:r>
      <w:r>
        <w:t xml:space="preserve">are of the opinion that there is </w:t>
      </w:r>
      <w:r w:rsidRPr="00883627">
        <w:t>an overall positive benefit-risk profile for the</w:t>
      </w:r>
      <w:r>
        <w:t xml:space="preserve"> Delegate’s </w:t>
      </w:r>
      <w:r w:rsidRPr="00183918">
        <w:t>amended indication;</w:t>
      </w:r>
    </w:p>
    <w:p w:rsidR="00122E16" w:rsidRPr="005B037E" w:rsidRDefault="00122E16" w:rsidP="005B037E">
      <w:pPr>
        <w:ind w:left="720"/>
        <w:rPr>
          <w:i/>
          <w:noProof/>
        </w:rPr>
      </w:pPr>
      <w:r w:rsidRPr="00883627">
        <w:rPr>
          <w:noProof/>
        </w:rPr>
        <w:t xml:space="preserve"> </w:t>
      </w:r>
      <w:r>
        <w:rPr>
          <w:i/>
          <w:noProof/>
        </w:rPr>
        <w:t>Opdivo</w:t>
      </w:r>
      <w:r w:rsidRPr="005B037E">
        <w:rPr>
          <w:i/>
          <w:noProof/>
        </w:rPr>
        <w:t xml:space="preserve"> as monotherapy is indicated for the treatment of adult patients with relapsed or refractory classical Hodgkin lymphoma (cHL) after autologous stem cell transplant (ASCT) and treatment with brentuximab vedotin.</w:t>
      </w:r>
    </w:p>
    <w:p w:rsidR="00122E16" w:rsidRPr="005B037E" w:rsidRDefault="00122E16" w:rsidP="005B037E">
      <w:pPr>
        <w:ind w:left="720"/>
        <w:rPr>
          <w:i/>
          <w:noProof/>
        </w:rPr>
      </w:pPr>
      <w:r w:rsidRPr="005B037E">
        <w:rPr>
          <w:i/>
          <w:noProof/>
        </w:rPr>
        <w:t>Note to cHL Indication: The approval for this indication is on the basis of objective response rate. An improvement in progression free survival or overall surv</w:t>
      </w:r>
      <w:r w:rsidRPr="00122E16">
        <w:rPr>
          <w:i/>
          <w:noProof/>
        </w:rPr>
        <w:t>ival has not been demonstrated.</w:t>
      </w:r>
    </w:p>
    <w:p w:rsidR="00122E16" w:rsidRPr="00883627" w:rsidRDefault="00122E16" w:rsidP="00122E16">
      <w:r w:rsidRPr="00883627">
        <w:t xml:space="preserve">In making this recommendation the ACM </w:t>
      </w:r>
    </w:p>
    <w:p w:rsidR="00122E16" w:rsidRDefault="00122E16" w:rsidP="005B037E">
      <w:pPr>
        <w:pStyle w:val="ListBullet"/>
      </w:pPr>
      <w:r w:rsidRPr="00883627">
        <w:t>Noted</w:t>
      </w:r>
      <w:r>
        <w:t xml:space="preserve"> trial data was in adult patients (&gt; 18 years old)</w:t>
      </w:r>
    </w:p>
    <w:p w:rsidR="00122E16" w:rsidRDefault="00122E16" w:rsidP="005B037E">
      <w:pPr>
        <w:pStyle w:val="ListBullet"/>
      </w:pPr>
      <w:r>
        <w:t>Considered possible benefits to having separate safety data specific for Hodgkin lymphoma in the PI and CMI</w:t>
      </w:r>
    </w:p>
    <w:p w:rsidR="00122E16" w:rsidRPr="008752BF" w:rsidRDefault="00122E16" w:rsidP="005B037E">
      <w:pPr>
        <w:pStyle w:val="Heading5"/>
      </w:pPr>
      <w:r w:rsidRPr="008752BF">
        <w:t>Proposed conditions of registration</w:t>
      </w:r>
    </w:p>
    <w:p w:rsidR="00122E16" w:rsidRPr="00010395" w:rsidRDefault="00122E16">
      <w:r>
        <w:t>The ACM agreed with the D</w:t>
      </w:r>
      <w:r w:rsidRPr="00883627">
        <w:t xml:space="preserve">elegate on the proposed conditions of registration and advised on the inclusion of the </w:t>
      </w:r>
      <w:r w:rsidRPr="00010395">
        <w:t xml:space="preserve">following: </w:t>
      </w:r>
    </w:p>
    <w:p w:rsidR="00122E16" w:rsidRPr="005950C5" w:rsidRDefault="00122E16" w:rsidP="005B037E">
      <w:pPr>
        <w:pStyle w:val="ListBullet"/>
      </w:pPr>
      <w:r w:rsidRPr="005950C5">
        <w:t>Subject to satisfactory implementation of the Risk Management Plan most recently negotiated by the TGA,</w:t>
      </w:r>
    </w:p>
    <w:p w:rsidR="00122E16" w:rsidRPr="005950C5" w:rsidRDefault="00122E16" w:rsidP="005B037E">
      <w:pPr>
        <w:pStyle w:val="ListBullet"/>
      </w:pPr>
      <w:r w:rsidRPr="005950C5">
        <w:t>Negotiation of the Product Information and Consumer Medicine Information to the satisfaction of the TGA.</w:t>
      </w:r>
    </w:p>
    <w:p w:rsidR="00122E16" w:rsidRPr="008752BF" w:rsidRDefault="00122E16" w:rsidP="005B037E">
      <w:pPr>
        <w:pStyle w:val="Heading5"/>
      </w:pPr>
      <w:r w:rsidRPr="008752BF">
        <w:lastRenderedPageBreak/>
        <w:t>Proposed Product Information (PI)/ Consumer Medicine Information (CMI) amendments</w:t>
      </w:r>
    </w:p>
    <w:p w:rsidR="00122E16" w:rsidRPr="00883627" w:rsidRDefault="00122E16" w:rsidP="00122E16">
      <w:r w:rsidRPr="00883627">
        <w:t>The ACM agreed with the delegate to the proposed amendments to the Product Information (PI) and Consumer Medicine Information (CMI).</w:t>
      </w:r>
    </w:p>
    <w:p w:rsidR="00122E16" w:rsidRPr="00883627" w:rsidRDefault="00122E16" w:rsidP="00122E16">
      <w:pPr>
        <w:pStyle w:val="Heading4"/>
      </w:pPr>
      <w:r w:rsidRPr="00883627">
        <w:t>Specific Advice</w:t>
      </w:r>
    </w:p>
    <w:p w:rsidR="00122E16" w:rsidRPr="00793A1B" w:rsidRDefault="00122E16" w:rsidP="00122E16">
      <w:r w:rsidRPr="00793A1B">
        <w:t>The ACM advised the following in response to the delegate’s specific questions on the submission:</w:t>
      </w:r>
    </w:p>
    <w:p w:rsidR="00122E16" w:rsidRPr="005B037E" w:rsidRDefault="00122E16" w:rsidP="005B037E">
      <w:pPr>
        <w:pStyle w:val="Numberbullet0"/>
        <w:numPr>
          <w:ilvl w:val="0"/>
          <w:numId w:val="50"/>
        </w:numPr>
        <w:rPr>
          <w:i/>
          <w:noProof/>
        </w:rPr>
      </w:pPr>
      <w:r w:rsidRPr="005B037E">
        <w:rPr>
          <w:i/>
          <w:noProof/>
        </w:rPr>
        <w:t>Are there any implications from the PK modelling for clinical usage and precautions? Is this aspect of the proposed PI adequate?</w:t>
      </w:r>
    </w:p>
    <w:p w:rsidR="00122E16" w:rsidRDefault="00122E16" w:rsidP="00122E16">
      <w:pPr>
        <w:rPr>
          <w:noProof/>
        </w:rPr>
      </w:pPr>
      <w:r>
        <w:rPr>
          <w:noProof/>
        </w:rPr>
        <w:t xml:space="preserve">ACM advised that the proposed PK modelling for clinical usage and precautions has minimal implications. ACM noted </w:t>
      </w:r>
      <w:r w:rsidRPr="00793A1B">
        <w:rPr>
          <w:noProof/>
        </w:rPr>
        <w:t>small numbers in these studies and that this medication is already used i</w:t>
      </w:r>
      <w:r>
        <w:rPr>
          <w:noProof/>
        </w:rPr>
        <w:t xml:space="preserve">n a wide variety of patients.  </w:t>
      </w:r>
    </w:p>
    <w:p w:rsidR="00122E16" w:rsidRPr="00793A1B" w:rsidRDefault="00122E16" w:rsidP="00122E16">
      <w:pPr>
        <w:rPr>
          <w:noProof/>
        </w:rPr>
      </w:pPr>
      <w:r>
        <w:rPr>
          <w:noProof/>
        </w:rPr>
        <w:t>The ACM advised that the proposed PI is adequate noting the</w:t>
      </w:r>
      <w:r w:rsidRPr="00793A1B">
        <w:rPr>
          <w:noProof/>
        </w:rPr>
        <w:t xml:space="preserve"> observed PK differences and relevant influential covariates (based on available </w:t>
      </w:r>
      <w:r>
        <w:rPr>
          <w:noProof/>
        </w:rPr>
        <w:t>data and analysis) are adequatel</w:t>
      </w:r>
      <w:r w:rsidRPr="00793A1B">
        <w:rPr>
          <w:noProof/>
        </w:rPr>
        <w:t>y described in the PI</w:t>
      </w:r>
      <w:r>
        <w:rPr>
          <w:noProof/>
        </w:rPr>
        <w:t>. The ACM also noted that t</w:t>
      </w:r>
      <w:r w:rsidRPr="00793A1B">
        <w:rPr>
          <w:noProof/>
        </w:rPr>
        <w:t>he pharmacokinetics in patients with classical Hodgkin lymphoma (cHL) are not be optimally characterized, but have been replicated in subsequent PK modelling analysis</w:t>
      </w:r>
      <w:r>
        <w:rPr>
          <w:noProof/>
        </w:rPr>
        <w:t>. The ACM further noted that the h</w:t>
      </w:r>
      <w:r w:rsidRPr="00793A1B">
        <w:rPr>
          <w:noProof/>
        </w:rPr>
        <w:t>igher exposure in people with cHL may have implications for dosing</w:t>
      </w:r>
      <w:r>
        <w:rPr>
          <w:noProof/>
        </w:rPr>
        <w:t>.</w:t>
      </w:r>
    </w:p>
    <w:p w:rsidR="00122E16" w:rsidRPr="00793A1B" w:rsidRDefault="00122E16" w:rsidP="005B037E">
      <w:pPr>
        <w:pStyle w:val="Numberbullet0"/>
        <w:rPr>
          <w:noProof/>
        </w:rPr>
      </w:pPr>
      <w:r w:rsidRPr="005B037E">
        <w:rPr>
          <w:i/>
          <w:noProof/>
        </w:rPr>
        <w:t>Efficacy: What are the views of the committee on the adequacy of the submitted interim study reports from Phase 1 and 2 trials and updated data as support for registration for the cHL indication. Is the notation about limitation of data adequate? Should the indication wording specify adult patients</w:t>
      </w:r>
      <w:r w:rsidRPr="00793A1B">
        <w:rPr>
          <w:noProof/>
        </w:rPr>
        <w:t>?</w:t>
      </w:r>
    </w:p>
    <w:p w:rsidR="00122E16" w:rsidRDefault="00122E16" w:rsidP="00122E16">
      <w:pPr>
        <w:rPr>
          <w:noProof/>
        </w:rPr>
      </w:pPr>
      <w:r>
        <w:rPr>
          <w:noProof/>
        </w:rPr>
        <w:t xml:space="preserve">ACM advised </w:t>
      </w:r>
      <w:r w:rsidRPr="00C35D30">
        <w:rPr>
          <w:noProof/>
        </w:rPr>
        <w:t xml:space="preserve">that the submitted interim study reports from Phase </w:t>
      </w:r>
      <w:r>
        <w:rPr>
          <w:noProof/>
        </w:rPr>
        <w:t>I and II</w:t>
      </w:r>
      <w:r w:rsidRPr="00C35D30">
        <w:rPr>
          <w:noProof/>
        </w:rPr>
        <w:t xml:space="preserve"> trials and updated data as support for registration for the cHL indication</w:t>
      </w:r>
      <w:r>
        <w:rPr>
          <w:noProof/>
        </w:rPr>
        <w:t xml:space="preserve"> demonstrates </w:t>
      </w:r>
      <w:r w:rsidRPr="00793A1B">
        <w:rPr>
          <w:noProof/>
        </w:rPr>
        <w:t xml:space="preserve">benefit from nivolumab in this small population of patients. </w:t>
      </w:r>
      <w:r>
        <w:rPr>
          <w:noProof/>
        </w:rPr>
        <w:t xml:space="preserve">ACM noted that </w:t>
      </w:r>
      <w:r w:rsidRPr="00793A1B">
        <w:rPr>
          <w:noProof/>
        </w:rPr>
        <w:t>this is an area of unmet need, and in accordance with</w:t>
      </w:r>
      <w:r>
        <w:rPr>
          <w:noProof/>
        </w:rPr>
        <w:t xml:space="preserve"> other jurisdictions,</w:t>
      </w:r>
      <w:r w:rsidRPr="00793A1B">
        <w:rPr>
          <w:noProof/>
        </w:rPr>
        <w:t xml:space="preserve"> is reasonable to recommend approval.  </w:t>
      </w:r>
      <w:r>
        <w:rPr>
          <w:noProof/>
        </w:rPr>
        <w:t xml:space="preserve">ACM also noted that </w:t>
      </w:r>
      <w:r w:rsidRPr="00793A1B">
        <w:rPr>
          <w:noProof/>
        </w:rPr>
        <w:t xml:space="preserve">the notation about data limitation is needed and is clear.  </w:t>
      </w:r>
    </w:p>
    <w:p w:rsidR="00122E16" w:rsidRPr="005B037E" w:rsidRDefault="00122E16" w:rsidP="005B037E">
      <w:pPr>
        <w:pStyle w:val="Numberbullet0"/>
        <w:rPr>
          <w:i/>
          <w:noProof/>
        </w:rPr>
      </w:pPr>
      <w:r w:rsidRPr="005B037E">
        <w:rPr>
          <w:i/>
          <w:noProof/>
        </w:rPr>
        <w:t>Safety: Is the available information sufficient for the anticipated clinical setting? Is the proposed PI/CMI with pooled safety data across all indications, and other clinical information, adequate in this regard?</w:t>
      </w:r>
    </w:p>
    <w:p w:rsidR="00122E16" w:rsidRPr="00793A1B" w:rsidRDefault="00122E16" w:rsidP="00122E16">
      <w:pPr>
        <w:rPr>
          <w:noProof/>
        </w:rPr>
      </w:pPr>
      <w:r>
        <w:rPr>
          <w:noProof/>
        </w:rPr>
        <w:t>ACM advised that the available information is sufficient for the anticipated clinical setting.  ACM noted a</w:t>
      </w:r>
      <w:r w:rsidRPr="00793A1B">
        <w:rPr>
          <w:noProof/>
        </w:rPr>
        <w:t xml:space="preserve"> concern regarding subsequent allo</w:t>
      </w:r>
      <w:r>
        <w:rPr>
          <w:noProof/>
        </w:rPr>
        <w:t>geneic transplantation</w:t>
      </w:r>
      <w:r w:rsidRPr="00793A1B">
        <w:rPr>
          <w:noProof/>
        </w:rPr>
        <w:t xml:space="preserve">, however the numbers of patients in this </w:t>
      </w:r>
      <w:r>
        <w:rPr>
          <w:noProof/>
        </w:rPr>
        <w:t>group are small and that</w:t>
      </w:r>
      <w:r w:rsidRPr="00793A1B">
        <w:rPr>
          <w:noProof/>
        </w:rPr>
        <w:t xml:space="preserve"> </w:t>
      </w:r>
      <w:r>
        <w:rPr>
          <w:noProof/>
        </w:rPr>
        <w:t xml:space="preserve">the wording in the PI </w:t>
      </w:r>
      <w:r w:rsidRPr="00793A1B">
        <w:rPr>
          <w:noProof/>
        </w:rPr>
        <w:t>needs to be decid</w:t>
      </w:r>
      <w:r>
        <w:rPr>
          <w:noProof/>
        </w:rPr>
        <w:t>ed on a case by case basis. ACM also noted that the</w:t>
      </w:r>
      <w:r w:rsidRPr="00793A1B">
        <w:rPr>
          <w:noProof/>
        </w:rPr>
        <w:t xml:space="preserve"> relevant statistics are addressed in the PI as well.  </w:t>
      </w:r>
    </w:p>
    <w:p w:rsidR="006B68FA" w:rsidRPr="006B68FA" w:rsidRDefault="00122E16" w:rsidP="008E7846">
      <w:pPr>
        <w:rPr>
          <w:lang w:val="en-GB"/>
        </w:rPr>
      </w:pPr>
      <w:r w:rsidRPr="00BE0DCC">
        <w:t>The ACM advised that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114" w:name="_Toc247691532"/>
      <w:bookmarkStart w:id="115" w:name="_Toc314842516"/>
      <w:bookmarkStart w:id="116" w:name="_Toc497992256"/>
      <w:bookmarkEnd w:id="78"/>
      <w:bookmarkEnd w:id="111"/>
      <w:bookmarkEnd w:id="112"/>
      <w:r>
        <w:t>Outcome</w:t>
      </w:r>
      <w:bookmarkEnd w:id="114"/>
      <w:bookmarkEnd w:id="115"/>
      <w:bookmarkEnd w:id="116"/>
    </w:p>
    <w:p w:rsidR="00795F2B" w:rsidRPr="00D91D59" w:rsidRDefault="00D23139" w:rsidP="00D91D59">
      <w:pPr>
        <w:rPr>
          <w:lang w:val="en-GB"/>
        </w:rPr>
      </w:pPr>
      <w:bookmarkStart w:id="117" w:name="_Toc247691533"/>
      <w:bookmarkStart w:id="118" w:name="_Toc314842517"/>
      <w:r w:rsidRPr="00D23139">
        <w:t>Based on a review of quality, safety and efficacy,</w:t>
      </w:r>
      <w:r w:rsidR="00A92C4C">
        <w:t xml:space="preserve"> the</w:t>
      </w:r>
      <w:r w:rsidRPr="00D23139">
        <w:t xml:space="preserve"> TGA approved the registration of </w:t>
      </w:r>
      <w:proofErr w:type="spellStart"/>
      <w:r w:rsidR="00D91D59">
        <w:rPr>
          <w:lang w:val="en-GB"/>
        </w:rPr>
        <w:t>Opdivo</w:t>
      </w:r>
      <w:proofErr w:type="spellEnd"/>
      <w:r w:rsidR="00D91D59" w:rsidRPr="00D91D59">
        <w:rPr>
          <w:lang w:val="en-GB"/>
        </w:rPr>
        <w:t xml:space="preserve"> concentrate solution for intravenous infusion vial containing </w:t>
      </w:r>
      <w:proofErr w:type="spellStart"/>
      <w:r w:rsidR="00D91D59" w:rsidRPr="00D91D59">
        <w:rPr>
          <w:lang w:val="en-GB"/>
        </w:rPr>
        <w:t>nivolumab</w:t>
      </w:r>
      <w:proofErr w:type="spellEnd"/>
      <w:r w:rsidR="00D91D59" w:rsidRPr="00D91D59">
        <w:rPr>
          <w:lang w:val="en-GB"/>
        </w:rPr>
        <w:t xml:space="preserve"> 40</w:t>
      </w:r>
      <w:r w:rsidR="00D91D59">
        <w:rPr>
          <w:lang w:val="en-GB"/>
        </w:rPr>
        <w:t xml:space="preserve"> </w:t>
      </w:r>
      <w:r w:rsidR="00D91D59" w:rsidRPr="00D91D59">
        <w:rPr>
          <w:lang w:val="en-GB"/>
        </w:rPr>
        <w:t>mg in 4</w:t>
      </w:r>
      <w:r w:rsidR="00D91D59">
        <w:rPr>
          <w:lang w:val="en-GB"/>
        </w:rPr>
        <w:t> </w:t>
      </w:r>
      <w:r w:rsidR="00D91D59" w:rsidRPr="00D91D59">
        <w:rPr>
          <w:lang w:val="en-GB"/>
        </w:rPr>
        <w:t>mL and 100</w:t>
      </w:r>
      <w:r w:rsidR="00D91D59">
        <w:rPr>
          <w:lang w:val="en-GB"/>
        </w:rPr>
        <w:t xml:space="preserve"> mg in 10mL </w:t>
      </w:r>
      <w:r w:rsidR="00795F2B">
        <w:rPr>
          <w:iCs/>
          <w:lang w:val="en-GB"/>
        </w:rPr>
        <w:t>indicated for:</w:t>
      </w:r>
    </w:p>
    <w:p w:rsidR="00795F2B" w:rsidRPr="00795F2B" w:rsidRDefault="00795F2B" w:rsidP="00795F2B">
      <w:pPr>
        <w:ind w:left="720"/>
        <w:rPr>
          <w:iCs/>
          <w:lang w:val="en-GB"/>
        </w:rPr>
      </w:pPr>
      <w:r w:rsidRPr="00795F2B">
        <w:rPr>
          <w:iCs/>
          <w:lang w:val="en-GB"/>
        </w:rPr>
        <w:t>‘</w:t>
      </w:r>
      <w:proofErr w:type="spellStart"/>
      <w:r w:rsidRPr="00795F2B">
        <w:rPr>
          <w:i/>
          <w:iCs/>
          <w:lang w:val="en-GB"/>
        </w:rPr>
        <w:t>O</w:t>
      </w:r>
      <w:r>
        <w:rPr>
          <w:i/>
          <w:iCs/>
          <w:lang w:val="en-GB"/>
        </w:rPr>
        <w:t>pdivo</w:t>
      </w:r>
      <w:proofErr w:type="spellEnd"/>
      <w:r w:rsidRPr="00795F2B">
        <w:rPr>
          <w:i/>
          <w:iCs/>
          <w:lang w:val="en-GB"/>
        </w:rPr>
        <w:t>, as monotherapy is indicated for the treatment of adult patients with relapsed or refractory classical Hodgkin lymphoma (</w:t>
      </w:r>
      <w:proofErr w:type="spellStart"/>
      <w:r w:rsidRPr="00795F2B">
        <w:rPr>
          <w:i/>
          <w:iCs/>
          <w:lang w:val="en-GB"/>
        </w:rPr>
        <w:t>cHL</w:t>
      </w:r>
      <w:proofErr w:type="spellEnd"/>
      <w:r w:rsidRPr="00795F2B">
        <w:rPr>
          <w:i/>
          <w:iCs/>
          <w:lang w:val="en-GB"/>
        </w:rPr>
        <w:t xml:space="preserve">) after autologous stem cell </w:t>
      </w:r>
      <w:r w:rsidRPr="00795F2B">
        <w:rPr>
          <w:i/>
          <w:iCs/>
          <w:lang w:val="en-GB"/>
        </w:rPr>
        <w:lastRenderedPageBreak/>
        <w:t xml:space="preserve">transplant and treatment with </w:t>
      </w:r>
      <w:proofErr w:type="spellStart"/>
      <w:r w:rsidRPr="00795F2B">
        <w:rPr>
          <w:i/>
          <w:iCs/>
          <w:lang w:val="en-GB"/>
        </w:rPr>
        <w:t>brentuximab</w:t>
      </w:r>
      <w:proofErr w:type="spellEnd"/>
      <w:r w:rsidRPr="00795F2B">
        <w:rPr>
          <w:i/>
          <w:iCs/>
          <w:lang w:val="en-GB"/>
        </w:rPr>
        <w:t xml:space="preserve"> </w:t>
      </w:r>
      <w:proofErr w:type="spellStart"/>
      <w:r w:rsidRPr="00795F2B">
        <w:rPr>
          <w:i/>
          <w:iCs/>
          <w:lang w:val="en-GB"/>
        </w:rPr>
        <w:t>vedotin</w:t>
      </w:r>
      <w:proofErr w:type="spellEnd"/>
      <w:r w:rsidRPr="00795F2B">
        <w:rPr>
          <w:i/>
          <w:iCs/>
          <w:lang w:val="en-GB"/>
        </w:rPr>
        <w:t xml:space="preserve">. The approval of this indication is based on objective response rate. See </w:t>
      </w:r>
      <w:r>
        <w:rPr>
          <w:i/>
          <w:iCs/>
          <w:lang w:val="en-GB"/>
        </w:rPr>
        <w:t>Clinical Trials</w:t>
      </w:r>
      <w:r w:rsidRPr="00795F2B">
        <w:rPr>
          <w:i/>
          <w:iCs/>
          <w:lang w:val="en-GB"/>
        </w:rPr>
        <w:t>.’</w:t>
      </w:r>
    </w:p>
    <w:p w:rsidR="00795F2B" w:rsidRPr="00795F2B" w:rsidRDefault="00795F2B" w:rsidP="00795F2B">
      <w:pPr>
        <w:rPr>
          <w:iCs/>
          <w:lang w:val="en-GB"/>
        </w:rPr>
      </w:pPr>
      <w:r w:rsidRPr="00795F2B">
        <w:rPr>
          <w:iCs/>
          <w:lang w:val="en-GB"/>
        </w:rPr>
        <w:t xml:space="preserve">The </w:t>
      </w:r>
      <w:r w:rsidRPr="00795F2B">
        <w:rPr>
          <w:bCs/>
          <w:iCs/>
          <w:lang w:val="en-GB"/>
        </w:rPr>
        <w:t>full indications</w:t>
      </w:r>
      <w:r w:rsidRPr="00795F2B">
        <w:rPr>
          <w:b/>
          <w:bCs/>
          <w:iCs/>
          <w:lang w:val="en-GB"/>
        </w:rPr>
        <w:t xml:space="preserve"> </w:t>
      </w:r>
      <w:r>
        <w:rPr>
          <w:iCs/>
          <w:lang w:val="en-GB"/>
        </w:rPr>
        <w:t>are now:</w:t>
      </w:r>
    </w:p>
    <w:p w:rsidR="00795F2B" w:rsidRPr="00795F2B" w:rsidRDefault="00795F2B" w:rsidP="00795F2B">
      <w:pPr>
        <w:ind w:left="720"/>
        <w:rPr>
          <w:i/>
          <w:iCs/>
          <w:lang w:val="en-GB"/>
        </w:rPr>
      </w:pPr>
      <w:r w:rsidRPr="00795F2B">
        <w:rPr>
          <w:i/>
          <w:iCs/>
          <w:lang w:val="en-GB"/>
        </w:rPr>
        <w:t>‘</w:t>
      </w:r>
      <w:proofErr w:type="spellStart"/>
      <w:r w:rsidRPr="00795F2B">
        <w:rPr>
          <w:i/>
          <w:iCs/>
          <w:lang w:val="en-GB"/>
        </w:rPr>
        <w:t>Opdivo</w:t>
      </w:r>
      <w:proofErr w:type="spellEnd"/>
      <w:r w:rsidRPr="00795F2B">
        <w:rPr>
          <w:i/>
          <w:iCs/>
          <w:lang w:val="en-GB"/>
        </w:rPr>
        <w:t xml:space="preserve">, as monotherapy is indicated for the treatment of patients with </w:t>
      </w:r>
      <w:proofErr w:type="spellStart"/>
      <w:r w:rsidRPr="00795F2B">
        <w:rPr>
          <w:i/>
          <w:iCs/>
          <w:lang w:val="en-GB"/>
        </w:rPr>
        <w:t>unresectable</w:t>
      </w:r>
      <w:proofErr w:type="spellEnd"/>
      <w:r w:rsidRPr="00795F2B">
        <w:rPr>
          <w:i/>
          <w:iCs/>
          <w:lang w:val="en-GB"/>
        </w:rPr>
        <w:t xml:space="preserve"> (Stage III) or metastatic (Stage IV) melanoma.</w:t>
      </w:r>
    </w:p>
    <w:p w:rsidR="00795F2B" w:rsidRPr="00795F2B" w:rsidRDefault="00795F2B" w:rsidP="00795F2B">
      <w:pPr>
        <w:ind w:left="720"/>
        <w:rPr>
          <w:i/>
          <w:iCs/>
          <w:lang w:val="en-GB"/>
        </w:rPr>
      </w:pPr>
      <w:proofErr w:type="spellStart"/>
      <w:r w:rsidRPr="00795F2B">
        <w:rPr>
          <w:i/>
          <w:iCs/>
          <w:lang w:val="en-GB"/>
        </w:rPr>
        <w:t>Opdivo</w:t>
      </w:r>
      <w:proofErr w:type="spellEnd"/>
      <w:r w:rsidRPr="00795F2B">
        <w:rPr>
          <w:i/>
          <w:iCs/>
          <w:lang w:val="en-GB"/>
        </w:rPr>
        <w:t>, in combination with YERVOY (</w:t>
      </w:r>
      <w:proofErr w:type="spellStart"/>
      <w:r w:rsidRPr="00795F2B">
        <w:rPr>
          <w:i/>
          <w:iCs/>
          <w:lang w:val="en-GB"/>
        </w:rPr>
        <w:t>ipilimumab</w:t>
      </w:r>
      <w:proofErr w:type="spellEnd"/>
      <w:r w:rsidRPr="00795F2B">
        <w:rPr>
          <w:i/>
          <w:iCs/>
          <w:lang w:val="en-GB"/>
        </w:rPr>
        <w:t>) is indicated for the treatment of patients with metastatic (Stage IV) melanoma with M1c disease or eleva</w:t>
      </w:r>
      <w:r w:rsidR="0009577E">
        <w:rPr>
          <w:i/>
          <w:iCs/>
          <w:lang w:val="en-GB"/>
        </w:rPr>
        <w:t>ted lactic dehydrogenase (LDH).</w:t>
      </w:r>
    </w:p>
    <w:p w:rsidR="00795F2B" w:rsidRPr="00795F2B" w:rsidRDefault="00795F2B" w:rsidP="00795F2B">
      <w:pPr>
        <w:ind w:left="720"/>
        <w:rPr>
          <w:i/>
          <w:iCs/>
          <w:lang w:val="en-GB"/>
        </w:rPr>
      </w:pPr>
      <w:proofErr w:type="spellStart"/>
      <w:r w:rsidRPr="00795F2B">
        <w:rPr>
          <w:i/>
          <w:iCs/>
          <w:lang w:val="en-GB"/>
        </w:rPr>
        <w:t>Opdivo</w:t>
      </w:r>
      <w:proofErr w:type="spellEnd"/>
      <w:r w:rsidRPr="00795F2B">
        <w:rPr>
          <w:i/>
          <w:iCs/>
          <w:lang w:val="en-GB"/>
        </w:rPr>
        <w:t xml:space="preserve">, as monotherapy is indicated for the treatment of locally advanced or metastatic squamous non-small cell lung cancer (NSCLC) with progression </w:t>
      </w:r>
      <w:r>
        <w:rPr>
          <w:i/>
          <w:iCs/>
          <w:lang w:val="en-GB"/>
        </w:rPr>
        <w:t>on or after prior chemotherapy.</w:t>
      </w:r>
    </w:p>
    <w:p w:rsidR="00795F2B" w:rsidRPr="00795F2B" w:rsidRDefault="00795F2B" w:rsidP="00795F2B">
      <w:pPr>
        <w:ind w:left="720"/>
        <w:rPr>
          <w:i/>
          <w:iCs/>
          <w:lang w:val="en-GB"/>
        </w:rPr>
      </w:pPr>
      <w:proofErr w:type="spellStart"/>
      <w:r w:rsidRPr="00795F2B">
        <w:rPr>
          <w:i/>
          <w:iCs/>
          <w:lang w:val="en-GB"/>
        </w:rPr>
        <w:t>Opdivo</w:t>
      </w:r>
      <w:proofErr w:type="spellEnd"/>
      <w:r w:rsidRPr="00795F2B">
        <w:rPr>
          <w:i/>
          <w:iCs/>
          <w:lang w:val="en-GB"/>
        </w:rPr>
        <w:t>, as monotherapy is indicated for the treatment of locally advanced or metastatic non squamous non-small cell lung cancer (NSCLC) with progression on or after prior chemotherapy. In patients with tumour EGFR or ALK genomic aberrations, OPDIVO should be used after progressio</w:t>
      </w:r>
      <w:r w:rsidR="0009577E">
        <w:rPr>
          <w:i/>
          <w:iCs/>
          <w:lang w:val="en-GB"/>
        </w:rPr>
        <w:t>n on or after targeted therapy.</w:t>
      </w:r>
    </w:p>
    <w:p w:rsidR="00795F2B" w:rsidRPr="00795F2B" w:rsidRDefault="00795F2B" w:rsidP="00795F2B">
      <w:pPr>
        <w:ind w:left="720"/>
        <w:rPr>
          <w:i/>
          <w:iCs/>
          <w:lang w:val="en-GB"/>
        </w:rPr>
      </w:pPr>
      <w:proofErr w:type="spellStart"/>
      <w:r w:rsidRPr="00795F2B">
        <w:rPr>
          <w:i/>
          <w:iCs/>
          <w:lang w:val="en-GB"/>
        </w:rPr>
        <w:t>Opdivo</w:t>
      </w:r>
      <w:proofErr w:type="spellEnd"/>
      <w:r w:rsidRPr="00795F2B">
        <w:rPr>
          <w:i/>
          <w:iCs/>
          <w:lang w:val="en-GB"/>
        </w:rPr>
        <w:t xml:space="preserve"> as monotherapy is indicated for the treatment of patients with advanced clear cell renal cell carcinoma after prior ant</w:t>
      </w:r>
      <w:r w:rsidR="0009577E">
        <w:rPr>
          <w:i/>
          <w:iCs/>
          <w:lang w:val="en-GB"/>
        </w:rPr>
        <w:t>i-angiogenic therapy in adults.</w:t>
      </w:r>
    </w:p>
    <w:p w:rsidR="00D23139" w:rsidRPr="0009577E" w:rsidRDefault="00795F2B" w:rsidP="0009577E">
      <w:pPr>
        <w:ind w:left="720"/>
        <w:rPr>
          <w:i/>
          <w:iCs/>
          <w:lang w:val="en-GB"/>
        </w:rPr>
      </w:pPr>
      <w:proofErr w:type="spellStart"/>
      <w:r w:rsidRPr="00795F2B">
        <w:rPr>
          <w:i/>
          <w:iCs/>
          <w:lang w:val="en-GB"/>
        </w:rPr>
        <w:t>Opdivo</w:t>
      </w:r>
      <w:proofErr w:type="spellEnd"/>
      <w:r w:rsidRPr="00795F2B">
        <w:rPr>
          <w:i/>
          <w:iCs/>
          <w:lang w:val="en-GB"/>
        </w:rPr>
        <w:t>, as monotherapy is indicated for the treatment of adult patients with relapsed or refractory classical Hodgkin lymphoma (</w:t>
      </w:r>
      <w:proofErr w:type="spellStart"/>
      <w:r w:rsidRPr="00795F2B">
        <w:rPr>
          <w:i/>
          <w:iCs/>
          <w:lang w:val="en-GB"/>
        </w:rPr>
        <w:t>cHL</w:t>
      </w:r>
      <w:proofErr w:type="spellEnd"/>
      <w:r w:rsidRPr="00795F2B">
        <w:rPr>
          <w:i/>
          <w:iCs/>
          <w:lang w:val="en-GB"/>
        </w:rPr>
        <w:t xml:space="preserve">) after autologous stem cell transplant and treatment with </w:t>
      </w:r>
      <w:proofErr w:type="spellStart"/>
      <w:r w:rsidRPr="00795F2B">
        <w:rPr>
          <w:i/>
          <w:iCs/>
          <w:lang w:val="en-GB"/>
        </w:rPr>
        <w:t>brentuximab</w:t>
      </w:r>
      <w:proofErr w:type="spellEnd"/>
      <w:r w:rsidRPr="00795F2B">
        <w:rPr>
          <w:i/>
          <w:iCs/>
          <w:lang w:val="en-GB"/>
        </w:rPr>
        <w:t xml:space="preserve"> </w:t>
      </w:r>
      <w:proofErr w:type="spellStart"/>
      <w:r w:rsidRPr="00795F2B">
        <w:rPr>
          <w:i/>
          <w:iCs/>
          <w:lang w:val="en-GB"/>
        </w:rPr>
        <w:t>vedotin</w:t>
      </w:r>
      <w:proofErr w:type="spellEnd"/>
      <w:r w:rsidRPr="00795F2B">
        <w:rPr>
          <w:i/>
          <w:iCs/>
          <w:lang w:val="en-GB"/>
        </w:rPr>
        <w:t>. The approval of this indication is based on objective response rate. See Clinical Trials.</w:t>
      </w:r>
      <w:r>
        <w:rPr>
          <w:i/>
          <w:iCs/>
          <w:lang w:val="en-GB"/>
        </w:rPr>
        <w:t>’</w:t>
      </w:r>
    </w:p>
    <w:p w:rsidR="00D23139" w:rsidRPr="00D23139" w:rsidRDefault="00D23139" w:rsidP="00D23139">
      <w:pPr>
        <w:pStyle w:val="Heading4"/>
      </w:pPr>
      <w:r w:rsidRPr="00D23139">
        <w:t>Specific conditions of registration applying to these goods</w:t>
      </w:r>
    </w:p>
    <w:p w:rsidR="0096237C" w:rsidRPr="0096237C" w:rsidRDefault="0096237C" w:rsidP="00D91D59">
      <w:pPr>
        <w:pStyle w:val="ListBullet2"/>
        <w:rPr>
          <w:lang w:val="en-GB"/>
        </w:rPr>
      </w:pPr>
      <w:r w:rsidRPr="0096237C">
        <w:rPr>
          <w:lang w:val="en-GB"/>
        </w:rPr>
        <w:t xml:space="preserve">The </w:t>
      </w:r>
      <w:proofErr w:type="spellStart"/>
      <w:r>
        <w:rPr>
          <w:lang w:val="en-GB"/>
        </w:rPr>
        <w:t>Opdivo</w:t>
      </w:r>
      <w:proofErr w:type="spellEnd"/>
      <w:r w:rsidRPr="0096237C">
        <w:rPr>
          <w:lang w:val="en-GB"/>
        </w:rPr>
        <w:t xml:space="preserve"> EU-RMP (version 6.2, dated 27 January 2017, data lock point 26 May 2016), with Australian Specific Annex (version 8.0, dated 17 March 2017), submitted with </w:t>
      </w:r>
      <w:r>
        <w:rPr>
          <w:lang w:val="en-GB"/>
        </w:rPr>
        <w:t xml:space="preserve">this </w:t>
      </w:r>
      <w:r w:rsidRPr="0096237C">
        <w:rPr>
          <w:lang w:val="en-GB"/>
        </w:rPr>
        <w:t>application, and any futu</w:t>
      </w:r>
      <w:r>
        <w:rPr>
          <w:lang w:val="en-GB"/>
        </w:rPr>
        <w:t>re updates, must be implemented.</w:t>
      </w:r>
    </w:p>
    <w:p w:rsidR="0096237C" w:rsidRPr="0096237C" w:rsidRDefault="0096237C" w:rsidP="00D91D59">
      <w:pPr>
        <w:pStyle w:val="ListBullet2"/>
        <w:rPr>
          <w:lang w:val="en-GB"/>
        </w:rPr>
      </w:pPr>
      <w:r>
        <w:rPr>
          <w:lang w:val="en-GB"/>
        </w:rPr>
        <w:t>The final CSR documents for S</w:t>
      </w:r>
      <w:r w:rsidRPr="0096237C">
        <w:rPr>
          <w:lang w:val="en-GB"/>
        </w:rPr>
        <w:t>tudies CA209205 and CA209039, including completed analyses, should be provided to the TGA when available</w:t>
      </w:r>
      <w:r w:rsidR="00FF18E7">
        <w:rPr>
          <w:lang w:val="en-GB"/>
        </w:rPr>
        <w:t>.</w:t>
      </w:r>
    </w:p>
    <w:p w:rsidR="008E7846" w:rsidRDefault="00A80B5B" w:rsidP="00D23139">
      <w:pPr>
        <w:pStyle w:val="Heading2"/>
      </w:pPr>
      <w:bookmarkStart w:id="119" w:name="_Toc497992257"/>
      <w:proofErr w:type="gramStart"/>
      <w:r>
        <w:t>Attachment 1.</w:t>
      </w:r>
      <w:proofErr w:type="gramEnd"/>
      <w:r>
        <w:t xml:space="preserve"> </w:t>
      </w:r>
      <w:r w:rsidR="008E7846">
        <w:t xml:space="preserve">Product </w:t>
      </w:r>
      <w:r w:rsidR="00AA0ED0">
        <w:t>I</w:t>
      </w:r>
      <w:r w:rsidR="008E7846">
        <w:t>nformation</w:t>
      </w:r>
      <w:bookmarkEnd w:id="117"/>
      <w:bookmarkEnd w:id="118"/>
      <w:bookmarkEnd w:id="119"/>
    </w:p>
    <w:p w:rsidR="00C80137" w:rsidRDefault="006136D7" w:rsidP="00C80137">
      <w:pPr>
        <w:rPr>
          <w:color w:val="000000"/>
          <w:lang w:eastAsia="en-AU"/>
        </w:rPr>
      </w:pPr>
      <w:r w:rsidRPr="002B3624">
        <w:t xml:space="preserve">The </w:t>
      </w:r>
      <w:r>
        <w:t>PI</w:t>
      </w:r>
      <w:r w:rsidRPr="002B3624">
        <w:t xml:space="preserve"> for </w:t>
      </w:r>
      <w:proofErr w:type="spellStart"/>
      <w:r w:rsidR="00487EC6">
        <w:t>Opdivo</w:t>
      </w:r>
      <w:proofErr w:type="spellEnd"/>
      <w:r w:rsidRPr="002B3624">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22" w:history="1">
        <w:r w:rsidR="007C6B9B" w:rsidRPr="007C6B9B">
          <w:rPr>
            <w:rStyle w:val="Hyperlink"/>
          </w:rPr>
          <w:t>https://www.tga.gov.au/product-information-pi</w:t>
        </w:r>
      </w:hyperlink>
      <w:r w:rsidR="00487EC6">
        <w:t>&gt;.</w:t>
      </w:r>
    </w:p>
    <w:p w:rsidR="00291957" w:rsidRDefault="00C80137" w:rsidP="00487EC6">
      <w:pPr>
        <w:pStyle w:val="Heading2"/>
        <w:rPr>
          <w:lang w:eastAsia="ja-JP"/>
        </w:rPr>
      </w:pPr>
      <w:bookmarkStart w:id="120" w:name="_Toc497992258"/>
      <w:proofErr w:type="gramStart"/>
      <w:r>
        <w:rPr>
          <w:lang w:eastAsia="en-AU"/>
        </w:rPr>
        <w:t>Attachment 2.</w:t>
      </w:r>
      <w:proofErr w:type="gramEnd"/>
      <w:r w:rsidR="00A80B5B">
        <w:rPr>
          <w:lang w:eastAsia="en-AU"/>
        </w:rPr>
        <w:t xml:space="preserve"> </w:t>
      </w:r>
      <w:r>
        <w:rPr>
          <w:lang w:eastAsia="en-AU"/>
        </w:rPr>
        <w:t>Extract from the Clinical Evaluation Report</w:t>
      </w:r>
      <w:bookmarkEnd w:id="120"/>
    </w:p>
    <w:p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7" w:history="1">
              <w:r w:rsidRPr="004C239D">
                <w:rPr>
                  <w:rStyle w:val="Hyperlink"/>
                </w:rPr>
                <w:t>info@tga.gov.au</w:t>
              </w:r>
            </w:hyperlink>
            <w:r w:rsidRPr="00487162">
              <w:t xml:space="preserve">  Phone: 1800 020 653  Fax: 02 6232 8605</w:t>
            </w:r>
          </w:p>
          <w:p w:rsidR="001C32CD" w:rsidRPr="004C239D" w:rsidRDefault="00501195"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95" w:rsidRDefault="00501195" w:rsidP="00C40A36">
      <w:pPr>
        <w:spacing w:after="0"/>
      </w:pPr>
      <w:r>
        <w:separator/>
      </w:r>
    </w:p>
  </w:endnote>
  <w:endnote w:type="continuationSeparator" w:id="0">
    <w:p w:rsidR="00501195" w:rsidRDefault="0050119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01195" w:rsidRPr="00487162" w:rsidTr="00DB750B">
      <w:trPr>
        <w:trHeight w:val="269"/>
      </w:trPr>
      <w:tc>
        <w:tcPr>
          <w:tcW w:w="7371" w:type="dxa"/>
          <w:tcMar>
            <w:top w:w="142" w:type="dxa"/>
            <w:bottom w:w="0" w:type="dxa"/>
          </w:tcMar>
        </w:tcPr>
        <w:p w:rsidR="00501195" w:rsidRPr="00487162" w:rsidRDefault="00501195" w:rsidP="00F17A45">
          <w:pPr>
            <w:pStyle w:val="Footer"/>
          </w:pPr>
          <w:proofErr w:type="spellStart"/>
          <w:r w:rsidRPr="00487162">
            <w:t>AusPA</w:t>
          </w:r>
          <w:r>
            <w:t>R</w:t>
          </w:r>
          <w:proofErr w:type="spellEnd"/>
          <w:r>
            <w:t xml:space="preserve"> </w:t>
          </w:r>
          <w:proofErr w:type="spellStart"/>
          <w:r>
            <w:t>Opdivo</w:t>
          </w:r>
          <w:proofErr w:type="spellEnd"/>
          <w:r>
            <w:t xml:space="preserve"> </w:t>
          </w:r>
          <w:proofErr w:type="spellStart"/>
          <w:r>
            <w:t>Nivolumab</w:t>
          </w:r>
          <w:proofErr w:type="spellEnd"/>
          <w:r>
            <w:t xml:space="preserve"> Bristol-Myers Squibb Australia Pty Ltd PM-2016-0712-1-4</w:t>
          </w:r>
          <w:r>
            <w:br/>
            <w:t>Final 31 October 2017</w:t>
          </w:r>
        </w:p>
      </w:tc>
      <w:tc>
        <w:tcPr>
          <w:tcW w:w="1490" w:type="dxa"/>
          <w:tcMar>
            <w:top w:w="142" w:type="dxa"/>
            <w:bottom w:w="0" w:type="dxa"/>
          </w:tcMar>
        </w:tcPr>
        <w:p w:rsidR="00501195" w:rsidRPr="00487162" w:rsidRDefault="00501195" w:rsidP="00DB750B">
          <w:pPr>
            <w:pStyle w:val="Footer"/>
            <w:jc w:val="right"/>
          </w:pPr>
          <w:r w:rsidRPr="00487162">
            <w:t xml:space="preserve">Page </w:t>
          </w:r>
          <w:r>
            <w:fldChar w:fldCharType="begin"/>
          </w:r>
          <w:r>
            <w:instrText xml:space="preserve"> PAGE  \* Arabic </w:instrText>
          </w:r>
          <w:r>
            <w:fldChar w:fldCharType="separate"/>
          </w:r>
          <w:r w:rsidR="001D2849">
            <w:rPr>
              <w:noProof/>
            </w:rPr>
            <w:t>3</w:t>
          </w:r>
          <w:r>
            <w:fldChar w:fldCharType="end"/>
          </w:r>
          <w:r w:rsidRPr="00487162">
            <w:t xml:space="preserve"> of </w:t>
          </w:r>
          <w:fldSimple w:instr=" NUMPAGES  \* Arabic ">
            <w:r w:rsidR="001D2849">
              <w:rPr>
                <w:noProof/>
              </w:rPr>
              <w:t>63</w:t>
            </w:r>
          </w:fldSimple>
        </w:p>
      </w:tc>
    </w:tr>
  </w:tbl>
  <w:p w:rsidR="00501195" w:rsidRDefault="00501195"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01195" w:rsidRPr="00487162" w:rsidTr="00E45619">
      <w:trPr>
        <w:trHeight w:val="269"/>
      </w:trPr>
      <w:tc>
        <w:tcPr>
          <w:tcW w:w="4519" w:type="dxa"/>
          <w:tcBorders>
            <w:top w:val="single" w:sz="4" w:space="0" w:color="auto"/>
          </w:tcBorders>
          <w:tcMar>
            <w:top w:w="142" w:type="dxa"/>
            <w:bottom w:w="0" w:type="dxa"/>
          </w:tcMar>
        </w:tcPr>
        <w:p w:rsidR="00501195" w:rsidRPr="00487162" w:rsidRDefault="00501195" w:rsidP="00FE1DEE">
          <w:pPr>
            <w:pStyle w:val="Footer"/>
          </w:pPr>
          <w:r w:rsidRPr="00487162">
            <w:t>Document title, Part #, Section # - Section title</w:t>
          </w:r>
        </w:p>
        <w:p w:rsidR="00501195" w:rsidRPr="00487162" w:rsidRDefault="00501195" w:rsidP="00FE1DEE">
          <w:pPr>
            <w:pStyle w:val="Footer"/>
          </w:pPr>
          <w:r w:rsidRPr="00487162">
            <w:t>V1.0 October 2010</w:t>
          </w:r>
        </w:p>
      </w:tc>
      <w:tc>
        <w:tcPr>
          <w:tcW w:w="4342" w:type="dxa"/>
          <w:tcBorders>
            <w:top w:val="single" w:sz="4" w:space="0" w:color="auto"/>
          </w:tcBorders>
          <w:tcMar>
            <w:top w:w="142" w:type="dxa"/>
            <w:bottom w:w="0" w:type="dxa"/>
          </w:tcMar>
        </w:tcPr>
        <w:p w:rsidR="00501195" w:rsidRPr="00487162" w:rsidRDefault="0050119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64</w:t>
            </w:r>
          </w:fldSimple>
        </w:p>
      </w:tc>
    </w:tr>
  </w:tbl>
  <w:p w:rsidR="00501195" w:rsidRDefault="005011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Pr="001C32CD" w:rsidRDefault="00501195"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01195" w:rsidTr="0010601F">
      <w:trPr>
        <w:trHeight w:val="108"/>
      </w:trPr>
      <w:tc>
        <w:tcPr>
          <w:tcW w:w="8875" w:type="dxa"/>
          <w:gridSpan w:val="2"/>
          <w:tcBorders>
            <w:bottom w:val="single" w:sz="4" w:space="0" w:color="auto"/>
          </w:tcBorders>
          <w:tcMar>
            <w:right w:w="284" w:type="dxa"/>
          </w:tcMar>
        </w:tcPr>
        <w:p w:rsidR="00501195" w:rsidRDefault="00501195" w:rsidP="006E08B3">
          <w:pPr>
            <w:pStyle w:val="Heading3"/>
          </w:pPr>
          <w:r>
            <w:t>Copyright</w:t>
          </w:r>
        </w:p>
        <w:p w:rsidR="00501195" w:rsidRDefault="00501195" w:rsidP="006E08B3">
          <w:r>
            <w:rPr>
              <w:rFonts w:cs="Arial"/>
            </w:rPr>
            <w:t>©</w:t>
          </w:r>
          <w:r>
            <w:t xml:space="preserve"> Commonwealth of Australia [add year]</w:t>
          </w:r>
        </w:p>
        <w:p w:rsidR="00501195" w:rsidRDefault="00501195" w:rsidP="006E08B3"/>
        <w:p w:rsidR="00501195" w:rsidRDefault="0050119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01195" w:rsidRDefault="00501195" w:rsidP="006E08B3"/>
        <w:p w:rsidR="00501195" w:rsidRDefault="00501195" w:rsidP="006E08B3">
          <w:pPr>
            <w:pStyle w:val="Heading3"/>
          </w:pPr>
          <w:r>
            <w:t>Confidentiality</w:t>
          </w:r>
        </w:p>
        <w:p w:rsidR="00501195" w:rsidRDefault="0050119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01195" w:rsidRDefault="00501195" w:rsidP="006E08B3"/>
        <w:p w:rsidR="00501195" w:rsidRDefault="00501195" w:rsidP="006E08B3">
          <w:r>
            <w:t>For submission made by individuals, all personal details, other than your name, will be removed from your submission before it is published on the TGA’s Internet site.</w:t>
          </w:r>
        </w:p>
        <w:p w:rsidR="00501195" w:rsidRDefault="00501195" w:rsidP="006E08B3"/>
        <w:p w:rsidR="00501195" w:rsidRDefault="0050119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01195" w:rsidTr="0010601F">
      <w:trPr>
        <w:trHeight w:val="417"/>
      </w:trPr>
      <w:tc>
        <w:tcPr>
          <w:tcW w:w="4519" w:type="dxa"/>
          <w:tcBorders>
            <w:top w:val="single" w:sz="4" w:space="0" w:color="auto"/>
          </w:tcBorders>
          <w:tcMar>
            <w:top w:w="142" w:type="dxa"/>
            <w:bottom w:w="0" w:type="dxa"/>
          </w:tcMar>
        </w:tcPr>
        <w:p w:rsidR="00501195" w:rsidRDefault="00501195" w:rsidP="006E08B3">
          <w:r>
            <w:t>Document title, Part #, Section # - Section title</w:t>
          </w:r>
        </w:p>
        <w:p w:rsidR="00501195" w:rsidRDefault="00501195" w:rsidP="006E08B3">
          <w:r>
            <w:t>V1.0 October 2010</w:t>
          </w:r>
        </w:p>
      </w:tc>
      <w:tc>
        <w:tcPr>
          <w:tcW w:w="4356" w:type="dxa"/>
          <w:tcBorders>
            <w:top w:val="single" w:sz="4" w:space="0" w:color="auto"/>
          </w:tcBorders>
          <w:tcMar>
            <w:top w:w="142" w:type="dxa"/>
            <w:bottom w:w="0" w:type="dxa"/>
          </w:tcMar>
        </w:tcPr>
        <w:p w:rsidR="00501195" w:rsidRDefault="0050119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64</w:t>
            </w:r>
          </w:fldSimple>
          <w:r>
            <w:t xml:space="preserve">  </w:t>
          </w:r>
        </w:p>
      </w:tc>
    </w:tr>
  </w:tbl>
  <w:p w:rsidR="00501195" w:rsidRDefault="005011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95" w:rsidRDefault="00501195" w:rsidP="00C40A36">
      <w:pPr>
        <w:spacing w:after="0"/>
      </w:pPr>
      <w:r>
        <w:separator/>
      </w:r>
    </w:p>
  </w:footnote>
  <w:footnote w:type="continuationSeparator" w:id="0">
    <w:p w:rsidR="00501195" w:rsidRDefault="00501195" w:rsidP="00C40A36">
      <w:pPr>
        <w:spacing w:after="0"/>
      </w:pPr>
      <w:r>
        <w:continuationSeparator/>
      </w:r>
    </w:p>
  </w:footnote>
  <w:footnote w:id="1">
    <w:p w:rsidR="00501195" w:rsidRPr="00321613" w:rsidRDefault="00501195">
      <w:pPr>
        <w:pStyle w:val="FootnoteText"/>
        <w:rPr>
          <w:lang w:val="en-GB"/>
        </w:rPr>
      </w:pPr>
      <w:r>
        <w:rPr>
          <w:rStyle w:val="FootnoteReference"/>
        </w:rPr>
        <w:footnoteRef/>
      </w:r>
      <w:r>
        <w:t xml:space="preserve"> </w:t>
      </w:r>
      <w:r w:rsidRPr="0010434E">
        <w:rPr>
          <w:lang w:val="en-GB"/>
        </w:rPr>
        <w:t>Australian Institute of Health and Wellbeing</w:t>
      </w:r>
      <w:r w:rsidRPr="0010434E">
        <w:t xml:space="preserve"> </w:t>
      </w:r>
      <w:r>
        <w:t>(</w:t>
      </w:r>
      <w:r w:rsidRPr="00321613">
        <w:t>AIHW</w:t>
      </w:r>
      <w:r>
        <w:t>)</w:t>
      </w:r>
      <w:r w:rsidRPr="00321613">
        <w:t xml:space="preserve"> Cancer in Australia, </w:t>
      </w:r>
      <w:proofErr w:type="gramStart"/>
      <w:r w:rsidRPr="00321613">
        <w:t>An</w:t>
      </w:r>
      <w:proofErr w:type="gramEnd"/>
      <w:r w:rsidRPr="00321613">
        <w:t xml:space="preserve"> Overview 2014</w:t>
      </w:r>
      <w:r>
        <w:t xml:space="preserve">. Canberra, Australia: AIHW; </w:t>
      </w:r>
      <w:r w:rsidRPr="0010434E">
        <w:rPr>
          <w:lang w:val="en-GB"/>
        </w:rPr>
        <w:t>18 Dec</w:t>
      </w:r>
      <w:r>
        <w:rPr>
          <w:lang w:val="en-GB"/>
        </w:rPr>
        <w:t>ember</w:t>
      </w:r>
      <w:r w:rsidRPr="0010434E">
        <w:rPr>
          <w:lang w:val="en-GB"/>
        </w:rPr>
        <w:t xml:space="preserve"> 2014</w:t>
      </w:r>
      <w:r>
        <w:rPr>
          <w:lang w:val="en-GB"/>
        </w:rPr>
        <w:t>.</w:t>
      </w:r>
    </w:p>
  </w:footnote>
  <w:footnote w:id="2">
    <w:p w:rsidR="00501195" w:rsidRDefault="00501195">
      <w:pPr>
        <w:pStyle w:val="FootnoteText"/>
        <w:rPr>
          <w:lang w:val="en-GB"/>
        </w:rPr>
      </w:pPr>
      <w:r>
        <w:rPr>
          <w:rStyle w:val="FootnoteReference"/>
        </w:rPr>
        <w:footnoteRef/>
      </w:r>
      <w:r>
        <w:t xml:space="preserve"> NCCN </w:t>
      </w:r>
      <w:r w:rsidRPr="005F3CA1">
        <w:rPr>
          <w:bCs/>
          <w:lang w:val="en-GB"/>
        </w:rPr>
        <w:t>Clinical P</w:t>
      </w:r>
      <w:r>
        <w:rPr>
          <w:bCs/>
          <w:lang w:val="en-GB"/>
        </w:rPr>
        <w:t xml:space="preserve">ractice Guidelines in Oncology: </w:t>
      </w:r>
      <w:r w:rsidRPr="005F3CA1">
        <w:rPr>
          <w:bCs/>
          <w:lang w:val="en-GB"/>
        </w:rPr>
        <w:t>Hodgkin Lymphoma</w:t>
      </w:r>
      <w:r>
        <w:rPr>
          <w:bCs/>
          <w:lang w:val="en-GB"/>
        </w:rPr>
        <w:t xml:space="preserve"> (</w:t>
      </w:r>
      <w:r>
        <w:rPr>
          <w:lang w:val="en-GB"/>
        </w:rPr>
        <w:t>Version 2.2016): NCCN; 29 April 2016.</w:t>
      </w:r>
    </w:p>
    <w:p w:rsidR="00501195" w:rsidRPr="005F3CA1" w:rsidRDefault="00501195">
      <w:pPr>
        <w:pStyle w:val="FootnoteText"/>
        <w:rPr>
          <w:lang w:val="en-GB"/>
        </w:rPr>
      </w:pPr>
      <w:r>
        <w:t xml:space="preserve">The </w:t>
      </w:r>
      <w:r w:rsidRPr="00967BED">
        <w:t xml:space="preserve">National Comprehensive Cancer Network (NCCN) is </w:t>
      </w:r>
      <w:r w:rsidRPr="00967BED">
        <w:rPr>
          <w:lang w:val="en-GB"/>
        </w:rPr>
        <w:t>a non-profit alliance of 27 cancer centres in the United States, most of which are designated by the National Cancer Institute (one of the United States National Institutes of Health) as comprehensive cancer centres.</w:t>
      </w:r>
    </w:p>
  </w:footnote>
  <w:footnote w:id="3">
    <w:p w:rsidR="00501195" w:rsidRPr="00396986" w:rsidRDefault="00501195" w:rsidP="00D7169E">
      <w:pPr>
        <w:pStyle w:val="FootnoteText"/>
      </w:pPr>
      <w:r>
        <w:rPr>
          <w:rStyle w:val="FootnoteReference"/>
        </w:rPr>
        <w:footnoteRef/>
      </w:r>
      <w:r>
        <w:t xml:space="preserve"> </w:t>
      </w:r>
      <w:r w:rsidRPr="00396986">
        <w:t>Australasian Bone Marrow Transplant Recipient Registry</w:t>
      </w:r>
      <w:r>
        <w:t xml:space="preserve"> (ABMTRR)</w:t>
      </w:r>
      <w:r w:rsidRPr="00396986">
        <w:t xml:space="preserve"> Australasian Bone Marrow Transplant Recipient Registry: Annual Data Summary 2015</w:t>
      </w:r>
      <w:r>
        <w:t>. Darlinghurst, NSW</w:t>
      </w:r>
      <w:r w:rsidRPr="00396986">
        <w:t xml:space="preserve"> Australia</w:t>
      </w:r>
      <w:r>
        <w:t>: ABMTTR; 2016.</w:t>
      </w:r>
    </w:p>
  </w:footnote>
  <w:footnote w:id="4">
    <w:p w:rsidR="00501195" w:rsidRPr="00EA0FBF" w:rsidRDefault="00501195">
      <w:pPr>
        <w:pStyle w:val="FootnoteText"/>
        <w:rPr>
          <w:lang w:val="en-GB"/>
        </w:rPr>
      </w:pPr>
      <w:r>
        <w:rPr>
          <w:rStyle w:val="FootnoteReference"/>
        </w:rPr>
        <w:footnoteRef/>
      </w:r>
      <w:r>
        <w:t xml:space="preserve"> Australian Public Assessment Report (</w:t>
      </w:r>
      <w:proofErr w:type="spellStart"/>
      <w:r w:rsidRPr="00EA0FBF">
        <w:rPr>
          <w:lang w:val="en-GB"/>
        </w:rPr>
        <w:t>AusPAR</w:t>
      </w:r>
      <w:proofErr w:type="spellEnd"/>
      <w:r>
        <w:rPr>
          <w:lang w:val="en-GB"/>
        </w:rPr>
        <w:t>) for</w:t>
      </w:r>
      <w:r w:rsidRPr="00EA0FBF">
        <w:rPr>
          <w:lang w:val="en-GB"/>
        </w:rPr>
        <w:t xml:space="preserve"> </w:t>
      </w:r>
      <w:proofErr w:type="spellStart"/>
      <w:r w:rsidRPr="00EA0FBF">
        <w:rPr>
          <w:lang w:val="en-GB"/>
        </w:rPr>
        <w:t>Adcetris</w:t>
      </w:r>
      <w:proofErr w:type="spellEnd"/>
      <w:r w:rsidRPr="00EA0FBF">
        <w:rPr>
          <w:lang w:val="en-GB"/>
        </w:rPr>
        <w:t xml:space="preserve"> </w:t>
      </w:r>
      <w:proofErr w:type="spellStart"/>
      <w:r w:rsidRPr="00EA0FBF">
        <w:rPr>
          <w:lang w:val="en-GB"/>
        </w:rPr>
        <w:t>brentuximab</w:t>
      </w:r>
      <w:proofErr w:type="spellEnd"/>
      <w:r w:rsidRPr="00EA0FBF">
        <w:rPr>
          <w:lang w:val="en-GB"/>
        </w:rPr>
        <w:t xml:space="preserve"> </w:t>
      </w:r>
      <w:proofErr w:type="spellStart"/>
      <w:r w:rsidRPr="00EA0FBF">
        <w:rPr>
          <w:lang w:val="en-GB"/>
        </w:rPr>
        <w:t>vedotin</w:t>
      </w:r>
      <w:proofErr w:type="spellEnd"/>
      <w:r w:rsidRPr="00EA0FBF">
        <w:rPr>
          <w:lang w:val="en-GB"/>
        </w:rPr>
        <w:t xml:space="preserve"> Takeda</w:t>
      </w:r>
      <w:r>
        <w:rPr>
          <w:lang w:val="en-GB"/>
        </w:rPr>
        <w:t xml:space="preserve"> Pharmaceuticals Australia Pty Ltd. TGA: Canberra, Australia; 19 May 2014.</w:t>
      </w:r>
    </w:p>
  </w:footnote>
  <w:footnote w:id="5">
    <w:p w:rsidR="00501195" w:rsidRPr="00666BE3" w:rsidRDefault="00501195">
      <w:pPr>
        <w:pStyle w:val="FootnoteText"/>
        <w:rPr>
          <w:lang w:val="en-GB"/>
        </w:rPr>
      </w:pPr>
      <w:r>
        <w:rPr>
          <w:rStyle w:val="FootnoteReference"/>
        </w:rPr>
        <w:footnoteRef/>
      </w:r>
      <w:r>
        <w:t xml:space="preserve"> The </w:t>
      </w:r>
      <w:r>
        <w:rPr>
          <w:lang w:val="en-GB"/>
        </w:rPr>
        <w:t>Advisory Committee on Medicines (</w:t>
      </w:r>
      <w:r w:rsidRPr="00694B42">
        <w:rPr>
          <w:lang w:val="en-GB"/>
        </w:rPr>
        <w:t>ACM</w:t>
      </w:r>
      <w:r>
        <w:rPr>
          <w:lang w:val="en-GB"/>
        </w:rPr>
        <w:t xml:space="preserve">) was </w:t>
      </w:r>
      <w:r w:rsidRPr="00694B42">
        <w:rPr>
          <w:lang w:val="en-GB"/>
        </w:rPr>
        <w:t>established in January 2017, to encompass pre and post-market advice for medicines, following the consolidation of the previous functions of the</w:t>
      </w:r>
      <w:r w:rsidRPr="00A73EDB">
        <w:rPr>
          <w:lang w:val="en-GB"/>
        </w:rPr>
        <w:t xml:space="preserve"> </w:t>
      </w:r>
      <w:r>
        <w:rPr>
          <w:lang w:val="en-GB"/>
        </w:rPr>
        <w:t>Advisory Committee on Prescription Medicines (ACPM)</w:t>
      </w:r>
      <w:r w:rsidRPr="00694B42">
        <w:rPr>
          <w:lang w:val="en-GB"/>
        </w:rPr>
        <w:t>, the </w:t>
      </w:r>
      <w:r w:rsidRPr="00A73EDB">
        <w:rPr>
          <w:lang w:val="en-GB"/>
        </w:rPr>
        <w:t>Advisory Committee on the Safety of Medicines (ACSOM)</w:t>
      </w:r>
      <w:r w:rsidRPr="00694B42">
        <w:rPr>
          <w:lang w:val="en-GB"/>
        </w:rPr>
        <w:t> and the </w:t>
      </w:r>
      <w:r w:rsidRPr="00A73EDB">
        <w:rPr>
          <w:lang w:val="en-GB"/>
        </w:rPr>
        <w:t>Advisory Committee on Non-Prescription Medicines (ACNM)</w:t>
      </w:r>
      <w:r w:rsidRPr="00694B42">
        <w:rPr>
          <w:lang w:val="en-GB"/>
        </w:rPr>
        <w:t>.</w:t>
      </w:r>
    </w:p>
  </w:footnote>
  <w:footnote w:id="6">
    <w:p w:rsidR="00501195" w:rsidRPr="005B4E9F" w:rsidRDefault="00501195">
      <w:pPr>
        <w:pStyle w:val="FootnoteText"/>
        <w:rPr>
          <w:bCs/>
          <w:lang w:val="en-GB"/>
        </w:rPr>
      </w:pPr>
      <w:r>
        <w:rPr>
          <w:rStyle w:val="FootnoteReference"/>
        </w:rPr>
        <w:footnoteRef/>
      </w:r>
      <w:r>
        <w:t xml:space="preserve"> </w:t>
      </w:r>
      <w:proofErr w:type="gramStart"/>
      <w:r>
        <w:rPr>
          <w:lang w:val="en-GB"/>
        </w:rPr>
        <w:t>United Stated Food and Drug Administration (US FDA).</w:t>
      </w:r>
      <w:proofErr w:type="gramEnd"/>
      <w:r>
        <w:rPr>
          <w:lang w:val="en-GB"/>
        </w:rPr>
        <w:t xml:space="preserve"> Labelling and Prescribing Information for </w:t>
      </w:r>
      <w:proofErr w:type="spellStart"/>
      <w:r w:rsidRPr="006300CF">
        <w:rPr>
          <w:bCs/>
          <w:lang w:val="en-GB"/>
        </w:rPr>
        <w:t>O</w:t>
      </w:r>
      <w:r>
        <w:rPr>
          <w:bCs/>
          <w:lang w:val="en-GB"/>
        </w:rPr>
        <w:t>pdivo</w:t>
      </w:r>
      <w:proofErr w:type="spellEnd"/>
      <w:r w:rsidRPr="006300CF">
        <w:rPr>
          <w:bCs/>
          <w:lang w:val="en-GB"/>
        </w:rPr>
        <w:t xml:space="preserve"> (</w:t>
      </w:r>
      <w:proofErr w:type="spellStart"/>
      <w:r w:rsidRPr="006300CF">
        <w:rPr>
          <w:bCs/>
          <w:lang w:val="en-GB"/>
        </w:rPr>
        <w:t>nivolumab</w:t>
      </w:r>
      <w:proofErr w:type="spellEnd"/>
      <w:r>
        <w:rPr>
          <w:bCs/>
          <w:lang w:val="en-GB"/>
        </w:rPr>
        <w:t>), Reference ID: 3932569. US FDA; May 2016.</w:t>
      </w:r>
    </w:p>
  </w:footnote>
  <w:footnote w:id="7">
    <w:p w:rsidR="00501195" w:rsidRPr="00305605" w:rsidRDefault="00501195">
      <w:pPr>
        <w:pStyle w:val="FootnoteText"/>
        <w:rPr>
          <w:lang w:val="en-GB"/>
        </w:rPr>
      </w:pPr>
      <w:r>
        <w:rPr>
          <w:rStyle w:val="FootnoteReference"/>
        </w:rPr>
        <w:footnoteRef/>
      </w:r>
      <w:r>
        <w:t xml:space="preserve"> </w:t>
      </w:r>
      <w:proofErr w:type="gramStart"/>
      <w:r>
        <w:rPr>
          <w:lang w:val="en-GB"/>
        </w:rPr>
        <w:t>Department of Health and Human Services.</w:t>
      </w:r>
      <w:proofErr w:type="gramEnd"/>
      <w:r>
        <w:rPr>
          <w:lang w:val="en-GB"/>
        </w:rPr>
        <w:t xml:space="preserve"> Prior Approval and Accelerated Approval Requirements Letter, Supplemental Biologics License Application (</w:t>
      </w:r>
      <w:proofErr w:type="spellStart"/>
      <w:r>
        <w:rPr>
          <w:lang w:val="en-GB"/>
        </w:rPr>
        <w:t>sBLA</w:t>
      </w:r>
      <w:proofErr w:type="spellEnd"/>
      <w:r>
        <w:rPr>
          <w:lang w:val="en-GB"/>
        </w:rPr>
        <w:t>) 125554, supplement 019. US FDA; 17 May 2016.</w:t>
      </w:r>
    </w:p>
  </w:footnote>
  <w:footnote w:id="8">
    <w:p w:rsidR="00501195" w:rsidRPr="009F6BC6" w:rsidRDefault="00501195">
      <w:pPr>
        <w:pStyle w:val="FootnoteText"/>
        <w:rPr>
          <w:bCs/>
          <w:lang w:val="en-GB"/>
        </w:rPr>
      </w:pPr>
      <w:r>
        <w:rPr>
          <w:rStyle w:val="FootnoteReference"/>
        </w:rPr>
        <w:footnoteRef/>
      </w:r>
      <w:r>
        <w:t xml:space="preserve"> </w:t>
      </w:r>
      <w:proofErr w:type="gramStart"/>
      <w:r w:rsidRPr="009F6BC6">
        <w:rPr>
          <w:lang w:val="en-GB"/>
        </w:rPr>
        <w:t>United Stated Food and Drug Administration (US FDA).</w:t>
      </w:r>
      <w:proofErr w:type="gramEnd"/>
      <w:r w:rsidRPr="009F6BC6">
        <w:rPr>
          <w:lang w:val="en-GB"/>
        </w:rPr>
        <w:t xml:space="preserve"> Labelling and Prescribing Information for </w:t>
      </w:r>
      <w:proofErr w:type="spellStart"/>
      <w:r w:rsidRPr="009F6BC6">
        <w:rPr>
          <w:bCs/>
          <w:lang w:val="en-GB"/>
        </w:rPr>
        <w:t>Opdivo</w:t>
      </w:r>
      <w:proofErr w:type="spellEnd"/>
      <w:r w:rsidRPr="009F6BC6">
        <w:rPr>
          <w:bCs/>
          <w:lang w:val="en-GB"/>
        </w:rPr>
        <w:t xml:space="preserve"> (</w:t>
      </w:r>
      <w:proofErr w:type="spellStart"/>
      <w:r w:rsidRPr="009F6BC6">
        <w:rPr>
          <w:bCs/>
          <w:lang w:val="en-GB"/>
        </w:rPr>
        <w:t>nivolumab</w:t>
      </w:r>
      <w:proofErr w:type="spellEnd"/>
      <w:r w:rsidRPr="009F6BC6">
        <w:rPr>
          <w:bCs/>
          <w:lang w:val="en-GB"/>
        </w:rPr>
        <w:t xml:space="preserve">), </w:t>
      </w:r>
      <w:r>
        <w:rPr>
          <w:lang w:val="en-GB"/>
        </w:rPr>
        <w:t>reference ID: 4050515. US FDA; February 2017.</w:t>
      </w:r>
    </w:p>
  </w:footnote>
  <w:footnote w:id="9">
    <w:p w:rsidR="00501195" w:rsidRPr="00826D3B" w:rsidRDefault="00501195">
      <w:pPr>
        <w:pStyle w:val="FootnoteText"/>
        <w:rPr>
          <w:lang w:val="en-GB"/>
        </w:rPr>
      </w:pPr>
      <w:r>
        <w:rPr>
          <w:rStyle w:val="FootnoteReference"/>
        </w:rPr>
        <w:footnoteRef/>
      </w:r>
      <w:r>
        <w:rPr>
          <w:lang w:val="en-GB"/>
        </w:rPr>
        <w:t xml:space="preserve">. </w:t>
      </w:r>
      <w:proofErr w:type="gramStart"/>
      <w:r w:rsidRPr="00826D3B">
        <w:rPr>
          <w:lang w:val="en-GB"/>
        </w:rPr>
        <w:t>Committee for Medicina</w:t>
      </w:r>
      <w:r>
        <w:rPr>
          <w:lang w:val="en-GB"/>
        </w:rPr>
        <w:t>l Products for Human Use (CHMP).</w:t>
      </w:r>
      <w:proofErr w:type="gramEnd"/>
      <w:r>
        <w:rPr>
          <w:lang w:val="en-GB"/>
        </w:rPr>
        <w:t xml:space="preserve"> European Public Assessment Report (EPAR) for </w:t>
      </w:r>
      <w:proofErr w:type="spellStart"/>
      <w:r>
        <w:rPr>
          <w:lang w:val="en-GB"/>
        </w:rPr>
        <w:t>Opdivo</w:t>
      </w:r>
      <w:proofErr w:type="spellEnd"/>
      <w:r>
        <w:rPr>
          <w:lang w:val="en-GB"/>
        </w:rPr>
        <w:t xml:space="preserve">, </w:t>
      </w:r>
      <w:proofErr w:type="spellStart"/>
      <w:r>
        <w:rPr>
          <w:lang w:val="en-GB"/>
        </w:rPr>
        <w:t>nivolumab</w:t>
      </w:r>
      <w:proofErr w:type="spellEnd"/>
      <w:r>
        <w:rPr>
          <w:lang w:val="en-GB"/>
        </w:rPr>
        <w:t xml:space="preserve"> (</w:t>
      </w:r>
      <w:r w:rsidRPr="00826D3B">
        <w:rPr>
          <w:lang w:val="en-GB"/>
        </w:rPr>
        <w:t>EMA/CHMP/741329/2016</w:t>
      </w:r>
      <w:r>
        <w:rPr>
          <w:lang w:val="en-GB"/>
        </w:rPr>
        <w:t>). European Medicines Agency (EMA) London, United Kingdom; 13 October 2016.</w:t>
      </w:r>
    </w:p>
  </w:footnote>
  <w:footnote w:id="10">
    <w:p w:rsidR="00501195" w:rsidRPr="00053543" w:rsidRDefault="00501195">
      <w:pPr>
        <w:pStyle w:val="FootnoteText"/>
        <w:rPr>
          <w:lang w:val="en-GB"/>
        </w:rPr>
      </w:pPr>
      <w:r>
        <w:rPr>
          <w:rStyle w:val="FootnoteReference"/>
        </w:rPr>
        <w:footnoteRef/>
      </w:r>
      <w:r>
        <w:t xml:space="preserve"> </w:t>
      </w:r>
      <w:proofErr w:type="gramStart"/>
      <w:r w:rsidRPr="00826D3B">
        <w:rPr>
          <w:lang w:val="en-GB"/>
        </w:rPr>
        <w:t>Committee for Medicina</w:t>
      </w:r>
      <w:r>
        <w:rPr>
          <w:lang w:val="en-GB"/>
        </w:rPr>
        <w:t>l Products for Human Use (CHMP).</w:t>
      </w:r>
      <w:proofErr w:type="gramEnd"/>
      <w:r>
        <w:rPr>
          <w:lang w:val="en-GB"/>
        </w:rPr>
        <w:t xml:space="preserve"> </w:t>
      </w:r>
      <w:proofErr w:type="gramStart"/>
      <w:r>
        <w:rPr>
          <w:lang w:val="en-GB"/>
        </w:rPr>
        <w:t xml:space="preserve">Summary of Product </w:t>
      </w:r>
      <w:proofErr w:type="spellStart"/>
      <w:r>
        <w:rPr>
          <w:lang w:val="en-GB"/>
        </w:rPr>
        <w:t>Charactistics</w:t>
      </w:r>
      <w:proofErr w:type="spellEnd"/>
      <w:r>
        <w:rPr>
          <w:lang w:val="en-GB"/>
        </w:rPr>
        <w:t xml:space="preserve"> (</w:t>
      </w:r>
      <w:proofErr w:type="spellStart"/>
      <w:r>
        <w:rPr>
          <w:lang w:val="en-GB"/>
        </w:rPr>
        <w:t>SmPC</w:t>
      </w:r>
      <w:proofErr w:type="spellEnd"/>
      <w:r>
        <w:rPr>
          <w:lang w:val="en-GB"/>
        </w:rPr>
        <w:t xml:space="preserve">), Annex I for </w:t>
      </w:r>
      <w:proofErr w:type="spellStart"/>
      <w:r>
        <w:rPr>
          <w:lang w:val="en-GB"/>
        </w:rPr>
        <w:t>Opdivo</w:t>
      </w:r>
      <w:proofErr w:type="spellEnd"/>
      <w:r>
        <w:rPr>
          <w:lang w:val="en-GB"/>
        </w:rPr>
        <w:t xml:space="preserve">, </w:t>
      </w:r>
      <w:proofErr w:type="spellStart"/>
      <w:r>
        <w:rPr>
          <w:lang w:val="en-GB"/>
        </w:rPr>
        <w:t>nivolumab</w:t>
      </w:r>
      <w:proofErr w:type="spellEnd"/>
      <w:r>
        <w:rPr>
          <w:lang w:val="en-GB"/>
        </w:rPr>
        <w:t>.</w:t>
      </w:r>
      <w:proofErr w:type="gramEnd"/>
      <w:r>
        <w:rPr>
          <w:lang w:val="en-GB"/>
        </w:rPr>
        <w:t xml:space="preserve"> </w:t>
      </w:r>
      <w:proofErr w:type="gramStart"/>
      <w:r>
        <w:rPr>
          <w:lang w:val="en-GB"/>
        </w:rPr>
        <w:t>European Medicines Agency (EMA) London, United Kingdom.</w:t>
      </w:r>
      <w:proofErr w:type="gramEnd"/>
    </w:p>
  </w:footnote>
  <w:footnote w:id="11">
    <w:p w:rsidR="00501195" w:rsidRPr="00DB5A03" w:rsidRDefault="00501195">
      <w:pPr>
        <w:pStyle w:val="FootnoteText"/>
        <w:rPr>
          <w:lang w:val="en-GB"/>
        </w:rPr>
      </w:pPr>
      <w:r>
        <w:rPr>
          <w:rStyle w:val="FootnoteReference"/>
        </w:rPr>
        <w:footnoteRef/>
      </w:r>
      <w:r>
        <w:t xml:space="preserve"> </w:t>
      </w:r>
      <w:r w:rsidRPr="00DB5A03">
        <w:rPr>
          <w:bCs/>
          <w:lang w:val="en-GB"/>
        </w:rPr>
        <w:t>D</w:t>
      </w:r>
      <w:r>
        <w:rPr>
          <w:bCs/>
          <w:lang w:val="en-GB"/>
        </w:rPr>
        <w:t xml:space="preserve">irective </w:t>
      </w:r>
      <w:r w:rsidRPr="00DB5A03">
        <w:rPr>
          <w:bCs/>
          <w:lang w:val="en-GB"/>
        </w:rPr>
        <w:t xml:space="preserve">2001/20/EC </w:t>
      </w:r>
      <w:r>
        <w:rPr>
          <w:bCs/>
          <w:lang w:val="en-GB"/>
        </w:rPr>
        <w:t>of the European P</w:t>
      </w:r>
      <w:r w:rsidRPr="00DB5A03">
        <w:rPr>
          <w:bCs/>
          <w:lang w:val="en-GB"/>
        </w:rPr>
        <w:t xml:space="preserve">arliament and </w:t>
      </w:r>
      <w:r>
        <w:rPr>
          <w:bCs/>
          <w:lang w:val="en-GB"/>
        </w:rPr>
        <w:t>C</w:t>
      </w:r>
      <w:r w:rsidRPr="00DB5A03">
        <w:rPr>
          <w:bCs/>
          <w:lang w:val="en-GB"/>
        </w:rPr>
        <w:t xml:space="preserve">ouncil </w:t>
      </w:r>
      <w:r>
        <w:rPr>
          <w:lang w:val="en-GB"/>
        </w:rPr>
        <w:t>(</w:t>
      </w:r>
      <w:r>
        <w:rPr>
          <w:bCs/>
          <w:lang w:val="en-GB"/>
        </w:rPr>
        <w:t>4 April 2001)</w:t>
      </w:r>
      <w:r>
        <w:rPr>
          <w:lang w:val="en-GB"/>
        </w:rPr>
        <w:t xml:space="preserve"> </w:t>
      </w:r>
      <w:r w:rsidRPr="00DB5A03">
        <w:rPr>
          <w:bCs/>
          <w:lang w:val="en-GB"/>
        </w:rPr>
        <w:t>on the approximation of the laws, regulations and administrative provisions of the Member States relating to the implementation of good clinical practice in the conduct of clinical trials on m</w:t>
      </w:r>
      <w:r>
        <w:rPr>
          <w:bCs/>
          <w:lang w:val="en-GB"/>
        </w:rPr>
        <w:t>edicinal products for human use.</w:t>
      </w:r>
    </w:p>
  </w:footnote>
  <w:footnote w:id="12">
    <w:p w:rsidR="00501195" w:rsidRPr="000E3046" w:rsidRDefault="00501195">
      <w:pPr>
        <w:pStyle w:val="FootnoteText"/>
        <w:rPr>
          <w:lang w:val="en-GB"/>
        </w:rPr>
      </w:pPr>
      <w:r>
        <w:rPr>
          <w:rStyle w:val="FootnoteReference"/>
        </w:rPr>
        <w:footnoteRef/>
      </w:r>
      <w:r>
        <w:t xml:space="preserve"> ICH = International Conference on Harmonization (</w:t>
      </w:r>
      <w:r w:rsidRPr="000E3046">
        <w:rPr>
          <w:lang w:val="en-GB"/>
        </w:rPr>
        <w:t>of Technical Requirements for Pharmaceuticals for Human Use</w:t>
      </w:r>
      <w:r>
        <w:rPr>
          <w:lang w:val="en-GB"/>
        </w:rPr>
        <w:t xml:space="preserve">); </w:t>
      </w:r>
      <w:r>
        <w:t>GCP = Good Clinical Practice, an international quality standard provided by the ICH.</w:t>
      </w:r>
    </w:p>
  </w:footnote>
  <w:footnote w:id="13">
    <w:p w:rsidR="00501195" w:rsidRDefault="00501195" w:rsidP="0015314C">
      <w:pPr>
        <w:pStyle w:val="FootnoteText"/>
        <w:rPr>
          <w:bCs/>
          <w:lang w:val="en-GB"/>
        </w:rPr>
      </w:pPr>
      <w:r>
        <w:rPr>
          <w:rStyle w:val="FootnoteReference"/>
        </w:rPr>
        <w:footnoteRef/>
      </w:r>
      <w:r>
        <w:t xml:space="preserve"> </w:t>
      </w:r>
      <w:proofErr w:type="spellStart"/>
      <w:r>
        <w:t>Oken</w:t>
      </w:r>
      <w:proofErr w:type="spellEnd"/>
      <w:r>
        <w:t xml:space="preserve"> M et al. </w:t>
      </w:r>
      <w:r w:rsidRPr="0015314C">
        <w:rPr>
          <w:bCs/>
          <w:lang w:val="en-GB"/>
        </w:rPr>
        <w:t>Toxicity and response criteria of the Eastern Cooperative Oncology Group.</w:t>
      </w:r>
      <w:r>
        <w:rPr>
          <w:bCs/>
          <w:lang w:val="en-GB"/>
        </w:rPr>
        <w:t xml:space="preserve"> </w:t>
      </w:r>
      <w:proofErr w:type="gramStart"/>
      <w:r w:rsidRPr="0015314C">
        <w:rPr>
          <w:bCs/>
          <w:lang w:val="en-GB"/>
        </w:rPr>
        <w:t xml:space="preserve">Am J </w:t>
      </w:r>
      <w:proofErr w:type="spellStart"/>
      <w:r w:rsidRPr="0015314C">
        <w:rPr>
          <w:bCs/>
          <w:lang w:val="en-GB"/>
        </w:rPr>
        <w:t>Clin</w:t>
      </w:r>
      <w:proofErr w:type="spellEnd"/>
      <w:r w:rsidRPr="0015314C">
        <w:rPr>
          <w:bCs/>
          <w:lang w:val="en-GB"/>
        </w:rPr>
        <w:t xml:space="preserve"> </w:t>
      </w:r>
      <w:proofErr w:type="spellStart"/>
      <w:r w:rsidRPr="0015314C">
        <w:rPr>
          <w:bCs/>
          <w:lang w:val="en-GB"/>
        </w:rPr>
        <w:t>Oncol</w:t>
      </w:r>
      <w:proofErr w:type="spellEnd"/>
      <w:r w:rsidRPr="0015314C">
        <w:rPr>
          <w:bCs/>
          <w:lang w:val="en-GB"/>
        </w:rPr>
        <w:t>.</w:t>
      </w:r>
      <w:proofErr w:type="gramEnd"/>
      <w:r w:rsidRPr="0015314C">
        <w:rPr>
          <w:bCs/>
          <w:lang w:val="en-GB"/>
        </w:rPr>
        <w:t> </w:t>
      </w:r>
      <w:r>
        <w:rPr>
          <w:bCs/>
          <w:lang w:val="en-GB"/>
        </w:rPr>
        <w:t>December 1982</w:t>
      </w:r>
      <w:r w:rsidRPr="0015314C">
        <w:rPr>
          <w:bCs/>
          <w:lang w:val="en-GB"/>
        </w:rPr>
        <w:t>;</w:t>
      </w:r>
      <w:r>
        <w:rPr>
          <w:bCs/>
          <w:lang w:val="en-GB"/>
        </w:rPr>
        <w:t xml:space="preserve"> </w:t>
      </w:r>
      <w:r w:rsidRPr="0015314C">
        <w:rPr>
          <w:bCs/>
          <w:lang w:val="en-GB"/>
        </w:rPr>
        <w:t>5(6):649-55.</w:t>
      </w:r>
    </w:p>
    <w:p w:rsidR="00501195" w:rsidRPr="0015314C" w:rsidRDefault="00501195">
      <w:pPr>
        <w:pStyle w:val="FootnoteText"/>
        <w:rPr>
          <w:bCs/>
          <w:lang w:val="en-GB"/>
        </w:rPr>
      </w:pPr>
      <w:r>
        <w:rPr>
          <w:bCs/>
          <w:lang w:val="en-GB"/>
        </w:rPr>
        <w:t>T</w:t>
      </w:r>
      <w:r w:rsidRPr="0015314C">
        <w:rPr>
          <w:bCs/>
          <w:lang w:val="en-GB"/>
        </w:rPr>
        <w:t xml:space="preserve">he Eastern Cooperative Oncology Group (ECOG) score (published in 1982 </w:t>
      </w:r>
      <w:r>
        <w:rPr>
          <w:bCs/>
          <w:lang w:val="en-GB"/>
        </w:rPr>
        <w:t>is a 6 grade scale</w:t>
      </w:r>
      <w:r w:rsidRPr="0015314C">
        <w:rPr>
          <w:bCs/>
          <w:lang w:val="en-GB"/>
        </w:rPr>
        <w:t>, with 0 deno</w:t>
      </w:r>
      <w:r>
        <w:rPr>
          <w:bCs/>
          <w:lang w:val="en-GB"/>
        </w:rPr>
        <w:t>ting perfect health and 5 death. A score of 1 is equivalent to s</w:t>
      </w:r>
      <w:r w:rsidRPr="0015314C">
        <w:rPr>
          <w:bCs/>
          <w:lang w:val="en-GB"/>
        </w:rPr>
        <w:t>ymptoma</w:t>
      </w:r>
      <w:r>
        <w:rPr>
          <w:bCs/>
          <w:lang w:val="en-GB"/>
        </w:rPr>
        <w:t>tic but completely ambulatory (r</w:t>
      </w:r>
      <w:r w:rsidRPr="0015314C">
        <w:rPr>
          <w:bCs/>
          <w:lang w:val="en-GB"/>
        </w:rPr>
        <w:t>estricted in physically strenuous activity but ambulatory and able to carry out work of a light or sedentary nature. For example, light housework, office work)</w:t>
      </w:r>
      <w:r>
        <w:rPr>
          <w:bCs/>
          <w:lang w:val="en-GB"/>
        </w:rPr>
        <w:t>.</w:t>
      </w:r>
    </w:p>
  </w:footnote>
  <w:footnote w:id="14">
    <w:p w:rsidR="00501195" w:rsidRPr="00FB7D83" w:rsidRDefault="00501195">
      <w:pPr>
        <w:pStyle w:val="FootnoteText"/>
        <w:rPr>
          <w:lang w:val="en-GB"/>
        </w:rPr>
      </w:pPr>
      <w:r>
        <w:rPr>
          <w:rStyle w:val="FootnoteReference"/>
        </w:rPr>
        <w:footnoteRef/>
      </w:r>
      <w:r>
        <w:t xml:space="preserve"> </w:t>
      </w:r>
      <w:proofErr w:type="gramStart"/>
      <w:r w:rsidRPr="00FB7D83">
        <w:t>Li et al. Population pharmacokinetics of rituximab in patients with chronic lymphocytic leukaemia.</w:t>
      </w:r>
      <w:proofErr w:type="gramEnd"/>
      <w:r w:rsidRPr="00FB7D83">
        <w:t xml:space="preserve"> J </w:t>
      </w:r>
      <w:proofErr w:type="spellStart"/>
      <w:r w:rsidRPr="00FB7D83">
        <w:t>Clin</w:t>
      </w:r>
      <w:proofErr w:type="spellEnd"/>
      <w:r w:rsidRPr="00FB7D83">
        <w:t xml:space="preserve"> </w:t>
      </w:r>
      <w:proofErr w:type="spellStart"/>
      <w:r w:rsidRPr="00FB7D83">
        <w:t>Pharmacol</w:t>
      </w:r>
      <w:proofErr w:type="spellEnd"/>
      <w:r w:rsidRPr="00FB7D83">
        <w:t xml:space="preserve"> 2012;</w:t>
      </w:r>
      <w:r>
        <w:t xml:space="preserve"> 52:1918-26.</w:t>
      </w:r>
    </w:p>
  </w:footnote>
  <w:footnote w:id="15">
    <w:p w:rsidR="00501195" w:rsidRPr="001A4F97" w:rsidRDefault="00501195">
      <w:pPr>
        <w:pStyle w:val="FootnoteText"/>
        <w:rPr>
          <w:lang w:val="en-GB"/>
        </w:rPr>
      </w:pPr>
      <w:r>
        <w:rPr>
          <w:rStyle w:val="FootnoteReference"/>
        </w:rPr>
        <w:footnoteRef/>
      </w:r>
      <w:r>
        <w:t xml:space="preserve"> </w:t>
      </w:r>
      <w:proofErr w:type="gramStart"/>
      <w:r>
        <w:t>Shankar G</w:t>
      </w:r>
      <w:r w:rsidRPr="001A4F97">
        <w:t xml:space="preserve"> et al. Assessment and Reporting of the Clinical Immunogenicity of the Therapeutic Proteins and Peptides - Harmonized Terminology and Tactical Recommendations.</w:t>
      </w:r>
      <w:proofErr w:type="gramEnd"/>
      <w:r w:rsidRPr="001A4F97">
        <w:t xml:space="preserve"> </w:t>
      </w:r>
      <w:proofErr w:type="gramStart"/>
      <w:r w:rsidRPr="001A4F97">
        <w:t>The AAPS Journal</w:t>
      </w:r>
      <w:r>
        <w:t>;</w:t>
      </w:r>
      <w:r w:rsidRPr="001A4F97">
        <w:t xml:space="preserve"> 2014.</w:t>
      </w:r>
      <w:proofErr w:type="gramEnd"/>
    </w:p>
  </w:footnote>
  <w:footnote w:id="16">
    <w:p w:rsidR="00501195" w:rsidRPr="00D13A03" w:rsidRDefault="00501195">
      <w:pPr>
        <w:pStyle w:val="FootnoteText"/>
        <w:rPr>
          <w:lang w:val="en-GB"/>
        </w:rPr>
      </w:pPr>
      <w:r>
        <w:rPr>
          <w:rStyle w:val="FootnoteReference"/>
        </w:rPr>
        <w:footnoteRef/>
      </w:r>
      <w:r>
        <w:t xml:space="preserve"> </w:t>
      </w:r>
      <w:proofErr w:type="spellStart"/>
      <w:r>
        <w:rPr>
          <w:lang w:val="en-GB"/>
        </w:rPr>
        <w:t>Therasse</w:t>
      </w:r>
      <w:proofErr w:type="spellEnd"/>
      <w:r>
        <w:rPr>
          <w:lang w:val="en-GB"/>
        </w:rPr>
        <w:t xml:space="preserve"> P</w:t>
      </w:r>
      <w:r w:rsidRPr="00D13A03">
        <w:rPr>
          <w:lang w:val="en-GB"/>
        </w:rPr>
        <w:t xml:space="preserve"> et al. </w:t>
      </w:r>
      <w:proofErr w:type="gramStart"/>
      <w:r w:rsidRPr="00D13A03">
        <w:rPr>
          <w:lang w:val="en-GB"/>
        </w:rPr>
        <w:t>New guidelines to evaluate the response to treatment in soli</w:t>
      </w:r>
      <w:r>
        <w:rPr>
          <w:lang w:val="en-GB"/>
        </w:rPr>
        <w:t xml:space="preserve">d </w:t>
      </w:r>
      <w:proofErr w:type="spellStart"/>
      <w:r>
        <w:rPr>
          <w:lang w:val="en-GB"/>
        </w:rPr>
        <w:t>tumors</w:t>
      </w:r>
      <w:proofErr w:type="spellEnd"/>
      <w:r>
        <w:rPr>
          <w:lang w:val="en-GB"/>
        </w:rPr>
        <w:t xml:space="preserve"> (RECIST Guidelines).</w:t>
      </w:r>
      <w:proofErr w:type="gramEnd"/>
      <w:r>
        <w:rPr>
          <w:lang w:val="en-GB"/>
        </w:rPr>
        <w:t xml:space="preserve"> J </w:t>
      </w:r>
      <w:r w:rsidRPr="00D13A03">
        <w:rPr>
          <w:lang w:val="en-GB"/>
        </w:rPr>
        <w:t>N</w:t>
      </w:r>
      <w:r>
        <w:rPr>
          <w:lang w:val="en-GB"/>
        </w:rPr>
        <w:t>atl Cancer Inst 2000</w:t>
      </w:r>
      <w:proofErr w:type="gramStart"/>
      <w:r>
        <w:rPr>
          <w:lang w:val="en-GB"/>
        </w:rPr>
        <w:t>;92:205</w:t>
      </w:r>
      <w:proofErr w:type="gramEnd"/>
      <w:r>
        <w:rPr>
          <w:lang w:val="en-GB"/>
        </w:rPr>
        <w:t>–16.</w:t>
      </w:r>
    </w:p>
  </w:footnote>
  <w:footnote w:id="17">
    <w:p w:rsidR="00501195" w:rsidRPr="00ED48E4" w:rsidRDefault="00501195" w:rsidP="00303D4E">
      <w:pPr>
        <w:pStyle w:val="FootnoteText"/>
        <w:rPr>
          <w:lang w:val="en-GB"/>
        </w:rPr>
      </w:pPr>
      <w:r>
        <w:rPr>
          <w:rStyle w:val="FootnoteReference"/>
        </w:rPr>
        <w:footnoteRef/>
      </w:r>
      <w:r>
        <w:t xml:space="preserve"> </w:t>
      </w:r>
      <w:r w:rsidRPr="00ED48E4">
        <w:rPr>
          <w:sz w:val="21"/>
        </w:rPr>
        <w:t>Australian Public Assessment Report (</w:t>
      </w:r>
      <w:proofErr w:type="spellStart"/>
      <w:r w:rsidRPr="00ED48E4">
        <w:rPr>
          <w:sz w:val="21"/>
        </w:rPr>
        <w:t>AusPAR</w:t>
      </w:r>
      <w:proofErr w:type="spellEnd"/>
      <w:r w:rsidRPr="00ED48E4">
        <w:rPr>
          <w:sz w:val="21"/>
        </w:rPr>
        <w:t xml:space="preserve">) for </w:t>
      </w:r>
      <w:proofErr w:type="spellStart"/>
      <w:r w:rsidRPr="00ED48E4">
        <w:rPr>
          <w:sz w:val="21"/>
        </w:rPr>
        <w:t>brentuximab</w:t>
      </w:r>
      <w:proofErr w:type="spellEnd"/>
      <w:r w:rsidRPr="00ED48E4">
        <w:rPr>
          <w:sz w:val="21"/>
        </w:rPr>
        <w:t xml:space="preserve"> </w:t>
      </w:r>
      <w:proofErr w:type="spellStart"/>
      <w:r w:rsidRPr="00ED48E4">
        <w:rPr>
          <w:sz w:val="21"/>
        </w:rPr>
        <w:t>vedotin</w:t>
      </w:r>
      <w:proofErr w:type="spellEnd"/>
      <w:r w:rsidRPr="00ED48E4">
        <w:rPr>
          <w:sz w:val="21"/>
        </w:rPr>
        <w:t>. Therapeutic Goods Administration (TGA) Canberra, Australia; May 2014.</w:t>
      </w:r>
    </w:p>
  </w:footnote>
  <w:footnote w:id="18">
    <w:p w:rsidR="00501195" w:rsidRPr="006A4C40" w:rsidRDefault="00501195" w:rsidP="006A4C40">
      <w:pPr>
        <w:pStyle w:val="FootnoteText"/>
        <w:rPr>
          <w:lang w:val="en-GB"/>
        </w:rPr>
      </w:pPr>
      <w:r>
        <w:rPr>
          <w:rStyle w:val="FootnoteReference"/>
        </w:rPr>
        <w:footnoteRef/>
      </w:r>
      <w:r>
        <w:t xml:space="preserve"> </w:t>
      </w:r>
      <w:r w:rsidRPr="006A4C40">
        <w:rPr>
          <w:bCs/>
          <w:lang w:val="en-GB"/>
        </w:rPr>
        <w:t>EMA/CHMP/205/95/Rev.4</w:t>
      </w:r>
      <w:r w:rsidRPr="006A4C40">
        <w:rPr>
          <w:lang w:val="en-GB"/>
        </w:rPr>
        <w:t xml:space="preserve">: </w:t>
      </w:r>
      <w:r w:rsidRPr="006A4C40">
        <w:rPr>
          <w:bCs/>
          <w:lang w:val="en-GB"/>
        </w:rPr>
        <w:t>Guideline on the evaluation of anticancer medicinal products in man</w:t>
      </w:r>
      <w:r w:rsidRPr="006A4C40">
        <w:rPr>
          <w:lang w:val="en-GB"/>
        </w:rPr>
        <w:t>.</w:t>
      </w:r>
    </w:p>
    <w:p w:rsidR="00501195" w:rsidRPr="006A4C40" w:rsidRDefault="00501195" w:rsidP="006A4C40">
      <w:pPr>
        <w:pStyle w:val="FootnoteText"/>
        <w:rPr>
          <w:lang w:val="en-GB"/>
        </w:rPr>
      </w:pPr>
      <w:r w:rsidRPr="006A4C40">
        <w:rPr>
          <w:lang w:val="en-GB"/>
        </w:rPr>
        <w:t>Replaces: CPMP/EWP/205/95/Rev.3/</w:t>
      </w:r>
      <w:proofErr w:type="spellStart"/>
      <w:r w:rsidRPr="006A4C40">
        <w:rPr>
          <w:lang w:val="en-GB"/>
        </w:rPr>
        <w:t>Corr</w:t>
      </w:r>
      <w:proofErr w:type="spellEnd"/>
      <w:r w:rsidRPr="006A4C40">
        <w:rPr>
          <w:lang w:val="en-GB"/>
        </w:rPr>
        <w:t xml:space="preserve"> (Adopted by TGA June 2006); effective: 1 April 2014.</w:t>
      </w:r>
    </w:p>
  </w:footnote>
  <w:footnote w:id="19">
    <w:p w:rsidR="00501195" w:rsidRPr="00350C98" w:rsidRDefault="00501195">
      <w:pPr>
        <w:pStyle w:val="FootnoteText"/>
        <w:rPr>
          <w:lang w:val="en-GB"/>
        </w:rPr>
      </w:pPr>
      <w:r>
        <w:rPr>
          <w:rStyle w:val="FootnoteReference"/>
        </w:rPr>
        <w:footnoteRef/>
      </w:r>
      <w:r>
        <w:t xml:space="preserve"> EMA</w:t>
      </w:r>
      <w:r>
        <w:rPr>
          <w:rFonts w:ascii="TimesNewRoman" w:eastAsia="TimesNewRoman" w:hAnsi="TimesNewRoman" w:hint="eastAsia"/>
          <w:lang w:val="en-GB" w:eastAsia="en-GB"/>
        </w:rPr>
        <w:t>/</w:t>
      </w:r>
      <w:r>
        <w:rPr>
          <w:rFonts w:hint="eastAsia"/>
          <w:lang w:val="en-GB"/>
        </w:rPr>
        <w:t>CHMP/EWP/83561/2005:</w:t>
      </w:r>
      <w:r>
        <w:rPr>
          <w:lang w:val="en-GB"/>
        </w:rPr>
        <w:t xml:space="preserve"> </w:t>
      </w:r>
      <w:r w:rsidRPr="00350C98">
        <w:rPr>
          <w:bCs/>
          <w:lang w:val="en-GB"/>
        </w:rPr>
        <w:t>Guideline on Clinical Trials in Small Populations</w:t>
      </w:r>
      <w:r>
        <w:rPr>
          <w:bCs/>
          <w:lang w:val="en-GB"/>
        </w:rPr>
        <w:t>. Effective: December 2006.</w:t>
      </w:r>
    </w:p>
  </w:footnote>
  <w:footnote w:id="20">
    <w:p w:rsidR="00501195" w:rsidRPr="00EE1BDF" w:rsidRDefault="00501195">
      <w:pPr>
        <w:pStyle w:val="FootnoteText"/>
        <w:rPr>
          <w:lang w:val="en-GB"/>
        </w:rPr>
      </w:pPr>
      <w:r>
        <w:rPr>
          <w:rStyle w:val="FootnoteReference"/>
        </w:rPr>
        <w:footnoteRef/>
      </w:r>
      <w:r>
        <w:t xml:space="preserve"> Guidance for Industry: </w:t>
      </w:r>
      <w:r w:rsidRPr="00EE1BDF">
        <w:t>FDA Approval of New Cancer Treatment Uses for Marketed Drug and Biological Products.</w:t>
      </w:r>
      <w:r>
        <w:t xml:space="preserve"> December 1998.</w:t>
      </w:r>
    </w:p>
  </w:footnote>
  <w:footnote w:id="21">
    <w:p w:rsidR="00501195" w:rsidRPr="00B35CEF" w:rsidRDefault="00501195">
      <w:pPr>
        <w:pStyle w:val="FootnoteText"/>
        <w:rPr>
          <w:lang w:val="en-GB"/>
        </w:rPr>
      </w:pPr>
      <w:r>
        <w:rPr>
          <w:rStyle w:val="FootnoteReference"/>
        </w:rPr>
        <w:footnoteRef/>
      </w:r>
      <w:r>
        <w:t xml:space="preserve"> </w:t>
      </w:r>
      <w:proofErr w:type="gramStart"/>
      <w:r w:rsidRPr="00B35CEF">
        <w:rPr>
          <w:lang w:val="en-GB"/>
        </w:rPr>
        <w:t>Australian Institute of Health and Welfare 2017.</w:t>
      </w:r>
      <w:proofErr w:type="gramEnd"/>
      <w:r w:rsidRPr="00B35CEF">
        <w:rPr>
          <w:lang w:val="en-GB"/>
        </w:rPr>
        <w:t xml:space="preserve"> </w:t>
      </w:r>
      <w:proofErr w:type="gramStart"/>
      <w:r w:rsidRPr="00B35CEF">
        <w:rPr>
          <w:lang w:val="en-GB"/>
        </w:rPr>
        <w:t>Cancer in Australia 2017.</w:t>
      </w:r>
      <w:proofErr w:type="gramEnd"/>
      <w:r w:rsidRPr="00B35CEF">
        <w:rPr>
          <w:lang w:val="en-GB"/>
        </w:rPr>
        <w:t xml:space="preserve"> </w:t>
      </w:r>
      <w:proofErr w:type="gramStart"/>
      <w:r w:rsidRPr="00B35CEF">
        <w:rPr>
          <w:lang w:val="en-GB"/>
        </w:rPr>
        <w:t>Cancer series no.101.</w:t>
      </w:r>
      <w:proofErr w:type="gramEnd"/>
      <w:r w:rsidRPr="00B35CEF">
        <w:rPr>
          <w:lang w:val="en-GB"/>
        </w:rPr>
        <w:t xml:space="preserve"> Ca</w:t>
      </w:r>
      <w:r>
        <w:rPr>
          <w:lang w:val="en-GB"/>
        </w:rPr>
        <w:t xml:space="preserve">t. </w:t>
      </w:r>
      <w:proofErr w:type="gramStart"/>
      <w:r>
        <w:rPr>
          <w:lang w:val="en-GB"/>
        </w:rPr>
        <w:t>no</w:t>
      </w:r>
      <w:proofErr w:type="gramEnd"/>
      <w:r>
        <w:rPr>
          <w:lang w:val="en-GB"/>
        </w:rPr>
        <w:t>. CAN 100. Canberra: AIHW.</w:t>
      </w:r>
    </w:p>
  </w:footnote>
  <w:footnote w:id="22">
    <w:p w:rsidR="00501195" w:rsidRPr="00B35CEF" w:rsidRDefault="00501195">
      <w:pPr>
        <w:pStyle w:val="FootnoteText"/>
        <w:rPr>
          <w:lang w:val="en-GB"/>
        </w:rPr>
      </w:pPr>
      <w:r>
        <w:rPr>
          <w:rStyle w:val="FootnoteReference"/>
        </w:rPr>
        <w:footnoteRef/>
      </w:r>
      <w:r>
        <w:t xml:space="preserve"> </w:t>
      </w:r>
      <w:r w:rsidRPr="00B35CEF">
        <w:rPr>
          <w:lang w:val="en-GB"/>
        </w:rPr>
        <w:t xml:space="preserve">Crump M. Management of Hodgkin Lymphoma in relapse after autologous stem cell transplant. Haematology Am </w:t>
      </w:r>
      <w:proofErr w:type="spellStart"/>
      <w:r w:rsidRPr="00B35CEF">
        <w:rPr>
          <w:lang w:val="en-GB"/>
        </w:rPr>
        <w:t>Soc</w:t>
      </w:r>
      <w:proofErr w:type="spellEnd"/>
      <w:r w:rsidRPr="00B35CEF">
        <w:rPr>
          <w:lang w:val="en-GB"/>
        </w:rPr>
        <w:t xml:space="preserve"> </w:t>
      </w:r>
      <w:proofErr w:type="spellStart"/>
      <w:r w:rsidRPr="00B35CEF">
        <w:rPr>
          <w:lang w:val="en-GB"/>
        </w:rPr>
        <w:t>Hae</w:t>
      </w:r>
      <w:r>
        <w:rPr>
          <w:lang w:val="en-GB"/>
        </w:rPr>
        <w:t>matol</w:t>
      </w:r>
      <w:proofErr w:type="spellEnd"/>
      <w:r>
        <w:rPr>
          <w:lang w:val="en-GB"/>
        </w:rPr>
        <w:t xml:space="preserve"> </w:t>
      </w:r>
      <w:proofErr w:type="spellStart"/>
      <w:r>
        <w:rPr>
          <w:lang w:val="en-GB"/>
        </w:rPr>
        <w:t>Educ</w:t>
      </w:r>
      <w:proofErr w:type="spellEnd"/>
      <w:r>
        <w:rPr>
          <w:lang w:val="en-GB"/>
        </w:rPr>
        <w:t xml:space="preserve"> Program 2008</w:t>
      </w:r>
      <w:proofErr w:type="gramStart"/>
      <w:r>
        <w:rPr>
          <w:lang w:val="en-GB"/>
        </w:rPr>
        <w:t>;326</w:t>
      </w:r>
      <w:proofErr w:type="gramEnd"/>
      <w:r>
        <w:rPr>
          <w:lang w:val="en-GB"/>
        </w:rPr>
        <w:t>-33.</w:t>
      </w:r>
    </w:p>
  </w:footnote>
  <w:footnote w:id="23">
    <w:p w:rsidR="00501195" w:rsidRPr="00B35CEF" w:rsidRDefault="00501195">
      <w:pPr>
        <w:pStyle w:val="FootnoteText"/>
        <w:rPr>
          <w:lang w:val="en-GB"/>
        </w:rPr>
      </w:pPr>
      <w:r>
        <w:rPr>
          <w:rStyle w:val="FootnoteReference"/>
        </w:rPr>
        <w:footnoteRef/>
      </w:r>
      <w:r>
        <w:t xml:space="preserve"> </w:t>
      </w:r>
      <w:r>
        <w:rPr>
          <w:lang w:val="en-GB"/>
        </w:rPr>
        <w:t xml:space="preserve">von </w:t>
      </w:r>
      <w:proofErr w:type="spellStart"/>
      <w:r>
        <w:rPr>
          <w:lang w:val="en-GB"/>
        </w:rPr>
        <w:t>Tresckow</w:t>
      </w:r>
      <w:proofErr w:type="spellEnd"/>
      <w:r>
        <w:rPr>
          <w:lang w:val="en-GB"/>
        </w:rPr>
        <w:t xml:space="preserve"> B </w:t>
      </w:r>
      <w:r w:rsidRPr="00B35CEF">
        <w:rPr>
          <w:lang w:val="en-GB"/>
        </w:rPr>
        <w:t xml:space="preserve">et al. Outcome and risk factors of patients with Hodgkin Lymphoma who relapse or progress after autologous stem cell transplant. </w:t>
      </w:r>
      <w:proofErr w:type="spellStart"/>
      <w:r w:rsidRPr="00B35CEF">
        <w:rPr>
          <w:lang w:val="en-GB"/>
        </w:rPr>
        <w:t>L</w:t>
      </w:r>
      <w:r>
        <w:rPr>
          <w:lang w:val="en-GB"/>
        </w:rPr>
        <w:t>euk</w:t>
      </w:r>
      <w:proofErr w:type="spellEnd"/>
      <w:r>
        <w:rPr>
          <w:lang w:val="en-GB"/>
        </w:rPr>
        <w:t xml:space="preserve"> Lymphoma 2014</w:t>
      </w:r>
      <w:proofErr w:type="gramStart"/>
      <w:r>
        <w:rPr>
          <w:lang w:val="en-GB"/>
        </w:rPr>
        <w:t>;55</w:t>
      </w:r>
      <w:proofErr w:type="gramEnd"/>
      <w:r>
        <w:rPr>
          <w:lang w:val="en-GB"/>
        </w:rPr>
        <w:t>(8):1922-4.</w:t>
      </w:r>
    </w:p>
  </w:footnote>
  <w:footnote w:id="24">
    <w:p w:rsidR="00501195" w:rsidRPr="0044429D" w:rsidRDefault="00501195">
      <w:pPr>
        <w:pStyle w:val="FootnoteText"/>
        <w:rPr>
          <w:lang w:val="en-GB"/>
        </w:rPr>
      </w:pPr>
      <w:r>
        <w:rPr>
          <w:rStyle w:val="FootnoteReference"/>
        </w:rPr>
        <w:footnoteRef/>
      </w:r>
      <w:r>
        <w:t xml:space="preserve"> </w:t>
      </w:r>
      <w:r w:rsidRPr="0044429D">
        <w:rPr>
          <w:lang w:val="en-GB"/>
        </w:rPr>
        <w:t>NCCN clinical practice guidelines: Hod</w:t>
      </w:r>
      <w:r>
        <w:rPr>
          <w:lang w:val="en-GB"/>
        </w:rPr>
        <w:t xml:space="preserve">gkin’s Lymphoma. </w:t>
      </w:r>
      <w:proofErr w:type="gramStart"/>
      <w:r>
        <w:rPr>
          <w:lang w:val="en-GB"/>
        </w:rPr>
        <w:t>Version 1 2017.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Default="00501195"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Default="00501195" w:rsidP="00AB7ADA">
    <w:r>
      <w:rPr>
        <w:noProof/>
        <w:lang w:eastAsia="en-AU"/>
      </w:rPr>
      <w:drawing>
        <wp:anchor distT="0" distB="0" distL="114300" distR="114300" simplePos="0" relativeHeight="251657728" behindDoc="1" locked="0" layoutInCell="1" allowOverlap="1" wp14:anchorId="079E9328" wp14:editId="69801316">
          <wp:simplePos x="0" y="0"/>
          <wp:positionH relativeFrom="column">
            <wp:posOffset>-1089660</wp:posOffset>
          </wp:positionH>
          <wp:positionV relativeFrom="paragraph">
            <wp:posOffset>-585470</wp:posOffset>
          </wp:positionV>
          <wp:extent cx="7572375" cy="10706100"/>
          <wp:effectExtent l="0" t="0" r="9525"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rapeutic Goods Administ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Default="005011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Default="00501195">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Default="00501195">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Default="0050119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Default="00501195"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95" w:rsidRDefault="00501195" w:rsidP="006E08B3">
    <w:r>
      <w:t>Therapeutic Goods Administration</w:t>
    </w:r>
  </w:p>
  <w:p w:rsidR="00501195" w:rsidRDefault="00501195"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2E57C7"/>
    <w:multiLevelType w:val="hybridMultilevel"/>
    <w:tmpl w:val="6B343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283123F"/>
    <w:multiLevelType w:val="multilevel"/>
    <w:tmpl w:val="52C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4A5CE7"/>
    <w:multiLevelType w:val="hybridMultilevel"/>
    <w:tmpl w:val="C3982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3592380"/>
    <w:multiLevelType w:val="multilevel"/>
    <w:tmpl w:val="502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097D00"/>
    <w:multiLevelType w:val="multilevel"/>
    <w:tmpl w:val="7916D578"/>
    <w:lvl w:ilvl="0">
      <w:start w:val="6"/>
      <w:numFmt w:val="decimal"/>
      <w:suff w:val="space"/>
      <w:lvlText w:val="Recommendation %1."/>
      <w:lvlJc w:val="left"/>
      <w:pPr>
        <w:ind w:left="360" w:hanging="360"/>
      </w:pPr>
      <w:rPr>
        <w:rFonts w:ascii="Arial" w:hAnsi="Arial"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A3B3359"/>
    <w:multiLevelType w:val="hybridMultilevel"/>
    <w:tmpl w:val="37E47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04F6308"/>
    <w:multiLevelType w:val="hybridMultilevel"/>
    <w:tmpl w:val="2CFE869E"/>
    <w:lvl w:ilvl="0" w:tplc="A54856B0">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26A11E61"/>
    <w:multiLevelType w:val="hybridMultilevel"/>
    <w:tmpl w:val="80388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D14E47"/>
    <w:multiLevelType w:val="hybridMultilevel"/>
    <w:tmpl w:val="B296C91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nsid w:val="362B40A9"/>
    <w:multiLevelType w:val="hybridMultilevel"/>
    <w:tmpl w:val="3642C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8292AD4"/>
    <w:multiLevelType w:val="multilevel"/>
    <w:tmpl w:val="7110D424"/>
    <w:styleLink w:val="Headings"/>
    <w:lvl w:ilvl="0">
      <w:start w:val="1"/>
      <w:numFmt w:val="decimal"/>
      <w:suff w:val="space"/>
      <w:lvlText w:val="%1."/>
      <w:lvlJc w:val="left"/>
      <w:pPr>
        <w:ind w:left="357" w:hanging="357"/>
      </w:pPr>
      <w:rPr>
        <w:rFonts w:ascii="Arial" w:hAnsi="Arial" w:hint="default"/>
      </w:rPr>
    </w:lvl>
    <w:lvl w:ilvl="1">
      <w:start w:val="1"/>
      <w:numFmt w:val="decimal"/>
      <w:suff w:val="space"/>
      <w:lvlText w:val="%1.%2."/>
      <w:lvlJc w:val="left"/>
      <w:pPr>
        <w:ind w:left="357" w:hanging="357"/>
      </w:pPr>
      <w:rPr>
        <w:rFonts w:ascii="Arial" w:hAnsi="Arial" w:hint="default"/>
      </w:rPr>
    </w:lvl>
    <w:lvl w:ilvl="2">
      <w:start w:val="1"/>
      <w:numFmt w:val="decimal"/>
      <w:suff w:val="space"/>
      <w:lvlText w:val="%1.%2.%3."/>
      <w:lvlJc w:val="left"/>
      <w:pPr>
        <w:ind w:left="357" w:hanging="357"/>
      </w:pPr>
      <w:rPr>
        <w:rFonts w:ascii="Arial" w:hAnsi="Arial" w:hint="default"/>
      </w:rPr>
    </w:lvl>
    <w:lvl w:ilvl="3">
      <w:start w:val="1"/>
      <w:numFmt w:val="decimal"/>
      <w:suff w:val="space"/>
      <w:lvlText w:val="%1.%2.%3.%4."/>
      <w:lvlJc w:val="left"/>
      <w:pPr>
        <w:ind w:left="357" w:hanging="357"/>
      </w:pPr>
      <w:rPr>
        <w:rFonts w:ascii="Arial" w:hAnsi="Arial"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3A505CA0"/>
    <w:multiLevelType w:val="hybridMultilevel"/>
    <w:tmpl w:val="6BE81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5B6C56"/>
    <w:multiLevelType w:val="hybridMultilevel"/>
    <w:tmpl w:val="D1D80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F15A0F"/>
    <w:multiLevelType w:val="hybridMultilevel"/>
    <w:tmpl w:val="8AB6E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DC50E7A"/>
    <w:multiLevelType w:val="hybridMultilevel"/>
    <w:tmpl w:val="EBA263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6514065A"/>
    <w:multiLevelType w:val="hybridMultilevel"/>
    <w:tmpl w:val="5404B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D0B1B75"/>
    <w:multiLevelType w:val="multilevel"/>
    <w:tmpl w:val="D3FAAF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1022"/>
      </w:pPr>
      <w:rPr>
        <w:rFonts w:hint="default"/>
      </w:rPr>
    </w:lvl>
    <w:lvl w:ilvl="2">
      <w:start w:val="1"/>
      <w:numFmt w:val="decimal"/>
      <w:lvlText w:val="%1.%2.%3."/>
      <w:lvlJc w:val="left"/>
      <w:pPr>
        <w:tabs>
          <w:tab w:val="num" w:pos="1134"/>
        </w:tabs>
        <w:ind w:left="1134" w:hanging="964"/>
      </w:pPr>
      <w:rPr>
        <w:rFonts w:hint="default"/>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24">
    <w:nsid w:val="6D453D48"/>
    <w:multiLevelType w:val="hybridMultilevel"/>
    <w:tmpl w:val="6DF2673E"/>
    <w:lvl w:ilvl="0" w:tplc="327E77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F975151"/>
    <w:multiLevelType w:val="hybridMultilevel"/>
    <w:tmpl w:val="36D6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AF2E4B"/>
    <w:multiLevelType w:val="hybridMultilevel"/>
    <w:tmpl w:val="EBD6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13"/>
  </w:num>
  <w:num w:numId="5">
    <w:abstractNumId w:val="0"/>
  </w:num>
  <w:num w:numId="6">
    <w:abstractNumId w:val="13"/>
  </w:num>
  <w:num w:numId="7">
    <w:abstractNumId w:val="13"/>
  </w:num>
  <w:num w:numId="8">
    <w:abstractNumId w:val="11"/>
  </w:num>
  <w:num w:numId="9">
    <w:abstractNumId w:val="11"/>
  </w:num>
  <w:num w:numId="10">
    <w:abstractNumId w:val="11"/>
  </w:num>
  <w:num w:numId="11">
    <w:abstractNumId w:val="11"/>
  </w:num>
  <w:num w:numId="12">
    <w:abstractNumId w:val="3"/>
    <w:lvlOverride w:ilvl="0">
      <w:lvl w:ilvl="0">
        <w:numFmt w:val="bullet"/>
        <w:lvlText w:val="•"/>
        <w:legacy w:legacy="1" w:legacySpace="0" w:legacyIndent="0"/>
        <w:lvlJc w:val="left"/>
        <w:rPr>
          <w:rFonts w:ascii="Helv" w:hAnsi="Helv" w:hint="default"/>
        </w:rPr>
      </w:lvl>
    </w:lvlOverride>
  </w:num>
  <w:num w:numId="13">
    <w:abstractNumId w:val="13"/>
  </w:num>
  <w:num w:numId="14">
    <w:abstractNumId w:val="13"/>
  </w:num>
  <w:num w:numId="15">
    <w:abstractNumId w:val="13"/>
  </w:num>
  <w:num w:numId="16">
    <w:abstractNumId w:val="11"/>
  </w:num>
  <w:num w:numId="17">
    <w:abstractNumId w:val="11"/>
  </w:num>
  <w:num w:numId="18">
    <w:abstractNumId w:val="11"/>
  </w:num>
  <w:num w:numId="19">
    <w:abstractNumId w:val="13"/>
  </w:num>
  <w:num w:numId="20">
    <w:abstractNumId w:val="13"/>
  </w:num>
  <w:num w:numId="21">
    <w:abstractNumId w:val="13"/>
  </w:num>
  <w:num w:numId="22">
    <w:abstractNumId w:val="11"/>
  </w:num>
  <w:num w:numId="23">
    <w:abstractNumId w:val="11"/>
  </w:num>
  <w:num w:numId="24">
    <w:abstractNumId w:val="11"/>
  </w:num>
  <w:num w:numId="25">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24"/>
  </w:num>
  <w:num w:numId="28">
    <w:abstractNumId w:val="5"/>
  </w:num>
  <w:num w:numId="29">
    <w:abstractNumId w:val="8"/>
  </w:num>
  <w:num w:numId="30">
    <w:abstractNumId w:val="7"/>
  </w:num>
  <w:num w:numId="31">
    <w:abstractNumId w:val="20"/>
  </w:num>
  <w:num w:numId="32">
    <w:abstractNumId w:val="18"/>
  </w:num>
  <w:num w:numId="33">
    <w:abstractNumId w:val="23"/>
  </w:num>
  <w:num w:numId="34">
    <w:abstractNumId w:val="17"/>
  </w:num>
  <w:num w:numId="35">
    <w:abstractNumId w:val="22"/>
  </w:num>
  <w:num w:numId="36">
    <w:abstractNumId w:val="9"/>
  </w:num>
  <w:num w:numId="37">
    <w:abstractNumId w:val="25"/>
  </w:num>
  <w:num w:numId="38">
    <w:abstractNumId w:val="21"/>
  </w:num>
  <w:num w:numId="39">
    <w:abstractNumId w:val="10"/>
  </w:num>
  <w:num w:numId="40">
    <w:abstractNumId w:val="15"/>
  </w:num>
  <w:num w:numId="41">
    <w:abstractNumId w:val="26"/>
  </w:num>
  <w:num w:numId="42">
    <w:abstractNumId w:val="19"/>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
  </w:num>
  <w:num w:numId="46">
    <w:abstractNumId w:val="6"/>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16"/>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D4"/>
    <w:rsid w:val="00002031"/>
    <w:rsid w:val="00003527"/>
    <w:rsid w:val="00004734"/>
    <w:rsid w:val="00006B22"/>
    <w:rsid w:val="00012586"/>
    <w:rsid w:val="0001276A"/>
    <w:rsid w:val="000246AE"/>
    <w:rsid w:val="00025C67"/>
    <w:rsid w:val="000310D8"/>
    <w:rsid w:val="000426A1"/>
    <w:rsid w:val="00042EDE"/>
    <w:rsid w:val="00043589"/>
    <w:rsid w:val="00044772"/>
    <w:rsid w:val="000447CB"/>
    <w:rsid w:val="000533FD"/>
    <w:rsid w:val="00053543"/>
    <w:rsid w:val="0005559E"/>
    <w:rsid w:val="000568F4"/>
    <w:rsid w:val="00056902"/>
    <w:rsid w:val="000604D6"/>
    <w:rsid w:val="00066A28"/>
    <w:rsid w:val="000734D8"/>
    <w:rsid w:val="00077775"/>
    <w:rsid w:val="00090471"/>
    <w:rsid w:val="0009263C"/>
    <w:rsid w:val="0009577E"/>
    <w:rsid w:val="00096AA7"/>
    <w:rsid w:val="000A3AED"/>
    <w:rsid w:val="000B2EFB"/>
    <w:rsid w:val="000B3532"/>
    <w:rsid w:val="000B3A75"/>
    <w:rsid w:val="000C00C2"/>
    <w:rsid w:val="000C690F"/>
    <w:rsid w:val="000D1295"/>
    <w:rsid w:val="000D391B"/>
    <w:rsid w:val="000D3D6D"/>
    <w:rsid w:val="000D4FC7"/>
    <w:rsid w:val="000E3046"/>
    <w:rsid w:val="000E44B1"/>
    <w:rsid w:val="000E6196"/>
    <w:rsid w:val="000E6D66"/>
    <w:rsid w:val="000F1DDC"/>
    <w:rsid w:val="000F4869"/>
    <w:rsid w:val="000F5B42"/>
    <w:rsid w:val="000F6E6F"/>
    <w:rsid w:val="000F6FFE"/>
    <w:rsid w:val="0010434E"/>
    <w:rsid w:val="0010601F"/>
    <w:rsid w:val="0010788A"/>
    <w:rsid w:val="00107A31"/>
    <w:rsid w:val="00110EA5"/>
    <w:rsid w:val="00112F56"/>
    <w:rsid w:val="001148E4"/>
    <w:rsid w:val="0011520F"/>
    <w:rsid w:val="00115ED5"/>
    <w:rsid w:val="00122E16"/>
    <w:rsid w:val="00125318"/>
    <w:rsid w:val="001305A2"/>
    <w:rsid w:val="00133238"/>
    <w:rsid w:val="00133A1B"/>
    <w:rsid w:val="001379C9"/>
    <w:rsid w:val="0014197B"/>
    <w:rsid w:val="001447CD"/>
    <w:rsid w:val="00145742"/>
    <w:rsid w:val="001516B1"/>
    <w:rsid w:val="0015314C"/>
    <w:rsid w:val="00154EBB"/>
    <w:rsid w:val="00156316"/>
    <w:rsid w:val="00157EEA"/>
    <w:rsid w:val="00161181"/>
    <w:rsid w:val="00162D14"/>
    <w:rsid w:val="00165389"/>
    <w:rsid w:val="001719D1"/>
    <w:rsid w:val="0017385D"/>
    <w:rsid w:val="00174DA1"/>
    <w:rsid w:val="0017693F"/>
    <w:rsid w:val="0018110E"/>
    <w:rsid w:val="00181684"/>
    <w:rsid w:val="001843C6"/>
    <w:rsid w:val="001848B8"/>
    <w:rsid w:val="001850E0"/>
    <w:rsid w:val="00187EC1"/>
    <w:rsid w:val="001A0C1F"/>
    <w:rsid w:val="001A2158"/>
    <w:rsid w:val="001A4F97"/>
    <w:rsid w:val="001A525F"/>
    <w:rsid w:val="001A60C7"/>
    <w:rsid w:val="001B0024"/>
    <w:rsid w:val="001B09F9"/>
    <w:rsid w:val="001B0ADE"/>
    <w:rsid w:val="001B3FA4"/>
    <w:rsid w:val="001B5C90"/>
    <w:rsid w:val="001B6448"/>
    <w:rsid w:val="001B7B4B"/>
    <w:rsid w:val="001C32CD"/>
    <w:rsid w:val="001D2849"/>
    <w:rsid w:val="001D2984"/>
    <w:rsid w:val="001E07CF"/>
    <w:rsid w:val="001E59F1"/>
    <w:rsid w:val="001E6C89"/>
    <w:rsid w:val="001F2CEE"/>
    <w:rsid w:val="001F366F"/>
    <w:rsid w:val="001F49EB"/>
    <w:rsid w:val="001F5119"/>
    <w:rsid w:val="001F6CBA"/>
    <w:rsid w:val="00201D4E"/>
    <w:rsid w:val="002029E5"/>
    <w:rsid w:val="00203F80"/>
    <w:rsid w:val="002042FA"/>
    <w:rsid w:val="00204EF9"/>
    <w:rsid w:val="00205D4E"/>
    <w:rsid w:val="002076C9"/>
    <w:rsid w:val="00207DE6"/>
    <w:rsid w:val="00211369"/>
    <w:rsid w:val="00211C22"/>
    <w:rsid w:val="00220B8A"/>
    <w:rsid w:val="00224120"/>
    <w:rsid w:val="002257F3"/>
    <w:rsid w:val="00233456"/>
    <w:rsid w:val="0023372B"/>
    <w:rsid w:val="002339A5"/>
    <w:rsid w:val="00247690"/>
    <w:rsid w:val="0025183B"/>
    <w:rsid w:val="00257848"/>
    <w:rsid w:val="00261510"/>
    <w:rsid w:val="00264F5A"/>
    <w:rsid w:val="00266F27"/>
    <w:rsid w:val="0027084A"/>
    <w:rsid w:val="002726ED"/>
    <w:rsid w:val="00273D1E"/>
    <w:rsid w:val="00280374"/>
    <w:rsid w:val="0028104A"/>
    <w:rsid w:val="00286434"/>
    <w:rsid w:val="00286C59"/>
    <w:rsid w:val="00287CB3"/>
    <w:rsid w:val="00291957"/>
    <w:rsid w:val="002942D1"/>
    <w:rsid w:val="0029501A"/>
    <w:rsid w:val="00296026"/>
    <w:rsid w:val="00296929"/>
    <w:rsid w:val="002A3721"/>
    <w:rsid w:val="002B08C9"/>
    <w:rsid w:val="002B1638"/>
    <w:rsid w:val="002B3624"/>
    <w:rsid w:val="002C1384"/>
    <w:rsid w:val="002C20AF"/>
    <w:rsid w:val="002C278B"/>
    <w:rsid w:val="002C5E3F"/>
    <w:rsid w:val="002D0952"/>
    <w:rsid w:val="002E40B3"/>
    <w:rsid w:val="002E4C9A"/>
    <w:rsid w:val="002E66DF"/>
    <w:rsid w:val="002F11F8"/>
    <w:rsid w:val="002F3CEB"/>
    <w:rsid w:val="002F3F56"/>
    <w:rsid w:val="002F44B5"/>
    <w:rsid w:val="002F5F8C"/>
    <w:rsid w:val="00303D4E"/>
    <w:rsid w:val="00305605"/>
    <w:rsid w:val="00311AC0"/>
    <w:rsid w:val="003176FC"/>
    <w:rsid w:val="00321613"/>
    <w:rsid w:val="0032583B"/>
    <w:rsid w:val="003267EB"/>
    <w:rsid w:val="00327883"/>
    <w:rsid w:val="00330E48"/>
    <w:rsid w:val="00335504"/>
    <w:rsid w:val="003362FC"/>
    <w:rsid w:val="00340BAD"/>
    <w:rsid w:val="00340C18"/>
    <w:rsid w:val="00340C8B"/>
    <w:rsid w:val="003442FD"/>
    <w:rsid w:val="0034500B"/>
    <w:rsid w:val="00347824"/>
    <w:rsid w:val="00350567"/>
    <w:rsid w:val="00350C98"/>
    <w:rsid w:val="003521E8"/>
    <w:rsid w:val="00355CCA"/>
    <w:rsid w:val="0036220D"/>
    <w:rsid w:val="00367E65"/>
    <w:rsid w:val="00370AD2"/>
    <w:rsid w:val="00370CE3"/>
    <w:rsid w:val="00371E51"/>
    <w:rsid w:val="003728F3"/>
    <w:rsid w:val="0037346F"/>
    <w:rsid w:val="0037496E"/>
    <w:rsid w:val="00383221"/>
    <w:rsid w:val="00384761"/>
    <w:rsid w:val="00386150"/>
    <w:rsid w:val="003874CE"/>
    <w:rsid w:val="00390900"/>
    <w:rsid w:val="00393A3E"/>
    <w:rsid w:val="00396986"/>
    <w:rsid w:val="003A1B49"/>
    <w:rsid w:val="003A6F03"/>
    <w:rsid w:val="003A7F6C"/>
    <w:rsid w:val="003B1D57"/>
    <w:rsid w:val="003B4D60"/>
    <w:rsid w:val="003B7E39"/>
    <w:rsid w:val="003C58DC"/>
    <w:rsid w:val="003C6278"/>
    <w:rsid w:val="003D1E62"/>
    <w:rsid w:val="003E0713"/>
    <w:rsid w:val="003E0B99"/>
    <w:rsid w:val="003E2486"/>
    <w:rsid w:val="003E29AB"/>
    <w:rsid w:val="003E3208"/>
    <w:rsid w:val="003F0B04"/>
    <w:rsid w:val="0040134E"/>
    <w:rsid w:val="00412E08"/>
    <w:rsid w:val="00412E43"/>
    <w:rsid w:val="0041340E"/>
    <w:rsid w:val="00415698"/>
    <w:rsid w:val="00416D6C"/>
    <w:rsid w:val="004334C7"/>
    <w:rsid w:val="004378AD"/>
    <w:rsid w:val="00440064"/>
    <w:rsid w:val="00440A2D"/>
    <w:rsid w:val="00441C3F"/>
    <w:rsid w:val="00442B06"/>
    <w:rsid w:val="00443624"/>
    <w:rsid w:val="0044429D"/>
    <w:rsid w:val="00445ECD"/>
    <w:rsid w:val="00447460"/>
    <w:rsid w:val="004525A0"/>
    <w:rsid w:val="00455187"/>
    <w:rsid w:val="004564A7"/>
    <w:rsid w:val="004617BF"/>
    <w:rsid w:val="00463658"/>
    <w:rsid w:val="004637A0"/>
    <w:rsid w:val="004722CC"/>
    <w:rsid w:val="004769FE"/>
    <w:rsid w:val="00482E4A"/>
    <w:rsid w:val="00486219"/>
    <w:rsid w:val="00487EC6"/>
    <w:rsid w:val="004936E4"/>
    <w:rsid w:val="00494E60"/>
    <w:rsid w:val="004971E0"/>
    <w:rsid w:val="00497487"/>
    <w:rsid w:val="004A129F"/>
    <w:rsid w:val="004A6189"/>
    <w:rsid w:val="004A7390"/>
    <w:rsid w:val="004A7FCE"/>
    <w:rsid w:val="004B3376"/>
    <w:rsid w:val="004B5B45"/>
    <w:rsid w:val="004B7B76"/>
    <w:rsid w:val="004C239D"/>
    <w:rsid w:val="004C2DCA"/>
    <w:rsid w:val="004C587E"/>
    <w:rsid w:val="004C61D2"/>
    <w:rsid w:val="004F0C4A"/>
    <w:rsid w:val="004F0F38"/>
    <w:rsid w:val="004F47D6"/>
    <w:rsid w:val="00501195"/>
    <w:rsid w:val="00501921"/>
    <w:rsid w:val="00502C67"/>
    <w:rsid w:val="00505E01"/>
    <w:rsid w:val="005076B8"/>
    <w:rsid w:val="00511874"/>
    <w:rsid w:val="00511F65"/>
    <w:rsid w:val="00521898"/>
    <w:rsid w:val="005218B6"/>
    <w:rsid w:val="00530354"/>
    <w:rsid w:val="0053036F"/>
    <w:rsid w:val="00531575"/>
    <w:rsid w:val="0053625B"/>
    <w:rsid w:val="005434C6"/>
    <w:rsid w:val="00543B39"/>
    <w:rsid w:val="00546154"/>
    <w:rsid w:val="00550096"/>
    <w:rsid w:val="00555280"/>
    <w:rsid w:val="00557FF9"/>
    <w:rsid w:val="0056198C"/>
    <w:rsid w:val="00562327"/>
    <w:rsid w:val="00565377"/>
    <w:rsid w:val="0056587A"/>
    <w:rsid w:val="005711D5"/>
    <w:rsid w:val="005735F6"/>
    <w:rsid w:val="00576378"/>
    <w:rsid w:val="00577130"/>
    <w:rsid w:val="00577945"/>
    <w:rsid w:val="00577E38"/>
    <w:rsid w:val="00585322"/>
    <w:rsid w:val="005857C6"/>
    <w:rsid w:val="00592349"/>
    <w:rsid w:val="00592D2A"/>
    <w:rsid w:val="00592F6E"/>
    <w:rsid w:val="00593AD1"/>
    <w:rsid w:val="005A1DFD"/>
    <w:rsid w:val="005A68B6"/>
    <w:rsid w:val="005B037E"/>
    <w:rsid w:val="005B3B9F"/>
    <w:rsid w:val="005B4E9F"/>
    <w:rsid w:val="005B532B"/>
    <w:rsid w:val="005C5570"/>
    <w:rsid w:val="005C79A4"/>
    <w:rsid w:val="005D4397"/>
    <w:rsid w:val="005D5442"/>
    <w:rsid w:val="005E48D6"/>
    <w:rsid w:val="005E5E52"/>
    <w:rsid w:val="005E6FD7"/>
    <w:rsid w:val="005F0812"/>
    <w:rsid w:val="005F3CA1"/>
    <w:rsid w:val="005F60D6"/>
    <w:rsid w:val="00601917"/>
    <w:rsid w:val="00603F32"/>
    <w:rsid w:val="00604BF2"/>
    <w:rsid w:val="00605AD4"/>
    <w:rsid w:val="006136D7"/>
    <w:rsid w:val="006141F6"/>
    <w:rsid w:val="006166C3"/>
    <w:rsid w:val="00620157"/>
    <w:rsid w:val="006219D7"/>
    <w:rsid w:val="00625A6E"/>
    <w:rsid w:val="006300CF"/>
    <w:rsid w:val="00632398"/>
    <w:rsid w:val="0063282D"/>
    <w:rsid w:val="0063417A"/>
    <w:rsid w:val="00640FC3"/>
    <w:rsid w:val="00642020"/>
    <w:rsid w:val="00643018"/>
    <w:rsid w:val="0065337B"/>
    <w:rsid w:val="0065419D"/>
    <w:rsid w:val="006604D8"/>
    <w:rsid w:val="0066079B"/>
    <w:rsid w:val="00664A5B"/>
    <w:rsid w:val="0066567F"/>
    <w:rsid w:val="00666BE3"/>
    <w:rsid w:val="0066735C"/>
    <w:rsid w:val="006763D2"/>
    <w:rsid w:val="00680C08"/>
    <w:rsid w:val="00686F53"/>
    <w:rsid w:val="00690805"/>
    <w:rsid w:val="006916A0"/>
    <w:rsid w:val="00691A42"/>
    <w:rsid w:val="00691C29"/>
    <w:rsid w:val="006931B1"/>
    <w:rsid w:val="00694B42"/>
    <w:rsid w:val="006A15C0"/>
    <w:rsid w:val="006A3F11"/>
    <w:rsid w:val="006A3F1C"/>
    <w:rsid w:val="006A4C40"/>
    <w:rsid w:val="006B06B8"/>
    <w:rsid w:val="006B68FA"/>
    <w:rsid w:val="006C2D00"/>
    <w:rsid w:val="006C3E2A"/>
    <w:rsid w:val="006C4B86"/>
    <w:rsid w:val="006C4F03"/>
    <w:rsid w:val="006C5B6B"/>
    <w:rsid w:val="006C642F"/>
    <w:rsid w:val="006C68BC"/>
    <w:rsid w:val="006D03E5"/>
    <w:rsid w:val="006D5D3E"/>
    <w:rsid w:val="006E0381"/>
    <w:rsid w:val="006E08B3"/>
    <w:rsid w:val="006F17AC"/>
    <w:rsid w:val="006F25B8"/>
    <w:rsid w:val="006F572E"/>
    <w:rsid w:val="007046D6"/>
    <w:rsid w:val="00704BB0"/>
    <w:rsid w:val="00705DB0"/>
    <w:rsid w:val="0071587E"/>
    <w:rsid w:val="00717DCB"/>
    <w:rsid w:val="0072172D"/>
    <w:rsid w:val="00722B57"/>
    <w:rsid w:val="00727D42"/>
    <w:rsid w:val="00730F8A"/>
    <w:rsid w:val="00735A8C"/>
    <w:rsid w:val="0074253D"/>
    <w:rsid w:val="0074429B"/>
    <w:rsid w:val="0075239F"/>
    <w:rsid w:val="00754FB0"/>
    <w:rsid w:val="007615BC"/>
    <w:rsid w:val="00762F05"/>
    <w:rsid w:val="007652FF"/>
    <w:rsid w:val="007653F2"/>
    <w:rsid w:val="00770CAC"/>
    <w:rsid w:val="00770EF1"/>
    <w:rsid w:val="00773EF7"/>
    <w:rsid w:val="007743E2"/>
    <w:rsid w:val="00774E1D"/>
    <w:rsid w:val="007765D8"/>
    <w:rsid w:val="0077675A"/>
    <w:rsid w:val="00780355"/>
    <w:rsid w:val="007819FD"/>
    <w:rsid w:val="00785717"/>
    <w:rsid w:val="00785721"/>
    <w:rsid w:val="00793A59"/>
    <w:rsid w:val="00794457"/>
    <w:rsid w:val="00795F2B"/>
    <w:rsid w:val="0079782E"/>
    <w:rsid w:val="007A6FDA"/>
    <w:rsid w:val="007A722F"/>
    <w:rsid w:val="007B6132"/>
    <w:rsid w:val="007B6E9F"/>
    <w:rsid w:val="007C1216"/>
    <w:rsid w:val="007C1AF7"/>
    <w:rsid w:val="007C6B9B"/>
    <w:rsid w:val="007D2863"/>
    <w:rsid w:val="007D4BC0"/>
    <w:rsid w:val="007D7B4A"/>
    <w:rsid w:val="007E2318"/>
    <w:rsid w:val="00801355"/>
    <w:rsid w:val="008044E0"/>
    <w:rsid w:val="00805D27"/>
    <w:rsid w:val="00806DCB"/>
    <w:rsid w:val="00821776"/>
    <w:rsid w:val="00826D3B"/>
    <w:rsid w:val="008321F5"/>
    <w:rsid w:val="00832369"/>
    <w:rsid w:val="00834660"/>
    <w:rsid w:val="00836BC2"/>
    <w:rsid w:val="008467B9"/>
    <w:rsid w:val="00847101"/>
    <w:rsid w:val="00847C5F"/>
    <w:rsid w:val="0085156D"/>
    <w:rsid w:val="00852E16"/>
    <w:rsid w:val="0085641B"/>
    <w:rsid w:val="00857136"/>
    <w:rsid w:val="008571BE"/>
    <w:rsid w:val="00860CC3"/>
    <w:rsid w:val="00870029"/>
    <w:rsid w:val="00875A6B"/>
    <w:rsid w:val="00885B11"/>
    <w:rsid w:val="00886D15"/>
    <w:rsid w:val="00887DD8"/>
    <w:rsid w:val="00891BA9"/>
    <w:rsid w:val="00893318"/>
    <w:rsid w:val="00896018"/>
    <w:rsid w:val="008960DD"/>
    <w:rsid w:val="0089635C"/>
    <w:rsid w:val="008A0AA5"/>
    <w:rsid w:val="008A2B9D"/>
    <w:rsid w:val="008A3D9F"/>
    <w:rsid w:val="008A5E0B"/>
    <w:rsid w:val="008A6D59"/>
    <w:rsid w:val="008B0A86"/>
    <w:rsid w:val="008B4B03"/>
    <w:rsid w:val="008B596F"/>
    <w:rsid w:val="008B6D88"/>
    <w:rsid w:val="008B715B"/>
    <w:rsid w:val="008C159F"/>
    <w:rsid w:val="008C1623"/>
    <w:rsid w:val="008C1850"/>
    <w:rsid w:val="008C4CD9"/>
    <w:rsid w:val="008C51A9"/>
    <w:rsid w:val="008D5844"/>
    <w:rsid w:val="008E21AE"/>
    <w:rsid w:val="008E21B8"/>
    <w:rsid w:val="008E3730"/>
    <w:rsid w:val="008E7846"/>
    <w:rsid w:val="008F02E5"/>
    <w:rsid w:val="008F1CCC"/>
    <w:rsid w:val="008F2967"/>
    <w:rsid w:val="008F6187"/>
    <w:rsid w:val="008F6943"/>
    <w:rsid w:val="0090057D"/>
    <w:rsid w:val="00901AD2"/>
    <w:rsid w:val="00902A21"/>
    <w:rsid w:val="00907358"/>
    <w:rsid w:val="00920330"/>
    <w:rsid w:val="009219D7"/>
    <w:rsid w:val="00922D53"/>
    <w:rsid w:val="00923B70"/>
    <w:rsid w:val="00924482"/>
    <w:rsid w:val="009253D4"/>
    <w:rsid w:val="00925778"/>
    <w:rsid w:val="00930237"/>
    <w:rsid w:val="00932201"/>
    <w:rsid w:val="00937C17"/>
    <w:rsid w:val="00940A89"/>
    <w:rsid w:val="009431A4"/>
    <w:rsid w:val="00946EA5"/>
    <w:rsid w:val="00950F7A"/>
    <w:rsid w:val="00956779"/>
    <w:rsid w:val="00960020"/>
    <w:rsid w:val="0096237C"/>
    <w:rsid w:val="00963C08"/>
    <w:rsid w:val="00965DAA"/>
    <w:rsid w:val="00967BED"/>
    <w:rsid w:val="009752A5"/>
    <w:rsid w:val="009809FD"/>
    <w:rsid w:val="00982548"/>
    <w:rsid w:val="0098585A"/>
    <w:rsid w:val="009A4CED"/>
    <w:rsid w:val="009A690D"/>
    <w:rsid w:val="009B1D12"/>
    <w:rsid w:val="009B416B"/>
    <w:rsid w:val="009B513F"/>
    <w:rsid w:val="009C05E0"/>
    <w:rsid w:val="009C066C"/>
    <w:rsid w:val="009C2928"/>
    <w:rsid w:val="009C4BD5"/>
    <w:rsid w:val="009D4200"/>
    <w:rsid w:val="009D4830"/>
    <w:rsid w:val="009D7B77"/>
    <w:rsid w:val="009E0BB0"/>
    <w:rsid w:val="009E3FBB"/>
    <w:rsid w:val="009E76B3"/>
    <w:rsid w:val="009F180B"/>
    <w:rsid w:val="009F5F33"/>
    <w:rsid w:val="009F6BC6"/>
    <w:rsid w:val="009F7353"/>
    <w:rsid w:val="00A01BC4"/>
    <w:rsid w:val="00A04F85"/>
    <w:rsid w:val="00A05FA4"/>
    <w:rsid w:val="00A102E4"/>
    <w:rsid w:val="00A12C42"/>
    <w:rsid w:val="00A14DF7"/>
    <w:rsid w:val="00A15DB6"/>
    <w:rsid w:val="00A2181C"/>
    <w:rsid w:val="00A3246D"/>
    <w:rsid w:val="00A34483"/>
    <w:rsid w:val="00A36FA7"/>
    <w:rsid w:val="00A4020F"/>
    <w:rsid w:val="00A403A8"/>
    <w:rsid w:val="00A41297"/>
    <w:rsid w:val="00A44DDB"/>
    <w:rsid w:val="00A475B7"/>
    <w:rsid w:val="00A47AF7"/>
    <w:rsid w:val="00A47C3E"/>
    <w:rsid w:val="00A50226"/>
    <w:rsid w:val="00A60BAD"/>
    <w:rsid w:val="00A62FBD"/>
    <w:rsid w:val="00A63E6C"/>
    <w:rsid w:val="00A71098"/>
    <w:rsid w:val="00A73EDB"/>
    <w:rsid w:val="00A744C8"/>
    <w:rsid w:val="00A77523"/>
    <w:rsid w:val="00A803BE"/>
    <w:rsid w:val="00A80B5B"/>
    <w:rsid w:val="00A81FEA"/>
    <w:rsid w:val="00A84E36"/>
    <w:rsid w:val="00A91242"/>
    <w:rsid w:val="00A9163F"/>
    <w:rsid w:val="00A92C4C"/>
    <w:rsid w:val="00A949B5"/>
    <w:rsid w:val="00A964D1"/>
    <w:rsid w:val="00A9740B"/>
    <w:rsid w:val="00A97870"/>
    <w:rsid w:val="00AA0ED0"/>
    <w:rsid w:val="00AB35A4"/>
    <w:rsid w:val="00AB7ADA"/>
    <w:rsid w:val="00AC2B40"/>
    <w:rsid w:val="00AC2BB2"/>
    <w:rsid w:val="00AC2C3C"/>
    <w:rsid w:val="00AC512D"/>
    <w:rsid w:val="00AC7FA3"/>
    <w:rsid w:val="00AD0083"/>
    <w:rsid w:val="00AD0496"/>
    <w:rsid w:val="00AD21A6"/>
    <w:rsid w:val="00AD3174"/>
    <w:rsid w:val="00AD3935"/>
    <w:rsid w:val="00AE65EB"/>
    <w:rsid w:val="00AE67A7"/>
    <w:rsid w:val="00AF1D94"/>
    <w:rsid w:val="00AF60C5"/>
    <w:rsid w:val="00B009C6"/>
    <w:rsid w:val="00B01548"/>
    <w:rsid w:val="00B01C83"/>
    <w:rsid w:val="00B03900"/>
    <w:rsid w:val="00B04914"/>
    <w:rsid w:val="00B13EBD"/>
    <w:rsid w:val="00B21D29"/>
    <w:rsid w:val="00B25034"/>
    <w:rsid w:val="00B33588"/>
    <w:rsid w:val="00B33863"/>
    <w:rsid w:val="00B35CEF"/>
    <w:rsid w:val="00B37D17"/>
    <w:rsid w:val="00B4175E"/>
    <w:rsid w:val="00B452CE"/>
    <w:rsid w:val="00B54C25"/>
    <w:rsid w:val="00B563E3"/>
    <w:rsid w:val="00B57E76"/>
    <w:rsid w:val="00B659EE"/>
    <w:rsid w:val="00B727C7"/>
    <w:rsid w:val="00B76B91"/>
    <w:rsid w:val="00B77EB1"/>
    <w:rsid w:val="00B811C6"/>
    <w:rsid w:val="00B8123D"/>
    <w:rsid w:val="00B81793"/>
    <w:rsid w:val="00B833BA"/>
    <w:rsid w:val="00B855B0"/>
    <w:rsid w:val="00B92E08"/>
    <w:rsid w:val="00BA35F7"/>
    <w:rsid w:val="00BC622A"/>
    <w:rsid w:val="00BE0A78"/>
    <w:rsid w:val="00BE2F3C"/>
    <w:rsid w:val="00BE79F0"/>
    <w:rsid w:val="00BF046D"/>
    <w:rsid w:val="00BF1190"/>
    <w:rsid w:val="00BF1863"/>
    <w:rsid w:val="00BF498E"/>
    <w:rsid w:val="00BF5D04"/>
    <w:rsid w:val="00C009AA"/>
    <w:rsid w:val="00C02DEA"/>
    <w:rsid w:val="00C0433A"/>
    <w:rsid w:val="00C0569D"/>
    <w:rsid w:val="00C11105"/>
    <w:rsid w:val="00C1164D"/>
    <w:rsid w:val="00C12DF1"/>
    <w:rsid w:val="00C16861"/>
    <w:rsid w:val="00C2152A"/>
    <w:rsid w:val="00C24EE1"/>
    <w:rsid w:val="00C3151C"/>
    <w:rsid w:val="00C31797"/>
    <w:rsid w:val="00C346AB"/>
    <w:rsid w:val="00C362E7"/>
    <w:rsid w:val="00C404A6"/>
    <w:rsid w:val="00C40A36"/>
    <w:rsid w:val="00C412F6"/>
    <w:rsid w:val="00C41DE4"/>
    <w:rsid w:val="00C44419"/>
    <w:rsid w:val="00C45E7B"/>
    <w:rsid w:val="00C471B1"/>
    <w:rsid w:val="00C55565"/>
    <w:rsid w:val="00C6316B"/>
    <w:rsid w:val="00C634A9"/>
    <w:rsid w:val="00C64586"/>
    <w:rsid w:val="00C70D53"/>
    <w:rsid w:val="00C73D0B"/>
    <w:rsid w:val="00C772FF"/>
    <w:rsid w:val="00C80137"/>
    <w:rsid w:val="00C801AF"/>
    <w:rsid w:val="00C80256"/>
    <w:rsid w:val="00C94CD4"/>
    <w:rsid w:val="00C9747E"/>
    <w:rsid w:val="00CB22BF"/>
    <w:rsid w:val="00CB6BC0"/>
    <w:rsid w:val="00CC1B7C"/>
    <w:rsid w:val="00CC727F"/>
    <w:rsid w:val="00CD4492"/>
    <w:rsid w:val="00CE2F62"/>
    <w:rsid w:val="00CF15C3"/>
    <w:rsid w:val="00CF299A"/>
    <w:rsid w:val="00CF2B6F"/>
    <w:rsid w:val="00CF2F3E"/>
    <w:rsid w:val="00CF36FC"/>
    <w:rsid w:val="00CF47FB"/>
    <w:rsid w:val="00CF58B6"/>
    <w:rsid w:val="00D0062D"/>
    <w:rsid w:val="00D017ED"/>
    <w:rsid w:val="00D03A53"/>
    <w:rsid w:val="00D040D3"/>
    <w:rsid w:val="00D04C65"/>
    <w:rsid w:val="00D10651"/>
    <w:rsid w:val="00D10C7E"/>
    <w:rsid w:val="00D13A03"/>
    <w:rsid w:val="00D201D2"/>
    <w:rsid w:val="00D204EF"/>
    <w:rsid w:val="00D213CB"/>
    <w:rsid w:val="00D2147D"/>
    <w:rsid w:val="00D224FE"/>
    <w:rsid w:val="00D23139"/>
    <w:rsid w:val="00D323DA"/>
    <w:rsid w:val="00D425BB"/>
    <w:rsid w:val="00D44524"/>
    <w:rsid w:val="00D510EE"/>
    <w:rsid w:val="00D56FDD"/>
    <w:rsid w:val="00D61CF7"/>
    <w:rsid w:val="00D63CC4"/>
    <w:rsid w:val="00D6493E"/>
    <w:rsid w:val="00D7169E"/>
    <w:rsid w:val="00D7195D"/>
    <w:rsid w:val="00D7301E"/>
    <w:rsid w:val="00D83AE1"/>
    <w:rsid w:val="00D855D4"/>
    <w:rsid w:val="00D902C9"/>
    <w:rsid w:val="00D9067B"/>
    <w:rsid w:val="00D907D2"/>
    <w:rsid w:val="00D91D59"/>
    <w:rsid w:val="00D9306C"/>
    <w:rsid w:val="00D93466"/>
    <w:rsid w:val="00D9427A"/>
    <w:rsid w:val="00DA1124"/>
    <w:rsid w:val="00DA1B7C"/>
    <w:rsid w:val="00DB5A03"/>
    <w:rsid w:val="00DB6124"/>
    <w:rsid w:val="00DB750B"/>
    <w:rsid w:val="00DB75B7"/>
    <w:rsid w:val="00DC6E02"/>
    <w:rsid w:val="00DC6F5E"/>
    <w:rsid w:val="00DD28CD"/>
    <w:rsid w:val="00DD4283"/>
    <w:rsid w:val="00DE02AE"/>
    <w:rsid w:val="00DE2584"/>
    <w:rsid w:val="00DE3E08"/>
    <w:rsid w:val="00DE6683"/>
    <w:rsid w:val="00DF1D7F"/>
    <w:rsid w:val="00DF4BE4"/>
    <w:rsid w:val="00DF5B4F"/>
    <w:rsid w:val="00DF5D00"/>
    <w:rsid w:val="00E02FB4"/>
    <w:rsid w:val="00E031CF"/>
    <w:rsid w:val="00E0353C"/>
    <w:rsid w:val="00E03EF5"/>
    <w:rsid w:val="00E13FC7"/>
    <w:rsid w:val="00E17C57"/>
    <w:rsid w:val="00E20571"/>
    <w:rsid w:val="00E235F7"/>
    <w:rsid w:val="00E23659"/>
    <w:rsid w:val="00E239D4"/>
    <w:rsid w:val="00E26130"/>
    <w:rsid w:val="00E305C9"/>
    <w:rsid w:val="00E31314"/>
    <w:rsid w:val="00E325D5"/>
    <w:rsid w:val="00E34FE9"/>
    <w:rsid w:val="00E35376"/>
    <w:rsid w:val="00E37261"/>
    <w:rsid w:val="00E40B22"/>
    <w:rsid w:val="00E4149F"/>
    <w:rsid w:val="00E41506"/>
    <w:rsid w:val="00E4279D"/>
    <w:rsid w:val="00E43434"/>
    <w:rsid w:val="00E44ED1"/>
    <w:rsid w:val="00E45619"/>
    <w:rsid w:val="00E4588F"/>
    <w:rsid w:val="00E46DA3"/>
    <w:rsid w:val="00E47F29"/>
    <w:rsid w:val="00E5152B"/>
    <w:rsid w:val="00E51BB1"/>
    <w:rsid w:val="00E54B25"/>
    <w:rsid w:val="00E624A5"/>
    <w:rsid w:val="00E64BA4"/>
    <w:rsid w:val="00E71358"/>
    <w:rsid w:val="00E7344E"/>
    <w:rsid w:val="00E74B53"/>
    <w:rsid w:val="00E75AE5"/>
    <w:rsid w:val="00E8118F"/>
    <w:rsid w:val="00E82665"/>
    <w:rsid w:val="00E86370"/>
    <w:rsid w:val="00E90ECC"/>
    <w:rsid w:val="00E934E7"/>
    <w:rsid w:val="00E97FE4"/>
    <w:rsid w:val="00EA0FBF"/>
    <w:rsid w:val="00EA1385"/>
    <w:rsid w:val="00EB0798"/>
    <w:rsid w:val="00EB40AD"/>
    <w:rsid w:val="00EB4A5D"/>
    <w:rsid w:val="00EB586E"/>
    <w:rsid w:val="00EB5FC8"/>
    <w:rsid w:val="00EC463D"/>
    <w:rsid w:val="00EC7A85"/>
    <w:rsid w:val="00ED2922"/>
    <w:rsid w:val="00ED3CAD"/>
    <w:rsid w:val="00ED5A41"/>
    <w:rsid w:val="00ED62A3"/>
    <w:rsid w:val="00ED6E45"/>
    <w:rsid w:val="00EE138F"/>
    <w:rsid w:val="00EE1BDF"/>
    <w:rsid w:val="00EE1DE8"/>
    <w:rsid w:val="00EE27C2"/>
    <w:rsid w:val="00EE4F23"/>
    <w:rsid w:val="00EF1903"/>
    <w:rsid w:val="00EF4BAD"/>
    <w:rsid w:val="00EF59DC"/>
    <w:rsid w:val="00F033EC"/>
    <w:rsid w:val="00F04F68"/>
    <w:rsid w:val="00F12670"/>
    <w:rsid w:val="00F14B27"/>
    <w:rsid w:val="00F150FE"/>
    <w:rsid w:val="00F17A45"/>
    <w:rsid w:val="00F2106E"/>
    <w:rsid w:val="00F2324F"/>
    <w:rsid w:val="00F26358"/>
    <w:rsid w:val="00F3148D"/>
    <w:rsid w:val="00F325C5"/>
    <w:rsid w:val="00F32B08"/>
    <w:rsid w:val="00F32E45"/>
    <w:rsid w:val="00F32FE0"/>
    <w:rsid w:val="00F3494A"/>
    <w:rsid w:val="00F35298"/>
    <w:rsid w:val="00F44998"/>
    <w:rsid w:val="00F47333"/>
    <w:rsid w:val="00F47E37"/>
    <w:rsid w:val="00F53C07"/>
    <w:rsid w:val="00F549D1"/>
    <w:rsid w:val="00F54B65"/>
    <w:rsid w:val="00F622E4"/>
    <w:rsid w:val="00F639A2"/>
    <w:rsid w:val="00F640B6"/>
    <w:rsid w:val="00F646C9"/>
    <w:rsid w:val="00F66DF2"/>
    <w:rsid w:val="00F67731"/>
    <w:rsid w:val="00F73269"/>
    <w:rsid w:val="00F80E40"/>
    <w:rsid w:val="00F81E77"/>
    <w:rsid w:val="00F84633"/>
    <w:rsid w:val="00F848D9"/>
    <w:rsid w:val="00F87148"/>
    <w:rsid w:val="00F90AB1"/>
    <w:rsid w:val="00F91AAD"/>
    <w:rsid w:val="00F953BE"/>
    <w:rsid w:val="00F96FEA"/>
    <w:rsid w:val="00FA1584"/>
    <w:rsid w:val="00FA3E7D"/>
    <w:rsid w:val="00FA5B82"/>
    <w:rsid w:val="00FA639E"/>
    <w:rsid w:val="00FA6834"/>
    <w:rsid w:val="00FB1171"/>
    <w:rsid w:val="00FB3852"/>
    <w:rsid w:val="00FB7D83"/>
    <w:rsid w:val="00FC0057"/>
    <w:rsid w:val="00FC1FCA"/>
    <w:rsid w:val="00FC25E4"/>
    <w:rsid w:val="00FC4EF7"/>
    <w:rsid w:val="00FC7422"/>
    <w:rsid w:val="00FD0824"/>
    <w:rsid w:val="00FD0A3D"/>
    <w:rsid w:val="00FD119B"/>
    <w:rsid w:val="00FD1EDC"/>
    <w:rsid w:val="00FE1DEE"/>
    <w:rsid w:val="00FE44D3"/>
    <w:rsid w:val="00FE5D7A"/>
    <w:rsid w:val="00FF18E7"/>
    <w:rsid w:val="00FF2126"/>
    <w:rsid w:val="00FF5755"/>
    <w:rsid w:val="00FF69BE"/>
    <w:rsid w:val="00FF7B93"/>
    <w:rsid w:val="00FF7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sz w:val="22"/>
      <w:szCs w:val="22"/>
      <w:lang w:eastAsia="en-US"/>
    </w:rPr>
  </w:style>
  <w:style w:type="paragraph" w:styleId="Heading1">
    <w:name w:val="heading 1"/>
    <w:basedOn w:val="Heading2"/>
    <w:next w:val="Normal"/>
    <w:link w:val="Heading1Char"/>
    <w:uiPriority w:val="9"/>
    <w:qFormat/>
    <w:rsid w:val="000C690F"/>
    <w:pPr>
      <w:spacing w:before="120" w:after="360"/>
      <w:outlineLvl w:val="0"/>
    </w:pPr>
    <w:rPr>
      <w:rFonts w:cs="Arial"/>
      <w:sz w:val="64"/>
      <w:szCs w:val="64"/>
    </w:rPr>
  </w:style>
  <w:style w:type="paragraph" w:styleId="Heading2">
    <w:name w:val="heading 2"/>
    <w:basedOn w:val="Normal"/>
    <w:next w:val="Normal"/>
    <w:link w:val="Heading2Char"/>
    <w:uiPriority w:val="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uiPriority w:val="9"/>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AD3935"/>
    <w:rPr>
      <w:rFonts w:ascii="Arial" w:eastAsia="Times New Roman" w:hAnsi="Arial" w:cs="Times New Roman"/>
      <w:b/>
      <w:bCs/>
      <w:sz w:val="32"/>
      <w:szCs w:val="26"/>
    </w:rPr>
  </w:style>
  <w:style w:type="character" w:customStyle="1" w:styleId="Heading3Char">
    <w:name w:val="Heading 3 Char"/>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link w:val="Heading4"/>
    <w:rsid w:val="00AD3935"/>
    <w:rPr>
      <w:rFonts w:ascii="Cambria" w:eastAsia="Cambria" w:hAnsi="Cambria" w:cs="Times New Roman"/>
      <w:b/>
      <w:bCs/>
      <w:szCs w:val="21"/>
    </w:r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AD3935"/>
    <w:rPr>
      <w:rFonts w:ascii="Cambria" w:eastAsia="Times New Roman" w:hAnsi="Cambria" w:cs="Times New Roman"/>
      <w:b/>
      <w:bCs/>
      <w:i/>
      <w:color w:val="001523"/>
      <w:szCs w:val="21"/>
    </w:rPr>
  </w:style>
  <w:style w:type="character" w:customStyle="1" w:styleId="Heading6Char">
    <w:name w:val="Heading 6 Char"/>
    <w:link w:val="Heading6"/>
    <w:uiPriority w:val="9"/>
    <w:rsid w:val="00577130"/>
    <w:rPr>
      <w:rFonts w:ascii="Cambria" w:eastAsia="Times New Roman" w:hAnsi="Cambria" w:cs="Times New Roman"/>
      <w:bCs/>
      <w:i/>
      <w:szCs w:val="21"/>
    </w:rPr>
  </w:style>
  <w:style w:type="character" w:customStyle="1" w:styleId="Heading7Char">
    <w:name w:val="Heading 7 Char"/>
    <w:link w:val="Heading7"/>
    <w:uiPriority w:val="9"/>
    <w:rsid w:val="00770CAC"/>
    <w:rPr>
      <w:rFonts w:ascii="Cambria" w:eastAsia="Times New Roman" w:hAnsi="Cambria" w:cs="Times New Roman"/>
      <w:bCs/>
      <w:sz w:val="20"/>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ind w:left="170" w:right="170"/>
    </w:pPr>
    <w:rPr>
      <w:color w:val="000000"/>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Batang" w:hAnsi="@Batang"/>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Batang" w:hAnsi="@Batang"/>
        <w:b/>
        <w:color w:val="FFFFFF"/>
        <w:sz w:val="22"/>
      </w:rPr>
      <w:tblPr/>
      <w:tcPr>
        <w:shd w:val="clear" w:color="auto" w:fill="000000"/>
      </w:tcPr>
    </w:tblStylePr>
    <w:tblStylePr w:type="lastRow">
      <w:rPr>
        <w:b w:val="0"/>
      </w:rPr>
    </w:tblStylePr>
    <w:tblStylePr w:type="neCell">
      <w:rPr>
        <w:b w:val="0"/>
        <w:i w:val="0"/>
      </w:rPr>
    </w:tblStylePr>
    <w:tblStylePr w:type="nwCell">
      <w:rPr>
        <w:rFonts w:ascii="@Batang" w:hAnsi="@Batang"/>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link w:val="FootnoteText"/>
    <w:uiPriority w:val="99"/>
    <w:rsid w:val="001B5C90"/>
    <w:rPr>
      <w:rFonts w:ascii="Cambria" w:eastAsia="Cambria" w:hAnsi="Cambria" w:cs="Times New Roman"/>
      <w:sz w:val="18"/>
      <w:szCs w:val="20"/>
    </w:rPr>
  </w:style>
  <w:style w:type="character" w:styleId="FootnoteReference">
    <w:name w:val="footnote reference"/>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PMingLiU"/>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link w:val="EndnoteText"/>
    <w:uiPriority w:val="99"/>
    <w:semiHidden/>
    <w:rsid w:val="000E6196"/>
    <w:rPr>
      <w:rFonts w:ascii="Cambria" w:eastAsia="Cambria" w:hAnsi="Cambria" w:cs="Times New Roman"/>
      <w:sz w:val="20"/>
      <w:szCs w:val="20"/>
    </w:rPr>
  </w:style>
  <w:style w:type="character" w:styleId="EndnoteReference">
    <w:name w:val="endnote reference"/>
    <w:uiPriority w:val="99"/>
    <w:semiHidden/>
    <w:unhideWhenUsed/>
    <w:rsid w:val="000E6196"/>
    <w:rPr>
      <w:vertAlign w:val="superscript"/>
    </w:rPr>
  </w:style>
  <w:style w:type="character" w:styleId="CommentReference">
    <w:name w:val="annotation reference"/>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rPr>
      <w:sz w:val="22"/>
      <w:szCs w:val="22"/>
      <w:lang w:eastAsia="en-US"/>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4378AD"/>
    <w:pPr>
      <w:autoSpaceDE w:val="0"/>
      <w:autoSpaceDN w:val="0"/>
      <w:adjustRightInd w:val="0"/>
    </w:pPr>
    <w:rPr>
      <w:rFonts w:ascii="Times New Roman" w:eastAsia="SimSun" w:hAnsi="Times New Roman"/>
      <w:color w:val="000000"/>
      <w:sz w:val="24"/>
      <w:szCs w:val="24"/>
    </w:rPr>
  </w:style>
  <w:style w:type="paragraph" w:styleId="ListParagraph">
    <w:name w:val="List Paragraph"/>
    <w:basedOn w:val="Normal"/>
    <w:uiPriority w:val="34"/>
    <w:qFormat/>
    <w:rsid w:val="00396986"/>
    <w:pPr>
      <w:adjustRightInd w:val="0"/>
      <w:snapToGrid w:val="0"/>
      <w:spacing w:before="180" w:after="180"/>
      <w:ind w:left="720"/>
      <w:contextualSpacing/>
    </w:pPr>
    <w:rPr>
      <w:rFonts w:eastAsia="MS Mincho"/>
      <w:szCs w:val="20"/>
      <w:lang w:eastAsia="ja-JP"/>
    </w:rPr>
  </w:style>
  <w:style w:type="paragraph" w:styleId="NormalWeb">
    <w:name w:val="Normal (Web)"/>
    <w:basedOn w:val="Normal"/>
    <w:uiPriority w:val="99"/>
    <w:semiHidden/>
    <w:unhideWhenUsed/>
    <w:rsid w:val="005F3CA1"/>
    <w:rPr>
      <w:rFonts w:ascii="Times New Roman" w:hAnsi="Times New Roman"/>
      <w:sz w:val="24"/>
      <w:szCs w:val="24"/>
    </w:rPr>
  </w:style>
  <w:style w:type="paragraph" w:customStyle="1" w:styleId="Tabletitle0">
    <w:name w:val="Table title"/>
    <w:basedOn w:val="Normal"/>
    <w:next w:val="Normal"/>
    <w:rsid w:val="00AB7ADA"/>
    <w:pPr>
      <w:keepNext/>
      <w:spacing w:after="180"/>
    </w:pPr>
    <w:rPr>
      <w:b/>
    </w:rPr>
  </w:style>
  <w:style w:type="character" w:customStyle="1" w:styleId="TabletextChar">
    <w:name w:val="Table text Char"/>
    <w:link w:val="Tabletext"/>
    <w:rsid w:val="00E54B25"/>
    <w:rPr>
      <w:rFonts w:ascii="Cambria" w:eastAsia="Cambria" w:hAnsi="Cambria" w:cs="Times New Roman"/>
      <w:sz w:val="19"/>
    </w:rPr>
  </w:style>
  <w:style w:type="table" w:customStyle="1" w:styleId="TableGrid1">
    <w:name w:val="Table Grid1"/>
    <w:basedOn w:val="TableNormal"/>
    <w:next w:val="TableGrid"/>
    <w:rsid w:val="00E54B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Headings">
    <w:name w:val="Headings"/>
    <w:uiPriority w:val="99"/>
    <w:rsid w:val="00604BF2"/>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sz w:val="22"/>
      <w:szCs w:val="22"/>
      <w:lang w:eastAsia="en-US"/>
    </w:rPr>
  </w:style>
  <w:style w:type="paragraph" w:styleId="Heading1">
    <w:name w:val="heading 1"/>
    <w:basedOn w:val="Heading2"/>
    <w:next w:val="Normal"/>
    <w:link w:val="Heading1Char"/>
    <w:uiPriority w:val="9"/>
    <w:qFormat/>
    <w:rsid w:val="000C690F"/>
    <w:pPr>
      <w:spacing w:before="120" w:after="360"/>
      <w:outlineLvl w:val="0"/>
    </w:pPr>
    <w:rPr>
      <w:rFonts w:cs="Arial"/>
      <w:sz w:val="64"/>
      <w:szCs w:val="64"/>
    </w:rPr>
  </w:style>
  <w:style w:type="paragraph" w:styleId="Heading2">
    <w:name w:val="heading 2"/>
    <w:basedOn w:val="Normal"/>
    <w:next w:val="Normal"/>
    <w:link w:val="Heading2Char"/>
    <w:uiPriority w:val="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uiPriority w:val="9"/>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AD3935"/>
    <w:rPr>
      <w:rFonts w:ascii="Arial" w:eastAsia="Times New Roman" w:hAnsi="Arial" w:cs="Times New Roman"/>
      <w:b/>
      <w:bCs/>
      <w:sz w:val="32"/>
      <w:szCs w:val="26"/>
    </w:rPr>
  </w:style>
  <w:style w:type="character" w:customStyle="1" w:styleId="Heading3Char">
    <w:name w:val="Heading 3 Char"/>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link w:val="Heading4"/>
    <w:rsid w:val="00AD3935"/>
    <w:rPr>
      <w:rFonts w:ascii="Cambria" w:eastAsia="Cambria" w:hAnsi="Cambria" w:cs="Times New Roman"/>
      <w:b/>
      <w:bCs/>
      <w:szCs w:val="21"/>
    </w:r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AD3935"/>
    <w:rPr>
      <w:rFonts w:ascii="Cambria" w:eastAsia="Times New Roman" w:hAnsi="Cambria" w:cs="Times New Roman"/>
      <w:b/>
      <w:bCs/>
      <w:i/>
      <w:color w:val="001523"/>
      <w:szCs w:val="21"/>
    </w:rPr>
  </w:style>
  <w:style w:type="character" w:customStyle="1" w:styleId="Heading6Char">
    <w:name w:val="Heading 6 Char"/>
    <w:link w:val="Heading6"/>
    <w:uiPriority w:val="9"/>
    <w:rsid w:val="00577130"/>
    <w:rPr>
      <w:rFonts w:ascii="Cambria" w:eastAsia="Times New Roman" w:hAnsi="Cambria" w:cs="Times New Roman"/>
      <w:bCs/>
      <w:i/>
      <w:szCs w:val="21"/>
    </w:rPr>
  </w:style>
  <w:style w:type="character" w:customStyle="1" w:styleId="Heading7Char">
    <w:name w:val="Heading 7 Char"/>
    <w:link w:val="Heading7"/>
    <w:uiPriority w:val="9"/>
    <w:rsid w:val="00770CAC"/>
    <w:rPr>
      <w:rFonts w:ascii="Cambria" w:eastAsia="Times New Roman" w:hAnsi="Cambria" w:cs="Times New Roman"/>
      <w:bCs/>
      <w:sz w:val="20"/>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ind w:left="170" w:right="170"/>
    </w:pPr>
    <w:rPr>
      <w:color w:val="000000"/>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Batang" w:hAnsi="@Batang"/>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Batang" w:hAnsi="@Batang"/>
        <w:b/>
        <w:color w:val="FFFFFF"/>
        <w:sz w:val="22"/>
      </w:rPr>
      <w:tblPr/>
      <w:tcPr>
        <w:shd w:val="clear" w:color="auto" w:fill="000000"/>
      </w:tcPr>
    </w:tblStylePr>
    <w:tblStylePr w:type="lastRow">
      <w:rPr>
        <w:b w:val="0"/>
      </w:rPr>
    </w:tblStylePr>
    <w:tblStylePr w:type="neCell">
      <w:rPr>
        <w:b w:val="0"/>
        <w:i w:val="0"/>
      </w:rPr>
    </w:tblStylePr>
    <w:tblStylePr w:type="nwCell">
      <w:rPr>
        <w:rFonts w:ascii="@Batang" w:hAnsi="@Batang"/>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link w:val="FootnoteText"/>
    <w:uiPriority w:val="99"/>
    <w:rsid w:val="001B5C90"/>
    <w:rPr>
      <w:rFonts w:ascii="Cambria" w:eastAsia="Cambria" w:hAnsi="Cambria" w:cs="Times New Roman"/>
      <w:sz w:val="18"/>
      <w:szCs w:val="20"/>
    </w:rPr>
  </w:style>
  <w:style w:type="character" w:styleId="FootnoteReference">
    <w:name w:val="footnote reference"/>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PMingLiU"/>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link w:val="EndnoteText"/>
    <w:uiPriority w:val="99"/>
    <w:semiHidden/>
    <w:rsid w:val="000E6196"/>
    <w:rPr>
      <w:rFonts w:ascii="Cambria" w:eastAsia="Cambria" w:hAnsi="Cambria" w:cs="Times New Roman"/>
      <w:sz w:val="20"/>
      <w:szCs w:val="20"/>
    </w:rPr>
  </w:style>
  <w:style w:type="character" w:styleId="EndnoteReference">
    <w:name w:val="endnote reference"/>
    <w:uiPriority w:val="99"/>
    <w:semiHidden/>
    <w:unhideWhenUsed/>
    <w:rsid w:val="000E6196"/>
    <w:rPr>
      <w:vertAlign w:val="superscript"/>
    </w:rPr>
  </w:style>
  <w:style w:type="character" w:styleId="CommentReference">
    <w:name w:val="annotation reference"/>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rPr>
      <w:sz w:val="22"/>
      <w:szCs w:val="22"/>
      <w:lang w:eastAsia="en-US"/>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4378AD"/>
    <w:pPr>
      <w:autoSpaceDE w:val="0"/>
      <w:autoSpaceDN w:val="0"/>
      <w:adjustRightInd w:val="0"/>
    </w:pPr>
    <w:rPr>
      <w:rFonts w:ascii="Times New Roman" w:eastAsia="SimSun" w:hAnsi="Times New Roman"/>
      <w:color w:val="000000"/>
      <w:sz w:val="24"/>
      <w:szCs w:val="24"/>
    </w:rPr>
  </w:style>
  <w:style w:type="paragraph" w:styleId="ListParagraph">
    <w:name w:val="List Paragraph"/>
    <w:basedOn w:val="Normal"/>
    <w:uiPriority w:val="34"/>
    <w:qFormat/>
    <w:rsid w:val="00396986"/>
    <w:pPr>
      <w:adjustRightInd w:val="0"/>
      <w:snapToGrid w:val="0"/>
      <w:spacing w:before="180" w:after="180"/>
      <w:ind w:left="720"/>
      <w:contextualSpacing/>
    </w:pPr>
    <w:rPr>
      <w:rFonts w:eastAsia="MS Mincho"/>
      <w:szCs w:val="20"/>
      <w:lang w:eastAsia="ja-JP"/>
    </w:rPr>
  </w:style>
  <w:style w:type="paragraph" w:styleId="NormalWeb">
    <w:name w:val="Normal (Web)"/>
    <w:basedOn w:val="Normal"/>
    <w:uiPriority w:val="99"/>
    <w:semiHidden/>
    <w:unhideWhenUsed/>
    <w:rsid w:val="005F3CA1"/>
    <w:rPr>
      <w:rFonts w:ascii="Times New Roman" w:hAnsi="Times New Roman"/>
      <w:sz w:val="24"/>
      <w:szCs w:val="24"/>
    </w:rPr>
  </w:style>
  <w:style w:type="paragraph" w:customStyle="1" w:styleId="Tabletitle0">
    <w:name w:val="Table title"/>
    <w:basedOn w:val="Normal"/>
    <w:next w:val="Normal"/>
    <w:rsid w:val="00AB7ADA"/>
    <w:pPr>
      <w:keepNext/>
      <w:spacing w:after="180"/>
    </w:pPr>
    <w:rPr>
      <w:b/>
    </w:rPr>
  </w:style>
  <w:style w:type="character" w:customStyle="1" w:styleId="TabletextChar">
    <w:name w:val="Table text Char"/>
    <w:link w:val="Tabletext"/>
    <w:rsid w:val="00E54B25"/>
    <w:rPr>
      <w:rFonts w:ascii="Cambria" w:eastAsia="Cambria" w:hAnsi="Cambria" w:cs="Times New Roman"/>
      <w:sz w:val="19"/>
    </w:rPr>
  </w:style>
  <w:style w:type="table" w:customStyle="1" w:styleId="TableGrid1">
    <w:name w:val="Table Grid1"/>
    <w:basedOn w:val="TableNormal"/>
    <w:next w:val="TableGrid"/>
    <w:rsid w:val="00E54B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Headings">
    <w:name w:val="Headings"/>
    <w:uiPriority w:val="99"/>
    <w:rsid w:val="00604BF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0806">
      <w:bodyDiv w:val="1"/>
      <w:marLeft w:val="0"/>
      <w:marRight w:val="0"/>
      <w:marTop w:val="0"/>
      <w:marBottom w:val="0"/>
      <w:divBdr>
        <w:top w:val="none" w:sz="0" w:space="0" w:color="auto"/>
        <w:left w:val="none" w:sz="0" w:space="0" w:color="auto"/>
        <w:bottom w:val="none" w:sz="0" w:space="0" w:color="auto"/>
        <w:right w:val="none" w:sz="0" w:space="0" w:color="auto"/>
      </w:divBdr>
      <w:divsChild>
        <w:div w:id="1785690080">
          <w:marLeft w:val="0"/>
          <w:marRight w:val="0"/>
          <w:marTop w:val="0"/>
          <w:marBottom w:val="0"/>
          <w:divBdr>
            <w:top w:val="none" w:sz="0" w:space="0" w:color="auto"/>
            <w:left w:val="none" w:sz="0" w:space="0" w:color="auto"/>
            <w:bottom w:val="none" w:sz="0" w:space="0" w:color="auto"/>
            <w:right w:val="none" w:sz="0" w:space="0" w:color="auto"/>
          </w:divBdr>
          <w:divsChild>
            <w:div w:id="1734353068">
              <w:marLeft w:val="0"/>
              <w:marRight w:val="0"/>
              <w:marTop w:val="0"/>
              <w:marBottom w:val="0"/>
              <w:divBdr>
                <w:top w:val="none" w:sz="0" w:space="0" w:color="auto"/>
                <w:left w:val="none" w:sz="0" w:space="0" w:color="auto"/>
                <w:bottom w:val="none" w:sz="0" w:space="0" w:color="auto"/>
                <w:right w:val="none" w:sz="0" w:space="0" w:color="auto"/>
              </w:divBdr>
              <w:divsChild>
                <w:div w:id="428623793">
                  <w:marLeft w:val="0"/>
                  <w:marRight w:val="0"/>
                  <w:marTop w:val="0"/>
                  <w:marBottom w:val="0"/>
                  <w:divBdr>
                    <w:top w:val="none" w:sz="0" w:space="0" w:color="auto"/>
                    <w:left w:val="none" w:sz="0" w:space="0" w:color="auto"/>
                    <w:bottom w:val="none" w:sz="0" w:space="0" w:color="auto"/>
                    <w:right w:val="none" w:sz="0" w:space="0" w:color="auto"/>
                  </w:divBdr>
                  <w:divsChild>
                    <w:div w:id="11690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2267">
      <w:bodyDiv w:val="1"/>
      <w:marLeft w:val="0"/>
      <w:marRight w:val="0"/>
      <w:marTop w:val="0"/>
      <w:marBottom w:val="0"/>
      <w:divBdr>
        <w:top w:val="none" w:sz="0" w:space="0" w:color="auto"/>
        <w:left w:val="none" w:sz="0" w:space="0" w:color="auto"/>
        <w:bottom w:val="none" w:sz="0" w:space="0" w:color="auto"/>
        <w:right w:val="none" w:sz="0" w:space="0" w:color="auto"/>
      </w:divBdr>
    </w:div>
    <w:div w:id="96338439">
      <w:bodyDiv w:val="1"/>
      <w:marLeft w:val="0"/>
      <w:marRight w:val="0"/>
      <w:marTop w:val="0"/>
      <w:marBottom w:val="0"/>
      <w:divBdr>
        <w:top w:val="none" w:sz="0" w:space="0" w:color="auto"/>
        <w:left w:val="none" w:sz="0" w:space="0" w:color="auto"/>
        <w:bottom w:val="none" w:sz="0" w:space="0" w:color="auto"/>
        <w:right w:val="none" w:sz="0" w:space="0" w:color="auto"/>
      </w:divBdr>
    </w:div>
    <w:div w:id="214200421">
      <w:bodyDiv w:val="1"/>
      <w:marLeft w:val="0"/>
      <w:marRight w:val="0"/>
      <w:marTop w:val="0"/>
      <w:marBottom w:val="0"/>
      <w:divBdr>
        <w:top w:val="none" w:sz="0" w:space="0" w:color="auto"/>
        <w:left w:val="none" w:sz="0" w:space="0" w:color="auto"/>
        <w:bottom w:val="none" w:sz="0" w:space="0" w:color="auto"/>
        <w:right w:val="none" w:sz="0" w:space="0" w:color="auto"/>
      </w:divBdr>
    </w:div>
    <w:div w:id="223951489">
      <w:bodyDiv w:val="1"/>
      <w:marLeft w:val="0"/>
      <w:marRight w:val="0"/>
      <w:marTop w:val="0"/>
      <w:marBottom w:val="0"/>
      <w:divBdr>
        <w:top w:val="none" w:sz="0" w:space="0" w:color="auto"/>
        <w:left w:val="none" w:sz="0" w:space="0" w:color="auto"/>
        <w:bottom w:val="none" w:sz="0" w:space="0" w:color="auto"/>
        <w:right w:val="none" w:sz="0" w:space="0" w:color="auto"/>
      </w:divBdr>
    </w:div>
    <w:div w:id="230581471">
      <w:bodyDiv w:val="1"/>
      <w:marLeft w:val="0"/>
      <w:marRight w:val="0"/>
      <w:marTop w:val="0"/>
      <w:marBottom w:val="0"/>
      <w:divBdr>
        <w:top w:val="none" w:sz="0" w:space="0" w:color="auto"/>
        <w:left w:val="none" w:sz="0" w:space="0" w:color="auto"/>
        <w:bottom w:val="none" w:sz="0" w:space="0" w:color="auto"/>
        <w:right w:val="none" w:sz="0" w:space="0" w:color="auto"/>
      </w:divBdr>
      <w:divsChild>
        <w:div w:id="1302075257">
          <w:marLeft w:val="0"/>
          <w:marRight w:val="0"/>
          <w:marTop w:val="0"/>
          <w:marBottom w:val="0"/>
          <w:divBdr>
            <w:top w:val="none" w:sz="0" w:space="0" w:color="auto"/>
            <w:left w:val="none" w:sz="0" w:space="0" w:color="auto"/>
            <w:bottom w:val="none" w:sz="0" w:space="0" w:color="auto"/>
            <w:right w:val="none" w:sz="0" w:space="0" w:color="auto"/>
          </w:divBdr>
          <w:divsChild>
            <w:div w:id="564145984">
              <w:marLeft w:val="0"/>
              <w:marRight w:val="0"/>
              <w:marTop w:val="0"/>
              <w:marBottom w:val="0"/>
              <w:divBdr>
                <w:top w:val="none" w:sz="0" w:space="0" w:color="auto"/>
                <w:left w:val="none" w:sz="0" w:space="0" w:color="auto"/>
                <w:bottom w:val="none" w:sz="0" w:space="0" w:color="auto"/>
                <w:right w:val="none" w:sz="0" w:space="0" w:color="auto"/>
              </w:divBdr>
              <w:divsChild>
                <w:div w:id="191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49806">
      <w:bodyDiv w:val="1"/>
      <w:marLeft w:val="0"/>
      <w:marRight w:val="0"/>
      <w:marTop w:val="0"/>
      <w:marBottom w:val="0"/>
      <w:divBdr>
        <w:top w:val="none" w:sz="0" w:space="0" w:color="auto"/>
        <w:left w:val="none" w:sz="0" w:space="0" w:color="auto"/>
        <w:bottom w:val="none" w:sz="0" w:space="0" w:color="auto"/>
        <w:right w:val="none" w:sz="0" w:space="0" w:color="auto"/>
      </w:divBdr>
      <w:divsChild>
        <w:div w:id="538708092">
          <w:marLeft w:val="0"/>
          <w:marRight w:val="0"/>
          <w:marTop w:val="0"/>
          <w:marBottom w:val="360"/>
          <w:divBdr>
            <w:top w:val="none" w:sz="0" w:space="0" w:color="auto"/>
            <w:left w:val="none" w:sz="0" w:space="0" w:color="auto"/>
            <w:bottom w:val="none" w:sz="0" w:space="0" w:color="auto"/>
            <w:right w:val="none" w:sz="0" w:space="0" w:color="auto"/>
          </w:divBdr>
        </w:div>
        <w:div w:id="2052489062">
          <w:marLeft w:val="0"/>
          <w:marRight w:val="0"/>
          <w:marTop w:val="0"/>
          <w:marBottom w:val="120"/>
          <w:divBdr>
            <w:top w:val="none" w:sz="0" w:space="0" w:color="auto"/>
            <w:left w:val="none" w:sz="0" w:space="0" w:color="auto"/>
            <w:bottom w:val="none" w:sz="0" w:space="0" w:color="auto"/>
            <w:right w:val="none" w:sz="0" w:space="0" w:color="auto"/>
          </w:divBdr>
        </w:div>
      </w:divsChild>
    </w:div>
    <w:div w:id="279919213">
      <w:bodyDiv w:val="1"/>
      <w:marLeft w:val="0"/>
      <w:marRight w:val="0"/>
      <w:marTop w:val="0"/>
      <w:marBottom w:val="0"/>
      <w:divBdr>
        <w:top w:val="none" w:sz="0" w:space="0" w:color="auto"/>
        <w:left w:val="none" w:sz="0" w:space="0" w:color="auto"/>
        <w:bottom w:val="none" w:sz="0" w:space="0" w:color="auto"/>
        <w:right w:val="none" w:sz="0" w:space="0" w:color="auto"/>
      </w:divBdr>
      <w:divsChild>
        <w:div w:id="1054963290">
          <w:marLeft w:val="0"/>
          <w:marRight w:val="0"/>
          <w:marTop w:val="0"/>
          <w:marBottom w:val="0"/>
          <w:divBdr>
            <w:top w:val="none" w:sz="0" w:space="0" w:color="auto"/>
            <w:left w:val="none" w:sz="0" w:space="0" w:color="auto"/>
            <w:bottom w:val="none" w:sz="0" w:space="0" w:color="auto"/>
            <w:right w:val="none" w:sz="0" w:space="0" w:color="auto"/>
          </w:divBdr>
          <w:divsChild>
            <w:div w:id="1611664743">
              <w:marLeft w:val="0"/>
              <w:marRight w:val="0"/>
              <w:marTop w:val="0"/>
              <w:marBottom w:val="0"/>
              <w:divBdr>
                <w:top w:val="none" w:sz="0" w:space="0" w:color="auto"/>
                <w:left w:val="none" w:sz="0" w:space="0" w:color="auto"/>
                <w:bottom w:val="none" w:sz="0" w:space="0" w:color="auto"/>
                <w:right w:val="none" w:sz="0" w:space="0" w:color="auto"/>
              </w:divBdr>
              <w:divsChild>
                <w:div w:id="5126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5591">
      <w:bodyDiv w:val="1"/>
      <w:marLeft w:val="0"/>
      <w:marRight w:val="0"/>
      <w:marTop w:val="0"/>
      <w:marBottom w:val="0"/>
      <w:divBdr>
        <w:top w:val="none" w:sz="0" w:space="0" w:color="auto"/>
        <w:left w:val="none" w:sz="0" w:space="0" w:color="auto"/>
        <w:bottom w:val="none" w:sz="0" w:space="0" w:color="auto"/>
        <w:right w:val="none" w:sz="0" w:space="0" w:color="auto"/>
      </w:divBdr>
      <w:divsChild>
        <w:div w:id="1164668943">
          <w:marLeft w:val="0"/>
          <w:marRight w:val="0"/>
          <w:marTop w:val="0"/>
          <w:marBottom w:val="0"/>
          <w:divBdr>
            <w:top w:val="none" w:sz="0" w:space="0" w:color="auto"/>
            <w:left w:val="none" w:sz="0" w:space="0" w:color="auto"/>
            <w:bottom w:val="none" w:sz="0" w:space="0" w:color="auto"/>
            <w:right w:val="none" w:sz="0" w:space="0" w:color="auto"/>
          </w:divBdr>
          <w:divsChild>
            <w:div w:id="2013868347">
              <w:marLeft w:val="0"/>
              <w:marRight w:val="0"/>
              <w:marTop w:val="0"/>
              <w:marBottom w:val="0"/>
              <w:divBdr>
                <w:top w:val="none" w:sz="0" w:space="0" w:color="auto"/>
                <w:left w:val="none" w:sz="0" w:space="0" w:color="auto"/>
                <w:bottom w:val="none" w:sz="0" w:space="0" w:color="auto"/>
                <w:right w:val="none" w:sz="0" w:space="0" w:color="auto"/>
              </w:divBdr>
              <w:divsChild>
                <w:div w:id="1914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71913">
      <w:bodyDiv w:val="1"/>
      <w:marLeft w:val="0"/>
      <w:marRight w:val="0"/>
      <w:marTop w:val="0"/>
      <w:marBottom w:val="0"/>
      <w:divBdr>
        <w:top w:val="none" w:sz="0" w:space="0" w:color="auto"/>
        <w:left w:val="none" w:sz="0" w:space="0" w:color="auto"/>
        <w:bottom w:val="none" w:sz="0" w:space="0" w:color="auto"/>
        <w:right w:val="none" w:sz="0" w:space="0" w:color="auto"/>
      </w:divBdr>
      <w:divsChild>
        <w:div w:id="1994021184">
          <w:marLeft w:val="0"/>
          <w:marRight w:val="0"/>
          <w:marTop w:val="0"/>
          <w:marBottom w:val="0"/>
          <w:divBdr>
            <w:top w:val="none" w:sz="0" w:space="0" w:color="auto"/>
            <w:left w:val="none" w:sz="0" w:space="0" w:color="auto"/>
            <w:bottom w:val="none" w:sz="0" w:space="0" w:color="auto"/>
            <w:right w:val="none" w:sz="0" w:space="0" w:color="auto"/>
          </w:divBdr>
          <w:divsChild>
            <w:div w:id="1190297355">
              <w:marLeft w:val="0"/>
              <w:marRight w:val="0"/>
              <w:marTop w:val="0"/>
              <w:marBottom w:val="0"/>
              <w:divBdr>
                <w:top w:val="none" w:sz="0" w:space="0" w:color="auto"/>
                <w:left w:val="none" w:sz="0" w:space="0" w:color="auto"/>
                <w:bottom w:val="none" w:sz="0" w:space="0" w:color="auto"/>
                <w:right w:val="none" w:sz="0" w:space="0" w:color="auto"/>
              </w:divBdr>
              <w:divsChild>
                <w:div w:id="13883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195">
      <w:bodyDiv w:val="1"/>
      <w:marLeft w:val="0"/>
      <w:marRight w:val="0"/>
      <w:marTop w:val="0"/>
      <w:marBottom w:val="0"/>
      <w:divBdr>
        <w:top w:val="none" w:sz="0" w:space="0" w:color="auto"/>
        <w:left w:val="none" w:sz="0" w:space="0" w:color="auto"/>
        <w:bottom w:val="none" w:sz="0" w:space="0" w:color="auto"/>
        <w:right w:val="none" w:sz="0" w:space="0" w:color="auto"/>
      </w:divBdr>
      <w:divsChild>
        <w:div w:id="13653996">
          <w:marLeft w:val="0"/>
          <w:marRight w:val="0"/>
          <w:marTop w:val="0"/>
          <w:marBottom w:val="0"/>
          <w:divBdr>
            <w:top w:val="none" w:sz="0" w:space="0" w:color="auto"/>
            <w:left w:val="none" w:sz="0" w:space="0" w:color="auto"/>
            <w:bottom w:val="none" w:sz="0" w:space="0" w:color="auto"/>
            <w:right w:val="none" w:sz="0" w:space="0" w:color="auto"/>
          </w:divBdr>
          <w:divsChild>
            <w:div w:id="785075729">
              <w:marLeft w:val="0"/>
              <w:marRight w:val="0"/>
              <w:marTop w:val="0"/>
              <w:marBottom w:val="0"/>
              <w:divBdr>
                <w:top w:val="none" w:sz="0" w:space="0" w:color="auto"/>
                <w:left w:val="none" w:sz="0" w:space="0" w:color="auto"/>
                <w:bottom w:val="none" w:sz="0" w:space="0" w:color="auto"/>
                <w:right w:val="none" w:sz="0" w:space="0" w:color="auto"/>
              </w:divBdr>
              <w:divsChild>
                <w:div w:id="129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81887">
      <w:bodyDiv w:val="1"/>
      <w:marLeft w:val="0"/>
      <w:marRight w:val="0"/>
      <w:marTop w:val="0"/>
      <w:marBottom w:val="0"/>
      <w:divBdr>
        <w:top w:val="none" w:sz="0" w:space="0" w:color="auto"/>
        <w:left w:val="none" w:sz="0" w:space="0" w:color="auto"/>
        <w:bottom w:val="none" w:sz="0" w:space="0" w:color="auto"/>
        <w:right w:val="none" w:sz="0" w:space="0" w:color="auto"/>
      </w:divBdr>
      <w:divsChild>
        <w:div w:id="1374961155">
          <w:marLeft w:val="0"/>
          <w:marRight w:val="0"/>
          <w:marTop w:val="0"/>
          <w:marBottom w:val="0"/>
          <w:divBdr>
            <w:top w:val="none" w:sz="0" w:space="0" w:color="auto"/>
            <w:left w:val="none" w:sz="0" w:space="0" w:color="auto"/>
            <w:bottom w:val="none" w:sz="0" w:space="0" w:color="auto"/>
            <w:right w:val="none" w:sz="0" w:space="0" w:color="auto"/>
          </w:divBdr>
          <w:divsChild>
            <w:div w:id="31805788">
              <w:marLeft w:val="0"/>
              <w:marRight w:val="0"/>
              <w:marTop w:val="0"/>
              <w:marBottom w:val="0"/>
              <w:divBdr>
                <w:top w:val="none" w:sz="0" w:space="0" w:color="auto"/>
                <w:left w:val="none" w:sz="0" w:space="0" w:color="auto"/>
                <w:bottom w:val="none" w:sz="0" w:space="0" w:color="auto"/>
                <w:right w:val="none" w:sz="0" w:space="0" w:color="auto"/>
              </w:divBdr>
              <w:divsChild>
                <w:div w:id="9497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83019">
      <w:bodyDiv w:val="1"/>
      <w:marLeft w:val="0"/>
      <w:marRight w:val="0"/>
      <w:marTop w:val="0"/>
      <w:marBottom w:val="0"/>
      <w:divBdr>
        <w:top w:val="none" w:sz="0" w:space="0" w:color="auto"/>
        <w:left w:val="none" w:sz="0" w:space="0" w:color="auto"/>
        <w:bottom w:val="none" w:sz="0" w:space="0" w:color="auto"/>
        <w:right w:val="none" w:sz="0" w:space="0" w:color="auto"/>
      </w:divBdr>
      <w:divsChild>
        <w:div w:id="1369646187">
          <w:marLeft w:val="0"/>
          <w:marRight w:val="0"/>
          <w:marTop w:val="0"/>
          <w:marBottom w:val="0"/>
          <w:divBdr>
            <w:top w:val="none" w:sz="0" w:space="0" w:color="auto"/>
            <w:left w:val="none" w:sz="0" w:space="0" w:color="auto"/>
            <w:bottom w:val="none" w:sz="0" w:space="0" w:color="auto"/>
            <w:right w:val="none" w:sz="0" w:space="0" w:color="auto"/>
          </w:divBdr>
          <w:divsChild>
            <w:div w:id="1551527642">
              <w:marLeft w:val="0"/>
              <w:marRight w:val="0"/>
              <w:marTop w:val="0"/>
              <w:marBottom w:val="0"/>
              <w:divBdr>
                <w:top w:val="none" w:sz="0" w:space="0" w:color="auto"/>
                <w:left w:val="none" w:sz="0" w:space="0" w:color="auto"/>
                <w:bottom w:val="none" w:sz="0" w:space="0" w:color="auto"/>
                <w:right w:val="none" w:sz="0" w:space="0" w:color="auto"/>
              </w:divBdr>
              <w:divsChild>
                <w:div w:id="180510065">
                  <w:marLeft w:val="0"/>
                  <w:marRight w:val="0"/>
                  <w:marTop w:val="0"/>
                  <w:marBottom w:val="0"/>
                  <w:divBdr>
                    <w:top w:val="none" w:sz="0" w:space="0" w:color="auto"/>
                    <w:left w:val="none" w:sz="0" w:space="0" w:color="auto"/>
                    <w:bottom w:val="none" w:sz="0" w:space="0" w:color="auto"/>
                    <w:right w:val="none" w:sz="0" w:space="0" w:color="auto"/>
                  </w:divBdr>
                  <w:divsChild>
                    <w:div w:id="3403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14513">
      <w:bodyDiv w:val="1"/>
      <w:marLeft w:val="0"/>
      <w:marRight w:val="0"/>
      <w:marTop w:val="0"/>
      <w:marBottom w:val="0"/>
      <w:divBdr>
        <w:top w:val="none" w:sz="0" w:space="0" w:color="auto"/>
        <w:left w:val="none" w:sz="0" w:space="0" w:color="auto"/>
        <w:bottom w:val="none" w:sz="0" w:space="0" w:color="auto"/>
        <w:right w:val="none" w:sz="0" w:space="0" w:color="auto"/>
      </w:divBdr>
      <w:divsChild>
        <w:div w:id="2108840757">
          <w:marLeft w:val="0"/>
          <w:marRight w:val="0"/>
          <w:marTop w:val="0"/>
          <w:marBottom w:val="0"/>
          <w:divBdr>
            <w:top w:val="none" w:sz="0" w:space="0" w:color="auto"/>
            <w:left w:val="none" w:sz="0" w:space="0" w:color="auto"/>
            <w:bottom w:val="none" w:sz="0" w:space="0" w:color="auto"/>
            <w:right w:val="none" w:sz="0" w:space="0" w:color="auto"/>
          </w:divBdr>
          <w:divsChild>
            <w:div w:id="818426246">
              <w:marLeft w:val="0"/>
              <w:marRight w:val="0"/>
              <w:marTop w:val="0"/>
              <w:marBottom w:val="0"/>
              <w:divBdr>
                <w:top w:val="none" w:sz="0" w:space="0" w:color="auto"/>
                <w:left w:val="none" w:sz="0" w:space="0" w:color="auto"/>
                <w:bottom w:val="none" w:sz="0" w:space="0" w:color="auto"/>
                <w:right w:val="none" w:sz="0" w:space="0" w:color="auto"/>
              </w:divBdr>
              <w:divsChild>
                <w:div w:id="1665937449">
                  <w:marLeft w:val="0"/>
                  <w:marRight w:val="0"/>
                  <w:marTop w:val="0"/>
                  <w:marBottom w:val="0"/>
                  <w:divBdr>
                    <w:top w:val="none" w:sz="0" w:space="0" w:color="auto"/>
                    <w:left w:val="none" w:sz="0" w:space="0" w:color="auto"/>
                    <w:bottom w:val="none" w:sz="0" w:space="0" w:color="auto"/>
                    <w:right w:val="none" w:sz="0" w:space="0" w:color="auto"/>
                  </w:divBdr>
                </w:div>
              </w:divsChild>
            </w:div>
            <w:div w:id="1392775079">
              <w:marLeft w:val="0"/>
              <w:marRight w:val="0"/>
              <w:marTop w:val="0"/>
              <w:marBottom w:val="0"/>
              <w:divBdr>
                <w:top w:val="none" w:sz="0" w:space="0" w:color="auto"/>
                <w:left w:val="none" w:sz="0" w:space="0" w:color="auto"/>
                <w:bottom w:val="none" w:sz="0" w:space="0" w:color="auto"/>
                <w:right w:val="none" w:sz="0" w:space="0" w:color="auto"/>
              </w:divBdr>
              <w:divsChild>
                <w:div w:id="1827670959">
                  <w:marLeft w:val="0"/>
                  <w:marRight w:val="0"/>
                  <w:marTop w:val="0"/>
                  <w:marBottom w:val="0"/>
                  <w:divBdr>
                    <w:top w:val="none" w:sz="0" w:space="0" w:color="auto"/>
                    <w:left w:val="none" w:sz="0" w:space="0" w:color="auto"/>
                    <w:bottom w:val="none" w:sz="0" w:space="0" w:color="auto"/>
                    <w:right w:val="none" w:sz="0" w:space="0" w:color="auto"/>
                  </w:divBdr>
                </w:div>
              </w:divsChild>
            </w:div>
            <w:div w:id="1824346861">
              <w:marLeft w:val="0"/>
              <w:marRight w:val="0"/>
              <w:marTop w:val="0"/>
              <w:marBottom w:val="0"/>
              <w:divBdr>
                <w:top w:val="none" w:sz="0" w:space="0" w:color="auto"/>
                <w:left w:val="none" w:sz="0" w:space="0" w:color="auto"/>
                <w:bottom w:val="none" w:sz="0" w:space="0" w:color="auto"/>
                <w:right w:val="none" w:sz="0" w:space="0" w:color="auto"/>
              </w:divBdr>
              <w:divsChild>
                <w:div w:id="3617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8999">
      <w:bodyDiv w:val="1"/>
      <w:marLeft w:val="0"/>
      <w:marRight w:val="0"/>
      <w:marTop w:val="0"/>
      <w:marBottom w:val="0"/>
      <w:divBdr>
        <w:top w:val="none" w:sz="0" w:space="0" w:color="auto"/>
        <w:left w:val="none" w:sz="0" w:space="0" w:color="auto"/>
        <w:bottom w:val="none" w:sz="0" w:space="0" w:color="auto"/>
        <w:right w:val="none" w:sz="0" w:space="0" w:color="auto"/>
      </w:divBdr>
    </w:div>
    <w:div w:id="778720988">
      <w:bodyDiv w:val="1"/>
      <w:marLeft w:val="0"/>
      <w:marRight w:val="0"/>
      <w:marTop w:val="0"/>
      <w:marBottom w:val="0"/>
      <w:divBdr>
        <w:top w:val="none" w:sz="0" w:space="0" w:color="auto"/>
        <w:left w:val="none" w:sz="0" w:space="0" w:color="auto"/>
        <w:bottom w:val="none" w:sz="0" w:space="0" w:color="auto"/>
        <w:right w:val="none" w:sz="0" w:space="0" w:color="auto"/>
      </w:divBdr>
    </w:div>
    <w:div w:id="790905557">
      <w:bodyDiv w:val="1"/>
      <w:marLeft w:val="0"/>
      <w:marRight w:val="0"/>
      <w:marTop w:val="0"/>
      <w:marBottom w:val="0"/>
      <w:divBdr>
        <w:top w:val="none" w:sz="0" w:space="0" w:color="auto"/>
        <w:left w:val="none" w:sz="0" w:space="0" w:color="auto"/>
        <w:bottom w:val="none" w:sz="0" w:space="0" w:color="auto"/>
        <w:right w:val="none" w:sz="0" w:space="0" w:color="auto"/>
      </w:divBdr>
      <w:divsChild>
        <w:div w:id="517695403">
          <w:marLeft w:val="0"/>
          <w:marRight w:val="0"/>
          <w:marTop w:val="0"/>
          <w:marBottom w:val="0"/>
          <w:divBdr>
            <w:top w:val="none" w:sz="0" w:space="0" w:color="auto"/>
            <w:left w:val="none" w:sz="0" w:space="0" w:color="auto"/>
            <w:bottom w:val="none" w:sz="0" w:space="0" w:color="auto"/>
            <w:right w:val="none" w:sz="0" w:space="0" w:color="auto"/>
          </w:divBdr>
          <w:divsChild>
            <w:div w:id="1635527070">
              <w:marLeft w:val="0"/>
              <w:marRight w:val="0"/>
              <w:marTop w:val="0"/>
              <w:marBottom w:val="0"/>
              <w:divBdr>
                <w:top w:val="none" w:sz="0" w:space="0" w:color="auto"/>
                <w:left w:val="none" w:sz="0" w:space="0" w:color="auto"/>
                <w:bottom w:val="none" w:sz="0" w:space="0" w:color="auto"/>
                <w:right w:val="none" w:sz="0" w:space="0" w:color="auto"/>
              </w:divBdr>
              <w:divsChild>
                <w:div w:id="9945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6099">
      <w:bodyDiv w:val="1"/>
      <w:marLeft w:val="0"/>
      <w:marRight w:val="0"/>
      <w:marTop w:val="0"/>
      <w:marBottom w:val="0"/>
      <w:divBdr>
        <w:top w:val="none" w:sz="0" w:space="0" w:color="auto"/>
        <w:left w:val="none" w:sz="0" w:space="0" w:color="auto"/>
        <w:bottom w:val="none" w:sz="0" w:space="0" w:color="auto"/>
        <w:right w:val="none" w:sz="0" w:space="0" w:color="auto"/>
      </w:divBdr>
      <w:divsChild>
        <w:div w:id="1176766950">
          <w:marLeft w:val="0"/>
          <w:marRight w:val="0"/>
          <w:marTop w:val="0"/>
          <w:marBottom w:val="0"/>
          <w:divBdr>
            <w:top w:val="none" w:sz="0" w:space="0" w:color="auto"/>
            <w:left w:val="none" w:sz="0" w:space="0" w:color="auto"/>
            <w:bottom w:val="none" w:sz="0" w:space="0" w:color="auto"/>
            <w:right w:val="none" w:sz="0" w:space="0" w:color="auto"/>
          </w:divBdr>
          <w:divsChild>
            <w:div w:id="2098792100">
              <w:marLeft w:val="0"/>
              <w:marRight w:val="0"/>
              <w:marTop w:val="0"/>
              <w:marBottom w:val="0"/>
              <w:divBdr>
                <w:top w:val="none" w:sz="0" w:space="0" w:color="auto"/>
                <w:left w:val="none" w:sz="0" w:space="0" w:color="auto"/>
                <w:bottom w:val="none" w:sz="0" w:space="0" w:color="auto"/>
                <w:right w:val="none" w:sz="0" w:space="0" w:color="auto"/>
              </w:divBdr>
              <w:divsChild>
                <w:div w:id="16267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31017">
      <w:bodyDiv w:val="1"/>
      <w:marLeft w:val="0"/>
      <w:marRight w:val="0"/>
      <w:marTop w:val="0"/>
      <w:marBottom w:val="0"/>
      <w:divBdr>
        <w:top w:val="none" w:sz="0" w:space="0" w:color="auto"/>
        <w:left w:val="none" w:sz="0" w:space="0" w:color="auto"/>
        <w:bottom w:val="none" w:sz="0" w:space="0" w:color="auto"/>
        <w:right w:val="none" w:sz="0" w:space="0" w:color="auto"/>
      </w:divBdr>
    </w:div>
    <w:div w:id="1088623662">
      <w:bodyDiv w:val="1"/>
      <w:marLeft w:val="0"/>
      <w:marRight w:val="0"/>
      <w:marTop w:val="0"/>
      <w:marBottom w:val="0"/>
      <w:divBdr>
        <w:top w:val="none" w:sz="0" w:space="0" w:color="auto"/>
        <w:left w:val="none" w:sz="0" w:space="0" w:color="auto"/>
        <w:bottom w:val="none" w:sz="0" w:space="0" w:color="auto"/>
        <w:right w:val="none" w:sz="0" w:space="0" w:color="auto"/>
      </w:divBdr>
    </w:div>
    <w:div w:id="1105610315">
      <w:bodyDiv w:val="1"/>
      <w:marLeft w:val="0"/>
      <w:marRight w:val="0"/>
      <w:marTop w:val="0"/>
      <w:marBottom w:val="0"/>
      <w:divBdr>
        <w:top w:val="none" w:sz="0" w:space="0" w:color="auto"/>
        <w:left w:val="none" w:sz="0" w:space="0" w:color="auto"/>
        <w:bottom w:val="none" w:sz="0" w:space="0" w:color="auto"/>
        <w:right w:val="none" w:sz="0" w:space="0" w:color="auto"/>
      </w:divBdr>
    </w:div>
    <w:div w:id="1205679772">
      <w:bodyDiv w:val="1"/>
      <w:marLeft w:val="0"/>
      <w:marRight w:val="0"/>
      <w:marTop w:val="0"/>
      <w:marBottom w:val="0"/>
      <w:divBdr>
        <w:top w:val="none" w:sz="0" w:space="0" w:color="auto"/>
        <w:left w:val="none" w:sz="0" w:space="0" w:color="auto"/>
        <w:bottom w:val="none" w:sz="0" w:space="0" w:color="auto"/>
        <w:right w:val="none" w:sz="0" w:space="0" w:color="auto"/>
      </w:divBdr>
      <w:divsChild>
        <w:div w:id="468283765">
          <w:marLeft w:val="0"/>
          <w:marRight w:val="0"/>
          <w:marTop w:val="0"/>
          <w:marBottom w:val="0"/>
          <w:divBdr>
            <w:top w:val="none" w:sz="0" w:space="0" w:color="auto"/>
            <w:left w:val="none" w:sz="0" w:space="0" w:color="auto"/>
            <w:bottom w:val="none" w:sz="0" w:space="0" w:color="auto"/>
            <w:right w:val="none" w:sz="0" w:space="0" w:color="auto"/>
          </w:divBdr>
          <w:divsChild>
            <w:div w:id="946547275">
              <w:marLeft w:val="0"/>
              <w:marRight w:val="0"/>
              <w:marTop w:val="0"/>
              <w:marBottom w:val="0"/>
              <w:divBdr>
                <w:top w:val="none" w:sz="0" w:space="0" w:color="auto"/>
                <w:left w:val="none" w:sz="0" w:space="0" w:color="auto"/>
                <w:bottom w:val="none" w:sz="0" w:space="0" w:color="auto"/>
                <w:right w:val="none" w:sz="0" w:space="0" w:color="auto"/>
              </w:divBdr>
              <w:divsChild>
                <w:div w:id="343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5563">
      <w:bodyDiv w:val="1"/>
      <w:marLeft w:val="0"/>
      <w:marRight w:val="0"/>
      <w:marTop w:val="0"/>
      <w:marBottom w:val="0"/>
      <w:divBdr>
        <w:top w:val="none" w:sz="0" w:space="0" w:color="auto"/>
        <w:left w:val="none" w:sz="0" w:space="0" w:color="auto"/>
        <w:bottom w:val="none" w:sz="0" w:space="0" w:color="auto"/>
        <w:right w:val="none" w:sz="0" w:space="0" w:color="auto"/>
      </w:divBdr>
    </w:div>
    <w:div w:id="1256325632">
      <w:bodyDiv w:val="1"/>
      <w:marLeft w:val="0"/>
      <w:marRight w:val="0"/>
      <w:marTop w:val="0"/>
      <w:marBottom w:val="0"/>
      <w:divBdr>
        <w:top w:val="none" w:sz="0" w:space="0" w:color="auto"/>
        <w:left w:val="none" w:sz="0" w:space="0" w:color="auto"/>
        <w:bottom w:val="none" w:sz="0" w:space="0" w:color="auto"/>
        <w:right w:val="none" w:sz="0" w:space="0" w:color="auto"/>
      </w:divBdr>
    </w:div>
    <w:div w:id="1390836579">
      <w:bodyDiv w:val="1"/>
      <w:marLeft w:val="0"/>
      <w:marRight w:val="0"/>
      <w:marTop w:val="0"/>
      <w:marBottom w:val="0"/>
      <w:divBdr>
        <w:top w:val="none" w:sz="0" w:space="0" w:color="auto"/>
        <w:left w:val="none" w:sz="0" w:space="0" w:color="auto"/>
        <w:bottom w:val="none" w:sz="0" w:space="0" w:color="auto"/>
        <w:right w:val="none" w:sz="0" w:space="0" w:color="auto"/>
      </w:divBdr>
    </w:div>
    <w:div w:id="1428620870">
      <w:bodyDiv w:val="1"/>
      <w:marLeft w:val="0"/>
      <w:marRight w:val="0"/>
      <w:marTop w:val="0"/>
      <w:marBottom w:val="0"/>
      <w:divBdr>
        <w:top w:val="none" w:sz="0" w:space="0" w:color="auto"/>
        <w:left w:val="none" w:sz="0" w:space="0" w:color="auto"/>
        <w:bottom w:val="none" w:sz="0" w:space="0" w:color="auto"/>
        <w:right w:val="none" w:sz="0" w:space="0" w:color="auto"/>
      </w:divBdr>
    </w:div>
    <w:div w:id="1605067376">
      <w:bodyDiv w:val="1"/>
      <w:marLeft w:val="0"/>
      <w:marRight w:val="0"/>
      <w:marTop w:val="0"/>
      <w:marBottom w:val="0"/>
      <w:divBdr>
        <w:top w:val="none" w:sz="0" w:space="0" w:color="auto"/>
        <w:left w:val="none" w:sz="0" w:space="0" w:color="auto"/>
        <w:bottom w:val="none" w:sz="0" w:space="0" w:color="auto"/>
        <w:right w:val="none" w:sz="0" w:space="0" w:color="auto"/>
      </w:divBdr>
    </w:div>
    <w:div w:id="1720127058">
      <w:bodyDiv w:val="1"/>
      <w:marLeft w:val="0"/>
      <w:marRight w:val="0"/>
      <w:marTop w:val="0"/>
      <w:marBottom w:val="0"/>
      <w:divBdr>
        <w:top w:val="none" w:sz="0" w:space="0" w:color="auto"/>
        <w:left w:val="none" w:sz="0" w:space="0" w:color="auto"/>
        <w:bottom w:val="none" w:sz="0" w:space="0" w:color="auto"/>
        <w:right w:val="none" w:sz="0" w:space="0" w:color="auto"/>
      </w:divBdr>
    </w:div>
    <w:div w:id="1761176071">
      <w:bodyDiv w:val="1"/>
      <w:marLeft w:val="0"/>
      <w:marRight w:val="0"/>
      <w:marTop w:val="0"/>
      <w:marBottom w:val="0"/>
      <w:divBdr>
        <w:top w:val="none" w:sz="0" w:space="0" w:color="auto"/>
        <w:left w:val="none" w:sz="0" w:space="0" w:color="auto"/>
        <w:bottom w:val="none" w:sz="0" w:space="0" w:color="auto"/>
        <w:right w:val="none" w:sz="0" w:space="0" w:color="auto"/>
      </w:divBdr>
    </w:div>
    <w:div w:id="1829246247">
      <w:bodyDiv w:val="1"/>
      <w:marLeft w:val="0"/>
      <w:marRight w:val="0"/>
      <w:marTop w:val="0"/>
      <w:marBottom w:val="0"/>
      <w:divBdr>
        <w:top w:val="none" w:sz="0" w:space="0" w:color="auto"/>
        <w:left w:val="none" w:sz="0" w:space="0" w:color="auto"/>
        <w:bottom w:val="none" w:sz="0" w:space="0" w:color="auto"/>
        <w:right w:val="none" w:sz="0" w:space="0" w:color="auto"/>
      </w:divBdr>
    </w:div>
    <w:div w:id="1953200196">
      <w:bodyDiv w:val="1"/>
      <w:marLeft w:val="0"/>
      <w:marRight w:val="0"/>
      <w:marTop w:val="0"/>
      <w:marBottom w:val="0"/>
      <w:divBdr>
        <w:top w:val="none" w:sz="0" w:space="0" w:color="auto"/>
        <w:left w:val="none" w:sz="0" w:space="0" w:color="auto"/>
        <w:bottom w:val="none" w:sz="0" w:space="0" w:color="auto"/>
        <w:right w:val="none" w:sz="0" w:space="0" w:color="auto"/>
      </w:divBdr>
      <w:divsChild>
        <w:div w:id="1614284106">
          <w:marLeft w:val="0"/>
          <w:marRight w:val="0"/>
          <w:marTop w:val="0"/>
          <w:marBottom w:val="0"/>
          <w:divBdr>
            <w:top w:val="none" w:sz="0" w:space="0" w:color="auto"/>
            <w:left w:val="none" w:sz="0" w:space="0" w:color="auto"/>
            <w:bottom w:val="none" w:sz="0" w:space="0" w:color="auto"/>
            <w:right w:val="none" w:sz="0" w:space="0" w:color="auto"/>
          </w:divBdr>
          <w:divsChild>
            <w:div w:id="873469632">
              <w:marLeft w:val="0"/>
              <w:marRight w:val="0"/>
              <w:marTop w:val="0"/>
              <w:marBottom w:val="0"/>
              <w:divBdr>
                <w:top w:val="none" w:sz="0" w:space="0" w:color="auto"/>
                <w:left w:val="none" w:sz="0" w:space="0" w:color="auto"/>
                <w:bottom w:val="none" w:sz="0" w:space="0" w:color="auto"/>
                <w:right w:val="none" w:sz="0" w:space="0" w:color="auto"/>
              </w:divBdr>
              <w:divsChild>
                <w:div w:id="18474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5560">
      <w:bodyDiv w:val="1"/>
      <w:marLeft w:val="0"/>
      <w:marRight w:val="0"/>
      <w:marTop w:val="0"/>
      <w:marBottom w:val="0"/>
      <w:divBdr>
        <w:top w:val="none" w:sz="0" w:space="0" w:color="auto"/>
        <w:left w:val="none" w:sz="0" w:space="0" w:color="auto"/>
        <w:bottom w:val="none" w:sz="0" w:space="0" w:color="auto"/>
        <w:right w:val="none" w:sz="0" w:space="0" w:color="auto"/>
      </w:divBdr>
    </w:div>
    <w:div w:id="2104179950">
      <w:bodyDiv w:val="1"/>
      <w:marLeft w:val="0"/>
      <w:marRight w:val="0"/>
      <w:marTop w:val="0"/>
      <w:marBottom w:val="0"/>
      <w:divBdr>
        <w:top w:val="none" w:sz="0" w:space="0" w:color="auto"/>
        <w:left w:val="none" w:sz="0" w:space="0" w:color="auto"/>
        <w:bottom w:val="none" w:sz="0" w:space="0" w:color="auto"/>
        <w:right w:val="none" w:sz="0" w:space="0" w:color="auto"/>
      </w:divBdr>
    </w:div>
    <w:div w:id="2118787180">
      <w:bodyDiv w:val="1"/>
      <w:marLeft w:val="0"/>
      <w:marRight w:val="0"/>
      <w:marTop w:val="0"/>
      <w:marBottom w:val="0"/>
      <w:divBdr>
        <w:top w:val="none" w:sz="0" w:space="0" w:color="auto"/>
        <w:left w:val="none" w:sz="0" w:space="0" w:color="auto"/>
        <w:bottom w:val="none" w:sz="0" w:space="0" w:color="auto"/>
        <w:right w:val="none" w:sz="0" w:space="0" w:color="auto"/>
      </w:divBdr>
    </w:div>
    <w:div w:id="2119833996">
      <w:bodyDiv w:val="1"/>
      <w:marLeft w:val="0"/>
      <w:marRight w:val="0"/>
      <w:marTop w:val="0"/>
      <w:marBottom w:val="0"/>
      <w:divBdr>
        <w:top w:val="none" w:sz="0" w:space="0" w:color="auto"/>
        <w:left w:val="none" w:sz="0" w:space="0" w:color="auto"/>
        <w:bottom w:val="none" w:sz="0" w:space="0" w:color="auto"/>
        <w:right w:val="none" w:sz="0" w:space="0" w:color="auto"/>
      </w:divBdr>
      <w:divsChild>
        <w:div w:id="756943085">
          <w:marLeft w:val="0"/>
          <w:marRight w:val="0"/>
          <w:marTop w:val="0"/>
          <w:marBottom w:val="0"/>
          <w:divBdr>
            <w:top w:val="none" w:sz="0" w:space="0" w:color="auto"/>
            <w:left w:val="none" w:sz="0" w:space="0" w:color="auto"/>
            <w:bottom w:val="none" w:sz="0" w:space="0" w:color="auto"/>
            <w:right w:val="none" w:sz="0" w:space="0" w:color="auto"/>
          </w:divBdr>
          <w:divsChild>
            <w:div w:id="1240092138">
              <w:marLeft w:val="0"/>
              <w:marRight w:val="0"/>
              <w:marTop w:val="0"/>
              <w:marBottom w:val="0"/>
              <w:divBdr>
                <w:top w:val="none" w:sz="0" w:space="0" w:color="auto"/>
                <w:left w:val="none" w:sz="0" w:space="0" w:color="auto"/>
                <w:bottom w:val="none" w:sz="0" w:space="0" w:color="auto"/>
                <w:right w:val="none" w:sz="0" w:space="0" w:color="auto"/>
              </w:divBdr>
              <w:divsChild>
                <w:div w:id="16433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6.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2.png"/><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907C9-28AA-4E62-8319-9B00BA5C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63</Pages>
  <Words>25161</Words>
  <Characters>134867</Characters>
  <Application>Microsoft Office Word</Application>
  <DocSecurity>0</DocSecurity>
  <Lines>3065</Lines>
  <Paragraphs>1720</Paragraphs>
  <ScaleCrop>false</ScaleCrop>
  <HeadingPairs>
    <vt:vector size="2" baseType="variant">
      <vt:variant>
        <vt:lpstr>Title</vt:lpstr>
      </vt:variant>
      <vt:variant>
        <vt:i4>1</vt:i4>
      </vt:variant>
    </vt:vector>
  </HeadingPairs>
  <TitlesOfParts>
    <vt:vector size="1" baseType="lpstr">
      <vt:lpstr>Australian Public Assessment Report for Nivolumab</vt:lpstr>
    </vt:vector>
  </TitlesOfParts>
  <Company>Department of Health</Company>
  <LinksUpToDate>false</LinksUpToDate>
  <CharactersWithSpaces>158308</CharactersWithSpaces>
  <SharedDoc>false</SharedDoc>
  <HLinks>
    <vt:vector size="216" baseType="variant">
      <vt:variant>
        <vt:i4>3473445</vt:i4>
      </vt:variant>
      <vt:variant>
        <vt:i4>201</vt:i4>
      </vt:variant>
      <vt:variant>
        <vt:i4>0</vt:i4>
      </vt:variant>
      <vt:variant>
        <vt:i4>5</vt:i4>
      </vt:variant>
      <vt:variant>
        <vt:lpwstr>https://www.tga.gov.au/</vt:lpwstr>
      </vt:variant>
      <vt:variant>
        <vt:lpwstr/>
      </vt:variant>
      <vt:variant>
        <vt:i4>5242926</vt:i4>
      </vt:variant>
      <vt:variant>
        <vt:i4>198</vt:i4>
      </vt:variant>
      <vt:variant>
        <vt:i4>0</vt:i4>
      </vt:variant>
      <vt:variant>
        <vt:i4>5</vt:i4>
      </vt:variant>
      <vt:variant>
        <vt:lpwstr>mailto:info@tga.gov.au</vt:lpwstr>
      </vt:variant>
      <vt:variant>
        <vt:lpwstr/>
      </vt:variant>
      <vt:variant>
        <vt:i4>4194312</vt:i4>
      </vt:variant>
      <vt:variant>
        <vt:i4>195</vt:i4>
      </vt:variant>
      <vt:variant>
        <vt:i4>0</vt:i4>
      </vt:variant>
      <vt:variant>
        <vt:i4>5</vt:i4>
      </vt:variant>
      <vt:variant>
        <vt:lpwstr>https://www.tga.gov.au/product-information-pi</vt:lpwstr>
      </vt:variant>
      <vt:variant>
        <vt:lpwstr/>
      </vt:variant>
      <vt:variant>
        <vt:i4>4194312</vt:i4>
      </vt:variant>
      <vt:variant>
        <vt:i4>189</vt:i4>
      </vt:variant>
      <vt:variant>
        <vt:i4>0</vt:i4>
      </vt:variant>
      <vt:variant>
        <vt:i4>5</vt:i4>
      </vt:variant>
      <vt:variant>
        <vt:lpwstr>https://www.tga.gov.au/product-information-pi</vt:lpwstr>
      </vt:variant>
      <vt:variant>
        <vt:lpwstr/>
      </vt:variant>
      <vt:variant>
        <vt:i4>1048625</vt:i4>
      </vt:variant>
      <vt:variant>
        <vt:i4>182</vt:i4>
      </vt:variant>
      <vt:variant>
        <vt:i4>0</vt:i4>
      </vt:variant>
      <vt:variant>
        <vt:i4>5</vt:i4>
      </vt:variant>
      <vt:variant>
        <vt:lpwstr/>
      </vt:variant>
      <vt:variant>
        <vt:lpwstr>_Toc491904435</vt:lpwstr>
      </vt:variant>
      <vt:variant>
        <vt:i4>1048625</vt:i4>
      </vt:variant>
      <vt:variant>
        <vt:i4>176</vt:i4>
      </vt:variant>
      <vt:variant>
        <vt:i4>0</vt:i4>
      </vt:variant>
      <vt:variant>
        <vt:i4>5</vt:i4>
      </vt:variant>
      <vt:variant>
        <vt:lpwstr/>
      </vt:variant>
      <vt:variant>
        <vt:lpwstr>_Toc491904434</vt:lpwstr>
      </vt:variant>
      <vt:variant>
        <vt:i4>1048625</vt:i4>
      </vt:variant>
      <vt:variant>
        <vt:i4>170</vt:i4>
      </vt:variant>
      <vt:variant>
        <vt:i4>0</vt:i4>
      </vt:variant>
      <vt:variant>
        <vt:i4>5</vt:i4>
      </vt:variant>
      <vt:variant>
        <vt:lpwstr/>
      </vt:variant>
      <vt:variant>
        <vt:lpwstr>_Toc491904433</vt:lpwstr>
      </vt:variant>
      <vt:variant>
        <vt:i4>1048625</vt:i4>
      </vt:variant>
      <vt:variant>
        <vt:i4>164</vt:i4>
      </vt:variant>
      <vt:variant>
        <vt:i4>0</vt:i4>
      </vt:variant>
      <vt:variant>
        <vt:i4>5</vt:i4>
      </vt:variant>
      <vt:variant>
        <vt:lpwstr/>
      </vt:variant>
      <vt:variant>
        <vt:lpwstr>_Toc491904432</vt:lpwstr>
      </vt:variant>
      <vt:variant>
        <vt:i4>1048625</vt:i4>
      </vt:variant>
      <vt:variant>
        <vt:i4>158</vt:i4>
      </vt:variant>
      <vt:variant>
        <vt:i4>0</vt:i4>
      </vt:variant>
      <vt:variant>
        <vt:i4>5</vt:i4>
      </vt:variant>
      <vt:variant>
        <vt:lpwstr/>
      </vt:variant>
      <vt:variant>
        <vt:lpwstr>_Toc491904431</vt:lpwstr>
      </vt:variant>
      <vt:variant>
        <vt:i4>1048625</vt:i4>
      </vt:variant>
      <vt:variant>
        <vt:i4>152</vt:i4>
      </vt:variant>
      <vt:variant>
        <vt:i4>0</vt:i4>
      </vt:variant>
      <vt:variant>
        <vt:i4>5</vt:i4>
      </vt:variant>
      <vt:variant>
        <vt:lpwstr/>
      </vt:variant>
      <vt:variant>
        <vt:lpwstr>_Toc491904430</vt:lpwstr>
      </vt:variant>
      <vt:variant>
        <vt:i4>1114161</vt:i4>
      </vt:variant>
      <vt:variant>
        <vt:i4>146</vt:i4>
      </vt:variant>
      <vt:variant>
        <vt:i4>0</vt:i4>
      </vt:variant>
      <vt:variant>
        <vt:i4>5</vt:i4>
      </vt:variant>
      <vt:variant>
        <vt:lpwstr/>
      </vt:variant>
      <vt:variant>
        <vt:lpwstr>_Toc491904429</vt:lpwstr>
      </vt:variant>
      <vt:variant>
        <vt:i4>1114161</vt:i4>
      </vt:variant>
      <vt:variant>
        <vt:i4>140</vt:i4>
      </vt:variant>
      <vt:variant>
        <vt:i4>0</vt:i4>
      </vt:variant>
      <vt:variant>
        <vt:i4>5</vt:i4>
      </vt:variant>
      <vt:variant>
        <vt:lpwstr/>
      </vt:variant>
      <vt:variant>
        <vt:lpwstr>_Toc491904428</vt:lpwstr>
      </vt:variant>
      <vt:variant>
        <vt:i4>1114161</vt:i4>
      </vt:variant>
      <vt:variant>
        <vt:i4>134</vt:i4>
      </vt:variant>
      <vt:variant>
        <vt:i4>0</vt:i4>
      </vt:variant>
      <vt:variant>
        <vt:i4>5</vt:i4>
      </vt:variant>
      <vt:variant>
        <vt:lpwstr/>
      </vt:variant>
      <vt:variant>
        <vt:lpwstr>_Toc491904427</vt:lpwstr>
      </vt:variant>
      <vt:variant>
        <vt:i4>1114161</vt:i4>
      </vt:variant>
      <vt:variant>
        <vt:i4>128</vt:i4>
      </vt:variant>
      <vt:variant>
        <vt:i4>0</vt:i4>
      </vt:variant>
      <vt:variant>
        <vt:i4>5</vt:i4>
      </vt:variant>
      <vt:variant>
        <vt:lpwstr/>
      </vt:variant>
      <vt:variant>
        <vt:lpwstr>_Toc491904426</vt:lpwstr>
      </vt:variant>
      <vt:variant>
        <vt:i4>1114161</vt:i4>
      </vt:variant>
      <vt:variant>
        <vt:i4>122</vt:i4>
      </vt:variant>
      <vt:variant>
        <vt:i4>0</vt:i4>
      </vt:variant>
      <vt:variant>
        <vt:i4>5</vt:i4>
      </vt:variant>
      <vt:variant>
        <vt:lpwstr/>
      </vt:variant>
      <vt:variant>
        <vt:lpwstr>_Toc491904425</vt:lpwstr>
      </vt:variant>
      <vt:variant>
        <vt:i4>1114161</vt:i4>
      </vt:variant>
      <vt:variant>
        <vt:i4>116</vt:i4>
      </vt:variant>
      <vt:variant>
        <vt:i4>0</vt:i4>
      </vt:variant>
      <vt:variant>
        <vt:i4>5</vt:i4>
      </vt:variant>
      <vt:variant>
        <vt:lpwstr/>
      </vt:variant>
      <vt:variant>
        <vt:lpwstr>_Toc491904424</vt:lpwstr>
      </vt:variant>
      <vt:variant>
        <vt:i4>1114161</vt:i4>
      </vt:variant>
      <vt:variant>
        <vt:i4>110</vt:i4>
      </vt:variant>
      <vt:variant>
        <vt:i4>0</vt:i4>
      </vt:variant>
      <vt:variant>
        <vt:i4>5</vt:i4>
      </vt:variant>
      <vt:variant>
        <vt:lpwstr/>
      </vt:variant>
      <vt:variant>
        <vt:lpwstr>_Toc491904423</vt:lpwstr>
      </vt:variant>
      <vt:variant>
        <vt:i4>1114161</vt:i4>
      </vt:variant>
      <vt:variant>
        <vt:i4>104</vt:i4>
      </vt:variant>
      <vt:variant>
        <vt:i4>0</vt:i4>
      </vt:variant>
      <vt:variant>
        <vt:i4>5</vt:i4>
      </vt:variant>
      <vt:variant>
        <vt:lpwstr/>
      </vt:variant>
      <vt:variant>
        <vt:lpwstr>_Toc491904422</vt:lpwstr>
      </vt:variant>
      <vt:variant>
        <vt:i4>1114161</vt:i4>
      </vt:variant>
      <vt:variant>
        <vt:i4>98</vt:i4>
      </vt:variant>
      <vt:variant>
        <vt:i4>0</vt:i4>
      </vt:variant>
      <vt:variant>
        <vt:i4>5</vt:i4>
      </vt:variant>
      <vt:variant>
        <vt:lpwstr/>
      </vt:variant>
      <vt:variant>
        <vt:lpwstr>_Toc491904421</vt:lpwstr>
      </vt:variant>
      <vt:variant>
        <vt:i4>1114161</vt:i4>
      </vt:variant>
      <vt:variant>
        <vt:i4>92</vt:i4>
      </vt:variant>
      <vt:variant>
        <vt:i4>0</vt:i4>
      </vt:variant>
      <vt:variant>
        <vt:i4>5</vt:i4>
      </vt:variant>
      <vt:variant>
        <vt:lpwstr/>
      </vt:variant>
      <vt:variant>
        <vt:lpwstr>_Toc491904420</vt:lpwstr>
      </vt:variant>
      <vt:variant>
        <vt:i4>1179697</vt:i4>
      </vt:variant>
      <vt:variant>
        <vt:i4>86</vt:i4>
      </vt:variant>
      <vt:variant>
        <vt:i4>0</vt:i4>
      </vt:variant>
      <vt:variant>
        <vt:i4>5</vt:i4>
      </vt:variant>
      <vt:variant>
        <vt:lpwstr/>
      </vt:variant>
      <vt:variant>
        <vt:lpwstr>_Toc491904419</vt:lpwstr>
      </vt:variant>
      <vt:variant>
        <vt:i4>1179697</vt:i4>
      </vt:variant>
      <vt:variant>
        <vt:i4>80</vt:i4>
      </vt:variant>
      <vt:variant>
        <vt:i4>0</vt:i4>
      </vt:variant>
      <vt:variant>
        <vt:i4>5</vt:i4>
      </vt:variant>
      <vt:variant>
        <vt:lpwstr/>
      </vt:variant>
      <vt:variant>
        <vt:lpwstr>_Toc491904418</vt:lpwstr>
      </vt:variant>
      <vt:variant>
        <vt:i4>1179697</vt:i4>
      </vt:variant>
      <vt:variant>
        <vt:i4>74</vt:i4>
      </vt:variant>
      <vt:variant>
        <vt:i4>0</vt:i4>
      </vt:variant>
      <vt:variant>
        <vt:i4>5</vt:i4>
      </vt:variant>
      <vt:variant>
        <vt:lpwstr/>
      </vt:variant>
      <vt:variant>
        <vt:lpwstr>_Toc491904417</vt:lpwstr>
      </vt:variant>
      <vt:variant>
        <vt:i4>1179697</vt:i4>
      </vt:variant>
      <vt:variant>
        <vt:i4>68</vt:i4>
      </vt:variant>
      <vt:variant>
        <vt:i4>0</vt:i4>
      </vt:variant>
      <vt:variant>
        <vt:i4>5</vt:i4>
      </vt:variant>
      <vt:variant>
        <vt:lpwstr/>
      </vt:variant>
      <vt:variant>
        <vt:lpwstr>_Toc491904416</vt:lpwstr>
      </vt:variant>
      <vt:variant>
        <vt:i4>1179697</vt:i4>
      </vt:variant>
      <vt:variant>
        <vt:i4>62</vt:i4>
      </vt:variant>
      <vt:variant>
        <vt:i4>0</vt:i4>
      </vt:variant>
      <vt:variant>
        <vt:i4>5</vt:i4>
      </vt:variant>
      <vt:variant>
        <vt:lpwstr/>
      </vt:variant>
      <vt:variant>
        <vt:lpwstr>_Toc491904415</vt:lpwstr>
      </vt:variant>
      <vt:variant>
        <vt:i4>1179697</vt:i4>
      </vt:variant>
      <vt:variant>
        <vt:i4>56</vt:i4>
      </vt:variant>
      <vt:variant>
        <vt:i4>0</vt:i4>
      </vt:variant>
      <vt:variant>
        <vt:i4>5</vt:i4>
      </vt:variant>
      <vt:variant>
        <vt:lpwstr/>
      </vt:variant>
      <vt:variant>
        <vt:lpwstr>_Toc491904414</vt:lpwstr>
      </vt:variant>
      <vt:variant>
        <vt:i4>1179697</vt:i4>
      </vt:variant>
      <vt:variant>
        <vt:i4>50</vt:i4>
      </vt:variant>
      <vt:variant>
        <vt:i4>0</vt:i4>
      </vt:variant>
      <vt:variant>
        <vt:i4>5</vt:i4>
      </vt:variant>
      <vt:variant>
        <vt:lpwstr/>
      </vt:variant>
      <vt:variant>
        <vt:lpwstr>_Toc491904413</vt:lpwstr>
      </vt:variant>
      <vt:variant>
        <vt:i4>1179697</vt:i4>
      </vt:variant>
      <vt:variant>
        <vt:i4>44</vt:i4>
      </vt:variant>
      <vt:variant>
        <vt:i4>0</vt:i4>
      </vt:variant>
      <vt:variant>
        <vt:i4>5</vt:i4>
      </vt:variant>
      <vt:variant>
        <vt:lpwstr/>
      </vt:variant>
      <vt:variant>
        <vt:lpwstr>_Toc491904412</vt:lpwstr>
      </vt:variant>
      <vt:variant>
        <vt:i4>1179697</vt:i4>
      </vt:variant>
      <vt:variant>
        <vt:i4>38</vt:i4>
      </vt:variant>
      <vt:variant>
        <vt:i4>0</vt:i4>
      </vt:variant>
      <vt:variant>
        <vt:i4>5</vt:i4>
      </vt:variant>
      <vt:variant>
        <vt:lpwstr/>
      </vt:variant>
      <vt:variant>
        <vt:lpwstr>_Toc491904411</vt:lpwstr>
      </vt:variant>
      <vt:variant>
        <vt:i4>1179697</vt:i4>
      </vt:variant>
      <vt:variant>
        <vt:i4>32</vt:i4>
      </vt:variant>
      <vt:variant>
        <vt:i4>0</vt:i4>
      </vt:variant>
      <vt:variant>
        <vt:i4>5</vt:i4>
      </vt:variant>
      <vt:variant>
        <vt:lpwstr/>
      </vt:variant>
      <vt:variant>
        <vt:lpwstr>_Toc491904410</vt:lpwstr>
      </vt:variant>
      <vt:variant>
        <vt:i4>1245233</vt:i4>
      </vt:variant>
      <vt:variant>
        <vt:i4>26</vt:i4>
      </vt:variant>
      <vt:variant>
        <vt:i4>0</vt:i4>
      </vt:variant>
      <vt:variant>
        <vt:i4>5</vt:i4>
      </vt:variant>
      <vt:variant>
        <vt:lpwstr/>
      </vt:variant>
      <vt:variant>
        <vt:lpwstr>_Toc491904409</vt:lpwstr>
      </vt:variant>
      <vt:variant>
        <vt:i4>1245233</vt:i4>
      </vt:variant>
      <vt:variant>
        <vt:i4>20</vt:i4>
      </vt:variant>
      <vt:variant>
        <vt:i4>0</vt:i4>
      </vt:variant>
      <vt:variant>
        <vt:i4>5</vt:i4>
      </vt:variant>
      <vt:variant>
        <vt:lpwstr/>
      </vt:variant>
      <vt:variant>
        <vt:lpwstr>_Toc491904408</vt:lpwstr>
      </vt:variant>
      <vt:variant>
        <vt:i4>1245233</vt:i4>
      </vt:variant>
      <vt:variant>
        <vt:i4>14</vt:i4>
      </vt:variant>
      <vt:variant>
        <vt:i4>0</vt:i4>
      </vt:variant>
      <vt:variant>
        <vt:i4>5</vt:i4>
      </vt:variant>
      <vt:variant>
        <vt:lpwstr/>
      </vt:variant>
      <vt:variant>
        <vt:lpwstr>_Toc491904407</vt:lpwstr>
      </vt:variant>
      <vt:variant>
        <vt:i4>1245233</vt:i4>
      </vt:variant>
      <vt:variant>
        <vt:i4>8</vt:i4>
      </vt:variant>
      <vt:variant>
        <vt:i4>0</vt:i4>
      </vt:variant>
      <vt:variant>
        <vt:i4>5</vt:i4>
      </vt:variant>
      <vt:variant>
        <vt:lpwstr/>
      </vt:variant>
      <vt:variant>
        <vt:lpwstr>_Toc491904406</vt:lpwstr>
      </vt:variant>
      <vt:variant>
        <vt:i4>6291548</vt:i4>
      </vt:variant>
      <vt:variant>
        <vt:i4>3</vt:i4>
      </vt:variant>
      <vt:variant>
        <vt:i4>0</vt:i4>
      </vt:variant>
      <vt:variant>
        <vt:i4>5</vt:i4>
      </vt:variant>
      <vt:variant>
        <vt:lpwstr>mailto:tga.copyright@tga.gov.au</vt:lpwstr>
      </vt:variant>
      <vt:variant>
        <vt:lpwstr/>
      </vt:variant>
      <vt:variant>
        <vt:i4>3473445</vt:i4>
      </vt:variant>
      <vt:variant>
        <vt:i4>0</vt:i4>
      </vt:variant>
      <vt:variant>
        <vt:i4>0</vt:i4>
      </vt:variant>
      <vt:variant>
        <vt:i4>5</vt:i4>
      </vt:variant>
      <vt:variant>
        <vt:lpwstr>https://www.tga.gov.au/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Nivolumab</dc:title>
  <dc:subject>prescription medicine </dc:subject>
  <dc:creator>Therapeutic Goods Administration</dc:creator>
  <cp:keywords>auspars</cp:keywords>
  <cp:lastModifiedBy>Therapeutic Goods Administration (TGA) </cp:lastModifiedBy>
  <cp:revision>4</cp:revision>
  <cp:lastPrinted>2015-09-22T13:39:00Z</cp:lastPrinted>
  <dcterms:created xsi:type="dcterms:W3CDTF">2017-11-09T00:46:00Z</dcterms:created>
  <dcterms:modified xsi:type="dcterms:W3CDTF">2017-11-09T01:01:00Z</dcterms:modified>
  <cp:category>external publication</cp:category>
</cp:coreProperties>
</file>