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1B5" w:rsidRDefault="008451B5">
      <w:pPr>
        <w:pStyle w:val="Heading2"/>
        <w:jc w:val="both"/>
      </w:pPr>
      <w:r>
        <w:t xml:space="preserve">AUSTRALIAN PRODUCT INFORMATION </w:t>
      </w:r>
    </w:p>
    <w:p w:rsidR="008451B5" w:rsidRDefault="008451B5">
      <w:pPr>
        <w:pStyle w:val="Heading2"/>
        <w:jc w:val="both"/>
      </w:pPr>
      <w:proofErr w:type="spellStart"/>
      <w:r>
        <w:t>INOmax</w:t>
      </w:r>
      <w:proofErr w:type="spellEnd"/>
      <w:r>
        <w:rPr>
          <w:rFonts w:cs="Arial"/>
        </w:rPr>
        <w:t>®</w:t>
      </w:r>
      <w:r>
        <w:t xml:space="preserve"> (nitric oxide) Medicinal Gas for Inhalation Cylinder</w:t>
      </w:r>
    </w:p>
    <w:p w:rsidR="008451B5" w:rsidRPr="008451B5" w:rsidRDefault="008451B5" w:rsidP="008451B5"/>
    <w:p w:rsidR="008451B5" w:rsidRDefault="008451B5" w:rsidP="008451B5"/>
    <w:p w:rsidR="00340115" w:rsidRPr="00773000" w:rsidRDefault="00656FD5">
      <w:pPr>
        <w:pStyle w:val="Heading2"/>
        <w:jc w:val="both"/>
        <w:rPr>
          <w:rFonts w:ascii="Times New Roman" w:hAnsi="Times New Roman"/>
          <w:caps/>
        </w:rPr>
      </w:pPr>
      <w:r>
        <w:rPr>
          <w:rFonts w:ascii="Times New Roman" w:hAnsi="Times New Roman"/>
          <w:caps/>
        </w:rPr>
        <w:t>1.</w:t>
      </w:r>
      <w:r>
        <w:rPr>
          <w:rFonts w:ascii="Times New Roman" w:hAnsi="Times New Roman"/>
          <w:caps/>
        </w:rPr>
        <w:tab/>
      </w:r>
      <w:r w:rsidR="00340115" w:rsidRPr="00773000">
        <w:rPr>
          <w:rFonts w:ascii="Times New Roman" w:hAnsi="Times New Roman"/>
          <w:caps/>
        </w:rPr>
        <w:t>Name of the MEDICINE</w:t>
      </w:r>
    </w:p>
    <w:p w:rsidR="00340115" w:rsidRPr="00CB2BB8" w:rsidRDefault="00340115">
      <w:pPr>
        <w:jc w:val="both"/>
      </w:pPr>
    </w:p>
    <w:p w:rsidR="00340115" w:rsidRPr="00653984" w:rsidRDefault="00677175" w:rsidP="00340115">
      <w:r w:rsidRPr="00956E90">
        <w:t>N</w:t>
      </w:r>
      <w:r w:rsidR="00024632" w:rsidRPr="00956E90">
        <w:t>itric oxide</w:t>
      </w:r>
    </w:p>
    <w:p w:rsidR="00340115" w:rsidRPr="00653984" w:rsidRDefault="00340115" w:rsidP="00340115"/>
    <w:p w:rsidR="00340115" w:rsidRPr="00CB2BB8" w:rsidRDefault="00340115">
      <w:pPr>
        <w:jc w:val="both"/>
      </w:pPr>
    </w:p>
    <w:p w:rsidR="00340115" w:rsidRPr="00CB2BB8" w:rsidRDefault="00656FD5">
      <w:pPr>
        <w:pStyle w:val="Heading2"/>
        <w:jc w:val="both"/>
        <w:rPr>
          <w:rFonts w:ascii="Times New Roman" w:hAnsi="Times New Roman"/>
        </w:rPr>
      </w:pPr>
      <w:r>
        <w:rPr>
          <w:rFonts w:ascii="Times New Roman" w:hAnsi="Times New Roman"/>
        </w:rPr>
        <w:t>2.</w:t>
      </w:r>
      <w:r>
        <w:rPr>
          <w:rFonts w:ascii="Times New Roman" w:hAnsi="Times New Roman"/>
        </w:rPr>
        <w:tab/>
        <w:t>QUALITATIVE AND QUANTITATIVE COMPOSITION</w:t>
      </w:r>
    </w:p>
    <w:p w:rsidR="00340115" w:rsidRPr="00CB2BB8" w:rsidRDefault="00340115">
      <w:pPr>
        <w:jc w:val="both"/>
      </w:pPr>
    </w:p>
    <w:p w:rsidR="00D93C73" w:rsidRDefault="00340115" w:rsidP="00D93C73">
      <w:pPr>
        <w:spacing w:line="288" w:lineRule="atLeast"/>
        <w:jc w:val="both"/>
      </w:pPr>
      <w:proofErr w:type="spellStart"/>
      <w:r w:rsidRPr="00CB2BB8">
        <w:rPr>
          <w:b/>
        </w:rPr>
        <w:t>INOmax</w:t>
      </w:r>
      <w:proofErr w:type="spellEnd"/>
      <w:r w:rsidRPr="00CB2BB8">
        <w:rPr>
          <w:b/>
        </w:rPr>
        <w:t>®</w:t>
      </w:r>
      <w:r w:rsidRPr="00CB2BB8">
        <w:t xml:space="preserve"> (</w:t>
      </w:r>
      <w:r w:rsidRPr="00F97863">
        <w:t xml:space="preserve">nitric oxide) is a drug administered by inhalation.  Nitric oxide, the active substance in </w:t>
      </w:r>
      <w:proofErr w:type="spellStart"/>
      <w:r w:rsidRPr="00F97863">
        <w:t>INOmax</w:t>
      </w:r>
      <w:proofErr w:type="spellEnd"/>
      <w:r w:rsidRPr="00F97863">
        <w:t xml:space="preserve">®, is a pulmonary vasodilator.  </w:t>
      </w:r>
      <w:proofErr w:type="spellStart"/>
      <w:r w:rsidRPr="00F97863">
        <w:t>INOmax</w:t>
      </w:r>
      <w:proofErr w:type="spellEnd"/>
      <w:r w:rsidRPr="00F97863">
        <w:t xml:space="preserve">® is a gaseous blend of nitric oxide and nitrogen (0.08% and 99.92%, respectively for 800 ppm).  </w:t>
      </w:r>
      <w:proofErr w:type="spellStart"/>
      <w:r w:rsidR="00D93C73" w:rsidRPr="00F97863">
        <w:t>INOmax</w:t>
      </w:r>
      <w:proofErr w:type="spellEnd"/>
      <w:r w:rsidR="00D93C73" w:rsidRPr="00F97863">
        <w:t xml:space="preserve">® is supplied in aluminium cylinders as a compressed gas under high pressure (13, 789.51 </w:t>
      </w:r>
      <w:proofErr w:type="spellStart"/>
      <w:r w:rsidR="00D93C73" w:rsidRPr="00F97863">
        <w:t>kPa</w:t>
      </w:r>
      <w:proofErr w:type="spellEnd"/>
      <w:r w:rsidR="00D93C73" w:rsidRPr="00F97863">
        <w:t xml:space="preserve"> gauge).</w:t>
      </w:r>
    </w:p>
    <w:p w:rsidR="00340115" w:rsidRPr="00F97863" w:rsidRDefault="00340115" w:rsidP="00340115">
      <w:pPr>
        <w:jc w:val="both"/>
      </w:pPr>
    </w:p>
    <w:p w:rsidR="00340115" w:rsidRPr="00CB2BB8" w:rsidRDefault="00340115" w:rsidP="00340115">
      <w:pPr>
        <w:jc w:val="both"/>
      </w:pPr>
    </w:p>
    <w:p w:rsidR="000474C4" w:rsidRDefault="000474C4" w:rsidP="00340115">
      <w:pPr>
        <w:pStyle w:val="Heading4"/>
        <w:rPr>
          <w:rFonts w:ascii="Times New Roman" w:hAnsi="Times New Roman"/>
        </w:rPr>
      </w:pPr>
      <w:r>
        <w:rPr>
          <w:rFonts w:ascii="Times New Roman" w:hAnsi="Times New Roman"/>
        </w:rPr>
        <w:t>3.</w:t>
      </w:r>
      <w:r>
        <w:rPr>
          <w:rFonts w:ascii="Times New Roman" w:hAnsi="Times New Roman"/>
        </w:rPr>
        <w:tab/>
        <w:t>PHARMACEUTICAL FORM</w:t>
      </w:r>
    </w:p>
    <w:p w:rsidR="000474C4" w:rsidRDefault="000474C4" w:rsidP="00E450A4"/>
    <w:p w:rsidR="00B90796" w:rsidRDefault="00BA4C1F" w:rsidP="00B90796">
      <w:pPr>
        <w:spacing w:line="288" w:lineRule="atLeast"/>
        <w:jc w:val="both"/>
      </w:pPr>
      <w:r w:rsidRPr="00956E90">
        <w:t>Medicinal Gas for Inhalation Cylinder</w:t>
      </w:r>
      <w:r>
        <w:t xml:space="preserve"> </w:t>
      </w:r>
    </w:p>
    <w:p w:rsidR="00024632" w:rsidRPr="00F97863" w:rsidRDefault="00024632" w:rsidP="00B90796">
      <w:pPr>
        <w:spacing w:line="288" w:lineRule="atLeast"/>
        <w:jc w:val="both"/>
      </w:pPr>
    </w:p>
    <w:p w:rsidR="000474C4" w:rsidRDefault="000474C4" w:rsidP="00E450A4"/>
    <w:p w:rsidR="000474C4" w:rsidRDefault="000474C4" w:rsidP="00E450A4">
      <w:pPr>
        <w:rPr>
          <w:b/>
        </w:rPr>
      </w:pPr>
      <w:r w:rsidRPr="000474C4">
        <w:rPr>
          <w:b/>
        </w:rPr>
        <w:t>4.</w:t>
      </w:r>
      <w:r w:rsidRPr="000474C4">
        <w:rPr>
          <w:b/>
        </w:rPr>
        <w:tab/>
        <w:t>CLINICAL PARTICULARS</w:t>
      </w:r>
    </w:p>
    <w:p w:rsidR="000474C4" w:rsidRDefault="000474C4" w:rsidP="00E450A4">
      <w:pPr>
        <w:rPr>
          <w:b/>
        </w:rPr>
      </w:pPr>
    </w:p>
    <w:p w:rsidR="000474C4" w:rsidRDefault="000474C4" w:rsidP="00E450A4">
      <w:pPr>
        <w:rPr>
          <w:b/>
        </w:rPr>
      </w:pPr>
      <w:r>
        <w:rPr>
          <w:b/>
        </w:rPr>
        <w:t>4.1</w:t>
      </w:r>
      <w:r>
        <w:rPr>
          <w:b/>
        </w:rPr>
        <w:tab/>
        <w:t>THERAPEUTIC INDICATIONS</w:t>
      </w:r>
    </w:p>
    <w:p w:rsidR="000474C4" w:rsidRDefault="000474C4" w:rsidP="00E450A4">
      <w:pPr>
        <w:rPr>
          <w:b/>
        </w:rPr>
      </w:pPr>
    </w:p>
    <w:p w:rsidR="002C5A08" w:rsidRPr="00CB2BB8" w:rsidRDefault="002C5A08" w:rsidP="002C5A08">
      <w:pPr>
        <w:pStyle w:val="BodyText3"/>
        <w:spacing w:line="288" w:lineRule="atLeast"/>
        <w:jc w:val="both"/>
        <w:rPr>
          <w:sz w:val="20"/>
        </w:rPr>
      </w:pPr>
      <w:proofErr w:type="spellStart"/>
      <w:r w:rsidRPr="00CB2BB8">
        <w:rPr>
          <w:sz w:val="20"/>
        </w:rPr>
        <w:t>INOmax</w:t>
      </w:r>
      <w:proofErr w:type="spellEnd"/>
      <w:r w:rsidRPr="00CB2BB8">
        <w:rPr>
          <w:sz w:val="20"/>
        </w:rPr>
        <w:t xml:space="preserve">®, in conjunction with </w:t>
      </w:r>
      <w:proofErr w:type="spellStart"/>
      <w:r w:rsidRPr="00CB2BB8">
        <w:rPr>
          <w:sz w:val="20"/>
        </w:rPr>
        <w:t>ventilatory</w:t>
      </w:r>
      <w:proofErr w:type="spellEnd"/>
      <w:r w:rsidRPr="00CB2BB8">
        <w:rPr>
          <w:sz w:val="20"/>
        </w:rPr>
        <w:t xml:space="preserve"> support and other appropriate agents, is indicated </w:t>
      </w:r>
      <w:r>
        <w:rPr>
          <w:sz w:val="20"/>
        </w:rPr>
        <w:t>─</w:t>
      </w:r>
      <w:r w:rsidRPr="00CB2BB8">
        <w:rPr>
          <w:sz w:val="20"/>
        </w:rPr>
        <w:t xml:space="preserve"> </w:t>
      </w:r>
    </w:p>
    <w:p w:rsidR="002C5A08" w:rsidRDefault="002C5A08" w:rsidP="002C5A08">
      <w:pPr>
        <w:pStyle w:val="BodyText3"/>
        <w:numPr>
          <w:ilvl w:val="0"/>
          <w:numId w:val="15"/>
        </w:numPr>
        <w:spacing w:line="288" w:lineRule="atLeast"/>
        <w:jc w:val="both"/>
        <w:rPr>
          <w:sz w:val="20"/>
        </w:rPr>
      </w:pPr>
      <w:r>
        <w:rPr>
          <w:sz w:val="20"/>
        </w:rPr>
        <w:t xml:space="preserve">for </w:t>
      </w:r>
      <w:r w:rsidRPr="00CB2BB8">
        <w:rPr>
          <w:sz w:val="20"/>
        </w:rPr>
        <w:t xml:space="preserve">the treatment of term and near-term (&gt;34 weeks) neonates with hypoxic respiratory failure associated with clinical or echocardiographic evidence of pulmonary hypertension, in order to improve oxygenation and to reduce the need for extracorporeal membrane oxygenation. </w:t>
      </w:r>
    </w:p>
    <w:p w:rsidR="002C5A08" w:rsidRPr="003832D9" w:rsidRDefault="002C5A08" w:rsidP="002C5A08">
      <w:pPr>
        <w:pStyle w:val="BodyText3"/>
        <w:numPr>
          <w:ilvl w:val="0"/>
          <w:numId w:val="15"/>
        </w:numPr>
        <w:spacing w:line="288" w:lineRule="atLeast"/>
        <w:jc w:val="both"/>
        <w:rPr>
          <w:sz w:val="20"/>
        </w:rPr>
      </w:pPr>
      <w:r w:rsidRPr="003832D9">
        <w:rPr>
          <w:rFonts w:cs="Arial"/>
          <w:sz w:val="20"/>
        </w:rPr>
        <w:t>to selectively decrease pulmonary arterial pressure</w:t>
      </w:r>
      <w:r w:rsidR="003A3AA9">
        <w:rPr>
          <w:rFonts w:cs="Arial"/>
          <w:sz w:val="20"/>
        </w:rPr>
        <w:t xml:space="preserve"> in patients with perioperative pulmonary hypertension in conjunction with heart surgery </w:t>
      </w:r>
      <w:r w:rsidRPr="003832D9">
        <w:rPr>
          <w:rFonts w:cs="Arial"/>
          <w:sz w:val="20"/>
        </w:rPr>
        <w:t>.</w:t>
      </w:r>
    </w:p>
    <w:p w:rsidR="002C5A08" w:rsidRDefault="002C5A08" w:rsidP="00E450A4">
      <w:pPr>
        <w:rPr>
          <w:b/>
        </w:rPr>
      </w:pPr>
    </w:p>
    <w:p w:rsidR="00E450A4" w:rsidRDefault="00E450A4" w:rsidP="00E450A4">
      <w:pPr>
        <w:rPr>
          <w:b/>
        </w:rPr>
      </w:pPr>
    </w:p>
    <w:p w:rsidR="000474C4" w:rsidRDefault="000474C4" w:rsidP="00E450A4">
      <w:pPr>
        <w:rPr>
          <w:b/>
        </w:rPr>
      </w:pPr>
      <w:r>
        <w:rPr>
          <w:b/>
        </w:rPr>
        <w:t>4.2</w:t>
      </w:r>
      <w:r>
        <w:rPr>
          <w:b/>
        </w:rPr>
        <w:tab/>
        <w:t>DOSE AND METHOD OF ADMINISTRATION</w:t>
      </w:r>
    </w:p>
    <w:p w:rsidR="000474C4" w:rsidRDefault="000474C4" w:rsidP="00E450A4">
      <w:pPr>
        <w:rPr>
          <w:b/>
        </w:rPr>
      </w:pPr>
    </w:p>
    <w:p w:rsidR="003D3C22" w:rsidRPr="00C87EDD" w:rsidRDefault="003D3C22" w:rsidP="003D3C22">
      <w:pPr>
        <w:rPr>
          <w:i/>
        </w:rPr>
      </w:pPr>
      <w:r w:rsidRPr="00C87EDD">
        <w:rPr>
          <w:i/>
        </w:rPr>
        <w:t>Persistent Pulmonary Hypertension in the Newborn (PPHN)</w:t>
      </w:r>
    </w:p>
    <w:p w:rsidR="003D3C22" w:rsidRPr="00CB2BB8" w:rsidRDefault="003D3C22" w:rsidP="003D3C22"/>
    <w:p w:rsidR="003D3C22" w:rsidRPr="00CB2BB8" w:rsidRDefault="003D3C22" w:rsidP="003D3C22">
      <w:pPr>
        <w:spacing w:line="288" w:lineRule="atLeast"/>
        <w:jc w:val="both"/>
      </w:pPr>
      <w:r w:rsidRPr="00CB2BB8">
        <w:t xml:space="preserve">Prescription of nitric oxide should be supervised by a physician experienced in neonatal intensive care.  Prescription should be limited to those neonatal units that have received adequate training in the use of a nitric oxide delivery system.  </w:t>
      </w:r>
      <w:proofErr w:type="spellStart"/>
      <w:r w:rsidRPr="00CB2BB8">
        <w:t>INOmax</w:t>
      </w:r>
      <w:proofErr w:type="spellEnd"/>
      <w:r w:rsidRPr="00CB2BB8">
        <w:t>® should only be delivered according to a neonatologist’s prescription.</w:t>
      </w:r>
    </w:p>
    <w:p w:rsidR="003D3C22" w:rsidRPr="00CB2BB8" w:rsidRDefault="003D3C22" w:rsidP="003D3C22">
      <w:pPr>
        <w:spacing w:line="288" w:lineRule="atLeast"/>
        <w:jc w:val="both"/>
      </w:pPr>
    </w:p>
    <w:p w:rsidR="003D3C22" w:rsidRPr="00CB2BB8" w:rsidRDefault="003D3C22" w:rsidP="003D3C22">
      <w:pPr>
        <w:spacing w:line="288" w:lineRule="atLeast"/>
        <w:jc w:val="both"/>
      </w:pPr>
      <w:proofErr w:type="spellStart"/>
      <w:r w:rsidRPr="00CB2BB8">
        <w:t>INOmax</w:t>
      </w:r>
      <w:proofErr w:type="spellEnd"/>
      <w:r w:rsidRPr="00CB2BB8">
        <w:t xml:space="preserve">® should be used in ventilated infants expected to require support &gt; 24 hours.  </w:t>
      </w:r>
      <w:proofErr w:type="spellStart"/>
      <w:r w:rsidRPr="00CB2BB8">
        <w:t>INOmax</w:t>
      </w:r>
      <w:proofErr w:type="spellEnd"/>
      <w:r w:rsidRPr="00CB2BB8">
        <w:t>® should be used only after respiratory support has been optimised.  This includes optimising tidal volume/pressure and lung recruitment (surfactant, high frequency ventilation, and positive end expiratory pressure).</w:t>
      </w:r>
    </w:p>
    <w:p w:rsidR="003D3C22" w:rsidRPr="00CB2BB8" w:rsidRDefault="003D3C22" w:rsidP="003D3C22">
      <w:pPr>
        <w:spacing w:line="288" w:lineRule="atLeast"/>
      </w:pPr>
    </w:p>
    <w:p w:rsidR="003D3C22" w:rsidRPr="00CB2BB8" w:rsidRDefault="003D3C22" w:rsidP="003D3C22">
      <w:pPr>
        <w:spacing w:line="288" w:lineRule="atLeast"/>
        <w:jc w:val="both"/>
        <w:rPr>
          <w:b/>
        </w:rPr>
      </w:pPr>
      <w:r w:rsidRPr="00CB2BB8">
        <w:rPr>
          <w:b/>
        </w:rPr>
        <w:t>Dosage</w:t>
      </w:r>
    </w:p>
    <w:p w:rsidR="003D3C22" w:rsidRPr="00CB2BB8" w:rsidRDefault="003D3C22" w:rsidP="003D3C22">
      <w:pPr>
        <w:spacing w:line="288" w:lineRule="atLeast"/>
        <w:jc w:val="both"/>
      </w:pPr>
      <w:proofErr w:type="spellStart"/>
      <w:r w:rsidRPr="00CB2BB8">
        <w:t>INOmax</w:t>
      </w:r>
      <w:proofErr w:type="spellEnd"/>
      <w:r w:rsidRPr="00CB2BB8">
        <w:t xml:space="preserve">® should only be used after respiratory support is optimised including the use of surfactant.  The maximum recommended dose of </w:t>
      </w:r>
      <w:proofErr w:type="spellStart"/>
      <w:r w:rsidRPr="00CB2BB8">
        <w:t>INOmax</w:t>
      </w:r>
      <w:proofErr w:type="spellEnd"/>
      <w:r w:rsidRPr="00CB2BB8">
        <w:t xml:space="preserve">® is 20 ppm and this dose should not be exceeded, as the risk of </w:t>
      </w:r>
      <w:proofErr w:type="spellStart"/>
      <w:r w:rsidRPr="00CB2BB8">
        <w:t>methaemo</w:t>
      </w:r>
      <w:r>
        <w:t>g</w:t>
      </w:r>
      <w:r w:rsidRPr="00CB2BB8">
        <w:t>lobinaemia</w:t>
      </w:r>
      <w:proofErr w:type="spellEnd"/>
      <w:r w:rsidRPr="00CB2BB8">
        <w:t xml:space="preserve"> and increased NO</w:t>
      </w:r>
      <w:r w:rsidRPr="00CB2BB8">
        <w:rPr>
          <w:vertAlign w:val="subscript"/>
        </w:rPr>
        <w:t xml:space="preserve">2 </w:t>
      </w:r>
      <w:r w:rsidRPr="00CB2BB8">
        <w:t>increases significantly at doses &gt; 20</w:t>
      </w:r>
      <w:r>
        <w:t xml:space="preserve"> </w:t>
      </w:r>
      <w:r w:rsidRPr="00CB2BB8">
        <w:t xml:space="preserve">ppm.  In the </w:t>
      </w:r>
      <w:r>
        <w:t>key</w:t>
      </w:r>
      <w:r w:rsidRPr="00CB2BB8">
        <w:t xml:space="preserve"> clinical trials, the starting dose was 20 ppm.  Starting as soon as possible and within 4-24 hours of therapy, the dose should be weaned to 5 ppm provided that arterial oxygenation is adequate at this lower dose.  Inhaled nitric </w:t>
      </w:r>
      <w:r w:rsidRPr="00CB2BB8">
        <w:lastRenderedPageBreak/>
        <w:t>oxide therapy should be maintained at 5 ppm until there is improvement in the neonate’s oxygenation such that the FiO</w:t>
      </w:r>
      <w:r w:rsidRPr="00CB2BB8">
        <w:rPr>
          <w:vertAlign w:val="subscript"/>
        </w:rPr>
        <w:t xml:space="preserve">2 </w:t>
      </w:r>
      <w:r w:rsidRPr="00CB2BB8">
        <w:t>(fraction of inspired oxygen) &lt; 0.60.</w:t>
      </w:r>
    </w:p>
    <w:p w:rsidR="003D3C22" w:rsidRPr="00CB2BB8" w:rsidRDefault="003D3C22" w:rsidP="003D3C22">
      <w:pPr>
        <w:spacing w:line="288" w:lineRule="atLeast"/>
        <w:jc w:val="both"/>
      </w:pPr>
    </w:p>
    <w:p w:rsidR="003D3C22" w:rsidRDefault="003D3C22" w:rsidP="003D3C22">
      <w:pPr>
        <w:spacing w:line="288" w:lineRule="atLeast"/>
        <w:jc w:val="both"/>
      </w:pPr>
      <w:r w:rsidRPr="00CB2BB8">
        <w:t xml:space="preserve">Treatment can be maintained up to 96 hours or until the underlying oxygen desaturation has resolved and the neonate is ready to be weaned from </w:t>
      </w:r>
      <w:proofErr w:type="spellStart"/>
      <w:r w:rsidRPr="00CB2BB8">
        <w:t>INOmax</w:t>
      </w:r>
      <w:proofErr w:type="spellEnd"/>
      <w:r w:rsidRPr="00CB2BB8">
        <w:t xml:space="preserve">® therapy.  The duration of therapy is variable, but typically less than four days.  In cases of failure to respond to inhaled nitric oxide refer to </w:t>
      </w:r>
      <w:r w:rsidR="009E1624">
        <w:t>Section 4.</w:t>
      </w:r>
      <w:r w:rsidR="00921279">
        <w:t>4</w:t>
      </w:r>
      <w:r w:rsidR="009E1624">
        <w:t xml:space="preserve"> Special Warnings and Precautions for Use.</w:t>
      </w:r>
    </w:p>
    <w:p w:rsidR="009E1624" w:rsidRPr="00CB2BB8" w:rsidRDefault="009E1624" w:rsidP="003D3C22">
      <w:pPr>
        <w:spacing w:line="288" w:lineRule="atLeast"/>
        <w:jc w:val="both"/>
      </w:pPr>
    </w:p>
    <w:p w:rsidR="003D3C22" w:rsidRPr="00CB2BB8" w:rsidRDefault="003D3C22" w:rsidP="003D3C22">
      <w:pPr>
        <w:spacing w:line="288" w:lineRule="atLeast"/>
        <w:jc w:val="both"/>
      </w:pPr>
      <w:r w:rsidRPr="00CB2BB8">
        <w:rPr>
          <w:b/>
        </w:rPr>
        <w:t>Weaning</w:t>
      </w:r>
    </w:p>
    <w:p w:rsidR="003D3C22" w:rsidRPr="00CB2BB8" w:rsidRDefault="003D3C22" w:rsidP="003D3C22">
      <w:pPr>
        <w:spacing w:line="288" w:lineRule="atLeast"/>
        <w:jc w:val="both"/>
      </w:pPr>
      <w:r w:rsidRPr="00CB2BB8">
        <w:t xml:space="preserve">Attempts to wean </w:t>
      </w:r>
      <w:proofErr w:type="spellStart"/>
      <w:r w:rsidRPr="00CB2BB8">
        <w:t>INOmax</w:t>
      </w:r>
      <w:proofErr w:type="spellEnd"/>
      <w:r w:rsidRPr="00CB2BB8">
        <w:t xml:space="preserve">® should be made after the ventilator support is substantially decreased or after 96 hours of therapy (see </w:t>
      </w:r>
      <w:r w:rsidR="009E1624">
        <w:t>Section 4.4 Special Warnings and Precautions for Use</w:t>
      </w:r>
      <w:r w:rsidRPr="00CB2BB8">
        <w:t xml:space="preserve">).  When the decision is made to discontinue inhaled nitric oxide therapy, the dose should be reduced to 1 ppm for 30 minutes to one hour.  If there is no change in oxygenation during administration of </w:t>
      </w:r>
      <w:proofErr w:type="spellStart"/>
      <w:r w:rsidRPr="00CB2BB8">
        <w:t>INOmax</w:t>
      </w:r>
      <w:proofErr w:type="spellEnd"/>
      <w:r w:rsidRPr="00CB2BB8">
        <w:t>® at 1 ppm the FiO</w:t>
      </w:r>
      <w:r w:rsidRPr="00CB2BB8">
        <w:rPr>
          <w:vertAlign w:val="subscript"/>
        </w:rPr>
        <w:t xml:space="preserve">2 </w:t>
      </w:r>
      <w:r w:rsidRPr="00CB2BB8">
        <w:t xml:space="preserve">should be increased by 10%, the </w:t>
      </w:r>
      <w:proofErr w:type="spellStart"/>
      <w:r w:rsidRPr="00CB2BB8">
        <w:t>INOmax</w:t>
      </w:r>
      <w:proofErr w:type="spellEnd"/>
      <w:r w:rsidRPr="00CB2BB8">
        <w:t xml:space="preserve">® is discontinued, and the neonates monitored closely for signs of hypoxaemia.  If oxygenation falls &gt;20%, </w:t>
      </w:r>
      <w:proofErr w:type="spellStart"/>
      <w:r w:rsidRPr="00CB2BB8">
        <w:t>INOmax</w:t>
      </w:r>
      <w:proofErr w:type="spellEnd"/>
      <w:r w:rsidRPr="00CB2BB8">
        <w:t xml:space="preserve">® therapy should be resumed at 5 ppm and discontinuation of </w:t>
      </w:r>
      <w:proofErr w:type="spellStart"/>
      <w:r w:rsidRPr="00CB2BB8">
        <w:t>INOmax</w:t>
      </w:r>
      <w:proofErr w:type="spellEnd"/>
      <w:r w:rsidRPr="00CB2BB8">
        <w:t xml:space="preserve">® therapy should be reconsidered after 12 to 24 hours.  Infants who cannot be weaned off </w:t>
      </w:r>
      <w:proofErr w:type="spellStart"/>
      <w:r w:rsidRPr="00CB2BB8">
        <w:t>INOmax</w:t>
      </w:r>
      <w:proofErr w:type="spellEnd"/>
      <w:r w:rsidRPr="00CB2BB8">
        <w:t>® by 4 days should undergo careful diagnostic work-up for other diseases.</w:t>
      </w:r>
    </w:p>
    <w:p w:rsidR="003D3C22" w:rsidRPr="00CB2BB8" w:rsidRDefault="003D3C22" w:rsidP="003D3C22">
      <w:pPr>
        <w:spacing w:line="288" w:lineRule="atLeast"/>
        <w:jc w:val="both"/>
      </w:pPr>
    </w:p>
    <w:p w:rsidR="003D3C22" w:rsidRPr="00C87EDD" w:rsidRDefault="003D3C22" w:rsidP="003D3C22">
      <w:pPr>
        <w:rPr>
          <w:i/>
        </w:rPr>
      </w:pPr>
      <w:r w:rsidRPr="00C87EDD">
        <w:rPr>
          <w:i/>
        </w:rPr>
        <w:t xml:space="preserve">Pulmonary Hypertension associated with Cardiac Surgery </w:t>
      </w:r>
    </w:p>
    <w:p w:rsidR="003D3C22" w:rsidRPr="003832D9" w:rsidRDefault="003D3C22" w:rsidP="003D3C22">
      <w:pPr>
        <w:spacing w:line="288" w:lineRule="atLeast"/>
        <w:jc w:val="both"/>
      </w:pPr>
    </w:p>
    <w:p w:rsidR="003D3C22" w:rsidRPr="003832D9" w:rsidRDefault="003D3C22" w:rsidP="003D3C22">
      <w:pPr>
        <w:spacing w:line="288" w:lineRule="atLeast"/>
        <w:jc w:val="both"/>
      </w:pPr>
      <w:r w:rsidRPr="003832D9">
        <w:t xml:space="preserve">Prescription of nitric oxide should be supervised by a physician experienced in cardiothoracic anaesthesia </w:t>
      </w:r>
      <w:r w:rsidR="00C367DB">
        <w:t>and</w:t>
      </w:r>
      <w:r w:rsidRPr="003832D9">
        <w:t xml:space="preserve"> intensive care. Prescription should be limited to those </w:t>
      </w:r>
      <w:r>
        <w:t>anaesthetic</w:t>
      </w:r>
      <w:r w:rsidRPr="003832D9">
        <w:t xml:space="preserve"> and intensive care units that have received adequate training in the use of a nitric oxide delivery system. </w:t>
      </w:r>
      <w:proofErr w:type="spellStart"/>
      <w:r w:rsidRPr="00593F8D">
        <w:t>INOmax</w:t>
      </w:r>
      <w:proofErr w:type="spellEnd"/>
      <w:r w:rsidRPr="00593F8D">
        <w:t>®</w:t>
      </w:r>
      <w:r w:rsidRPr="003832D9">
        <w:t xml:space="preserve"> should only be delivered according to a specialist’s prescription.</w:t>
      </w:r>
    </w:p>
    <w:p w:rsidR="003D3C22" w:rsidRPr="003832D9" w:rsidRDefault="003D3C22" w:rsidP="003D3C22">
      <w:pPr>
        <w:spacing w:line="288" w:lineRule="atLeast"/>
        <w:jc w:val="both"/>
      </w:pPr>
    </w:p>
    <w:p w:rsidR="003D3C22" w:rsidRPr="003832D9" w:rsidRDefault="003D3C22" w:rsidP="003D3C22">
      <w:pPr>
        <w:pStyle w:val="Default"/>
        <w:spacing w:line="288" w:lineRule="atLeast"/>
        <w:jc w:val="both"/>
        <w:rPr>
          <w:sz w:val="20"/>
        </w:rPr>
      </w:pPr>
      <w:proofErr w:type="spellStart"/>
      <w:r w:rsidRPr="00593F8D">
        <w:rPr>
          <w:sz w:val="20"/>
        </w:rPr>
        <w:t>INOmax</w:t>
      </w:r>
      <w:proofErr w:type="spellEnd"/>
      <w:r w:rsidRPr="00593F8D">
        <w:rPr>
          <w:sz w:val="20"/>
        </w:rPr>
        <w:t>®</w:t>
      </w:r>
      <w:r w:rsidRPr="003832D9">
        <w:rPr>
          <w:sz w:val="20"/>
        </w:rPr>
        <w:t xml:space="preserve"> should be used only after conservative support has been </w:t>
      </w:r>
      <w:proofErr w:type="spellStart"/>
      <w:r w:rsidRPr="003832D9">
        <w:rPr>
          <w:sz w:val="20"/>
        </w:rPr>
        <w:t>optimised</w:t>
      </w:r>
      <w:proofErr w:type="spellEnd"/>
      <w:r w:rsidRPr="003832D9">
        <w:rPr>
          <w:sz w:val="20"/>
        </w:rPr>
        <w:t xml:space="preserve">. In clinical trials </w:t>
      </w:r>
      <w:proofErr w:type="spellStart"/>
      <w:r w:rsidRPr="00593F8D">
        <w:rPr>
          <w:sz w:val="20"/>
        </w:rPr>
        <w:t>INOmax</w:t>
      </w:r>
      <w:proofErr w:type="spellEnd"/>
      <w:r w:rsidRPr="00593F8D">
        <w:rPr>
          <w:sz w:val="20"/>
        </w:rPr>
        <w:t>®</w:t>
      </w:r>
      <w:r w:rsidRPr="003832D9">
        <w:rPr>
          <w:sz w:val="20"/>
        </w:rPr>
        <w:t xml:space="preserve"> has been given in addition to other standard treatment regime</w:t>
      </w:r>
      <w:r>
        <w:rPr>
          <w:sz w:val="20"/>
        </w:rPr>
        <w:t>n</w:t>
      </w:r>
      <w:r w:rsidRPr="003832D9">
        <w:rPr>
          <w:sz w:val="20"/>
        </w:rPr>
        <w:t xml:space="preserve">s in the cardiac surgery setting, including inotropic and vasoactive medicinal products. </w:t>
      </w:r>
      <w:proofErr w:type="spellStart"/>
      <w:r w:rsidRPr="00593F8D">
        <w:rPr>
          <w:sz w:val="20"/>
        </w:rPr>
        <w:t>INOmax</w:t>
      </w:r>
      <w:proofErr w:type="spellEnd"/>
      <w:r w:rsidRPr="00593F8D">
        <w:rPr>
          <w:sz w:val="20"/>
        </w:rPr>
        <w:t>®</w:t>
      </w:r>
      <w:r w:rsidRPr="003832D9">
        <w:rPr>
          <w:sz w:val="20"/>
        </w:rPr>
        <w:t xml:space="preserve"> should be administered under close monitoring of </w:t>
      </w:r>
      <w:proofErr w:type="spellStart"/>
      <w:r w:rsidRPr="003832D9">
        <w:rPr>
          <w:sz w:val="20"/>
        </w:rPr>
        <w:t>haemodynamics</w:t>
      </w:r>
      <w:proofErr w:type="spellEnd"/>
      <w:r w:rsidRPr="003832D9">
        <w:rPr>
          <w:sz w:val="20"/>
        </w:rPr>
        <w:t xml:space="preserve"> and oxygenation. </w:t>
      </w:r>
    </w:p>
    <w:p w:rsidR="003D3C22" w:rsidRPr="003832D9" w:rsidRDefault="003D3C22" w:rsidP="003D3C22">
      <w:pPr>
        <w:pStyle w:val="Default"/>
        <w:spacing w:line="288" w:lineRule="atLeast"/>
        <w:jc w:val="both"/>
        <w:rPr>
          <w:sz w:val="20"/>
        </w:rPr>
      </w:pPr>
    </w:p>
    <w:p w:rsidR="003D3C22" w:rsidRPr="003832D9" w:rsidRDefault="003D3C22" w:rsidP="003D3C22">
      <w:pPr>
        <w:pStyle w:val="Default"/>
        <w:spacing w:line="288" w:lineRule="atLeast"/>
        <w:jc w:val="both"/>
        <w:rPr>
          <w:b/>
          <w:iCs/>
          <w:sz w:val="20"/>
        </w:rPr>
      </w:pPr>
      <w:r w:rsidRPr="003832D9">
        <w:rPr>
          <w:b/>
          <w:iCs/>
          <w:sz w:val="20"/>
        </w:rPr>
        <w:t>Dosage</w:t>
      </w:r>
    </w:p>
    <w:p w:rsidR="003D3C22" w:rsidRPr="003832D9" w:rsidRDefault="001C20A8" w:rsidP="003D3C22">
      <w:pPr>
        <w:pStyle w:val="Default"/>
        <w:spacing w:line="288" w:lineRule="atLeast"/>
        <w:jc w:val="both"/>
        <w:rPr>
          <w:i/>
          <w:iCs/>
          <w:sz w:val="20"/>
        </w:rPr>
      </w:pPr>
      <w:proofErr w:type="spellStart"/>
      <w:r>
        <w:rPr>
          <w:i/>
          <w:iCs/>
          <w:sz w:val="20"/>
        </w:rPr>
        <w:t>Paediatric</w:t>
      </w:r>
      <w:proofErr w:type="spellEnd"/>
      <w:r>
        <w:rPr>
          <w:i/>
          <w:iCs/>
          <w:sz w:val="20"/>
        </w:rPr>
        <w:t xml:space="preserve"> use</w:t>
      </w:r>
      <w:r w:rsidR="003D3C22" w:rsidRPr="003832D9">
        <w:rPr>
          <w:i/>
          <w:iCs/>
          <w:sz w:val="20"/>
        </w:rPr>
        <w:t xml:space="preserve"> </w:t>
      </w:r>
      <w:r>
        <w:rPr>
          <w:i/>
          <w:iCs/>
          <w:sz w:val="20"/>
        </w:rPr>
        <w:t>(</w:t>
      </w:r>
      <w:r w:rsidR="003D3C22" w:rsidRPr="003832D9">
        <w:rPr>
          <w:i/>
          <w:iCs/>
          <w:sz w:val="20"/>
        </w:rPr>
        <w:t>ages 0-17 years</w:t>
      </w:r>
      <w:r>
        <w:rPr>
          <w:i/>
          <w:iCs/>
          <w:sz w:val="20"/>
        </w:rPr>
        <w:t>)</w:t>
      </w:r>
      <w:r w:rsidR="003D3C22" w:rsidRPr="003832D9">
        <w:rPr>
          <w:i/>
          <w:iCs/>
          <w:sz w:val="20"/>
        </w:rPr>
        <w:t xml:space="preserve"> </w:t>
      </w:r>
    </w:p>
    <w:p w:rsidR="00BE48AB" w:rsidRDefault="003D3C22" w:rsidP="003D3C22">
      <w:pPr>
        <w:pStyle w:val="Default"/>
        <w:spacing w:line="288" w:lineRule="atLeast"/>
        <w:jc w:val="both"/>
        <w:rPr>
          <w:sz w:val="20"/>
        </w:rPr>
      </w:pPr>
      <w:r w:rsidRPr="003832D9">
        <w:rPr>
          <w:sz w:val="20"/>
        </w:rPr>
        <w:t>The starting dose of inhaled nitric oxide is 10 ppm of inhaled gas. The dose may be increased up to 20 ppm</w:t>
      </w:r>
      <w:r w:rsidR="001841E6">
        <w:rPr>
          <w:sz w:val="20"/>
        </w:rPr>
        <w:t xml:space="preserve"> </w:t>
      </w:r>
      <w:r w:rsidRPr="003832D9">
        <w:rPr>
          <w:sz w:val="20"/>
        </w:rPr>
        <w:t xml:space="preserve">if the lower dose has not provided sufficient clinical effects. </w:t>
      </w:r>
    </w:p>
    <w:p w:rsidR="001C20A8" w:rsidRDefault="001C20A8" w:rsidP="003D3C22">
      <w:pPr>
        <w:pStyle w:val="Default"/>
        <w:spacing w:line="288" w:lineRule="atLeast"/>
        <w:jc w:val="both"/>
        <w:rPr>
          <w:sz w:val="20"/>
        </w:rPr>
      </w:pPr>
    </w:p>
    <w:p w:rsidR="001C20A8" w:rsidRPr="003832D9" w:rsidRDefault="001C20A8" w:rsidP="001C20A8">
      <w:pPr>
        <w:spacing w:line="288" w:lineRule="atLeast"/>
        <w:jc w:val="both"/>
      </w:pPr>
      <w:r w:rsidRPr="003832D9">
        <w:t>Clinical data supporting the suggested dose in the age range of 12-17 years is limited.</w:t>
      </w:r>
    </w:p>
    <w:p w:rsidR="00BE48AB" w:rsidRDefault="00BE48AB" w:rsidP="003D3C22">
      <w:pPr>
        <w:pStyle w:val="Default"/>
        <w:spacing w:line="288" w:lineRule="atLeast"/>
        <w:jc w:val="both"/>
        <w:rPr>
          <w:sz w:val="20"/>
        </w:rPr>
      </w:pPr>
    </w:p>
    <w:p w:rsidR="00BE48AB" w:rsidRDefault="00BE48AB" w:rsidP="003D3C22">
      <w:pPr>
        <w:pStyle w:val="Default"/>
        <w:spacing w:line="288" w:lineRule="atLeast"/>
        <w:jc w:val="both"/>
        <w:rPr>
          <w:sz w:val="20"/>
        </w:rPr>
      </w:pPr>
      <w:r>
        <w:rPr>
          <w:i/>
          <w:iCs/>
          <w:sz w:val="20"/>
        </w:rPr>
        <w:t xml:space="preserve">Adults (over </w:t>
      </w:r>
      <w:r w:rsidRPr="003832D9">
        <w:rPr>
          <w:i/>
          <w:iCs/>
          <w:sz w:val="20"/>
        </w:rPr>
        <w:t>17 years</w:t>
      </w:r>
      <w:r>
        <w:rPr>
          <w:i/>
          <w:iCs/>
          <w:sz w:val="20"/>
        </w:rPr>
        <w:t>)</w:t>
      </w:r>
    </w:p>
    <w:p w:rsidR="00AA69F0" w:rsidRPr="003A03C0" w:rsidRDefault="00BE48AB" w:rsidP="003A03C0">
      <w:pPr>
        <w:pStyle w:val="Default"/>
        <w:spacing w:line="288" w:lineRule="atLeast"/>
        <w:jc w:val="both"/>
        <w:rPr>
          <w:sz w:val="20"/>
          <w:szCs w:val="20"/>
        </w:rPr>
      </w:pPr>
      <w:r w:rsidRPr="003832D9">
        <w:rPr>
          <w:sz w:val="20"/>
        </w:rPr>
        <w:t>The d</w:t>
      </w:r>
      <w:r>
        <w:rPr>
          <w:sz w:val="20"/>
        </w:rPr>
        <w:t>ose</w:t>
      </w:r>
      <w:r w:rsidR="00D47B5A">
        <w:rPr>
          <w:sz w:val="20"/>
        </w:rPr>
        <w:t xml:space="preserve"> range </w:t>
      </w:r>
      <w:r w:rsidR="00AA69F0">
        <w:rPr>
          <w:sz w:val="20"/>
        </w:rPr>
        <w:t>for adult patients with pulmonary hypertension in the con</w:t>
      </w:r>
      <w:r w:rsidR="00D47B5A">
        <w:rPr>
          <w:sz w:val="20"/>
        </w:rPr>
        <w:t>text of cardiac surgery is 10 – 20 ppm</w:t>
      </w:r>
      <w:r>
        <w:rPr>
          <w:sz w:val="20"/>
        </w:rPr>
        <w:t xml:space="preserve"> of inhaled nitric oxide</w:t>
      </w:r>
      <w:r w:rsidRPr="003832D9">
        <w:rPr>
          <w:sz w:val="20"/>
        </w:rPr>
        <w:t xml:space="preserve">. </w:t>
      </w:r>
    </w:p>
    <w:p w:rsidR="00BE48AB" w:rsidRDefault="00BE48AB" w:rsidP="003D3C22">
      <w:pPr>
        <w:pStyle w:val="Default"/>
        <w:spacing w:line="288" w:lineRule="atLeast"/>
        <w:jc w:val="both"/>
        <w:rPr>
          <w:sz w:val="20"/>
        </w:rPr>
      </w:pPr>
    </w:p>
    <w:p w:rsidR="003D3C22" w:rsidRPr="00773000" w:rsidRDefault="003D3C22" w:rsidP="003D3C22">
      <w:pPr>
        <w:pStyle w:val="Default"/>
        <w:spacing w:line="288" w:lineRule="atLeast"/>
        <w:jc w:val="both"/>
        <w:rPr>
          <w:sz w:val="20"/>
        </w:rPr>
      </w:pPr>
      <w:r w:rsidRPr="003832D9">
        <w:rPr>
          <w:sz w:val="20"/>
        </w:rPr>
        <w:t xml:space="preserve">The lowest effective dose should be administered and the dose should be weaned down to 5 ppm provided that the </w:t>
      </w:r>
      <w:r w:rsidR="003B1EB7">
        <w:rPr>
          <w:sz w:val="20"/>
        </w:rPr>
        <w:t xml:space="preserve">clinical </w:t>
      </w:r>
      <w:r w:rsidR="001B23C6">
        <w:rPr>
          <w:sz w:val="20"/>
        </w:rPr>
        <w:t>effect</w:t>
      </w:r>
      <w:r w:rsidRPr="003832D9">
        <w:rPr>
          <w:sz w:val="20"/>
        </w:rPr>
        <w:t xml:space="preserve"> remain</w:t>
      </w:r>
      <w:r w:rsidR="008E1FFD">
        <w:rPr>
          <w:sz w:val="20"/>
        </w:rPr>
        <w:t>s</w:t>
      </w:r>
      <w:r w:rsidRPr="003832D9">
        <w:rPr>
          <w:sz w:val="20"/>
        </w:rPr>
        <w:t xml:space="preserve"> adequate at this lower dose.</w:t>
      </w:r>
      <w:r w:rsidRPr="00773000">
        <w:rPr>
          <w:sz w:val="20"/>
        </w:rPr>
        <w:t xml:space="preserve"> </w:t>
      </w:r>
    </w:p>
    <w:p w:rsidR="003D3C22" w:rsidRPr="003832D9" w:rsidRDefault="003D3C22" w:rsidP="003D3C22">
      <w:pPr>
        <w:spacing w:line="288" w:lineRule="atLeast"/>
        <w:jc w:val="both"/>
      </w:pPr>
    </w:p>
    <w:p w:rsidR="00D97E46" w:rsidRDefault="003D3C22" w:rsidP="003D3C22">
      <w:pPr>
        <w:pStyle w:val="Default"/>
        <w:spacing w:line="288" w:lineRule="atLeast"/>
        <w:jc w:val="both"/>
        <w:rPr>
          <w:sz w:val="20"/>
        </w:rPr>
      </w:pPr>
      <w:r w:rsidRPr="003832D9">
        <w:rPr>
          <w:sz w:val="20"/>
        </w:rPr>
        <w:t xml:space="preserve">Inhaled nitric oxide has a rapid onset of action; decrease in pulmonary artery pressure and improved oxygenation is seen within 5-20 minutes. In case of insufficient response the dose may be titrated after a minimum of 10 minutes.  </w:t>
      </w:r>
    </w:p>
    <w:p w:rsidR="00D97E46" w:rsidRDefault="00D97E46" w:rsidP="003D3C22">
      <w:pPr>
        <w:pStyle w:val="Default"/>
        <w:spacing w:line="288" w:lineRule="atLeast"/>
        <w:jc w:val="both"/>
        <w:rPr>
          <w:sz w:val="20"/>
        </w:rPr>
      </w:pPr>
    </w:p>
    <w:p w:rsidR="008E1FFD" w:rsidRPr="00D97E46" w:rsidRDefault="008E1FFD" w:rsidP="003D3C22">
      <w:pPr>
        <w:pStyle w:val="Default"/>
        <w:spacing w:line="288" w:lineRule="atLeast"/>
        <w:jc w:val="both"/>
        <w:rPr>
          <w:iCs/>
          <w:color w:val="auto"/>
          <w:sz w:val="20"/>
          <w:szCs w:val="20"/>
        </w:rPr>
      </w:pPr>
      <w:r w:rsidRPr="00D97E46">
        <w:rPr>
          <w:iCs/>
          <w:color w:val="auto"/>
          <w:sz w:val="20"/>
          <w:szCs w:val="20"/>
        </w:rPr>
        <w:t>Consideration should be given to discontinuation of treatment if no beneficial physiological effects are apparent after a 30 minute trial of therapy.</w:t>
      </w:r>
    </w:p>
    <w:p w:rsidR="00D97E46" w:rsidRPr="00842EC8" w:rsidRDefault="00D97E46" w:rsidP="003D3C22">
      <w:pPr>
        <w:pStyle w:val="Default"/>
        <w:spacing w:line="288" w:lineRule="atLeast"/>
        <w:jc w:val="both"/>
        <w:rPr>
          <w:sz w:val="20"/>
        </w:rPr>
      </w:pPr>
    </w:p>
    <w:p w:rsidR="003D3C22" w:rsidRPr="003832D9" w:rsidRDefault="003D3C22" w:rsidP="003D3C22">
      <w:pPr>
        <w:pStyle w:val="Default"/>
        <w:spacing w:line="288" w:lineRule="atLeast"/>
        <w:jc w:val="both"/>
        <w:rPr>
          <w:sz w:val="20"/>
        </w:rPr>
      </w:pPr>
      <w:r w:rsidRPr="003832D9">
        <w:rPr>
          <w:sz w:val="20"/>
        </w:rPr>
        <w:t xml:space="preserve">Treatment may be initiated at any time point in the </w:t>
      </w:r>
      <w:proofErr w:type="spellStart"/>
      <w:r w:rsidRPr="003832D9">
        <w:rPr>
          <w:sz w:val="20"/>
        </w:rPr>
        <w:t>peri</w:t>
      </w:r>
      <w:proofErr w:type="spellEnd"/>
      <w:r w:rsidRPr="003832D9">
        <w:rPr>
          <w:sz w:val="20"/>
        </w:rPr>
        <w:t xml:space="preserve">-operative course to lower pulmonary pressure. In clinical studies treatment was often initiated before separation from Cardio Pulmonary Bypass. Inhaled NO has been given for time periods up to 7 days in the </w:t>
      </w:r>
      <w:proofErr w:type="spellStart"/>
      <w:r w:rsidRPr="003832D9">
        <w:rPr>
          <w:sz w:val="20"/>
        </w:rPr>
        <w:t>peri</w:t>
      </w:r>
      <w:proofErr w:type="spellEnd"/>
      <w:r w:rsidRPr="003832D9">
        <w:rPr>
          <w:sz w:val="20"/>
        </w:rPr>
        <w:t>- and post-operative setting, but common treatment duration is 24 -</w:t>
      </w:r>
      <w:r>
        <w:rPr>
          <w:sz w:val="20"/>
        </w:rPr>
        <w:t xml:space="preserve"> </w:t>
      </w:r>
      <w:r w:rsidRPr="003832D9">
        <w:rPr>
          <w:sz w:val="20"/>
        </w:rPr>
        <w:t xml:space="preserve">48 hours. </w:t>
      </w:r>
    </w:p>
    <w:p w:rsidR="003D3C22" w:rsidRPr="003832D9" w:rsidRDefault="003D3C22" w:rsidP="003D3C22">
      <w:pPr>
        <w:pStyle w:val="Default"/>
        <w:spacing w:line="288" w:lineRule="atLeast"/>
        <w:jc w:val="both"/>
        <w:rPr>
          <w:i/>
          <w:iCs/>
          <w:sz w:val="20"/>
        </w:rPr>
      </w:pPr>
    </w:p>
    <w:p w:rsidR="003D3C22" w:rsidRPr="003832D9" w:rsidRDefault="003D3C22" w:rsidP="003D3C22">
      <w:pPr>
        <w:pStyle w:val="Default"/>
        <w:spacing w:line="288" w:lineRule="atLeast"/>
        <w:jc w:val="both"/>
        <w:rPr>
          <w:sz w:val="20"/>
        </w:rPr>
      </w:pPr>
      <w:r w:rsidRPr="003832D9">
        <w:rPr>
          <w:i/>
          <w:iCs/>
          <w:sz w:val="20"/>
        </w:rPr>
        <w:t xml:space="preserve">Weaning </w:t>
      </w:r>
    </w:p>
    <w:p w:rsidR="003D3C22" w:rsidRPr="003832D9" w:rsidRDefault="003D3C22" w:rsidP="003D3C22">
      <w:pPr>
        <w:pStyle w:val="Default"/>
        <w:spacing w:line="288" w:lineRule="atLeast"/>
        <w:jc w:val="both"/>
        <w:rPr>
          <w:sz w:val="20"/>
        </w:rPr>
      </w:pPr>
      <w:r w:rsidRPr="003832D9">
        <w:rPr>
          <w:sz w:val="20"/>
        </w:rPr>
        <w:t xml:space="preserve">Attempts to wean </w:t>
      </w:r>
      <w:proofErr w:type="spellStart"/>
      <w:r w:rsidRPr="00593F8D">
        <w:rPr>
          <w:sz w:val="20"/>
        </w:rPr>
        <w:t>INOmax</w:t>
      </w:r>
      <w:proofErr w:type="spellEnd"/>
      <w:r w:rsidRPr="00593F8D">
        <w:rPr>
          <w:sz w:val="20"/>
        </w:rPr>
        <w:t>®</w:t>
      </w:r>
      <w:r w:rsidRPr="003832D9">
        <w:rPr>
          <w:sz w:val="20"/>
        </w:rPr>
        <w:t xml:space="preserve"> should be commenced as soon as the </w:t>
      </w:r>
      <w:proofErr w:type="spellStart"/>
      <w:r w:rsidRPr="003832D9">
        <w:rPr>
          <w:sz w:val="20"/>
        </w:rPr>
        <w:t>haemodynamics</w:t>
      </w:r>
      <w:proofErr w:type="spellEnd"/>
      <w:r w:rsidRPr="003832D9">
        <w:rPr>
          <w:sz w:val="20"/>
        </w:rPr>
        <w:t xml:space="preserve"> have </w:t>
      </w:r>
      <w:proofErr w:type="spellStart"/>
      <w:r w:rsidRPr="003832D9">
        <w:rPr>
          <w:sz w:val="20"/>
        </w:rPr>
        <w:t>stabilised</w:t>
      </w:r>
      <w:proofErr w:type="spellEnd"/>
      <w:r w:rsidRPr="003832D9">
        <w:rPr>
          <w:sz w:val="20"/>
        </w:rPr>
        <w:t xml:space="preserve"> in conjunction to weaning from ventilator and inotropic support. The withdrawal of inhaled nitric oxide therapy should be performed in a stepwise manner. The dose should be incrementally reduced to 1 ppm for 30 minutes with close observation of systemic and central pressure, and then turned off. Weaning should be attempted at least every 12 hours when the patient is stable on a low dose of </w:t>
      </w:r>
      <w:proofErr w:type="spellStart"/>
      <w:r w:rsidRPr="00593F8D">
        <w:rPr>
          <w:sz w:val="20"/>
        </w:rPr>
        <w:t>INOmax</w:t>
      </w:r>
      <w:proofErr w:type="spellEnd"/>
      <w:r w:rsidRPr="00593F8D">
        <w:rPr>
          <w:sz w:val="20"/>
        </w:rPr>
        <w:t>®</w:t>
      </w:r>
      <w:r w:rsidRPr="003832D9">
        <w:rPr>
          <w:sz w:val="20"/>
        </w:rPr>
        <w:t>.</w:t>
      </w:r>
    </w:p>
    <w:p w:rsidR="003D3C22" w:rsidRPr="003832D9" w:rsidRDefault="003D3C22" w:rsidP="003D3C22">
      <w:pPr>
        <w:pStyle w:val="Default"/>
        <w:spacing w:line="288" w:lineRule="atLeast"/>
        <w:jc w:val="both"/>
        <w:rPr>
          <w:sz w:val="20"/>
        </w:rPr>
      </w:pPr>
    </w:p>
    <w:p w:rsidR="003D3C22" w:rsidRPr="00773000" w:rsidRDefault="00235DF3" w:rsidP="003D3C22">
      <w:pPr>
        <w:pStyle w:val="Default"/>
        <w:spacing w:line="288" w:lineRule="atLeast"/>
        <w:jc w:val="both"/>
        <w:rPr>
          <w:sz w:val="20"/>
        </w:rPr>
      </w:pPr>
      <w:proofErr w:type="spellStart"/>
      <w:r>
        <w:rPr>
          <w:sz w:val="20"/>
        </w:rPr>
        <w:t>INOmax</w:t>
      </w:r>
      <w:proofErr w:type="spellEnd"/>
      <w:r w:rsidRPr="00235DF3">
        <w:rPr>
          <w:sz w:val="20"/>
          <w:szCs w:val="20"/>
        </w:rPr>
        <w:t>®</w:t>
      </w:r>
      <w:r>
        <w:rPr>
          <w:sz w:val="20"/>
          <w:szCs w:val="20"/>
        </w:rPr>
        <w:t xml:space="preserve"> </w:t>
      </w:r>
      <w:r w:rsidR="00333972">
        <w:rPr>
          <w:sz w:val="20"/>
          <w:szCs w:val="20"/>
        </w:rPr>
        <w:t>must</w:t>
      </w:r>
      <w:r>
        <w:rPr>
          <w:sz w:val="20"/>
          <w:szCs w:val="20"/>
        </w:rPr>
        <w:t xml:space="preserve"> not be stopped abruptly. </w:t>
      </w:r>
      <w:r w:rsidR="003D3C22" w:rsidRPr="003832D9">
        <w:rPr>
          <w:sz w:val="20"/>
        </w:rPr>
        <w:t>Too rapid weaning from inhaled nitric oxide therapy carries the risk of a rebound increase in pulmonary artery pressure with subsequent circulatory instability.</w:t>
      </w:r>
    </w:p>
    <w:p w:rsidR="003D3C22" w:rsidRPr="00CB2BB8" w:rsidRDefault="003D3C22" w:rsidP="003D3C22">
      <w:pPr>
        <w:spacing w:line="288" w:lineRule="atLeast"/>
        <w:jc w:val="both"/>
      </w:pPr>
    </w:p>
    <w:p w:rsidR="003D3C22" w:rsidRDefault="003D3C22" w:rsidP="003D3C22">
      <w:pPr>
        <w:pStyle w:val="Heading2"/>
        <w:rPr>
          <w:rFonts w:ascii="Times New Roman" w:hAnsi="Times New Roman"/>
        </w:rPr>
      </w:pPr>
      <w:r w:rsidRPr="00AF173D">
        <w:rPr>
          <w:rFonts w:ascii="Times New Roman" w:hAnsi="Times New Roman"/>
        </w:rPr>
        <w:t xml:space="preserve">Administration </w:t>
      </w:r>
    </w:p>
    <w:p w:rsidR="003D3C22" w:rsidRDefault="003D3C22" w:rsidP="003D3C22">
      <w:pPr>
        <w:pStyle w:val="Heading2"/>
        <w:rPr>
          <w:rFonts w:ascii="Times New Roman" w:hAnsi="Times New Roman"/>
        </w:rPr>
      </w:pPr>
    </w:p>
    <w:p w:rsidR="003D3C22" w:rsidRPr="00AF173D" w:rsidRDefault="003D3C22" w:rsidP="003D3C22">
      <w:pPr>
        <w:pStyle w:val="Heading2"/>
        <w:rPr>
          <w:rFonts w:ascii="Times New Roman" w:hAnsi="Times New Roman"/>
        </w:rPr>
      </w:pPr>
      <w:r w:rsidRPr="00AF173D">
        <w:rPr>
          <w:rFonts w:ascii="Times New Roman" w:hAnsi="Times New Roman"/>
        </w:rPr>
        <w:t>Method</w:t>
      </w:r>
    </w:p>
    <w:p w:rsidR="003D3C22" w:rsidRPr="002B1626" w:rsidRDefault="0066148D" w:rsidP="003D3C22">
      <w:pPr>
        <w:spacing w:line="288" w:lineRule="atLeast"/>
        <w:jc w:val="both"/>
        <w:rPr>
          <w:b/>
        </w:rPr>
      </w:pPr>
      <w:r w:rsidRPr="002B1626">
        <w:rPr>
          <w:b/>
        </w:rPr>
        <w:t>D</w:t>
      </w:r>
      <w:r>
        <w:rPr>
          <w:b/>
        </w:rPr>
        <w:t>o</w:t>
      </w:r>
      <w:r w:rsidRPr="002B1626">
        <w:rPr>
          <w:b/>
        </w:rPr>
        <w:t xml:space="preserve"> </w:t>
      </w:r>
      <w:r w:rsidR="003D3C22" w:rsidRPr="002B1626">
        <w:rPr>
          <w:b/>
        </w:rPr>
        <w:t xml:space="preserve">not use </w:t>
      </w:r>
      <w:proofErr w:type="spellStart"/>
      <w:r w:rsidR="003D3C22" w:rsidRPr="002B1626">
        <w:rPr>
          <w:b/>
        </w:rPr>
        <w:t>INOmax</w:t>
      </w:r>
      <w:proofErr w:type="spellEnd"/>
      <w:r w:rsidR="003D3C22" w:rsidRPr="002B1626">
        <w:rPr>
          <w:b/>
        </w:rPr>
        <w:t xml:space="preserve">® undiluted.  </w:t>
      </w:r>
      <w:proofErr w:type="spellStart"/>
      <w:r w:rsidR="003D3C22" w:rsidRPr="002B1626">
        <w:rPr>
          <w:b/>
        </w:rPr>
        <w:t>INOmax</w:t>
      </w:r>
      <w:proofErr w:type="spellEnd"/>
      <w:r w:rsidR="003D3C22" w:rsidRPr="002B1626">
        <w:rPr>
          <w:b/>
        </w:rPr>
        <w:t xml:space="preserve">® is delivered to the patient via mechanical ventilation after dilution with an oxygen/air mixture using an approved nitric oxide gas delivery system provided by the sponsor that meets the criteria specified below.  The controlled flow of 800 ppm </w:t>
      </w:r>
      <w:proofErr w:type="spellStart"/>
      <w:r w:rsidR="003D3C22" w:rsidRPr="002B1626">
        <w:rPr>
          <w:b/>
        </w:rPr>
        <w:t>INOmax</w:t>
      </w:r>
      <w:proofErr w:type="spellEnd"/>
      <w:r w:rsidR="003D3C22" w:rsidRPr="002B1626">
        <w:rPr>
          <w:b/>
        </w:rPr>
        <w:t xml:space="preserve">® is delivered to the ventilator circuit via the injector tube where it is diluted by the ventilator gas flow to the concentration set by the operator.  This concentration must not exceed 20 ppm.  The delivery system must provide a constant inhaled nitric oxide concentration irrespective of the ventilator.  </w:t>
      </w:r>
      <w:proofErr w:type="spellStart"/>
      <w:r w:rsidR="003D3C22" w:rsidRPr="002B1626">
        <w:rPr>
          <w:b/>
        </w:rPr>
        <w:t>INOmax</w:t>
      </w:r>
      <w:proofErr w:type="spellEnd"/>
      <w:r w:rsidR="003D3C22" w:rsidRPr="002B1626">
        <w:rPr>
          <w:b/>
        </w:rPr>
        <w:t>® should be administered with monitoring for PaO</w:t>
      </w:r>
      <w:r w:rsidR="003D3C22" w:rsidRPr="002B1626">
        <w:rPr>
          <w:b/>
          <w:vertAlign w:val="subscript"/>
        </w:rPr>
        <w:t>2</w:t>
      </w:r>
      <w:r w:rsidR="003D3C22" w:rsidRPr="002B1626">
        <w:rPr>
          <w:b/>
        </w:rPr>
        <w:t>, methaemoglobin and NO</w:t>
      </w:r>
      <w:r w:rsidR="003D3C22" w:rsidRPr="002B1626">
        <w:rPr>
          <w:b/>
          <w:vertAlign w:val="subscript"/>
        </w:rPr>
        <w:t>2</w:t>
      </w:r>
      <w:r w:rsidR="003D3C22" w:rsidRPr="002B1626">
        <w:rPr>
          <w:b/>
        </w:rPr>
        <w:t>.</w:t>
      </w:r>
    </w:p>
    <w:p w:rsidR="003D3C22" w:rsidRPr="00CB2BB8" w:rsidRDefault="003D3C22" w:rsidP="003D3C22"/>
    <w:p w:rsidR="003D3C22" w:rsidRPr="00CB2BB8" w:rsidRDefault="003D3C22" w:rsidP="003D3C22">
      <w:pPr>
        <w:spacing w:line="288" w:lineRule="atLeast"/>
        <w:jc w:val="both"/>
      </w:pPr>
      <w:r w:rsidRPr="00CB2BB8">
        <w:t xml:space="preserve">The delivery system must provide a constant inhaled </w:t>
      </w:r>
      <w:proofErr w:type="spellStart"/>
      <w:r w:rsidRPr="00CB2BB8">
        <w:t>INOmax</w:t>
      </w:r>
      <w:proofErr w:type="spellEnd"/>
      <w:r w:rsidRPr="00CB2BB8">
        <w:t xml:space="preserve">® concentration irrespective of the ventilator.  With a continuous flow neonatal ventilator, this may be achieved by infusing a low flow of </w:t>
      </w:r>
      <w:proofErr w:type="spellStart"/>
      <w:r w:rsidRPr="00CB2BB8">
        <w:t>INOmax</w:t>
      </w:r>
      <w:proofErr w:type="spellEnd"/>
      <w:r w:rsidRPr="00CB2BB8">
        <w:t>® into the inspiratory limb of the ventilator circuit.  Intermittent flow neonatal ventilation may be associated with spikes in nitric oxide concentration.  The nitric oxide delivery system for intermittent flow ventilation should be adequate to avoid spikes in nitric oxide concentration.</w:t>
      </w:r>
    </w:p>
    <w:p w:rsidR="003D3C22" w:rsidRPr="00CB2BB8" w:rsidRDefault="003D3C22" w:rsidP="003D3C22">
      <w:pPr>
        <w:spacing w:line="288" w:lineRule="atLeast"/>
        <w:jc w:val="both"/>
      </w:pPr>
    </w:p>
    <w:p w:rsidR="003D3C22" w:rsidRPr="00CB2BB8" w:rsidRDefault="003D3C22" w:rsidP="003D3C22">
      <w:pPr>
        <w:spacing w:line="288" w:lineRule="atLeast"/>
        <w:jc w:val="both"/>
      </w:pPr>
      <w:r w:rsidRPr="00CB2BB8">
        <w:t xml:space="preserve">The inspired </w:t>
      </w:r>
      <w:proofErr w:type="spellStart"/>
      <w:r w:rsidRPr="00CB2BB8">
        <w:t>INOmax</w:t>
      </w:r>
      <w:proofErr w:type="spellEnd"/>
      <w:r w:rsidRPr="00CB2BB8">
        <w:t>® concentration must be measured continuously in the inspiratory limb of the circuit near the patient.  The nitrogen dioxide (NO</w:t>
      </w:r>
      <w:r w:rsidRPr="00CB2BB8">
        <w:rPr>
          <w:vertAlign w:val="subscript"/>
        </w:rPr>
        <w:t>2</w:t>
      </w:r>
      <w:r w:rsidRPr="00AE7EF4">
        <w:t>)</w:t>
      </w:r>
      <w:r w:rsidRPr="00CB2BB8">
        <w:t xml:space="preserve"> concentration and FiO</w:t>
      </w:r>
      <w:r w:rsidRPr="00CB2BB8">
        <w:rPr>
          <w:vertAlign w:val="subscript"/>
        </w:rPr>
        <w:t xml:space="preserve">2 </w:t>
      </w:r>
      <w:r w:rsidRPr="00CB2BB8">
        <w:t xml:space="preserve">must also be measured at the site using calibrated and approved monitoring equipment.  For patient safety, appropriate alarms must be set for </w:t>
      </w:r>
      <w:proofErr w:type="spellStart"/>
      <w:r w:rsidRPr="00CB2BB8">
        <w:t>INOmax</w:t>
      </w:r>
      <w:proofErr w:type="spellEnd"/>
      <w:r w:rsidRPr="00CB2BB8">
        <w:t>® (± 2 ppm of the prescribed dose), NO</w:t>
      </w:r>
      <w:r w:rsidRPr="00CB2BB8">
        <w:rPr>
          <w:vertAlign w:val="subscript"/>
        </w:rPr>
        <w:t xml:space="preserve">2 </w:t>
      </w:r>
      <w:r w:rsidRPr="00CB2BB8">
        <w:t>(0.5 ppm) and FiO</w:t>
      </w:r>
      <w:r w:rsidRPr="00CB2BB8">
        <w:rPr>
          <w:vertAlign w:val="subscript"/>
        </w:rPr>
        <w:t xml:space="preserve">2 </w:t>
      </w:r>
      <w:r w:rsidRPr="00CB2BB8">
        <w:t xml:space="preserve"> (± 0.05).  The </w:t>
      </w:r>
      <w:proofErr w:type="spellStart"/>
      <w:r w:rsidRPr="00CB2BB8">
        <w:t>INOmax</w:t>
      </w:r>
      <w:proofErr w:type="spellEnd"/>
      <w:r w:rsidRPr="00CB2BB8">
        <w:t xml:space="preserve">® gas cylinder pressure must be displayed to allow timely gas cylinder replacement without inadvertent loss of therapy and backup gas cylinders must be available to provide timely replacement.  </w:t>
      </w:r>
      <w:proofErr w:type="spellStart"/>
      <w:r w:rsidRPr="00CB2BB8">
        <w:t>INOmax</w:t>
      </w:r>
      <w:proofErr w:type="spellEnd"/>
      <w:r w:rsidRPr="00CB2BB8">
        <w:t>® therapy must be available for manual ventilation such as suctioning, patient transport, and resuscitation.</w:t>
      </w:r>
    </w:p>
    <w:p w:rsidR="003D3C22" w:rsidRPr="00CB2BB8" w:rsidRDefault="003D3C22" w:rsidP="003D3C22">
      <w:pPr>
        <w:spacing w:line="288" w:lineRule="atLeast"/>
        <w:jc w:val="both"/>
      </w:pPr>
    </w:p>
    <w:p w:rsidR="003D3C22" w:rsidRPr="00CB2BB8" w:rsidRDefault="003D3C22" w:rsidP="003D3C22">
      <w:pPr>
        <w:spacing w:line="288" w:lineRule="atLeast"/>
        <w:jc w:val="both"/>
      </w:pPr>
      <w:r w:rsidRPr="003C0F27">
        <w:t xml:space="preserve">In the event of a primary system failure or a wall-outlet power failure, in </w:t>
      </w:r>
      <w:r w:rsidRPr="003C0F27">
        <w:rPr>
          <w:rFonts w:cs="ArialMT"/>
          <w:szCs w:val="22"/>
        </w:rPr>
        <w:t xml:space="preserve">order to reduce the risk of rebound pulmonary hypertension, </w:t>
      </w:r>
      <w:r w:rsidRPr="003C0F27">
        <w:t xml:space="preserve">a system for nitric oxide administration must comprise backup battery power supply and </w:t>
      </w:r>
      <w:r w:rsidRPr="003C0F27">
        <w:rPr>
          <w:rFonts w:cs="ArialMT"/>
          <w:szCs w:val="22"/>
        </w:rPr>
        <w:t xml:space="preserve">two back-up systems – an integrated back-up system incorporated into the primary delivery system that allows back-up nitric oxide delivery while the patient remains mechanically ventilated, and an </w:t>
      </w:r>
      <w:r w:rsidRPr="003C0F27">
        <w:rPr>
          <w:rFonts w:cs="ArialMT"/>
          <w:szCs w:val="22"/>
        </w:rPr>
        <w:lastRenderedPageBreak/>
        <w:t xml:space="preserve">independent back-up system that can deliver nitric oxide while the patient is manually ventilated.  Each back-up system </w:t>
      </w:r>
      <w:r>
        <w:rPr>
          <w:rFonts w:cs="ArialMT"/>
          <w:szCs w:val="22"/>
        </w:rPr>
        <w:t xml:space="preserve">must be </w:t>
      </w:r>
      <w:r w:rsidRPr="003C0F27">
        <w:rPr>
          <w:rFonts w:cs="ArialMT"/>
          <w:szCs w:val="22"/>
        </w:rPr>
        <w:t>able to deliver nitric oxide pneumatically in the event of primary system failure.</w:t>
      </w:r>
      <w:r w:rsidRPr="00CB2BB8">
        <w:t xml:space="preserve">  The power supply for the monitoring equipment should be independent of the delivery device function.</w:t>
      </w:r>
    </w:p>
    <w:p w:rsidR="003D3C22" w:rsidRPr="00CB2BB8" w:rsidRDefault="003D3C22" w:rsidP="003D3C22">
      <w:pPr>
        <w:spacing w:line="288" w:lineRule="atLeast"/>
        <w:jc w:val="both"/>
      </w:pPr>
    </w:p>
    <w:p w:rsidR="003D3C22" w:rsidRPr="00CB2BB8" w:rsidRDefault="003D3C22" w:rsidP="003D3C22">
      <w:pPr>
        <w:spacing w:line="288" w:lineRule="atLeast"/>
        <w:jc w:val="both"/>
      </w:pPr>
      <w:r w:rsidRPr="00CB2BB8">
        <w:t>The upper limit of exposure (mean exposure) to nitric oxide for personnel (as defined by worker’s legislation in most countries including Australia) is 25 ppm for 8 hours (30 mg/M</w:t>
      </w:r>
      <w:r w:rsidRPr="00CB2BB8">
        <w:rPr>
          <w:vertAlign w:val="superscript"/>
        </w:rPr>
        <w:t>3</w:t>
      </w:r>
      <w:r w:rsidRPr="00AE7EF4">
        <w:t>)</w:t>
      </w:r>
      <w:r w:rsidRPr="00CB2BB8">
        <w:t xml:space="preserve"> and the corresponding limit for NO</w:t>
      </w:r>
      <w:r w:rsidRPr="00CB2BB8">
        <w:rPr>
          <w:vertAlign w:val="subscript"/>
        </w:rPr>
        <w:t xml:space="preserve">2 </w:t>
      </w:r>
      <w:r w:rsidRPr="00CB2BB8">
        <w:t>is 2-3 ppm (4-6 mg/M</w:t>
      </w:r>
      <w:r w:rsidRPr="00CB2BB8">
        <w:rPr>
          <w:vertAlign w:val="superscript"/>
        </w:rPr>
        <w:t>3</w:t>
      </w:r>
      <w:r w:rsidRPr="00AE7EF4">
        <w:t>)</w:t>
      </w:r>
      <w:r w:rsidRPr="00CB2BB8">
        <w:t>.</w:t>
      </w:r>
    </w:p>
    <w:p w:rsidR="003D3C22" w:rsidRDefault="003D3C22" w:rsidP="003D3C22">
      <w:pPr>
        <w:jc w:val="both"/>
      </w:pPr>
    </w:p>
    <w:p w:rsidR="003D3C22" w:rsidRPr="00CB2BB8" w:rsidRDefault="003D3C22" w:rsidP="003D3C22">
      <w:r w:rsidRPr="00CB2BB8">
        <w:rPr>
          <w:b/>
        </w:rPr>
        <w:t>Training</w:t>
      </w:r>
    </w:p>
    <w:p w:rsidR="003D3C22" w:rsidRPr="002B1626" w:rsidRDefault="003D3C22" w:rsidP="003D3C22">
      <w:pPr>
        <w:spacing w:line="288" w:lineRule="atLeast"/>
        <w:jc w:val="both"/>
      </w:pPr>
      <w:r w:rsidRPr="002B1626">
        <w:t xml:space="preserve">The sponsor provides training to relevant hospital personnel, and ongoing 24-hour, 7 days a week technical support service, on the proper use of </w:t>
      </w:r>
      <w:proofErr w:type="spellStart"/>
      <w:r w:rsidRPr="002B1626">
        <w:t>INOmax</w:t>
      </w:r>
      <w:proofErr w:type="spellEnd"/>
      <w:r w:rsidRPr="002B1626">
        <w:t>® in conjunction with the nitric oxide gas delivery system provided by the sponsor.</w:t>
      </w:r>
    </w:p>
    <w:p w:rsidR="003D3C22" w:rsidRDefault="003D3C22" w:rsidP="003D3C22">
      <w:pPr>
        <w:spacing w:line="288" w:lineRule="atLeast"/>
        <w:jc w:val="both"/>
      </w:pPr>
    </w:p>
    <w:p w:rsidR="003D3C22" w:rsidRPr="00CB2BB8" w:rsidRDefault="003D3C22" w:rsidP="003D3C22">
      <w:pPr>
        <w:spacing w:line="288" w:lineRule="atLeast"/>
        <w:jc w:val="both"/>
      </w:pPr>
      <w:r w:rsidRPr="00CB2BB8">
        <w:t>The key elements that need to be covered in training hospital personnel are as follows:</w:t>
      </w:r>
    </w:p>
    <w:p w:rsidR="003D3C22" w:rsidRPr="00CB2BB8" w:rsidRDefault="003D3C22" w:rsidP="003D3C22"/>
    <w:p w:rsidR="003D3C22" w:rsidRPr="00CB2BB8" w:rsidRDefault="003D3C22" w:rsidP="003D3C22">
      <w:r w:rsidRPr="00CB2BB8">
        <w:t>Correct set-up and connection</w:t>
      </w:r>
    </w:p>
    <w:p w:rsidR="003D3C22" w:rsidRPr="00CB2BB8" w:rsidRDefault="003D3C22" w:rsidP="003D3C22">
      <w:pPr>
        <w:numPr>
          <w:ilvl w:val="0"/>
          <w:numId w:val="13"/>
        </w:numPr>
      </w:pPr>
      <w:r w:rsidRPr="00CB2BB8">
        <w:t>Connections to the gas cylinder and to the ventilator patient breathing circuit</w:t>
      </w:r>
    </w:p>
    <w:p w:rsidR="003D3C22" w:rsidRPr="00CB2BB8" w:rsidRDefault="003D3C22" w:rsidP="003D3C22"/>
    <w:p w:rsidR="003D3C22" w:rsidRPr="00CB2BB8" w:rsidRDefault="003D3C22" w:rsidP="003D3C22">
      <w:r w:rsidRPr="00CB2BB8">
        <w:t>Operation</w:t>
      </w:r>
    </w:p>
    <w:p w:rsidR="003D3C22" w:rsidRPr="00CB2BB8" w:rsidRDefault="003D3C22" w:rsidP="003D3C22">
      <w:pPr>
        <w:numPr>
          <w:ilvl w:val="0"/>
          <w:numId w:val="13"/>
        </w:numPr>
      </w:pPr>
      <w:r w:rsidRPr="00CB2BB8">
        <w:t>Pre-use check list procedure ( a series of steps required immediately prior to each patient initiation to ensure that the system is working properly and the system is purged of NO</w:t>
      </w:r>
      <w:r w:rsidRPr="00CB2BB8">
        <w:rPr>
          <w:vertAlign w:val="subscript"/>
        </w:rPr>
        <w:t xml:space="preserve">2 </w:t>
      </w:r>
      <w:r w:rsidRPr="00CB2BB8">
        <w:t>)</w:t>
      </w:r>
    </w:p>
    <w:p w:rsidR="003D3C22" w:rsidRPr="00CB2BB8" w:rsidRDefault="003D3C22" w:rsidP="003D3C22">
      <w:pPr>
        <w:numPr>
          <w:ilvl w:val="0"/>
          <w:numId w:val="13"/>
        </w:numPr>
      </w:pPr>
      <w:r w:rsidRPr="00CB2BB8">
        <w:t>Setting the device for the correct concentration of nitric oxide to be administered</w:t>
      </w:r>
    </w:p>
    <w:p w:rsidR="003D3C22" w:rsidRPr="00CB2BB8" w:rsidRDefault="003D3C22" w:rsidP="003D3C22">
      <w:pPr>
        <w:numPr>
          <w:ilvl w:val="0"/>
          <w:numId w:val="13"/>
        </w:numPr>
      </w:pPr>
      <w:r w:rsidRPr="00CB2BB8">
        <w:t>Setting the NO, NO</w:t>
      </w:r>
      <w:r w:rsidRPr="00CB2BB8">
        <w:rPr>
          <w:vertAlign w:val="subscript"/>
        </w:rPr>
        <w:t>2</w:t>
      </w:r>
      <w:r w:rsidRPr="00CB2BB8">
        <w:t>, and O</w:t>
      </w:r>
      <w:r w:rsidRPr="00CB2BB8">
        <w:rPr>
          <w:vertAlign w:val="subscript"/>
        </w:rPr>
        <w:t xml:space="preserve">2 </w:t>
      </w:r>
      <w:r w:rsidRPr="00CB2BB8">
        <w:t>monitors for high and low alarm limits</w:t>
      </w:r>
    </w:p>
    <w:p w:rsidR="003D3C22" w:rsidRPr="00CB2BB8" w:rsidRDefault="003D3C22" w:rsidP="003D3C22">
      <w:pPr>
        <w:numPr>
          <w:ilvl w:val="0"/>
          <w:numId w:val="13"/>
        </w:numPr>
      </w:pPr>
      <w:r w:rsidRPr="00CB2BB8">
        <w:t>Using the manual backup delivery system</w:t>
      </w:r>
    </w:p>
    <w:p w:rsidR="003D3C22" w:rsidRPr="00CB2BB8" w:rsidRDefault="003D3C22" w:rsidP="003D3C22">
      <w:pPr>
        <w:numPr>
          <w:ilvl w:val="0"/>
          <w:numId w:val="13"/>
        </w:numPr>
      </w:pPr>
      <w:r w:rsidRPr="00CB2BB8">
        <w:t>Procedures for correctly switching gas cylinders and purging system</w:t>
      </w:r>
    </w:p>
    <w:p w:rsidR="003D3C22" w:rsidRPr="00CB2BB8" w:rsidRDefault="003D3C22" w:rsidP="003D3C22">
      <w:pPr>
        <w:numPr>
          <w:ilvl w:val="0"/>
          <w:numId w:val="13"/>
        </w:numPr>
      </w:pPr>
      <w:r w:rsidRPr="00CB2BB8">
        <w:t>Troubleshooting alarms</w:t>
      </w:r>
    </w:p>
    <w:p w:rsidR="003D3C22" w:rsidRPr="00CB2BB8" w:rsidRDefault="003D3C22" w:rsidP="003D3C22">
      <w:pPr>
        <w:numPr>
          <w:ilvl w:val="0"/>
          <w:numId w:val="13"/>
        </w:numPr>
      </w:pPr>
      <w:r w:rsidRPr="00CB2BB8">
        <w:t>NO, NO</w:t>
      </w:r>
      <w:r w:rsidRPr="00CB2BB8">
        <w:rPr>
          <w:vertAlign w:val="subscript"/>
        </w:rPr>
        <w:t>2</w:t>
      </w:r>
      <w:r w:rsidRPr="00CB2BB8">
        <w:t>, and O</w:t>
      </w:r>
      <w:r w:rsidRPr="00CB2BB8">
        <w:rPr>
          <w:vertAlign w:val="subscript"/>
        </w:rPr>
        <w:t xml:space="preserve">2 </w:t>
      </w:r>
      <w:r w:rsidRPr="00CB2BB8">
        <w:t>monitor calibration</w:t>
      </w:r>
    </w:p>
    <w:p w:rsidR="003D3C22" w:rsidRPr="00CB2BB8" w:rsidRDefault="003D3C22" w:rsidP="003D3C22">
      <w:pPr>
        <w:numPr>
          <w:ilvl w:val="0"/>
          <w:numId w:val="13"/>
        </w:numPr>
      </w:pPr>
      <w:r w:rsidRPr="00CB2BB8">
        <w:t>Monthly system performance check-up procedures</w:t>
      </w:r>
    </w:p>
    <w:p w:rsidR="003D3C22" w:rsidRPr="00CB2BB8" w:rsidRDefault="003D3C22" w:rsidP="003D3C22">
      <w:pPr>
        <w:jc w:val="both"/>
      </w:pPr>
    </w:p>
    <w:p w:rsidR="003D3C22" w:rsidRPr="00CB2BB8" w:rsidRDefault="003D3C22" w:rsidP="003D3C22">
      <w:pPr>
        <w:jc w:val="both"/>
        <w:rPr>
          <w:b/>
        </w:rPr>
      </w:pPr>
      <w:r w:rsidRPr="00CB2BB8">
        <w:rPr>
          <w:b/>
        </w:rPr>
        <w:t>Monitoring for Methaemoglobin</w:t>
      </w:r>
    </w:p>
    <w:p w:rsidR="003D3C22" w:rsidRPr="00CB2BB8" w:rsidRDefault="003D3C22" w:rsidP="003D3C22">
      <w:pPr>
        <w:spacing w:line="288" w:lineRule="atLeast"/>
        <w:jc w:val="both"/>
      </w:pPr>
      <w:r w:rsidRPr="00CB2BB8">
        <w:t xml:space="preserve">Neonates are known to have diminished </w:t>
      </w:r>
      <w:proofErr w:type="spellStart"/>
      <w:r w:rsidRPr="00CB2BB8">
        <w:t>MetHb</w:t>
      </w:r>
      <w:proofErr w:type="spellEnd"/>
      <w:r w:rsidRPr="00CB2BB8">
        <w:t xml:space="preserve"> reductase activity compared to adults.  Methaemoglobin level should be measured within one hour after initiation of </w:t>
      </w:r>
      <w:proofErr w:type="spellStart"/>
      <w:r w:rsidRPr="00CB2BB8">
        <w:t>INOmax</w:t>
      </w:r>
      <w:proofErr w:type="spellEnd"/>
      <w:r w:rsidRPr="00CB2BB8">
        <w:t xml:space="preserve">® therapy, using an analyser which can reliably distinguish between foetal haemoglobin and methaemoglobin.  </w:t>
      </w:r>
      <w:r w:rsidRPr="005A35D9">
        <w:t xml:space="preserve">If it is &gt; 2.5% the </w:t>
      </w:r>
      <w:proofErr w:type="spellStart"/>
      <w:r w:rsidRPr="005A35D9">
        <w:t>INOmax</w:t>
      </w:r>
      <w:proofErr w:type="spellEnd"/>
      <w:r w:rsidRPr="005A35D9">
        <w:t>® dose should be decreased and the administration of reducing agents may be considered</w:t>
      </w:r>
      <w:r w:rsidRPr="00CB2BB8">
        <w:t>.  Although it is unusual for methaemoglobin level to increase significantly if the first level is low, it is prudent to repeat methaemoglobin measurement every one to two days.</w:t>
      </w:r>
    </w:p>
    <w:p w:rsidR="003D3C22" w:rsidRDefault="003D3C22" w:rsidP="003D3C22">
      <w:pPr>
        <w:jc w:val="both"/>
        <w:rPr>
          <w:b/>
        </w:rPr>
      </w:pPr>
    </w:p>
    <w:p w:rsidR="003D3C22" w:rsidRPr="00CB2BB8" w:rsidRDefault="003D3C22" w:rsidP="003D3C22">
      <w:pPr>
        <w:jc w:val="both"/>
        <w:rPr>
          <w:b/>
        </w:rPr>
      </w:pPr>
      <w:r w:rsidRPr="00CB2BB8">
        <w:rPr>
          <w:b/>
        </w:rPr>
        <w:t>Monitoring formation of Nitrogen Dioxide</w:t>
      </w:r>
    </w:p>
    <w:p w:rsidR="003D3C22" w:rsidRDefault="003D3C22" w:rsidP="003D3C22">
      <w:pPr>
        <w:spacing w:line="288" w:lineRule="atLeast"/>
        <w:jc w:val="both"/>
      </w:pPr>
      <w:r w:rsidRPr="00CB2BB8">
        <w:t>Immediately prior to each patient initiation, proper procedure must be applied to purge the system of NO</w:t>
      </w:r>
      <w:r w:rsidRPr="00CB2BB8">
        <w:rPr>
          <w:vertAlign w:val="subscript"/>
        </w:rPr>
        <w:t>2</w:t>
      </w:r>
      <w:r w:rsidRPr="00CB2BB8">
        <w:t>.  The NO</w:t>
      </w:r>
      <w:r w:rsidRPr="00CB2BB8">
        <w:rPr>
          <w:vertAlign w:val="subscript"/>
        </w:rPr>
        <w:t xml:space="preserve">2 </w:t>
      </w:r>
      <w:r w:rsidRPr="00CB2BB8">
        <w:t>concentration should be maintained as low as possible and always &lt; 0.5 ppm.  If the NO</w:t>
      </w:r>
      <w:r w:rsidRPr="00CB2BB8">
        <w:rPr>
          <w:vertAlign w:val="subscript"/>
        </w:rPr>
        <w:t xml:space="preserve">2 </w:t>
      </w:r>
      <w:r w:rsidRPr="00CB2BB8">
        <w:t>is &gt; 0.5 ppm, the delivery system should be assessed for malfunction, the NO</w:t>
      </w:r>
      <w:r w:rsidRPr="00CB2BB8">
        <w:rPr>
          <w:vertAlign w:val="subscript"/>
        </w:rPr>
        <w:t xml:space="preserve">2 </w:t>
      </w:r>
      <w:r w:rsidRPr="00CB2BB8">
        <w:t xml:space="preserve">analyser should be recalibrated and the </w:t>
      </w:r>
      <w:proofErr w:type="spellStart"/>
      <w:r w:rsidRPr="00CB2BB8">
        <w:t>INOmax</w:t>
      </w:r>
      <w:proofErr w:type="spellEnd"/>
      <w:r w:rsidRPr="00CB2BB8">
        <w:t>® and/or FiO</w:t>
      </w:r>
      <w:r w:rsidRPr="00CB2BB8">
        <w:rPr>
          <w:vertAlign w:val="subscript"/>
        </w:rPr>
        <w:t xml:space="preserve">2 </w:t>
      </w:r>
      <w:r w:rsidRPr="00CB2BB8">
        <w:t xml:space="preserve">should be reduced if possible.  If there is an unexpected change in </w:t>
      </w:r>
      <w:proofErr w:type="spellStart"/>
      <w:r w:rsidRPr="00CB2BB8">
        <w:t>INOmax</w:t>
      </w:r>
      <w:proofErr w:type="spellEnd"/>
      <w:r w:rsidRPr="00CB2BB8">
        <w:t>® concentration, the delivery system should be assessed for malfunction and the analyser should be recalibrated.</w:t>
      </w:r>
      <w:r>
        <w:t xml:space="preserve">  </w:t>
      </w:r>
    </w:p>
    <w:p w:rsidR="003D3C22" w:rsidRDefault="003D3C22" w:rsidP="003D3C22">
      <w:pPr>
        <w:spacing w:line="288" w:lineRule="atLeast"/>
        <w:jc w:val="both"/>
      </w:pPr>
    </w:p>
    <w:p w:rsidR="003D3C22" w:rsidRPr="002B1626" w:rsidRDefault="003D3C22" w:rsidP="003D3C22">
      <w:pPr>
        <w:spacing w:line="288" w:lineRule="atLeast"/>
        <w:jc w:val="both"/>
      </w:pPr>
      <w:r w:rsidRPr="002B1626">
        <w:t xml:space="preserve">The sponsor provides ongoing 24-hour, 7 days a week technical support service for </w:t>
      </w:r>
      <w:proofErr w:type="spellStart"/>
      <w:r w:rsidRPr="002B1626">
        <w:t>INOmax</w:t>
      </w:r>
      <w:proofErr w:type="spellEnd"/>
      <w:r w:rsidRPr="002B1626">
        <w:t>® and the approved delivery system provided by the sponsor.</w:t>
      </w:r>
    </w:p>
    <w:p w:rsidR="000474C4" w:rsidRDefault="000474C4" w:rsidP="00E450A4">
      <w:pPr>
        <w:rPr>
          <w:b/>
        </w:rPr>
      </w:pPr>
    </w:p>
    <w:p w:rsidR="00AB2EA6" w:rsidRDefault="00AB2EA6" w:rsidP="00E450A4">
      <w:pPr>
        <w:rPr>
          <w:b/>
        </w:rPr>
      </w:pPr>
    </w:p>
    <w:p w:rsidR="000474C4" w:rsidRDefault="000474C4" w:rsidP="00E450A4">
      <w:pPr>
        <w:rPr>
          <w:b/>
        </w:rPr>
      </w:pPr>
      <w:r>
        <w:rPr>
          <w:b/>
        </w:rPr>
        <w:t xml:space="preserve">4.3 </w:t>
      </w:r>
      <w:r>
        <w:rPr>
          <w:b/>
        </w:rPr>
        <w:tab/>
        <w:t>CO</w:t>
      </w:r>
      <w:r w:rsidR="00E450A4">
        <w:rPr>
          <w:b/>
        </w:rPr>
        <w:t>N</w:t>
      </w:r>
      <w:r>
        <w:rPr>
          <w:b/>
        </w:rPr>
        <w:t>TRAINDICATIONS</w:t>
      </w:r>
    </w:p>
    <w:p w:rsidR="000474C4" w:rsidRDefault="000474C4" w:rsidP="00E450A4">
      <w:pPr>
        <w:rPr>
          <w:b/>
        </w:rPr>
      </w:pPr>
    </w:p>
    <w:p w:rsidR="00E450A4" w:rsidRDefault="00E450A4" w:rsidP="00E450A4">
      <w:pPr>
        <w:keepNext/>
        <w:spacing w:line="288" w:lineRule="atLeast"/>
        <w:jc w:val="both"/>
      </w:pPr>
      <w:r w:rsidRPr="00CB2BB8">
        <w:lastRenderedPageBreak/>
        <w:t>Neonates known to be dependent on right-to-left or significant left-to-right shunting of blood.  Hypersensitivity to the active substance or any of the excipients.</w:t>
      </w:r>
    </w:p>
    <w:p w:rsidR="00E450A4" w:rsidRDefault="00E450A4" w:rsidP="00E450A4">
      <w:pPr>
        <w:keepNext/>
        <w:spacing w:line="288" w:lineRule="atLeast"/>
        <w:jc w:val="both"/>
      </w:pPr>
    </w:p>
    <w:p w:rsidR="000474C4" w:rsidRDefault="000474C4" w:rsidP="00E450A4">
      <w:pPr>
        <w:rPr>
          <w:b/>
        </w:rPr>
      </w:pPr>
    </w:p>
    <w:p w:rsidR="000474C4" w:rsidRDefault="000474C4" w:rsidP="00E450A4">
      <w:pPr>
        <w:rPr>
          <w:b/>
        </w:rPr>
      </w:pPr>
      <w:r>
        <w:rPr>
          <w:b/>
        </w:rPr>
        <w:t>4.4</w:t>
      </w:r>
      <w:r>
        <w:rPr>
          <w:b/>
        </w:rPr>
        <w:tab/>
        <w:t>SPECIAL WARNINGS AND PRECAUTIONS FOR USE</w:t>
      </w:r>
    </w:p>
    <w:p w:rsidR="001B37F6" w:rsidRDefault="001B37F6" w:rsidP="00E450A4">
      <w:pPr>
        <w:rPr>
          <w:b/>
        </w:rPr>
      </w:pPr>
    </w:p>
    <w:p w:rsidR="001A0B8B" w:rsidRPr="002B1626" w:rsidRDefault="001A0B8B" w:rsidP="001A0B8B">
      <w:pPr>
        <w:autoSpaceDE w:val="0"/>
        <w:autoSpaceDN w:val="0"/>
        <w:adjustRightInd w:val="0"/>
        <w:spacing w:line="288" w:lineRule="atLeast"/>
        <w:jc w:val="both"/>
        <w:rPr>
          <w:b/>
        </w:rPr>
      </w:pPr>
      <w:r w:rsidRPr="002B1626">
        <w:rPr>
          <w:b/>
        </w:rPr>
        <w:t>D</w:t>
      </w:r>
      <w:r w:rsidR="00662261">
        <w:rPr>
          <w:b/>
        </w:rPr>
        <w:t>o</w:t>
      </w:r>
      <w:r w:rsidRPr="002B1626">
        <w:rPr>
          <w:b/>
        </w:rPr>
        <w:t xml:space="preserve"> not use </w:t>
      </w:r>
      <w:proofErr w:type="spellStart"/>
      <w:r w:rsidRPr="002B1626">
        <w:rPr>
          <w:b/>
        </w:rPr>
        <w:t>INOmax</w:t>
      </w:r>
      <w:proofErr w:type="spellEnd"/>
      <w:r w:rsidRPr="002B1626">
        <w:rPr>
          <w:b/>
        </w:rPr>
        <w:t xml:space="preserve">® undiluted.  </w:t>
      </w:r>
      <w:proofErr w:type="spellStart"/>
      <w:r w:rsidRPr="002B1626">
        <w:rPr>
          <w:b/>
        </w:rPr>
        <w:t>INOmax</w:t>
      </w:r>
      <w:proofErr w:type="spellEnd"/>
      <w:r w:rsidRPr="002B1626">
        <w:rPr>
          <w:b/>
        </w:rPr>
        <w:t xml:space="preserve">® is delivered to the patient via mechanical ventilation after dilution with an oxygen/air mixture using an approved nitric oxide gas delivery system provided by the sponsor that meets the criteria specified in </w:t>
      </w:r>
      <w:r w:rsidR="00D8278A">
        <w:rPr>
          <w:b/>
        </w:rPr>
        <w:t xml:space="preserve">Section </w:t>
      </w:r>
      <w:r w:rsidR="008508BE">
        <w:rPr>
          <w:b/>
        </w:rPr>
        <w:t>4.2</w:t>
      </w:r>
      <w:r w:rsidRPr="002B1626">
        <w:rPr>
          <w:b/>
        </w:rPr>
        <w:t xml:space="preserve"> Dose and </w:t>
      </w:r>
      <w:r w:rsidR="006A4C98">
        <w:rPr>
          <w:b/>
        </w:rPr>
        <w:t>Method of Administration</w:t>
      </w:r>
      <w:r w:rsidRPr="002B1626">
        <w:rPr>
          <w:b/>
        </w:rPr>
        <w:t xml:space="preserve">.  The controlled flow of 800 ppm </w:t>
      </w:r>
      <w:proofErr w:type="spellStart"/>
      <w:r w:rsidRPr="002B1626">
        <w:rPr>
          <w:b/>
        </w:rPr>
        <w:t>INOmax</w:t>
      </w:r>
      <w:proofErr w:type="spellEnd"/>
      <w:r w:rsidRPr="002B1626">
        <w:rPr>
          <w:b/>
        </w:rPr>
        <w:t>® is delivered to the ventilator circuit via the injector tube where it is diluted by the ventilator gas flow to the concentration set by the operator.  This concentration must not exceed 20 ppm</w:t>
      </w:r>
      <w:r w:rsidR="00F9583E">
        <w:rPr>
          <w:b/>
        </w:rPr>
        <w:t>.</w:t>
      </w:r>
      <w:r w:rsidRPr="002B1626">
        <w:rPr>
          <w:b/>
        </w:rPr>
        <w:t xml:space="preserve">.  The delivery system must provide a constant inhaled nitric oxide concentration irrespective of the ventilator.  </w:t>
      </w:r>
      <w:proofErr w:type="spellStart"/>
      <w:r w:rsidRPr="002B1626">
        <w:rPr>
          <w:b/>
        </w:rPr>
        <w:t>INOmax</w:t>
      </w:r>
      <w:proofErr w:type="spellEnd"/>
      <w:r w:rsidRPr="002B1626">
        <w:rPr>
          <w:b/>
        </w:rPr>
        <w:t>® should be administered with monitoring for PaO</w:t>
      </w:r>
      <w:r w:rsidRPr="002B1626">
        <w:rPr>
          <w:b/>
          <w:vertAlign w:val="subscript"/>
        </w:rPr>
        <w:t>2</w:t>
      </w:r>
      <w:r w:rsidRPr="002B1626">
        <w:rPr>
          <w:b/>
        </w:rPr>
        <w:t>, methaemoglobin and NO</w:t>
      </w:r>
      <w:r w:rsidRPr="002B1626">
        <w:rPr>
          <w:b/>
          <w:vertAlign w:val="subscript"/>
        </w:rPr>
        <w:t>2</w:t>
      </w:r>
      <w:r w:rsidRPr="002B1626">
        <w:rPr>
          <w:b/>
        </w:rPr>
        <w:t xml:space="preserve">.  The sponsor provides training to relevant hospital personnel, and ongoing 24-hour, 7 days a week technical support service, on the proper use of </w:t>
      </w:r>
      <w:proofErr w:type="spellStart"/>
      <w:r w:rsidRPr="002B1626">
        <w:rPr>
          <w:b/>
        </w:rPr>
        <w:t>INOmax</w:t>
      </w:r>
      <w:proofErr w:type="spellEnd"/>
      <w:r w:rsidRPr="002B1626">
        <w:rPr>
          <w:b/>
        </w:rPr>
        <w:t>® in conjunction with the nitric oxide gas delivery system provided by the sponsor.</w:t>
      </w:r>
    </w:p>
    <w:p w:rsidR="001A0B8B" w:rsidRDefault="001A0B8B" w:rsidP="001A0B8B"/>
    <w:p w:rsidR="001A0B8B" w:rsidRPr="00CB2BB8" w:rsidRDefault="001A0B8B" w:rsidP="001A0B8B">
      <w:pPr>
        <w:spacing w:line="288" w:lineRule="atLeast"/>
        <w:jc w:val="both"/>
      </w:pPr>
      <w:r w:rsidRPr="00CB2BB8">
        <w:t xml:space="preserve">If it is judged that clinical response is inadequate at 4-6 hours after starting </w:t>
      </w:r>
      <w:proofErr w:type="spellStart"/>
      <w:r w:rsidRPr="00CB2BB8">
        <w:t>INOmax</w:t>
      </w:r>
      <w:proofErr w:type="spellEnd"/>
      <w:r w:rsidRPr="00CB2BB8">
        <w:t>®, the following should be considered:</w:t>
      </w:r>
    </w:p>
    <w:p w:rsidR="001A0B8B" w:rsidRPr="00CB2BB8" w:rsidRDefault="001A0B8B" w:rsidP="001A0B8B">
      <w:pPr>
        <w:spacing w:line="288" w:lineRule="atLeast"/>
        <w:jc w:val="both"/>
      </w:pPr>
    </w:p>
    <w:p w:rsidR="001A0B8B" w:rsidRPr="00CB2BB8" w:rsidRDefault="001A0B8B" w:rsidP="001A0B8B">
      <w:pPr>
        <w:numPr>
          <w:ilvl w:val="0"/>
          <w:numId w:val="16"/>
        </w:numPr>
        <w:spacing w:line="288" w:lineRule="atLeast"/>
        <w:jc w:val="both"/>
      </w:pPr>
      <w:r w:rsidRPr="00CB2BB8">
        <w:t xml:space="preserve">For patients who are referred to another hospital, to prevent worsening of their condition on acute discontinuation of </w:t>
      </w:r>
      <w:proofErr w:type="spellStart"/>
      <w:r w:rsidRPr="00CB2BB8">
        <w:t>INOmax</w:t>
      </w:r>
      <w:proofErr w:type="spellEnd"/>
      <w:r w:rsidRPr="00CB2BB8">
        <w:t>®, the availability of nitric oxide during transport should be assured.</w:t>
      </w:r>
    </w:p>
    <w:p w:rsidR="001A0B8B" w:rsidRPr="00CB2BB8" w:rsidRDefault="001A0B8B" w:rsidP="001A0B8B">
      <w:pPr>
        <w:spacing w:line="288" w:lineRule="atLeast"/>
        <w:jc w:val="both"/>
      </w:pPr>
    </w:p>
    <w:p w:rsidR="009B541F" w:rsidRPr="009B541F" w:rsidRDefault="001A0B8B" w:rsidP="001A0B8B">
      <w:pPr>
        <w:numPr>
          <w:ilvl w:val="0"/>
          <w:numId w:val="16"/>
        </w:numPr>
        <w:spacing w:line="288" w:lineRule="atLeast"/>
        <w:jc w:val="both"/>
      </w:pPr>
      <w:r w:rsidRPr="00CB2BB8">
        <w:t>Rescue, such as ECMO where available should be considered based on continued deterioration or failure to improve defined by criteria based on local circumstances.</w:t>
      </w:r>
    </w:p>
    <w:p w:rsidR="00842EC8" w:rsidRDefault="00842EC8" w:rsidP="001A0B8B">
      <w:pPr>
        <w:pStyle w:val="Heading2"/>
        <w:rPr>
          <w:rFonts w:ascii="Times New Roman" w:hAnsi="Times New Roman"/>
          <w:bCs/>
        </w:rPr>
      </w:pPr>
    </w:p>
    <w:p w:rsidR="00842EC8" w:rsidRDefault="00842EC8" w:rsidP="001A0B8B">
      <w:pPr>
        <w:pStyle w:val="Heading2"/>
        <w:rPr>
          <w:rFonts w:ascii="Times New Roman" w:hAnsi="Times New Roman"/>
          <w:bCs/>
        </w:rPr>
      </w:pPr>
    </w:p>
    <w:p w:rsidR="001A0B8B" w:rsidRPr="00CB2BB8" w:rsidRDefault="001A0B8B" w:rsidP="001A0B8B">
      <w:pPr>
        <w:pStyle w:val="Heading2"/>
        <w:rPr>
          <w:rFonts w:ascii="Times New Roman" w:hAnsi="Times New Roman"/>
          <w:bCs/>
        </w:rPr>
      </w:pPr>
      <w:r>
        <w:rPr>
          <w:rFonts w:ascii="Times New Roman" w:hAnsi="Times New Roman"/>
          <w:bCs/>
        </w:rPr>
        <w:t>Rebound pulmonary hypertension syndrome following abrupt d</w:t>
      </w:r>
      <w:r w:rsidRPr="00CB2BB8">
        <w:rPr>
          <w:rFonts w:ascii="Times New Roman" w:hAnsi="Times New Roman"/>
          <w:bCs/>
        </w:rPr>
        <w:t>iscontinuation</w:t>
      </w:r>
    </w:p>
    <w:p w:rsidR="001A0B8B" w:rsidRDefault="001A0B8B" w:rsidP="001A0B8B">
      <w:pPr>
        <w:keepNext/>
        <w:spacing w:line="288" w:lineRule="atLeast"/>
        <w:jc w:val="both"/>
      </w:pPr>
      <w:r w:rsidRPr="00CB2BB8">
        <w:t xml:space="preserve">The </w:t>
      </w:r>
      <w:proofErr w:type="spellStart"/>
      <w:r w:rsidRPr="00CB2BB8">
        <w:t>INOmax</w:t>
      </w:r>
      <w:proofErr w:type="spellEnd"/>
      <w:r w:rsidRPr="00CB2BB8">
        <w:t>® dose should not be discontinued abruptly as it may result in an increase in pulmonary artery pressure (PAP) and/or worsening of blood oxygenation (PaO</w:t>
      </w:r>
      <w:r w:rsidRPr="00CB2BB8">
        <w:rPr>
          <w:vertAlign w:val="subscript"/>
        </w:rPr>
        <w:t>2</w:t>
      </w:r>
      <w:r w:rsidRPr="0008417B">
        <w:t>)</w:t>
      </w:r>
      <w:r>
        <w:t>, i.e. rebound pulmonary hypertension syndrome. Signs and symptoms of rebound pulmonary hypertension syndrome include: hypox</w:t>
      </w:r>
      <w:r w:rsidR="008508BE">
        <w:t>a</w:t>
      </w:r>
      <w:r>
        <w:t>emia, systemic hypotension, bradycardia and decreased cardiac output. If rebound pulmonary hypertension syndrome occurs, reinstate therapy immediately.</w:t>
      </w:r>
      <w:r w:rsidRPr="00CB2BB8">
        <w:t xml:space="preserve">  Deterioration in oxygenation and elevation in PAP may also occur in neonates with no apparent response to </w:t>
      </w:r>
      <w:proofErr w:type="spellStart"/>
      <w:r w:rsidRPr="00CB2BB8">
        <w:t>INOmax</w:t>
      </w:r>
      <w:proofErr w:type="spellEnd"/>
      <w:r w:rsidRPr="00CB2BB8">
        <w:t>®.  Weaning from inhaled nitric oxide should be performed with caution.  For patients transported to other facilities for additional treatment, who need to continue with inhaled nitric oxide, arrangements should be made to ensure the continuous supply of inhaled nitric oxide during transportation.  The physician should have access at the bedside to a reserve nitric oxide delivery system.</w:t>
      </w:r>
    </w:p>
    <w:p w:rsidR="001A0B8B" w:rsidRPr="00CB2BB8" w:rsidRDefault="001A0B8B" w:rsidP="001A0B8B">
      <w:pPr>
        <w:keepNext/>
        <w:spacing w:line="288" w:lineRule="atLeast"/>
        <w:jc w:val="both"/>
      </w:pPr>
    </w:p>
    <w:p w:rsidR="001A0B8B" w:rsidRPr="00CB2BB8" w:rsidRDefault="001A0B8B" w:rsidP="001A0B8B">
      <w:pPr>
        <w:keepNext/>
        <w:spacing w:line="288" w:lineRule="atLeast"/>
        <w:jc w:val="both"/>
        <w:rPr>
          <w:b/>
        </w:rPr>
      </w:pPr>
      <w:proofErr w:type="spellStart"/>
      <w:r w:rsidRPr="00CB2BB8">
        <w:rPr>
          <w:b/>
        </w:rPr>
        <w:t>Methaemoglobinaemia</w:t>
      </w:r>
      <w:proofErr w:type="spellEnd"/>
    </w:p>
    <w:p w:rsidR="001A0B8B" w:rsidRDefault="001A0B8B" w:rsidP="001A0B8B">
      <w:pPr>
        <w:keepNext/>
        <w:spacing w:line="288" w:lineRule="atLeast"/>
        <w:jc w:val="both"/>
      </w:pPr>
      <w:r w:rsidRPr="00CB2BB8">
        <w:t>A large portion of nitric oxide for inhalation is absorbed systemically.  The end products of nitric oxide that enter the systemic circulation are predominantly methaemoglobin and nitrate.  The concentrations of methaemoglobin in the blood should be measured (</w:t>
      </w:r>
      <w:r w:rsidR="00B43B21" w:rsidRPr="00CB2BB8">
        <w:t xml:space="preserve">see </w:t>
      </w:r>
      <w:r w:rsidR="00B43B21">
        <w:t xml:space="preserve">Section 4.2 </w:t>
      </w:r>
      <w:r w:rsidR="00B43B21" w:rsidRPr="00CB2BB8">
        <w:t>D</w:t>
      </w:r>
      <w:r w:rsidR="00B43B21">
        <w:t>ose</w:t>
      </w:r>
      <w:r w:rsidR="00B43B21" w:rsidRPr="00CB2BB8">
        <w:t xml:space="preserve"> </w:t>
      </w:r>
      <w:r w:rsidR="00B43B21">
        <w:t>and</w:t>
      </w:r>
      <w:r w:rsidR="00B43B21" w:rsidRPr="00CB2BB8">
        <w:t xml:space="preserve"> </w:t>
      </w:r>
      <w:r w:rsidR="00B43B21">
        <w:t>Method of Administration</w:t>
      </w:r>
      <w:r w:rsidRPr="00CB2BB8">
        <w:t>)</w:t>
      </w:r>
      <w:r>
        <w:t xml:space="preserve"> </w:t>
      </w:r>
      <w:r w:rsidRPr="00CB2BB8">
        <w:t xml:space="preserve">within one hour after initiation of </w:t>
      </w:r>
      <w:proofErr w:type="spellStart"/>
      <w:r w:rsidRPr="00CB2BB8">
        <w:t>INOmax</w:t>
      </w:r>
      <w:proofErr w:type="spellEnd"/>
      <w:r w:rsidRPr="00CB2BB8">
        <w:t xml:space="preserve">® therapy, using an analyser which can reliably distinguish between foetal haemoglobin and methaemoglobin.  </w:t>
      </w:r>
      <w:r w:rsidRPr="005A35D9">
        <w:t xml:space="preserve">If it is &gt; 2.5% the </w:t>
      </w:r>
      <w:proofErr w:type="spellStart"/>
      <w:r w:rsidRPr="005A35D9">
        <w:t>INOmax</w:t>
      </w:r>
      <w:proofErr w:type="spellEnd"/>
      <w:r w:rsidRPr="005A35D9">
        <w:t>® dose should be decreased and the administration of reducing agents may be considered.</w:t>
      </w:r>
      <w:r w:rsidRPr="00CB2BB8">
        <w:t xml:space="preserve">  Although it is unusual for methaemoglobin level to increase significantly if the first level is low, it is prudent to repeat methaemoglobin measurement every one to two days.</w:t>
      </w:r>
    </w:p>
    <w:p w:rsidR="001A0B8B" w:rsidRPr="00CB2BB8" w:rsidRDefault="001A0B8B" w:rsidP="001A0B8B">
      <w:pPr>
        <w:keepNext/>
        <w:spacing w:line="288" w:lineRule="atLeast"/>
        <w:jc w:val="both"/>
      </w:pPr>
    </w:p>
    <w:p w:rsidR="001A0B8B" w:rsidRDefault="001A0B8B" w:rsidP="001A0B8B">
      <w:pPr>
        <w:pStyle w:val="Heading2"/>
        <w:spacing w:line="288" w:lineRule="atLeast"/>
        <w:jc w:val="both"/>
        <w:rPr>
          <w:rFonts w:ascii="Times New Roman" w:hAnsi="Times New Roman"/>
          <w:b w:val="0"/>
        </w:rPr>
      </w:pPr>
      <w:proofErr w:type="spellStart"/>
      <w:r w:rsidRPr="00CB2BB8">
        <w:rPr>
          <w:rFonts w:ascii="Times New Roman" w:hAnsi="Times New Roman"/>
          <w:b w:val="0"/>
        </w:rPr>
        <w:t>Methaemoglobin</w:t>
      </w:r>
      <w:r>
        <w:rPr>
          <w:rFonts w:ascii="Times New Roman" w:hAnsi="Times New Roman"/>
          <w:b w:val="0"/>
        </w:rPr>
        <w:t>a</w:t>
      </w:r>
      <w:r w:rsidRPr="00CB2BB8">
        <w:rPr>
          <w:rFonts w:ascii="Times New Roman" w:hAnsi="Times New Roman"/>
          <w:b w:val="0"/>
        </w:rPr>
        <w:t>emia</w:t>
      </w:r>
      <w:proofErr w:type="spellEnd"/>
      <w:r w:rsidRPr="00CB2BB8">
        <w:rPr>
          <w:rFonts w:ascii="Times New Roman" w:hAnsi="Times New Roman"/>
          <w:b w:val="0"/>
        </w:rPr>
        <w:t xml:space="preserve"> increases with the dose of nitric oxide.  In the clinical trials, maximum methaemoglobin levels usually were reached approximately 8 hours after initiation of inhalation, although methaemoglobin levels have peaked as late as 40 hours following initiation of </w:t>
      </w:r>
      <w:proofErr w:type="spellStart"/>
      <w:r w:rsidRPr="00CB2BB8">
        <w:rPr>
          <w:rFonts w:ascii="Times New Roman" w:hAnsi="Times New Roman"/>
          <w:b w:val="0"/>
          <w:color w:val="000000"/>
        </w:rPr>
        <w:t>INOmax</w:t>
      </w:r>
      <w:proofErr w:type="spellEnd"/>
      <w:r w:rsidRPr="00CB2BB8">
        <w:rPr>
          <w:rFonts w:ascii="Times New Roman" w:hAnsi="Times New Roman"/>
          <w:b w:val="0"/>
          <w:color w:val="000000"/>
        </w:rPr>
        <w:t>®</w:t>
      </w:r>
      <w:r w:rsidRPr="00CB2BB8">
        <w:rPr>
          <w:rFonts w:ascii="Times New Roman" w:hAnsi="Times New Roman"/>
          <w:b w:val="0"/>
        </w:rPr>
        <w:t xml:space="preserve"> therapy. </w:t>
      </w:r>
    </w:p>
    <w:p w:rsidR="001A0B8B" w:rsidRPr="001F39DE" w:rsidRDefault="001A0B8B" w:rsidP="001A0B8B"/>
    <w:p w:rsidR="001A0B8B" w:rsidRPr="00CB2BB8" w:rsidRDefault="001A0B8B" w:rsidP="001A0B8B">
      <w:pPr>
        <w:keepNext/>
        <w:spacing w:line="288" w:lineRule="atLeast"/>
        <w:jc w:val="both"/>
        <w:rPr>
          <w:b/>
        </w:rPr>
      </w:pPr>
      <w:r w:rsidRPr="00CB2BB8">
        <w:rPr>
          <w:b/>
        </w:rPr>
        <w:t>Elevated NO</w:t>
      </w:r>
      <w:r w:rsidRPr="00CB2BB8">
        <w:rPr>
          <w:b/>
          <w:vertAlign w:val="subscript"/>
        </w:rPr>
        <w:t xml:space="preserve">2 </w:t>
      </w:r>
      <w:r w:rsidRPr="00CB2BB8">
        <w:rPr>
          <w:b/>
        </w:rPr>
        <w:t>Levels</w:t>
      </w:r>
    </w:p>
    <w:p w:rsidR="001A0B8B" w:rsidRPr="00CB2BB8" w:rsidRDefault="001A0B8B" w:rsidP="001A0B8B">
      <w:pPr>
        <w:keepNext/>
        <w:spacing w:line="288" w:lineRule="atLeast"/>
        <w:jc w:val="both"/>
      </w:pPr>
      <w:r w:rsidRPr="00CB2BB8">
        <w:t>NO</w:t>
      </w:r>
      <w:r w:rsidRPr="00CB2BB8">
        <w:rPr>
          <w:vertAlign w:val="subscript"/>
        </w:rPr>
        <w:t xml:space="preserve">2 </w:t>
      </w:r>
      <w:r w:rsidRPr="00CB2BB8">
        <w:t>rapidly forms in gas mixtures containing nitric oxide and O</w:t>
      </w:r>
      <w:r w:rsidRPr="00CB2BB8">
        <w:rPr>
          <w:vertAlign w:val="subscript"/>
        </w:rPr>
        <w:t>2</w:t>
      </w:r>
      <w:r w:rsidRPr="00853719">
        <w:t>,</w:t>
      </w:r>
      <w:r w:rsidRPr="00CB2BB8">
        <w:t xml:space="preserve"> and nitric oxide may in this way cause airway inflammation and damage.  The dose of nitric oxide should be reduced if the concentration of nitrogen dioxide exceeds 0.5 ppm (</w:t>
      </w:r>
      <w:r w:rsidR="00B43B21" w:rsidRPr="00CB2BB8">
        <w:t xml:space="preserve">see </w:t>
      </w:r>
      <w:r w:rsidR="00B43B21">
        <w:t xml:space="preserve">Section 4.2 </w:t>
      </w:r>
      <w:r w:rsidR="00B43B21" w:rsidRPr="00CB2BB8">
        <w:t>D</w:t>
      </w:r>
      <w:r w:rsidR="00B43B21">
        <w:t>ose</w:t>
      </w:r>
      <w:r w:rsidR="00B43B21" w:rsidRPr="00CB2BB8">
        <w:t xml:space="preserve"> </w:t>
      </w:r>
      <w:r w:rsidR="00B43B21">
        <w:t>and</w:t>
      </w:r>
      <w:r w:rsidR="00B43B21" w:rsidRPr="00CB2BB8">
        <w:t xml:space="preserve"> </w:t>
      </w:r>
      <w:r w:rsidR="00B43B21">
        <w:t>Method of Administration</w:t>
      </w:r>
      <w:r w:rsidRPr="00CB2BB8">
        <w:t>).</w:t>
      </w:r>
    </w:p>
    <w:p w:rsidR="001A0B8B" w:rsidRDefault="001A0B8B" w:rsidP="001A0B8B">
      <w:pPr>
        <w:spacing w:line="288" w:lineRule="atLeast"/>
        <w:jc w:val="both"/>
        <w:rPr>
          <w:b/>
        </w:rPr>
      </w:pPr>
    </w:p>
    <w:p w:rsidR="001A0B8B" w:rsidRPr="00FC2B9A" w:rsidRDefault="001A0B8B" w:rsidP="001A0B8B">
      <w:pPr>
        <w:ind w:right="431"/>
        <w:jc w:val="both"/>
        <w:rPr>
          <w:b/>
          <w:lang w:val="en-US"/>
        </w:rPr>
      </w:pPr>
      <w:r w:rsidRPr="00FC2B9A">
        <w:rPr>
          <w:b/>
          <w:lang w:val="en-US"/>
        </w:rPr>
        <w:t>Left Ventricular Dysfunction</w:t>
      </w:r>
    </w:p>
    <w:p w:rsidR="001A0B8B" w:rsidRPr="00CD3436" w:rsidRDefault="001A0B8B" w:rsidP="001A0B8B">
      <w:pPr>
        <w:spacing w:line="288" w:lineRule="atLeast"/>
        <w:jc w:val="both"/>
        <w:rPr>
          <w:lang w:val="en-GB"/>
        </w:rPr>
      </w:pPr>
      <w:r w:rsidRPr="0035778E">
        <w:rPr>
          <w:lang w:val="en-US"/>
        </w:rPr>
        <w:t xml:space="preserve">In a diagnostic study of pulmonary </w:t>
      </w:r>
      <w:proofErr w:type="spellStart"/>
      <w:r w:rsidRPr="0035778E">
        <w:rPr>
          <w:lang w:val="en-US"/>
        </w:rPr>
        <w:t>vasoreactivity</w:t>
      </w:r>
      <w:proofErr w:type="spellEnd"/>
      <w:r w:rsidRPr="0035778E">
        <w:rPr>
          <w:lang w:val="en-US"/>
        </w:rPr>
        <w:t xml:space="preserve"> in children, all patients received inhaled nitric oxide and oxygen. Some patients who had pre-existing left ventricular dysfunction (as indicated by elevated baseline pulmonary capillary wedge pressure), treated with nitric oxide, even for short durations, experienced an increased rate of serious adverse events</w:t>
      </w:r>
      <w:r>
        <w:rPr>
          <w:lang w:val="en-US"/>
        </w:rPr>
        <w:t xml:space="preserve"> including: increased pulmonary capillary wedge pressure</w:t>
      </w:r>
      <w:r w:rsidRPr="0035778E">
        <w:rPr>
          <w:lang w:val="en-US"/>
        </w:rPr>
        <w:t xml:space="preserve">, pulmonary </w:t>
      </w:r>
      <w:proofErr w:type="spellStart"/>
      <w:r w:rsidRPr="0035778E">
        <w:rPr>
          <w:lang w:val="en-US"/>
        </w:rPr>
        <w:t>oedema</w:t>
      </w:r>
      <w:proofErr w:type="spellEnd"/>
      <w:r>
        <w:rPr>
          <w:lang w:val="en-US"/>
        </w:rPr>
        <w:t xml:space="preserve"> (</w:t>
      </w:r>
      <w:r w:rsidRPr="0035778E">
        <w:rPr>
          <w:lang w:val="en-US"/>
        </w:rPr>
        <w:t>30% (3 of 10 subjects); compared to 6.5% (8 of 124 subjects) for the entire cohort)</w:t>
      </w:r>
      <w:r>
        <w:rPr>
          <w:lang w:val="en-US"/>
        </w:rPr>
        <w:t xml:space="preserve">, worsening of left ventricular dysfunction, systemic hypotension, bradycardia and cardiac arrest. </w:t>
      </w:r>
      <w:r w:rsidRPr="0035778E">
        <w:rPr>
          <w:lang w:val="en-US"/>
        </w:rPr>
        <w:t>During the course of the study, the protocol was amended to exclude patients with a pulmonary c</w:t>
      </w:r>
      <w:r>
        <w:rPr>
          <w:lang w:val="en-US"/>
        </w:rPr>
        <w:t>apillary wedge pressure &gt; 20 mm</w:t>
      </w:r>
      <w:r w:rsidRPr="0035778E">
        <w:rPr>
          <w:lang w:val="en-US"/>
        </w:rPr>
        <w:t xml:space="preserve">Hg. The benefit/risk of using inhaled nitric oxide in patients with clinically significant left ventricular dysfunction should be evaluated on a case by case basis. Consider reducing left ventricular afterload to minimize the occurrence of pulmonary </w:t>
      </w:r>
      <w:proofErr w:type="spellStart"/>
      <w:r w:rsidRPr="0035778E">
        <w:rPr>
          <w:lang w:val="en-US"/>
        </w:rPr>
        <w:t>oedema</w:t>
      </w:r>
      <w:proofErr w:type="spellEnd"/>
      <w:r w:rsidRPr="0035778E">
        <w:rPr>
          <w:lang w:val="en-US"/>
        </w:rPr>
        <w:t xml:space="preserve">. </w:t>
      </w:r>
      <w:r>
        <w:rPr>
          <w:lang w:val="en-US"/>
        </w:rPr>
        <w:t xml:space="preserve">Alternatively, discontinue </w:t>
      </w:r>
      <w:proofErr w:type="spellStart"/>
      <w:r w:rsidRPr="00593F8D">
        <w:t>INOmax</w:t>
      </w:r>
      <w:proofErr w:type="spellEnd"/>
      <w:r w:rsidRPr="00593F8D">
        <w:t>®</w:t>
      </w:r>
      <w:r>
        <w:rPr>
          <w:lang w:val="en-US"/>
        </w:rPr>
        <w:t xml:space="preserve"> while providing symptomatic care. </w:t>
      </w:r>
      <w:proofErr w:type="spellStart"/>
      <w:r w:rsidRPr="0035778E">
        <w:rPr>
          <w:lang w:val="en-US"/>
        </w:rPr>
        <w:t>INOmax</w:t>
      </w:r>
      <w:proofErr w:type="spellEnd"/>
      <w:r w:rsidRPr="0035778E">
        <w:rPr>
          <w:lang w:val="en-US"/>
        </w:rPr>
        <w:t>® has not been approved by the TGA for diagnostic use and its safety and efficacy in this setting has not been established.</w:t>
      </w:r>
    </w:p>
    <w:p w:rsidR="001A0B8B" w:rsidRDefault="001A0B8B" w:rsidP="001A0B8B">
      <w:pPr>
        <w:spacing w:line="288" w:lineRule="atLeast"/>
        <w:jc w:val="both"/>
        <w:rPr>
          <w:b/>
        </w:rPr>
      </w:pPr>
    </w:p>
    <w:p w:rsidR="001A0B8B" w:rsidRDefault="001A0B8B" w:rsidP="001A0B8B">
      <w:pPr>
        <w:spacing w:line="288" w:lineRule="atLeast"/>
        <w:jc w:val="both"/>
        <w:rPr>
          <w:b/>
        </w:rPr>
      </w:pPr>
      <w:r w:rsidRPr="00CB2BB8">
        <w:rPr>
          <w:b/>
        </w:rPr>
        <w:t>Cardiac insufficiency</w:t>
      </w:r>
    </w:p>
    <w:p w:rsidR="001A0B8B" w:rsidRDefault="001A0B8B" w:rsidP="001A0B8B">
      <w:pPr>
        <w:spacing w:line="288" w:lineRule="atLeast"/>
        <w:jc w:val="both"/>
        <w:rPr>
          <w:b/>
        </w:rPr>
      </w:pPr>
      <w:r w:rsidRPr="00CB2BB8">
        <w:lastRenderedPageBreak/>
        <w:t xml:space="preserve">Treatment with inhaled nitric oxide might aggravate cardiac insufficiency in a situation with left-to-right shunting.  This is due to unwanted pulmonary vasodilation caused by inhaled nitric oxide, resulting in a further increase of already existing pulmonary </w:t>
      </w:r>
      <w:proofErr w:type="spellStart"/>
      <w:r w:rsidRPr="00CB2BB8">
        <w:t>hyperperfusion</w:t>
      </w:r>
      <w:proofErr w:type="spellEnd"/>
      <w:r w:rsidRPr="00CB2BB8">
        <w:t xml:space="preserve">.  It, therefore, is recommended that prior to the administration of nitric oxide, pulmonary artery catheterisation or echocardiographic examination of central </w:t>
      </w:r>
      <w:proofErr w:type="spellStart"/>
      <w:r w:rsidRPr="00CB2BB8">
        <w:t>haemodynamics</w:t>
      </w:r>
      <w:proofErr w:type="spellEnd"/>
      <w:r w:rsidRPr="00CB2BB8">
        <w:t xml:space="preserve"> be performed.</w:t>
      </w:r>
    </w:p>
    <w:p w:rsidR="001A0B8B" w:rsidRDefault="001A0B8B" w:rsidP="001A0B8B">
      <w:pPr>
        <w:spacing w:line="288" w:lineRule="atLeast"/>
        <w:jc w:val="both"/>
        <w:rPr>
          <w:b/>
        </w:rPr>
      </w:pPr>
    </w:p>
    <w:p w:rsidR="001A0B8B" w:rsidRPr="00CB2BB8" w:rsidRDefault="001A0B8B" w:rsidP="001A0B8B">
      <w:pPr>
        <w:keepNext/>
        <w:spacing w:line="288" w:lineRule="atLeast"/>
        <w:jc w:val="both"/>
        <w:rPr>
          <w:b/>
        </w:rPr>
      </w:pPr>
      <w:r w:rsidRPr="00CB2BB8">
        <w:rPr>
          <w:b/>
        </w:rPr>
        <w:t>Bleeding time</w:t>
      </w:r>
    </w:p>
    <w:p w:rsidR="001A0B8B" w:rsidRDefault="001A0B8B" w:rsidP="001A0B8B">
      <w:pPr>
        <w:keepNext/>
        <w:spacing w:line="288" w:lineRule="atLeast"/>
        <w:jc w:val="both"/>
      </w:pPr>
      <w:r w:rsidRPr="00CB2BB8">
        <w:t xml:space="preserve">Animal models have shown that nitric oxide may interact with haemostasis, resulting in an increased bleeding time.  </w:t>
      </w:r>
      <w:r>
        <w:t>Nitric oxide may modulate platelet function via the guanylate cyclase</w:t>
      </w:r>
      <w:r w:rsidR="00117B3C">
        <w:t xml:space="preserve"> </w:t>
      </w:r>
      <w:r>
        <w:t xml:space="preserve">signalling pathway. </w:t>
      </w:r>
      <w:r w:rsidRPr="00CB2BB8">
        <w:t xml:space="preserve">Data in adult humans are conflicting, and there has been no increase in bleeding complications in randomised controlled trials in term and near-term neonates with hypoxic respiratory failure.  </w:t>
      </w:r>
    </w:p>
    <w:p w:rsidR="001A0B8B" w:rsidRDefault="001A0B8B" w:rsidP="001A0B8B">
      <w:pPr>
        <w:keepNext/>
        <w:spacing w:line="288" w:lineRule="atLeast"/>
        <w:jc w:val="both"/>
      </w:pPr>
    </w:p>
    <w:p w:rsidR="001A0B8B" w:rsidRPr="00CB2BB8" w:rsidRDefault="001A0B8B" w:rsidP="001A0B8B">
      <w:pPr>
        <w:spacing w:line="288" w:lineRule="atLeast"/>
        <w:jc w:val="both"/>
        <w:rPr>
          <w:b/>
        </w:rPr>
      </w:pPr>
      <w:r w:rsidRPr="00CB2BB8">
        <w:rPr>
          <w:b/>
        </w:rPr>
        <w:t>Congenital diaphragmatic hernia</w:t>
      </w:r>
    </w:p>
    <w:p w:rsidR="001A0B8B" w:rsidRDefault="001A0B8B" w:rsidP="001A0B8B">
      <w:pPr>
        <w:spacing w:line="288" w:lineRule="atLeast"/>
        <w:jc w:val="both"/>
      </w:pPr>
      <w:r w:rsidRPr="00CB2BB8">
        <w:t>In clinical trials, no efficacy has been demonstrated with the use of inhaled nitric oxide in patients with congenital diaphragmatic hernia.</w:t>
      </w:r>
    </w:p>
    <w:p w:rsidR="001A0B8B" w:rsidRPr="00CB2BB8" w:rsidRDefault="001A0B8B" w:rsidP="001A0B8B">
      <w:pPr>
        <w:spacing w:line="288" w:lineRule="atLeast"/>
        <w:jc w:val="both"/>
      </w:pPr>
    </w:p>
    <w:p w:rsidR="001A0B8B" w:rsidRDefault="001A0B8B" w:rsidP="001A0B8B">
      <w:pPr>
        <w:spacing w:line="288" w:lineRule="atLeast"/>
        <w:jc w:val="both"/>
        <w:rPr>
          <w:b/>
        </w:rPr>
      </w:pPr>
      <w:r w:rsidRPr="00AB6E76">
        <w:rPr>
          <w:b/>
        </w:rPr>
        <w:t>Long term effects</w:t>
      </w:r>
    </w:p>
    <w:p w:rsidR="001A0B8B" w:rsidRDefault="001A0B8B" w:rsidP="001A0B8B">
      <w:pPr>
        <w:keepNext/>
        <w:tabs>
          <w:tab w:val="left" w:pos="3828"/>
        </w:tabs>
        <w:spacing w:line="288" w:lineRule="atLeast"/>
        <w:jc w:val="both"/>
      </w:pPr>
      <w:r w:rsidRPr="006C7E48">
        <w:rPr>
          <w:lang w:val="en-CA"/>
        </w:rPr>
        <w:fldChar w:fldCharType="begin"/>
      </w:r>
      <w:r w:rsidRPr="006C7E48">
        <w:rPr>
          <w:lang w:val="en-CA"/>
        </w:rPr>
        <w:instrText xml:space="preserve"> SEQ CHAPTER \h \r 1</w:instrText>
      </w:r>
      <w:r w:rsidRPr="006C7E48">
        <w:rPr>
          <w:lang w:val="en-CA"/>
        </w:rPr>
        <w:fldChar w:fldCharType="end"/>
      </w:r>
      <w:r w:rsidRPr="006C7E48">
        <w:t xml:space="preserve">Long-term effects, particularly with regard to pulmonary and neurodevelopmental outcomes associated with </w:t>
      </w:r>
      <w:proofErr w:type="spellStart"/>
      <w:r w:rsidRPr="006C7E48">
        <w:t>INOmax</w:t>
      </w:r>
      <w:proofErr w:type="spellEnd"/>
      <w:r>
        <w:t>®</w:t>
      </w:r>
      <w:r w:rsidRPr="006C7E48">
        <w:t xml:space="preserve">, have not been established beyond 18-24 months. The 18-24 months follow-up study of NINOS subjects was based on a relatively small number of patients treated with placebo (n=84) and inhaled nitric oxide (n=88), and the one-year follow-up data of CINRGI subjects was based on 71 patients in the placebo and 74 patients in the inhaled nitric oxide groups.  In view of the potential long-term sequelae associated with the underlying condition, persistent pulmonary hypertension of the newborn, and the unknown long-term effects of </w:t>
      </w:r>
      <w:proofErr w:type="spellStart"/>
      <w:r w:rsidRPr="006C7E48">
        <w:t>INOmax</w:t>
      </w:r>
      <w:proofErr w:type="spellEnd"/>
      <w:r>
        <w:t>®</w:t>
      </w:r>
      <w:r w:rsidRPr="006C7E48">
        <w:t>, it is recommended that these babies be monitored long-term regarding pulmonary, neurodevelopmental, growth and auditory outcomes.</w:t>
      </w:r>
    </w:p>
    <w:p w:rsidR="00023EBB" w:rsidRDefault="00023EBB" w:rsidP="001A0B8B">
      <w:pPr>
        <w:keepNext/>
        <w:tabs>
          <w:tab w:val="left" w:pos="3828"/>
        </w:tabs>
        <w:spacing w:line="288" w:lineRule="atLeast"/>
        <w:jc w:val="both"/>
      </w:pPr>
    </w:p>
    <w:p w:rsidR="00023EBB" w:rsidRPr="00CB2BB8" w:rsidRDefault="00023EBB" w:rsidP="00023EBB">
      <w:pPr>
        <w:rPr>
          <w:b/>
        </w:rPr>
      </w:pPr>
      <w:r w:rsidRPr="00CB2BB8">
        <w:rPr>
          <w:b/>
        </w:rPr>
        <w:t>Paediatric Use</w:t>
      </w:r>
    </w:p>
    <w:p w:rsidR="003353A4" w:rsidRPr="00C87EDD" w:rsidRDefault="003353A4" w:rsidP="003353A4">
      <w:pPr>
        <w:rPr>
          <w:i/>
        </w:rPr>
      </w:pPr>
      <w:r w:rsidRPr="00C87EDD">
        <w:rPr>
          <w:i/>
        </w:rPr>
        <w:t>Persistent Pulmonary Hypertension in the Newborn (PPHN)</w:t>
      </w:r>
    </w:p>
    <w:p w:rsidR="00023EBB" w:rsidRPr="003832D9" w:rsidRDefault="00023EBB" w:rsidP="00023EBB">
      <w:pPr>
        <w:autoSpaceDE w:val="0"/>
        <w:autoSpaceDN w:val="0"/>
        <w:adjustRightInd w:val="0"/>
        <w:spacing w:line="288" w:lineRule="atLeast"/>
        <w:jc w:val="both"/>
        <w:rPr>
          <w:snapToGrid w:val="0"/>
        </w:rPr>
      </w:pPr>
      <w:r w:rsidRPr="00CE0EE4">
        <w:t xml:space="preserve">Nitric oxide for inhalation has been studied in a neonatal population (up to 14 days of age). </w:t>
      </w:r>
      <w:r w:rsidRPr="003832D9">
        <w:rPr>
          <w:snapToGrid w:val="0"/>
        </w:rPr>
        <w:t xml:space="preserve">The safety and efficacy of </w:t>
      </w:r>
      <w:proofErr w:type="spellStart"/>
      <w:r w:rsidRPr="00593F8D">
        <w:t>INOmax</w:t>
      </w:r>
      <w:proofErr w:type="spellEnd"/>
      <w:r w:rsidRPr="00593F8D">
        <w:t>®</w:t>
      </w:r>
      <w:r w:rsidRPr="003832D9">
        <w:rPr>
          <w:snapToGrid w:val="0"/>
        </w:rPr>
        <w:t xml:space="preserve"> in premature infants less than 34 weeks of gestation has not yet been established.</w:t>
      </w:r>
    </w:p>
    <w:p w:rsidR="00023EBB" w:rsidRPr="003832D9" w:rsidRDefault="00023EBB" w:rsidP="00023EBB">
      <w:pPr>
        <w:jc w:val="both"/>
        <w:rPr>
          <w:snapToGrid w:val="0"/>
        </w:rPr>
      </w:pPr>
    </w:p>
    <w:p w:rsidR="003353A4" w:rsidRPr="00C87EDD" w:rsidRDefault="003353A4" w:rsidP="003353A4">
      <w:pPr>
        <w:rPr>
          <w:i/>
        </w:rPr>
      </w:pPr>
      <w:r w:rsidRPr="00C87EDD">
        <w:rPr>
          <w:i/>
        </w:rPr>
        <w:t xml:space="preserve">Pulmonary Hypertension associated with Cardiac Surgery </w:t>
      </w:r>
    </w:p>
    <w:p w:rsidR="003C055D" w:rsidRDefault="00023EBB" w:rsidP="003C055D">
      <w:pPr>
        <w:spacing w:line="288" w:lineRule="atLeast"/>
        <w:jc w:val="both"/>
      </w:pPr>
      <w:r w:rsidRPr="003832D9">
        <w:t>Published literature reports in randomised, controlled studies provide additional information regarding the efficacy of inhaled nitric oxide in cardiac surgery patients aged 0 – 17 years.</w:t>
      </w:r>
      <w:r w:rsidR="003C055D" w:rsidRPr="003C055D">
        <w:t xml:space="preserve"> </w:t>
      </w:r>
      <w:r w:rsidR="003C055D" w:rsidRPr="003832D9">
        <w:t>Clinical data supporting the suggested dose in the age r</w:t>
      </w:r>
      <w:r w:rsidR="00955451">
        <w:t>ange of 12-17 years is limited.</w:t>
      </w:r>
      <w:r w:rsidR="003C055D" w:rsidRPr="003832D9">
        <w:t xml:space="preserve"> </w:t>
      </w:r>
    </w:p>
    <w:p w:rsidR="003C055D" w:rsidRDefault="003C055D" w:rsidP="003C055D">
      <w:pPr>
        <w:pStyle w:val="Default"/>
        <w:spacing w:line="288" w:lineRule="atLeast"/>
        <w:jc w:val="both"/>
        <w:rPr>
          <w:sz w:val="20"/>
        </w:rPr>
      </w:pPr>
    </w:p>
    <w:p w:rsidR="00023EBB" w:rsidRPr="00CB2BB8" w:rsidRDefault="00023EBB" w:rsidP="00023EBB">
      <w:pPr>
        <w:pStyle w:val="Heading3"/>
        <w:rPr>
          <w:snapToGrid/>
          <w:sz w:val="20"/>
        </w:rPr>
      </w:pPr>
      <w:r w:rsidRPr="00CB2BB8">
        <w:rPr>
          <w:snapToGrid/>
          <w:sz w:val="20"/>
        </w:rPr>
        <w:t xml:space="preserve">Use in the Elderly </w:t>
      </w:r>
    </w:p>
    <w:p w:rsidR="00023EBB" w:rsidRPr="00CB2BB8" w:rsidRDefault="00023EBB" w:rsidP="00023EBB">
      <w:pPr>
        <w:autoSpaceDE w:val="0"/>
        <w:autoSpaceDN w:val="0"/>
        <w:adjustRightInd w:val="0"/>
        <w:spacing w:line="288" w:lineRule="atLeast"/>
        <w:jc w:val="both"/>
      </w:pPr>
      <w:r w:rsidRPr="00CB2BB8">
        <w:t>No specific studies have been carried out in elderly patients.</w:t>
      </w:r>
    </w:p>
    <w:p w:rsidR="00A87A18" w:rsidRDefault="00A87A18" w:rsidP="00E450A4">
      <w:pPr>
        <w:rPr>
          <w:b/>
        </w:rPr>
      </w:pPr>
    </w:p>
    <w:p w:rsidR="00677175" w:rsidRDefault="00677175" w:rsidP="00E450A4">
      <w:pPr>
        <w:rPr>
          <w:b/>
        </w:rPr>
      </w:pPr>
      <w:r>
        <w:rPr>
          <w:b/>
        </w:rPr>
        <w:t>Effect on Laboratory Tests</w:t>
      </w:r>
    </w:p>
    <w:p w:rsidR="00677175" w:rsidRDefault="00677175" w:rsidP="00E450A4">
      <w:pPr>
        <w:rPr>
          <w:b/>
        </w:rPr>
      </w:pPr>
    </w:p>
    <w:p w:rsidR="00677175" w:rsidRDefault="00677175" w:rsidP="00E450A4">
      <w:r w:rsidRPr="00677175">
        <w:t>No data available.</w:t>
      </w:r>
    </w:p>
    <w:p w:rsidR="00677175" w:rsidRPr="00677175" w:rsidRDefault="00677175" w:rsidP="00E450A4"/>
    <w:p w:rsidR="00A87A18" w:rsidRDefault="00A87A18" w:rsidP="00E450A4">
      <w:pPr>
        <w:rPr>
          <w:b/>
        </w:rPr>
      </w:pPr>
    </w:p>
    <w:p w:rsidR="001B37F6" w:rsidRPr="000474C4" w:rsidRDefault="001B37F6" w:rsidP="00AB2EA6">
      <w:pPr>
        <w:ind w:left="720" w:hanging="720"/>
        <w:rPr>
          <w:b/>
        </w:rPr>
      </w:pPr>
      <w:r>
        <w:rPr>
          <w:b/>
        </w:rPr>
        <w:t>4.5</w:t>
      </w:r>
      <w:r>
        <w:rPr>
          <w:b/>
        </w:rPr>
        <w:tab/>
        <w:t>INTERACTIONS WITH OTHER MEDICINES AND OTHER FO</w:t>
      </w:r>
      <w:r w:rsidR="003D3C22">
        <w:rPr>
          <w:b/>
        </w:rPr>
        <w:t>R</w:t>
      </w:r>
      <w:r>
        <w:rPr>
          <w:b/>
        </w:rPr>
        <w:t>MS OF INTERACTIONS</w:t>
      </w:r>
    </w:p>
    <w:p w:rsidR="000474C4" w:rsidRDefault="000474C4" w:rsidP="00340115">
      <w:pPr>
        <w:pStyle w:val="Heading4"/>
        <w:rPr>
          <w:rFonts w:ascii="Times New Roman" w:hAnsi="Times New Roman"/>
        </w:rPr>
      </w:pPr>
    </w:p>
    <w:p w:rsidR="003D3C22" w:rsidRDefault="003D3C22" w:rsidP="003D3C22">
      <w:pPr>
        <w:spacing w:line="288" w:lineRule="atLeast"/>
        <w:jc w:val="both"/>
      </w:pPr>
      <w:r w:rsidRPr="00CB2BB8">
        <w:t xml:space="preserve">No drug-interaction studies have been performed.  A clinically significant interaction with other medications used in the treatment of hypoxic respiratory failure cannot be excluded based on the available data.  There may be an additive effect with </w:t>
      </w:r>
      <w:proofErr w:type="spellStart"/>
      <w:r w:rsidRPr="00CB2BB8">
        <w:t>INOmax</w:t>
      </w:r>
      <w:proofErr w:type="spellEnd"/>
      <w:r w:rsidRPr="00CB2BB8">
        <w:t xml:space="preserve">® on the risk of developing </w:t>
      </w:r>
      <w:proofErr w:type="spellStart"/>
      <w:r w:rsidRPr="00CB2BB8">
        <w:t>methaemoglobin</w:t>
      </w:r>
      <w:r>
        <w:t>a</w:t>
      </w:r>
      <w:r w:rsidRPr="00CB2BB8">
        <w:t>emia</w:t>
      </w:r>
      <w:proofErr w:type="spellEnd"/>
      <w:r w:rsidRPr="00CB2BB8">
        <w:t xml:space="preserve"> with </w:t>
      </w:r>
      <w:r w:rsidRPr="00CB2BB8">
        <w:lastRenderedPageBreak/>
        <w:t xml:space="preserve">nitric oxide donor compounds, including sodium nitroprusside and </w:t>
      </w:r>
      <w:proofErr w:type="spellStart"/>
      <w:r w:rsidRPr="00CB2BB8">
        <w:t>nitroglycerin</w:t>
      </w:r>
      <w:r>
        <w:t>e</w:t>
      </w:r>
      <w:proofErr w:type="spellEnd"/>
      <w:r w:rsidRPr="00CB2BB8">
        <w:t xml:space="preserve">.  </w:t>
      </w:r>
      <w:proofErr w:type="spellStart"/>
      <w:r w:rsidRPr="00CB2BB8">
        <w:t>INOmax</w:t>
      </w:r>
      <w:proofErr w:type="spellEnd"/>
      <w:r w:rsidRPr="00CB2BB8">
        <w:t xml:space="preserve">® has been administered with </w:t>
      </w:r>
      <w:proofErr w:type="spellStart"/>
      <w:r w:rsidRPr="00CB2BB8">
        <w:t>tolazoline</w:t>
      </w:r>
      <w:proofErr w:type="spellEnd"/>
      <w:r w:rsidRPr="00CB2BB8">
        <w:t xml:space="preserve">, dopamine, </w:t>
      </w:r>
      <w:proofErr w:type="spellStart"/>
      <w:r w:rsidRPr="00CB2BB8">
        <w:t>dobutamine</w:t>
      </w:r>
      <w:proofErr w:type="spellEnd"/>
      <w:r w:rsidRPr="00CB2BB8">
        <w:t xml:space="preserve">, steroids, surfactant, and high-frequency ventilation.  Experimental studies have suggested that nitric oxide and also nitrogen dioxide may react chemically with surfactant and/or surfactant proteins. </w:t>
      </w:r>
    </w:p>
    <w:p w:rsidR="003D3C22" w:rsidRDefault="003D3C22" w:rsidP="003D3C22">
      <w:pPr>
        <w:spacing w:line="288" w:lineRule="atLeast"/>
        <w:jc w:val="both"/>
      </w:pPr>
    </w:p>
    <w:p w:rsidR="003D3C22" w:rsidRDefault="003D3C22" w:rsidP="003D3C22">
      <w:pPr>
        <w:spacing w:line="288" w:lineRule="atLeast"/>
        <w:jc w:val="both"/>
      </w:pPr>
      <w:r w:rsidRPr="006E156B">
        <w:t>There is an increased risk of methaemoglobin formation if substances with a known tendency to increase methaemoglobin concentrations, or are known to produce oxidative damage to the erythrocytes, are</w:t>
      </w:r>
      <w:r w:rsidRPr="00CB2BB8">
        <w:t xml:space="preserve"> administered concomitantly with nitric oxide (e.g. </w:t>
      </w:r>
      <w:proofErr w:type="spellStart"/>
      <w:r>
        <w:t>prilocaine</w:t>
      </w:r>
      <w:proofErr w:type="spellEnd"/>
      <w:r>
        <w:t xml:space="preserve">, </w:t>
      </w:r>
      <w:r w:rsidRPr="00CB2BB8">
        <w:t xml:space="preserve">alkyl nitrates and sulphonamides).  </w:t>
      </w:r>
      <w:r>
        <w:t xml:space="preserve">The effects of these agents with </w:t>
      </w:r>
      <w:proofErr w:type="spellStart"/>
      <w:r w:rsidRPr="00593F8D">
        <w:t>INOmax</w:t>
      </w:r>
      <w:proofErr w:type="spellEnd"/>
      <w:r w:rsidRPr="00593F8D">
        <w:t>®</w:t>
      </w:r>
      <w:r>
        <w:t xml:space="preserve"> on methaemoglobin formation can be expected to be at least additive. </w:t>
      </w:r>
      <w:r w:rsidRPr="00CB2BB8">
        <w:t>Substances known to cause increased methaemoglobin levels</w:t>
      </w:r>
      <w:r>
        <w:t xml:space="preserve">, or that are known to produce oxidative damage to the erythrocytes, </w:t>
      </w:r>
      <w:r w:rsidRPr="00CB2BB8">
        <w:t xml:space="preserve">should be used with caution during therapy with inhaled nitric oxide.  </w:t>
      </w:r>
      <w:r>
        <w:t xml:space="preserve">Appropriate pharmaceutical guidance should be sought before such agents are used concurrently with </w:t>
      </w:r>
      <w:proofErr w:type="spellStart"/>
      <w:r w:rsidRPr="00593F8D">
        <w:t>INOmax</w:t>
      </w:r>
      <w:proofErr w:type="spellEnd"/>
      <w:r w:rsidRPr="00593F8D">
        <w:t>®</w:t>
      </w:r>
      <w:r>
        <w:t xml:space="preserve">. </w:t>
      </w:r>
    </w:p>
    <w:p w:rsidR="003D3C22" w:rsidRPr="00CB2BB8" w:rsidRDefault="003D3C22" w:rsidP="003D3C22">
      <w:pPr>
        <w:spacing w:line="288" w:lineRule="atLeast"/>
        <w:jc w:val="both"/>
      </w:pPr>
    </w:p>
    <w:p w:rsidR="003D3C22" w:rsidRPr="006E156B" w:rsidRDefault="006A4C98" w:rsidP="003D3C22">
      <w:pPr>
        <w:widowControl w:val="0"/>
        <w:autoSpaceDE w:val="0"/>
        <w:autoSpaceDN w:val="0"/>
        <w:adjustRightInd w:val="0"/>
        <w:spacing w:line="288" w:lineRule="atLeast"/>
        <w:jc w:val="both"/>
        <w:rPr>
          <w:rFonts w:cs="TimesNewRoman"/>
          <w:szCs w:val="21"/>
          <w:lang w:val="en-US"/>
        </w:rPr>
      </w:pPr>
      <w:r>
        <w:rPr>
          <w:rFonts w:cs="TimesNewRoman"/>
          <w:szCs w:val="21"/>
          <w:lang w:val="en-US"/>
        </w:rPr>
        <w:t>The combined use</w:t>
      </w:r>
      <w:r w:rsidR="003D3C22" w:rsidRPr="006E156B">
        <w:rPr>
          <w:rFonts w:cs="TimesNewRoman"/>
          <w:szCs w:val="21"/>
          <w:lang w:val="en-US"/>
        </w:rPr>
        <w:t xml:space="preserve"> with other vasodilators (e.g. sildenafil) is not extensively studied. Available data suggest additive effects on central circulation, pulmonary artery pressure and right ventricular performance. Inhaled nitric oxide combination with other vasodilators acting by the cGMP or </w:t>
      </w:r>
      <w:proofErr w:type="spellStart"/>
      <w:r w:rsidR="003D3C22" w:rsidRPr="006E156B">
        <w:rPr>
          <w:rFonts w:cs="TimesNewRoman"/>
          <w:szCs w:val="21"/>
          <w:lang w:val="en-US"/>
        </w:rPr>
        <w:t>cAMP</w:t>
      </w:r>
      <w:proofErr w:type="spellEnd"/>
      <w:r w:rsidR="003D3C22" w:rsidRPr="006E156B">
        <w:rPr>
          <w:rFonts w:cs="TimesNewRoman"/>
          <w:szCs w:val="21"/>
          <w:lang w:val="en-US"/>
        </w:rPr>
        <w:t xml:space="preserve"> systems should be done with caution.</w:t>
      </w:r>
    </w:p>
    <w:p w:rsidR="003D3C22" w:rsidRDefault="003D3C22" w:rsidP="003D3C22">
      <w:pPr>
        <w:spacing w:line="288" w:lineRule="atLeast"/>
        <w:jc w:val="both"/>
      </w:pPr>
    </w:p>
    <w:p w:rsidR="003D3C22" w:rsidRPr="00CB2BB8" w:rsidRDefault="003D3C22" w:rsidP="003D3C22">
      <w:pPr>
        <w:spacing w:line="288" w:lineRule="atLeast"/>
        <w:jc w:val="both"/>
      </w:pPr>
      <w:r w:rsidRPr="00CB2BB8">
        <w:t xml:space="preserve">In the presence of oxygen, nitric oxide is rapidly oxidised to derivatives which are toxic to the bronchial epithelium and </w:t>
      </w:r>
      <w:proofErr w:type="spellStart"/>
      <w:r w:rsidRPr="00CB2BB8">
        <w:t>alveolo</w:t>
      </w:r>
      <w:proofErr w:type="spellEnd"/>
      <w:r w:rsidRPr="00CB2BB8">
        <w:t>-capillary membrane. Nitrogen dioxide (NO</w:t>
      </w:r>
      <w:r w:rsidRPr="00CB2BB8">
        <w:rPr>
          <w:vertAlign w:val="subscript"/>
        </w:rPr>
        <w:t>2</w:t>
      </w:r>
      <w:r w:rsidRPr="00AE7EF4">
        <w:t>)</w:t>
      </w:r>
      <w:r w:rsidRPr="00CB2BB8">
        <w:t xml:space="preserve"> is the main compound formed, and during treatment with nitric oxide, the NO</w:t>
      </w:r>
      <w:r w:rsidRPr="00CB2BB8">
        <w:rPr>
          <w:vertAlign w:val="subscript"/>
        </w:rPr>
        <w:t xml:space="preserve">2 </w:t>
      </w:r>
      <w:r w:rsidRPr="00CB2BB8">
        <w:t>concentration should be &lt; 0.5 ppm in the nitric oxide dose range &lt; 20 ppm.  If at any time the NO</w:t>
      </w:r>
      <w:r w:rsidRPr="00CB2BB8">
        <w:rPr>
          <w:vertAlign w:val="subscript"/>
        </w:rPr>
        <w:t xml:space="preserve">2 </w:t>
      </w:r>
      <w:r w:rsidRPr="00CB2BB8">
        <w:t>concentration exceeds 1 ppm, the nitric oxide dose sh</w:t>
      </w:r>
      <w:r>
        <w:t>ould immediately be reduced (s</w:t>
      </w:r>
      <w:r w:rsidRPr="00CB2BB8">
        <w:t xml:space="preserve">ee </w:t>
      </w:r>
      <w:r w:rsidR="00921279">
        <w:t xml:space="preserve">Section 4.2 </w:t>
      </w:r>
      <w:r w:rsidR="00921279" w:rsidRPr="00CB2BB8">
        <w:t>D</w:t>
      </w:r>
      <w:r w:rsidR="00921279">
        <w:t>ose</w:t>
      </w:r>
      <w:r w:rsidR="00921279" w:rsidRPr="00CB2BB8">
        <w:t xml:space="preserve"> </w:t>
      </w:r>
      <w:r w:rsidR="00921279">
        <w:t>and</w:t>
      </w:r>
      <w:r w:rsidR="00921279" w:rsidRPr="00CB2BB8">
        <w:t xml:space="preserve"> </w:t>
      </w:r>
      <w:r w:rsidR="00921279">
        <w:t>Method of Administration</w:t>
      </w:r>
      <w:r w:rsidRPr="00CB2BB8">
        <w:t>).</w:t>
      </w:r>
    </w:p>
    <w:p w:rsidR="001B37F6" w:rsidRDefault="001B37F6" w:rsidP="00E450A4"/>
    <w:p w:rsidR="00AB2EA6" w:rsidRDefault="00AB2EA6" w:rsidP="00E450A4">
      <w:pPr>
        <w:rPr>
          <w:b/>
        </w:rPr>
      </w:pPr>
    </w:p>
    <w:p w:rsidR="001B37F6" w:rsidRDefault="001B37F6" w:rsidP="00E450A4">
      <w:pPr>
        <w:rPr>
          <w:b/>
        </w:rPr>
      </w:pPr>
      <w:r>
        <w:rPr>
          <w:b/>
        </w:rPr>
        <w:t>4.6</w:t>
      </w:r>
      <w:r>
        <w:rPr>
          <w:b/>
        </w:rPr>
        <w:tab/>
      </w:r>
      <w:r w:rsidRPr="001B37F6">
        <w:rPr>
          <w:b/>
        </w:rPr>
        <w:t>FERTILITY, PREGNANCY AND LACTATION</w:t>
      </w:r>
    </w:p>
    <w:p w:rsidR="001B37F6" w:rsidRDefault="001B37F6" w:rsidP="00E450A4">
      <w:pPr>
        <w:rPr>
          <w:b/>
        </w:rPr>
      </w:pPr>
    </w:p>
    <w:p w:rsidR="001A0B8B" w:rsidRPr="001F39DE" w:rsidRDefault="001A0B8B" w:rsidP="001A0B8B">
      <w:pPr>
        <w:keepNext/>
        <w:spacing w:line="288" w:lineRule="atLeast"/>
        <w:jc w:val="both"/>
        <w:rPr>
          <w:b/>
        </w:rPr>
      </w:pPr>
      <w:r>
        <w:rPr>
          <w:b/>
        </w:rPr>
        <w:t>Effects on fertility</w:t>
      </w:r>
    </w:p>
    <w:p w:rsidR="00662261" w:rsidRDefault="001A0B8B" w:rsidP="001A0B8B">
      <w:pPr>
        <w:spacing w:line="288" w:lineRule="atLeast"/>
        <w:jc w:val="both"/>
      </w:pPr>
      <w:r>
        <w:t>There are no animal or human studies to evaluate nitric oxide for effects on fertility.</w:t>
      </w:r>
      <w:r w:rsidR="00662261">
        <w:t xml:space="preserve">                                                              </w:t>
      </w:r>
    </w:p>
    <w:p w:rsidR="00662261" w:rsidRDefault="00662261" w:rsidP="001A0B8B">
      <w:pPr>
        <w:keepNext/>
        <w:spacing w:line="288" w:lineRule="atLeast"/>
        <w:jc w:val="both"/>
        <w:rPr>
          <w:b/>
        </w:rPr>
      </w:pPr>
    </w:p>
    <w:p w:rsidR="001A0B8B" w:rsidRPr="00CB2BB8" w:rsidRDefault="001A0B8B" w:rsidP="001A0B8B">
      <w:pPr>
        <w:keepNext/>
        <w:spacing w:line="288" w:lineRule="atLeast"/>
        <w:jc w:val="both"/>
        <w:rPr>
          <w:b/>
        </w:rPr>
      </w:pPr>
      <w:r w:rsidRPr="00CB2BB8">
        <w:rPr>
          <w:b/>
        </w:rPr>
        <w:t>Use in Pregnancy:  Category B2</w:t>
      </w:r>
    </w:p>
    <w:p w:rsidR="00360E9F" w:rsidRDefault="001A0B8B" w:rsidP="00662261">
      <w:pPr>
        <w:pStyle w:val="BodyText3"/>
        <w:keepNext/>
        <w:spacing w:line="288" w:lineRule="atLeast"/>
        <w:jc w:val="both"/>
        <w:rPr>
          <w:bCs/>
          <w:sz w:val="20"/>
        </w:rPr>
      </w:pPr>
      <w:r w:rsidRPr="00CB2BB8">
        <w:rPr>
          <w:bCs/>
          <w:sz w:val="20"/>
        </w:rPr>
        <w:t xml:space="preserve">Animal reproduction studies have not been conducted with nitric oxide.  It is not known if nitric oxide can cause foetal harm when administered to pregnant women or can affect reproductive capacity. </w:t>
      </w:r>
    </w:p>
    <w:p w:rsidR="001A0B8B" w:rsidRPr="00CB2BB8" w:rsidRDefault="001A0B8B" w:rsidP="00662261">
      <w:pPr>
        <w:pStyle w:val="BodyText3"/>
        <w:keepNext/>
        <w:spacing w:line="288" w:lineRule="atLeast"/>
        <w:jc w:val="both"/>
        <w:rPr>
          <w:bCs/>
          <w:sz w:val="20"/>
        </w:rPr>
      </w:pPr>
    </w:p>
    <w:p w:rsidR="001A0B8B" w:rsidRPr="00CB2BB8" w:rsidRDefault="001A0B8B" w:rsidP="001A0B8B">
      <w:pPr>
        <w:keepNext/>
        <w:spacing w:line="288" w:lineRule="atLeast"/>
        <w:jc w:val="both"/>
      </w:pPr>
      <w:r w:rsidRPr="00CB2BB8">
        <w:rPr>
          <w:b/>
        </w:rPr>
        <w:t>Use in Lactation</w:t>
      </w:r>
    </w:p>
    <w:p w:rsidR="001A0B8B" w:rsidRDefault="001A0B8B" w:rsidP="001A0B8B">
      <w:pPr>
        <w:keepNext/>
        <w:spacing w:line="288" w:lineRule="atLeast"/>
        <w:jc w:val="both"/>
      </w:pPr>
      <w:r w:rsidRPr="00CB2BB8">
        <w:t>It is not known whether nitric oxide is excreted in human milk.</w:t>
      </w:r>
    </w:p>
    <w:p w:rsidR="001A0B8B" w:rsidRDefault="001A0B8B" w:rsidP="00E450A4">
      <w:pPr>
        <w:rPr>
          <w:b/>
        </w:rPr>
      </w:pPr>
    </w:p>
    <w:p w:rsidR="00AB2EA6" w:rsidRDefault="00AB2EA6" w:rsidP="00E450A4">
      <w:pPr>
        <w:rPr>
          <w:b/>
        </w:rPr>
      </w:pPr>
    </w:p>
    <w:p w:rsidR="001B37F6" w:rsidRDefault="001B37F6" w:rsidP="00E450A4">
      <w:pPr>
        <w:rPr>
          <w:b/>
        </w:rPr>
      </w:pPr>
      <w:r>
        <w:rPr>
          <w:b/>
        </w:rPr>
        <w:t>4.7</w:t>
      </w:r>
      <w:r>
        <w:rPr>
          <w:b/>
        </w:rPr>
        <w:tab/>
        <w:t xml:space="preserve">EFFECTS </w:t>
      </w:r>
      <w:r w:rsidR="00677175">
        <w:rPr>
          <w:b/>
        </w:rPr>
        <w:t xml:space="preserve">ON </w:t>
      </w:r>
      <w:r>
        <w:rPr>
          <w:b/>
        </w:rPr>
        <w:t xml:space="preserve">ABILITY TO DRIVE AND USE </w:t>
      </w:r>
      <w:r w:rsidR="00677175">
        <w:rPr>
          <w:b/>
        </w:rPr>
        <w:t>MACHINES</w:t>
      </w:r>
    </w:p>
    <w:p w:rsidR="001B37F6" w:rsidRDefault="001B37F6" w:rsidP="00E450A4">
      <w:pPr>
        <w:rPr>
          <w:b/>
        </w:rPr>
      </w:pPr>
    </w:p>
    <w:p w:rsidR="002D2605" w:rsidRPr="00CB2BB8" w:rsidRDefault="00EE472E" w:rsidP="002D2605">
      <w:pPr>
        <w:keepNext/>
        <w:spacing w:line="288" w:lineRule="atLeast"/>
        <w:jc w:val="both"/>
      </w:pPr>
      <w:r w:rsidRPr="00956E90">
        <w:t xml:space="preserve">The effects of this medicine on a person’s ability to drive and use machines </w:t>
      </w:r>
      <w:r w:rsidR="00894363" w:rsidRPr="00956E90">
        <w:t>w</w:t>
      </w:r>
      <w:r w:rsidR="00894363">
        <w:t>ere</w:t>
      </w:r>
      <w:r w:rsidR="00894363" w:rsidRPr="00956E90">
        <w:t xml:space="preserve"> </w:t>
      </w:r>
      <w:r w:rsidRPr="00956E90">
        <w:t>not assessed as part of its registration.</w:t>
      </w:r>
    </w:p>
    <w:p w:rsidR="001B37F6" w:rsidRDefault="001B37F6" w:rsidP="00E450A4">
      <w:pPr>
        <w:rPr>
          <w:b/>
        </w:rPr>
      </w:pPr>
    </w:p>
    <w:p w:rsidR="002D2605" w:rsidRDefault="002D2605" w:rsidP="00E450A4">
      <w:pPr>
        <w:rPr>
          <w:b/>
        </w:rPr>
      </w:pPr>
    </w:p>
    <w:p w:rsidR="001B37F6" w:rsidRDefault="001B37F6" w:rsidP="00C87EDD">
      <w:pPr>
        <w:pageBreakBefore/>
        <w:rPr>
          <w:b/>
        </w:rPr>
      </w:pPr>
      <w:r>
        <w:rPr>
          <w:b/>
        </w:rPr>
        <w:lastRenderedPageBreak/>
        <w:t>4.8</w:t>
      </w:r>
      <w:r>
        <w:rPr>
          <w:b/>
        </w:rPr>
        <w:tab/>
        <w:t>ADVERSE EFFECTS (UNDESIRABLE</w:t>
      </w:r>
      <w:r w:rsidR="00EE472E">
        <w:rPr>
          <w:b/>
        </w:rPr>
        <w:t xml:space="preserve"> </w:t>
      </w:r>
      <w:r>
        <w:rPr>
          <w:b/>
        </w:rPr>
        <w:t>EFFECTS)</w:t>
      </w:r>
    </w:p>
    <w:p w:rsidR="001A0B8B" w:rsidRDefault="001A0B8B" w:rsidP="00E450A4">
      <w:pPr>
        <w:rPr>
          <w:b/>
        </w:rPr>
      </w:pPr>
    </w:p>
    <w:p w:rsidR="001A0B8B" w:rsidRPr="00C87EDD" w:rsidRDefault="001A0B8B" w:rsidP="001A0B8B">
      <w:pPr>
        <w:rPr>
          <w:i/>
        </w:rPr>
      </w:pPr>
      <w:r w:rsidRPr="00C87EDD">
        <w:rPr>
          <w:i/>
        </w:rPr>
        <w:t>Persistent Pulmonary Hypertension of the Newborn (PPHN)</w:t>
      </w:r>
    </w:p>
    <w:p w:rsidR="001A0B8B" w:rsidRPr="00C87EDD" w:rsidRDefault="001A0B8B" w:rsidP="001A0B8B"/>
    <w:p w:rsidR="001A0B8B" w:rsidRPr="00CB2BB8" w:rsidRDefault="001A0B8B" w:rsidP="001A0B8B">
      <w:pPr>
        <w:spacing w:line="288" w:lineRule="atLeast"/>
        <w:jc w:val="both"/>
      </w:pPr>
      <w:r w:rsidRPr="003832D9">
        <w:t>Controlled studies in the PPHN indication</w:t>
      </w:r>
      <w:r w:rsidRPr="003229F4">
        <w:t xml:space="preserve"> have included 325 patients on </w:t>
      </w:r>
      <w:proofErr w:type="spellStart"/>
      <w:r w:rsidRPr="003229F4">
        <w:t>INOmax</w:t>
      </w:r>
      <w:proofErr w:type="spellEnd"/>
      <w:r w:rsidRPr="003229F4">
        <w:t>® doses of 5 to 80 ppm and 251 patients on placebo</w:t>
      </w:r>
      <w:r w:rsidRPr="00CB2BB8">
        <w:t xml:space="preserve">. Total mortality in the pooled trials was 11% on placebo and 9% on </w:t>
      </w:r>
      <w:proofErr w:type="spellStart"/>
      <w:r w:rsidRPr="00CB2BB8">
        <w:t>INOmax</w:t>
      </w:r>
      <w:proofErr w:type="spellEnd"/>
      <w:r w:rsidRPr="00CB2BB8">
        <w:t xml:space="preserve">®, a result adequate to exclude </w:t>
      </w:r>
      <w:proofErr w:type="spellStart"/>
      <w:r w:rsidRPr="00CB2BB8">
        <w:t>INOmax</w:t>
      </w:r>
      <w:proofErr w:type="spellEnd"/>
      <w:r w:rsidRPr="00CB2BB8">
        <w:t>® mortality being more than 40% worse than placebo.</w:t>
      </w:r>
    </w:p>
    <w:p w:rsidR="001A0B8B" w:rsidRPr="00CB2BB8" w:rsidRDefault="001A0B8B" w:rsidP="001A0B8B">
      <w:pPr>
        <w:spacing w:line="288" w:lineRule="atLeast"/>
        <w:jc w:val="both"/>
      </w:pPr>
    </w:p>
    <w:p w:rsidR="001A0B8B" w:rsidRPr="00CB2BB8" w:rsidRDefault="001A0B8B" w:rsidP="001A0B8B">
      <w:pPr>
        <w:spacing w:line="288" w:lineRule="atLeast"/>
        <w:jc w:val="both"/>
      </w:pPr>
      <w:r w:rsidRPr="00CB2BB8">
        <w:t xml:space="preserve">In both the NINOS and CINRGI studies, the duration of </w:t>
      </w:r>
      <w:r w:rsidR="008508BE" w:rsidRPr="00CB2BB8">
        <w:t>hospitali</w:t>
      </w:r>
      <w:r w:rsidR="008508BE">
        <w:t>s</w:t>
      </w:r>
      <w:r w:rsidR="008508BE" w:rsidRPr="00CB2BB8">
        <w:t>ation</w:t>
      </w:r>
      <w:r w:rsidRPr="00CB2BB8">
        <w:t xml:space="preserve"> was similar in </w:t>
      </w:r>
      <w:proofErr w:type="spellStart"/>
      <w:r w:rsidRPr="00CB2BB8">
        <w:t>INOmax</w:t>
      </w:r>
      <w:proofErr w:type="spellEnd"/>
      <w:r w:rsidRPr="00CB2BB8">
        <w:t>® and placebo-treated groups.</w:t>
      </w:r>
    </w:p>
    <w:p w:rsidR="001A0B8B" w:rsidRPr="00CB2BB8" w:rsidRDefault="001A0B8B" w:rsidP="001A0B8B">
      <w:pPr>
        <w:spacing w:line="288" w:lineRule="atLeast"/>
        <w:jc w:val="both"/>
      </w:pPr>
    </w:p>
    <w:p w:rsidR="001A0B8B" w:rsidRPr="00CB2BB8" w:rsidRDefault="001A0B8B" w:rsidP="001A0B8B">
      <w:pPr>
        <w:spacing w:line="288" w:lineRule="atLeast"/>
        <w:jc w:val="both"/>
      </w:pPr>
      <w:r w:rsidRPr="00CB2BB8">
        <w:t xml:space="preserve">Formation of methaemoglobin &gt;5% has been observed despite administration of </w:t>
      </w:r>
      <w:proofErr w:type="spellStart"/>
      <w:r w:rsidRPr="00CB2BB8">
        <w:t>INOmax</w:t>
      </w:r>
      <w:proofErr w:type="spellEnd"/>
      <w:r w:rsidRPr="00CB2BB8">
        <w:t xml:space="preserve">® at appropriate concentrations.  Neonates have diminished </w:t>
      </w:r>
      <w:proofErr w:type="spellStart"/>
      <w:r w:rsidRPr="00CB2BB8">
        <w:t>MetHb</w:t>
      </w:r>
      <w:proofErr w:type="spellEnd"/>
      <w:r w:rsidRPr="00CB2BB8">
        <w:t xml:space="preserve"> reductase activity and could, therefore be at risk of developing </w:t>
      </w:r>
      <w:proofErr w:type="spellStart"/>
      <w:r w:rsidRPr="00CB2BB8">
        <w:t>methaemoglobinaemia</w:t>
      </w:r>
      <w:proofErr w:type="spellEnd"/>
      <w:r w:rsidRPr="00CB2BB8">
        <w:t xml:space="preserve">. </w:t>
      </w:r>
    </w:p>
    <w:p w:rsidR="001A0B8B" w:rsidRPr="00CB2BB8" w:rsidRDefault="001A0B8B" w:rsidP="001A0B8B">
      <w:pPr>
        <w:spacing w:line="288" w:lineRule="atLeast"/>
        <w:jc w:val="both"/>
      </w:pPr>
    </w:p>
    <w:p w:rsidR="001A0B8B" w:rsidRPr="00CB2BB8" w:rsidRDefault="001A0B8B" w:rsidP="001A0B8B">
      <w:pPr>
        <w:spacing w:line="288" w:lineRule="atLeast"/>
        <w:jc w:val="both"/>
      </w:pPr>
      <w:r w:rsidRPr="00CB2BB8">
        <w:t>Rapid rebound reactions such as intensified pulmonary vasoconstriction and hypoxaemia after sudden withdrawal of inhaled nitric oxide therapy have been described, precipitating cardiopulmonary collapse.  The patient should be treated with increased FiO</w:t>
      </w:r>
      <w:r w:rsidRPr="00CB2BB8">
        <w:rPr>
          <w:vertAlign w:val="subscript"/>
        </w:rPr>
        <w:t xml:space="preserve">2 </w:t>
      </w:r>
      <w:r w:rsidRPr="00CB2BB8">
        <w:t>and/or by reinstalment of therapy with inhaled nitric oxide.  When possible, inhaled nitric oxide should be continued until the underlying disease has resolved.</w:t>
      </w:r>
    </w:p>
    <w:p w:rsidR="001A0B8B" w:rsidRPr="00CB2BB8" w:rsidRDefault="001A0B8B" w:rsidP="001A0B8B">
      <w:pPr>
        <w:spacing w:line="288" w:lineRule="atLeast"/>
        <w:jc w:val="both"/>
      </w:pPr>
    </w:p>
    <w:p w:rsidR="001A0B8B" w:rsidRPr="00CB2BB8" w:rsidRDefault="001A0B8B" w:rsidP="001A0B8B">
      <w:pPr>
        <w:spacing w:line="288" w:lineRule="atLeast"/>
        <w:jc w:val="both"/>
      </w:pPr>
      <w:r w:rsidRPr="00CB2BB8">
        <w:t>NO</w:t>
      </w:r>
      <w:r w:rsidRPr="00CB2BB8">
        <w:rPr>
          <w:vertAlign w:val="subscript"/>
        </w:rPr>
        <w:t xml:space="preserve">2 </w:t>
      </w:r>
      <w:r w:rsidRPr="00CB2BB8">
        <w:t>rapidly forms in gas mixtures containing nitric oxide and O</w:t>
      </w:r>
      <w:r w:rsidRPr="00CB2BB8">
        <w:rPr>
          <w:vertAlign w:val="subscript"/>
        </w:rPr>
        <w:t>2</w:t>
      </w:r>
      <w:r w:rsidRPr="002004E5">
        <w:t>,</w:t>
      </w:r>
      <w:r w:rsidRPr="00CB2BB8">
        <w:t xml:space="preserve"> and NO</w:t>
      </w:r>
      <w:r w:rsidRPr="00CB2BB8">
        <w:rPr>
          <w:vertAlign w:val="subscript"/>
        </w:rPr>
        <w:t xml:space="preserve">2 </w:t>
      </w:r>
      <w:r w:rsidRPr="00CB2BB8">
        <w:t>may in this way cause airway inflammation and damage.  There are also animal data suggesting an increased susceptibility to airway infection upon exposure to low levels of NO</w:t>
      </w:r>
      <w:r w:rsidRPr="00CB2BB8">
        <w:rPr>
          <w:vertAlign w:val="subscript"/>
        </w:rPr>
        <w:t>2</w:t>
      </w:r>
      <w:r w:rsidRPr="0034298B">
        <w:t>.</w:t>
      </w:r>
    </w:p>
    <w:p w:rsidR="001A0B8B" w:rsidRPr="00CB2BB8" w:rsidRDefault="001A0B8B" w:rsidP="001A0B8B">
      <w:pPr>
        <w:spacing w:line="288" w:lineRule="atLeast"/>
        <w:jc w:val="both"/>
      </w:pPr>
    </w:p>
    <w:p w:rsidR="001A0B8B" w:rsidRDefault="001A0B8B" w:rsidP="001A0B8B">
      <w:pPr>
        <w:spacing w:line="288" w:lineRule="atLeast"/>
        <w:jc w:val="both"/>
      </w:pPr>
      <w:r w:rsidRPr="00CB2BB8">
        <w:t xml:space="preserve">From all controlled studies, at least 6 months of follow-up is available for 278 patients who received </w:t>
      </w:r>
      <w:proofErr w:type="spellStart"/>
      <w:r w:rsidRPr="00CB2BB8">
        <w:t>INOmax</w:t>
      </w:r>
      <w:proofErr w:type="spellEnd"/>
      <w:r w:rsidRPr="00CB2BB8">
        <w:t xml:space="preserve">® and 212 patients who received placebo. Among these patients, there was no evidence of an adverse effect of treatment on the need for </w:t>
      </w:r>
      <w:r w:rsidRPr="008A5E3C">
        <w:t>rehospitalisation</w:t>
      </w:r>
      <w:r w:rsidRPr="00CB2BB8">
        <w:t>, special medical services, pulmonary disease, or neurological sequelae.</w:t>
      </w:r>
      <w:r w:rsidRPr="00CB2BB8">
        <w:cr/>
      </w:r>
    </w:p>
    <w:p w:rsidR="001A0B8B" w:rsidRPr="00CB2BB8" w:rsidRDefault="001A0B8B" w:rsidP="001A0B8B">
      <w:pPr>
        <w:spacing w:line="288" w:lineRule="atLeast"/>
        <w:jc w:val="both"/>
      </w:pPr>
      <w:r w:rsidRPr="00CB2BB8">
        <w:t>In the NINOS study, treatment groups were similar with respect to the incidence and severity of intracranial haemorrhage, Grade IV haemorrhage, cerebral infarction, seizures requiring anticonvulsant therapy, pulmonary haemorrhage, or gastrointestinal haemorrhage.</w:t>
      </w:r>
      <w:r w:rsidRPr="00CB2BB8">
        <w:cr/>
      </w:r>
    </w:p>
    <w:p w:rsidR="001A0B8B" w:rsidRPr="00CB2BB8" w:rsidRDefault="001A0B8B" w:rsidP="001A0B8B">
      <w:pPr>
        <w:spacing w:line="288" w:lineRule="atLeast"/>
        <w:jc w:val="both"/>
      </w:pPr>
      <w:r w:rsidRPr="00CB2BB8">
        <w:t xml:space="preserve">The incidence of periventricular </w:t>
      </w:r>
      <w:proofErr w:type="spellStart"/>
      <w:r w:rsidRPr="00CB2BB8">
        <w:t>leukomalacia</w:t>
      </w:r>
      <w:proofErr w:type="spellEnd"/>
      <w:r w:rsidRPr="00CB2BB8">
        <w:t xml:space="preserve"> was 5% with </w:t>
      </w:r>
      <w:proofErr w:type="spellStart"/>
      <w:r w:rsidRPr="00CB2BB8">
        <w:t>INOmax</w:t>
      </w:r>
      <w:proofErr w:type="spellEnd"/>
      <w:r w:rsidRPr="00CB2BB8">
        <w:t>® and 2.6% in the placebo group.</w:t>
      </w:r>
      <w:r w:rsidRPr="00CB2BB8">
        <w:cr/>
      </w:r>
    </w:p>
    <w:p w:rsidR="001A0B8B" w:rsidRDefault="00C54660" w:rsidP="001A0B8B">
      <w:pPr>
        <w:spacing w:line="288" w:lineRule="atLeast"/>
        <w:jc w:val="both"/>
      </w:pPr>
      <w:r>
        <w:t>Table 1</w:t>
      </w:r>
      <w:r w:rsidR="001A0B8B" w:rsidRPr="00CB2BB8">
        <w:t xml:space="preserve"> below shows adverse effects with an incidence of at least 5% on </w:t>
      </w:r>
      <w:proofErr w:type="spellStart"/>
      <w:r w:rsidR="001A0B8B" w:rsidRPr="00CB2BB8">
        <w:t>INOmax</w:t>
      </w:r>
      <w:proofErr w:type="spellEnd"/>
      <w:r w:rsidR="001A0B8B" w:rsidRPr="00CB2BB8">
        <w:t xml:space="preserve">® in the CINRGI study, and that were more common on </w:t>
      </w:r>
      <w:proofErr w:type="spellStart"/>
      <w:r w:rsidR="001A0B8B" w:rsidRPr="00CB2BB8">
        <w:t>INOmax</w:t>
      </w:r>
      <w:proofErr w:type="spellEnd"/>
      <w:r w:rsidR="001A0B8B" w:rsidRPr="00CB2BB8">
        <w:t>® than on placebo.</w:t>
      </w:r>
      <w:r w:rsidR="001A0B8B" w:rsidRPr="00CB2BB8">
        <w:cr/>
      </w:r>
    </w:p>
    <w:p w:rsidR="001A0B8B" w:rsidRPr="00CB2BB8" w:rsidRDefault="00C54660" w:rsidP="00C87EDD">
      <w:pPr>
        <w:pageBreakBefore/>
        <w:spacing w:line="288" w:lineRule="atLeast"/>
      </w:pPr>
      <w:r>
        <w:rPr>
          <w:b/>
          <w:bCs/>
        </w:rPr>
        <w:lastRenderedPageBreak/>
        <w:t xml:space="preserve">Table 1: </w:t>
      </w:r>
      <w:r>
        <w:rPr>
          <w:b/>
          <w:bCs/>
        </w:rPr>
        <w:tab/>
      </w:r>
      <w:r w:rsidRPr="00CB2BB8">
        <w:rPr>
          <w:b/>
          <w:bCs/>
        </w:rPr>
        <w:t xml:space="preserve">Adverse Effects </w:t>
      </w:r>
      <w:r>
        <w:rPr>
          <w:b/>
          <w:bCs/>
        </w:rPr>
        <w:t>i</w:t>
      </w:r>
      <w:r w:rsidRPr="00CB2BB8">
        <w:rPr>
          <w:b/>
          <w:bCs/>
        </w:rPr>
        <w:t xml:space="preserve">n </w:t>
      </w:r>
      <w:r>
        <w:rPr>
          <w:b/>
          <w:bCs/>
        </w:rPr>
        <w:t>t</w:t>
      </w:r>
      <w:r w:rsidRPr="00CB2BB8">
        <w:rPr>
          <w:b/>
          <w:bCs/>
        </w:rPr>
        <w:t>he CINRGI Tria</w:t>
      </w:r>
      <w:r w:rsidRPr="00CB2BB8">
        <w:t>l</w:t>
      </w:r>
    </w:p>
    <w:p w:rsidR="001A0B8B" w:rsidRPr="00CB2BB8" w:rsidRDefault="001A0B8B" w:rsidP="001A0B8B">
      <w:pPr>
        <w:keepNext/>
        <w:spacing w:line="288" w:lineRule="atLeast"/>
        <w:jc w:val="both"/>
      </w:pPr>
    </w:p>
    <w:tbl>
      <w:tblPr>
        <w:tblW w:w="0" w:type="auto"/>
        <w:tblInd w:w="108" w:type="dxa"/>
        <w:tblLayout w:type="fixed"/>
        <w:tblLook w:val="0000" w:firstRow="0" w:lastRow="0" w:firstColumn="0" w:lastColumn="0" w:noHBand="0" w:noVBand="0"/>
      </w:tblPr>
      <w:tblGrid>
        <w:gridCol w:w="2160"/>
        <w:gridCol w:w="1980"/>
        <w:gridCol w:w="2340"/>
      </w:tblGrid>
      <w:tr w:rsidR="001A0B8B" w:rsidRPr="00CB2BB8" w:rsidTr="001A0B8B">
        <w:trPr>
          <w:cantSplit/>
          <w:trHeight w:hRule="exact" w:val="360"/>
        </w:trPr>
        <w:tc>
          <w:tcPr>
            <w:tcW w:w="2160" w:type="dxa"/>
            <w:tcBorders>
              <w:top w:val="single" w:sz="6" w:space="0" w:color="auto"/>
              <w:left w:val="single" w:sz="6" w:space="0" w:color="auto"/>
              <w:bottom w:val="double" w:sz="6" w:space="0" w:color="auto"/>
              <w:right w:val="single" w:sz="6" w:space="0" w:color="auto"/>
            </w:tcBorders>
          </w:tcPr>
          <w:p w:rsidR="001A0B8B" w:rsidRPr="00CB2BB8" w:rsidRDefault="001A0B8B" w:rsidP="001A0B8B">
            <w:pPr>
              <w:pStyle w:val="TableLeft"/>
              <w:keepNext/>
              <w:spacing w:before="60" w:after="60"/>
              <w:ind w:left="0" w:right="162" w:firstLine="0"/>
              <w:jc w:val="center"/>
              <w:rPr>
                <w:b/>
                <w:sz w:val="20"/>
              </w:rPr>
            </w:pPr>
            <w:r w:rsidRPr="00CB2BB8">
              <w:rPr>
                <w:b/>
                <w:sz w:val="20"/>
              </w:rPr>
              <w:t>Adverse Effect</w:t>
            </w:r>
          </w:p>
        </w:tc>
        <w:tc>
          <w:tcPr>
            <w:tcW w:w="1980" w:type="dxa"/>
            <w:tcBorders>
              <w:top w:val="single" w:sz="6" w:space="0" w:color="auto"/>
              <w:left w:val="single" w:sz="6" w:space="0" w:color="auto"/>
              <w:bottom w:val="double" w:sz="6" w:space="0" w:color="auto"/>
              <w:right w:val="single" w:sz="6" w:space="0" w:color="auto"/>
            </w:tcBorders>
          </w:tcPr>
          <w:p w:rsidR="001A0B8B" w:rsidRPr="00CB2BB8" w:rsidRDefault="001A0B8B" w:rsidP="001A0B8B">
            <w:pPr>
              <w:pStyle w:val="TableCenter"/>
              <w:keepNext/>
              <w:spacing w:before="60" w:after="60"/>
              <w:rPr>
                <w:b/>
                <w:sz w:val="20"/>
              </w:rPr>
            </w:pPr>
            <w:r w:rsidRPr="00CB2BB8">
              <w:rPr>
                <w:b/>
                <w:sz w:val="20"/>
              </w:rPr>
              <w:t>Placebo (n=89)</w:t>
            </w:r>
          </w:p>
          <w:p w:rsidR="001A0B8B" w:rsidRPr="00CB2BB8" w:rsidRDefault="001A0B8B" w:rsidP="001A0B8B">
            <w:pPr>
              <w:pStyle w:val="TableCenter"/>
              <w:keepNext/>
              <w:spacing w:before="60" w:after="60"/>
              <w:rPr>
                <w:b/>
                <w:sz w:val="20"/>
              </w:rPr>
            </w:pPr>
          </w:p>
          <w:p w:rsidR="001A0B8B" w:rsidRPr="00CB2BB8" w:rsidRDefault="001A0B8B" w:rsidP="001A0B8B">
            <w:pPr>
              <w:pStyle w:val="TableCenter"/>
              <w:keepNext/>
              <w:spacing w:before="60" w:after="60"/>
              <w:rPr>
                <w:b/>
                <w:sz w:val="20"/>
              </w:rPr>
            </w:pPr>
          </w:p>
        </w:tc>
        <w:tc>
          <w:tcPr>
            <w:tcW w:w="2340" w:type="dxa"/>
            <w:tcBorders>
              <w:top w:val="single" w:sz="6" w:space="0" w:color="auto"/>
              <w:left w:val="single" w:sz="6" w:space="0" w:color="auto"/>
              <w:bottom w:val="double" w:sz="6" w:space="0" w:color="auto"/>
              <w:right w:val="single" w:sz="6" w:space="0" w:color="auto"/>
            </w:tcBorders>
          </w:tcPr>
          <w:p w:rsidR="001A0B8B" w:rsidRPr="00CB2BB8" w:rsidRDefault="001A0B8B" w:rsidP="001A0B8B">
            <w:pPr>
              <w:pStyle w:val="TableCenter"/>
              <w:keepNext/>
              <w:spacing w:before="60" w:after="60"/>
              <w:rPr>
                <w:b/>
                <w:sz w:val="20"/>
              </w:rPr>
            </w:pPr>
            <w:r w:rsidRPr="00CB2BB8">
              <w:rPr>
                <w:b/>
                <w:sz w:val="20"/>
              </w:rPr>
              <w:t>Inhaled NO (n=97)</w:t>
            </w:r>
          </w:p>
        </w:tc>
      </w:tr>
      <w:tr w:rsidR="001A0B8B" w:rsidRPr="00CB2BB8" w:rsidTr="001A0B8B">
        <w:tblPrEx>
          <w:tblCellMar>
            <w:left w:w="0" w:type="dxa"/>
            <w:right w:w="0" w:type="dxa"/>
          </w:tblCellMar>
        </w:tblPrEx>
        <w:trPr>
          <w:cantSplit/>
          <w:trHeight w:hRule="exact" w:val="360"/>
        </w:trPr>
        <w:tc>
          <w:tcPr>
            <w:tcW w:w="2160" w:type="dxa"/>
            <w:tcBorders>
              <w:top w:val="single" w:sz="6" w:space="0" w:color="auto"/>
              <w:left w:val="single" w:sz="6" w:space="0" w:color="auto"/>
              <w:bottom w:val="single" w:sz="6" w:space="0" w:color="auto"/>
              <w:right w:val="single" w:sz="6" w:space="0" w:color="auto"/>
            </w:tcBorders>
          </w:tcPr>
          <w:p w:rsidR="001A0B8B" w:rsidRPr="00CB2BB8" w:rsidRDefault="001A0B8B" w:rsidP="001A0B8B">
            <w:pPr>
              <w:pStyle w:val="TableLeft"/>
              <w:keepNext/>
              <w:spacing w:before="60" w:after="60"/>
              <w:ind w:left="180" w:right="90" w:firstLine="0"/>
              <w:rPr>
                <w:sz w:val="20"/>
              </w:rPr>
            </w:pPr>
            <w:r>
              <w:rPr>
                <w:sz w:val="20"/>
              </w:rPr>
              <w:t>Hypotension</w:t>
            </w:r>
          </w:p>
        </w:tc>
        <w:tc>
          <w:tcPr>
            <w:tcW w:w="1980" w:type="dxa"/>
            <w:tcBorders>
              <w:top w:val="single" w:sz="6" w:space="0" w:color="auto"/>
              <w:left w:val="single" w:sz="6" w:space="0" w:color="auto"/>
              <w:bottom w:val="single" w:sz="6" w:space="0" w:color="auto"/>
              <w:right w:val="single" w:sz="6" w:space="0" w:color="auto"/>
            </w:tcBorders>
          </w:tcPr>
          <w:p w:rsidR="001A0B8B" w:rsidRPr="009622C7" w:rsidRDefault="001A0B8B" w:rsidP="001A0B8B">
            <w:pPr>
              <w:pStyle w:val="TableCenter"/>
              <w:keepNext/>
              <w:spacing w:before="60" w:after="60"/>
              <w:rPr>
                <w:sz w:val="20"/>
              </w:rPr>
            </w:pPr>
            <w:r w:rsidRPr="009622C7">
              <w:rPr>
                <w:sz w:val="20"/>
              </w:rPr>
              <w:t>9 (10%)</w:t>
            </w:r>
          </w:p>
        </w:tc>
        <w:tc>
          <w:tcPr>
            <w:tcW w:w="2340" w:type="dxa"/>
            <w:tcBorders>
              <w:top w:val="single" w:sz="6" w:space="0" w:color="auto"/>
              <w:left w:val="single" w:sz="6" w:space="0" w:color="auto"/>
              <w:bottom w:val="single" w:sz="6" w:space="0" w:color="auto"/>
              <w:right w:val="single" w:sz="6" w:space="0" w:color="auto"/>
            </w:tcBorders>
          </w:tcPr>
          <w:p w:rsidR="001A0B8B" w:rsidRPr="009622C7" w:rsidRDefault="001A0B8B" w:rsidP="001A0B8B">
            <w:pPr>
              <w:pStyle w:val="TableCenter"/>
              <w:keepNext/>
              <w:spacing w:before="60" w:after="60"/>
              <w:rPr>
                <w:sz w:val="20"/>
              </w:rPr>
            </w:pPr>
            <w:r w:rsidRPr="009622C7">
              <w:rPr>
                <w:sz w:val="20"/>
              </w:rPr>
              <w:t>13 (13%)</w:t>
            </w:r>
          </w:p>
        </w:tc>
      </w:tr>
      <w:tr w:rsidR="001A0B8B" w:rsidRPr="00CB2BB8" w:rsidTr="001A0B8B">
        <w:tblPrEx>
          <w:tblCellMar>
            <w:left w:w="0" w:type="dxa"/>
            <w:right w:w="0" w:type="dxa"/>
          </w:tblCellMar>
        </w:tblPrEx>
        <w:trPr>
          <w:cantSplit/>
          <w:trHeight w:hRule="exact" w:val="558"/>
        </w:trPr>
        <w:tc>
          <w:tcPr>
            <w:tcW w:w="2160" w:type="dxa"/>
            <w:tcBorders>
              <w:top w:val="single" w:sz="6" w:space="0" w:color="auto"/>
              <w:left w:val="single" w:sz="6" w:space="0" w:color="auto"/>
              <w:bottom w:val="single" w:sz="6" w:space="0" w:color="auto"/>
              <w:right w:val="single" w:sz="6" w:space="0" w:color="auto"/>
            </w:tcBorders>
          </w:tcPr>
          <w:p w:rsidR="001A0B8B" w:rsidRPr="00CB2BB8" w:rsidRDefault="001A0B8B" w:rsidP="001A0B8B">
            <w:pPr>
              <w:pStyle w:val="TableLeft"/>
              <w:keepNext/>
              <w:spacing w:before="60" w:after="60"/>
              <w:ind w:left="180" w:right="90" w:firstLine="0"/>
              <w:rPr>
                <w:sz w:val="20"/>
              </w:rPr>
            </w:pPr>
            <w:proofErr w:type="spellStart"/>
            <w:r>
              <w:rPr>
                <w:sz w:val="20"/>
              </w:rPr>
              <w:t>Bacteraemia</w:t>
            </w:r>
            <w:proofErr w:type="spellEnd"/>
            <w:r>
              <w:rPr>
                <w:sz w:val="20"/>
              </w:rPr>
              <w:t xml:space="preserve"> and/or Local Infection</w:t>
            </w:r>
          </w:p>
        </w:tc>
        <w:tc>
          <w:tcPr>
            <w:tcW w:w="1980" w:type="dxa"/>
            <w:tcBorders>
              <w:top w:val="single" w:sz="6" w:space="0" w:color="auto"/>
              <w:left w:val="single" w:sz="6" w:space="0" w:color="auto"/>
              <w:bottom w:val="single" w:sz="6" w:space="0" w:color="auto"/>
              <w:right w:val="single" w:sz="6" w:space="0" w:color="auto"/>
            </w:tcBorders>
          </w:tcPr>
          <w:p w:rsidR="001A0B8B" w:rsidRPr="009622C7" w:rsidRDefault="001A0B8B" w:rsidP="001A0B8B">
            <w:pPr>
              <w:pStyle w:val="TableCenter"/>
              <w:keepNext/>
              <w:spacing w:before="60" w:after="60"/>
              <w:rPr>
                <w:sz w:val="20"/>
              </w:rPr>
            </w:pPr>
            <w:r w:rsidRPr="009622C7">
              <w:rPr>
                <w:sz w:val="20"/>
              </w:rPr>
              <w:t>5 (6%)</w:t>
            </w:r>
          </w:p>
        </w:tc>
        <w:tc>
          <w:tcPr>
            <w:tcW w:w="2340" w:type="dxa"/>
            <w:tcBorders>
              <w:top w:val="single" w:sz="6" w:space="0" w:color="auto"/>
              <w:left w:val="single" w:sz="6" w:space="0" w:color="auto"/>
              <w:bottom w:val="single" w:sz="6" w:space="0" w:color="auto"/>
              <w:right w:val="single" w:sz="6" w:space="0" w:color="auto"/>
            </w:tcBorders>
          </w:tcPr>
          <w:p w:rsidR="001A0B8B" w:rsidRPr="009622C7" w:rsidRDefault="001A0B8B" w:rsidP="001A0B8B">
            <w:pPr>
              <w:pStyle w:val="TableCenter"/>
              <w:keepNext/>
              <w:spacing w:before="60" w:after="60"/>
              <w:rPr>
                <w:sz w:val="20"/>
              </w:rPr>
            </w:pPr>
            <w:r w:rsidRPr="009622C7">
              <w:rPr>
                <w:sz w:val="20"/>
              </w:rPr>
              <w:t>13 (13%)</w:t>
            </w:r>
          </w:p>
        </w:tc>
      </w:tr>
      <w:tr w:rsidR="001A0B8B" w:rsidRPr="00CB2BB8" w:rsidTr="001A0B8B">
        <w:tblPrEx>
          <w:tblCellMar>
            <w:left w:w="0" w:type="dxa"/>
            <w:right w:w="0" w:type="dxa"/>
          </w:tblCellMar>
        </w:tblPrEx>
        <w:trPr>
          <w:cantSplit/>
          <w:trHeight w:hRule="exact" w:val="565"/>
        </w:trPr>
        <w:tc>
          <w:tcPr>
            <w:tcW w:w="2160" w:type="dxa"/>
            <w:tcBorders>
              <w:top w:val="single" w:sz="6" w:space="0" w:color="auto"/>
              <w:left w:val="single" w:sz="6" w:space="0" w:color="auto"/>
              <w:bottom w:val="single" w:sz="6" w:space="0" w:color="auto"/>
              <w:right w:val="single" w:sz="6" w:space="0" w:color="auto"/>
            </w:tcBorders>
          </w:tcPr>
          <w:p w:rsidR="001A0B8B" w:rsidRPr="00CB2BB8" w:rsidRDefault="001A0B8B" w:rsidP="001A0B8B">
            <w:pPr>
              <w:pStyle w:val="TableLeft"/>
              <w:keepNext/>
              <w:spacing w:before="60" w:after="60"/>
              <w:ind w:left="180" w:right="90" w:firstLine="0"/>
              <w:rPr>
                <w:sz w:val="20"/>
              </w:rPr>
            </w:pPr>
            <w:r>
              <w:rPr>
                <w:sz w:val="20"/>
              </w:rPr>
              <w:t xml:space="preserve">Rebound </w:t>
            </w:r>
            <w:proofErr w:type="spellStart"/>
            <w:r>
              <w:rPr>
                <w:sz w:val="20"/>
              </w:rPr>
              <w:t>Hypoxaemia</w:t>
            </w:r>
            <w:proofErr w:type="spellEnd"/>
            <w:r>
              <w:rPr>
                <w:sz w:val="20"/>
              </w:rPr>
              <w:t xml:space="preserve"> on </w:t>
            </w:r>
            <w:r w:rsidRPr="00CB2BB8">
              <w:rPr>
                <w:sz w:val="20"/>
              </w:rPr>
              <w:t xml:space="preserve">Withdrawal  </w:t>
            </w:r>
          </w:p>
        </w:tc>
        <w:tc>
          <w:tcPr>
            <w:tcW w:w="1980" w:type="dxa"/>
            <w:tcBorders>
              <w:top w:val="single" w:sz="6" w:space="0" w:color="auto"/>
              <w:left w:val="single" w:sz="6" w:space="0" w:color="auto"/>
              <w:bottom w:val="single" w:sz="6" w:space="0" w:color="auto"/>
              <w:right w:val="single" w:sz="6" w:space="0" w:color="auto"/>
            </w:tcBorders>
          </w:tcPr>
          <w:p w:rsidR="001A0B8B" w:rsidRPr="009622C7" w:rsidRDefault="001A0B8B" w:rsidP="001A0B8B">
            <w:pPr>
              <w:pStyle w:val="TableCenter"/>
              <w:keepNext/>
              <w:spacing w:before="60" w:after="60"/>
              <w:rPr>
                <w:sz w:val="20"/>
              </w:rPr>
            </w:pPr>
            <w:r w:rsidRPr="009622C7">
              <w:rPr>
                <w:sz w:val="20"/>
              </w:rPr>
              <w:t>9 (10%)</w:t>
            </w:r>
          </w:p>
        </w:tc>
        <w:tc>
          <w:tcPr>
            <w:tcW w:w="2340" w:type="dxa"/>
            <w:tcBorders>
              <w:top w:val="single" w:sz="6" w:space="0" w:color="auto"/>
              <w:left w:val="single" w:sz="6" w:space="0" w:color="auto"/>
              <w:bottom w:val="single" w:sz="6" w:space="0" w:color="auto"/>
              <w:right w:val="single" w:sz="6" w:space="0" w:color="auto"/>
            </w:tcBorders>
          </w:tcPr>
          <w:p w:rsidR="001A0B8B" w:rsidRPr="009622C7" w:rsidRDefault="001A0B8B" w:rsidP="001A0B8B">
            <w:pPr>
              <w:pStyle w:val="TableCenter"/>
              <w:keepNext/>
              <w:spacing w:before="60" w:after="60"/>
              <w:rPr>
                <w:sz w:val="20"/>
              </w:rPr>
            </w:pPr>
            <w:r w:rsidRPr="009622C7">
              <w:rPr>
                <w:sz w:val="20"/>
              </w:rPr>
              <w:t>12 (12%)</w:t>
            </w:r>
          </w:p>
        </w:tc>
      </w:tr>
      <w:tr w:rsidR="001A0B8B" w:rsidRPr="00CB2BB8" w:rsidTr="001A0B8B">
        <w:tblPrEx>
          <w:tblCellMar>
            <w:left w:w="0" w:type="dxa"/>
            <w:right w:w="0" w:type="dxa"/>
          </w:tblCellMar>
        </w:tblPrEx>
        <w:trPr>
          <w:cantSplit/>
          <w:trHeight w:hRule="exact" w:val="360"/>
        </w:trPr>
        <w:tc>
          <w:tcPr>
            <w:tcW w:w="2160" w:type="dxa"/>
            <w:tcBorders>
              <w:top w:val="single" w:sz="6" w:space="0" w:color="auto"/>
              <w:left w:val="single" w:sz="6" w:space="0" w:color="auto"/>
              <w:bottom w:val="single" w:sz="6" w:space="0" w:color="auto"/>
              <w:right w:val="single" w:sz="6" w:space="0" w:color="auto"/>
            </w:tcBorders>
          </w:tcPr>
          <w:p w:rsidR="001A0B8B" w:rsidRPr="00CB2BB8" w:rsidRDefault="001A0B8B" w:rsidP="001A0B8B">
            <w:pPr>
              <w:pStyle w:val="TableRight"/>
              <w:keepNext/>
              <w:spacing w:before="60" w:after="60"/>
              <w:ind w:left="180" w:right="90"/>
              <w:jc w:val="left"/>
              <w:rPr>
                <w:sz w:val="20"/>
              </w:rPr>
            </w:pPr>
            <w:r>
              <w:rPr>
                <w:sz w:val="20"/>
              </w:rPr>
              <w:t>Atelectasis</w:t>
            </w:r>
          </w:p>
        </w:tc>
        <w:tc>
          <w:tcPr>
            <w:tcW w:w="1980" w:type="dxa"/>
            <w:tcBorders>
              <w:top w:val="single" w:sz="6" w:space="0" w:color="auto"/>
              <w:left w:val="single" w:sz="6" w:space="0" w:color="auto"/>
              <w:bottom w:val="single" w:sz="6" w:space="0" w:color="auto"/>
              <w:right w:val="single" w:sz="6" w:space="0" w:color="auto"/>
            </w:tcBorders>
          </w:tcPr>
          <w:p w:rsidR="001A0B8B" w:rsidRPr="009622C7" w:rsidRDefault="001A0B8B" w:rsidP="001A0B8B">
            <w:pPr>
              <w:pStyle w:val="TableCenter"/>
              <w:keepNext/>
              <w:spacing w:before="60" w:after="60"/>
              <w:rPr>
                <w:sz w:val="20"/>
              </w:rPr>
            </w:pPr>
            <w:r w:rsidRPr="009622C7">
              <w:rPr>
                <w:sz w:val="20"/>
              </w:rPr>
              <w:t>8 (9%)</w:t>
            </w:r>
          </w:p>
        </w:tc>
        <w:tc>
          <w:tcPr>
            <w:tcW w:w="2340" w:type="dxa"/>
            <w:tcBorders>
              <w:top w:val="single" w:sz="6" w:space="0" w:color="auto"/>
              <w:left w:val="single" w:sz="6" w:space="0" w:color="auto"/>
              <w:bottom w:val="single" w:sz="6" w:space="0" w:color="auto"/>
              <w:right w:val="single" w:sz="6" w:space="0" w:color="auto"/>
            </w:tcBorders>
          </w:tcPr>
          <w:p w:rsidR="001A0B8B" w:rsidRPr="009622C7" w:rsidRDefault="001A0B8B" w:rsidP="001A0B8B">
            <w:pPr>
              <w:pStyle w:val="TableCenter"/>
              <w:keepNext/>
              <w:spacing w:before="60" w:after="60"/>
              <w:rPr>
                <w:sz w:val="20"/>
              </w:rPr>
            </w:pPr>
            <w:r w:rsidRPr="009622C7">
              <w:rPr>
                <w:sz w:val="20"/>
              </w:rPr>
              <w:t>9 (9%)</w:t>
            </w:r>
          </w:p>
        </w:tc>
      </w:tr>
      <w:tr w:rsidR="001A0B8B" w:rsidRPr="00CB2BB8" w:rsidTr="001A0B8B">
        <w:tblPrEx>
          <w:tblCellMar>
            <w:left w:w="0" w:type="dxa"/>
            <w:right w:w="0" w:type="dxa"/>
          </w:tblCellMar>
        </w:tblPrEx>
        <w:trPr>
          <w:cantSplit/>
          <w:trHeight w:hRule="exact" w:val="360"/>
        </w:trPr>
        <w:tc>
          <w:tcPr>
            <w:tcW w:w="2160" w:type="dxa"/>
            <w:tcBorders>
              <w:top w:val="single" w:sz="6" w:space="0" w:color="auto"/>
              <w:left w:val="single" w:sz="6" w:space="0" w:color="auto"/>
              <w:bottom w:val="single" w:sz="6" w:space="0" w:color="auto"/>
              <w:right w:val="single" w:sz="6" w:space="0" w:color="auto"/>
            </w:tcBorders>
          </w:tcPr>
          <w:p w:rsidR="001A0B8B" w:rsidRPr="00CB2BB8" w:rsidRDefault="001A0B8B" w:rsidP="001A0B8B">
            <w:pPr>
              <w:pStyle w:val="TableRight"/>
              <w:keepNext/>
              <w:spacing w:before="60" w:after="60"/>
              <w:ind w:left="180" w:right="90"/>
              <w:jc w:val="left"/>
              <w:rPr>
                <w:sz w:val="20"/>
              </w:rPr>
            </w:pPr>
            <w:proofErr w:type="spellStart"/>
            <w:r w:rsidRPr="00CB2BB8">
              <w:rPr>
                <w:sz w:val="20"/>
              </w:rPr>
              <w:t>Haematuria</w:t>
            </w:r>
            <w:proofErr w:type="spellEnd"/>
            <w:r w:rsidRPr="00CB2BB8">
              <w:rPr>
                <w:sz w:val="20"/>
              </w:rPr>
              <w:t xml:space="preserve"> </w:t>
            </w:r>
          </w:p>
        </w:tc>
        <w:tc>
          <w:tcPr>
            <w:tcW w:w="1980" w:type="dxa"/>
            <w:tcBorders>
              <w:top w:val="single" w:sz="6" w:space="0" w:color="auto"/>
              <w:left w:val="single" w:sz="6" w:space="0" w:color="auto"/>
              <w:bottom w:val="single" w:sz="6" w:space="0" w:color="auto"/>
              <w:right w:val="single" w:sz="6" w:space="0" w:color="auto"/>
            </w:tcBorders>
          </w:tcPr>
          <w:p w:rsidR="001A0B8B" w:rsidRPr="009622C7" w:rsidRDefault="001A0B8B" w:rsidP="001A0B8B">
            <w:pPr>
              <w:pStyle w:val="TableCenter"/>
              <w:keepNext/>
              <w:spacing w:before="60" w:after="60"/>
              <w:rPr>
                <w:sz w:val="20"/>
              </w:rPr>
            </w:pPr>
            <w:r w:rsidRPr="009622C7">
              <w:rPr>
                <w:sz w:val="20"/>
              </w:rPr>
              <w:t>5 (6%)</w:t>
            </w:r>
          </w:p>
        </w:tc>
        <w:tc>
          <w:tcPr>
            <w:tcW w:w="2340" w:type="dxa"/>
            <w:tcBorders>
              <w:top w:val="single" w:sz="6" w:space="0" w:color="auto"/>
              <w:left w:val="single" w:sz="6" w:space="0" w:color="auto"/>
              <w:bottom w:val="single" w:sz="6" w:space="0" w:color="auto"/>
              <w:right w:val="single" w:sz="6" w:space="0" w:color="auto"/>
            </w:tcBorders>
          </w:tcPr>
          <w:p w:rsidR="001A0B8B" w:rsidRPr="009622C7" w:rsidRDefault="001A0B8B" w:rsidP="001A0B8B">
            <w:pPr>
              <w:pStyle w:val="TableCenter"/>
              <w:keepNext/>
              <w:spacing w:before="60" w:after="60"/>
              <w:rPr>
                <w:sz w:val="20"/>
              </w:rPr>
            </w:pPr>
            <w:r w:rsidRPr="009622C7">
              <w:rPr>
                <w:sz w:val="20"/>
              </w:rPr>
              <w:t>8 (8%)</w:t>
            </w:r>
          </w:p>
        </w:tc>
      </w:tr>
      <w:tr w:rsidR="001A0B8B" w:rsidRPr="00CB2BB8" w:rsidTr="001A0B8B">
        <w:tblPrEx>
          <w:tblCellMar>
            <w:left w:w="0" w:type="dxa"/>
            <w:right w:w="0" w:type="dxa"/>
          </w:tblCellMar>
        </w:tblPrEx>
        <w:trPr>
          <w:cantSplit/>
          <w:trHeight w:hRule="exact" w:val="360"/>
        </w:trPr>
        <w:tc>
          <w:tcPr>
            <w:tcW w:w="2160" w:type="dxa"/>
            <w:tcBorders>
              <w:top w:val="single" w:sz="6" w:space="0" w:color="auto"/>
              <w:left w:val="single" w:sz="6" w:space="0" w:color="auto"/>
              <w:bottom w:val="single" w:sz="6" w:space="0" w:color="auto"/>
              <w:right w:val="single" w:sz="6" w:space="0" w:color="auto"/>
            </w:tcBorders>
          </w:tcPr>
          <w:p w:rsidR="001A0B8B" w:rsidRPr="00CB2BB8" w:rsidRDefault="001A0B8B" w:rsidP="001A0B8B">
            <w:pPr>
              <w:pStyle w:val="TableLeft"/>
              <w:keepNext/>
              <w:spacing w:before="60" w:after="60"/>
              <w:ind w:left="180" w:right="90" w:firstLine="0"/>
              <w:rPr>
                <w:sz w:val="20"/>
              </w:rPr>
            </w:pPr>
            <w:proofErr w:type="spellStart"/>
            <w:r w:rsidRPr="00CB2BB8">
              <w:rPr>
                <w:sz w:val="20"/>
              </w:rPr>
              <w:t>Hyperglyc</w:t>
            </w:r>
            <w:r>
              <w:rPr>
                <w:sz w:val="20"/>
              </w:rPr>
              <w:t>a</w:t>
            </w:r>
            <w:r w:rsidRPr="00CB2BB8">
              <w:rPr>
                <w:sz w:val="20"/>
              </w:rPr>
              <w:t>emia</w:t>
            </w:r>
            <w:proofErr w:type="spellEnd"/>
            <w:r w:rsidRPr="00CB2BB8">
              <w:rPr>
                <w:sz w:val="20"/>
              </w:rPr>
              <w:t xml:space="preserve"> </w:t>
            </w:r>
          </w:p>
        </w:tc>
        <w:tc>
          <w:tcPr>
            <w:tcW w:w="1980" w:type="dxa"/>
            <w:tcBorders>
              <w:top w:val="single" w:sz="6" w:space="0" w:color="auto"/>
              <w:left w:val="single" w:sz="6" w:space="0" w:color="auto"/>
              <w:bottom w:val="single" w:sz="6" w:space="0" w:color="auto"/>
              <w:right w:val="single" w:sz="6" w:space="0" w:color="auto"/>
            </w:tcBorders>
          </w:tcPr>
          <w:p w:rsidR="001A0B8B" w:rsidRPr="009622C7" w:rsidRDefault="001A0B8B" w:rsidP="001A0B8B">
            <w:pPr>
              <w:pStyle w:val="TableCenter"/>
              <w:keepNext/>
              <w:spacing w:before="60" w:after="60"/>
              <w:rPr>
                <w:sz w:val="20"/>
              </w:rPr>
            </w:pPr>
            <w:r w:rsidRPr="009622C7">
              <w:rPr>
                <w:sz w:val="20"/>
              </w:rPr>
              <w:t>6 (7%)</w:t>
            </w:r>
          </w:p>
        </w:tc>
        <w:tc>
          <w:tcPr>
            <w:tcW w:w="2340" w:type="dxa"/>
            <w:tcBorders>
              <w:top w:val="single" w:sz="6" w:space="0" w:color="auto"/>
              <w:left w:val="single" w:sz="6" w:space="0" w:color="auto"/>
              <w:bottom w:val="single" w:sz="6" w:space="0" w:color="auto"/>
              <w:right w:val="single" w:sz="6" w:space="0" w:color="auto"/>
            </w:tcBorders>
          </w:tcPr>
          <w:p w:rsidR="001A0B8B" w:rsidRPr="009622C7" w:rsidRDefault="001A0B8B" w:rsidP="001A0B8B">
            <w:pPr>
              <w:pStyle w:val="TableCenter"/>
              <w:keepNext/>
              <w:spacing w:before="60" w:after="60"/>
              <w:rPr>
                <w:sz w:val="20"/>
              </w:rPr>
            </w:pPr>
            <w:r w:rsidRPr="009622C7">
              <w:rPr>
                <w:sz w:val="20"/>
              </w:rPr>
              <w:t>8 (8%)</w:t>
            </w:r>
          </w:p>
        </w:tc>
      </w:tr>
      <w:tr w:rsidR="001A0B8B" w:rsidRPr="00CB2BB8" w:rsidTr="001A0B8B">
        <w:tblPrEx>
          <w:tblCellMar>
            <w:left w:w="0" w:type="dxa"/>
            <w:right w:w="0" w:type="dxa"/>
          </w:tblCellMar>
        </w:tblPrEx>
        <w:trPr>
          <w:cantSplit/>
          <w:trHeight w:hRule="exact" w:val="360"/>
        </w:trPr>
        <w:tc>
          <w:tcPr>
            <w:tcW w:w="2160" w:type="dxa"/>
            <w:tcBorders>
              <w:top w:val="single" w:sz="6" w:space="0" w:color="auto"/>
              <w:left w:val="single" w:sz="6" w:space="0" w:color="auto"/>
              <w:bottom w:val="single" w:sz="6" w:space="0" w:color="auto"/>
              <w:right w:val="single" w:sz="6" w:space="0" w:color="auto"/>
            </w:tcBorders>
          </w:tcPr>
          <w:p w:rsidR="001A0B8B" w:rsidRPr="00CB2BB8" w:rsidRDefault="001A0B8B" w:rsidP="001A0B8B">
            <w:pPr>
              <w:pStyle w:val="TableRight"/>
              <w:keepNext/>
              <w:spacing w:before="60" w:after="60"/>
              <w:ind w:left="180" w:right="90"/>
              <w:jc w:val="left"/>
              <w:rPr>
                <w:sz w:val="20"/>
              </w:rPr>
            </w:pPr>
            <w:r w:rsidRPr="00CB2BB8">
              <w:rPr>
                <w:sz w:val="20"/>
              </w:rPr>
              <w:t xml:space="preserve">Stridor </w:t>
            </w:r>
          </w:p>
        </w:tc>
        <w:tc>
          <w:tcPr>
            <w:tcW w:w="1980" w:type="dxa"/>
            <w:tcBorders>
              <w:top w:val="single" w:sz="6" w:space="0" w:color="auto"/>
              <w:left w:val="single" w:sz="6" w:space="0" w:color="auto"/>
              <w:bottom w:val="single" w:sz="6" w:space="0" w:color="auto"/>
              <w:right w:val="single" w:sz="6" w:space="0" w:color="auto"/>
            </w:tcBorders>
          </w:tcPr>
          <w:p w:rsidR="001A0B8B" w:rsidRPr="009622C7" w:rsidRDefault="001A0B8B" w:rsidP="001A0B8B">
            <w:pPr>
              <w:pStyle w:val="TableCenter"/>
              <w:keepNext/>
              <w:spacing w:before="60" w:after="60"/>
              <w:rPr>
                <w:sz w:val="20"/>
              </w:rPr>
            </w:pPr>
            <w:r w:rsidRPr="009622C7">
              <w:rPr>
                <w:sz w:val="20"/>
              </w:rPr>
              <w:t>3 (3%)</w:t>
            </w:r>
          </w:p>
        </w:tc>
        <w:tc>
          <w:tcPr>
            <w:tcW w:w="2340" w:type="dxa"/>
            <w:tcBorders>
              <w:top w:val="single" w:sz="6" w:space="0" w:color="auto"/>
              <w:left w:val="single" w:sz="6" w:space="0" w:color="auto"/>
              <w:bottom w:val="single" w:sz="6" w:space="0" w:color="auto"/>
              <w:right w:val="single" w:sz="6" w:space="0" w:color="auto"/>
            </w:tcBorders>
          </w:tcPr>
          <w:p w:rsidR="001A0B8B" w:rsidRPr="009622C7" w:rsidRDefault="001A0B8B" w:rsidP="001A0B8B">
            <w:pPr>
              <w:pStyle w:val="TableCenter"/>
              <w:keepNext/>
              <w:spacing w:before="60" w:after="60"/>
              <w:rPr>
                <w:sz w:val="20"/>
              </w:rPr>
            </w:pPr>
            <w:r w:rsidRPr="009622C7">
              <w:rPr>
                <w:sz w:val="20"/>
              </w:rPr>
              <w:t>5 (5%)</w:t>
            </w:r>
          </w:p>
        </w:tc>
      </w:tr>
      <w:tr w:rsidR="001A0B8B" w:rsidRPr="00CB2BB8" w:rsidTr="001A0B8B">
        <w:tblPrEx>
          <w:tblCellMar>
            <w:left w:w="0" w:type="dxa"/>
            <w:right w:w="0" w:type="dxa"/>
          </w:tblCellMar>
        </w:tblPrEx>
        <w:trPr>
          <w:cantSplit/>
          <w:trHeight w:hRule="exact" w:val="360"/>
        </w:trPr>
        <w:tc>
          <w:tcPr>
            <w:tcW w:w="2160" w:type="dxa"/>
            <w:tcBorders>
              <w:left w:val="single" w:sz="6" w:space="0" w:color="auto"/>
              <w:bottom w:val="single" w:sz="6" w:space="0" w:color="auto"/>
              <w:right w:val="single" w:sz="6" w:space="0" w:color="auto"/>
            </w:tcBorders>
          </w:tcPr>
          <w:p w:rsidR="001A0B8B" w:rsidRPr="00CB2BB8" w:rsidRDefault="001A0B8B" w:rsidP="001A0B8B">
            <w:pPr>
              <w:pStyle w:val="TableLeft"/>
              <w:keepNext/>
              <w:spacing w:before="60" w:after="60"/>
              <w:ind w:left="180" w:right="90" w:firstLine="0"/>
              <w:rPr>
                <w:sz w:val="20"/>
              </w:rPr>
            </w:pPr>
            <w:r w:rsidRPr="00CB2BB8">
              <w:rPr>
                <w:sz w:val="20"/>
              </w:rPr>
              <w:t xml:space="preserve">Cellulitis </w:t>
            </w:r>
          </w:p>
        </w:tc>
        <w:tc>
          <w:tcPr>
            <w:tcW w:w="1980" w:type="dxa"/>
            <w:tcBorders>
              <w:left w:val="single" w:sz="6" w:space="0" w:color="auto"/>
              <w:bottom w:val="single" w:sz="6" w:space="0" w:color="auto"/>
              <w:right w:val="single" w:sz="6" w:space="0" w:color="auto"/>
            </w:tcBorders>
          </w:tcPr>
          <w:p w:rsidR="001A0B8B" w:rsidRPr="009622C7" w:rsidRDefault="001A0B8B" w:rsidP="001A0B8B">
            <w:pPr>
              <w:pStyle w:val="TableCenter"/>
              <w:keepNext/>
              <w:spacing w:before="60" w:after="60"/>
              <w:rPr>
                <w:sz w:val="20"/>
              </w:rPr>
            </w:pPr>
            <w:r w:rsidRPr="009622C7">
              <w:rPr>
                <w:sz w:val="20"/>
              </w:rPr>
              <w:t>0 (0%)</w:t>
            </w:r>
          </w:p>
        </w:tc>
        <w:tc>
          <w:tcPr>
            <w:tcW w:w="2340" w:type="dxa"/>
            <w:tcBorders>
              <w:left w:val="single" w:sz="6" w:space="0" w:color="auto"/>
              <w:bottom w:val="single" w:sz="6" w:space="0" w:color="auto"/>
              <w:right w:val="single" w:sz="6" w:space="0" w:color="auto"/>
            </w:tcBorders>
          </w:tcPr>
          <w:p w:rsidR="001A0B8B" w:rsidRPr="009622C7" w:rsidRDefault="001A0B8B" w:rsidP="001A0B8B">
            <w:pPr>
              <w:pStyle w:val="TableCenter"/>
              <w:keepNext/>
              <w:spacing w:before="60" w:after="60"/>
              <w:rPr>
                <w:sz w:val="20"/>
              </w:rPr>
            </w:pPr>
            <w:r w:rsidRPr="009622C7">
              <w:rPr>
                <w:sz w:val="20"/>
              </w:rPr>
              <w:t>5 (5%)</w:t>
            </w:r>
          </w:p>
        </w:tc>
      </w:tr>
    </w:tbl>
    <w:p w:rsidR="001A0B8B" w:rsidRPr="00CB2BB8" w:rsidRDefault="001A0B8B" w:rsidP="001A0B8B">
      <w:r w:rsidRPr="00CB2BB8">
        <w:t xml:space="preserve"> </w:t>
      </w:r>
    </w:p>
    <w:p w:rsidR="001A0B8B" w:rsidRPr="005A764B" w:rsidRDefault="001A0B8B" w:rsidP="001A0B8B">
      <w:pPr>
        <w:spacing w:line="288" w:lineRule="atLeast"/>
        <w:jc w:val="both"/>
      </w:pPr>
      <w:r w:rsidRPr="005A764B">
        <w:t xml:space="preserve">The following adverse reactions were also reported in &gt;5% of patients in </w:t>
      </w:r>
      <w:r>
        <w:t>the CINRGI trial: Thrombocytop</w:t>
      </w:r>
      <w:r w:rsidRPr="005A764B">
        <w:t>enia (very common - &gt; 1/10), hypokalaemia (common, &gt;1/100, &lt;1/10) and hyper</w:t>
      </w:r>
      <w:r>
        <w:t>-</w:t>
      </w:r>
      <w:r w:rsidRPr="005A764B">
        <w:t>bilirubinaemia (common).</w:t>
      </w:r>
    </w:p>
    <w:p w:rsidR="001A0B8B" w:rsidRPr="005A764B" w:rsidRDefault="001A0B8B" w:rsidP="001A0B8B"/>
    <w:p w:rsidR="001A0B8B" w:rsidRDefault="001A0B8B" w:rsidP="001A0B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color w:val="000000"/>
        </w:rPr>
      </w:pPr>
      <w:r w:rsidRPr="004D70A0">
        <w:rPr>
          <w:b/>
          <w:color w:val="000000"/>
          <w:lang w:val="en-CA"/>
        </w:rPr>
        <w:fldChar w:fldCharType="begin"/>
      </w:r>
      <w:r w:rsidRPr="004D70A0">
        <w:rPr>
          <w:b/>
          <w:color w:val="000000"/>
          <w:lang w:val="en-CA"/>
        </w:rPr>
        <w:instrText xml:space="preserve"> SEQ CHAPTER \h \r 1</w:instrText>
      </w:r>
      <w:r w:rsidRPr="004D70A0">
        <w:rPr>
          <w:b/>
          <w:color w:val="000000"/>
          <w:lang w:val="en-CA"/>
        </w:rPr>
        <w:fldChar w:fldCharType="end"/>
      </w:r>
      <w:r w:rsidRPr="004D70A0">
        <w:rPr>
          <w:b/>
          <w:color w:val="000000"/>
        </w:rPr>
        <w:t xml:space="preserve">Long-term </w:t>
      </w:r>
      <w:r>
        <w:rPr>
          <w:b/>
          <w:color w:val="000000"/>
        </w:rPr>
        <w:t>safety</w:t>
      </w:r>
    </w:p>
    <w:p w:rsidR="001A0B8B" w:rsidRDefault="001A0B8B" w:rsidP="001A0B8B">
      <w:pPr>
        <w:keepNext/>
        <w:spacing w:line="288" w:lineRule="atLeast"/>
        <w:jc w:val="both"/>
        <w:rPr>
          <w:b/>
        </w:rPr>
      </w:pPr>
      <w:r w:rsidRPr="00CB2BB8">
        <w:rPr>
          <w:b/>
        </w:rPr>
        <w:t xml:space="preserve"> </w:t>
      </w:r>
    </w:p>
    <w:p w:rsidR="001A0B8B" w:rsidRDefault="001A0B8B" w:rsidP="001A0B8B">
      <w:pPr>
        <w:spacing w:line="288" w:lineRule="atLeast"/>
        <w:jc w:val="both"/>
        <w:rPr>
          <w:color w:val="000000"/>
        </w:rPr>
      </w:pPr>
      <w:r w:rsidRPr="00A33DB6">
        <w:rPr>
          <w:color w:val="000000"/>
        </w:rPr>
        <w:t>Follow-up exams were performed at 18-24 months for infants enrolled in the NINOS study.  In th</w:t>
      </w:r>
      <w:r>
        <w:rPr>
          <w:color w:val="000000"/>
        </w:rPr>
        <w:t>ose</w:t>
      </w:r>
      <w:r w:rsidRPr="00A33DB6">
        <w:rPr>
          <w:color w:val="000000"/>
        </w:rPr>
        <w:t xml:space="preserve"> available </w:t>
      </w:r>
      <w:r>
        <w:rPr>
          <w:color w:val="000000"/>
        </w:rPr>
        <w:t xml:space="preserve">for </w:t>
      </w:r>
      <w:r w:rsidRPr="00A33DB6">
        <w:rPr>
          <w:color w:val="000000"/>
        </w:rPr>
        <w:t xml:space="preserve">follow-up, there were no statistically significant differences between the two treatment groups with respect to mental, motor, </w:t>
      </w:r>
      <w:proofErr w:type="spellStart"/>
      <w:r w:rsidRPr="00A33DB6">
        <w:rPr>
          <w:color w:val="000000"/>
        </w:rPr>
        <w:t>audiologic</w:t>
      </w:r>
      <w:r>
        <w:rPr>
          <w:color w:val="000000"/>
        </w:rPr>
        <w:t>al</w:t>
      </w:r>
      <w:proofErr w:type="spellEnd"/>
      <w:r w:rsidRPr="00A33DB6">
        <w:rPr>
          <w:color w:val="000000"/>
        </w:rPr>
        <w:t xml:space="preserve">, visual or neurological evaluations. </w:t>
      </w:r>
      <w:r>
        <w:rPr>
          <w:color w:val="000000"/>
        </w:rPr>
        <w:t>M</w:t>
      </w:r>
      <w:r w:rsidRPr="00A33DB6">
        <w:rPr>
          <w:color w:val="000000"/>
        </w:rPr>
        <w:t>ental development of the infants, as assessed by the Bayley scale of mental developmental index (MDI) was similar between the treatment groups.  However, post-hoc analysis of adverse events for the actual-gas-received population showed some numerical differences between treatment groups (see</w:t>
      </w:r>
      <w:r>
        <w:rPr>
          <w:color w:val="000000"/>
        </w:rPr>
        <w:t xml:space="preserve"> </w:t>
      </w:r>
      <w:r w:rsidR="00C54660">
        <w:rPr>
          <w:color w:val="000000"/>
        </w:rPr>
        <w:t>Table 2</w:t>
      </w:r>
      <w:r w:rsidR="00C54660" w:rsidRPr="00A33DB6">
        <w:rPr>
          <w:color w:val="000000"/>
        </w:rPr>
        <w:t xml:space="preserve"> </w:t>
      </w:r>
      <w:r w:rsidRPr="00A33DB6">
        <w:rPr>
          <w:color w:val="000000"/>
        </w:rPr>
        <w:t>below).</w:t>
      </w:r>
    </w:p>
    <w:p w:rsidR="001A0B8B" w:rsidRPr="00A33DB6" w:rsidRDefault="001A0B8B" w:rsidP="001A0B8B">
      <w:pPr>
        <w:spacing w:line="288" w:lineRule="atLeast"/>
        <w:jc w:val="both"/>
        <w:rPr>
          <w:color w:val="000000"/>
        </w:rPr>
      </w:pPr>
    </w:p>
    <w:p w:rsidR="001A0B8B" w:rsidRPr="00A33DB6" w:rsidRDefault="00C54660" w:rsidP="00C54660">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20"/>
        <w:rPr>
          <w:rFonts w:ascii="Times New Roman" w:hAnsi="Times New Roman"/>
          <w:b/>
          <w:bCs/>
          <w:color w:val="000000"/>
          <w:sz w:val="20"/>
        </w:rPr>
      </w:pPr>
      <w:r>
        <w:rPr>
          <w:rFonts w:ascii="Times New Roman" w:hAnsi="Times New Roman"/>
          <w:b/>
          <w:bCs/>
          <w:color w:val="000000"/>
          <w:sz w:val="20"/>
        </w:rPr>
        <w:t>Table 2:</w:t>
      </w:r>
      <w:r>
        <w:rPr>
          <w:rFonts w:ascii="Times New Roman" w:hAnsi="Times New Roman"/>
          <w:b/>
          <w:bCs/>
          <w:color w:val="000000"/>
          <w:sz w:val="20"/>
        </w:rPr>
        <w:tab/>
      </w:r>
      <w:r>
        <w:rPr>
          <w:rFonts w:ascii="Times New Roman" w:hAnsi="Times New Roman"/>
          <w:b/>
          <w:bCs/>
          <w:color w:val="000000"/>
          <w:sz w:val="20"/>
        </w:rPr>
        <w:tab/>
      </w:r>
      <w:r w:rsidR="001A0B8B" w:rsidRPr="00A33DB6">
        <w:rPr>
          <w:rFonts w:ascii="Times New Roman" w:hAnsi="Times New Roman"/>
          <w:b/>
          <w:bCs/>
          <w:color w:val="000000"/>
          <w:sz w:val="20"/>
        </w:rPr>
        <w:t>Adverse Events at 18-24 months of follow-up in NINOS subjects</w:t>
      </w:r>
      <w:r w:rsidR="001A0B8B" w:rsidRPr="00A33DB6">
        <w:rPr>
          <w:rFonts w:ascii="Times New Roman" w:hAnsi="Times New Roman"/>
          <w:b/>
          <w:bCs/>
          <w:color w:val="000000"/>
          <w:sz w:val="20"/>
        </w:rPr>
        <w:br/>
      </w:r>
      <w:r>
        <w:rPr>
          <w:rFonts w:ascii="Times New Roman" w:hAnsi="Times New Roman"/>
          <w:b/>
          <w:bCs/>
          <w:color w:val="000000"/>
          <w:sz w:val="20"/>
        </w:rPr>
        <w:t>a</w:t>
      </w:r>
      <w:r w:rsidRPr="00A33DB6">
        <w:rPr>
          <w:rFonts w:ascii="Times New Roman" w:hAnsi="Times New Roman"/>
          <w:b/>
          <w:bCs/>
          <w:color w:val="000000"/>
          <w:sz w:val="20"/>
        </w:rPr>
        <w:t>ctual</w:t>
      </w:r>
      <w:r w:rsidR="001A0B8B" w:rsidRPr="00A33DB6">
        <w:rPr>
          <w:rFonts w:ascii="Times New Roman" w:hAnsi="Times New Roman"/>
          <w:b/>
          <w:bCs/>
          <w:color w:val="000000"/>
          <w:sz w:val="20"/>
        </w:rPr>
        <w:t>-gas-received population</w:t>
      </w:r>
    </w:p>
    <w:tbl>
      <w:tblPr>
        <w:tblW w:w="8797" w:type="dxa"/>
        <w:jc w:val="center"/>
        <w:tblLayout w:type="fixed"/>
        <w:tblCellMar>
          <w:left w:w="96" w:type="dxa"/>
          <w:right w:w="96" w:type="dxa"/>
        </w:tblCellMar>
        <w:tblLook w:val="0000" w:firstRow="0" w:lastRow="0" w:firstColumn="0" w:lastColumn="0" w:noHBand="0" w:noVBand="0"/>
      </w:tblPr>
      <w:tblGrid>
        <w:gridCol w:w="5467"/>
        <w:gridCol w:w="1620"/>
        <w:gridCol w:w="1710"/>
      </w:tblGrid>
      <w:tr w:rsidR="001A0B8B" w:rsidRPr="00A33DB6" w:rsidTr="001A0B8B">
        <w:trPr>
          <w:jc w:val="center"/>
        </w:trPr>
        <w:tc>
          <w:tcPr>
            <w:tcW w:w="5467" w:type="dxa"/>
            <w:tcBorders>
              <w:top w:val="single" w:sz="4" w:space="0" w:color="000000"/>
              <w:left w:val="single" w:sz="4" w:space="0" w:color="000000"/>
              <w:bottom w:val="single" w:sz="4" w:space="0" w:color="000000"/>
            </w:tcBorders>
            <w:tcMar>
              <w:top w:w="29" w:type="dxa"/>
              <w:bottom w:w="29" w:type="dxa"/>
            </w:tcMar>
          </w:tcPr>
          <w:p w:rsidR="001A0B8B" w:rsidRPr="00A33DB6" w:rsidRDefault="001A0B8B" w:rsidP="001A0B8B">
            <w:pPr>
              <w:jc w:val="both"/>
              <w:rPr>
                <w:b/>
                <w:bCs/>
                <w:color w:val="000000"/>
              </w:rPr>
            </w:pPr>
            <w:r w:rsidRPr="00A33DB6">
              <w:rPr>
                <w:b/>
                <w:bCs/>
                <w:color w:val="000000"/>
              </w:rPr>
              <w:t>Adverse Events</w:t>
            </w:r>
          </w:p>
        </w:tc>
        <w:tc>
          <w:tcPr>
            <w:tcW w:w="1620" w:type="dxa"/>
            <w:tcBorders>
              <w:top w:val="single" w:sz="4" w:space="0" w:color="000000"/>
              <w:left w:val="single" w:sz="4" w:space="0" w:color="000000"/>
              <w:bottom w:val="single" w:sz="4" w:space="0" w:color="000000"/>
            </w:tcBorders>
            <w:tcMar>
              <w:top w:w="29" w:type="dxa"/>
              <w:bottom w:w="29" w:type="dxa"/>
            </w:tcMar>
          </w:tcPr>
          <w:p w:rsidR="001A0B8B" w:rsidRPr="00A33DB6" w:rsidRDefault="001A0B8B" w:rsidP="001A0B8B">
            <w:pPr>
              <w:jc w:val="center"/>
              <w:rPr>
                <w:color w:val="000000"/>
              </w:rPr>
            </w:pPr>
            <w:r w:rsidRPr="00A33DB6">
              <w:rPr>
                <w:color w:val="000000"/>
                <w:lang w:val="en-CA"/>
              </w:rPr>
              <w:fldChar w:fldCharType="begin"/>
            </w:r>
            <w:r w:rsidRPr="00A33DB6">
              <w:rPr>
                <w:color w:val="000000"/>
                <w:lang w:val="en-CA"/>
              </w:rPr>
              <w:instrText xml:space="preserve"> SEQ CHAPTER \h \r 1</w:instrText>
            </w:r>
            <w:r w:rsidRPr="00A33DB6">
              <w:rPr>
                <w:color w:val="000000"/>
                <w:lang w:val="en-CA"/>
              </w:rPr>
              <w:fldChar w:fldCharType="end"/>
            </w:r>
            <w:r w:rsidRPr="00A33DB6">
              <w:rPr>
                <w:b/>
                <w:bCs/>
                <w:color w:val="000000"/>
              </w:rPr>
              <w:t>Placebo</w:t>
            </w:r>
          </w:p>
        </w:tc>
        <w:tc>
          <w:tcPr>
            <w:tcW w:w="1710" w:type="dxa"/>
            <w:tcBorders>
              <w:top w:val="single" w:sz="4" w:space="0" w:color="000000"/>
              <w:left w:val="single" w:sz="4" w:space="0" w:color="000000"/>
              <w:bottom w:val="single" w:sz="4" w:space="0" w:color="000000"/>
              <w:right w:val="single" w:sz="4" w:space="0" w:color="000000"/>
            </w:tcBorders>
            <w:tcMar>
              <w:top w:w="29" w:type="dxa"/>
              <w:bottom w:w="29" w:type="dxa"/>
            </w:tcMar>
          </w:tcPr>
          <w:p w:rsidR="001A0B8B" w:rsidRPr="00A33DB6" w:rsidRDefault="001A0B8B" w:rsidP="001A0B8B">
            <w:pPr>
              <w:jc w:val="center"/>
              <w:rPr>
                <w:color w:val="000000"/>
              </w:rPr>
            </w:pPr>
            <w:r w:rsidRPr="00A33DB6">
              <w:rPr>
                <w:color w:val="000000"/>
                <w:lang w:val="en-CA"/>
              </w:rPr>
              <w:fldChar w:fldCharType="begin"/>
            </w:r>
            <w:r w:rsidRPr="00A33DB6">
              <w:rPr>
                <w:color w:val="000000"/>
                <w:lang w:val="en-CA"/>
              </w:rPr>
              <w:instrText xml:space="preserve"> SEQ CHAPTER \h \r 1</w:instrText>
            </w:r>
            <w:r w:rsidRPr="00A33DB6">
              <w:rPr>
                <w:color w:val="000000"/>
                <w:lang w:val="en-CA"/>
              </w:rPr>
              <w:fldChar w:fldCharType="end"/>
            </w:r>
            <w:r w:rsidRPr="00A33DB6">
              <w:rPr>
                <w:b/>
                <w:bCs/>
                <w:color w:val="000000"/>
              </w:rPr>
              <w:t>INO (all doses)*</w:t>
            </w:r>
          </w:p>
        </w:tc>
      </w:tr>
      <w:tr w:rsidR="001A0B8B" w:rsidRPr="00A33DB6" w:rsidTr="001A0B8B">
        <w:trPr>
          <w:jc w:val="center"/>
        </w:trPr>
        <w:tc>
          <w:tcPr>
            <w:tcW w:w="5467" w:type="dxa"/>
            <w:tcBorders>
              <w:left w:val="single" w:sz="4" w:space="0" w:color="000000"/>
              <w:bottom w:val="single" w:sz="4" w:space="0" w:color="000000"/>
            </w:tcBorders>
            <w:tcMar>
              <w:top w:w="29" w:type="dxa"/>
              <w:bottom w:w="29" w:type="dxa"/>
            </w:tcMar>
          </w:tcPr>
          <w:p w:rsidR="001A0B8B" w:rsidRPr="00A33DB6" w:rsidRDefault="001A0B8B" w:rsidP="001A0B8B">
            <w:pPr>
              <w:jc w:val="both"/>
              <w:rPr>
                <w:color w:val="000000"/>
              </w:rPr>
            </w:pPr>
            <w:r w:rsidRPr="00A33DB6">
              <w:rPr>
                <w:color w:val="000000"/>
              </w:rPr>
              <w:t>Gait Disturbance (gait functional, gait device required, and no independent walking)</w:t>
            </w:r>
          </w:p>
        </w:tc>
        <w:tc>
          <w:tcPr>
            <w:tcW w:w="1620" w:type="dxa"/>
            <w:tcBorders>
              <w:left w:val="single" w:sz="4" w:space="0" w:color="000000"/>
              <w:bottom w:val="single" w:sz="4" w:space="0" w:color="000000"/>
            </w:tcBorders>
            <w:tcMar>
              <w:top w:w="29" w:type="dxa"/>
              <w:bottom w:w="29" w:type="dxa"/>
            </w:tcMar>
          </w:tcPr>
          <w:p w:rsidR="001A0B8B" w:rsidRPr="00A33DB6" w:rsidRDefault="001A0B8B" w:rsidP="001A0B8B">
            <w:pPr>
              <w:pStyle w:val="Header"/>
              <w:jc w:val="center"/>
              <w:rPr>
                <w:color w:val="000000"/>
              </w:rPr>
            </w:pPr>
            <w:r w:rsidRPr="00A33DB6">
              <w:rPr>
                <w:color w:val="000000"/>
              </w:rPr>
              <w:t>15/84 (17.9%)</w:t>
            </w:r>
          </w:p>
        </w:tc>
        <w:tc>
          <w:tcPr>
            <w:tcW w:w="1710" w:type="dxa"/>
            <w:tcBorders>
              <w:left w:val="single" w:sz="4" w:space="0" w:color="000000"/>
              <w:bottom w:val="single" w:sz="4" w:space="0" w:color="000000"/>
              <w:right w:val="single" w:sz="4" w:space="0" w:color="000000"/>
            </w:tcBorders>
            <w:tcMar>
              <w:top w:w="29" w:type="dxa"/>
              <w:bottom w:w="29" w:type="dxa"/>
            </w:tcMar>
          </w:tcPr>
          <w:p w:rsidR="001A0B8B" w:rsidRPr="00A33DB6" w:rsidRDefault="001A0B8B" w:rsidP="001A0B8B">
            <w:pPr>
              <w:jc w:val="center"/>
              <w:rPr>
                <w:color w:val="000000"/>
              </w:rPr>
            </w:pPr>
            <w:r w:rsidRPr="00A33DB6">
              <w:rPr>
                <w:color w:val="000000"/>
              </w:rPr>
              <w:t>22/88 (25.0%)</w:t>
            </w:r>
          </w:p>
        </w:tc>
      </w:tr>
      <w:tr w:rsidR="001A0B8B" w:rsidRPr="00A33DB6" w:rsidTr="001A0B8B">
        <w:trPr>
          <w:jc w:val="center"/>
        </w:trPr>
        <w:tc>
          <w:tcPr>
            <w:tcW w:w="5467" w:type="dxa"/>
            <w:tcBorders>
              <w:left w:val="single" w:sz="4" w:space="0" w:color="000000"/>
              <w:bottom w:val="single" w:sz="4" w:space="0" w:color="000000"/>
            </w:tcBorders>
            <w:tcMar>
              <w:top w:w="29" w:type="dxa"/>
              <w:bottom w:w="29" w:type="dxa"/>
            </w:tcMar>
          </w:tcPr>
          <w:p w:rsidR="001A0B8B" w:rsidRPr="00A33DB6" w:rsidRDefault="001A0B8B" w:rsidP="001A0B8B">
            <w:pPr>
              <w:jc w:val="both"/>
              <w:rPr>
                <w:color w:val="000000"/>
              </w:rPr>
            </w:pPr>
            <w:r w:rsidRPr="00A33DB6">
              <w:rPr>
                <w:color w:val="000000"/>
              </w:rPr>
              <w:t>Cerebral Palsy Present</w:t>
            </w:r>
          </w:p>
        </w:tc>
        <w:tc>
          <w:tcPr>
            <w:tcW w:w="1620" w:type="dxa"/>
            <w:tcBorders>
              <w:left w:val="single" w:sz="4" w:space="0" w:color="000000"/>
              <w:bottom w:val="single" w:sz="4" w:space="0" w:color="000000"/>
            </w:tcBorders>
            <w:tcMar>
              <w:top w:w="29" w:type="dxa"/>
              <w:bottom w:w="29" w:type="dxa"/>
            </w:tcMar>
          </w:tcPr>
          <w:p w:rsidR="001A0B8B" w:rsidRPr="00A33DB6" w:rsidRDefault="001A0B8B" w:rsidP="001A0B8B">
            <w:pPr>
              <w:jc w:val="center"/>
              <w:rPr>
                <w:color w:val="000000"/>
              </w:rPr>
            </w:pPr>
            <w:r w:rsidRPr="00A33DB6">
              <w:rPr>
                <w:color w:val="000000"/>
              </w:rPr>
              <w:t>8/84 (9.5%)</w:t>
            </w:r>
          </w:p>
        </w:tc>
        <w:tc>
          <w:tcPr>
            <w:tcW w:w="1710" w:type="dxa"/>
            <w:tcBorders>
              <w:left w:val="single" w:sz="4" w:space="0" w:color="000000"/>
              <w:bottom w:val="single" w:sz="4" w:space="0" w:color="000000"/>
              <w:right w:val="single" w:sz="4" w:space="0" w:color="000000"/>
            </w:tcBorders>
            <w:tcMar>
              <w:top w:w="29" w:type="dxa"/>
              <w:bottom w:w="29" w:type="dxa"/>
            </w:tcMar>
          </w:tcPr>
          <w:p w:rsidR="001A0B8B" w:rsidRPr="00A33DB6" w:rsidRDefault="001A0B8B" w:rsidP="001A0B8B">
            <w:pPr>
              <w:jc w:val="center"/>
              <w:rPr>
                <w:color w:val="000000"/>
              </w:rPr>
            </w:pPr>
            <w:r w:rsidRPr="00A33DB6">
              <w:rPr>
                <w:color w:val="000000"/>
              </w:rPr>
              <w:t>11/88 (12.5%)</w:t>
            </w:r>
          </w:p>
        </w:tc>
      </w:tr>
      <w:tr w:rsidR="001A0B8B" w:rsidRPr="00A33DB6" w:rsidTr="001A0B8B">
        <w:trPr>
          <w:jc w:val="center"/>
        </w:trPr>
        <w:tc>
          <w:tcPr>
            <w:tcW w:w="5467" w:type="dxa"/>
            <w:tcBorders>
              <w:left w:val="single" w:sz="4" w:space="0" w:color="000000"/>
              <w:bottom w:val="single" w:sz="4" w:space="0" w:color="000000"/>
            </w:tcBorders>
            <w:tcMar>
              <w:top w:w="29" w:type="dxa"/>
              <w:bottom w:w="29" w:type="dxa"/>
            </w:tcMar>
          </w:tcPr>
          <w:p w:rsidR="001A0B8B" w:rsidRPr="00A33DB6" w:rsidRDefault="001A0B8B" w:rsidP="001A0B8B">
            <w:pPr>
              <w:jc w:val="both"/>
              <w:rPr>
                <w:color w:val="000000"/>
              </w:rPr>
            </w:pPr>
            <w:r w:rsidRPr="00A33DB6">
              <w:rPr>
                <w:color w:val="000000"/>
              </w:rPr>
              <w:t>At Least One Seizure Since Discharge</w:t>
            </w:r>
          </w:p>
        </w:tc>
        <w:tc>
          <w:tcPr>
            <w:tcW w:w="1620" w:type="dxa"/>
            <w:tcBorders>
              <w:left w:val="single" w:sz="4" w:space="0" w:color="000000"/>
              <w:bottom w:val="single" w:sz="4" w:space="0" w:color="000000"/>
            </w:tcBorders>
            <w:tcMar>
              <w:top w:w="29" w:type="dxa"/>
              <w:bottom w:w="29" w:type="dxa"/>
            </w:tcMar>
          </w:tcPr>
          <w:p w:rsidR="001A0B8B" w:rsidRPr="00A33DB6" w:rsidRDefault="001A0B8B" w:rsidP="001A0B8B">
            <w:pPr>
              <w:jc w:val="center"/>
              <w:rPr>
                <w:color w:val="000000"/>
              </w:rPr>
            </w:pPr>
            <w:r w:rsidRPr="00A33DB6">
              <w:rPr>
                <w:color w:val="000000"/>
              </w:rPr>
              <w:t>12/85 (14.1%)</w:t>
            </w:r>
          </w:p>
        </w:tc>
        <w:tc>
          <w:tcPr>
            <w:tcW w:w="1710" w:type="dxa"/>
            <w:tcBorders>
              <w:left w:val="single" w:sz="4" w:space="0" w:color="000000"/>
              <w:bottom w:val="single" w:sz="4" w:space="0" w:color="000000"/>
              <w:right w:val="single" w:sz="4" w:space="0" w:color="000000"/>
            </w:tcBorders>
            <w:tcMar>
              <w:top w:w="29" w:type="dxa"/>
              <w:bottom w:w="29" w:type="dxa"/>
            </w:tcMar>
          </w:tcPr>
          <w:p w:rsidR="001A0B8B" w:rsidRPr="00A33DB6" w:rsidRDefault="001A0B8B" w:rsidP="001A0B8B">
            <w:pPr>
              <w:jc w:val="center"/>
              <w:rPr>
                <w:color w:val="000000"/>
              </w:rPr>
            </w:pPr>
            <w:r w:rsidRPr="00A33DB6">
              <w:rPr>
                <w:color w:val="000000"/>
              </w:rPr>
              <w:t>5/88 (5.7%)</w:t>
            </w:r>
          </w:p>
        </w:tc>
      </w:tr>
      <w:tr w:rsidR="001A0B8B" w:rsidRPr="00A33DB6" w:rsidTr="001A0B8B">
        <w:trPr>
          <w:jc w:val="center"/>
        </w:trPr>
        <w:tc>
          <w:tcPr>
            <w:tcW w:w="5467" w:type="dxa"/>
            <w:tcBorders>
              <w:left w:val="single" w:sz="4" w:space="0" w:color="000000"/>
              <w:bottom w:val="single" w:sz="4" w:space="0" w:color="000000"/>
            </w:tcBorders>
            <w:tcMar>
              <w:top w:w="29" w:type="dxa"/>
              <w:bottom w:w="29" w:type="dxa"/>
            </w:tcMar>
          </w:tcPr>
          <w:p w:rsidR="001A0B8B" w:rsidRPr="00A33DB6" w:rsidRDefault="001A0B8B" w:rsidP="001A0B8B">
            <w:pPr>
              <w:jc w:val="both"/>
              <w:rPr>
                <w:color w:val="000000"/>
              </w:rPr>
            </w:pPr>
            <w:r w:rsidRPr="00A33DB6">
              <w:rPr>
                <w:color w:val="000000"/>
              </w:rPr>
              <w:t>Sensorineural Loss</w:t>
            </w:r>
          </w:p>
        </w:tc>
        <w:tc>
          <w:tcPr>
            <w:tcW w:w="1620" w:type="dxa"/>
            <w:tcBorders>
              <w:left w:val="single" w:sz="4" w:space="0" w:color="000000"/>
              <w:bottom w:val="single" w:sz="4" w:space="0" w:color="000000"/>
            </w:tcBorders>
            <w:tcMar>
              <w:top w:w="29" w:type="dxa"/>
              <w:bottom w:w="29" w:type="dxa"/>
            </w:tcMar>
          </w:tcPr>
          <w:p w:rsidR="001A0B8B" w:rsidRPr="00A33DB6" w:rsidRDefault="001A0B8B" w:rsidP="001A0B8B">
            <w:pPr>
              <w:jc w:val="center"/>
              <w:rPr>
                <w:color w:val="000000"/>
              </w:rPr>
            </w:pPr>
            <w:r w:rsidRPr="00A33DB6">
              <w:rPr>
                <w:color w:val="000000"/>
              </w:rPr>
              <w:t>6/75 (8.0%)</w:t>
            </w:r>
          </w:p>
        </w:tc>
        <w:tc>
          <w:tcPr>
            <w:tcW w:w="1710" w:type="dxa"/>
            <w:tcBorders>
              <w:left w:val="single" w:sz="4" w:space="0" w:color="000000"/>
              <w:bottom w:val="single" w:sz="4" w:space="0" w:color="000000"/>
              <w:right w:val="single" w:sz="4" w:space="0" w:color="000000"/>
            </w:tcBorders>
            <w:tcMar>
              <w:top w:w="29" w:type="dxa"/>
              <w:bottom w:w="29" w:type="dxa"/>
            </w:tcMar>
          </w:tcPr>
          <w:p w:rsidR="001A0B8B" w:rsidRPr="00A33DB6" w:rsidRDefault="001A0B8B" w:rsidP="001A0B8B">
            <w:pPr>
              <w:jc w:val="center"/>
              <w:rPr>
                <w:color w:val="000000"/>
              </w:rPr>
            </w:pPr>
            <w:r w:rsidRPr="00A33DB6">
              <w:rPr>
                <w:color w:val="000000"/>
              </w:rPr>
              <w:t>8/73 (11.0%)</w:t>
            </w:r>
          </w:p>
        </w:tc>
      </w:tr>
      <w:tr w:rsidR="001A0B8B" w:rsidRPr="00A33DB6" w:rsidTr="001A0B8B">
        <w:trPr>
          <w:jc w:val="center"/>
        </w:trPr>
        <w:tc>
          <w:tcPr>
            <w:tcW w:w="5467" w:type="dxa"/>
            <w:tcBorders>
              <w:left w:val="single" w:sz="4" w:space="0" w:color="000000"/>
              <w:bottom w:val="single" w:sz="4" w:space="0" w:color="000000"/>
            </w:tcBorders>
            <w:tcMar>
              <w:top w:w="29" w:type="dxa"/>
              <w:bottom w:w="29" w:type="dxa"/>
            </w:tcMar>
          </w:tcPr>
          <w:p w:rsidR="001A0B8B" w:rsidRPr="00A33DB6" w:rsidRDefault="001A0B8B" w:rsidP="001A0B8B">
            <w:pPr>
              <w:jc w:val="both"/>
              <w:rPr>
                <w:color w:val="000000"/>
              </w:rPr>
            </w:pPr>
            <w:r w:rsidRPr="00A33DB6">
              <w:rPr>
                <w:color w:val="000000"/>
              </w:rPr>
              <w:t xml:space="preserve">Mean Bayley PDI   </w:t>
            </w:r>
            <w:r>
              <w:rPr>
                <w:color w:val="000000"/>
              </w:rPr>
              <w:t xml:space="preserve">± </w:t>
            </w:r>
            <w:r w:rsidRPr="00A33DB6">
              <w:rPr>
                <w:color w:val="000000"/>
              </w:rPr>
              <w:t>STD</w:t>
            </w:r>
          </w:p>
        </w:tc>
        <w:tc>
          <w:tcPr>
            <w:tcW w:w="1620" w:type="dxa"/>
            <w:tcBorders>
              <w:left w:val="single" w:sz="4" w:space="0" w:color="000000"/>
              <w:bottom w:val="single" w:sz="4" w:space="0" w:color="000000"/>
            </w:tcBorders>
            <w:tcMar>
              <w:top w:w="29" w:type="dxa"/>
              <w:bottom w:w="29" w:type="dxa"/>
            </w:tcMar>
          </w:tcPr>
          <w:p w:rsidR="001A0B8B" w:rsidRPr="00A33DB6" w:rsidRDefault="001A0B8B" w:rsidP="001A0B8B">
            <w:pPr>
              <w:jc w:val="center"/>
              <w:rPr>
                <w:color w:val="000000"/>
              </w:rPr>
            </w:pPr>
            <w:r w:rsidRPr="00A33DB6">
              <w:rPr>
                <w:color w:val="000000"/>
              </w:rPr>
              <w:t xml:space="preserve">94.4 </w:t>
            </w:r>
            <w:r w:rsidRPr="00A33DB6">
              <w:rPr>
                <w:color w:val="000000"/>
              </w:rPr>
              <w:sym w:font="Symbol" w:char="F0B1"/>
            </w:r>
            <w:r w:rsidRPr="00A33DB6">
              <w:rPr>
                <w:color w:val="000000"/>
              </w:rPr>
              <w:t xml:space="preserve"> 17.9</w:t>
            </w:r>
          </w:p>
        </w:tc>
        <w:tc>
          <w:tcPr>
            <w:tcW w:w="1710" w:type="dxa"/>
            <w:tcBorders>
              <w:left w:val="single" w:sz="4" w:space="0" w:color="000000"/>
              <w:bottom w:val="single" w:sz="4" w:space="0" w:color="000000"/>
              <w:right w:val="single" w:sz="4" w:space="0" w:color="000000"/>
            </w:tcBorders>
            <w:tcMar>
              <w:top w:w="29" w:type="dxa"/>
              <w:bottom w:w="29" w:type="dxa"/>
            </w:tcMar>
          </w:tcPr>
          <w:p w:rsidR="001A0B8B" w:rsidRPr="00A33DB6" w:rsidRDefault="001A0B8B" w:rsidP="001A0B8B">
            <w:pPr>
              <w:jc w:val="center"/>
              <w:rPr>
                <w:color w:val="000000"/>
              </w:rPr>
            </w:pPr>
            <w:r w:rsidRPr="00A33DB6">
              <w:rPr>
                <w:color w:val="000000"/>
              </w:rPr>
              <w:t xml:space="preserve">85.0 </w:t>
            </w:r>
            <w:r w:rsidRPr="00A33DB6">
              <w:rPr>
                <w:color w:val="000000"/>
              </w:rPr>
              <w:sym w:font="Symbol" w:char="F0B1"/>
            </w:r>
            <w:r w:rsidRPr="00A33DB6">
              <w:rPr>
                <w:color w:val="000000"/>
              </w:rPr>
              <w:t xml:space="preserve"> 21.3</w:t>
            </w:r>
          </w:p>
        </w:tc>
      </w:tr>
      <w:tr w:rsidR="001A0B8B" w:rsidRPr="00A33DB6" w:rsidTr="001A0B8B">
        <w:trPr>
          <w:jc w:val="center"/>
        </w:trPr>
        <w:tc>
          <w:tcPr>
            <w:tcW w:w="5467" w:type="dxa"/>
            <w:tcBorders>
              <w:left w:val="single" w:sz="4" w:space="0" w:color="000000"/>
              <w:bottom w:val="single" w:sz="4" w:space="0" w:color="000000"/>
            </w:tcBorders>
            <w:tcMar>
              <w:top w:w="29" w:type="dxa"/>
              <w:bottom w:w="29" w:type="dxa"/>
            </w:tcMar>
          </w:tcPr>
          <w:p w:rsidR="001A0B8B" w:rsidRPr="00A33DB6" w:rsidRDefault="001A0B8B" w:rsidP="001A0B8B">
            <w:pPr>
              <w:jc w:val="both"/>
              <w:rPr>
                <w:color w:val="000000"/>
              </w:rPr>
            </w:pPr>
            <w:r w:rsidRPr="00A33DB6">
              <w:rPr>
                <w:color w:val="000000"/>
              </w:rPr>
              <w:t>PDI &lt; 50</w:t>
            </w:r>
          </w:p>
        </w:tc>
        <w:tc>
          <w:tcPr>
            <w:tcW w:w="1620" w:type="dxa"/>
            <w:tcBorders>
              <w:left w:val="single" w:sz="4" w:space="0" w:color="000000"/>
              <w:bottom w:val="single" w:sz="4" w:space="0" w:color="000000"/>
            </w:tcBorders>
            <w:tcMar>
              <w:top w:w="29" w:type="dxa"/>
              <w:bottom w:w="29" w:type="dxa"/>
            </w:tcMar>
          </w:tcPr>
          <w:p w:rsidR="001A0B8B" w:rsidRPr="00A33DB6" w:rsidRDefault="001A0B8B" w:rsidP="001A0B8B">
            <w:pPr>
              <w:jc w:val="center"/>
              <w:rPr>
                <w:color w:val="000000"/>
              </w:rPr>
            </w:pPr>
            <w:r w:rsidRPr="00A33DB6">
              <w:rPr>
                <w:color w:val="000000"/>
              </w:rPr>
              <w:t>3/76 (3.9%)</w:t>
            </w:r>
          </w:p>
        </w:tc>
        <w:tc>
          <w:tcPr>
            <w:tcW w:w="1710" w:type="dxa"/>
            <w:tcBorders>
              <w:left w:val="single" w:sz="4" w:space="0" w:color="000000"/>
              <w:bottom w:val="single" w:sz="4" w:space="0" w:color="000000"/>
              <w:right w:val="single" w:sz="4" w:space="0" w:color="000000"/>
            </w:tcBorders>
            <w:tcMar>
              <w:top w:w="29" w:type="dxa"/>
              <w:bottom w:w="29" w:type="dxa"/>
            </w:tcMar>
          </w:tcPr>
          <w:p w:rsidR="001A0B8B" w:rsidRPr="00A33DB6" w:rsidRDefault="001A0B8B" w:rsidP="001A0B8B">
            <w:pPr>
              <w:jc w:val="center"/>
              <w:rPr>
                <w:color w:val="000000"/>
              </w:rPr>
            </w:pPr>
            <w:r w:rsidRPr="00A33DB6">
              <w:rPr>
                <w:color w:val="000000"/>
              </w:rPr>
              <w:t>11/83 (13.3%)</w:t>
            </w:r>
          </w:p>
        </w:tc>
      </w:tr>
    </w:tbl>
    <w:p w:rsidR="001A0B8B" w:rsidRPr="00CE0EE4" w:rsidRDefault="001A0B8B" w:rsidP="001A0B8B">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s>
        <w:ind w:firstLine="270"/>
        <w:jc w:val="both"/>
        <w:rPr>
          <w:color w:val="000000"/>
          <w:sz w:val="18"/>
        </w:rPr>
      </w:pPr>
      <w:r w:rsidRPr="00CE0EE4">
        <w:rPr>
          <w:color w:val="000000"/>
          <w:sz w:val="18"/>
        </w:rPr>
        <w:t xml:space="preserve">*Patients received maximum 20 ppm or 80 ppm </w:t>
      </w:r>
      <w:proofErr w:type="spellStart"/>
      <w:r w:rsidRPr="00CE0EE4">
        <w:rPr>
          <w:color w:val="000000"/>
          <w:sz w:val="18"/>
        </w:rPr>
        <w:t>iNO</w:t>
      </w:r>
      <w:proofErr w:type="spellEnd"/>
      <w:r w:rsidRPr="00CE0EE4">
        <w:rPr>
          <w:color w:val="000000"/>
          <w:sz w:val="18"/>
        </w:rPr>
        <w:t xml:space="preserve"> as per the study protocol.</w:t>
      </w:r>
    </w:p>
    <w:p w:rsidR="001A0B8B" w:rsidRPr="00A33DB6" w:rsidRDefault="001A0B8B" w:rsidP="001A0B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color w:val="000000"/>
        </w:rPr>
      </w:pPr>
    </w:p>
    <w:p w:rsidR="001A0B8B" w:rsidRPr="00A33DB6" w:rsidRDefault="001A0B8B" w:rsidP="001A0B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88" w:lineRule="atLeast"/>
        <w:jc w:val="both"/>
        <w:rPr>
          <w:b/>
          <w:bCs/>
          <w:color w:val="000000"/>
        </w:rPr>
      </w:pPr>
      <w:r w:rsidRPr="00A33DB6">
        <w:rPr>
          <w:color w:val="000000"/>
        </w:rPr>
        <w:t xml:space="preserve">Long-term effects of </w:t>
      </w:r>
      <w:proofErr w:type="spellStart"/>
      <w:r w:rsidRPr="00A33DB6">
        <w:rPr>
          <w:color w:val="000000"/>
        </w:rPr>
        <w:t>INOmax</w:t>
      </w:r>
      <w:proofErr w:type="spellEnd"/>
      <w:r>
        <w:rPr>
          <w:color w:val="000000"/>
        </w:rPr>
        <w:t>®</w:t>
      </w:r>
      <w:r w:rsidRPr="00A33DB6">
        <w:rPr>
          <w:color w:val="000000"/>
        </w:rPr>
        <w:t>, particularly with regard to pulmonary and neurodevelopmental outcomes, have not been established beyond 18-24 months.</w:t>
      </w:r>
    </w:p>
    <w:p w:rsidR="001A0B8B" w:rsidRPr="00A33DB6" w:rsidRDefault="001A0B8B" w:rsidP="001A0B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88" w:lineRule="atLeast"/>
        <w:jc w:val="both"/>
        <w:rPr>
          <w:b/>
          <w:bCs/>
          <w:color w:val="000000"/>
        </w:rPr>
      </w:pPr>
    </w:p>
    <w:p w:rsidR="001A0B8B" w:rsidRPr="00A33DB6" w:rsidRDefault="001A0B8B" w:rsidP="001A0B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88" w:lineRule="atLeast"/>
        <w:jc w:val="both"/>
        <w:rPr>
          <w:color w:val="000000"/>
        </w:rPr>
      </w:pPr>
      <w:r w:rsidRPr="00A33DB6">
        <w:rPr>
          <w:color w:val="000000"/>
        </w:rPr>
        <w:t xml:space="preserve">Data from the one-year follow-up of CINRGI study subjects (85% follow-up rate) showed that patients in the inhaled nitric oxide group had a higher hearing loss (4%) than those in the placebo group (0%).  Additionally, patients treated with inhaled nitric oxide had </w:t>
      </w:r>
      <w:r>
        <w:rPr>
          <w:color w:val="000000"/>
        </w:rPr>
        <w:t xml:space="preserve">a </w:t>
      </w:r>
      <w:r w:rsidRPr="00A33DB6">
        <w:rPr>
          <w:color w:val="000000"/>
        </w:rPr>
        <w:t xml:space="preserve">higher </w:t>
      </w:r>
      <w:r>
        <w:rPr>
          <w:color w:val="000000"/>
        </w:rPr>
        <w:t>incidence</w:t>
      </w:r>
      <w:r w:rsidRPr="00A33DB6">
        <w:rPr>
          <w:color w:val="000000"/>
        </w:rPr>
        <w:t xml:space="preserve"> of cerebral palsy (4%) than placebo (1%).</w:t>
      </w:r>
    </w:p>
    <w:p w:rsidR="001A0B8B" w:rsidRPr="00A33DB6" w:rsidRDefault="001A0B8B" w:rsidP="001A0B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color w:val="000000"/>
        </w:rPr>
      </w:pPr>
    </w:p>
    <w:p w:rsidR="001A0B8B" w:rsidRPr="00A33DB6" w:rsidRDefault="001A0B8B" w:rsidP="001A0B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88" w:lineRule="atLeast"/>
        <w:jc w:val="both"/>
        <w:rPr>
          <w:color w:val="000000"/>
        </w:rPr>
      </w:pPr>
      <w:r>
        <w:rPr>
          <w:color w:val="000000"/>
        </w:rPr>
        <w:lastRenderedPageBreak/>
        <w:t>F</w:t>
      </w:r>
      <w:r w:rsidRPr="00A33DB6">
        <w:rPr>
          <w:color w:val="000000"/>
        </w:rPr>
        <w:t>rom the one-year follow-up of 145 patients of the original 155 infants in the study INO-01/02</w:t>
      </w:r>
      <w:r>
        <w:rPr>
          <w:color w:val="000000"/>
        </w:rPr>
        <w:t>,</w:t>
      </w:r>
      <w:r w:rsidRPr="00A33DB6">
        <w:rPr>
          <w:color w:val="000000"/>
        </w:rPr>
        <w:t xml:space="preserve"> 23% of patients in the inhaled nitric oxide group and 14% in placebo group had severe impairment of overall assessment of neurologic</w:t>
      </w:r>
      <w:r>
        <w:rPr>
          <w:color w:val="000000"/>
        </w:rPr>
        <w:t>al</w:t>
      </w:r>
      <w:r w:rsidRPr="00A33DB6">
        <w:rPr>
          <w:color w:val="000000"/>
        </w:rPr>
        <w:t xml:space="preserve"> status</w:t>
      </w:r>
      <w:r>
        <w:rPr>
          <w:color w:val="000000"/>
        </w:rPr>
        <w:t>.</w:t>
      </w:r>
      <w:r w:rsidRPr="00A33DB6">
        <w:rPr>
          <w:color w:val="000000"/>
        </w:rPr>
        <w:t xml:space="preserve">  </w:t>
      </w:r>
      <w:r>
        <w:rPr>
          <w:color w:val="000000"/>
        </w:rPr>
        <w:t>P</w:t>
      </w:r>
      <w:r w:rsidRPr="00A33DB6">
        <w:rPr>
          <w:color w:val="000000"/>
        </w:rPr>
        <w:t xml:space="preserve">atients in this study were treated with </w:t>
      </w:r>
      <w:r>
        <w:rPr>
          <w:color w:val="000000"/>
        </w:rPr>
        <w:t>5</w:t>
      </w:r>
      <w:r w:rsidRPr="00A33DB6">
        <w:rPr>
          <w:color w:val="000000"/>
        </w:rPr>
        <w:t xml:space="preserve"> ppm, 20 ppm </w:t>
      </w:r>
      <w:r>
        <w:rPr>
          <w:color w:val="000000"/>
        </w:rPr>
        <w:t>or</w:t>
      </w:r>
      <w:r w:rsidRPr="00A33DB6">
        <w:rPr>
          <w:color w:val="000000"/>
        </w:rPr>
        <w:t xml:space="preserve"> 80 ppm</w:t>
      </w:r>
      <w:r>
        <w:rPr>
          <w:color w:val="000000"/>
        </w:rPr>
        <w:t xml:space="preserve"> inhaled nitric oxide</w:t>
      </w:r>
      <w:r w:rsidRPr="00A33DB6">
        <w:rPr>
          <w:color w:val="000000"/>
        </w:rPr>
        <w:t>.  However, there was no clear dose–response relationship between the adverse event and the nitric oxide dose.</w:t>
      </w:r>
    </w:p>
    <w:p w:rsidR="001A0B8B" w:rsidRPr="00A33DB6" w:rsidRDefault="001A0B8B" w:rsidP="001A0B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88" w:lineRule="atLeast"/>
        <w:jc w:val="both"/>
        <w:rPr>
          <w:color w:val="000000"/>
        </w:rPr>
      </w:pPr>
    </w:p>
    <w:p w:rsidR="001A0B8B" w:rsidRPr="00A33DB6" w:rsidRDefault="001A0B8B" w:rsidP="001A0B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88" w:lineRule="atLeast"/>
        <w:jc w:val="both"/>
        <w:rPr>
          <w:color w:val="000000"/>
        </w:rPr>
      </w:pPr>
      <w:r w:rsidRPr="00A33DB6">
        <w:rPr>
          <w:color w:val="000000"/>
        </w:rPr>
        <w:t>The overall 5-year follow-up rate of NINOS and CINRGI study subjects was only 25%.  The</w:t>
      </w:r>
      <w:r>
        <w:rPr>
          <w:color w:val="000000"/>
        </w:rPr>
        <w:t xml:space="preserve">se </w:t>
      </w:r>
      <w:r w:rsidRPr="00A33DB6">
        <w:rPr>
          <w:color w:val="000000"/>
        </w:rPr>
        <w:t>data were based on 43 patients in the placebo group and 55 patients in the inhaled nitric oxide group.  Patients treated with nitric oxide had a significantly higher incidence of gait disturbance at 5-year</w:t>
      </w:r>
      <w:r>
        <w:rPr>
          <w:color w:val="000000"/>
        </w:rPr>
        <w:t>s</w:t>
      </w:r>
      <w:r w:rsidRPr="00A33DB6">
        <w:rPr>
          <w:color w:val="000000"/>
        </w:rPr>
        <w:t xml:space="preserve"> (16% in inhaled nitric oxide group</w:t>
      </w:r>
      <w:r>
        <w:rPr>
          <w:color w:val="000000"/>
        </w:rPr>
        <w:t>,</w:t>
      </w:r>
      <w:r w:rsidRPr="00A33DB6">
        <w:rPr>
          <w:color w:val="000000"/>
        </w:rPr>
        <w:t xml:space="preserve"> 2% in placebo group, p=0.04).  Additionally, the percentage of vision problems</w:t>
      </w:r>
      <w:r>
        <w:rPr>
          <w:color w:val="000000"/>
        </w:rPr>
        <w:t xml:space="preserve"> and</w:t>
      </w:r>
      <w:r w:rsidRPr="00A33DB6">
        <w:rPr>
          <w:color w:val="000000"/>
        </w:rPr>
        <w:t xml:space="preserve"> recurrent non-febrile seizures was higher among inhaled nitric oxide patients.  Due to the </w:t>
      </w:r>
      <w:r>
        <w:rPr>
          <w:color w:val="000000"/>
        </w:rPr>
        <w:t>low</w:t>
      </w:r>
      <w:r w:rsidRPr="00A33DB6">
        <w:rPr>
          <w:color w:val="000000"/>
        </w:rPr>
        <w:t xml:space="preserve"> follow-up rate, valid conclusions cannot be made.</w:t>
      </w:r>
    </w:p>
    <w:p w:rsidR="001A0B8B" w:rsidRDefault="001A0B8B" w:rsidP="001A0B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rPr>
      </w:pPr>
    </w:p>
    <w:p w:rsidR="001A0B8B" w:rsidRPr="00C87EDD" w:rsidRDefault="001A0B8B" w:rsidP="001A0B8B">
      <w:pPr>
        <w:rPr>
          <w:i/>
        </w:rPr>
      </w:pPr>
      <w:r w:rsidRPr="00C87EDD">
        <w:rPr>
          <w:i/>
        </w:rPr>
        <w:t xml:space="preserve">Pulmonary Hypertension associated with Cardiac Surgery </w:t>
      </w:r>
    </w:p>
    <w:p w:rsidR="001A0B8B" w:rsidRPr="00C87EDD" w:rsidRDefault="001A0B8B" w:rsidP="001A0B8B"/>
    <w:p w:rsidR="001A0B8B" w:rsidRPr="003229F4" w:rsidRDefault="001A0B8B" w:rsidP="001A0B8B">
      <w:pPr>
        <w:spacing w:line="288" w:lineRule="atLeast"/>
        <w:jc w:val="both"/>
      </w:pPr>
      <w:r w:rsidRPr="003832D9">
        <w:t xml:space="preserve">Published clinical studies in the paediatric cardiac surgery population do not indicate any adverse events additional to those previously identified in controlled clinical studies in the PPHN indication. Whilst systematic monitoring of adverse events was either not included or incompletely reported in these published studies, such monitoring has been included in the post-marketing surveillance program.  </w:t>
      </w:r>
      <w:r>
        <w:t>P</w:t>
      </w:r>
      <w:r w:rsidRPr="003832D9">
        <w:t xml:space="preserve">ublished data from adult studies in cardiac surgery, transplantation or left ventricular assist device placement, </w:t>
      </w:r>
      <w:r>
        <w:t>support the known</w:t>
      </w:r>
      <w:r w:rsidRPr="003832D9">
        <w:t xml:space="preserve"> safety profile for inhaled nitric oxide</w:t>
      </w:r>
      <w:r>
        <w:t xml:space="preserve">. </w:t>
      </w:r>
      <w:r w:rsidRPr="003832D9">
        <w:t>(</w:t>
      </w:r>
      <w:r w:rsidR="00C357E4" w:rsidRPr="00F30201">
        <w:t>see</w:t>
      </w:r>
      <w:r w:rsidR="00C357E4" w:rsidRPr="00F30201">
        <w:rPr>
          <w:caps/>
        </w:rPr>
        <w:t xml:space="preserve"> </w:t>
      </w:r>
      <w:r w:rsidR="001007D8">
        <w:t>Section 4.4</w:t>
      </w:r>
      <w:r w:rsidR="00C357E4">
        <w:t xml:space="preserve"> Special Warnings and Precautions for Use;</w:t>
      </w:r>
      <w:r w:rsidR="00C357E4">
        <w:rPr>
          <w:caps/>
        </w:rPr>
        <w:t xml:space="preserve"> </w:t>
      </w:r>
      <w:r w:rsidR="00C357E4" w:rsidRPr="00F30201">
        <w:rPr>
          <w:caps/>
        </w:rPr>
        <w:t xml:space="preserve"> </w:t>
      </w:r>
      <w:r w:rsidR="00C357E4">
        <w:t>Section</w:t>
      </w:r>
      <w:r w:rsidR="00C357E4">
        <w:rPr>
          <w:caps/>
        </w:rPr>
        <w:t xml:space="preserve"> 4.8 </w:t>
      </w:r>
      <w:r w:rsidR="00C357E4" w:rsidRPr="00F30201">
        <w:t>Adverse E</w:t>
      </w:r>
      <w:r w:rsidR="00C357E4">
        <w:t>ffec</w:t>
      </w:r>
      <w:r w:rsidR="00C357E4" w:rsidRPr="00F30201">
        <w:t>ts (</w:t>
      </w:r>
      <w:r w:rsidR="00C357E4">
        <w:t>Undesirable Effects</w:t>
      </w:r>
      <w:r w:rsidR="00F27DCF">
        <w:t>)</w:t>
      </w:r>
      <w:r w:rsidRPr="003832D9">
        <w:t>).</w:t>
      </w:r>
      <w:r>
        <w:t xml:space="preserve">     </w:t>
      </w:r>
    </w:p>
    <w:p w:rsidR="001A0B8B" w:rsidRPr="00CB2BB8" w:rsidRDefault="001A0B8B" w:rsidP="001A0B8B"/>
    <w:p w:rsidR="001A0B8B" w:rsidRPr="00CB2BB8" w:rsidRDefault="001A0B8B" w:rsidP="001A0B8B">
      <w:pPr>
        <w:rPr>
          <w:b/>
        </w:rPr>
      </w:pPr>
      <w:r w:rsidRPr="00CB2BB8">
        <w:rPr>
          <w:b/>
        </w:rPr>
        <w:t>Post-Marketing Experience</w:t>
      </w:r>
    </w:p>
    <w:p w:rsidR="001A0B8B" w:rsidRDefault="001A0B8B" w:rsidP="001A0B8B">
      <w:pPr>
        <w:spacing w:line="288" w:lineRule="atLeast"/>
        <w:jc w:val="both"/>
      </w:pPr>
      <w:r w:rsidRPr="00CB2BB8">
        <w:t xml:space="preserve">The following adverse effects have been reported as part of the post-marketing surveillance. These events have not been reported above. Given the nature of spontaneously reported post-marketing surveillance data, it is impossible to determine the actual incidence of the events or definitively establish their causal relationship to the drug. The listing is alphabetical: dose errors associated with the delivery system; headaches associated with environmental exposure of </w:t>
      </w:r>
      <w:proofErr w:type="spellStart"/>
      <w:r w:rsidRPr="00CB2BB8">
        <w:t>INOmax</w:t>
      </w:r>
      <w:proofErr w:type="spellEnd"/>
      <w:r w:rsidRPr="00CB2BB8">
        <w:t xml:space="preserve">® in hospital staff; </w:t>
      </w:r>
      <w:r>
        <w:t xml:space="preserve">bradycardia, </w:t>
      </w:r>
      <w:r w:rsidRPr="00CB2BB8">
        <w:t xml:space="preserve">hypotension </w:t>
      </w:r>
      <w:r w:rsidRPr="00340F97">
        <w:t>and hypoxaemia</w:t>
      </w:r>
      <w:r w:rsidRPr="00CB2BB8">
        <w:t xml:space="preserve"> associated with acute withdrawal of the drug; pulmonary oedema in patients with CREST syndrome.</w:t>
      </w:r>
    </w:p>
    <w:p w:rsidR="0006579F" w:rsidRDefault="0006579F" w:rsidP="001A0B8B">
      <w:pPr>
        <w:spacing w:line="288" w:lineRule="atLeast"/>
        <w:jc w:val="both"/>
      </w:pPr>
    </w:p>
    <w:p w:rsidR="001A0B8B" w:rsidRPr="00C87EDD" w:rsidRDefault="001A0B8B" w:rsidP="001A0B8B">
      <w:pPr>
        <w:spacing w:line="288" w:lineRule="atLeast"/>
        <w:jc w:val="both"/>
      </w:pPr>
      <w:r w:rsidRPr="00C87EDD">
        <w:t>Accidental exposure</w:t>
      </w:r>
    </w:p>
    <w:p w:rsidR="001A0B8B" w:rsidRPr="00CB2BB8" w:rsidRDefault="001A0B8B" w:rsidP="001A0B8B">
      <w:pPr>
        <w:spacing w:line="288" w:lineRule="atLeast"/>
        <w:jc w:val="both"/>
        <w:rPr>
          <w:b/>
        </w:rPr>
      </w:pPr>
      <w:r>
        <w:t xml:space="preserve">Based upon post-marketing experience, accidental exposure </w:t>
      </w:r>
      <w:r w:rsidRPr="0035707A">
        <w:t xml:space="preserve">of hospital staff </w:t>
      </w:r>
      <w:r>
        <w:t>to nitric oxide for inhalation has been associated with chest discomfort, dizziness, dry throat, dyspnoea and headache.</w:t>
      </w:r>
    </w:p>
    <w:p w:rsidR="001A0B8B" w:rsidRDefault="001A0B8B" w:rsidP="00E450A4">
      <w:pPr>
        <w:rPr>
          <w:b/>
        </w:rPr>
      </w:pPr>
    </w:p>
    <w:p w:rsidR="00C357E4" w:rsidRDefault="00C357E4" w:rsidP="00C357E4">
      <w:pPr>
        <w:rPr>
          <w:b/>
        </w:rPr>
      </w:pPr>
      <w:r>
        <w:rPr>
          <w:b/>
        </w:rPr>
        <w:t>Reporting suspected adverse effects</w:t>
      </w:r>
    </w:p>
    <w:p w:rsidR="009852EA" w:rsidRDefault="009852EA" w:rsidP="009852EA">
      <w:pPr>
        <w:spacing w:line="288" w:lineRule="atLeast"/>
        <w:jc w:val="both"/>
      </w:pPr>
      <w:r w:rsidRPr="00956E90">
        <w:t xml:space="preserve">Reporting suspected adverse reactions after registration of the medicinal product is important. It allows continued monitoring of the benefit-risk balance of the medicinal product. Healthcare professionals are asked to report any suspected adverse reactions at </w:t>
      </w:r>
      <w:hyperlink r:id="rId7" w:history="1">
        <w:r w:rsidRPr="00956E90">
          <w:rPr>
            <w:rStyle w:val="Hyperlink"/>
          </w:rPr>
          <w:t>http://www.tga.gov.au/reporting-problems</w:t>
        </w:r>
      </w:hyperlink>
      <w:r w:rsidRPr="00956E90">
        <w:t>.</w:t>
      </w:r>
    </w:p>
    <w:p w:rsidR="009852EA" w:rsidRDefault="009852EA" w:rsidP="009852EA">
      <w:pPr>
        <w:spacing w:line="288" w:lineRule="atLeast"/>
        <w:jc w:val="both"/>
      </w:pPr>
    </w:p>
    <w:p w:rsidR="001B37F6" w:rsidRDefault="001B37F6" w:rsidP="00E450A4">
      <w:pPr>
        <w:rPr>
          <w:b/>
        </w:rPr>
      </w:pPr>
    </w:p>
    <w:p w:rsidR="001B37F6" w:rsidRDefault="001B37F6" w:rsidP="00E450A4">
      <w:pPr>
        <w:rPr>
          <w:b/>
        </w:rPr>
      </w:pPr>
      <w:r>
        <w:rPr>
          <w:b/>
        </w:rPr>
        <w:t>4.9</w:t>
      </w:r>
      <w:r>
        <w:rPr>
          <w:b/>
        </w:rPr>
        <w:tab/>
        <w:t>OVERDOSE</w:t>
      </w:r>
    </w:p>
    <w:p w:rsidR="006129B2" w:rsidRDefault="006129B2" w:rsidP="00E450A4">
      <w:pPr>
        <w:rPr>
          <w:b/>
        </w:rPr>
      </w:pPr>
    </w:p>
    <w:p w:rsidR="003D3C22" w:rsidRPr="00CB2BB8" w:rsidRDefault="003D3C22" w:rsidP="003D3C22">
      <w:pPr>
        <w:spacing w:line="288" w:lineRule="atLeast"/>
        <w:jc w:val="both"/>
      </w:pPr>
      <w:proofErr w:type="spellStart"/>
      <w:r w:rsidRPr="00CB2BB8">
        <w:t>Overdosage</w:t>
      </w:r>
      <w:proofErr w:type="spellEnd"/>
      <w:r w:rsidRPr="00CB2BB8">
        <w:t xml:space="preserve"> with </w:t>
      </w:r>
      <w:proofErr w:type="spellStart"/>
      <w:r w:rsidRPr="00CB2BB8">
        <w:t>INOmax</w:t>
      </w:r>
      <w:proofErr w:type="spellEnd"/>
      <w:r w:rsidRPr="00CB2BB8">
        <w:t>® will be manifest by elevations in meth</w:t>
      </w:r>
      <w:r>
        <w:t>a</w:t>
      </w:r>
      <w:r w:rsidRPr="00CB2BB8">
        <w:t>emoglobin and NO</w:t>
      </w:r>
      <w:r w:rsidRPr="00CB2BB8">
        <w:rPr>
          <w:vertAlign w:val="subscript"/>
        </w:rPr>
        <w:t>2</w:t>
      </w:r>
      <w:r w:rsidRPr="00CB2BB8">
        <w:t>. Elevated NO</w:t>
      </w:r>
      <w:r w:rsidRPr="00CB2BB8">
        <w:rPr>
          <w:vertAlign w:val="subscript"/>
        </w:rPr>
        <w:t>2</w:t>
      </w:r>
      <w:r w:rsidRPr="00CB2BB8">
        <w:t xml:space="preserve"> may cause acute lung injury. Elevations in </w:t>
      </w:r>
      <w:proofErr w:type="spellStart"/>
      <w:r w:rsidRPr="00CB2BB8">
        <w:t>methaemoglobin</w:t>
      </w:r>
      <w:r>
        <w:t>a</w:t>
      </w:r>
      <w:r w:rsidRPr="00CB2BB8">
        <w:t>emia</w:t>
      </w:r>
      <w:proofErr w:type="spellEnd"/>
      <w:r w:rsidRPr="00CB2BB8">
        <w:t xml:space="preserve"> reduce the oxygen delivery capacity of the circulation. In clinical studies, NO</w:t>
      </w:r>
      <w:r w:rsidRPr="00CB2BB8">
        <w:rPr>
          <w:vertAlign w:val="subscript"/>
        </w:rPr>
        <w:t>2</w:t>
      </w:r>
      <w:r w:rsidRPr="00CB2BB8">
        <w:t xml:space="preserve"> levels &gt;3 ppm or meth</w:t>
      </w:r>
      <w:r>
        <w:t>a</w:t>
      </w:r>
      <w:r w:rsidRPr="00CB2BB8">
        <w:t xml:space="preserve">emoglobin levels &gt;7% were treated by reducing the dose of, or discontinuing, </w:t>
      </w:r>
      <w:proofErr w:type="spellStart"/>
      <w:r w:rsidRPr="00CB2BB8">
        <w:t>INOmax</w:t>
      </w:r>
      <w:proofErr w:type="spellEnd"/>
      <w:r w:rsidRPr="00CB2BB8">
        <w:t>®.</w:t>
      </w:r>
    </w:p>
    <w:p w:rsidR="003D3C22" w:rsidRPr="00CB2BB8" w:rsidRDefault="003D3C22" w:rsidP="003D3C22">
      <w:pPr>
        <w:spacing w:line="288" w:lineRule="atLeast"/>
        <w:jc w:val="both"/>
      </w:pPr>
    </w:p>
    <w:p w:rsidR="003D3C22" w:rsidRPr="00CB2BB8" w:rsidRDefault="003D3C22" w:rsidP="003D3C22">
      <w:pPr>
        <w:spacing w:line="288" w:lineRule="atLeast"/>
        <w:jc w:val="both"/>
      </w:pPr>
      <w:proofErr w:type="spellStart"/>
      <w:r w:rsidRPr="00CB2BB8">
        <w:lastRenderedPageBreak/>
        <w:t>Meth</w:t>
      </w:r>
      <w:r>
        <w:t>a</w:t>
      </w:r>
      <w:r w:rsidRPr="00CB2BB8">
        <w:t>emoglobin</w:t>
      </w:r>
      <w:r>
        <w:t>a</w:t>
      </w:r>
      <w:r w:rsidRPr="00CB2BB8">
        <w:t>emia</w:t>
      </w:r>
      <w:proofErr w:type="spellEnd"/>
      <w:r w:rsidRPr="00CB2BB8">
        <w:t xml:space="preserve"> that does not resolve after reduction or discontinuation of therapy can be treated with intravenous vitamin C, or blood transfusion, based upon the clinical situation.</w:t>
      </w:r>
    </w:p>
    <w:p w:rsidR="003D3C22" w:rsidRDefault="003D3C22" w:rsidP="003D3C22">
      <w:pPr>
        <w:spacing w:line="288" w:lineRule="atLeast"/>
        <w:jc w:val="both"/>
      </w:pPr>
    </w:p>
    <w:p w:rsidR="003D3C22" w:rsidRDefault="003D3C22" w:rsidP="003D3C22">
      <w:pPr>
        <w:spacing w:line="288" w:lineRule="atLeast"/>
        <w:jc w:val="both"/>
      </w:pPr>
      <w:r w:rsidRPr="00956E90">
        <w:t xml:space="preserve">For </w:t>
      </w:r>
      <w:r w:rsidR="008E79D0" w:rsidRPr="00956E90">
        <w:t>information on the management of</w:t>
      </w:r>
      <w:r w:rsidRPr="00956E90">
        <w:t xml:space="preserve"> </w:t>
      </w:r>
      <w:proofErr w:type="spellStart"/>
      <w:r w:rsidRPr="00956E90">
        <w:t>overdosage</w:t>
      </w:r>
      <w:proofErr w:type="spellEnd"/>
      <w:r w:rsidRPr="00956E90">
        <w:t>, contact the Poisons Information Centre on 131126</w:t>
      </w:r>
      <w:r>
        <w:t xml:space="preserve"> (Australia).</w:t>
      </w:r>
    </w:p>
    <w:p w:rsidR="003D3C22" w:rsidRDefault="003D3C22" w:rsidP="003D3C22">
      <w:pPr>
        <w:spacing w:line="288" w:lineRule="atLeast"/>
        <w:jc w:val="both"/>
      </w:pPr>
    </w:p>
    <w:p w:rsidR="006129B2" w:rsidRDefault="006129B2" w:rsidP="00E450A4">
      <w:pPr>
        <w:rPr>
          <w:b/>
        </w:rPr>
      </w:pPr>
    </w:p>
    <w:p w:rsidR="006129B2" w:rsidRDefault="006129B2" w:rsidP="00E450A4">
      <w:pPr>
        <w:rPr>
          <w:b/>
        </w:rPr>
      </w:pPr>
      <w:r>
        <w:rPr>
          <w:b/>
        </w:rPr>
        <w:t>5</w:t>
      </w:r>
      <w:r>
        <w:rPr>
          <w:b/>
        </w:rPr>
        <w:tab/>
        <w:t>PHARMACOLOGICAL PROPERTIES</w:t>
      </w:r>
    </w:p>
    <w:p w:rsidR="006129B2" w:rsidRDefault="006129B2" w:rsidP="00E450A4">
      <w:pPr>
        <w:rPr>
          <w:b/>
        </w:rPr>
      </w:pPr>
    </w:p>
    <w:p w:rsidR="006129B2" w:rsidRPr="001B37F6" w:rsidRDefault="006129B2" w:rsidP="00E450A4">
      <w:pPr>
        <w:rPr>
          <w:b/>
        </w:rPr>
      </w:pPr>
      <w:r>
        <w:rPr>
          <w:b/>
        </w:rPr>
        <w:t>5.1</w:t>
      </w:r>
      <w:r>
        <w:rPr>
          <w:b/>
        </w:rPr>
        <w:tab/>
        <w:t>PHARMACODYNAMIC PROPERTIES</w:t>
      </w:r>
    </w:p>
    <w:p w:rsidR="00340115" w:rsidRPr="00CB2BB8" w:rsidRDefault="00340115" w:rsidP="00340115">
      <w:pPr>
        <w:jc w:val="both"/>
      </w:pPr>
    </w:p>
    <w:p w:rsidR="00BF1601" w:rsidRDefault="00BF1601" w:rsidP="00BF1601">
      <w:proofErr w:type="spellStart"/>
      <w:r w:rsidRPr="00653984">
        <w:t>Pharmacotherapeutic</w:t>
      </w:r>
      <w:proofErr w:type="spellEnd"/>
      <w:r w:rsidRPr="00653984">
        <w:t xml:space="preserve"> class: Pulmonary vasodilator</w:t>
      </w:r>
    </w:p>
    <w:p w:rsidR="00BF1601" w:rsidRDefault="00BF1601" w:rsidP="00340115">
      <w:pPr>
        <w:pStyle w:val="Heading9"/>
        <w:jc w:val="both"/>
        <w:rPr>
          <w:b/>
          <w:i w:val="0"/>
          <w:snapToGrid w:val="0"/>
          <w:sz w:val="20"/>
          <w:u w:val="none"/>
        </w:rPr>
      </w:pPr>
    </w:p>
    <w:p w:rsidR="00340115" w:rsidRPr="00CB2BB8" w:rsidRDefault="00340115" w:rsidP="00340115">
      <w:pPr>
        <w:pStyle w:val="Heading9"/>
        <w:jc w:val="both"/>
        <w:rPr>
          <w:b/>
          <w:i w:val="0"/>
          <w:snapToGrid w:val="0"/>
          <w:sz w:val="20"/>
          <w:u w:val="none"/>
        </w:rPr>
      </w:pPr>
      <w:r w:rsidRPr="00CB2BB8">
        <w:rPr>
          <w:b/>
          <w:i w:val="0"/>
          <w:snapToGrid w:val="0"/>
          <w:sz w:val="20"/>
          <w:u w:val="none"/>
        </w:rPr>
        <w:t>Mechanism of action</w:t>
      </w:r>
    </w:p>
    <w:p w:rsidR="00340115" w:rsidRPr="00F97863" w:rsidRDefault="00340115" w:rsidP="00340115">
      <w:pPr>
        <w:spacing w:line="288" w:lineRule="atLeast"/>
        <w:jc w:val="both"/>
      </w:pPr>
      <w:r w:rsidRPr="00F97863">
        <w:t>Nitric oxide is a compound produced by many cells of the body.   It relaxes vascular smoot</w:t>
      </w:r>
      <w:r>
        <w:t xml:space="preserve">h muscle by binding to the haem </w:t>
      </w:r>
      <w:r w:rsidRPr="00F97863">
        <w:t xml:space="preserve">moiety of cytosolic guanylate cyclase, activating guanylate cyclase and increasing intracellular levels of cyclic guanosine 3’,5’-monophosphate, which then leads to vasodilation. When inhaled, nitric oxide produces </w:t>
      </w:r>
      <w:r w:rsidR="002A0026">
        <w:t xml:space="preserve">selective </w:t>
      </w:r>
      <w:r w:rsidRPr="00F97863">
        <w:t xml:space="preserve">pulmonary vasodilation. </w:t>
      </w:r>
    </w:p>
    <w:p w:rsidR="00340115" w:rsidRPr="00CB2BB8" w:rsidRDefault="00340115" w:rsidP="00340115">
      <w:pPr>
        <w:spacing w:line="288" w:lineRule="atLeast"/>
        <w:jc w:val="both"/>
      </w:pPr>
    </w:p>
    <w:p w:rsidR="00340115" w:rsidRPr="00CB2BB8" w:rsidRDefault="00340115" w:rsidP="00340115">
      <w:pPr>
        <w:pStyle w:val="Heading2"/>
        <w:jc w:val="both"/>
        <w:rPr>
          <w:rFonts w:ascii="Times New Roman" w:hAnsi="Times New Roman"/>
        </w:rPr>
      </w:pPr>
      <w:r w:rsidRPr="00CB2BB8">
        <w:rPr>
          <w:rFonts w:ascii="Times New Roman" w:hAnsi="Times New Roman"/>
        </w:rPr>
        <w:t>Pharmacodynamics</w:t>
      </w:r>
    </w:p>
    <w:p w:rsidR="00340115" w:rsidRPr="00CB2BB8" w:rsidRDefault="00340115" w:rsidP="00340115">
      <w:pPr>
        <w:spacing w:line="288" w:lineRule="atLeast"/>
        <w:jc w:val="both"/>
      </w:pPr>
      <w:r w:rsidRPr="00CB2BB8">
        <w:rPr>
          <w:b/>
        </w:rPr>
        <w:t xml:space="preserve">Effects on Pulmonary Vascular Tone in PPHN: </w:t>
      </w:r>
      <w:r w:rsidRPr="00CB2BB8">
        <w:t xml:space="preserve"> Persistent pulmonary hypertension of the newborn (PPHN) occurs as a primary developmental defect or as a condition secondary to other diseases such as meconium aspiration syndrome (MAS), pneumonia, sepsis, hyaline membrane disease, congenital diaphragmatic hernia (CDH), and pulmonary hypoplasia.  In these states, pulmonary vascular resistance (PVR) is high, which results in hypox</w:t>
      </w:r>
      <w:r>
        <w:t>a</w:t>
      </w:r>
      <w:r w:rsidRPr="00CB2BB8">
        <w:t xml:space="preserve">emia secondary to right-to-left shunting of blood through the patent ductus arteriosus and foramen </w:t>
      </w:r>
      <w:proofErr w:type="spellStart"/>
      <w:r w:rsidRPr="00CB2BB8">
        <w:t>ovale</w:t>
      </w:r>
      <w:proofErr w:type="spellEnd"/>
      <w:r w:rsidRPr="00CB2BB8">
        <w:t xml:space="preserve">.  In neonates with PPHN, </w:t>
      </w:r>
      <w:proofErr w:type="spellStart"/>
      <w:r w:rsidRPr="00CB2BB8">
        <w:rPr>
          <w:color w:val="000000"/>
        </w:rPr>
        <w:t>INOmax</w:t>
      </w:r>
      <w:proofErr w:type="spellEnd"/>
      <w:r w:rsidRPr="00CB2BB8">
        <w:rPr>
          <w:color w:val="000000"/>
        </w:rPr>
        <w:t>®</w:t>
      </w:r>
      <w:r w:rsidRPr="00CB2BB8">
        <w:t xml:space="preserve"> improves oxygenation (as indicated by significant increases in </w:t>
      </w:r>
      <w:proofErr w:type="spellStart"/>
      <w:r w:rsidRPr="00CB2BB8">
        <w:t>PaO</w:t>
      </w:r>
      <w:proofErr w:type="spellEnd"/>
      <w:r w:rsidRPr="00CB2BB8">
        <w:rPr>
          <w:position w:val="-4"/>
        </w:rPr>
        <w:t>2</w:t>
      </w:r>
      <w:r w:rsidRPr="00CB2BB8">
        <w:t xml:space="preserve">). </w:t>
      </w:r>
    </w:p>
    <w:p w:rsidR="00340115" w:rsidRPr="00CB2BB8" w:rsidRDefault="00340115" w:rsidP="00340115">
      <w:pPr>
        <w:pStyle w:val="Heading2"/>
        <w:jc w:val="both"/>
        <w:rPr>
          <w:rFonts w:ascii="Times New Roman" w:hAnsi="Times New Roman"/>
        </w:rPr>
      </w:pPr>
    </w:p>
    <w:p w:rsidR="00340115" w:rsidRPr="00CB2BB8" w:rsidRDefault="00340115" w:rsidP="00340115">
      <w:pPr>
        <w:spacing w:line="288" w:lineRule="atLeast"/>
        <w:jc w:val="both"/>
      </w:pPr>
      <w:proofErr w:type="spellStart"/>
      <w:r w:rsidRPr="00CB2BB8">
        <w:rPr>
          <w:color w:val="000000"/>
        </w:rPr>
        <w:t>INOmax</w:t>
      </w:r>
      <w:proofErr w:type="spellEnd"/>
      <w:r w:rsidRPr="00CB2BB8">
        <w:rPr>
          <w:color w:val="000000"/>
        </w:rPr>
        <w:t>®</w:t>
      </w:r>
      <w:r w:rsidRPr="00CB2BB8">
        <w:rPr>
          <w:color w:val="FF0000"/>
        </w:rPr>
        <w:t xml:space="preserve"> </w:t>
      </w:r>
      <w:r w:rsidRPr="00CB2BB8">
        <w:t>appears to increase the partial pressure of arterial oxygen (</w:t>
      </w:r>
      <w:proofErr w:type="spellStart"/>
      <w:r w:rsidRPr="00CB2BB8">
        <w:t>PaO</w:t>
      </w:r>
      <w:proofErr w:type="spellEnd"/>
      <w:r w:rsidRPr="00CB2BB8">
        <w:rPr>
          <w:position w:val="-4"/>
        </w:rPr>
        <w:t>2</w:t>
      </w:r>
      <w:r w:rsidRPr="00CB2BB8">
        <w:t>) by dilating pulmonary vessels in better ventilated areas of the lung, redistributing pulmonary blood flow away from lung regions with low ventilation/perfusion (V/Q) ratios toward regions with normal ratios.</w:t>
      </w:r>
    </w:p>
    <w:p w:rsidR="00340115" w:rsidRPr="00CB2BB8" w:rsidRDefault="00340115">
      <w:pPr>
        <w:spacing w:line="288" w:lineRule="atLeast"/>
        <w:jc w:val="both"/>
      </w:pPr>
    </w:p>
    <w:p w:rsidR="002C5A08" w:rsidRPr="00773000" w:rsidRDefault="002C5A08" w:rsidP="002C5A08">
      <w:pPr>
        <w:pStyle w:val="Heading3"/>
        <w:jc w:val="both"/>
        <w:rPr>
          <w:caps/>
          <w:sz w:val="20"/>
        </w:rPr>
      </w:pPr>
      <w:r w:rsidRPr="00773000">
        <w:rPr>
          <w:sz w:val="20"/>
        </w:rPr>
        <w:t>Clinical Trials</w:t>
      </w:r>
    </w:p>
    <w:p w:rsidR="002C5A08" w:rsidRPr="00773000" w:rsidRDefault="002C5A08" w:rsidP="002C5A08"/>
    <w:p w:rsidR="002C5A08" w:rsidRPr="00C87EDD" w:rsidRDefault="002C5A08" w:rsidP="002C5A08">
      <w:pPr>
        <w:rPr>
          <w:i/>
        </w:rPr>
      </w:pPr>
      <w:r w:rsidRPr="00C87EDD">
        <w:rPr>
          <w:i/>
        </w:rPr>
        <w:t>Persistent Pulmonary Hypertension of the Newborn (PPHN)</w:t>
      </w:r>
    </w:p>
    <w:p w:rsidR="002C5A08" w:rsidRPr="00C87EDD" w:rsidRDefault="002C5A08" w:rsidP="002C5A08">
      <w:pPr>
        <w:spacing w:line="288" w:lineRule="atLeast"/>
        <w:jc w:val="both"/>
        <w:rPr>
          <w:bCs/>
        </w:rPr>
      </w:pPr>
    </w:p>
    <w:p w:rsidR="002C5A08" w:rsidRPr="00CB2BB8" w:rsidRDefault="002C5A08" w:rsidP="002C5A08">
      <w:pPr>
        <w:spacing w:line="288" w:lineRule="atLeast"/>
        <w:jc w:val="both"/>
        <w:rPr>
          <w:bCs/>
        </w:rPr>
      </w:pPr>
      <w:r w:rsidRPr="00CB2BB8">
        <w:rPr>
          <w:bCs/>
        </w:rPr>
        <w:t>The efficacy of</w:t>
      </w:r>
      <w:r w:rsidRPr="00CB2BB8">
        <w:rPr>
          <w:bCs/>
          <w:color w:val="FF0000"/>
        </w:rPr>
        <w:t xml:space="preserve"> </w:t>
      </w:r>
      <w:proofErr w:type="spellStart"/>
      <w:r w:rsidRPr="00CB2BB8">
        <w:rPr>
          <w:bCs/>
          <w:color w:val="000000"/>
        </w:rPr>
        <w:t>INOmax</w:t>
      </w:r>
      <w:proofErr w:type="spellEnd"/>
      <w:r w:rsidRPr="00CB2BB8">
        <w:rPr>
          <w:bCs/>
          <w:color w:val="000000"/>
        </w:rPr>
        <w:t>®</w:t>
      </w:r>
      <w:r w:rsidRPr="00CB2BB8">
        <w:rPr>
          <w:bCs/>
        </w:rPr>
        <w:t xml:space="preserve"> has been investigated in term and near-term newborns with hypoxic respiratory failure resulting from a variety of aetiologies. Inhalation of </w:t>
      </w:r>
      <w:proofErr w:type="spellStart"/>
      <w:r w:rsidRPr="00CB2BB8">
        <w:rPr>
          <w:bCs/>
          <w:color w:val="000000"/>
        </w:rPr>
        <w:t>INOmax</w:t>
      </w:r>
      <w:proofErr w:type="spellEnd"/>
      <w:r w:rsidRPr="00CB2BB8">
        <w:rPr>
          <w:bCs/>
          <w:color w:val="000000"/>
        </w:rPr>
        <w:t>®</w:t>
      </w:r>
      <w:r w:rsidRPr="00CB2BB8">
        <w:rPr>
          <w:bCs/>
        </w:rPr>
        <w:t xml:space="preserve"> reduces the oxygenation index (OI= mean airway pressure in cm H</w:t>
      </w:r>
      <w:r w:rsidRPr="00CB2BB8">
        <w:rPr>
          <w:bCs/>
          <w:position w:val="-4"/>
        </w:rPr>
        <w:t>2</w:t>
      </w:r>
      <w:proofErr w:type="spellStart"/>
      <w:r w:rsidRPr="00CB2BB8">
        <w:rPr>
          <w:bCs/>
        </w:rPr>
        <w:t>O x</w:t>
      </w:r>
      <w:proofErr w:type="spellEnd"/>
      <w:r w:rsidRPr="00CB2BB8">
        <w:rPr>
          <w:bCs/>
        </w:rPr>
        <w:t xml:space="preserve"> fraction of inspired oxygen concentration [F</w:t>
      </w:r>
      <w:proofErr w:type="spellStart"/>
      <w:r w:rsidRPr="00CB2BB8">
        <w:rPr>
          <w:bCs/>
          <w:position w:val="-4"/>
        </w:rPr>
        <w:t>i</w:t>
      </w:r>
      <w:proofErr w:type="spellEnd"/>
      <w:r w:rsidRPr="00CB2BB8">
        <w:rPr>
          <w:bCs/>
        </w:rPr>
        <w:t>O</w:t>
      </w:r>
      <w:r w:rsidRPr="00CB2BB8">
        <w:rPr>
          <w:bCs/>
          <w:position w:val="-4"/>
        </w:rPr>
        <w:t>2</w:t>
      </w:r>
      <w:r w:rsidRPr="00CB2BB8">
        <w:rPr>
          <w:bCs/>
        </w:rPr>
        <w:t>] x 100 divided by systemic arterial concentration in mm Hg [P</w:t>
      </w:r>
      <w:r w:rsidRPr="00CB2BB8">
        <w:rPr>
          <w:bCs/>
          <w:position w:val="-4"/>
        </w:rPr>
        <w:t>a</w:t>
      </w:r>
      <w:r w:rsidRPr="00CB2BB8">
        <w:rPr>
          <w:bCs/>
        </w:rPr>
        <w:t>O</w:t>
      </w:r>
      <w:r w:rsidRPr="00CB2BB8">
        <w:rPr>
          <w:bCs/>
          <w:position w:val="-4"/>
        </w:rPr>
        <w:t>2</w:t>
      </w:r>
      <w:r w:rsidRPr="00CB2BB8">
        <w:rPr>
          <w:bCs/>
        </w:rPr>
        <w:t xml:space="preserve">]) and increases </w:t>
      </w:r>
      <w:proofErr w:type="spellStart"/>
      <w:r w:rsidRPr="00CB2BB8">
        <w:rPr>
          <w:bCs/>
        </w:rPr>
        <w:t>PaO</w:t>
      </w:r>
      <w:proofErr w:type="spellEnd"/>
      <w:r w:rsidRPr="00CB2BB8">
        <w:rPr>
          <w:bCs/>
          <w:position w:val="-4"/>
        </w:rPr>
        <w:t>2</w:t>
      </w:r>
      <w:r>
        <w:rPr>
          <w:bCs/>
        </w:rPr>
        <w:t xml:space="preserve"> (s</w:t>
      </w:r>
      <w:r w:rsidRPr="00CB2BB8">
        <w:rPr>
          <w:bCs/>
        </w:rPr>
        <w:t xml:space="preserve">ee </w:t>
      </w:r>
      <w:proofErr w:type="spellStart"/>
      <w:r w:rsidR="00F27DCF">
        <w:rPr>
          <w:bCs/>
        </w:rPr>
        <w:t>Pharmacodynamic</w:t>
      </w:r>
      <w:proofErr w:type="spellEnd"/>
      <w:r w:rsidR="00F27DCF">
        <w:rPr>
          <w:bCs/>
        </w:rPr>
        <w:t xml:space="preserve"> Properties</w:t>
      </w:r>
      <w:r w:rsidRPr="00CB2BB8">
        <w:rPr>
          <w:bCs/>
        </w:rPr>
        <w:t>).</w:t>
      </w:r>
    </w:p>
    <w:p w:rsidR="002C5A08" w:rsidRPr="00CB2BB8" w:rsidRDefault="002C5A08" w:rsidP="002C5A08">
      <w:pPr>
        <w:spacing w:line="288" w:lineRule="atLeast"/>
        <w:jc w:val="both"/>
        <w:rPr>
          <w:bCs/>
        </w:rPr>
      </w:pPr>
      <w:r w:rsidRPr="00CB2BB8">
        <w:rPr>
          <w:b/>
          <w:bCs/>
        </w:rPr>
        <w:t>NINOS study:</w:t>
      </w:r>
      <w:r w:rsidRPr="00CB2BB8">
        <w:rPr>
          <w:bCs/>
        </w:rPr>
        <w:t xml:space="preserve">  The Neonatal Inhaled Nitric Oxide Study (NINOS) group conducted a double-blind, </w:t>
      </w:r>
      <w:r w:rsidR="008508BE" w:rsidRPr="00CB2BB8">
        <w:rPr>
          <w:bCs/>
        </w:rPr>
        <w:t>randomi</w:t>
      </w:r>
      <w:r w:rsidR="008508BE">
        <w:rPr>
          <w:bCs/>
        </w:rPr>
        <w:t>s</w:t>
      </w:r>
      <w:r w:rsidR="008508BE" w:rsidRPr="00CB2BB8">
        <w:rPr>
          <w:bCs/>
        </w:rPr>
        <w:t>ed</w:t>
      </w:r>
      <w:r w:rsidRPr="00CB2BB8">
        <w:rPr>
          <w:bCs/>
        </w:rPr>
        <w:t xml:space="preserve">, placebo-controlled, multi-centre trial in 235 neonates with hypoxic respiratory failure.  The objective of the study was to determine whether inhaled nitric oxide would reduce the occurrence of death and/or initiation of extracorporeal membrane oxygenation (ECMO) in a prospectively defined cohort of term or near-term neonates with hypoxic respiratory failure unresponsive to conventional therapy.  Hypoxic respiratory failure was caused by meconium aspiration syndrome (MAS; 49%), pneumonia/sepsis (21%), idiopathic primary pulmonary hypertension of the newborn (PPHN; 17%), or respiratory distress syndrome (RDS; 11%). Infants </w:t>
      </w:r>
      <w:r w:rsidRPr="00CB2BB8">
        <w:rPr>
          <w:bCs/>
        </w:rPr>
        <w:fldChar w:fldCharType="begin"/>
      </w:r>
      <w:r w:rsidRPr="00CB2BB8">
        <w:rPr>
          <w:bCs/>
        </w:rPr>
        <w:instrText>symbol 163 \f "Symbol" \s 10</w:instrText>
      </w:r>
      <w:r w:rsidRPr="00CB2BB8">
        <w:rPr>
          <w:bCs/>
        </w:rPr>
        <w:fldChar w:fldCharType="end"/>
      </w:r>
      <w:r w:rsidRPr="00CB2BB8">
        <w:rPr>
          <w:bCs/>
        </w:rPr>
        <w:t>14 days of age (mean, 1.7 days) with a mean PaO</w:t>
      </w:r>
      <w:r w:rsidRPr="00CB2BB8">
        <w:rPr>
          <w:bCs/>
          <w:vertAlign w:val="subscript"/>
        </w:rPr>
        <w:t>2</w:t>
      </w:r>
      <w:r w:rsidRPr="00CB2BB8">
        <w:rPr>
          <w:bCs/>
        </w:rPr>
        <w:t xml:space="preserve"> of 46 mm Hg and a mean oxygenation index (OI) of 43 cm H</w:t>
      </w:r>
      <w:r w:rsidRPr="00CB2BB8">
        <w:rPr>
          <w:bCs/>
          <w:vertAlign w:val="subscript"/>
        </w:rPr>
        <w:t>2</w:t>
      </w:r>
      <w:r w:rsidRPr="00CB2BB8">
        <w:rPr>
          <w:bCs/>
        </w:rPr>
        <w:t xml:space="preserve">O / mm Hg were initially </w:t>
      </w:r>
      <w:r w:rsidR="000F4A2A" w:rsidRPr="00CB2BB8">
        <w:rPr>
          <w:bCs/>
        </w:rPr>
        <w:t>randomi</w:t>
      </w:r>
      <w:r w:rsidR="000F4A2A">
        <w:rPr>
          <w:bCs/>
        </w:rPr>
        <w:t>s</w:t>
      </w:r>
      <w:r w:rsidR="000F4A2A" w:rsidRPr="00CB2BB8">
        <w:rPr>
          <w:bCs/>
        </w:rPr>
        <w:t xml:space="preserve">ed </w:t>
      </w:r>
      <w:r w:rsidRPr="00CB2BB8">
        <w:rPr>
          <w:bCs/>
        </w:rPr>
        <w:t>to receive 100% O</w:t>
      </w:r>
      <w:r w:rsidRPr="00CB2BB8">
        <w:rPr>
          <w:bCs/>
          <w:vertAlign w:val="subscript"/>
        </w:rPr>
        <w:t>2</w:t>
      </w:r>
      <w:r w:rsidRPr="00CB2BB8">
        <w:rPr>
          <w:bCs/>
        </w:rPr>
        <w:t xml:space="preserve"> with (n=114) or without (n=121) 20 ppm nitric oxide for up to 14 days with a median duration of exposure of 40 hours.  </w:t>
      </w:r>
      <w:r w:rsidRPr="00CB2BB8">
        <w:rPr>
          <w:bCs/>
        </w:rPr>
        <w:lastRenderedPageBreak/>
        <w:t xml:space="preserve">Response to study drug was defined as a change from baseline in </w:t>
      </w:r>
      <w:proofErr w:type="spellStart"/>
      <w:r w:rsidRPr="00CB2BB8">
        <w:rPr>
          <w:bCs/>
        </w:rPr>
        <w:t>PaO</w:t>
      </w:r>
      <w:proofErr w:type="spellEnd"/>
      <w:r w:rsidRPr="00CB2BB8">
        <w:rPr>
          <w:bCs/>
          <w:position w:val="-4"/>
        </w:rPr>
        <w:t>2</w:t>
      </w:r>
      <w:r w:rsidRPr="00CB2BB8">
        <w:rPr>
          <w:bCs/>
        </w:rPr>
        <w:t xml:space="preserve"> 30 minutes after starting treatment (full response = &gt;20 mm Hg, partial = 10-20 mm Hg, no response = &lt;10 mm Hg).  Neonates with a less than full response were evaluated for a response to 80 ppm nitric oxide or control gas.  The primary results from the NINOS study are presented in Table </w:t>
      </w:r>
      <w:r w:rsidR="009B541F">
        <w:rPr>
          <w:bCs/>
        </w:rPr>
        <w:t>3</w:t>
      </w:r>
      <w:r w:rsidRPr="00CB2BB8">
        <w:rPr>
          <w:bCs/>
        </w:rPr>
        <w:t>.</w:t>
      </w:r>
    </w:p>
    <w:p w:rsidR="002C5A08" w:rsidRPr="00CB2BB8" w:rsidRDefault="002C5A08" w:rsidP="002C5A08">
      <w:pPr>
        <w:keepNext/>
        <w:spacing w:line="288" w:lineRule="atLeast"/>
        <w:jc w:val="center"/>
        <w:rPr>
          <w:b/>
          <w:bCs/>
        </w:rPr>
      </w:pPr>
      <w:r w:rsidRPr="00CB2BB8">
        <w:rPr>
          <w:b/>
          <w:bCs/>
        </w:rPr>
        <w:t xml:space="preserve">Table </w:t>
      </w:r>
      <w:r w:rsidR="009B541F">
        <w:rPr>
          <w:b/>
          <w:bCs/>
        </w:rPr>
        <w:t>3</w:t>
      </w:r>
    </w:p>
    <w:p w:rsidR="002C5A08" w:rsidRPr="00CB2BB8" w:rsidRDefault="002C5A08" w:rsidP="002C5A08">
      <w:pPr>
        <w:keepNext/>
        <w:spacing w:after="120" w:line="288" w:lineRule="atLeast"/>
        <w:jc w:val="center"/>
        <w:rPr>
          <w:b/>
        </w:rPr>
      </w:pPr>
      <w:r w:rsidRPr="00CB2BB8">
        <w:rPr>
          <w:b/>
        </w:rPr>
        <w:t>Summary of Clinical Results from NINOS Study</w:t>
      </w:r>
    </w:p>
    <w:tbl>
      <w:tblPr>
        <w:tblW w:w="5760" w:type="dxa"/>
        <w:tblInd w:w="1971" w:type="dxa"/>
        <w:tblLayout w:type="fixed"/>
        <w:tblLook w:val="0000" w:firstRow="0" w:lastRow="0" w:firstColumn="0" w:lastColumn="0" w:noHBand="0" w:noVBand="0"/>
      </w:tblPr>
      <w:tblGrid>
        <w:gridCol w:w="1800"/>
        <w:gridCol w:w="1440"/>
        <w:gridCol w:w="1350"/>
        <w:gridCol w:w="1170"/>
      </w:tblGrid>
      <w:tr w:rsidR="002C5A08" w:rsidRPr="00CB2BB8" w:rsidTr="002C5A08">
        <w:trPr>
          <w:cantSplit/>
        </w:trPr>
        <w:tc>
          <w:tcPr>
            <w:tcW w:w="1800" w:type="dxa"/>
            <w:tcBorders>
              <w:top w:val="double" w:sz="6" w:space="0" w:color="auto"/>
              <w:left w:val="double" w:sz="6" w:space="0" w:color="auto"/>
            </w:tcBorders>
          </w:tcPr>
          <w:p w:rsidR="002C5A08" w:rsidRPr="00CB2BB8" w:rsidRDefault="002C5A08" w:rsidP="002C5A08">
            <w:pPr>
              <w:keepNext/>
              <w:spacing w:line="288" w:lineRule="atLeast"/>
              <w:jc w:val="center"/>
            </w:pPr>
          </w:p>
        </w:tc>
        <w:tc>
          <w:tcPr>
            <w:tcW w:w="1440" w:type="dxa"/>
            <w:tcBorders>
              <w:top w:val="double" w:sz="6" w:space="0" w:color="auto"/>
            </w:tcBorders>
          </w:tcPr>
          <w:p w:rsidR="002C5A08" w:rsidRPr="00CB2BB8" w:rsidRDefault="002C5A08" w:rsidP="002C5A08">
            <w:pPr>
              <w:keepNext/>
              <w:spacing w:line="288" w:lineRule="atLeast"/>
              <w:jc w:val="center"/>
            </w:pPr>
            <w:r w:rsidRPr="00CB2BB8">
              <w:t>Control</w:t>
            </w:r>
          </w:p>
          <w:p w:rsidR="002C5A08" w:rsidRPr="00CB2BB8" w:rsidRDefault="002C5A08" w:rsidP="002C5A08">
            <w:pPr>
              <w:keepNext/>
              <w:spacing w:line="288" w:lineRule="atLeast"/>
              <w:jc w:val="center"/>
            </w:pPr>
            <w:r w:rsidRPr="00CB2BB8">
              <w:t>(n=121)</w:t>
            </w:r>
          </w:p>
        </w:tc>
        <w:tc>
          <w:tcPr>
            <w:tcW w:w="1350" w:type="dxa"/>
            <w:tcBorders>
              <w:top w:val="double" w:sz="6" w:space="0" w:color="auto"/>
            </w:tcBorders>
          </w:tcPr>
          <w:p w:rsidR="002C5A08" w:rsidRPr="00CB2BB8" w:rsidRDefault="002C5A08" w:rsidP="002C5A08">
            <w:pPr>
              <w:keepNext/>
              <w:spacing w:line="288" w:lineRule="atLeast"/>
              <w:jc w:val="center"/>
            </w:pPr>
            <w:r w:rsidRPr="00CB2BB8">
              <w:t>NO</w:t>
            </w:r>
          </w:p>
          <w:p w:rsidR="002C5A08" w:rsidRPr="00CB2BB8" w:rsidRDefault="002C5A08" w:rsidP="002C5A08">
            <w:pPr>
              <w:keepNext/>
              <w:spacing w:line="288" w:lineRule="atLeast"/>
              <w:jc w:val="center"/>
            </w:pPr>
            <w:r w:rsidRPr="00CB2BB8">
              <w:t>(n=114)</w:t>
            </w:r>
          </w:p>
        </w:tc>
        <w:tc>
          <w:tcPr>
            <w:tcW w:w="1170" w:type="dxa"/>
            <w:tcBorders>
              <w:top w:val="double" w:sz="6" w:space="0" w:color="auto"/>
              <w:right w:val="double" w:sz="6" w:space="0" w:color="auto"/>
            </w:tcBorders>
          </w:tcPr>
          <w:p w:rsidR="002C5A08" w:rsidRPr="00CB2BB8" w:rsidRDefault="002C5A08" w:rsidP="002C5A08">
            <w:pPr>
              <w:keepNext/>
              <w:spacing w:line="288" w:lineRule="atLeast"/>
              <w:jc w:val="center"/>
            </w:pPr>
            <w:r w:rsidRPr="00CB2BB8">
              <w:t>P value</w:t>
            </w:r>
          </w:p>
        </w:tc>
      </w:tr>
      <w:tr w:rsidR="002C5A08" w:rsidRPr="00CB2BB8" w:rsidTr="002C5A08">
        <w:trPr>
          <w:cantSplit/>
        </w:trPr>
        <w:tc>
          <w:tcPr>
            <w:tcW w:w="1800" w:type="dxa"/>
            <w:tcBorders>
              <w:top w:val="double" w:sz="6" w:space="0" w:color="auto"/>
              <w:left w:val="double" w:sz="6" w:space="0" w:color="auto"/>
              <w:bottom w:val="single" w:sz="6" w:space="0" w:color="auto"/>
              <w:right w:val="single" w:sz="6" w:space="0" w:color="auto"/>
            </w:tcBorders>
          </w:tcPr>
          <w:p w:rsidR="002C5A08" w:rsidRPr="00CB2BB8" w:rsidRDefault="002C5A08" w:rsidP="002C5A08">
            <w:pPr>
              <w:keepNext/>
              <w:spacing w:line="288" w:lineRule="atLeast"/>
              <w:jc w:val="both"/>
            </w:pPr>
            <w:r w:rsidRPr="00CB2BB8">
              <w:t>Death or ECMO</w:t>
            </w:r>
            <w:proofErr w:type="spellStart"/>
            <w:r w:rsidRPr="00CB2BB8">
              <w:rPr>
                <w:position w:val="10"/>
              </w:rPr>
              <w:t>a,b</w:t>
            </w:r>
            <w:proofErr w:type="spellEnd"/>
          </w:p>
        </w:tc>
        <w:tc>
          <w:tcPr>
            <w:tcW w:w="1440" w:type="dxa"/>
            <w:tcBorders>
              <w:top w:val="double" w:sz="6" w:space="0" w:color="auto"/>
              <w:bottom w:val="single" w:sz="6" w:space="0" w:color="auto"/>
            </w:tcBorders>
          </w:tcPr>
          <w:p w:rsidR="002C5A08" w:rsidRPr="00CB2BB8" w:rsidRDefault="002C5A08" w:rsidP="002C5A08">
            <w:pPr>
              <w:keepNext/>
              <w:spacing w:line="288" w:lineRule="atLeast"/>
              <w:jc w:val="both"/>
            </w:pPr>
            <w:r w:rsidRPr="00CB2BB8">
              <w:t>77 (64%)</w:t>
            </w:r>
          </w:p>
        </w:tc>
        <w:tc>
          <w:tcPr>
            <w:tcW w:w="1350" w:type="dxa"/>
            <w:tcBorders>
              <w:top w:val="double" w:sz="6" w:space="0" w:color="auto"/>
              <w:bottom w:val="single" w:sz="6" w:space="0" w:color="auto"/>
            </w:tcBorders>
          </w:tcPr>
          <w:p w:rsidR="002C5A08" w:rsidRPr="00CB2BB8" w:rsidRDefault="002C5A08" w:rsidP="002C5A08">
            <w:pPr>
              <w:keepNext/>
              <w:spacing w:line="288" w:lineRule="atLeast"/>
              <w:jc w:val="both"/>
            </w:pPr>
            <w:r w:rsidRPr="00CB2BB8">
              <w:t>52 (46%)</w:t>
            </w:r>
          </w:p>
        </w:tc>
        <w:tc>
          <w:tcPr>
            <w:tcW w:w="1170" w:type="dxa"/>
            <w:tcBorders>
              <w:top w:val="double" w:sz="6" w:space="0" w:color="auto"/>
              <w:bottom w:val="single" w:sz="6" w:space="0" w:color="auto"/>
              <w:right w:val="double" w:sz="6" w:space="0" w:color="auto"/>
            </w:tcBorders>
          </w:tcPr>
          <w:p w:rsidR="002C5A08" w:rsidRPr="00CB2BB8" w:rsidRDefault="002C5A08" w:rsidP="002C5A08">
            <w:pPr>
              <w:keepNext/>
              <w:spacing w:line="288" w:lineRule="atLeast"/>
              <w:jc w:val="both"/>
            </w:pPr>
            <w:r w:rsidRPr="00CB2BB8">
              <w:t>0.006</w:t>
            </w:r>
          </w:p>
        </w:tc>
      </w:tr>
      <w:tr w:rsidR="002C5A08" w:rsidRPr="00CB2BB8" w:rsidTr="002C5A08">
        <w:trPr>
          <w:cantSplit/>
        </w:trPr>
        <w:tc>
          <w:tcPr>
            <w:tcW w:w="1800" w:type="dxa"/>
            <w:tcBorders>
              <w:left w:val="double" w:sz="6" w:space="0" w:color="auto"/>
              <w:right w:val="single" w:sz="6" w:space="0" w:color="auto"/>
            </w:tcBorders>
          </w:tcPr>
          <w:p w:rsidR="002C5A08" w:rsidRPr="00CB2BB8" w:rsidRDefault="002C5A08" w:rsidP="002C5A08">
            <w:pPr>
              <w:spacing w:line="288" w:lineRule="atLeast"/>
              <w:jc w:val="both"/>
            </w:pPr>
            <w:r w:rsidRPr="00CB2BB8">
              <w:t xml:space="preserve">Death </w:t>
            </w:r>
          </w:p>
        </w:tc>
        <w:tc>
          <w:tcPr>
            <w:tcW w:w="1440" w:type="dxa"/>
          </w:tcPr>
          <w:p w:rsidR="002C5A08" w:rsidRPr="00CB2BB8" w:rsidRDefault="002C5A08" w:rsidP="002C5A08">
            <w:pPr>
              <w:spacing w:line="288" w:lineRule="atLeast"/>
              <w:jc w:val="both"/>
            </w:pPr>
            <w:r w:rsidRPr="00CB2BB8">
              <w:t>20 (17%)</w:t>
            </w:r>
          </w:p>
        </w:tc>
        <w:tc>
          <w:tcPr>
            <w:tcW w:w="1350" w:type="dxa"/>
          </w:tcPr>
          <w:p w:rsidR="002C5A08" w:rsidRPr="00CB2BB8" w:rsidRDefault="002C5A08" w:rsidP="002C5A08">
            <w:pPr>
              <w:spacing w:line="288" w:lineRule="atLeast"/>
              <w:jc w:val="both"/>
            </w:pPr>
            <w:r w:rsidRPr="00CB2BB8">
              <w:t>16 (14%)</w:t>
            </w:r>
          </w:p>
        </w:tc>
        <w:tc>
          <w:tcPr>
            <w:tcW w:w="1170" w:type="dxa"/>
            <w:tcBorders>
              <w:right w:val="double" w:sz="6" w:space="0" w:color="auto"/>
            </w:tcBorders>
          </w:tcPr>
          <w:p w:rsidR="002C5A08" w:rsidRPr="00CB2BB8" w:rsidRDefault="002C5A08" w:rsidP="002C5A08">
            <w:pPr>
              <w:spacing w:line="288" w:lineRule="atLeast"/>
              <w:jc w:val="both"/>
            </w:pPr>
            <w:r w:rsidRPr="00CB2BB8">
              <w:t>0.60</w:t>
            </w:r>
          </w:p>
        </w:tc>
      </w:tr>
      <w:tr w:rsidR="002C5A08" w:rsidRPr="00CB2BB8" w:rsidTr="002C5A08">
        <w:trPr>
          <w:cantSplit/>
        </w:trPr>
        <w:tc>
          <w:tcPr>
            <w:tcW w:w="1800" w:type="dxa"/>
            <w:tcBorders>
              <w:left w:val="double" w:sz="6" w:space="0" w:color="auto"/>
              <w:bottom w:val="double" w:sz="6" w:space="0" w:color="auto"/>
              <w:right w:val="single" w:sz="6" w:space="0" w:color="auto"/>
            </w:tcBorders>
          </w:tcPr>
          <w:p w:rsidR="002C5A08" w:rsidRPr="00CB2BB8" w:rsidRDefault="002C5A08" w:rsidP="002C5A08">
            <w:pPr>
              <w:spacing w:line="288" w:lineRule="atLeast"/>
              <w:jc w:val="both"/>
            </w:pPr>
            <w:r w:rsidRPr="00CB2BB8">
              <w:t xml:space="preserve">ECMO </w:t>
            </w:r>
          </w:p>
        </w:tc>
        <w:tc>
          <w:tcPr>
            <w:tcW w:w="1440" w:type="dxa"/>
            <w:tcBorders>
              <w:bottom w:val="double" w:sz="6" w:space="0" w:color="auto"/>
            </w:tcBorders>
          </w:tcPr>
          <w:p w:rsidR="002C5A08" w:rsidRPr="00CB2BB8" w:rsidRDefault="002C5A08" w:rsidP="002C5A08">
            <w:pPr>
              <w:spacing w:line="288" w:lineRule="atLeast"/>
              <w:jc w:val="both"/>
            </w:pPr>
            <w:r w:rsidRPr="00CB2BB8">
              <w:t>66 (55%)</w:t>
            </w:r>
          </w:p>
        </w:tc>
        <w:tc>
          <w:tcPr>
            <w:tcW w:w="1350" w:type="dxa"/>
            <w:tcBorders>
              <w:bottom w:val="double" w:sz="6" w:space="0" w:color="auto"/>
            </w:tcBorders>
          </w:tcPr>
          <w:p w:rsidR="002C5A08" w:rsidRPr="00CB2BB8" w:rsidRDefault="002C5A08" w:rsidP="002C5A08">
            <w:pPr>
              <w:spacing w:line="288" w:lineRule="atLeast"/>
              <w:jc w:val="both"/>
            </w:pPr>
            <w:r w:rsidRPr="00CB2BB8">
              <w:t>44 (39%)</w:t>
            </w:r>
          </w:p>
        </w:tc>
        <w:tc>
          <w:tcPr>
            <w:tcW w:w="1170" w:type="dxa"/>
            <w:tcBorders>
              <w:bottom w:val="double" w:sz="6" w:space="0" w:color="auto"/>
              <w:right w:val="double" w:sz="6" w:space="0" w:color="auto"/>
            </w:tcBorders>
          </w:tcPr>
          <w:p w:rsidR="002C5A08" w:rsidRPr="00CB2BB8" w:rsidRDefault="002C5A08" w:rsidP="002C5A08">
            <w:pPr>
              <w:spacing w:line="288" w:lineRule="atLeast"/>
              <w:jc w:val="both"/>
            </w:pPr>
            <w:r w:rsidRPr="00CB2BB8">
              <w:t>0.014</w:t>
            </w:r>
          </w:p>
        </w:tc>
      </w:tr>
    </w:tbl>
    <w:p w:rsidR="002C5A08" w:rsidRPr="00CB2BB8" w:rsidRDefault="002C5A08" w:rsidP="002C5A08">
      <w:pPr>
        <w:spacing w:line="288" w:lineRule="atLeast"/>
        <w:ind w:left="1440" w:firstLine="720"/>
        <w:jc w:val="both"/>
      </w:pPr>
      <w:proofErr w:type="spellStart"/>
      <w:r w:rsidRPr="006E156B">
        <w:rPr>
          <w:vertAlign w:val="superscript"/>
        </w:rPr>
        <w:t>a</w:t>
      </w:r>
      <w:proofErr w:type="spellEnd"/>
      <w:r>
        <w:t xml:space="preserve"> E</w:t>
      </w:r>
      <w:r w:rsidRPr="00CB2BB8">
        <w:t>xtracorporeal membrane oxygenation</w:t>
      </w:r>
    </w:p>
    <w:p w:rsidR="002C5A08" w:rsidRPr="00CB2BB8" w:rsidRDefault="002C5A08" w:rsidP="002C5A08">
      <w:pPr>
        <w:spacing w:line="288" w:lineRule="atLeast"/>
        <w:ind w:left="1440" w:firstLine="720"/>
        <w:jc w:val="both"/>
      </w:pPr>
      <w:r w:rsidRPr="00CB2BB8">
        <w:rPr>
          <w:vertAlign w:val="superscript"/>
        </w:rPr>
        <w:t>b</w:t>
      </w:r>
      <w:r>
        <w:t xml:space="preserve"> </w:t>
      </w:r>
      <w:r w:rsidRPr="00CB2BB8">
        <w:t>Death or need for ECMO was the study’s primary end point</w:t>
      </w:r>
    </w:p>
    <w:p w:rsidR="002C5A08" w:rsidRPr="00CB2BB8" w:rsidRDefault="002C5A08" w:rsidP="002C5A08">
      <w:pPr>
        <w:spacing w:line="288" w:lineRule="atLeast"/>
        <w:jc w:val="both"/>
      </w:pPr>
    </w:p>
    <w:p w:rsidR="002C5A08" w:rsidRPr="00CB2BB8" w:rsidRDefault="002C5A08" w:rsidP="002C5A08">
      <w:pPr>
        <w:spacing w:line="288" w:lineRule="atLeast"/>
        <w:jc w:val="both"/>
      </w:pPr>
      <w:r w:rsidRPr="00CB2BB8">
        <w:t xml:space="preserve">Although the incidence of death by 120 days of age was similar in both groups (NO, 14%; control, 17%), significantly fewer infants in the nitric oxide group required ECMO compared with controls (39% vs. 55%, p = 0.014).  The combined incidence of death and/or initiation of ECMO showed a significant advantage for the nitric oxide treated group (46% vs. 64%, p = 0.006).  The nitric oxide group also had significantly greater increases in </w:t>
      </w:r>
      <w:proofErr w:type="spellStart"/>
      <w:r w:rsidRPr="00CB2BB8">
        <w:t>PaO</w:t>
      </w:r>
      <w:proofErr w:type="spellEnd"/>
      <w:r w:rsidRPr="00CB2BB8">
        <w:rPr>
          <w:position w:val="-4"/>
        </w:rPr>
        <w:t>2</w:t>
      </w:r>
      <w:r w:rsidRPr="00CB2BB8">
        <w:t xml:space="preserve"> and greater decreases in the OI and the alveolar-arterial oxygen gradient than the control group (p&lt;0.001 for all parameters).  Significantly more patients had at least a partial response to the initial administration of study </w:t>
      </w:r>
      <w:r w:rsidRPr="00CB2BB8">
        <w:rPr>
          <w:color w:val="000000"/>
        </w:rPr>
        <w:t xml:space="preserve">drug in the nitric oxide group (66%) than the control group (26%, p&lt;0.001).  Of the 125 infants who did not respond to 20 ppm nitric oxide or control, similar percentages of NO-treated (18%) and control (20%) patients had at least a partial response to 80 ppm nitric oxide for inhalation or control drug, suggesting a lack of additional benefit for the higher dose of nitric oxide.  No infant had study drug discontinued for toxicity. Inhaled nitric oxide had no detectable effect on mortality. </w:t>
      </w:r>
      <w:r w:rsidRPr="00CB2BB8">
        <w:t>The adverse effects collected in the NINOS trial occurred at similar incidence r</w:t>
      </w:r>
      <w:r>
        <w:t>ates in both treatment groups (s</w:t>
      </w:r>
      <w:r w:rsidRPr="00CB2BB8">
        <w:t xml:space="preserve">ee </w:t>
      </w:r>
      <w:r w:rsidR="00F27DCF">
        <w:t>Section</w:t>
      </w:r>
      <w:r w:rsidR="00F27DCF">
        <w:rPr>
          <w:caps/>
        </w:rPr>
        <w:t xml:space="preserve"> 4.8 </w:t>
      </w:r>
      <w:r w:rsidR="00F27DCF" w:rsidRPr="00F30201">
        <w:t>Adverse E</w:t>
      </w:r>
      <w:r w:rsidR="00F27DCF">
        <w:t>ffec</w:t>
      </w:r>
      <w:r w:rsidR="00F27DCF" w:rsidRPr="00F30201">
        <w:t>ts (</w:t>
      </w:r>
      <w:r w:rsidR="00F27DCF">
        <w:t>Undesirable Effects</w:t>
      </w:r>
      <w:r w:rsidRPr="00CB2BB8">
        <w:t>).  Follow-up exams were performed at 18-24 months for the infants enrolled in this trial.  In the infants with available follow-up, the two treatment groups were similar with respect to their mental, motor, audiology, or neurologic</w:t>
      </w:r>
      <w:r>
        <w:t>al</w:t>
      </w:r>
      <w:r w:rsidRPr="00CB2BB8">
        <w:t xml:space="preserve"> evaluations.  </w:t>
      </w:r>
    </w:p>
    <w:p w:rsidR="002C5A08" w:rsidRPr="00CB2BB8" w:rsidRDefault="002C5A08" w:rsidP="002C5A08">
      <w:pPr>
        <w:spacing w:line="288" w:lineRule="atLeast"/>
        <w:jc w:val="both"/>
      </w:pPr>
    </w:p>
    <w:p w:rsidR="002C5A08" w:rsidRPr="00CB2BB8" w:rsidRDefault="002C5A08" w:rsidP="002C5A08">
      <w:pPr>
        <w:keepNext/>
        <w:keepLines/>
        <w:spacing w:line="288" w:lineRule="atLeast"/>
        <w:jc w:val="both"/>
      </w:pPr>
      <w:r w:rsidRPr="00CB2BB8">
        <w:rPr>
          <w:b/>
        </w:rPr>
        <w:t>CINRGI study</w:t>
      </w:r>
      <w:r w:rsidRPr="00CB2BB8">
        <w:t xml:space="preserve">:  This study was a double-blind, </w:t>
      </w:r>
      <w:r w:rsidR="008508BE" w:rsidRPr="00CB2BB8">
        <w:t>randomi</w:t>
      </w:r>
      <w:r w:rsidR="008508BE">
        <w:t>s</w:t>
      </w:r>
      <w:r w:rsidR="008508BE" w:rsidRPr="00CB2BB8">
        <w:t>ed</w:t>
      </w:r>
      <w:r w:rsidRPr="00CB2BB8">
        <w:t>, placebo-controlled, multicentr</w:t>
      </w:r>
      <w:r>
        <w:t>e</w:t>
      </w:r>
      <w:r w:rsidRPr="00CB2BB8">
        <w:t xml:space="preserve"> trial of 186 term and near-term neonates with pulmonary hypertension and hypoxic respiratory failure.  The primary objective of the study was to determine whether </w:t>
      </w:r>
      <w:proofErr w:type="spellStart"/>
      <w:r w:rsidRPr="00CB2BB8">
        <w:rPr>
          <w:color w:val="000000"/>
        </w:rPr>
        <w:t>INOmax</w:t>
      </w:r>
      <w:proofErr w:type="spellEnd"/>
      <w:r w:rsidRPr="00CB2BB8">
        <w:rPr>
          <w:color w:val="000000"/>
        </w:rPr>
        <w:t>®</w:t>
      </w:r>
      <w:r w:rsidRPr="00CB2BB8">
        <w:t xml:space="preserve"> would reduce the receipt of ECMO in these patients.  Hypoxic respiratory failure was caused by MAS (35%), idiopathic PPHN (30%), pneumonia/sepsis (24%), or RDS (8%). Patients with a mean PaO</w:t>
      </w:r>
      <w:r w:rsidRPr="00CB2BB8">
        <w:rPr>
          <w:vertAlign w:val="subscript"/>
        </w:rPr>
        <w:t>2</w:t>
      </w:r>
      <w:r w:rsidRPr="00CB2BB8">
        <w:t xml:space="preserve">  of 54 mm Hg and a mean OI of 44 cm H</w:t>
      </w:r>
      <w:r w:rsidRPr="00CB2BB8">
        <w:rPr>
          <w:vertAlign w:val="subscript"/>
        </w:rPr>
        <w:t>2</w:t>
      </w:r>
      <w:r w:rsidRPr="00CB2BB8">
        <w:t xml:space="preserve">O / mm Hg were randomly assigned to receive either 20 ppm </w:t>
      </w:r>
      <w:proofErr w:type="spellStart"/>
      <w:r w:rsidRPr="00CB2BB8">
        <w:t>INOmax</w:t>
      </w:r>
      <w:proofErr w:type="spellEnd"/>
      <w:r w:rsidRPr="00CB2BB8">
        <w:t xml:space="preserve">® (n=97) or nitrogen gas (placebo; n=89) in addition to their </w:t>
      </w:r>
      <w:proofErr w:type="spellStart"/>
      <w:r w:rsidRPr="00CB2BB8">
        <w:t>ventilatory</w:t>
      </w:r>
      <w:proofErr w:type="spellEnd"/>
      <w:r w:rsidRPr="00CB2BB8">
        <w:t xml:space="preserve"> support.  Patients who exhibited a </w:t>
      </w:r>
      <w:proofErr w:type="spellStart"/>
      <w:r w:rsidRPr="00CB2BB8">
        <w:t>PaO</w:t>
      </w:r>
      <w:proofErr w:type="spellEnd"/>
      <w:r w:rsidRPr="00CB2BB8">
        <w:rPr>
          <w:position w:val="-4"/>
        </w:rPr>
        <w:t>2</w:t>
      </w:r>
      <w:r w:rsidRPr="00CB2BB8">
        <w:t xml:space="preserve"> &gt;60 mm Hg and a pH &lt; 7.55 were weaned to 5 ppm </w:t>
      </w:r>
      <w:proofErr w:type="spellStart"/>
      <w:r w:rsidRPr="00CB2BB8">
        <w:rPr>
          <w:color w:val="000000"/>
        </w:rPr>
        <w:t>INOmax</w:t>
      </w:r>
      <w:proofErr w:type="spellEnd"/>
      <w:r w:rsidRPr="00CB2BB8">
        <w:rPr>
          <w:color w:val="000000"/>
        </w:rPr>
        <w:t>®</w:t>
      </w:r>
      <w:r w:rsidRPr="00CB2BB8">
        <w:t xml:space="preserve"> or placebo in 4 to 24 hours with a median duration of exposure of 44 hours.  The primary results from the CINRGI study are presented in Table </w:t>
      </w:r>
      <w:r w:rsidR="009B541F">
        <w:t>4</w:t>
      </w:r>
      <w:r w:rsidRPr="00CB2BB8">
        <w:t>.</w:t>
      </w:r>
    </w:p>
    <w:p w:rsidR="002C5A08" w:rsidRDefault="002C5A08" w:rsidP="002C5A08">
      <w:pPr>
        <w:spacing w:line="288" w:lineRule="atLeast"/>
        <w:jc w:val="center"/>
        <w:rPr>
          <w:b/>
        </w:rPr>
      </w:pPr>
    </w:p>
    <w:p w:rsidR="002C5A08" w:rsidRPr="00CB2BB8" w:rsidRDefault="002C5A08" w:rsidP="002C5A08">
      <w:pPr>
        <w:spacing w:line="288" w:lineRule="atLeast"/>
        <w:jc w:val="center"/>
        <w:rPr>
          <w:b/>
        </w:rPr>
      </w:pPr>
      <w:r w:rsidRPr="00CB2BB8">
        <w:rPr>
          <w:b/>
        </w:rPr>
        <w:t xml:space="preserve">Table </w:t>
      </w:r>
      <w:r w:rsidR="009B541F">
        <w:rPr>
          <w:b/>
        </w:rPr>
        <w:t>4</w:t>
      </w:r>
    </w:p>
    <w:p w:rsidR="002C5A08" w:rsidRPr="00CB2BB8" w:rsidRDefault="002C5A08" w:rsidP="002C5A08">
      <w:pPr>
        <w:spacing w:after="120" w:line="288" w:lineRule="atLeast"/>
        <w:jc w:val="center"/>
        <w:rPr>
          <w:b/>
        </w:rPr>
      </w:pPr>
      <w:r w:rsidRPr="00CB2BB8">
        <w:rPr>
          <w:b/>
        </w:rPr>
        <w:t>Summary of Clinical Results from CINRGI Study</w:t>
      </w:r>
    </w:p>
    <w:tbl>
      <w:tblPr>
        <w:tblW w:w="5760" w:type="dxa"/>
        <w:tblInd w:w="2151" w:type="dxa"/>
        <w:tblLayout w:type="fixed"/>
        <w:tblLook w:val="0000" w:firstRow="0" w:lastRow="0" w:firstColumn="0" w:lastColumn="0" w:noHBand="0" w:noVBand="0"/>
      </w:tblPr>
      <w:tblGrid>
        <w:gridCol w:w="1620"/>
        <w:gridCol w:w="1440"/>
        <w:gridCol w:w="1350"/>
        <w:gridCol w:w="1350"/>
      </w:tblGrid>
      <w:tr w:rsidR="002C5A08" w:rsidRPr="00CB2BB8" w:rsidTr="002C5A08">
        <w:trPr>
          <w:cantSplit/>
        </w:trPr>
        <w:tc>
          <w:tcPr>
            <w:tcW w:w="1620" w:type="dxa"/>
            <w:tcBorders>
              <w:top w:val="double" w:sz="6" w:space="0" w:color="auto"/>
              <w:left w:val="double" w:sz="6" w:space="0" w:color="auto"/>
              <w:right w:val="single" w:sz="6" w:space="0" w:color="auto"/>
            </w:tcBorders>
          </w:tcPr>
          <w:p w:rsidR="002C5A08" w:rsidRPr="00CB2BB8" w:rsidRDefault="002C5A08" w:rsidP="002C5A08">
            <w:pPr>
              <w:spacing w:line="288" w:lineRule="atLeast"/>
              <w:jc w:val="both"/>
            </w:pPr>
          </w:p>
        </w:tc>
        <w:tc>
          <w:tcPr>
            <w:tcW w:w="1440" w:type="dxa"/>
            <w:tcBorders>
              <w:top w:val="double" w:sz="6" w:space="0" w:color="auto"/>
            </w:tcBorders>
          </w:tcPr>
          <w:p w:rsidR="002C5A08" w:rsidRPr="00CB2BB8" w:rsidRDefault="002C5A08" w:rsidP="002C5A08">
            <w:pPr>
              <w:spacing w:line="288" w:lineRule="atLeast"/>
              <w:jc w:val="both"/>
            </w:pPr>
            <w:r w:rsidRPr="00CB2BB8">
              <w:t xml:space="preserve">Placebo </w:t>
            </w:r>
          </w:p>
        </w:tc>
        <w:tc>
          <w:tcPr>
            <w:tcW w:w="1350" w:type="dxa"/>
            <w:tcBorders>
              <w:top w:val="double" w:sz="6" w:space="0" w:color="auto"/>
            </w:tcBorders>
          </w:tcPr>
          <w:p w:rsidR="002C5A08" w:rsidRPr="00CB2BB8" w:rsidRDefault="002C5A08" w:rsidP="002C5A08">
            <w:pPr>
              <w:spacing w:line="288" w:lineRule="atLeast"/>
              <w:jc w:val="both"/>
            </w:pPr>
            <w:proofErr w:type="spellStart"/>
            <w:r w:rsidRPr="00CB2BB8">
              <w:t>INOmax</w:t>
            </w:r>
            <w:proofErr w:type="spellEnd"/>
            <w:r w:rsidRPr="00CB2BB8">
              <w:t xml:space="preserve">® </w:t>
            </w:r>
          </w:p>
        </w:tc>
        <w:tc>
          <w:tcPr>
            <w:tcW w:w="1350" w:type="dxa"/>
            <w:tcBorders>
              <w:top w:val="double" w:sz="6" w:space="0" w:color="auto"/>
              <w:right w:val="double" w:sz="6" w:space="0" w:color="auto"/>
            </w:tcBorders>
          </w:tcPr>
          <w:p w:rsidR="002C5A08" w:rsidRPr="00CB2BB8" w:rsidRDefault="002C5A08" w:rsidP="002C5A08">
            <w:pPr>
              <w:spacing w:line="288" w:lineRule="atLeast"/>
              <w:jc w:val="both"/>
            </w:pPr>
            <w:r w:rsidRPr="00CB2BB8">
              <w:t>P value</w:t>
            </w:r>
          </w:p>
        </w:tc>
      </w:tr>
      <w:tr w:rsidR="002C5A08" w:rsidRPr="00CB2BB8" w:rsidTr="002C5A08">
        <w:trPr>
          <w:cantSplit/>
        </w:trPr>
        <w:tc>
          <w:tcPr>
            <w:tcW w:w="1620" w:type="dxa"/>
            <w:tcBorders>
              <w:top w:val="double" w:sz="6" w:space="0" w:color="auto"/>
              <w:left w:val="double" w:sz="6" w:space="0" w:color="auto"/>
              <w:bottom w:val="single" w:sz="6" w:space="0" w:color="auto"/>
              <w:right w:val="single" w:sz="6" w:space="0" w:color="auto"/>
            </w:tcBorders>
          </w:tcPr>
          <w:p w:rsidR="002C5A08" w:rsidRPr="00CB2BB8" w:rsidRDefault="002C5A08" w:rsidP="002C5A08">
            <w:pPr>
              <w:spacing w:line="288" w:lineRule="atLeast"/>
              <w:jc w:val="both"/>
            </w:pPr>
            <w:r w:rsidRPr="00CB2BB8">
              <w:t>ECMO</w:t>
            </w:r>
            <w:proofErr w:type="spellStart"/>
            <w:r w:rsidRPr="00CB2BB8">
              <w:rPr>
                <w:position w:val="10"/>
              </w:rPr>
              <w:t>a,b</w:t>
            </w:r>
            <w:proofErr w:type="spellEnd"/>
          </w:p>
        </w:tc>
        <w:tc>
          <w:tcPr>
            <w:tcW w:w="1440" w:type="dxa"/>
            <w:tcBorders>
              <w:top w:val="double" w:sz="6" w:space="0" w:color="auto"/>
              <w:bottom w:val="single" w:sz="6" w:space="0" w:color="auto"/>
            </w:tcBorders>
          </w:tcPr>
          <w:p w:rsidR="002C5A08" w:rsidRPr="00CB2BB8" w:rsidRDefault="002C5A08" w:rsidP="002C5A08">
            <w:pPr>
              <w:spacing w:line="288" w:lineRule="atLeast"/>
              <w:jc w:val="both"/>
            </w:pPr>
            <w:r w:rsidRPr="00CB2BB8">
              <w:t>51/89 (57%)</w:t>
            </w:r>
          </w:p>
        </w:tc>
        <w:tc>
          <w:tcPr>
            <w:tcW w:w="1350" w:type="dxa"/>
            <w:tcBorders>
              <w:top w:val="double" w:sz="6" w:space="0" w:color="auto"/>
              <w:bottom w:val="single" w:sz="6" w:space="0" w:color="auto"/>
            </w:tcBorders>
          </w:tcPr>
          <w:p w:rsidR="002C5A08" w:rsidRPr="00CB2BB8" w:rsidRDefault="002C5A08" w:rsidP="002C5A08">
            <w:pPr>
              <w:spacing w:line="288" w:lineRule="atLeast"/>
              <w:jc w:val="both"/>
            </w:pPr>
            <w:r w:rsidRPr="00CB2BB8">
              <w:t>30/97 (31%)</w:t>
            </w:r>
          </w:p>
        </w:tc>
        <w:tc>
          <w:tcPr>
            <w:tcW w:w="1350" w:type="dxa"/>
            <w:tcBorders>
              <w:top w:val="double" w:sz="6" w:space="0" w:color="auto"/>
              <w:bottom w:val="single" w:sz="6" w:space="0" w:color="auto"/>
              <w:right w:val="double" w:sz="6" w:space="0" w:color="auto"/>
            </w:tcBorders>
          </w:tcPr>
          <w:p w:rsidR="002C5A08" w:rsidRPr="00CB2BB8" w:rsidRDefault="002C5A08" w:rsidP="002C5A08">
            <w:pPr>
              <w:spacing w:line="288" w:lineRule="atLeast"/>
              <w:jc w:val="both"/>
            </w:pPr>
            <w:r w:rsidRPr="00CB2BB8">
              <w:t>&lt; 0.001</w:t>
            </w:r>
          </w:p>
        </w:tc>
      </w:tr>
      <w:tr w:rsidR="002C5A08" w:rsidRPr="00CB2BB8" w:rsidTr="002C5A08">
        <w:trPr>
          <w:cantSplit/>
          <w:trHeight w:val="327"/>
        </w:trPr>
        <w:tc>
          <w:tcPr>
            <w:tcW w:w="1620" w:type="dxa"/>
            <w:tcBorders>
              <w:top w:val="single" w:sz="6" w:space="0" w:color="auto"/>
              <w:left w:val="double" w:sz="6" w:space="0" w:color="auto"/>
              <w:bottom w:val="double" w:sz="6" w:space="0" w:color="auto"/>
              <w:right w:val="single" w:sz="6" w:space="0" w:color="auto"/>
            </w:tcBorders>
          </w:tcPr>
          <w:p w:rsidR="002C5A08" w:rsidRPr="00CB2BB8" w:rsidRDefault="002C5A08" w:rsidP="002C5A08">
            <w:pPr>
              <w:spacing w:line="288" w:lineRule="atLeast"/>
              <w:jc w:val="both"/>
            </w:pPr>
            <w:r w:rsidRPr="00CB2BB8">
              <w:t>Death</w:t>
            </w:r>
          </w:p>
        </w:tc>
        <w:tc>
          <w:tcPr>
            <w:tcW w:w="1440" w:type="dxa"/>
            <w:tcBorders>
              <w:top w:val="single" w:sz="6" w:space="0" w:color="auto"/>
              <w:bottom w:val="double" w:sz="6" w:space="0" w:color="auto"/>
            </w:tcBorders>
          </w:tcPr>
          <w:p w:rsidR="002C5A08" w:rsidRPr="00CB2BB8" w:rsidRDefault="002C5A08" w:rsidP="002C5A08">
            <w:pPr>
              <w:spacing w:line="288" w:lineRule="atLeast"/>
              <w:jc w:val="both"/>
            </w:pPr>
            <w:r w:rsidRPr="00CB2BB8">
              <w:t>5/89 (6%)</w:t>
            </w:r>
          </w:p>
        </w:tc>
        <w:tc>
          <w:tcPr>
            <w:tcW w:w="1350" w:type="dxa"/>
            <w:tcBorders>
              <w:top w:val="single" w:sz="6" w:space="0" w:color="auto"/>
              <w:bottom w:val="double" w:sz="6" w:space="0" w:color="auto"/>
            </w:tcBorders>
          </w:tcPr>
          <w:p w:rsidR="002C5A08" w:rsidRPr="00CB2BB8" w:rsidRDefault="002C5A08" w:rsidP="002C5A08">
            <w:pPr>
              <w:spacing w:line="288" w:lineRule="atLeast"/>
              <w:jc w:val="both"/>
            </w:pPr>
            <w:r w:rsidRPr="00CB2BB8">
              <w:t>3/97 (3%)</w:t>
            </w:r>
          </w:p>
        </w:tc>
        <w:tc>
          <w:tcPr>
            <w:tcW w:w="1350" w:type="dxa"/>
            <w:tcBorders>
              <w:top w:val="single" w:sz="6" w:space="0" w:color="auto"/>
              <w:bottom w:val="double" w:sz="6" w:space="0" w:color="auto"/>
              <w:right w:val="double" w:sz="6" w:space="0" w:color="auto"/>
            </w:tcBorders>
          </w:tcPr>
          <w:p w:rsidR="002C5A08" w:rsidRPr="00CB2BB8" w:rsidRDefault="002C5A08" w:rsidP="002C5A08">
            <w:pPr>
              <w:spacing w:line="288" w:lineRule="atLeast"/>
              <w:jc w:val="both"/>
            </w:pPr>
            <w:r w:rsidRPr="00CB2BB8">
              <w:t>0.48</w:t>
            </w:r>
          </w:p>
        </w:tc>
      </w:tr>
    </w:tbl>
    <w:p w:rsidR="002C5A08" w:rsidRPr="00CB2BB8" w:rsidRDefault="002C5A08" w:rsidP="002C5A08">
      <w:pPr>
        <w:spacing w:line="288" w:lineRule="atLeast"/>
        <w:ind w:left="1440" w:firstLine="720"/>
        <w:jc w:val="both"/>
      </w:pPr>
      <w:proofErr w:type="spellStart"/>
      <w:r w:rsidRPr="00CB2BB8">
        <w:rPr>
          <w:position w:val="10"/>
        </w:rPr>
        <w:lastRenderedPageBreak/>
        <w:t>a</w:t>
      </w:r>
      <w:proofErr w:type="spellEnd"/>
      <w:r w:rsidRPr="00CB2BB8">
        <w:t xml:space="preserve">  Extracorporeal membrane oxygenation</w:t>
      </w:r>
    </w:p>
    <w:p w:rsidR="002C5A08" w:rsidRPr="00CB2BB8" w:rsidRDefault="002C5A08" w:rsidP="002C5A08">
      <w:pPr>
        <w:spacing w:line="288" w:lineRule="atLeast"/>
        <w:ind w:left="1440" w:firstLine="720"/>
        <w:jc w:val="both"/>
      </w:pPr>
      <w:r w:rsidRPr="00CB2BB8">
        <w:rPr>
          <w:vertAlign w:val="superscript"/>
        </w:rPr>
        <w:t>b</w:t>
      </w:r>
      <w:r w:rsidRPr="00CB2BB8">
        <w:t xml:space="preserve">  ECMO was the primary end point of this study</w:t>
      </w:r>
    </w:p>
    <w:p w:rsidR="002C5A08" w:rsidRPr="00CB2BB8" w:rsidRDefault="002C5A08" w:rsidP="002C5A08">
      <w:pPr>
        <w:spacing w:line="288" w:lineRule="atLeast"/>
        <w:jc w:val="both"/>
        <w:rPr>
          <w:b/>
        </w:rPr>
      </w:pPr>
    </w:p>
    <w:p w:rsidR="002C5A08" w:rsidRPr="00CB2BB8" w:rsidRDefault="002C5A08" w:rsidP="002C5A08">
      <w:pPr>
        <w:spacing w:line="288" w:lineRule="atLeast"/>
        <w:jc w:val="both"/>
      </w:pPr>
      <w:r w:rsidRPr="00CB2BB8">
        <w:t xml:space="preserve">Significantly fewer neonates in the </w:t>
      </w:r>
      <w:proofErr w:type="spellStart"/>
      <w:r w:rsidRPr="00CB2BB8">
        <w:t>INOmax</w:t>
      </w:r>
      <w:proofErr w:type="spellEnd"/>
      <w:r w:rsidRPr="00CB2BB8">
        <w:t>® group required ECMO compared to the control group (31% vs. 57%, p&lt;0.001). While the number of deaths were similar in both groups (</w:t>
      </w:r>
      <w:proofErr w:type="spellStart"/>
      <w:r w:rsidRPr="00CB2BB8">
        <w:t>INOmax</w:t>
      </w:r>
      <w:proofErr w:type="spellEnd"/>
      <w:r w:rsidRPr="00CB2BB8">
        <w:t xml:space="preserve">®, 3%; placebo, 6%), the combined incidence of death and/or receipt of ECMO was decreased in the </w:t>
      </w:r>
      <w:proofErr w:type="spellStart"/>
      <w:r w:rsidRPr="00CB2BB8">
        <w:t>INOmax</w:t>
      </w:r>
      <w:proofErr w:type="spellEnd"/>
      <w:r w:rsidRPr="00CB2BB8">
        <w:t xml:space="preserve">® group (33% vs. 58%, p&lt;0.001).  </w:t>
      </w:r>
    </w:p>
    <w:p w:rsidR="002C5A08" w:rsidRPr="00CB2BB8" w:rsidRDefault="002C5A08" w:rsidP="002C5A08">
      <w:pPr>
        <w:spacing w:line="288" w:lineRule="atLeast"/>
        <w:jc w:val="both"/>
      </w:pPr>
    </w:p>
    <w:p w:rsidR="002C5A08" w:rsidRPr="00CB2BB8" w:rsidRDefault="002C5A08" w:rsidP="002C5A08">
      <w:pPr>
        <w:spacing w:line="288" w:lineRule="atLeast"/>
        <w:jc w:val="both"/>
      </w:pPr>
      <w:r w:rsidRPr="00CB2BB8">
        <w:t xml:space="preserve">In addition, the </w:t>
      </w:r>
      <w:proofErr w:type="spellStart"/>
      <w:r w:rsidRPr="00CB2BB8">
        <w:t>INOmax</w:t>
      </w:r>
      <w:proofErr w:type="spellEnd"/>
      <w:r w:rsidRPr="00CB2BB8">
        <w:t xml:space="preserve">® group had significantly improved oxygenation as measured by </w:t>
      </w:r>
      <w:proofErr w:type="spellStart"/>
      <w:r w:rsidRPr="00CB2BB8">
        <w:t>PaO</w:t>
      </w:r>
      <w:proofErr w:type="spellEnd"/>
      <w:r w:rsidRPr="00CB2BB8">
        <w:rPr>
          <w:position w:val="-4"/>
        </w:rPr>
        <w:t>2</w:t>
      </w:r>
      <w:r w:rsidRPr="00CB2BB8">
        <w:t xml:space="preserve">, OI, and alveolar-arterial gradient (p&lt;0.001 for all parameters).  Of the 97 patients treated with </w:t>
      </w:r>
      <w:proofErr w:type="spellStart"/>
      <w:r w:rsidRPr="00CB2BB8">
        <w:rPr>
          <w:color w:val="000000"/>
        </w:rPr>
        <w:t>INOmax</w:t>
      </w:r>
      <w:proofErr w:type="spellEnd"/>
      <w:r w:rsidRPr="00CB2BB8">
        <w:rPr>
          <w:color w:val="000000"/>
        </w:rPr>
        <w:t>®</w:t>
      </w:r>
      <w:r w:rsidRPr="00CB2BB8">
        <w:t>, 2 (2%) were withdrawn from study drug due to meth</w:t>
      </w:r>
      <w:r>
        <w:t>a</w:t>
      </w:r>
      <w:r w:rsidRPr="00CB2BB8">
        <w:t>emoglobin levels &gt;4%.  The frequency and number of adverse effects reported were similar in the two study groups (</w:t>
      </w:r>
      <w:r>
        <w:rPr>
          <w:bCs/>
        </w:rPr>
        <w:t>s</w:t>
      </w:r>
      <w:r w:rsidRPr="00CB2BB8">
        <w:rPr>
          <w:bCs/>
        </w:rPr>
        <w:t xml:space="preserve">ee </w:t>
      </w:r>
      <w:r w:rsidR="00F27DCF">
        <w:t>Section</w:t>
      </w:r>
      <w:r w:rsidR="00F27DCF">
        <w:rPr>
          <w:caps/>
        </w:rPr>
        <w:t xml:space="preserve"> 4.8 </w:t>
      </w:r>
      <w:r w:rsidR="00F27DCF" w:rsidRPr="00F30201">
        <w:t>Adverse E</w:t>
      </w:r>
      <w:r w:rsidR="00F27DCF">
        <w:t>ffec</w:t>
      </w:r>
      <w:r w:rsidR="00F27DCF" w:rsidRPr="00F30201">
        <w:t>ts (</w:t>
      </w:r>
      <w:r w:rsidR="00F27DCF">
        <w:t>Undesirable Effects</w:t>
      </w:r>
      <w:r w:rsidRPr="00CB2BB8">
        <w:t xml:space="preserve">). </w:t>
      </w:r>
    </w:p>
    <w:p w:rsidR="002C5A08" w:rsidRPr="00CB2BB8" w:rsidRDefault="002C5A08" w:rsidP="002C5A08">
      <w:pPr>
        <w:spacing w:line="288" w:lineRule="atLeast"/>
        <w:jc w:val="both"/>
      </w:pPr>
      <w:r w:rsidRPr="00CB2BB8">
        <w:t xml:space="preserve"> </w:t>
      </w:r>
    </w:p>
    <w:p w:rsidR="002C5A08" w:rsidRPr="00CB2BB8" w:rsidRDefault="002C5A08" w:rsidP="002C5A08">
      <w:pPr>
        <w:spacing w:line="288" w:lineRule="atLeast"/>
        <w:jc w:val="both"/>
      </w:pPr>
      <w:r w:rsidRPr="00CB2BB8">
        <w:t xml:space="preserve">In clinical trials, no efficacy has been demonstrated with the use of </w:t>
      </w:r>
      <w:proofErr w:type="spellStart"/>
      <w:r w:rsidRPr="00CB2BB8">
        <w:t>INOmax</w:t>
      </w:r>
      <w:proofErr w:type="spellEnd"/>
      <w:r w:rsidRPr="00CB2BB8">
        <w:t>® in patients with congenital diaphragmatic hernia.</w:t>
      </w:r>
    </w:p>
    <w:p w:rsidR="002C5A08" w:rsidRPr="00CB2BB8" w:rsidRDefault="002C5A08" w:rsidP="002C5A08">
      <w:pPr>
        <w:jc w:val="both"/>
      </w:pPr>
    </w:p>
    <w:p w:rsidR="002C5A08" w:rsidRPr="003832D9" w:rsidRDefault="002C5A08" w:rsidP="002C5A08">
      <w:pPr>
        <w:rPr>
          <w:i/>
          <w:u w:val="single"/>
        </w:rPr>
      </w:pPr>
      <w:r w:rsidRPr="003832D9">
        <w:rPr>
          <w:i/>
          <w:u w:val="single"/>
        </w:rPr>
        <w:t xml:space="preserve">Pulmonary Hypertension associated with Cardiac Surgery in children (0-17 years) </w:t>
      </w:r>
    </w:p>
    <w:p w:rsidR="002C5A08" w:rsidRPr="003832D9" w:rsidRDefault="002C5A08" w:rsidP="002C5A08">
      <w:pPr>
        <w:jc w:val="both"/>
      </w:pPr>
    </w:p>
    <w:p w:rsidR="002C5A08" w:rsidRPr="003832D9" w:rsidRDefault="002C5A08" w:rsidP="002C5A08">
      <w:pPr>
        <w:pStyle w:val="Default"/>
        <w:spacing w:line="288" w:lineRule="atLeast"/>
        <w:jc w:val="both"/>
        <w:rPr>
          <w:color w:val="auto"/>
          <w:sz w:val="20"/>
        </w:rPr>
      </w:pPr>
      <w:r w:rsidRPr="003832D9">
        <w:rPr>
          <w:sz w:val="20"/>
        </w:rPr>
        <w:t xml:space="preserve">In patients undergoing cardiac surgery, an increase in pulmonary artery pressure due to pulmonary </w:t>
      </w:r>
      <w:proofErr w:type="spellStart"/>
      <w:r w:rsidRPr="003832D9">
        <w:rPr>
          <w:sz w:val="20"/>
        </w:rPr>
        <w:t>vaso</w:t>
      </w:r>
      <w:proofErr w:type="spellEnd"/>
      <w:r w:rsidRPr="003832D9">
        <w:rPr>
          <w:sz w:val="20"/>
        </w:rPr>
        <w:t xml:space="preserve">-constriction is frequently seen. Inhaled nitric oxide has been shown to selectively reduce pulmonary vascular resistance and reduce the increased pulmonary artery pressure. This may increase the right ventricular ejection fraction. These effects in turn lead to improved </w:t>
      </w:r>
      <w:proofErr w:type="spellStart"/>
      <w:r w:rsidRPr="003832D9">
        <w:rPr>
          <w:sz w:val="20"/>
        </w:rPr>
        <w:t>haemodynamics</w:t>
      </w:r>
      <w:proofErr w:type="spellEnd"/>
      <w:r w:rsidRPr="003832D9">
        <w:rPr>
          <w:sz w:val="20"/>
        </w:rPr>
        <w:t xml:space="preserve"> in the pulmonary circulation and oxygenation. Published literature has been used as the basis for approval of this indication.</w:t>
      </w:r>
    </w:p>
    <w:p w:rsidR="002C5A08" w:rsidRPr="003832D9" w:rsidRDefault="002C5A08" w:rsidP="002C5A08">
      <w:pPr>
        <w:jc w:val="both"/>
      </w:pPr>
    </w:p>
    <w:p w:rsidR="002C5A08" w:rsidRPr="003832D9" w:rsidRDefault="002C5A08" w:rsidP="002C5A08">
      <w:pPr>
        <w:spacing w:line="288" w:lineRule="atLeast"/>
        <w:jc w:val="both"/>
      </w:pPr>
      <w:r w:rsidRPr="003832D9">
        <w:t xml:space="preserve">In children, nine randomised controlled trials (RCT) involving a total of 321 children undergoing cardiac surgery (mostly for congenital heart disease) were assessed as published study reports for the indication of peri- and postoperative pulmonary hypertension in paediatric cardiac surgery. Four of the nine studies were defined as </w:t>
      </w:r>
      <w:r>
        <w:t xml:space="preserve">key </w:t>
      </w:r>
      <w:r w:rsidRPr="003832D9">
        <w:t xml:space="preserve">studies, two of which (Miller </w:t>
      </w:r>
      <w:r w:rsidRPr="00BB61E5">
        <w:rPr>
          <w:i/>
        </w:rPr>
        <w:t>et al</w:t>
      </w:r>
      <w:r w:rsidRPr="003832D9">
        <w:t xml:space="preserve">, 2000; Russell </w:t>
      </w:r>
      <w:r w:rsidRPr="00BB61E5">
        <w:rPr>
          <w:i/>
        </w:rPr>
        <w:t>et al</w:t>
      </w:r>
      <w:r w:rsidRPr="003832D9">
        <w:t xml:space="preserve">, 1998) were placebo-controlled, double blind studies, while the other two (Day </w:t>
      </w:r>
      <w:r w:rsidRPr="00BB61E5">
        <w:rPr>
          <w:i/>
        </w:rPr>
        <w:t>et al</w:t>
      </w:r>
      <w:r w:rsidRPr="003832D9">
        <w:t xml:space="preserve">, 2000; Morris </w:t>
      </w:r>
      <w:r w:rsidRPr="00BB61E5">
        <w:rPr>
          <w:i/>
        </w:rPr>
        <w:t>et al</w:t>
      </w:r>
      <w:r w:rsidRPr="003832D9">
        <w:t>, 2000) were controlled against conventional therapy.</w:t>
      </w:r>
    </w:p>
    <w:p w:rsidR="002C5A08" w:rsidRPr="0094405C" w:rsidRDefault="002C5A08" w:rsidP="002C5A08">
      <w:pPr>
        <w:spacing w:line="288" w:lineRule="atLeast"/>
        <w:jc w:val="both"/>
        <w:rPr>
          <w:highlight w:val="yellow"/>
        </w:rPr>
      </w:pPr>
    </w:p>
    <w:p w:rsidR="002C5A08" w:rsidRPr="004E75AC" w:rsidRDefault="002C5A08" w:rsidP="002C5A08">
      <w:pPr>
        <w:pStyle w:val="BodyText"/>
        <w:spacing w:line="288" w:lineRule="atLeast"/>
        <w:rPr>
          <w:rFonts w:ascii="Times New Roman" w:hAnsi="Times New Roman"/>
          <w:strike/>
          <w:sz w:val="20"/>
        </w:rPr>
      </w:pPr>
      <w:r w:rsidRPr="003832D9">
        <w:rPr>
          <w:rFonts w:ascii="Times New Roman" w:hAnsi="Times New Roman"/>
          <w:sz w:val="20"/>
        </w:rPr>
        <w:t xml:space="preserve">The largest RCT by </w:t>
      </w:r>
      <w:r w:rsidRPr="0089642D">
        <w:rPr>
          <w:rFonts w:ascii="Times New Roman" w:hAnsi="Times New Roman"/>
          <w:b/>
          <w:sz w:val="20"/>
        </w:rPr>
        <w:t xml:space="preserve">Miller </w:t>
      </w:r>
      <w:r w:rsidRPr="00340F97">
        <w:rPr>
          <w:rFonts w:ascii="Times New Roman" w:hAnsi="Times New Roman"/>
          <w:b/>
          <w:i/>
          <w:sz w:val="20"/>
        </w:rPr>
        <w:t>et al</w:t>
      </w:r>
      <w:r w:rsidRPr="0089642D">
        <w:rPr>
          <w:rFonts w:ascii="Times New Roman" w:hAnsi="Times New Roman"/>
          <w:b/>
          <w:sz w:val="20"/>
        </w:rPr>
        <w:t xml:space="preserve"> </w:t>
      </w:r>
      <w:r w:rsidRPr="00340F97">
        <w:rPr>
          <w:rFonts w:ascii="Times New Roman" w:hAnsi="Times New Roman"/>
          <w:sz w:val="20"/>
        </w:rPr>
        <w:t>(2000)</w:t>
      </w:r>
      <w:r w:rsidRPr="003832D9">
        <w:rPr>
          <w:rFonts w:ascii="Times New Roman" w:hAnsi="Times New Roman"/>
          <w:sz w:val="20"/>
        </w:rPr>
        <w:t xml:space="preserve"> </w:t>
      </w:r>
      <w:r w:rsidR="008508BE" w:rsidRPr="003832D9">
        <w:rPr>
          <w:rFonts w:ascii="Times New Roman" w:hAnsi="Times New Roman"/>
          <w:sz w:val="20"/>
        </w:rPr>
        <w:t>randomi</w:t>
      </w:r>
      <w:r w:rsidR="008508BE">
        <w:rPr>
          <w:rFonts w:ascii="Times New Roman" w:hAnsi="Times New Roman"/>
          <w:sz w:val="20"/>
        </w:rPr>
        <w:t>s</w:t>
      </w:r>
      <w:r w:rsidR="008508BE" w:rsidRPr="003832D9">
        <w:rPr>
          <w:rFonts w:ascii="Times New Roman" w:hAnsi="Times New Roman"/>
          <w:sz w:val="20"/>
        </w:rPr>
        <w:t xml:space="preserve">ed </w:t>
      </w:r>
      <w:r w:rsidRPr="003832D9">
        <w:rPr>
          <w:rFonts w:ascii="Times New Roman" w:hAnsi="Times New Roman"/>
          <w:sz w:val="20"/>
        </w:rPr>
        <w:t xml:space="preserve">124 children (age range 1 to 5 months) to treatment with inhaled NO 10 ppm (n=63) or placebo nitrogen (n=61) after surgery (after chest radiography and measurement of arterial blood gas and cardiac index) until just before </w:t>
      </w:r>
      <w:proofErr w:type="spellStart"/>
      <w:r w:rsidRPr="003832D9">
        <w:rPr>
          <w:rFonts w:ascii="Times New Roman" w:hAnsi="Times New Roman"/>
          <w:sz w:val="20"/>
        </w:rPr>
        <w:t>extubation</w:t>
      </w:r>
      <w:proofErr w:type="spellEnd"/>
      <w:r w:rsidRPr="003832D9">
        <w:rPr>
          <w:rFonts w:ascii="Times New Roman" w:hAnsi="Times New Roman"/>
          <w:sz w:val="20"/>
        </w:rPr>
        <w:t xml:space="preserve">. </w:t>
      </w:r>
      <w:r>
        <w:rPr>
          <w:rFonts w:ascii="Times New Roman" w:hAnsi="Times New Roman"/>
          <w:sz w:val="20"/>
        </w:rPr>
        <w:t xml:space="preserve">Routine care post-surgery in both treatment groups included hyperventilation and vasodilators and an additional </w:t>
      </w:r>
      <w:proofErr w:type="spellStart"/>
      <w:r>
        <w:rPr>
          <w:rFonts w:ascii="Times New Roman" w:hAnsi="Times New Roman"/>
          <w:sz w:val="20"/>
        </w:rPr>
        <w:t>iNO</w:t>
      </w:r>
      <w:proofErr w:type="spellEnd"/>
      <w:r>
        <w:rPr>
          <w:rFonts w:ascii="Times New Roman" w:hAnsi="Times New Roman"/>
          <w:sz w:val="20"/>
        </w:rPr>
        <w:t xml:space="preserve"> 10 ppm could be used as rescue therapy.  </w:t>
      </w:r>
      <w:r w:rsidRPr="003832D9">
        <w:rPr>
          <w:rFonts w:ascii="Times New Roman" w:hAnsi="Times New Roman"/>
          <w:sz w:val="20"/>
        </w:rPr>
        <w:t xml:space="preserve">The median number of pulmonary hypertensive crises (PHTC) (per patient) was 4 and 7 crises respectively in the two groups (relative risk, unadjusted 0·66, p&lt;0·001, adjusted for dispersion 0·65, p=0·045). </w:t>
      </w:r>
    </w:p>
    <w:p w:rsidR="002C5A08" w:rsidRDefault="002C5A08" w:rsidP="002C5A08">
      <w:pPr>
        <w:pStyle w:val="BodyText"/>
        <w:spacing w:line="288" w:lineRule="atLeast"/>
        <w:rPr>
          <w:rFonts w:ascii="Times New Roman" w:hAnsi="Times New Roman"/>
          <w:sz w:val="20"/>
        </w:rPr>
      </w:pPr>
    </w:p>
    <w:p w:rsidR="002C5A08" w:rsidRPr="003832D9" w:rsidRDefault="002C5A08" w:rsidP="002C5A08">
      <w:pPr>
        <w:pStyle w:val="BodyText"/>
        <w:spacing w:line="288" w:lineRule="atLeast"/>
        <w:rPr>
          <w:rFonts w:ascii="Times New Roman" w:hAnsi="Times New Roman"/>
          <w:sz w:val="20"/>
        </w:rPr>
      </w:pPr>
      <w:r w:rsidRPr="007A73B9">
        <w:rPr>
          <w:rFonts w:ascii="Times New Roman" w:hAnsi="Times New Roman"/>
          <w:sz w:val="20"/>
        </w:rPr>
        <w:t xml:space="preserve">Miller </w:t>
      </w:r>
      <w:r w:rsidRPr="0072024F">
        <w:rPr>
          <w:rFonts w:ascii="Times New Roman" w:hAnsi="Times New Roman"/>
          <w:i/>
          <w:sz w:val="20"/>
        </w:rPr>
        <w:t>et al</w:t>
      </w:r>
      <w:r w:rsidRPr="007A73B9">
        <w:rPr>
          <w:rFonts w:ascii="Times New Roman" w:hAnsi="Times New Roman"/>
          <w:sz w:val="20"/>
        </w:rPr>
        <w:t xml:space="preserve"> (2000)</w:t>
      </w:r>
      <w:r w:rsidRPr="003832D9">
        <w:rPr>
          <w:rFonts w:ascii="Times New Roman" w:hAnsi="Times New Roman"/>
          <w:sz w:val="20"/>
        </w:rPr>
        <w:t xml:space="preserve"> also documented favourable outcomes for inhaled nitric oxide (</w:t>
      </w:r>
      <w:proofErr w:type="spellStart"/>
      <w:r w:rsidRPr="003832D9">
        <w:rPr>
          <w:rFonts w:ascii="Times New Roman" w:hAnsi="Times New Roman"/>
          <w:sz w:val="20"/>
        </w:rPr>
        <w:t>iNO</w:t>
      </w:r>
      <w:proofErr w:type="spellEnd"/>
      <w:r w:rsidRPr="003832D9">
        <w:rPr>
          <w:rFonts w:ascii="Times New Roman" w:hAnsi="Times New Roman"/>
          <w:sz w:val="20"/>
        </w:rPr>
        <w:t xml:space="preserve">) patients on other secondary clinical endpoints such as shorter time until criteria for </w:t>
      </w:r>
      <w:proofErr w:type="spellStart"/>
      <w:r w:rsidRPr="003832D9">
        <w:rPr>
          <w:rFonts w:ascii="Times New Roman" w:hAnsi="Times New Roman"/>
          <w:sz w:val="20"/>
        </w:rPr>
        <w:t>extubation</w:t>
      </w:r>
      <w:proofErr w:type="spellEnd"/>
      <w:r w:rsidRPr="003832D9">
        <w:rPr>
          <w:rFonts w:ascii="Times New Roman" w:hAnsi="Times New Roman"/>
          <w:sz w:val="20"/>
        </w:rPr>
        <w:t xml:space="preserve"> were met (80</w:t>
      </w:r>
      <w:r>
        <w:rPr>
          <w:rFonts w:ascii="Times New Roman" w:hAnsi="Times New Roman"/>
          <w:sz w:val="20"/>
        </w:rPr>
        <w:t xml:space="preserve"> h</w:t>
      </w:r>
      <w:r w:rsidRPr="003832D9">
        <w:rPr>
          <w:rFonts w:ascii="Times New Roman" w:hAnsi="Times New Roman"/>
          <w:sz w:val="20"/>
        </w:rPr>
        <w:t xml:space="preserve"> [38-121] vs. </w:t>
      </w:r>
      <w:r>
        <w:rPr>
          <w:rFonts w:ascii="Times New Roman" w:hAnsi="Times New Roman"/>
          <w:sz w:val="20"/>
        </w:rPr>
        <w:t>112</w:t>
      </w:r>
      <w:r w:rsidRPr="003832D9">
        <w:rPr>
          <w:rFonts w:ascii="Times New Roman" w:hAnsi="Times New Roman"/>
          <w:sz w:val="20"/>
        </w:rPr>
        <w:t xml:space="preserve"> h [63-164], p=0.019) and shorter total time on study gas by 30 h for the nitric oxide group (87</w:t>
      </w:r>
      <w:r>
        <w:rPr>
          <w:rFonts w:ascii="Times New Roman" w:hAnsi="Times New Roman"/>
          <w:sz w:val="20"/>
        </w:rPr>
        <w:t xml:space="preserve"> h</w:t>
      </w:r>
      <w:r w:rsidRPr="003832D9">
        <w:rPr>
          <w:rFonts w:ascii="Times New Roman" w:hAnsi="Times New Roman"/>
          <w:sz w:val="20"/>
        </w:rPr>
        <w:t xml:space="preserve"> [43-125] vs. 117 h [67-168], p=0.023). Other secondary endpoints, such as length of stay in ICU were in favour of </w:t>
      </w:r>
      <w:proofErr w:type="spellStart"/>
      <w:r w:rsidRPr="003832D9">
        <w:rPr>
          <w:rFonts w:ascii="Times New Roman" w:hAnsi="Times New Roman"/>
          <w:sz w:val="20"/>
        </w:rPr>
        <w:t>iNO</w:t>
      </w:r>
      <w:proofErr w:type="spellEnd"/>
      <w:r w:rsidRPr="003832D9">
        <w:rPr>
          <w:rFonts w:ascii="Times New Roman" w:hAnsi="Times New Roman"/>
          <w:sz w:val="20"/>
        </w:rPr>
        <w:t xml:space="preserve"> treatment, but not statistically significant.</w:t>
      </w:r>
    </w:p>
    <w:p w:rsidR="002C5A08" w:rsidRPr="003832D9" w:rsidRDefault="002C5A08" w:rsidP="002C5A08">
      <w:pPr>
        <w:spacing w:line="288" w:lineRule="atLeast"/>
        <w:jc w:val="both"/>
      </w:pPr>
    </w:p>
    <w:p w:rsidR="002C5A08" w:rsidRPr="003832D9" w:rsidRDefault="002C5A08" w:rsidP="002C5A08">
      <w:pPr>
        <w:pStyle w:val="TableParagraph"/>
        <w:kinsoku w:val="0"/>
        <w:overflowPunct w:val="0"/>
        <w:spacing w:line="288" w:lineRule="atLeast"/>
        <w:ind w:right="123"/>
        <w:jc w:val="both"/>
      </w:pPr>
      <w:r w:rsidRPr="0089642D">
        <w:rPr>
          <w:b/>
          <w:sz w:val="20"/>
        </w:rPr>
        <w:t xml:space="preserve">Russell </w:t>
      </w:r>
      <w:r w:rsidRPr="00340F97">
        <w:rPr>
          <w:b/>
          <w:i/>
          <w:sz w:val="20"/>
        </w:rPr>
        <w:t>et al</w:t>
      </w:r>
      <w:r w:rsidRPr="0089642D">
        <w:rPr>
          <w:b/>
          <w:sz w:val="20"/>
        </w:rPr>
        <w:t xml:space="preserve"> </w:t>
      </w:r>
      <w:r w:rsidRPr="00340F97">
        <w:rPr>
          <w:sz w:val="20"/>
        </w:rPr>
        <w:t>(1998)</w:t>
      </w:r>
      <w:r w:rsidRPr="003832D9">
        <w:rPr>
          <w:sz w:val="20"/>
        </w:rPr>
        <w:t xml:space="preserve"> randomised 40 children (age range 2 days to 6.5 years) with preoperative pulmonary hypertension (mean pulmonary arterial pressure (</w:t>
      </w:r>
      <w:proofErr w:type="spellStart"/>
      <w:r w:rsidRPr="003832D9">
        <w:rPr>
          <w:sz w:val="20"/>
        </w:rPr>
        <w:t>mPAP</w:t>
      </w:r>
      <w:proofErr w:type="spellEnd"/>
      <w:r w:rsidRPr="003832D9">
        <w:rPr>
          <w:sz w:val="20"/>
        </w:rPr>
        <w:t xml:space="preserve">) &gt;50% of mean systemic arterial pressure </w:t>
      </w:r>
      <w:r w:rsidRPr="003832D9">
        <w:rPr>
          <w:sz w:val="20"/>
        </w:rPr>
        <w:lastRenderedPageBreak/>
        <w:t>(</w:t>
      </w:r>
      <w:proofErr w:type="spellStart"/>
      <w:r w:rsidRPr="003832D9">
        <w:rPr>
          <w:sz w:val="20"/>
        </w:rPr>
        <w:t>mSAP</w:t>
      </w:r>
      <w:proofErr w:type="spellEnd"/>
      <w:r w:rsidRPr="003832D9">
        <w:rPr>
          <w:sz w:val="20"/>
        </w:rPr>
        <w:t>)) to inhaled NO at a dose of 80 ppm or placebo for 20 minutes in the period immediately following cardiopulmonary bypass (CBP). In</w:t>
      </w:r>
      <w:r w:rsidRPr="003832D9">
        <w:rPr>
          <w:spacing w:val="-5"/>
          <w:sz w:val="20"/>
        </w:rPr>
        <w:t xml:space="preserve"> </w:t>
      </w:r>
      <w:r w:rsidRPr="003832D9">
        <w:rPr>
          <w:sz w:val="20"/>
        </w:rPr>
        <w:t>patients</w:t>
      </w:r>
      <w:r w:rsidRPr="003832D9">
        <w:rPr>
          <w:spacing w:val="-4"/>
          <w:sz w:val="20"/>
        </w:rPr>
        <w:t xml:space="preserve"> who emerged from CPB </w:t>
      </w:r>
      <w:r w:rsidRPr="003832D9">
        <w:rPr>
          <w:sz w:val="20"/>
        </w:rPr>
        <w:t>with</w:t>
      </w:r>
      <w:r w:rsidRPr="003832D9">
        <w:rPr>
          <w:spacing w:val="-4"/>
          <w:sz w:val="20"/>
        </w:rPr>
        <w:t xml:space="preserve"> </w:t>
      </w:r>
      <w:r w:rsidRPr="003832D9">
        <w:rPr>
          <w:sz w:val="20"/>
        </w:rPr>
        <w:t>pulmonary hypertension (PH) (13 in total; 5 received inhaled NO, 8 received placebo nitrogen),</w:t>
      </w:r>
      <w:r w:rsidRPr="003832D9">
        <w:rPr>
          <w:spacing w:val="-4"/>
          <w:sz w:val="20"/>
        </w:rPr>
        <w:t xml:space="preserve"> </w:t>
      </w:r>
      <w:proofErr w:type="spellStart"/>
      <w:r w:rsidRPr="003832D9">
        <w:rPr>
          <w:sz w:val="20"/>
        </w:rPr>
        <w:t>iNO</w:t>
      </w:r>
      <w:proofErr w:type="spellEnd"/>
      <w:r w:rsidRPr="003832D9">
        <w:rPr>
          <w:spacing w:val="-4"/>
          <w:sz w:val="20"/>
        </w:rPr>
        <w:t xml:space="preserve"> </w:t>
      </w:r>
      <w:r w:rsidRPr="003832D9">
        <w:rPr>
          <w:sz w:val="20"/>
        </w:rPr>
        <w:t>reduced</w:t>
      </w:r>
      <w:r w:rsidRPr="003832D9">
        <w:rPr>
          <w:spacing w:val="-5"/>
          <w:sz w:val="20"/>
        </w:rPr>
        <w:t xml:space="preserve"> </w:t>
      </w:r>
      <w:proofErr w:type="spellStart"/>
      <w:r w:rsidRPr="003832D9">
        <w:rPr>
          <w:sz w:val="20"/>
        </w:rPr>
        <w:t>mPAP</w:t>
      </w:r>
      <w:proofErr w:type="spellEnd"/>
      <w:r w:rsidRPr="003832D9">
        <w:rPr>
          <w:spacing w:val="-4"/>
          <w:sz w:val="20"/>
        </w:rPr>
        <w:t xml:space="preserve"> </w:t>
      </w:r>
      <w:r w:rsidRPr="003832D9">
        <w:rPr>
          <w:sz w:val="20"/>
        </w:rPr>
        <w:t>by</w:t>
      </w:r>
      <w:r w:rsidRPr="003832D9">
        <w:rPr>
          <w:w w:val="99"/>
          <w:sz w:val="20"/>
        </w:rPr>
        <w:t xml:space="preserve"> </w:t>
      </w:r>
      <w:r w:rsidRPr="003832D9">
        <w:rPr>
          <w:sz w:val="20"/>
        </w:rPr>
        <w:t xml:space="preserve">19% vs. an increase of 9% in the placebo group. </w:t>
      </w:r>
      <w:r w:rsidRPr="00533E8C">
        <w:rPr>
          <w:sz w:val="20"/>
        </w:rPr>
        <w:t xml:space="preserve">No effect on </w:t>
      </w:r>
      <w:proofErr w:type="spellStart"/>
      <w:r w:rsidRPr="00533E8C">
        <w:rPr>
          <w:sz w:val="20"/>
        </w:rPr>
        <w:t>mPAP</w:t>
      </w:r>
      <w:proofErr w:type="spellEnd"/>
      <w:r w:rsidRPr="00533E8C">
        <w:rPr>
          <w:sz w:val="20"/>
        </w:rPr>
        <w:t xml:space="preserve"> was observed in patients emerging from CPB without pulmonary hypertension (n=23). </w:t>
      </w:r>
      <w:r w:rsidRPr="003832D9">
        <w:rPr>
          <w:sz w:val="20"/>
        </w:rPr>
        <w:t xml:space="preserve">All patients who </w:t>
      </w:r>
      <w:r w:rsidRPr="003832D9">
        <w:rPr>
          <w:spacing w:val="-4"/>
          <w:sz w:val="20"/>
        </w:rPr>
        <w:t xml:space="preserve">emerged from CPB </w:t>
      </w:r>
      <w:r w:rsidRPr="003832D9">
        <w:rPr>
          <w:sz w:val="20"/>
        </w:rPr>
        <w:t>with</w:t>
      </w:r>
      <w:r w:rsidRPr="003832D9" w:rsidDel="002C132D">
        <w:rPr>
          <w:sz w:val="20"/>
        </w:rPr>
        <w:t xml:space="preserve"> </w:t>
      </w:r>
      <w:r w:rsidRPr="003832D9">
        <w:rPr>
          <w:sz w:val="20"/>
        </w:rPr>
        <w:t xml:space="preserve">PH and received </w:t>
      </w:r>
      <w:proofErr w:type="spellStart"/>
      <w:r w:rsidRPr="003832D9">
        <w:rPr>
          <w:sz w:val="20"/>
        </w:rPr>
        <w:t>iNO</w:t>
      </w:r>
      <w:proofErr w:type="spellEnd"/>
      <w:r w:rsidRPr="003832D9">
        <w:rPr>
          <w:sz w:val="20"/>
        </w:rPr>
        <w:t xml:space="preserve"> had a response to treatment (i.e. all experienced a decline in </w:t>
      </w:r>
      <w:proofErr w:type="spellStart"/>
      <w:r w:rsidRPr="003832D9">
        <w:rPr>
          <w:sz w:val="20"/>
        </w:rPr>
        <w:t>mPAP</w:t>
      </w:r>
      <w:proofErr w:type="spellEnd"/>
      <w:r w:rsidRPr="003832D9">
        <w:rPr>
          <w:sz w:val="20"/>
        </w:rPr>
        <w:t xml:space="preserve"> ranging from 8% to 35% at 20 minutes); there were no non-responders in the </w:t>
      </w:r>
      <w:proofErr w:type="spellStart"/>
      <w:r w:rsidRPr="003832D9">
        <w:rPr>
          <w:sz w:val="20"/>
        </w:rPr>
        <w:t>iNO</w:t>
      </w:r>
      <w:proofErr w:type="spellEnd"/>
      <w:r w:rsidRPr="003832D9">
        <w:rPr>
          <w:sz w:val="20"/>
        </w:rPr>
        <w:t xml:space="preserve"> group. This study shows that only patients with pulmonary hypertension after surgery responded with a lowering of pulmonary pressures. </w:t>
      </w:r>
    </w:p>
    <w:p w:rsidR="002C5A08" w:rsidRPr="0094405C" w:rsidRDefault="002C5A08" w:rsidP="002C5A08">
      <w:pPr>
        <w:spacing w:line="288" w:lineRule="atLeast"/>
        <w:jc w:val="both"/>
        <w:rPr>
          <w:highlight w:val="yellow"/>
        </w:rPr>
      </w:pPr>
    </w:p>
    <w:p w:rsidR="002C5A08" w:rsidRPr="003832D9" w:rsidRDefault="002C5A08" w:rsidP="002C5A08">
      <w:pPr>
        <w:spacing w:line="288" w:lineRule="atLeast"/>
        <w:jc w:val="both"/>
      </w:pPr>
      <w:r w:rsidRPr="003832D9">
        <w:rPr>
          <w:spacing w:val="-5"/>
        </w:rPr>
        <w:t xml:space="preserve">The RCT by </w:t>
      </w:r>
      <w:r w:rsidRPr="0089642D">
        <w:rPr>
          <w:b/>
          <w:spacing w:val="-5"/>
        </w:rPr>
        <w:t xml:space="preserve">Day </w:t>
      </w:r>
      <w:r w:rsidRPr="00340F97">
        <w:rPr>
          <w:b/>
          <w:i/>
          <w:spacing w:val="-5"/>
        </w:rPr>
        <w:t>et al</w:t>
      </w:r>
      <w:r w:rsidRPr="0089642D">
        <w:rPr>
          <w:b/>
          <w:spacing w:val="-5"/>
        </w:rPr>
        <w:t xml:space="preserve"> </w:t>
      </w:r>
      <w:r w:rsidRPr="00340F97">
        <w:rPr>
          <w:spacing w:val="-5"/>
        </w:rPr>
        <w:t>(2000)</w:t>
      </w:r>
      <w:r w:rsidRPr="003832D9">
        <w:rPr>
          <w:spacing w:val="-5"/>
        </w:rPr>
        <w:t xml:space="preserve"> </w:t>
      </w:r>
      <w:r w:rsidRPr="003832D9">
        <w:t xml:space="preserve">assessed the effects of </w:t>
      </w:r>
      <w:proofErr w:type="spellStart"/>
      <w:r w:rsidRPr="003832D9">
        <w:t>iNO</w:t>
      </w:r>
      <w:proofErr w:type="spellEnd"/>
      <w:r w:rsidRPr="003832D9">
        <w:t xml:space="preserve"> on the</w:t>
      </w:r>
      <w:r w:rsidRPr="003832D9">
        <w:rPr>
          <w:spacing w:val="21"/>
        </w:rPr>
        <w:t xml:space="preserve"> </w:t>
      </w:r>
      <w:r w:rsidRPr="003832D9">
        <w:t>incidence of PHTC in patients after corrective operation or heart</w:t>
      </w:r>
      <w:r w:rsidRPr="003832D9">
        <w:rPr>
          <w:spacing w:val="39"/>
        </w:rPr>
        <w:t xml:space="preserve"> </w:t>
      </w:r>
      <w:r w:rsidRPr="003832D9">
        <w:t xml:space="preserve">transplantation due to congenital heart disease. </w:t>
      </w:r>
      <w:r w:rsidRPr="003832D9">
        <w:rPr>
          <w:spacing w:val="2"/>
        </w:rPr>
        <w:t xml:space="preserve">Patients </w:t>
      </w:r>
      <w:r w:rsidRPr="003832D9">
        <w:t>were</w:t>
      </w:r>
      <w:r w:rsidRPr="003832D9">
        <w:rPr>
          <w:spacing w:val="24"/>
        </w:rPr>
        <w:t xml:space="preserve"> </w:t>
      </w:r>
      <w:r w:rsidRPr="003832D9">
        <w:t xml:space="preserve">randomised to either conventional therapy, (n=19; age range 1 day to 3 years) or to treatment with </w:t>
      </w:r>
      <w:proofErr w:type="spellStart"/>
      <w:r w:rsidRPr="003832D9">
        <w:t>iNO</w:t>
      </w:r>
      <w:proofErr w:type="spellEnd"/>
      <w:r w:rsidRPr="003832D9">
        <w:t xml:space="preserve"> 20 ppm (n=19; age range 1 day to 20 years). There were no differences in acute haemodynamic and blood gas measurements between the two groups 1 hour after treatment</w:t>
      </w:r>
      <w:r w:rsidRPr="00521404">
        <w:t>.</w:t>
      </w:r>
      <w:r w:rsidRPr="003832D9">
        <w:t xml:space="preserve"> In addition, the </w:t>
      </w:r>
      <w:proofErr w:type="spellStart"/>
      <w:r w:rsidRPr="003832D9">
        <w:t>iNO</w:t>
      </w:r>
      <w:proofErr w:type="spellEnd"/>
      <w:r w:rsidRPr="003832D9">
        <w:t xml:space="preserve"> and control groups showed no significant difference in the incidence of PHTC (3 vs. 4 patients, respectively), although the study was underpowered to detect such differences.</w:t>
      </w:r>
    </w:p>
    <w:p w:rsidR="002C5A08" w:rsidRPr="003832D9" w:rsidRDefault="002C5A08" w:rsidP="002C5A08">
      <w:pPr>
        <w:spacing w:line="288" w:lineRule="atLeast"/>
        <w:jc w:val="both"/>
      </w:pPr>
    </w:p>
    <w:p w:rsidR="002C5A08" w:rsidRPr="0041024A" w:rsidRDefault="002C5A08" w:rsidP="005A6E5C">
      <w:pPr>
        <w:spacing w:line="288" w:lineRule="atLeast"/>
        <w:jc w:val="both"/>
      </w:pPr>
      <w:r w:rsidRPr="003832D9">
        <w:t xml:space="preserve">In a prospective, randomised, crossover study, </w:t>
      </w:r>
      <w:r w:rsidRPr="0089642D">
        <w:rPr>
          <w:b/>
        </w:rPr>
        <w:t xml:space="preserve">Morris </w:t>
      </w:r>
      <w:r w:rsidRPr="00340F97">
        <w:rPr>
          <w:b/>
          <w:i/>
        </w:rPr>
        <w:t>et al</w:t>
      </w:r>
      <w:r w:rsidRPr="0089642D">
        <w:rPr>
          <w:b/>
        </w:rPr>
        <w:t xml:space="preserve"> </w:t>
      </w:r>
      <w:r w:rsidRPr="00340F97">
        <w:t>(2000)</w:t>
      </w:r>
      <w:r w:rsidRPr="003832D9">
        <w:rPr>
          <w:color w:val="0000FF"/>
        </w:rPr>
        <w:t xml:space="preserve"> </w:t>
      </w:r>
      <w:r w:rsidRPr="003832D9">
        <w:rPr>
          <w:color w:val="000000"/>
        </w:rPr>
        <w:t xml:space="preserve">investigated </w:t>
      </w:r>
      <w:r w:rsidRPr="003832D9">
        <w:rPr>
          <w:color w:val="000000"/>
          <w:spacing w:val="-1"/>
        </w:rPr>
        <w:t xml:space="preserve">the haemodynamic effects of </w:t>
      </w:r>
      <w:proofErr w:type="spellStart"/>
      <w:r w:rsidRPr="003832D9">
        <w:rPr>
          <w:color w:val="000000"/>
          <w:spacing w:val="-1"/>
        </w:rPr>
        <w:t>iNO</w:t>
      </w:r>
      <w:proofErr w:type="spellEnd"/>
      <w:r w:rsidRPr="003832D9">
        <w:rPr>
          <w:color w:val="000000"/>
          <w:spacing w:val="-1"/>
        </w:rPr>
        <w:t xml:space="preserve"> against control therapy involving mild alkalosis (pH 7.5) induced by </w:t>
      </w:r>
      <w:r w:rsidRPr="003832D9">
        <w:rPr>
          <w:color w:val="000000"/>
        </w:rPr>
        <w:t>hyperventilation (HV), in a group of 12 children (age range 0.1 – 17.7 years) with postoperative PH (</w:t>
      </w:r>
      <w:proofErr w:type="spellStart"/>
      <w:r w:rsidRPr="003832D9">
        <w:rPr>
          <w:color w:val="000000"/>
        </w:rPr>
        <w:t>mPAP</w:t>
      </w:r>
      <w:proofErr w:type="spellEnd"/>
      <w:r w:rsidRPr="003832D9">
        <w:rPr>
          <w:color w:val="000000"/>
        </w:rPr>
        <w:t xml:space="preserve"> &gt;25 mmHg) after surgical repair of congenital heart disease. </w:t>
      </w:r>
      <w:r w:rsidRPr="003832D9">
        <w:t xml:space="preserve">Inhaled NO and HV were both effective at lowering PAP and </w:t>
      </w:r>
      <w:r w:rsidR="005A6E5C">
        <w:t>pulmonary vascular resistance (</w:t>
      </w:r>
      <w:r w:rsidRPr="003832D9">
        <w:t>PVR</w:t>
      </w:r>
      <w:r w:rsidR="005A6E5C">
        <w:t>)</w:t>
      </w:r>
      <w:r w:rsidRPr="003832D9">
        <w:t xml:space="preserve">, </w:t>
      </w:r>
      <w:r>
        <w:t xml:space="preserve">producing significant changes compared to baseline, but there were no significant differences between the two treatments. HV produced a significant increase in mean systemic vascular resistance index (SVRI) and a significant reduction in cardiac index (CI), relative to baseline, but </w:t>
      </w:r>
      <w:proofErr w:type="spellStart"/>
      <w:r>
        <w:t>iNO</w:t>
      </w:r>
      <w:proofErr w:type="spellEnd"/>
      <w:r>
        <w:t xml:space="preserve"> did not have significant effects on systemic </w:t>
      </w:r>
      <w:proofErr w:type="spellStart"/>
      <w:r>
        <w:t>haemodynamics</w:t>
      </w:r>
      <w:proofErr w:type="spellEnd"/>
      <w:r>
        <w:t xml:space="preserve">.  The differences between the two treatments for SVRI and CI were not statistically significant, but </w:t>
      </w:r>
      <w:r w:rsidRPr="003832D9">
        <w:t xml:space="preserve">the selective action of </w:t>
      </w:r>
      <w:proofErr w:type="spellStart"/>
      <w:r w:rsidRPr="003832D9">
        <w:t>iNO</w:t>
      </w:r>
      <w:proofErr w:type="spellEnd"/>
      <w:r w:rsidRPr="003832D9">
        <w:t xml:space="preserve"> on the pulmonary circulation offered advantages over HV because a decrease in cardiac output and an increase in </w:t>
      </w:r>
      <w:r w:rsidRPr="003832D9">
        <w:rPr>
          <w:lang w:eastAsia="en-AU"/>
        </w:rPr>
        <w:t>systemic vascular resistance (</w:t>
      </w:r>
      <w:r>
        <w:t xml:space="preserve">SVR) </w:t>
      </w:r>
      <w:r w:rsidRPr="003832D9">
        <w:t>are undesirable in the postoperative period.</w:t>
      </w:r>
    </w:p>
    <w:p w:rsidR="006129B2" w:rsidRDefault="006129B2" w:rsidP="00340115">
      <w:pPr>
        <w:pStyle w:val="Heading2"/>
        <w:jc w:val="both"/>
        <w:rPr>
          <w:rFonts w:ascii="Times New Roman" w:hAnsi="Times New Roman"/>
        </w:rPr>
      </w:pPr>
    </w:p>
    <w:p w:rsidR="003F5CD0" w:rsidRPr="00C87EDD" w:rsidRDefault="003F5CD0" w:rsidP="003F5CD0">
      <w:pPr>
        <w:jc w:val="both"/>
        <w:rPr>
          <w:i/>
        </w:rPr>
      </w:pPr>
      <w:r w:rsidRPr="00C87EDD">
        <w:rPr>
          <w:i/>
        </w:rPr>
        <w:t xml:space="preserve">Pulmonary Hypertension associated with Cardiac Surgery in adults </w:t>
      </w:r>
    </w:p>
    <w:p w:rsidR="003F5CD0" w:rsidRPr="00C87EDD" w:rsidRDefault="003F5CD0" w:rsidP="003F5CD0">
      <w:pPr>
        <w:pStyle w:val="Heading2"/>
        <w:jc w:val="both"/>
        <w:rPr>
          <w:rFonts w:ascii="Times New Roman" w:hAnsi="Times New Roman"/>
        </w:rPr>
      </w:pPr>
    </w:p>
    <w:p w:rsidR="003F5CD0" w:rsidRDefault="003F5CD0" w:rsidP="00C24925">
      <w:pPr>
        <w:widowControl w:val="0"/>
        <w:autoSpaceDE w:val="0"/>
        <w:autoSpaceDN w:val="0"/>
        <w:adjustRightInd w:val="0"/>
        <w:spacing w:line="288" w:lineRule="atLeast"/>
        <w:jc w:val="both"/>
        <w:rPr>
          <w:lang w:val="en-US"/>
        </w:rPr>
      </w:pPr>
      <w:r w:rsidRPr="003F5CD0">
        <w:rPr>
          <w:lang w:val="en-US"/>
        </w:rPr>
        <w:t xml:space="preserve">The selective pulmonary anti-hypertensive effect of </w:t>
      </w:r>
      <w:proofErr w:type="spellStart"/>
      <w:r w:rsidRPr="003F5CD0">
        <w:rPr>
          <w:lang w:val="en-US"/>
        </w:rPr>
        <w:t>iNO</w:t>
      </w:r>
      <w:proofErr w:type="spellEnd"/>
      <w:r w:rsidRPr="003F5CD0">
        <w:rPr>
          <w:lang w:val="en-US"/>
        </w:rPr>
        <w:t xml:space="preserve"> in this population has been demonstrated in </w:t>
      </w:r>
      <w:proofErr w:type="spellStart"/>
      <w:r w:rsidRPr="003F5CD0">
        <w:rPr>
          <w:lang w:val="en-US"/>
        </w:rPr>
        <w:t>randomised</w:t>
      </w:r>
      <w:proofErr w:type="spellEnd"/>
      <w:r w:rsidRPr="003F5CD0">
        <w:rPr>
          <w:lang w:val="en-US"/>
        </w:rPr>
        <w:t xml:space="preserve"> studies comparing </w:t>
      </w:r>
      <w:proofErr w:type="spellStart"/>
      <w:r w:rsidRPr="003F5CD0">
        <w:rPr>
          <w:lang w:val="en-US"/>
        </w:rPr>
        <w:t>iNO</w:t>
      </w:r>
      <w:proofErr w:type="spellEnd"/>
      <w:r w:rsidRPr="003F5CD0">
        <w:rPr>
          <w:lang w:val="en-US"/>
        </w:rPr>
        <w:t xml:space="preserve"> with placebo, conventional therapy, prostaglandin, nitroprusside/nitroglycerin, prostacyclin, </w:t>
      </w:r>
      <w:r w:rsidR="00EC7784">
        <w:rPr>
          <w:lang w:val="en-US"/>
        </w:rPr>
        <w:t xml:space="preserve">and </w:t>
      </w:r>
      <w:proofErr w:type="spellStart"/>
      <w:r w:rsidRPr="003F5CD0">
        <w:rPr>
          <w:lang w:val="en-US"/>
        </w:rPr>
        <w:t>milrinone</w:t>
      </w:r>
      <w:proofErr w:type="spellEnd"/>
      <w:r w:rsidRPr="003F5CD0">
        <w:rPr>
          <w:lang w:val="en-US"/>
        </w:rPr>
        <w:t xml:space="preserve">. The main efficacy results are seen in PAP and PVR. </w:t>
      </w:r>
    </w:p>
    <w:p w:rsidR="003C5B05" w:rsidRPr="003F5CD0" w:rsidRDefault="003C5B05" w:rsidP="003C5B05">
      <w:pPr>
        <w:widowControl w:val="0"/>
        <w:autoSpaceDE w:val="0"/>
        <w:autoSpaceDN w:val="0"/>
        <w:adjustRightInd w:val="0"/>
        <w:spacing w:line="288" w:lineRule="atLeast"/>
        <w:jc w:val="both"/>
        <w:rPr>
          <w:lang w:val="en-US"/>
        </w:rPr>
      </w:pPr>
    </w:p>
    <w:p w:rsidR="003F5CD0" w:rsidRPr="004B7A84" w:rsidRDefault="003E527E" w:rsidP="00C24925">
      <w:pPr>
        <w:widowControl w:val="0"/>
        <w:autoSpaceDE w:val="0"/>
        <w:autoSpaceDN w:val="0"/>
        <w:adjustRightInd w:val="0"/>
        <w:spacing w:line="288" w:lineRule="atLeast"/>
        <w:jc w:val="both"/>
        <w:rPr>
          <w:lang w:val="en-US"/>
        </w:rPr>
      </w:pPr>
      <w:r w:rsidRPr="004B7A84">
        <w:rPr>
          <w:lang w:val="en-US"/>
        </w:rPr>
        <w:t xml:space="preserve">A total of </w:t>
      </w:r>
      <w:r w:rsidR="009D76B0" w:rsidRPr="004B7A84">
        <w:rPr>
          <w:lang w:val="en-US"/>
        </w:rPr>
        <w:t>1</w:t>
      </w:r>
      <w:r w:rsidR="009D76B0">
        <w:rPr>
          <w:lang w:val="en-US"/>
        </w:rPr>
        <w:t>5</w:t>
      </w:r>
      <w:r w:rsidR="009D76B0" w:rsidRPr="004B7A84">
        <w:rPr>
          <w:lang w:val="en-US"/>
        </w:rPr>
        <w:t xml:space="preserve"> </w:t>
      </w:r>
      <w:r w:rsidR="003F5CD0" w:rsidRPr="004B7A84">
        <w:rPr>
          <w:lang w:val="en-US"/>
        </w:rPr>
        <w:t xml:space="preserve">prospective </w:t>
      </w:r>
      <w:proofErr w:type="spellStart"/>
      <w:r w:rsidR="003F5CD0" w:rsidRPr="004B7A84">
        <w:rPr>
          <w:lang w:val="en-US"/>
        </w:rPr>
        <w:t>randomised</w:t>
      </w:r>
      <w:proofErr w:type="spellEnd"/>
      <w:r w:rsidR="003F5CD0" w:rsidRPr="004B7A84">
        <w:rPr>
          <w:lang w:val="en-US"/>
        </w:rPr>
        <w:t xml:space="preserve"> controlled trials involving </w:t>
      </w:r>
      <w:r w:rsidR="009D76B0">
        <w:rPr>
          <w:lang w:val="en-US"/>
        </w:rPr>
        <w:t>512</w:t>
      </w:r>
      <w:r w:rsidR="009D76B0" w:rsidRPr="004B7A84">
        <w:rPr>
          <w:lang w:val="en-US"/>
        </w:rPr>
        <w:t xml:space="preserve"> </w:t>
      </w:r>
      <w:r w:rsidR="003F5CD0" w:rsidRPr="004B7A84">
        <w:rPr>
          <w:lang w:val="en-US"/>
        </w:rPr>
        <w:t>adult patients (</w:t>
      </w:r>
      <w:r w:rsidR="009D76B0">
        <w:rPr>
          <w:lang w:val="en-US"/>
        </w:rPr>
        <w:t>296</w:t>
      </w:r>
      <w:r w:rsidR="009D76B0" w:rsidRPr="004B7A84">
        <w:rPr>
          <w:lang w:val="en-US"/>
        </w:rPr>
        <w:t xml:space="preserve"> </w:t>
      </w:r>
      <w:r w:rsidR="003F5CD0" w:rsidRPr="004B7A84">
        <w:rPr>
          <w:lang w:val="en-US"/>
        </w:rPr>
        <w:t xml:space="preserve">treated with </w:t>
      </w:r>
      <w:proofErr w:type="spellStart"/>
      <w:r w:rsidR="003F5CD0" w:rsidRPr="004B7A84">
        <w:rPr>
          <w:lang w:val="en-US"/>
        </w:rPr>
        <w:t>iNO</w:t>
      </w:r>
      <w:proofErr w:type="spellEnd"/>
      <w:r w:rsidR="003F5CD0" w:rsidRPr="004B7A84">
        <w:rPr>
          <w:lang w:val="en-US"/>
        </w:rPr>
        <w:t xml:space="preserve">) were assessed as published study reports for the indication of perioperative PHT in conjunction with cardiac surgery. </w:t>
      </w:r>
      <w:r w:rsidR="00D16304">
        <w:rPr>
          <w:lang w:val="en-US"/>
        </w:rPr>
        <w:t>Four</w:t>
      </w:r>
      <w:r w:rsidR="00D16304" w:rsidRPr="004B7A84">
        <w:rPr>
          <w:lang w:val="en-US"/>
        </w:rPr>
        <w:t xml:space="preserve"> </w:t>
      </w:r>
      <w:r w:rsidR="003F5CD0" w:rsidRPr="004B7A84">
        <w:rPr>
          <w:lang w:val="en-US"/>
        </w:rPr>
        <w:t>of these were</w:t>
      </w:r>
      <w:r w:rsidR="00686A2E">
        <w:rPr>
          <w:lang w:val="en-US"/>
        </w:rPr>
        <w:t xml:space="preserve"> controlled studies</w:t>
      </w:r>
      <w:r w:rsidR="003F5CD0" w:rsidRPr="004B7A84">
        <w:rPr>
          <w:lang w:val="en-US"/>
        </w:rPr>
        <w:t>:</w:t>
      </w:r>
      <w:r w:rsidR="00613EF1" w:rsidRPr="004B7A84">
        <w:rPr>
          <w:lang w:val="en-US"/>
        </w:rPr>
        <w:t xml:space="preserve"> </w:t>
      </w:r>
      <w:proofErr w:type="spellStart"/>
      <w:r w:rsidR="003F5CD0" w:rsidRPr="004B7A84">
        <w:rPr>
          <w:lang w:val="en-US"/>
        </w:rPr>
        <w:t>Argenziano</w:t>
      </w:r>
      <w:proofErr w:type="spellEnd"/>
      <w:r w:rsidR="003F5CD0" w:rsidRPr="004B7A84">
        <w:rPr>
          <w:lang w:val="en-US"/>
        </w:rPr>
        <w:t xml:space="preserve"> </w:t>
      </w:r>
      <w:r w:rsidR="003F5CD0" w:rsidRPr="004B7A84">
        <w:rPr>
          <w:i/>
          <w:iCs/>
          <w:lang w:val="en-US"/>
        </w:rPr>
        <w:t xml:space="preserve">et al </w:t>
      </w:r>
      <w:r w:rsidR="003F5CD0" w:rsidRPr="004B7A84">
        <w:rPr>
          <w:lang w:val="en-US"/>
        </w:rPr>
        <w:t xml:space="preserve">(1998) </w:t>
      </w:r>
      <w:r w:rsidR="00D16304">
        <w:rPr>
          <w:lang w:val="en-US"/>
        </w:rPr>
        <w:t>was a</w:t>
      </w:r>
      <w:r w:rsidR="00D16304" w:rsidRPr="004B7A84">
        <w:rPr>
          <w:lang w:val="en-US"/>
        </w:rPr>
        <w:t xml:space="preserve"> </w:t>
      </w:r>
      <w:r w:rsidR="003F5CD0" w:rsidRPr="004B7A84">
        <w:rPr>
          <w:lang w:val="en-US"/>
        </w:rPr>
        <w:t xml:space="preserve">placebo-controlled double blind </w:t>
      </w:r>
      <w:r w:rsidR="00D16304" w:rsidRPr="004B7A84">
        <w:rPr>
          <w:lang w:val="en-US"/>
        </w:rPr>
        <w:t>stud</w:t>
      </w:r>
      <w:r w:rsidR="00D16304">
        <w:rPr>
          <w:lang w:val="en-US"/>
        </w:rPr>
        <w:t>y</w:t>
      </w:r>
      <w:r w:rsidR="00D16304" w:rsidRPr="004B7A84">
        <w:rPr>
          <w:lang w:val="en-US"/>
        </w:rPr>
        <w:t xml:space="preserve"> </w:t>
      </w:r>
      <w:r w:rsidR="003F5CD0" w:rsidRPr="004B7A84">
        <w:rPr>
          <w:lang w:val="en-US"/>
        </w:rPr>
        <w:t xml:space="preserve">and </w:t>
      </w:r>
      <w:proofErr w:type="spellStart"/>
      <w:r w:rsidR="003F5CD0" w:rsidRPr="004B7A84">
        <w:rPr>
          <w:lang w:val="en-US"/>
        </w:rPr>
        <w:t>Knothe</w:t>
      </w:r>
      <w:proofErr w:type="spellEnd"/>
      <w:r w:rsidR="003F5CD0" w:rsidRPr="004B7A84">
        <w:rPr>
          <w:lang w:val="en-US"/>
        </w:rPr>
        <w:t xml:space="preserve"> </w:t>
      </w:r>
      <w:r w:rsidR="003F5CD0" w:rsidRPr="004B7A84">
        <w:rPr>
          <w:i/>
          <w:iCs/>
          <w:lang w:val="en-US"/>
        </w:rPr>
        <w:t xml:space="preserve">et al </w:t>
      </w:r>
      <w:r w:rsidR="003F5CD0" w:rsidRPr="004B7A84">
        <w:rPr>
          <w:lang w:val="en-US"/>
        </w:rPr>
        <w:t xml:space="preserve">(1996), </w:t>
      </w:r>
      <w:proofErr w:type="spellStart"/>
      <w:r w:rsidR="003F5CD0" w:rsidRPr="004B7A84">
        <w:rPr>
          <w:lang w:val="en-US"/>
        </w:rPr>
        <w:t>Fernandes</w:t>
      </w:r>
      <w:proofErr w:type="spellEnd"/>
      <w:r w:rsidR="003F5CD0" w:rsidRPr="004B7A84">
        <w:rPr>
          <w:lang w:val="en-US"/>
        </w:rPr>
        <w:t xml:space="preserve"> </w:t>
      </w:r>
      <w:r w:rsidR="003F5CD0" w:rsidRPr="004B7A84">
        <w:rPr>
          <w:i/>
          <w:iCs/>
          <w:lang w:val="en-US"/>
        </w:rPr>
        <w:t xml:space="preserve">et al </w:t>
      </w:r>
      <w:r w:rsidR="003F5CD0" w:rsidRPr="004B7A84">
        <w:rPr>
          <w:lang w:val="en-US"/>
        </w:rPr>
        <w:t>(2011</w:t>
      </w:r>
      <w:r w:rsidR="00E7520A">
        <w:rPr>
          <w:lang w:val="en-US"/>
        </w:rPr>
        <w:t>)</w:t>
      </w:r>
      <w:r w:rsidR="002716AB" w:rsidRPr="004B7A84">
        <w:rPr>
          <w:lang w:val="en-US"/>
        </w:rPr>
        <w:t xml:space="preserve"> </w:t>
      </w:r>
      <w:r w:rsidR="003F5CD0" w:rsidRPr="004B7A84">
        <w:rPr>
          <w:lang w:val="en-US"/>
        </w:rPr>
        <w:t xml:space="preserve">and </w:t>
      </w:r>
      <w:proofErr w:type="spellStart"/>
      <w:r w:rsidR="003F5CD0" w:rsidRPr="004B7A84">
        <w:rPr>
          <w:lang w:val="en-US"/>
        </w:rPr>
        <w:t>Rajek</w:t>
      </w:r>
      <w:proofErr w:type="spellEnd"/>
      <w:r w:rsidR="003F5CD0" w:rsidRPr="004B7A84">
        <w:rPr>
          <w:lang w:val="en-US"/>
        </w:rPr>
        <w:t xml:space="preserve"> </w:t>
      </w:r>
      <w:r w:rsidR="003F5CD0" w:rsidRPr="004B7A84">
        <w:rPr>
          <w:i/>
          <w:iCs/>
          <w:lang w:val="en-US"/>
        </w:rPr>
        <w:t xml:space="preserve">et al </w:t>
      </w:r>
      <w:r w:rsidR="003F5CD0" w:rsidRPr="004B7A84">
        <w:rPr>
          <w:lang w:val="en-US"/>
        </w:rPr>
        <w:t xml:space="preserve">(2000) were controlled against conventional therapy. Their designs and results are detailed below. </w:t>
      </w:r>
    </w:p>
    <w:p w:rsidR="00C24925" w:rsidRPr="00005518" w:rsidRDefault="00C24925" w:rsidP="00C24925">
      <w:pPr>
        <w:widowControl w:val="0"/>
        <w:autoSpaceDE w:val="0"/>
        <w:autoSpaceDN w:val="0"/>
        <w:adjustRightInd w:val="0"/>
        <w:spacing w:line="288" w:lineRule="atLeast"/>
        <w:jc w:val="both"/>
      </w:pPr>
    </w:p>
    <w:p w:rsidR="003F5CD0" w:rsidRDefault="003F5CD0" w:rsidP="00C24925">
      <w:pPr>
        <w:widowControl w:val="0"/>
        <w:autoSpaceDE w:val="0"/>
        <w:autoSpaceDN w:val="0"/>
        <w:adjustRightInd w:val="0"/>
        <w:spacing w:line="288" w:lineRule="atLeast"/>
        <w:jc w:val="both"/>
        <w:rPr>
          <w:lang w:val="en-US"/>
        </w:rPr>
      </w:pPr>
      <w:proofErr w:type="spellStart"/>
      <w:r w:rsidRPr="003F5CD0">
        <w:rPr>
          <w:b/>
          <w:bCs/>
          <w:lang w:val="en-US"/>
        </w:rPr>
        <w:t>Argenziano</w:t>
      </w:r>
      <w:proofErr w:type="spellEnd"/>
      <w:r w:rsidRPr="003F5CD0">
        <w:rPr>
          <w:b/>
          <w:bCs/>
          <w:lang w:val="en-US"/>
        </w:rPr>
        <w:t xml:space="preserve"> </w:t>
      </w:r>
      <w:r w:rsidRPr="003F5CD0">
        <w:rPr>
          <w:b/>
          <w:bCs/>
          <w:i/>
          <w:iCs/>
          <w:lang w:val="en-US"/>
        </w:rPr>
        <w:t xml:space="preserve">et al </w:t>
      </w:r>
      <w:r w:rsidRPr="003F5CD0">
        <w:rPr>
          <w:lang w:val="en-US"/>
        </w:rPr>
        <w:t xml:space="preserve">(1998) was a placebo-controlled, double blind </w:t>
      </w:r>
      <w:proofErr w:type="spellStart"/>
      <w:r w:rsidRPr="003F5CD0">
        <w:rPr>
          <w:lang w:val="en-US"/>
        </w:rPr>
        <w:t>randomised</w:t>
      </w:r>
      <w:proofErr w:type="spellEnd"/>
      <w:r w:rsidRPr="003F5CD0">
        <w:rPr>
          <w:lang w:val="en-US"/>
        </w:rPr>
        <w:t xml:space="preserve"> study investigating the effects of </w:t>
      </w:r>
      <w:proofErr w:type="spellStart"/>
      <w:r w:rsidRPr="003F5CD0">
        <w:rPr>
          <w:lang w:val="en-US"/>
        </w:rPr>
        <w:t>iNO</w:t>
      </w:r>
      <w:proofErr w:type="spellEnd"/>
      <w:r w:rsidRPr="003F5CD0">
        <w:rPr>
          <w:lang w:val="en-US"/>
        </w:rPr>
        <w:t xml:space="preserve"> (20ppm) versus placebo (N</w:t>
      </w:r>
      <w:r w:rsidR="005A6E5C">
        <w:rPr>
          <w:vertAlign w:val="subscript"/>
          <w:lang w:val="en-US"/>
        </w:rPr>
        <w:t>2</w:t>
      </w:r>
      <w:r w:rsidRPr="003F5CD0">
        <w:rPr>
          <w:lang w:val="en-US"/>
        </w:rPr>
        <w:t>)</w:t>
      </w:r>
      <w:r w:rsidRPr="003F5CD0">
        <w:rPr>
          <w:position w:val="-8"/>
          <w:lang w:val="en-US"/>
        </w:rPr>
        <w:t xml:space="preserve"> </w:t>
      </w:r>
      <w:r w:rsidRPr="003F5CD0">
        <w:rPr>
          <w:lang w:val="en-US"/>
        </w:rPr>
        <w:t>in 11 patients (mean age: 55±3 years) with PHT (</w:t>
      </w:r>
      <w:proofErr w:type="spellStart"/>
      <w:r w:rsidRPr="003F5CD0">
        <w:rPr>
          <w:lang w:val="en-US"/>
        </w:rPr>
        <w:t>mPAP</w:t>
      </w:r>
      <w:proofErr w:type="spellEnd"/>
      <w:r w:rsidRPr="003F5CD0">
        <w:rPr>
          <w:lang w:val="en-US"/>
        </w:rPr>
        <w:t>&gt;25 mmHg) implanted with a left ventricular assist device (LVAD) for advanced heart failure. P</w:t>
      </w:r>
      <w:r w:rsidR="008D477E">
        <w:rPr>
          <w:lang w:val="en-US"/>
        </w:rPr>
        <w:t xml:space="preserve">atients </w:t>
      </w:r>
      <w:proofErr w:type="spellStart"/>
      <w:r w:rsidR="008D477E">
        <w:rPr>
          <w:lang w:val="en-US"/>
        </w:rPr>
        <w:t>randomised</w:t>
      </w:r>
      <w:proofErr w:type="spellEnd"/>
      <w:r w:rsidR="008D477E">
        <w:rPr>
          <w:lang w:val="en-US"/>
        </w:rPr>
        <w:t xml:space="preserve"> to placebo w</w:t>
      </w:r>
      <w:r w:rsidRPr="003F5CD0">
        <w:rPr>
          <w:lang w:val="en-US"/>
        </w:rPr>
        <w:t xml:space="preserve">ere to be crossed over to receive </w:t>
      </w:r>
      <w:proofErr w:type="spellStart"/>
      <w:r w:rsidRPr="003F5CD0">
        <w:rPr>
          <w:lang w:val="en-US"/>
        </w:rPr>
        <w:t>iNO</w:t>
      </w:r>
      <w:proofErr w:type="spellEnd"/>
      <w:r w:rsidRPr="003F5CD0">
        <w:rPr>
          <w:lang w:val="en-US"/>
        </w:rPr>
        <w:t xml:space="preserve"> if no clinical response was obtained</w:t>
      </w:r>
      <w:r w:rsidR="008D477E">
        <w:rPr>
          <w:lang w:val="en-US"/>
        </w:rPr>
        <w:t xml:space="preserve"> </w:t>
      </w:r>
      <w:r w:rsidRPr="003F5CD0">
        <w:rPr>
          <w:lang w:val="en-US"/>
        </w:rPr>
        <w:t>after</w:t>
      </w:r>
      <w:r w:rsidR="008D477E">
        <w:rPr>
          <w:lang w:val="en-US"/>
        </w:rPr>
        <w:t xml:space="preserve"> </w:t>
      </w:r>
      <w:r w:rsidRPr="003F5CD0">
        <w:rPr>
          <w:lang w:val="en-US"/>
        </w:rPr>
        <w:t>15minutes. In</w:t>
      </w:r>
      <w:r w:rsidR="008D477E">
        <w:rPr>
          <w:lang w:val="en-US"/>
        </w:rPr>
        <w:t xml:space="preserve"> </w:t>
      </w:r>
      <w:r w:rsidRPr="003F5CD0">
        <w:rPr>
          <w:lang w:val="en-US"/>
        </w:rPr>
        <w:t>the</w:t>
      </w:r>
      <w:r w:rsidR="008D477E">
        <w:rPr>
          <w:lang w:val="en-US"/>
        </w:rPr>
        <w:t xml:space="preserve"> </w:t>
      </w:r>
      <w:proofErr w:type="spellStart"/>
      <w:r w:rsidRPr="003F5CD0">
        <w:rPr>
          <w:lang w:val="en-US"/>
        </w:rPr>
        <w:t>iNOgroup</w:t>
      </w:r>
      <w:proofErr w:type="spellEnd"/>
      <w:r w:rsidRPr="003F5CD0">
        <w:rPr>
          <w:lang w:val="en-US"/>
        </w:rPr>
        <w:t>,</w:t>
      </w:r>
      <w:r w:rsidR="008D477E">
        <w:rPr>
          <w:lang w:val="en-US"/>
        </w:rPr>
        <w:t xml:space="preserve"> </w:t>
      </w:r>
      <w:r w:rsidRPr="003F5CD0">
        <w:rPr>
          <w:lang w:val="en-US"/>
        </w:rPr>
        <w:t>PAP</w:t>
      </w:r>
      <w:r w:rsidR="008D477E">
        <w:rPr>
          <w:lang w:val="en-US"/>
        </w:rPr>
        <w:t xml:space="preserve"> </w:t>
      </w:r>
      <w:r w:rsidRPr="003F5CD0">
        <w:rPr>
          <w:lang w:val="en-US"/>
        </w:rPr>
        <w:t>decreased</w:t>
      </w:r>
      <w:r w:rsidR="008D477E">
        <w:rPr>
          <w:lang w:val="en-US"/>
        </w:rPr>
        <w:t xml:space="preserve"> </w:t>
      </w:r>
      <w:r w:rsidRPr="003F5CD0">
        <w:rPr>
          <w:lang w:val="en-US"/>
        </w:rPr>
        <w:t>rapidly</w:t>
      </w:r>
      <w:r w:rsidR="008D477E">
        <w:rPr>
          <w:lang w:val="en-US"/>
        </w:rPr>
        <w:t xml:space="preserve"> </w:t>
      </w:r>
      <w:r w:rsidRPr="003F5CD0">
        <w:rPr>
          <w:lang w:val="en-US"/>
        </w:rPr>
        <w:t>from</w:t>
      </w:r>
      <w:r w:rsidR="008D477E">
        <w:rPr>
          <w:lang w:val="en-US"/>
        </w:rPr>
        <w:t xml:space="preserve"> </w:t>
      </w:r>
      <w:r w:rsidRPr="003F5CD0">
        <w:rPr>
          <w:lang w:val="en-US"/>
        </w:rPr>
        <w:t>35±6</w:t>
      </w:r>
      <w:r w:rsidR="008D477E">
        <w:rPr>
          <w:lang w:val="en-US"/>
        </w:rPr>
        <w:t xml:space="preserve"> </w:t>
      </w:r>
      <w:r w:rsidRPr="003F5CD0">
        <w:rPr>
          <w:lang w:val="en-US"/>
        </w:rPr>
        <w:t>mmHg to</w:t>
      </w:r>
      <w:r w:rsidR="008D477E">
        <w:rPr>
          <w:lang w:val="en-US"/>
        </w:rPr>
        <w:t xml:space="preserve"> </w:t>
      </w:r>
      <w:r w:rsidRPr="003F5CD0">
        <w:rPr>
          <w:lang w:val="en-US"/>
        </w:rPr>
        <w:t>24±4</w:t>
      </w:r>
      <w:r w:rsidR="008D477E">
        <w:rPr>
          <w:lang w:val="en-US"/>
        </w:rPr>
        <w:t xml:space="preserve"> </w:t>
      </w:r>
      <w:r w:rsidRPr="003F5CD0">
        <w:rPr>
          <w:lang w:val="en-US"/>
        </w:rPr>
        <w:t>mmHg</w:t>
      </w:r>
      <w:r w:rsidR="008D477E">
        <w:rPr>
          <w:lang w:val="en-US"/>
        </w:rPr>
        <w:t xml:space="preserve"> (</w:t>
      </w:r>
      <w:r w:rsidRPr="003F5CD0">
        <w:rPr>
          <w:i/>
          <w:iCs/>
          <w:lang w:val="en-US"/>
        </w:rPr>
        <w:t>p</w:t>
      </w:r>
      <w:r w:rsidRPr="003F5CD0">
        <w:rPr>
          <w:lang w:val="en-US"/>
        </w:rPr>
        <w:t>=0.02) and the LVAD flow index increased from 1.9±0.2 L/min/m</w:t>
      </w:r>
      <w:r w:rsidR="00BB4CDB" w:rsidRPr="00BB4CDB">
        <w:rPr>
          <w:vertAlign w:val="superscript"/>
          <w:lang w:val="en-US"/>
        </w:rPr>
        <w:t>2</w:t>
      </w:r>
      <w:r w:rsidRPr="003F5CD0">
        <w:rPr>
          <w:lang w:val="en-US"/>
        </w:rPr>
        <w:t xml:space="preserve"> to 2.7±0.3 L/min/</w:t>
      </w:r>
      <w:r w:rsidR="00BB4CDB">
        <w:rPr>
          <w:lang w:val="en-US"/>
        </w:rPr>
        <w:t>m</w:t>
      </w:r>
      <w:r w:rsidR="00BB4CDB" w:rsidRPr="00BB4CDB">
        <w:rPr>
          <w:vertAlign w:val="superscript"/>
          <w:lang w:val="en-US"/>
        </w:rPr>
        <w:t>2</w:t>
      </w:r>
      <w:r w:rsidR="00BB4CDB">
        <w:rPr>
          <w:lang w:val="en-US"/>
        </w:rPr>
        <w:t xml:space="preserve"> (</w:t>
      </w:r>
      <w:r w:rsidRPr="003F5CD0">
        <w:rPr>
          <w:i/>
          <w:iCs/>
          <w:lang w:val="en-US"/>
        </w:rPr>
        <w:t>p</w:t>
      </w:r>
      <w:r w:rsidRPr="003F5CD0">
        <w:rPr>
          <w:lang w:val="en-US"/>
        </w:rPr>
        <w:t xml:space="preserve">=0.02). In the placebo group, no significant change </w:t>
      </w:r>
      <w:r w:rsidRPr="003F5CD0">
        <w:rPr>
          <w:lang w:val="en-US"/>
        </w:rPr>
        <w:lastRenderedPageBreak/>
        <w:t xml:space="preserve">was seen in PAP or LVAD flow index. </w:t>
      </w:r>
    </w:p>
    <w:p w:rsidR="005A6E5C" w:rsidRPr="003F5CD0" w:rsidRDefault="005A6E5C" w:rsidP="00C24925">
      <w:pPr>
        <w:widowControl w:val="0"/>
        <w:autoSpaceDE w:val="0"/>
        <w:autoSpaceDN w:val="0"/>
        <w:adjustRightInd w:val="0"/>
        <w:spacing w:line="288" w:lineRule="atLeast"/>
        <w:jc w:val="both"/>
        <w:rPr>
          <w:lang w:val="en-US"/>
        </w:rPr>
      </w:pPr>
    </w:p>
    <w:p w:rsidR="00321CF8" w:rsidRDefault="003F5CD0" w:rsidP="0014300B">
      <w:pPr>
        <w:widowControl w:val="0"/>
        <w:autoSpaceDE w:val="0"/>
        <w:autoSpaceDN w:val="0"/>
        <w:adjustRightInd w:val="0"/>
        <w:spacing w:line="300" w:lineRule="atLeast"/>
        <w:jc w:val="both"/>
        <w:rPr>
          <w:rFonts w:ascii="Times" w:hAnsi="Times" w:cs="Times"/>
          <w:sz w:val="24"/>
          <w:szCs w:val="24"/>
          <w:lang w:val="en-US"/>
        </w:rPr>
      </w:pPr>
      <w:proofErr w:type="spellStart"/>
      <w:r w:rsidRPr="003F5CD0">
        <w:rPr>
          <w:b/>
          <w:bCs/>
          <w:lang w:val="en-US"/>
        </w:rPr>
        <w:t>Knothe</w:t>
      </w:r>
      <w:proofErr w:type="spellEnd"/>
      <w:r w:rsidRPr="003F5CD0">
        <w:rPr>
          <w:b/>
          <w:bCs/>
          <w:lang w:val="en-US"/>
        </w:rPr>
        <w:t xml:space="preserve"> </w:t>
      </w:r>
      <w:r w:rsidRPr="003F5CD0">
        <w:rPr>
          <w:b/>
          <w:bCs/>
          <w:i/>
          <w:iCs/>
          <w:lang w:val="en-US"/>
        </w:rPr>
        <w:t xml:space="preserve">et al </w:t>
      </w:r>
      <w:r w:rsidRPr="003F5CD0">
        <w:rPr>
          <w:lang w:val="en-US"/>
        </w:rPr>
        <w:t xml:space="preserve">(1996) was a </w:t>
      </w:r>
      <w:proofErr w:type="spellStart"/>
      <w:r w:rsidRPr="003F5CD0">
        <w:rPr>
          <w:lang w:val="en-US"/>
        </w:rPr>
        <w:t>randomised</w:t>
      </w:r>
      <w:proofErr w:type="spellEnd"/>
      <w:r w:rsidRPr="003F5CD0">
        <w:rPr>
          <w:lang w:val="en-US"/>
        </w:rPr>
        <w:t xml:space="preserve"> open study investigating the effect of </w:t>
      </w:r>
      <w:proofErr w:type="spellStart"/>
      <w:r w:rsidRPr="003F5CD0">
        <w:rPr>
          <w:lang w:val="en-US"/>
        </w:rPr>
        <w:t>iNO</w:t>
      </w:r>
      <w:proofErr w:type="spellEnd"/>
      <w:r w:rsidRPr="003F5CD0">
        <w:rPr>
          <w:lang w:val="en-US"/>
        </w:rPr>
        <w:t xml:space="preserve"> (30 ppm) versus conventional therapy in 20 patients (age range 46 to 80 years) with PHT (PAP&gt;25 mmHg) before valve replacement surgery. </w:t>
      </w:r>
      <w:r w:rsidR="00321CF8" w:rsidRPr="00321CF8">
        <w:rPr>
          <w:iCs/>
          <w:lang w:val="en-US"/>
        </w:rPr>
        <w:t xml:space="preserve">It did not demonstrate a significant difference between </w:t>
      </w:r>
      <w:proofErr w:type="spellStart"/>
      <w:r w:rsidR="00321CF8" w:rsidRPr="00321CF8">
        <w:rPr>
          <w:iCs/>
          <w:lang w:val="en-US"/>
        </w:rPr>
        <w:t>iNO</w:t>
      </w:r>
      <w:proofErr w:type="spellEnd"/>
      <w:r w:rsidR="00321CF8" w:rsidRPr="00321CF8">
        <w:rPr>
          <w:iCs/>
          <w:lang w:val="en-US"/>
        </w:rPr>
        <w:t xml:space="preserve"> and conventional therapy.</w:t>
      </w:r>
      <w:r w:rsidR="00321CF8">
        <w:rPr>
          <w:rFonts w:ascii="Cambria" w:hAnsi="Cambria" w:cs="Cambria"/>
          <w:i/>
          <w:iCs/>
          <w:sz w:val="26"/>
          <w:szCs w:val="26"/>
          <w:lang w:val="en-US"/>
        </w:rPr>
        <w:t xml:space="preserve"> </w:t>
      </w:r>
    </w:p>
    <w:p w:rsidR="003F5CD0" w:rsidRDefault="003F5CD0" w:rsidP="0014300B">
      <w:pPr>
        <w:widowControl w:val="0"/>
        <w:autoSpaceDE w:val="0"/>
        <w:autoSpaceDN w:val="0"/>
        <w:adjustRightInd w:val="0"/>
        <w:spacing w:line="288" w:lineRule="atLeast"/>
        <w:jc w:val="both"/>
        <w:rPr>
          <w:lang w:val="en-US"/>
        </w:rPr>
      </w:pPr>
      <w:r w:rsidRPr="003F5CD0">
        <w:rPr>
          <w:lang w:val="en-US"/>
        </w:rPr>
        <w:t xml:space="preserve">In the </w:t>
      </w:r>
      <w:proofErr w:type="spellStart"/>
      <w:r w:rsidRPr="003F5CD0">
        <w:rPr>
          <w:lang w:val="en-US"/>
        </w:rPr>
        <w:t>iNO</w:t>
      </w:r>
      <w:proofErr w:type="spellEnd"/>
      <w:r w:rsidRPr="003F5CD0">
        <w:rPr>
          <w:lang w:val="en-US"/>
        </w:rPr>
        <w:t xml:space="preserve"> group, PAP and PVR were significantly reduced</w:t>
      </w:r>
      <w:r w:rsidR="006E2962">
        <w:rPr>
          <w:lang w:val="en-US"/>
        </w:rPr>
        <w:t xml:space="preserve"> compared to baseline</w:t>
      </w:r>
      <w:r w:rsidRPr="003F5CD0">
        <w:rPr>
          <w:lang w:val="en-US"/>
        </w:rPr>
        <w:t xml:space="preserve"> (p&lt;0.05) and returned to their baseline value after </w:t>
      </w:r>
      <w:proofErr w:type="spellStart"/>
      <w:r w:rsidRPr="003F5CD0">
        <w:rPr>
          <w:lang w:val="en-US"/>
        </w:rPr>
        <w:t>iNO</w:t>
      </w:r>
      <w:proofErr w:type="spellEnd"/>
      <w:r w:rsidRPr="003F5CD0">
        <w:rPr>
          <w:lang w:val="en-US"/>
        </w:rPr>
        <w:t xml:space="preserve"> was stopped. In the </w:t>
      </w:r>
      <w:r w:rsidR="006E2962">
        <w:rPr>
          <w:lang w:val="en-US"/>
        </w:rPr>
        <w:t>control</w:t>
      </w:r>
      <w:r w:rsidRPr="003F5CD0">
        <w:rPr>
          <w:lang w:val="en-US"/>
        </w:rPr>
        <w:t xml:space="preserve"> group, changes in PAP and PVR were</w:t>
      </w:r>
      <w:r w:rsidR="006E2962">
        <w:rPr>
          <w:lang w:val="en-US"/>
        </w:rPr>
        <w:t xml:space="preserve"> observed, and the </w:t>
      </w:r>
      <w:r w:rsidR="007B11FA">
        <w:rPr>
          <w:lang w:val="en-US"/>
        </w:rPr>
        <w:t>changes for PAP were significant</w:t>
      </w:r>
      <w:r w:rsidRPr="003F5CD0">
        <w:rPr>
          <w:lang w:val="en-US"/>
        </w:rPr>
        <w:t xml:space="preserve"> </w:t>
      </w:r>
      <w:r w:rsidR="007B11FA">
        <w:rPr>
          <w:lang w:val="en-US"/>
        </w:rPr>
        <w:t>relative to baseline</w:t>
      </w:r>
      <w:r w:rsidRPr="003F5CD0">
        <w:rPr>
          <w:lang w:val="en-US"/>
        </w:rPr>
        <w:t xml:space="preserve">. Treatment with </w:t>
      </w:r>
      <w:proofErr w:type="spellStart"/>
      <w:r w:rsidRPr="003F5CD0">
        <w:rPr>
          <w:lang w:val="en-US"/>
        </w:rPr>
        <w:t>iNO</w:t>
      </w:r>
      <w:proofErr w:type="spellEnd"/>
      <w:r w:rsidRPr="003F5CD0">
        <w:rPr>
          <w:lang w:val="en-US"/>
        </w:rPr>
        <w:t xml:space="preserve"> </w:t>
      </w:r>
      <w:r w:rsidR="007B11FA">
        <w:rPr>
          <w:lang w:val="en-US"/>
        </w:rPr>
        <w:t xml:space="preserve">was associated with </w:t>
      </w:r>
      <w:r w:rsidRPr="003F5CD0">
        <w:rPr>
          <w:lang w:val="en-US"/>
        </w:rPr>
        <w:t xml:space="preserve">significantly increased SVR, </w:t>
      </w:r>
      <w:r w:rsidR="007B11FA">
        <w:rPr>
          <w:lang w:val="en-US"/>
        </w:rPr>
        <w:t xml:space="preserve">relative to baseline, and SVR </w:t>
      </w:r>
      <w:r w:rsidRPr="003F5CD0">
        <w:rPr>
          <w:lang w:val="en-US"/>
        </w:rPr>
        <w:t xml:space="preserve">remained elevated after </w:t>
      </w:r>
      <w:proofErr w:type="spellStart"/>
      <w:r w:rsidRPr="003F5CD0">
        <w:rPr>
          <w:lang w:val="en-US"/>
        </w:rPr>
        <w:t>iNO</w:t>
      </w:r>
      <w:proofErr w:type="spellEnd"/>
      <w:r w:rsidRPr="003F5CD0">
        <w:rPr>
          <w:lang w:val="en-US"/>
        </w:rPr>
        <w:t xml:space="preserve"> was stopped. </w:t>
      </w:r>
    </w:p>
    <w:p w:rsidR="00BB4CDB" w:rsidRPr="003F5CD0" w:rsidRDefault="00BB4CDB" w:rsidP="00C24925">
      <w:pPr>
        <w:widowControl w:val="0"/>
        <w:autoSpaceDE w:val="0"/>
        <w:autoSpaceDN w:val="0"/>
        <w:adjustRightInd w:val="0"/>
        <w:spacing w:line="288" w:lineRule="atLeast"/>
        <w:jc w:val="both"/>
        <w:rPr>
          <w:lang w:val="en-US"/>
        </w:rPr>
      </w:pPr>
    </w:p>
    <w:p w:rsidR="003F5CD0" w:rsidRDefault="003F5CD0" w:rsidP="00C24925">
      <w:pPr>
        <w:widowControl w:val="0"/>
        <w:autoSpaceDE w:val="0"/>
        <w:autoSpaceDN w:val="0"/>
        <w:adjustRightInd w:val="0"/>
        <w:spacing w:line="288" w:lineRule="atLeast"/>
        <w:jc w:val="both"/>
        <w:rPr>
          <w:lang w:val="en-US"/>
        </w:rPr>
      </w:pPr>
      <w:proofErr w:type="spellStart"/>
      <w:r w:rsidRPr="003F5CD0">
        <w:rPr>
          <w:b/>
          <w:bCs/>
          <w:lang w:val="en-US"/>
        </w:rPr>
        <w:t>Fernandes</w:t>
      </w:r>
      <w:proofErr w:type="spellEnd"/>
      <w:r w:rsidRPr="003F5CD0">
        <w:rPr>
          <w:b/>
          <w:bCs/>
          <w:lang w:val="en-US"/>
        </w:rPr>
        <w:t xml:space="preserve"> </w:t>
      </w:r>
      <w:r w:rsidRPr="003F5CD0">
        <w:rPr>
          <w:b/>
          <w:bCs/>
          <w:i/>
          <w:iCs/>
          <w:lang w:val="en-US"/>
        </w:rPr>
        <w:t xml:space="preserve">et al </w:t>
      </w:r>
      <w:r w:rsidRPr="003F5CD0">
        <w:rPr>
          <w:lang w:val="en-US"/>
        </w:rPr>
        <w:t xml:space="preserve">(2011) was an open </w:t>
      </w:r>
      <w:proofErr w:type="spellStart"/>
      <w:r w:rsidRPr="003F5CD0">
        <w:rPr>
          <w:lang w:val="en-US"/>
        </w:rPr>
        <w:t>randomised</w:t>
      </w:r>
      <w:proofErr w:type="spellEnd"/>
      <w:r w:rsidRPr="003F5CD0">
        <w:rPr>
          <w:lang w:val="en-US"/>
        </w:rPr>
        <w:t xml:space="preserve"> study investigating the effect of </w:t>
      </w:r>
      <w:proofErr w:type="spellStart"/>
      <w:r w:rsidRPr="003F5CD0">
        <w:rPr>
          <w:lang w:val="en-US"/>
        </w:rPr>
        <w:t>iNO</w:t>
      </w:r>
      <w:proofErr w:type="spellEnd"/>
      <w:r w:rsidRPr="003F5CD0">
        <w:rPr>
          <w:lang w:val="en-US"/>
        </w:rPr>
        <w:t xml:space="preserve"> (10 ppm) versus O</w:t>
      </w:r>
      <w:r w:rsidR="00BB4CDB" w:rsidRPr="00BB4CDB">
        <w:rPr>
          <w:vertAlign w:val="subscript"/>
          <w:lang w:val="en-US"/>
        </w:rPr>
        <w:t>2</w:t>
      </w:r>
      <w:r w:rsidRPr="003F5CD0">
        <w:rPr>
          <w:lang w:val="en-US"/>
        </w:rPr>
        <w:t xml:space="preserve"> in 29 patients (mean age 46±2 years) with severe PHT (systolic PAP&gt;60 mmHg) undergoing mitral valve stenosis surgery. The</w:t>
      </w:r>
      <w:r w:rsidR="00093863">
        <w:rPr>
          <w:lang w:val="en-US"/>
        </w:rPr>
        <w:t xml:space="preserve"> </w:t>
      </w:r>
      <w:r w:rsidRPr="003F5CD0">
        <w:rPr>
          <w:lang w:val="en-US"/>
        </w:rPr>
        <w:t>decrease</w:t>
      </w:r>
      <w:r w:rsidR="00093863">
        <w:rPr>
          <w:lang w:val="en-US"/>
        </w:rPr>
        <w:t xml:space="preserve"> </w:t>
      </w:r>
      <w:r w:rsidRPr="003F5CD0">
        <w:rPr>
          <w:lang w:val="en-US"/>
        </w:rPr>
        <w:t>in</w:t>
      </w:r>
      <w:r w:rsidR="00093863">
        <w:rPr>
          <w:lang w:val="en-US"/>
        </w:rPr>
        <w:t xml:space="preserve"> </w:t>
      </w:r>
      <w:r w:rsidRPr="003F5CD0">
        <w:rPr>
          <w:lang w:val="en-US"/>
        </w:rPr>
        <w:t>PVR</w:t>
      </w:r>
      <w:r w:rsidR="00093863">
        <w:rPr>
          <w:lang w:val="en-US"/>
        </w:rPr>
        <w:t xml:space="preserve"> </w:t>
      </w:r>
      <w:r w:rsidRPr="003F5CD0">
        <w:rPr>
          <w:lang w:val="en-US"/>
        </w:rPr>
        <w:t>was</w:t>
      </w:r>
      <w:r w:rsidR="00093863">
        <w:rPr>
          <w:lang w:val="en-US"/>
        </w:rPr>
        <w:t xml:space="preserve"> significantly greater (</w:t>
      </w:r>
      <w:r w:rsidRPr="003F5CD0">
        <w:rPr>
          <w:i/>
          <w:iCs/>
          <w:lang w:val="en-US"/>
        </w:rPr>
        <w:t>p</w:t>
      </w:r>
      <w:r w:rsidRPr="003F5CD0">
        <w:rPr>
          <w:lang w:val="en-US"/>
        </w:rPr>
        <w:t xml:space="preserve">=0.005) in the </w:t>
      </w:r>
      <w:proofErr w:type="spellStart"/>
      <w:r w:rsidRPr="003F5CD0">
        <w:rPr>
          <w:lang w:val="en-US"/>
        </w:rPr>
        <w:t>iNO</w:t>
      </w:r>
      <w:proofErr w:type="spellEnd"/>
      <w:r w:rsidRPr="003F5CD0">
        <w:rPr>
          <w:lang w:val="en-US"/>
        </w:rPr>
        <w:t xml:space="preserve"> group than in the O</w:t>
      </w:r>
      <w:r w:rsidR="00093863" w:rsidRPr="00093863">
        <w:rPr>
          <w:vertAlign w:val="subscript"/>
          <w:lang w:val="en-US"/>
        </w:rPr>
        <w:t>2</w:t>
      </w:r>
      <w:r w:rsidRPr="003F5CD0">
        <w:rPr>
          <w:position w:val="-8"/>
          <w:lang w:val="en-US"/>
        </w:rPr>
        <w:t xml:space="preserve"> </w:t>
      </w:r>
      <w:r w:rsidRPr="003F5CD0">
        <w:rPr>
          <w:lang w:val="en-US"/>
        </w:rPr>
        <w:t xml:space="preserve">group, but only at 48 hours. </w:t>
      </w:r>
      <w:r w:rsidR="0053707D">
        <w:rPr>
          <w:lang w:val="en-US"/>
        </w:rPr>
        <w:t>Cardiac index was increased in both groups, but the differences between groups w</w:t>
      </w:r>
      <w:r w:rsidR="00B06994">
        <w:rPr>
          <w:lang w:val="en-US"/>
        </w:rPr>
        <w:t>ere</w:t>
      </w:r>
      <w:r w:rsidR="0053707D">
        <w:rPr>
          <w:lang w:val="en-US"/>
        </w:rPr>
        <w:t xml:space="preserve"> not si</w:t>
      </w:r>
      <w:r w:rsidR="00B06994">
        <w:rPr>
          <w:lang w:val="en-US"/>
        </w:rPr>
        <w:t>gnificant. Change</w:t>
      </w:r>
      <w:r w:rsidR="0053707D">
        <w:rPr>
          <w:lang w:val="en-US"/>
        </w:rPr>
        <w:t>s</w:t>
      </w:r>
      <w:r w:rsidR="00B06994">
        <w:rPr>
          <w:lang w:val="en-US"/>
        </w:rPr>
        <w:t xml:space="preserve"> </w:t>
      </w:r>
      <w:r w:rsidR="0053707D">
        <w:rPr>
          <w:lang w:val="en-US"/>
        </w:rPr>
        <w:t xml:space="preserve">in cardiac index relative to baseline were significant for </w:t>
      </w:r>
      <w:proofErr w:type="spellStart"/>
      <w:r w:rsidR="00B06994">
        <w:rPr>
          <w:lang w:val="en-US"/>
        </w:rPr>
        <w:t>iNO</w:t>
      </w:r>
      <w:proofErr w:type="spellEnd"/>
      <w:r w:rsidR="00B06994">
        <w:rPr>
          <w:lang w:val="en-US"/>
        </w:rPr>
        <w:t xml:space="preserve">. </w:t>
      </w:r>
      <w:r w:rsidRPr="003F5CD0">
        <w:rPr>
          <w:lang w:val="en-US"/>
        </w:rPr>
        <w:t xml:space="preserve">Pulmonary capillary wedge pressure and systolic PAP were </w:t>
      </w:r>
      <w:r w:rsidR="00B06994">
        <w:rPr>
          <w:lang w:val="en-US"/>
        </w:rPr>
        <w:t xml:space="preserve">not </w:t>
      </w:r>
      <w:r w:rsidRPr="003F5CD0">
        <w:rPr>
          <w:lang w:val="en-US"/>
        </w:rPr>
        <w:t xml:space="preserve">significantly reduced in </w:t>
      </w:r>
      <w:r w:rsidR="00B06994">
        <w:rPr>
          <w:lang w:val="en-US"/>
        </w:rPr>
        <w:t>either group</w:t>
      </w:r>
      <w:r w:rsidRPr="003F5CD0">
        <w:rPr>
          <w:lang w:val="en-US"/>
        </w:rPr>
        <w:t xml:space="preserve">, </w:t>
      </w:r>
      <w:r w:rsidR="00B06994">
        <w:rPr>
          <w:lang w:val="en-US"/>
        </w:rPr>
        <w:t>and</w:t>
      </w:r>
      <w:r w:rsidR="00B06994" w:rsidRPr="003F5CD0">
        <w:rPr>
          <w:lang w:val="en-US"/>
        </w:rPr>
        <w:t xml:space="preserve"> </w:t>
      </w:r>
      <w:r w:rsidRPr="003F5CD0">
        <w:rPr>
          <w:lang w:val="en-US"/>
        </w:rPr>
        <w:t>the difference</w:t>
      </w:r>
      <w:r w:rsidR="00B06994">
        <w:rPr>
          <w:lang w:val="en-US"/>
        </w:rPr>
        <w:t>s</w:t>
      </w:r>
      <w:r w:rsidRPr="003F5CD0">
        <w:rPr>
          <w:lang w:val="en-US"/>
        </w:rPr>
        <w:t xml:space="preserve"> between groups </w:t>
      </w:r>
      <w:r w:rsidR="00B06994">
        <w:rPr>
          <w:lang w:val="en-US"/>
        </w:rPr>
        <w:t>were</w:t>
      </w:r>
      <w:r w:rsidR="00B06994" w:rsidRPr="003F5CD0">
        <w:rPr>
          <w:lang w:val="en-US"/>
        </w:rPr>
        <w:t xml:space="preserve"> </w:t>
      </w:r>
      <w:r w:rsidRPr="003F5CD0">
        <w:rPr>
          <w:lang w:val="en-US"/>
        </w:rPr>
        <w:t xml:space="preserve">not significant. </w:t>
      </w:r>
      <w:r w:rsidR="008B28FE">
        <w:rPr>
          <w:lang w:val="en-US"/>
        </w:rPr>
        <w:t>The changes in systolic PAP at 24 and 48 hours were almost identical in the two groups.</w:t>
      </w:r>
    </w:p>
    <w:p w:rsidR="00093863" w:rsidRPr="003F5CD0" w:rsidRDefault="00093863" w:rsidP="00C24925">
      <w:pPr>
        <w:widowControl w:val="0"/>
        <w:autoSpaceDE w:val="0"/>
        <w:autoSpaceDN w:val="0"/>
        <w:adjustRightInd w:val="0"/>
        <w:spacing w:line="288" w:lineRule="atLeast"/>
        <w:jc w:val="both"/>
        <w:rPr>
          <w:lang w:val="en-US"/>
        </w:rPr>
      </w:pPr>
    </w:p>
    <w:p w:rsidR="003F5CD0" w:rsidRDefault="003F5CD0" w:rsidP="00C24925">
      <w:pPr>
        <w:widowControl w:val="0"/>
        <w:autoSpaceDE w:val="0"/>
        <w:autoSpaceDN w:val="0"/>
        <w:adjustRightInd w:val="0"/>
        <w:spacing w:line="288" w:lineRule="atLeast"/>
        <w:jc w:val="both"/>
        <w:rPr>
          <w:lang w:val="en-US"/>
        </w:rPr>
      </w:pPr>
      <w:proofErr w:type="spellStart"/>
      <w:r w:rsidRPr="003F5CD0">
        <w:rPr>
          <w:b/>
          <w:bCs/>
          <w:lang w:val="en-US"/>
        </w:rPr>
        <w:t>Rajek</w:t>
      </w:r>
      <w:proofErr w:type="spellEnd"/>
      <w:r w:rsidRPr="003F5CD0">
        <w:rPr>
          <w:b/>
          <w:bCs/>
          <w:lang w:val="en-US"/>
        </w:rPr>
        <w:t xml:space="preserve"> </w:t>
      </w:r>
      <w:r w:rsidRPr="003F5CD0">
        <w:rPr>
          <w:b/>
          <w:bCs/>
          <w:i/>
          <w:iCs/>
          <w:lang w:val="en-US"/>
        </w:rPr>
        <w:t xml:space="preserve">et al </w:t>
      </w:r>
      <w:r w:rsidRPr="003F5CD0">
        <w:rPr>
          <w:lang w:val="en-US"/>
        </w:rPr>
        <w:t xml:space="preserve">(2000) was a double-blind </w:t>
      </w:r>
      <w:proofErr w:type="spellStart"/>
      <w:r w:rsidRPr="003F5CD0">
        <w:rPr>
          <w:lang w:val="en-US"/>
        </w:rPr>
        <w:t>randomised</w:t>
      </w:r>
      <w:proofErr w:type="spellEnd"/>
      <w:r w:rsidRPr="003F5CD0">
        <w:rPr>
          <w:lang w:val="en-US"/>
        </w:rPr>
        <w:t xml:space="preserve"> study investigating the efficacy of </w:t>
      </w:r>
      <w:proofErr w:type="spellStart"/>
      <w:r w:rsidRPr="003F5CD0">
        <w:rPr>
          <w:lang w:val="en-US"/>
        </w:rPr>
        <w:t>iNO</w:t>
      </w:r>
      <w:proofErr w:type="spellEnd"/>
      <w:r w:rsidRPr="003F5CD0">
        <w:rPr>
          <w:lang w:val="en-US"/>
        </w:rPr>
        <w:t xml:space="preserve"> (34 patients, mean age: 54±11 years) versus intravenous prostaglandin E1 (PGE1)(34 patients, mean age: 55±9 years) in patients with PHT (mean PVR &gt;250 </w:t>
      </w:r>
      <w:proofErr w:type="spellStart"/>
      <w:r w:rsidRPr="003F5CD0">
        <w:rPr>
          <w:lang w:val="en-US"/>
        </w:rPr>
        <w:t>dyn</w:t>
      </w:r>
      <w:proofErr w:type="spellEnd"/>
      <w:r w:rsidRPr="003F5CD0">
        <w:rPr>
          <w:lang w:val="en-US"/>
        </w:rPr>
        <w:t>/sec/c</w:t>
      </w:r>
      <w:r w:rsidR="00093863">
        <w:rPr>
          <w:lang w:val="en-US"/>
        </w:rPr>
        <w:t>m</w:t>
      </w:r>
      <w:r w:rsidR="00093863" w:rsidRPr="00093863">
        <w:rPr>
          <w:vertAlign w:val="superscript"/>
          <w:lang w:val="en-US"/>
        </w:rPr>
        <w:t>5</w:t>
      </w:r>
      <w:r w:rsidRPr="003F5CD0">
        <w:rPr>
          <w:lang w:val="en-US"/>
        </w:rPr>
        <w:t>, PAP</w:t>
      </w:r>
      <w:r w:rsidR="00093863">
        <w:rPr>
          <w:lang w:val="en-US"/>
        </w:rPr>
        <w:t xml:space="preserve"> </w:t>
      </w:r>
      <w:r w:rsidRPr="003F5CD0">
        <w:rPr>
          <w:lang w:val="en-US"/>
        </w:rPr>
        <w:t xml:space="preserve">&gt;30 mmHg) undergoing heart transplantation. Patients were switched to the alternative study drug when PAP was consistently elevated and when weaning from cardiopulmonary bypass was difficult because of right heart failure. Pulmonary arterial pressure was decreased by approximately 30% with </w:t>
      </w:r>
      <w:proofErr w:type="spellStart"/>
      <w:r w:rsidRPr="003F5CD0">
        <w:rPr>
          <w:lang w:val="en-US"/>
        </w:rPr>
        <w:t>iNO</w:t>
      </w:r>
      <w:proofErr w:type="spellEnd"/>
      <w:r w:rsidRPr="003F5CD0">
        <w:rPr>
          <w:lang w:val="en-US"/>
        </w:rPr>
        <w:t xml:space="preserve"> (p&lt;0.0001</w:t>
      </w:r>
      <w:r w:rsidR="00312DAF">
        <w:rPr>
          <w:lang w:val="en-US"/>
        </w:rPr>
        <w:t xml:space="preserve"> compared to baseline</w:t>
      </w:r>
      <w:r w:rsidRPr="003F5CD0">
        <w:rPr>
          <w:lang w:val="en-US"/>
        </w:rPr>
        <w:t xml:space="preserve">), but only by approximately 16% with PGE1. PVR was nearly halved in the </w:t>
      </w:r>
      <w:proofErr w:type="spellStart"/>
      <w:r w:rsidRPr="003F5CD0">
        <w:rPr>
          <w:lang w:val="en-US"/>
        </w:rPr>
        <w:t>iNO</w:t>
      </w:r>
      <w:proofErr w:type="spellEnd"/>
      <w:r w:rsidRPr="003F5CD0">
        <w:rPr>
          <w:lang w:val="en-US"/>
        </w:rPr>
        <w:t xml:space="preserve"> group (p&lt;0.0001</w:t>
      </w:r>
      <w:r w:rsidR="00F22A8A">
        <w:rPr>
          <w:lang w:val="en-US"/>
        </w:rPr>
        <w:t xml:space="preserve"> compared to baseline</w:t>
      </w:r>
      <w:r w:rsidRPr="003F5CD0">
        <w:rPr>
          <w:lang w:val="en-US"/>
        </w:rPr>
        <w:t xml:space="preserve">) but reduced by only 10% in the PGE1 group. </w:t>
      </w:r>
      <w:r w:rsidR="00F22A8A">
        <w:rPr>
          <w:lang w:val="en-US"/>
        </w:rPr>
        <w:t>Comparisons between groups were statistically significant (p&lt;0.05)</w:t>
      </w:r>
      <w:r w:rsidR="00C31CC0">
        <w:rPr>
          <w:lang w:val="en-US"/>
        </w:rPr>
        <w:t xml:space="preserve"> and in </w:t>
      </w:r>
      <w:proofErr w:type="spellStart"/>
      <w:r w:rsidR="00C31CC0">
        <w:rPr>
          <w:lang w:val="en-US"/>
        </w:rPr>
        <w:t>favour</w:t>
      </w:r>
      <w:proofErr w:type="spellEnd"/>
      <w:r w:rsidR="00C31CC0">
        <w:rPr>
          <w:lang w:val="en-US"/>
        </w:rPr>
        <w:t xml:space="preserve"> of </w:t>
      </w:r>
      <w:proofErr w:type="spellStart"/>
      <w:r w:rsidR="00C31CC0">
        <w:rPr>
          <w:lang w:val="en-US"/>
        </w:rPr>
        <w:t>iNO</w:t>
      </w:r>
      <w:proofErr w:type="spellEnd"/>
      <w:r w:rsidR="00C31CC0">
        <w:rPr>
          <w:lang w:val="en-US"/>
        </w:rPr>
        <w:t xml:space="preserve"> for PVR, </w:t>
      </w:r>
      <w:proofErr w:type="spellStart"/>
      <w:r w:rsidR="00C31CC0">
        <w:rPr>
          <w:lang w:val="en-US"/>
        </w:rPr>
        <w:t>mPAP</w:t>
      </w:r>
      <w:proofErr w:type="spellEnd"/>
      <w:r w:rsidR="00C31CC0">
        <w:rPr>
          <w:lang w:val="en-US"/>
        </w:rPr>
        <w:t xml:space="preserve">, PVR/SVR and several other </w:t>
      </w:r>
      <w:proofErr w:type="spellStart"/>
      <w:r w:rsidR="00C31CC0">
        <w:rPr>
          <w:lang w:val="en-US"/>
        </w:rPr>
        <w:t>haemodynamic</w:t>
      </w:r>
      <w:proofErr w:type="spellEnd"/>
      <w:r w:rsidR="00C31CC0">
        <w:rPr>
          <w:lang w:val="en-US"/>
        </w:rPr>
        <w:t xml:space="preserve"> parameters. </w:t>
      </w:r>
      <w:r w:rsidRPr="003F5CD0">
        <w:rPr>
          <w:lang w:val="en-US"/>
        </w:rPr>
        <w:t xml:space="preserve">Weaning from cardiopulmonary bypass was successful in all patients in the </w:t>
      </w:r>
      <w:proofErr w:type="spellStart"/>
      <w:r w:rsidRPr="003F5CD0">
        <w:rPr>
          <w:lang w:val="en-US"/>
        </w:rPr>
        <w:t>iNO</w:t>
      </w:r>
      <w:proofErr w:type="spellEnd"/>
      <w:r w:rsidRPr="003F5CD0">
        <w:rPr>
          <w:lang w:val="en-US"/>
        </w:rPr>
        <w:t xml:space="preserve"> group and failed in six patients in the PGE1 group. </w:t>
      </w:r>
    </w:p>
    <w:p w:rsidR="00093863" w:rsidRDefault="00093863" w:rsidP="00C24925">
      <w:pPr>
        <w:widowControl w:val="0"/>
        <w:autoSpaceDE w:val="0"/>
        <w:autoSpaceDN w:val="0"/>
        <w:adjustRightInd w:val="0"/>
        <w:spacing w:line="288" w:lineRule="atLeast"/>
        <w:jc w:val="both"/>
        <w:rPr>
          <w:lang w:val="en-US"/>
        </w:rPr>
      </w:pPr>
    </w:p>
    <w:p w:rsidR="000143F0" w:rsidRPr="000143F0" w:rsidRDefault="000143F0" w:rsidP="00C24925">
      <w:pPr>
        <w:widowControl w:val="0"/>
        <w:autoSpaceDE w:val="0"/>
        <w:autoSpaceDN w:val="0"/>
        <w:adjustRightInd w:val="0"/>
        <w:spacing w:line="288" w:lineRule="atLeast"/>
        <w:jc w:val="both"/>
        <w:rPr>
          <w:lang w:val="en-US"/>
        </w:rPr>
      </w:pPr>
      <w:r w:rsidRPr="004F4813">
        <w:rPr>
          <w:bCs/>
          <w:lang w:val="en-US"/>
        </w:rPr>
        <w:t>In summary</w:t>
      </w:r>
      <w:r w:rsidRPr="000143F0">
        <w:rPr>
          <w:lang w:val="en-US"/>
        </w:rPr>
        <w:t xml:space="preserve">, </w:t>
      </w:r>
      <w:proofErr w:type="spellStart"/>
      <w:r w:rsidRPr="000143F0">
        <w:rPr>
          <w:lang w:val="en-US"/>
        </w:rPr>
        <w:t>iNO</w:t>
      </w:r>
      <w:proofErr w:type="spellEnd"/>
      <w:r w:rsidRPr="000143F0">
        <w:rPr>
          <w:lang w:val="en-US"/>
        </w:rPr>
        <w:t xml:space="preserve"> was effective in reducing PAP (expressed either directly as PAP or indirectly by PVR measurement) in adults with PHT in conjunction with cardiac surgery. In the studies that reported changes in PAP, the reduction of PAP was approximately from 15% to 40%. In the studies that reported changes in vascular resistance, </w:t>
      </w:r>
      <w:proofErr w:type="spellStart"/>
      <w:r w:rsidRPr="000143F0">
        <w:rPr>
          <w:lang w:val="en-US"/>
        </w:rPr>
        <w:t>iNO</w:t>
      </w:r>
      <w:proofErr w:type="spellEnd"/>
      <w:r w:rsidRPr="000143F0">
        <w:rPr>
          <w:lang w:val="en-US"/>
        </w:rPr>
        <w:t xml:space="preserve"> reduced the PVR by approximately 35% to 65% and had no significant effect on SVR (where reported). In </w:t>
      </w:r>
      <w:r w:rsidR="00DE5EF5">
        <w:rPr>
          <w:lang w:val="en-US"/>
        </w:rPr>
        <w:t>the majority of</w:t>
      </w:r>
      <w:r w:rsidR="00DE5EF5" w:rsidRPr="000143F0">
        <w:rPr>
          <w:lang w:val="en-US"/>
        </w:rPr>
        <w:t xml:space="preserve"> </w:t>
      </w:r>
      <w:r w:rsidRPr="000143F0">
        <w:rPr>
          <w:lang w:val="en-US"/>
        </w:rPr>
        <w:t xml:space="preserve">studies, </w:t>
      </w:r>
      <w:proofErr w:type="spellStart"/>
      <w:r w:rsidRPr="000143F0">
        <w:rPr>
          <w:lang w:val="en-US"/>
        </w:rPr>
        <w:t>iNO</w:t>
      </w:r>
      <w:proofErr w:type="spellEnd"/>
      <w:r w:rsidRPr="000143F0">
        <w:rPr>
          <w:lang w:val="en-US"/>
        </w:rPr>
        <w:t xml:space="preserve"> treatment maintained or improved cardiac function. It should be noted that the adult studies have some methodological limitations such as the relatively low total number of patients included in the trials and the heterogeneity of the trials. </w:t>
      </w:r>
    </w:p>
    <w:p w:rsidR="000143F0" w:rsidRPr="003F5CD0" w:rsidRDefault="000143F0" w:rsidP="003F5CD0">
      <w:pPr>
        <w:widowControl w:val="0"/>
        <w:autoSpaceDE w:val="0"/>
        <w:autoSpaceDN w:val="0"/>
        <w:adjustRightInd w:val="0"/>
        <w:spacing w:after="240" w:line="360" w:lineRule="atLeast"/>
        <w:jc w:val="both"/>
        <w:rPr>
          <w:lang w:val="en-US"/>
        </w:rPr>
      </w:pPr>
    </w:p>
    <w:p w:rsidR="006129B2" w:rsidRDefault="006129B2" w:rsidP="00340115">
      <w:pPr>
        <w:pStyle w:val="Heading2"/>
        <w:jc w:val="both"/>
        <w:rPr>
          <w:rFonts w:ascii="Times New Roman" w:hAnsi="Times New Roman"/>
        </w:rPr>
      </w:pPr>
    </w:p>
    <w:p w:rsidR="006129B2" w:rsidRDefault="006129B2" w:rsidP="00340115">
      <w:pPr>
        <w:pStyle w:val="Heading2"/>
        <w:jc w:val="both"/>
        <w:rPr>
          <w:rFonts w:ascii="Times New Roman" w:hAnsi="Times New Roman"/>
        </w:rPr>
      </w:pPr>
      <w:r>
        <w:rPr>
          <w:rFonts w:ascii="Times New Roman" w:hAnsi="Times New Roman"/>
        </w:rPr>
        <w:t>5.2</w:t>
      </w:r>
      <w:r>
        <w:rPr>
          <w:rFonts w:ascii="Times New Roman" w:hAnsi="Times New Roman"/>
        </w:rPr>
        <w:tab/>
        <w:t>PHARMACOKINETIC PROPERTIES</w:t>
      </w:r>
    </w:p>
    <w:p w:rsidR="00340115" w:rsidRPr="00CB2BB8" w:rsidRDefault="00340115" w:rsidP="00340115">
      <w:pPr>
        <w:pStyle w:val="Heading2"/>
        <w:jc w:val="both"/>
        <w:rPr>
          <w:rFonts w:ascii="Times New Roman" w:hAnsi="Times New Roman"/>
        </w:rPr>
      </w:pPr>
    </w:p>
    <w:p w:rsidR="00340115" w:rsidRPr="00CB2BB8" w:rsidRDefault="00340115" w:rsidP="00340115">
      <w:pPr>
        <w:keepNext/>
        <w:spacing w:line="288" w:lineRule="atLeast"/>
        <w:jc w:val="both"/>
      </w:pPr>
      <w:r w:rsidRPr="00CB2BB8">
        <w:t>The pharmacokinetics of nitric oxide has been studied in adults.</w:t>
      </w:r>
    </w:p>
    <w:p w:rsidR="00340115" w:rsidRPr="00CB2BB8" w:rsidRDefault="00340115" w:rsidP="00340115">
      <w:pPr>
        <w:keepNext/>
        <w:spacing w:line="288" w:lineRule="atLeast"/>
        <w:jc w:val="both"/>
      </w:pPr>
    </w:p>
    <w:p w:rsidR="00340115" w:rsidRPr="00CB2BB8" w:rsidRDefault="00340115" w:rsidP="00340115">
      <w:pPr>
        <w:keepNext/>
        <w:spacing w:line="288" w:lineRule="atLeast"/>
        <w:jc w:val="both"/>
      </w:pPr>
      <w:r w:rsidRPr="00CB2BB8">
        <w:t xml:space="preserve">Nitric oxide is absorbed systemically after inhalation.  Most of it traverses the pulmonary capillary bed where it combines with haemoglobin that is 60% to 100% oxygen-saturated.  At this level of oxygen saturation, nitric oxide combines predominantly with oxyhaemoglobin to produce methaemoglobin and </w:t>
      </w:r>
      <w:r w:rsidRPr="00CB2BB8">
        <w:lastRenderedPageBreak/>
        <w:t xml:space="preserve">nitrate.  At low oxygen saturation, nitric oxide can combine with de-oxyhaemoglobin to transiently form nitrosyl-haemoglobin, which is converted to nitrogen oxides and methaemoglobin upon exposure to oxygen.  Within the pulmonary </w:t>
      </w:r>
      <w:r>
        <w:t>airways</w:t>
      </w:r>
      <w:r w:rsidRPr="00CB2BB8">
        <w:t>, nitric oxide can combine with oxygen and water to produce nitrogen dioxide and nitrite, respectively, which interact with oxyhaemoglobin to produce methaemoglobin and nitrate</w:t>
      </w:r>
      <w:r>
        <w:t xml:space="preserve">.  </w:t>
      </w:r>
    </w:p>
    <w:p w:rsidR="00340115" w:rsidRPr="00CB2BB8" w:rsidRDefault="00340115" w:rsidP="00340115">
      <w:pPr>
        <w:spacing w:line="288" w:lineRule="atLeast"/>
        <w:jc w:val="both"/>
      </w:pPr>
    </w:p>
    <w:p w:rsidR="00340115" w:rsidRPr="00CB2BB8" w:rsidRDefault="00340115" w:rsidP="00340115">
      <w:pPr>
        <w:spacing w:line="288" w:lineRule="atLeast"/>
        <w:jc w:val="both"/>
      </w:pPr>
      <w:r w:rsidRPr="00CB2BB8">
        <w:t>Methaemoglobin disposition has been investigated as a function of time and nitric oxide exposure concentration in neonates with respiratory failure.  The methaemoglobin (</w:t>
      </w:r>
      <w:proofErr w:type="spellStart"/>
      <w:r w:rsidRPr="00CB2BB8">
        <w:t>MetHb</w:t>
      </w:r>
      <w:proofErr w:type="spellEnd"/>
      <w:r w:rsidRPr="00CB2BB8">
        <w:t xml:space="preserve">) concentration–time profiles during the first 12 hours of exposure to 0, 5, 20, and 80 ppm </w:t>
      </w:r>
      <w:proofErr w:type="spellStart"/>
      <w:r w:rsidRPr="00CB2BB8">
        <w:rPr>
          <w:color w:val="000000"/>
        </w:rPr>
        <w:t>INOmax</w:t>
      </w:r>
      <w:proofErr w:type="spellEnd"/>
      <w:r w:rsidRPr="00CB2BB8">
        <w:rPr>
          <w:color w:val="000000"/>
        </w:rPr>
        <w:t>®</w:t>
      </w:r>
      <w:r w:rsidRPr="00CB2BB8">
        <w:t xml:space="preserve"> is shown in Figure 1.</w:t>
      </w:r>
    </w:p>
    <w:p w:rsidR="00340115" w:rsidRPr="00CB2BB8" w:rsidRDefault="00340115" w:rsidP="00340115">
      <w:pPr>
        <w:spacing w:line="288" w:lineRule="atLeast"/>
        <w:jc w:val="both"/>
      </w:pPr>
    </w:p>
    <w:p w:rsidR="004B7A84" w:rsidRDefault="004B7A84">
      <w:pPr>
        <w:spacing w:line="288" w:lineRule="atLeast"/>
        <w:jc w:val="center"/>
        <w:rPr>
          <w:b/>
          <w:bCs/>
        </w:rPr>
      </w:pPr>
    </w:p>
    <w:p w:rsidR="004B7A84" w:rsidRDefault="004B7A84">
      <w:pPr>
        <w:spacing w:line="288" w:lineRule="atLeast"/>
        <w:jc w:val="center"/>
        <w:rPr>
          <w:b/>
          <w:bCs/>
        </w:rPr>
      </w:pPr>
    </w:p>
    <w:p w:rsidR="004B7A84" w:rsidRDefault="004B7A84">
      <w:pPr>
        <w:spacing w:line="288" w:lineRule="atLeast"/>
        <w:jc w:val="center"/>
        <w:rPr>
          <w:b/>
          <w:bCs/>
        </w:rPr>
      </w:pPr>
    </w:p>
    <w:p w:rsidR="00340115" w:rsidRPr="00CB2BB8" w:rsidRDefault="00340115">
      <w:pPr>
        <w:spacing w:line="288" w:lineRule="atLeast"/>
        <w:jc w:val="center"/>
        <w:rPr>
          <w:b/>
          <w:bCs/>
        </w:rPr>
      </w:pPr>
      <w:r w:rsidRPr="00CB2BB8">
        <w:rPr>
          <w:b/>
          <w:bCs/>
        </w:rPr>
        <w:t>Figure 1</w:t>
      </w:r>
    </w:p>
    <w:p w:rsidR="00340115" w:rsidRPr="00CB2BB8" w:rsidRDefault="00340115">
      <w:pPr>
        <w:spacing w:line="288" w:lineRule="atLeast"/>
        <w:jc w:val="center"/>
      </w:pPr>
      <w:r w:rsidRPr="00CB2BB8">
        <w:rPr>
          <w:b/>
        </w:rPr>
        <w:t>Methaemoglobin Concentration- Time Profiles</w:t>
      </w:r>
      <w:r w:rsidRPr="00CB2BB8">
        <w:rPr>
          <w:b/>
        </w:rPr>
        <w:br/>
        <w:t xml:space="preserve">Neonates Inhaling 0, 5, 20 or 80 ppm </w:t>
      </w:r>
      <w:proofErr w:type="spellStart"/>
      <w:r w:rsidRPr="00CB2BB8">
        <w:rPr>
          <w:b/>
        </w:rPr>
        <w:t>INOmax</w:t>
      </w:r>
      <w:proofErr w:type="spellEnd"/>
      <w:r w:rsidRPr="00CB2BB8">
        <w:rPr>
          <w:b/>
        </w:rPr>
        <w:t>®</w:t>
      </w:r>
    </w:p>
    <w:p w:rsidR="00340115" w:rsidRPr="00CB2BB8" w:rsidRDefault="00C87EDD">
      <w:pPr>
        <w:spacing w:line="288" w:lineRule="atLeast"/>
        <w:ind w:left="720" w:firstLine="720"/>
        <w:jc w:val="both"/>
      </w:pPr>
      <w:r>
        <w:rPr>
          <w:b/>
          <w:noProof/>
          <w:lang w:val="en-US"/>
        </w:rPr>
        <w:pict>
          <v:shapetype id="_x0000_t202" coordsize="21600,21600" o:spt="202" path="m,l,21600r21600,l21600,xe">
            <v:stroke joinstyle="miter"/>
            <v:path gradientshapeok="t" o:connecttype="rect"/>
          </v:shapetype>
          <v:shape id="_x0000_s1028" type="#_x0000_t202" style="position:absolute;left:0;text-align:left;margin-left:67.25pt;margin-top:20.55pt;width:24.45pt;height:94.4pt;z-index:251657728" stroked="f">
            <v:textbox style="layout-flow:vertical;mso-layout-flow-alt:bottom-to-top;mso-next-textbox:#_x0000_s1028">
              <w:txbxContent>
                <w:p w:rsidR="00117B3C" w:rsidRPr="00E3333D" w:rsidRDefault="00117B3C" w:rsidP="00340115">
                  <w:r w:rsidRPr="00E3333D">
                    <w:rPr>
                      <w:b/>
                    </w:rPr>
                    <w:t>Methaemoglobin</w:t>
                  </w:r>
                </w:p>
              </w:txbxContent>
            </v:textbox>
          </v:shape>
        </w:pict>
      </w:r>
      <w:r w:rsidR="00340115" w:rsidRPr="00CB2BB8">
        <w:object w:dxaOrig="10785" w:dyaOrig="68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1.25pt;height:205.35pt" o:ole="" fillcolor="window">
            <v:imagedata r:id="rId8" o:title=""/>
          </v:shape>
          <o:OLEObject Type="Embed" ProgID="PSIGraph.PSIPLOT.6" ShapeID="_x0000_i1025" DrawAspect="Content" ObjectID="_1638682840" r:id="rId9"/>
        </w:object>
      </w:r>
    </w:p>
    <w:p w:rsidR="00340115" w:rsidRPr="00CB2BB8" w:rsidRDefault="00340115">
      <w:pPr>
        <w:spacing w:line="288" w:lineRule="atLeast"/>
        <w:jc w:val="center"/>
      </w:pPr>
    </w:p>
    <w:p w:rsidR="00340115" w:rsidRPr="00CB2BB8" w:rsidRDefault="00340115" w:rsidP="00AB2EA6">
      <w:pPr>
        <w:spacing w:line="288" w:lineRule="atLeast"/>
        <w:jc w:val="both"/>
      </w:pPr>
      <w:r w:rsidRPr="00CB2BB8">
        <w:t xml:space="preserve">Methaemoglobin concentrations increased during the first 8 hours of nitric oxide exposure.  The mean methaemoglobin level remained below 1% in the placebo group and in the 5 ppm and 20 ppm </w:t>
      </w:r>
      <w:proofErr w:type="spellStart"/>
      <w:r w:rsidRPr="00CB2BB8">
        <w:t>INOmax</w:t>
      </w:r>
      <w:proofErr w:type="spellEnd"/>
      <w:r w:rsidRPr="00CB2BB8">
        <w:t xml:space="preserve">® groups, but reached approximately 5% in the 80 ppm </w:t>
      </w:r>
      <w:proofErr w:type="spellStart"/>
      <w:r w:rsidRPr="00CB2BB8">
        <w:t>INOmax</w:t>
      </w:r>
      <w:proofErr w:type="spellEnd"/>
      <w:r w:rsidRPr="00CB2BB8">
        <w:t>® group. Methaemoglobin levels &gt;7% were attained only in patients receiving 80 ppm, where they comprised 35% of the group.  The average time to reach peak methaemoglobin was 10 ± 9 (SD) hours (median, 8 hours) in these 13 patients; but one patient did not exceed 7% until 40 hours.</w:t>
      </w:r>
    </w:p>
    <w:p w:rsidR="00340115" w:rsidRPr="00CB2BB8" w:rsidRDefault="00340115">
      <w:pPr>
        <w:spacing w:line="288" w:lineRule="atLeast"/>
        <w:jc w:val="both"/>
      </w:pPr>
    </w:p>
    <w:p w:rsidR="00340115" w:rsidRPr="00CB2BB8" w:rsidRDefault="00340115" w:rsidP="00340115">
      <w:pPr>
        <w:spacing w:line="288" w:lineRule="atLeast"/>
        <w:jc w:val="both"/>
        <w:rPr>
          <w:snapToGrid w:val="0"/>
        </w:rPr>
      </w:pPr>
      <w:r w:rsidRPr="006E156B">
        <w:t>Nitrate has been identified as the predominant nitric oxide metabolite excreted in the urine, accounting for &gt;70% of the nitric oxide dose inhaled.  Nitrate is cleared from the plasma by the kidney at rates approaching the rate of glomerular filtration.</w:t>
      </w:r>
      <w:r w:rsidRPr="00CB2BB8">
        <w:rPr>
          <w:snapToGrid w:val="0"/>
          <w:lang w:val="en-GB"/>
        </w:rPr>
        <w:t xml:space="preserve">  </w:t>
      </w:r>
    </w:p>
    <w:p w:rsidR="00340115" w:rsidRPr="00CB2BB8" w:rsidRDefault="00340115">
      <w:pPr>
        <w:pStyle w:val="BodyText2"/>
        <w:jc w:val="both"/>
        <w:rPr>
          <w:sz w:val="20"/>
        </w:rPr>
      </w:pPr>
    </w:p>
    <w:p w:rsidR="00340115" w:rsidRPr="00CB2BB8" w:rsidRDefault="00340115">
      <w:pPr>
        <w:jc w:val="both"/>
      </w:pPr>
    </w:p>
    <w:p w:rsidR="00340115" w:rsidRPr="00A4574E" w:rsidRDefault="00A4574E">
      <w:pPr>
        <w:keepNext/>
        <w:spacing w:line="288" w:lineRule="atLeast"/>
        <w:jc w:val="both"/>
        <w:rPr>
          <w:b/>
        </w:rPr>
      </w:pPr>
      <w:r w:rsidRPr="00A4574E">
        <w:rPr>
          <w:b/>
        </w:rPr>
        <w:t>5.3</w:t>
      </w:r>
      <w:r w:rsidRPr="00A4574E">
        <w:rPr>
          <w:b/>
        </w:rPr>
        <w:tab/>
        <w:t>PRECLINICAL SAFETY DATA</w:t>
      </w:r>
    </w:p>
    <w:p w:rsidR="00340115" w:rsidRPr="00CB2BB8" w:rsidRDefault="00340115">
      <w:pPr>
        <w:pStyle w:val="Heading3"/>
        <w:rPr>
          <w:snapToGrid/>
          <w:sz w:val="20"/>
        </w:rPr>
      </w:pPr>
    </w:p>
    <w:p w:rsidR="00340115" w:rsidRPr="00CB2BB8" w:rsidRDefault="00340115" w:rsidP="00340115">
      <w:pPr>
        <w:spacing w:line="288" w:lineRule="atLeast"/>
        <w:jc w:val="both"/>
        <w:rPr>
          <w:b/>
        </w:rPr>
      </w:pPr>
      <w:proofErr w:type="spellStart"/>
      <w:r w:rsidRPr="00CB2BB8">
        <w:rPr>
          <w:b/>
        </w:rPr>
        <w:t>Genotoxicity</w:t>
      </w:r>
      <w:proofErr w:type="spellEnd"/>
    </w:p>
    <w:p w:rsidR="00340115" w:rsidRDefault="00340115" w:rsidP="00340115">
      <w:pPr>
        <w:keepNext/>
        <w:spacing w:line="288" w:lineRule="atLeast"/>
        <w:jc w:val="both"/>
      </w:pPr>
      <w:r w:rsidRPr="00CB2BB8">
        <w:t xml:space="preserve">Nitric oxide is genotoxic. Nitric oxide induced gene mutation or DNA damage in bacteria and in mammalian cells (mouse lymphoma cells, Chinese hamster lung cells and human </w:t>
      </w:r>
      <w:proofErr w:type="spellStart"/>
      <w:r w:rsidRPr="00CB2BB8">
        <w:t>lymphoblastoid</w:t>
      </w:r>
      <w:proofErr w:type="spellEnd"/>
      <w:r w:rsidRPr="00CB2BB8">
        <w:t xml:space="preserve"> cells) </w:t>
      </w:r>
      <w:r w:rsidRPr="00CB2BB8">
        <w:rPr>
          <w:i/>
        </w:rPr>
        <w:t xml:space="preserve">in </w:t>
      </w:r>
      <w:r w:rsidRPr="00CB2BB8">
        <w:rPr>
          <w:i/>
        </w:rPr>
        <w:lastRenderedPageBreak/>
        <w:t>vitro,</w:t>
      </w:r>
      <w:r w:rsidRPr="00CB2BB8">
        <w:t xml:space="preserve"> chromosome aberrations in Chinese hamster ovary cells, </w:t>
      </w:r>
      <w:r w:rsidRPr="00CB2BB8">
        <w:rPr>
          <w:i/>
        </w:rPr>
        <w:t xml:space="preserve">in vitro, </w:t>
      </w:r>
      <w:r w:rsidRPr="00CB2BB8">
        <w:t xml:space="preserve">and gene mutations in rat lung cells </w:t>
      </w:r>
      <w:r w:rsidRPr="00CB2BB8">
        <w:rPr>
          <w:i/>
        </w:rPr>
        <w:t>in vivo</w:t>
      </w:r>
      <w:r w:rsidRPr="00CB2BB8">
        <w:t>.</w:t>
      </w:r>
    </w:p>
    <w:p w:rsidR="00340115" w:rsidRDefault="00340115" w:rsidP="00340115">
      <w:pPr>
        <w:rPr>
          <w:b/>
        </w:rPr>
      </w:pPr>
    </w:p>
    <w:p w:rsidR="00340115" w:rsidRPr="00CB2BB8" w:rsidRDefault="00340115" w:rsidP="00340115">
      <w:pPr>
        <w:rPr>
          <w:b/>
        </w:rPr>
      </w:pPr>
      <w:r w:rsidRPr="00CB2BB8">
        <w:rPr>
          <w:b/>
        </w:rPr>
        <w:t>Carcinogenicity</w:t>
      </w:r>
    </w:p>
    <w:p w:rsidR="00340115" w:rsidRPr="00CB2BB8" w:rsidRDefault="00340115" w:rsidP="00C37613">
      <w:pPr>
        <w:keepNext/>
        <w:spacing w:line="288" w:lineRule="atLeast"/>
        <w:jc w:val="both"/>
      </w:pPr>
      <w:r w:rsidRPr="00CB2BB8">
        <w:t>A carcinogenicity study in rats exposed to 20 ppm NO daily, 20 h/day for 2 years from 6 weeks of age showed no evidence of carcinogenicity</w:t>
      </w:r>
      <w:r w:rsidRPr="006E156B">
        <w:t>.</w:t>
      </w:r>
    </w:p>
    <w:p w:rsidR="00340115" w:rsidRPr="00CB2BB8" w:rsidRDefault="00340115">
      <w:pPr>
        <w:jc w:val="both"/>
      </w:pPr>
    </w:p>
    <w:p w:rsidR="00340115" w:rsidRPr="00CB2BB8" w:rsidRDefault="00340115">
      <w:pPr>
        <w:tabs>
          <w:tab w:val="left" w:pos="567"/>
        </w:tabs>
        <w:rPr>
          <w:b/>
        </w:rPr>
      </w:pPr>
    </w:p>
    <w:p w:rsidR="00340115" w:rsidRDefault="00340115">
      <w:pPr>
        <w:tabs>
          <w:tab w:val="left" w:pos="567"/>
        </w:tabs>
        <w:rPr>
          <w:b/>
          <w:caps/>
          <w:color w:val="000000"/>
        </w:rPr>
      </w:pPr>
    </w:p>
    <w:p w:rsidR="00340115" w:rsidRDefault="00340115" w:rsidP="00340115"/>
    <w:p w:rsidR="00340115" w:rsidRPr="00CB2BB8" w:rsidRDefault="006A4C98">
      <w:pPr>
        <w:pStyle w:val="Heading2"/>
        <w:rPr>
          <w:rFonts w:ascii="Times New Roman" w:hAnsi="Times New Roman"/>
        </w:rPr>
      </w:pPr>
      <w:r>
        <w:rPr>
          <w:rFonts w:ascii="Times New Roman" w:hAnsi="Times New Roman"/>
        </w:rPr>
        <w:t>6.</w:t>
      </w:r>
      <w:r>
        <w:rPr>
          <w:rFonts w:ascii="Times New Roman" w:hAnsi="Times New Roman"/>
        </w:rPr>
        <w:tab/>
        <w:t>PHARMACEUTICAL PARTI</w:t>
      </w:r>
      <w:r w:rsidR="00A4574E">
        <w:rPr>
          <w:rFonts w:ascii="Times New Roman" w:hAnsi="Times New Roman"/>
        </w:rPr>
        <w:t>CULARS</w:t>
      </w:r>
    </w:p>
    <w:p w:rsidR="00340115" w:rsidRDefault="00340115"/>
    <w:p w:rsidR="00A4574E" w:rsidRDefault="00A4574E">
      <w:pPr>
        <w:rPr>
          <w:b/>
        </w:rPr>
      </w:pPr>
      <w:r w:rsidRPr="00A4574E">
        <w:rPr>
          <w:b/>
        </w:rPr>
        <w:t>6.1</w:t>
      </w:r>
      <w:r w:rsidRPr="00A4574E">
        <w:rPr>
          <w:b/>
        </w:rPr>
        <w:tab/>
        <w:t>LIST OF EXCIPIENTS</w:t>
      </w:r>
    </w:p>
    <w:p w:rsidR="00BF1601" w:rsidRDefault="00BF1601">
      <w:pPr>
        <w:rPr>
          <w:b/>
        </w:rPr>
      </w:pPr>
    </w:p>
    <w:p w:rsidR="00BF1601" w:rsidRPr="004B7A84" w:rsidRDefault="00BF1601">
      <w:r w:rsidRPr="004B7A84">
        <w:t>Nitrogen</w:t>
      </w:r>
    </w:p>
    <w:p w:rsidR="00110500" w:rsidRPr="004B7A84" w:rsidRDefault="00110500">
      <w:pPr>
        <w:rPr>
          <w:b/>
        </w:rPr>
      </w:pPr>
    </w:p>
    <w:p w:rsidR="00110500" w:rsidRPr="004B7A84" w:rsidRDefault="00110500">
      <w:pPr>
        <w:rPr>
          <w:b/>
        </w:rPr>
      </w:pPr>
      <w:r w:rsidRPr="004B7A84">
        <w:rPr>
          <w:b/>
        </w:rPr>
        <w:t>6.2</w:t>
      </w:r>
      <w:r w:rsidRPr="004B7A84">
        <w:rPr>
          <w:b/>
        </w:rPr>
        <w:tab/>
        <w:t>INCOMPATIBILITIES</w:t>
      </w:r>
    </w:p>
    <w:p w:rsidR="00BF1601" w:rsidRPr="004B7A84" w:rsidRDefault="00BF1601">
      <w:pPr>
        <w:rPr>
          <w:b/>
        </w:rPr>
      </w:pPr>
    </w:p>
    <w:p w:rsidR="00D40EEC" w:rsidRPr="00D40EEC" w:rsidRDefault="00D40EEC" w:rsidP="00C37613">
      <w:pPr>
        <w:spacing w:line="288" w:lineRule="atLeast"/>
        <w:jc w:val="both"/>
        <w:rPr>
          <w:b/>
        </w:rPr>
      </w:pPr>
      <w:r w:rsidRPr="00D40EEC">
        <w:rPr>
          <w:lang w:val="en-US"/>
        </w:rPr>
        <w:t>Use nitric oxide for inhalation with registered nitric oxide delivery systems to assure compatibility of materials with nitric oxide. </w:t>
      </w:r>
    </w:p>
    <w:p w:rsidR="00BF1601" w:rsidRDefault="00BF1601">
      <w:pPr>
        <w:rPr>
          <w:b/>
        </w:rPr>
      </w:pPr>
    </w:p>
    <w:p w:rsidR="00110500" w:rsidRDefault="00110500">
      <w:pPr>
        <w:rPr>
          <w:b/>
        </w:rPr>
      </w:pPr>
    </w:p>
    <w:p w:rsidR="00110500" w:rsidRDefault="00110500">
      <w:pPr>
        <w:rPr>
          <w:b/>
        </w:rPr>
      </w:pPr>
      <w:r>
        <w:rPr>
          <w:b/>
        </w:rPr>
        <w:t>6.3</w:t>
      </w:r>
      <w:r>
        <w:rPr>
          <w:b/>
        </w:rPr>
        <w:tab/>
        <w:t>SHELF LIFE</w:t>
      </w:r>
    </w:p>
    <w:p w:rsidR="00BF1601" w:rsidRDefault="00BF1601">
      <w:pPr>
        <w:rPr>
          <w:b/>
        </w:rPr>
      </w:pPr>
    </w:p>
    <w:p w:rsidR="00BF1601" w:rsidRDefault="00046F9A">
      <w:r w:rsidRPr="004B7A84">
        <w:t xml:space="preserve">3 </w:t>
      </w:r>
      <w:r w:rsidR="00BF1601" w:rsidRPr="004B7A84">
        <w:t>years</w:t>
      </w:r>
    </w:p>
    <w:p w:rsidR="00AB2EA6" w:rsidRPr="00AB2EA6" w:rsidRDefault="00AB2EA6"/>
    <w:p w:rsidR="00110500" w:rsidRDefault="00110500">
      <w:pPr>
        <w:rPr>
          <w:b/>
        </w:rPr>
      </w:pPr>
    </w:p>
    <w:p w:rsidR="00110500" w:rsidRPr="00A4574E" w:rsidRDefault="00110500">
      <w:pPr>
        <w:rPr>
          <w:b/>
        </w:rPr>
      </w:pPr>
      <w:r>
        <w:rPr>
          <w:b/>
        </w:rPr>
        <w:t>6.4</w:t>
      </w:r>
      <w:r>
        <w:rPr>
          <w:b/>
        </w:rPr>
        <w:tab/>
        <w:t>SPECIAL PRECAUTIONS FOR STORAGE</w:t>
      </w:r>
    </w:p>
    <w:p w:rsidR="00A4574E" w:rsidRDefault="00A4574E"/>
    <w:p w:rsidR="00110500" w:rsidRPr="00CB2BB8" w:rsidRDefault="00110500" w:rsidP="00110500">
      <w:pPr>
        <w:spacing w:line="288" w:lineRule="atLeast"/>
        <w:jc w:val="both"/>
      </w:pPr>
      <w:r w:rsidRPr="00CB2BB8">
        <w:t>Store at 25</w:t>
      </w:r>
      <w:r w:rsidRPr="00CB2BB8">
        <w:sym w:font="Symbol" w:char="F0B0"/>
      </w:r>
      <w:r w:rsidRPr="00CB2BB8">
        <w:t>C, avoid temperature excursions below 5°C.</w:t>
      </w:r>
    </w:p>
    <w:p w:rsidR="00110500" w:rsidRPr="00CB2BB8" w:rsidRDefault="00110500" w:rsidP="00110500">
      <w:pPr>
        <w:spacing w:line="288" w:lineRule="atLeast"/>
        <w:jc w:val="both"/>
      </w:pPr>
      <w:r w:rsidRPr="00CB2BB8">
        <w:t>All regulations concerning handling of pressure vessels must be followed.</w:t>
      </w:r>
    </w:p>
    <w:p w:rsidR="00110500" w:rsidRPr="00CB2BB8" w:rsidRDefault="00110500" w:rsidP="00110500">
      <w:pPr>
        <w:spacing w:line="288" w:lineRule="atLeast"/>
        <w:jc w:val="both"/>
      </w:pPr>
    </w:p>
    <w:p w:rsidR="00110500" w:rsidRPr="00CB2BB8" w:rsidRDefault="00110500" w:rsidP="00110500">
      <w:pPr>
        <w:spacing w:line="288" w:lineRule="atLeast"/>
        <w:jc w:val="both"/>
      </w:pPr>
      <w:r w:rsidRPr="00CB2BB8">
        <w:t>Store gas cylinders indoors in well-ventilated rooms or outdoors in ventilated sheds where they are protected from rain and direct sunlight.</w:t>
      </w:r>
    </w:p>
    <w:p w:rsidR="00110500" w:rsidRPr="00CB2BB8" w:rsidRDefault="00110500" w:rsidP="00110500">
      <w:pPr>
        <w:spacing w:line="288" w:lineRule="atLeast"/>
        <w:jc w:val="both"/>
      </w:pPr>
    </w:p>
    <w:p w:rsidR="00110500" w:rsidRPr="00CB2BB8" w:rsidRDefault="00110500" w:rsidP="00110500">
      <w:pPr>
        <w:spacing w:line="288" w:lineRule="atLeast"/>
        <w:jc w:val="both"/>
      </w:pPr>
      <w:r w:rsidRPr="00CB2BB8">
        <w:t>Protect the gas cylinders from shocks, falls, oxidising and flammable materials, moisture and sources of heat or ignition.</w:t>
      </w:r>
    </w:p>
    <w:p w:rsidR="00110500" w:rsidRPr="00CB2BB8" w:rsidRDefault="00110500" w:rsidP="00110500">
      <w:pPr>
        <w:spacing w:line="288" w:lineRule="atLeast"/>
        <w:jc w:val="both"/>
      </w:pPr>
    </w:p>
    <w:p w:rsidR="00110500" w:rsidRPr="00CB2BB8" w:rsidRDefault="00110500" w:rsidP="00110500">
      <w:pPr>
        <w:spacing w:line="288" w:lineRule="atLeast"/>
        <w:jc w:val="both"/>
      </w:pPr>
      <w:r w:rsidRPr="00CB2BB8">
        <w:t>The installation of a nitric oxide pipeline system with supply station of gas cylinders, fixed network and terminal units is forbidden.</w:t>
      </w:r>
    </w:p>
    <w:p w:rsidR="00110500" w:rsidRPr="00CB2BB8" w:rsidRDefault="00110500" w:rsidP="00110500">
      <w:pPr>
        <w:spacing w:line="288" w:lineRule="atLeast"/>
        <w:jc w:val="both"/>
      </w:pPr>
    </w:p>
    <w:p w:rsidR="00110500" w:rsidRPr="00CB2BB8" w:rsidRDefault="00110500" w:rsidP="00110500">
      <w:pPr>
        <w:spacing w:line="288" w:lineRule="atLeast"/>
        <w:jc w:val="both"/>
      </w:pPr>
      <w:r w:rsidRPr="00CB2BB8">
        <w:t>The gas cylinders should be transported with appropriate material in order to protect them from shocks and falls.</w:t>
      </w:r>
    </w:p>
    <w:p w:rsidR="00110500" w:rsidRPr="00CB2BB8" w:rsidRDefault="00110500" w:rsidP="00110500">
      <w:pPr>
        <w:spacing w:line="288" w:lineRule="atLeast"/>
        <w:jc w:val="both"/>
      </w:pPr>
    </w:p>
    <w:p w:rsidR="00110500" w:rsidRPr="00CB2BB8" w:rsidRDefault="00110500" w:rsidP="00110500">
      <w:pPr>
        <w:spacing w:line="288" w:lineRule="atLeast"/>
        <w:jc w:val="both"/>
      </w:pPr>
      <w:r w:rsidRPr="00CB2BB8">
        <w:t xml:space="preserve">During inter- or within-hospital transfers of patients treated with </w:t>
      </w:r>
      <w:proofErr w:type="spellStart"/>
      <w:r w:rsidRPr="00CB2BB8">
        <w:t>INOmax</w:t>
      </w:r>
      <w:proofErr w:type="spellEnd"/>
      <w:r w:rsidRPr="00CB2BB8">
        <w:t>®, the gas cylinders should be securely stowed in order to hold the gas cylinders vertically and to avoid the risk of fall or changes in output.  Particular attention should also be made to fastening of the pressure regulator so as to avoid the risk of accidental failure.</w:t>
      </w:r>
    </w:p>
    <w:p w:rsidR="00110500" w:rsidRDefault="00110500"/>
    <w:p w:rsidR="00110500" w:rsidRDefault="00110500"/>
    <w:p w:rsidR="00110500" w:rsidRDefault="00110500">
      <w:pPr>
        <w:rPr>
          <w:b/>
        </w:rPr>
      </w:pPr>
      <w:r w:rsidRPr="00110500">
        <w:rPr>
          <w:b/>
        </w:rPr>
        <w:t>6.5</w:t>
      </w:r>
      <w:r w:rsidRPr="00110500">
        <w:rPr>
          <w:b/>
        </w:rPr>
        <w:tab/>
        <w:t>NATURE AND CONTENTS OF CONTAINER</w:t>
      </w:r>
    </w:p>
    <w:p w:rsidR="00110500" w:rsidRPr="00110500" w:rsidRDefault="00110500">
      <w:pPr>
        <w:rPr>
          <w:b/>
        </w:rPr>
      </w:pPr>
    </w:p>
    <w:p w:rsidR="00340115" w:rsidRPr="00CB2BB8" w:rsidRDefault="00340115">
      <w:pPr>
        <w:keepNext/>
        <w:spacing w:line="288" w:lineRule="atLeast"/>
        <w:jc w:val="both"/>
      </w:pPr>
      <w:proofErr w:type="spellStart"/>
      <w:r w:rsidRPr="00CB2BB8">
        <w:lastRenderedPageBreak/>
        <w:t>INOmax</w:t>
      </w:r>
      <w:proofErr w:type="spellEnd"/>
      <w:r w:rsidRPr="00CB2BB8">
        <w:t>® (nitric oxide) is available in the following sizes:</w:t>
      </w:r>
    </w:p>
    <w:p w:rsidR="00340115" w:rsidRPr="00CB2BB8" w:rsidRDefault="00340115">
      <w:pPr>
        <w:keepNext/>
        <w:spacing w:line="288" w:lineRule="atLeast"/>
        <w:ind w:left="720" w:hanging="720"/>
        <w:jc w:val="both"/>
      </w:pPr>
    </w:p>
    <w:p w:rsidR="00340115" w:rsidRPr="00CB2BB8" w:rsidRDefault="00340115">
      <w:pPr>
        <w:pStyle w:val="BodyTextIndent"/>
        <w:ind w:left="1170" w:hanging="1170"/>
        <w:rPr>
          <w:rFonts w:ascii="Times New Roman" w:hAnsi="Times New Roman"/>
        </w:rPr>
      </w:pPr>
      <w:r w:rsidRPr="00CB2BB8">
        <w:rPr>
          <w:rFonts w:ascii="Times New Roman" w:hAnsi="Times New Roman"/>
        </w:rPr>
        <w:t>Size MD 15</w:t>
      </w:r>
      <w:r w:rsidRPr="00CB2BB8">
        <w:rPr>
          <w:rFonts w:ascii="Times New Roman" w:hAnsi="Times New Roman"/>
        </w:rPr>
        <w:tab/>
        <w:t>Portable aluminium cylinders containing 353 litres at STP of nitric oxide gas in 800 ppm concentration in nitrogen (delivered volume 344 litres).  Water capacity 2.818 litres</w:t>
      </w:r>
    </w:p>
    <w:p w:rsidR="00340115" w:rsidRPr="00CB2BB8" w:rsidRDefault="00340115">
      <w:pPr>
        <w:pStyle w:val="BodyTextIndent"/>
        <w:ind w:left="1170" w:hanging="1170"/>
        <w:rPr>
          <w:rFonts w:ascii="Times New Roman" w:hAnsi="Times New Roman"/>
        </w:rPr>
      </w:pPr>
    </w:p>
    <w:p w:rsidR="00340115" w:rsidRPr="00CB2BB8" w:rsidRDefault="00340115">
      <w:pPr>
        <w:pStyle w:val="BodyTextIndent2"/>
        <w:spacing w:line="240" w:lineRule="auto"/>
        <w:ind w:left="1168" w:hanging="1168"/>
      </w:pPr>
      <w:r w:rsidRPr="00CB2BB8">
        <w:t xml:space="preserve">Size 88  </w:t>
      </w:r>
      <w:r w:rsidRPr="00CB2BB8">
        <w:tab/>
        <w:t>Aluminium cylinders containing 1963 litres at STP of nitric oxide gas in 800 ppm concentration in nitrogen (delivered volume 1918 litres).  Water capacity 15.731 litres.</w:t>
      </w:r>
    </w:p>
    <w:p w:rsidR="00340115" w:rsidRDefault="00340115" w:rsidP="00340115">
      <w:pPr>
        <w:pStyle w:val="BodyTextIndent2"/>
        <w:spacing w:after="0" w:line="288" w:lineRule="atLeast"/>
        <w:ind w:left="0"/>
        <w:jc w:val="both"/>
      </w:pPr>
      <w:r w:rsidRPr="00CB2BB8">
        <w:t>The cylinder valve is a CGA (Compressed Gas Association) 626 stainless steel valve made in accordance with CGA Standard V -1 and CGA Pamphlet S1.1.  The outer thread is 1.030 inches – 14 NGO.  It contains a backed uniti</w:t>
      </w:r>
      <w:r w:rsidR="00F67CB1">
        <w:t>s</w:t>
      </w:r>
      <w:r w:rsidRPr="00CB2BB8">
        <w:t xml:space="preserve">ed safety device with fuse metal -23166 </w:t>
      </w:r>
      <w:proofErr w:type="spellStart"/>
      <w:r w:rsidRPr="00CB2BB8">
        <w:t>kPa</w:t>
      </w:r>
      <w:proofErr w:type="spellEnd"/>
      <w:r w:rsidRPr="00CB2BB8">
        <w:t>.  A tamper evident plastic film overwrap is placed on the valve.  If cylinder is received with the tamper evident seal broken or missing, do not use, return the cylinder.</w:t>
      </w:r>
    </w:p>
    <w:p w:rsidR="004B7A84" w:rsidRDefault="004B7A84" w:rsidP="00340115">
      <w:pPr>
        <w:pStyle w:val="BodyTextIndent2"/>
        <w:spacing w:after="0" w:line="288" w:lineRule="atLeast"/>
        <w:ind w:left="0"/>
        <w:jc w:val="both"/>
      </w:pPr>
    </w:p>
    <w:p w:rsidR="00340115" w:rsidRPr="00E522CB" w:rsidRDefault="00E522CB" w:rsidP="00340115">
      <w:pPr>
        <w:spacing w:line="288" w:lineRule="atLeast"/>
        <w:jc w:val="both"/>
        <w:rPr>
          <w:b/>
        </w:rPr>
      </w:pPr>
      <w:r w:rsidRPr="00E522CB">
        <w:rPr>
          <w:b/>
        </w:rPr>
        <w:t>6.6</w:t>
      </w:r>
      <w:r w:rsidRPr="00E522CB">
        <w:rPr>
          <w:b/>
        </w:rPr>
        <w:tab/>
        <w:t xml:space="preserve">SPECIAL PRECAUTIONS FOR </w:t>
      </w:r>
      <w:r>
        <w:rPr>
          <w:b/>
        </w:rPr>
        <w:t>DISPOSAL</w:t>
      </w:r>
    </w:p>
    <w:p w:rsidR="00E522CB" w:rsidRDefault="00E522CB" w:rsidP="00340115">
      <w:pPr>
        <w:spacing w:line="288" w:lineRule="atLeast"/>
        <w:jc w:val="both"/>
        <w:rPr>
          <w:u w:val="single"/>
        </w:rPr>
      </w:pPr>
    </w:p>
    <w:p w:rsidR="00340115" w:rsidRDefault="007F5DC0" w:rsidP="00340115">
      <w:pPr>
        <w:spacing w:line="288" w:lineRule="atLeast"/>
        <w:jc w:val="both"/>
      </w:pPr>
      <w:r>
        <w:t xml:space="preserve">In Australia, any unused medicine or waste material should be disposed of in accordance with local requirements. </w:t>
      </w:r>
      <w:r w:rsidR="00340115" w:rsidRPr="00CB2BB8">
        <w:t>Do not discard empty or damaged cylinders.  These must be returned to the distributor.</w:t>
      </w:r>
    </w:p>
    <w:p w:rsidR="00B4481B" w:rsidRDefault="00B4481B" w:rsidP="00340115">
      <w:pPr>
        <w:spacing w:line="288" w:lineRule="atLeast"/>
        <w:jc w:val="both"/>
      </w:pPr>
    </w:p>
    <w:p w:rsidR="00B4481B" w:rsidRPr="00B4481B" w:rsidRDefault="00B4481B" w:rsidP="00340115">
      <w:pPr>
        <w:spacing w:line="288" w:lineRule="atLeast"/>
        <w:jc w:val="both"/>
        <w:rPr>
          <w:b/>
        </w:rPr>
      </w:pPr>
      <w:r w:rsidRPr="00B4481B">
        <w:rPr>
          <w:b/>
        </w:rPr>
        <w:t>6.7</w:t>
      </w:r>
      <w:r w:rsidRPr="00B4481B">
        <w:rPr>
          <w:b/>
        </w:rPr>
        <w:tab/>
        <w:t>PHYSICOCHEMICAL PROPERTIES</w:t>
      </w:r>
    </w:p>
    <w:p w:rsidR="00B4481B" w:rsidRDefault="00B4481B" w:rsidP="00340115">
      <w:pPr>
        <w:spacing w:line="288" w:lineRule="atLeast"/>
        <w:jc w:val="both"/>
      </w:pPr>
    </w:p>
    <w:p w:rsidR="00B4481B" w:rsidRPr="007F5DC0" w:rsidRDefault="00355EA4" w:rsidP="00B4481B">
      <w:pPr>
        <w:jc w:val="both"/>
        <w:rPr>
          <w:b/>
        </w:rPr>
      </w:pPr>
      <w:r w:rsidRPr="007F5DC0">
        <w:rPr>
          <w:b/>
        </w:rPr>
        <w:t>Chemical Structure</w:t>
      </w:r>
      <w:r w:rsidR="00B4481B" w:rsidRPr="007F5DC0">
        <w:rPr>
          <w:b/>
        </w:rPr>
        <w:t>:</w:t>
      </w:r>
    </w:p>
    <w:p w:rsidR="00B4481B" w:rsidRDefault="00B4481B" w:rsidP="00B4481B">
      <w:pPr>
        <w:pStyle w:val="Level4a"/>
        <w:spacing w:line="240" w:lineRule="auto"/>
        <w:ind w:left="0"/>
        <w:rPr>
          <w:sz w:val="20"/>
        </w:rPr>
      </w:pPr>
    </w:p>
    <w:p w:rsidR="005E770A" w:rsidRDefault="00A54CA9" w:rsidP="005E770A">
      <w:pPr>
        <w:widowControl w:val="0"/>
        <w:autoSpaceDE w:val="0"/>
        <w:autoSpaceDN w:val="0"/>
        <w:adjustRightInd w:val="0"/>
        <w:spacing w:line="280" w:lineRule="atLeast"/>
        <w:rPr>
          <w:rFonts w:ascii="Times" w:hAnsi="Times" w:cs="Times"/>
          <w:sz w:val="24"/>
          <w:szCs w:val="24"/>
          <w:lang w:val="en-US"/>
        </w:rPr>
      </w:pPr>
      <w:r>
        <w:rPr>
          <w:rFonts w:ascii="Times" w:hAnsi="Times" w:cs="Times"/>
          <w:sz w:val="24"/>
          <w:szCs w:val="24"/>
          <w:lang w:val="en-US"/>
        </w:rPr>
        <w:pict>
          <v:shape id="_x0000_i1026" type="#_x0000_t75" style="width:41.95pt;height:15.65pt">
            <v:imagedata r:id="rId10" o:title=""/>
          </v:shape>
        </w:pict>
      </w:r>
      <w:r w:rsidR="005E770A">
        <w:rPr>
          <w:rFonts w:ascii="Times" w:hAnsi="Times" w:cs="Times"/>
          <w:sz w:val="24"/>
          <w:szCs w:val="24"/>
          <w:lang w:val="en-US"/>
        </w:rPr>
        <w:t xml:space="preserve"> </w:t>
      </w:r>
    </w:p>
    <w:p w:rsidR="004B7A84" w:rsidRPr="004B7A84" w:rsidRDefault="004B7A84" w:rsidP="004B7A84"/>
    <w:p w:rsidR="00B4481B" w:rsidRPr="004B7A84" w:rsidRDefault="00B4481B" w:rsidP="00B4481B">
      <w:pPr>
        <w:jc w:val="both"/>
        <w:rPr>
          <w:b/>
        </w:rPr>
      </w:pPr>
      <w:r w:rsidRPr="004B7A84">
        <w:rPr>
          <w:b/>
        </w:rPr>
        <w:t>Molecular formula:</w:t>
      </w:r>
    </w:p>
    <w:p w:rsidR="00B4481B" w:rsidRPr="00F97863" w:rsidRDefault="00B4481B" w:rsidP="00B4481B">
      <w:pPr>
        <w:jc w:val="both"/>
      </w:pPr>
      <w:r w:rsidRPr="00F97863">
        <w:t>NO</w:t>
      </w:r>
    </w:p>
    <w:p w:rsidR="00B4481B" w:rsidRPr="00F97863" w:rsidRDefault="00B4481B" w:rsidP="00B4481B">
      <w:pPr>
        <w:jc w:val="both"/>
      </w:pPr>
    </w:p>
    <w:p w:rsidR="00B4481B" w:rsidRPr="007F5DC0" w:rsidRDefault="00B4481B" w:rsidP="00B4481B">
      <w:pPr>
        <w:jc w:val="both"/>
        <w:rPr>
          <w:b/>
        </w:rPr>
      </w:pPr>
      <w:r w:rsidRPr="007F5DC0">
        <w:rPr>
          <w:b/>
        </w:rPr>
        <w:t>Chemical Abstracts Service (CAS) registry number:</w:t>
      </w:r>
    </w:p>
    <w:p w:rsidR="00B4481B" w:rsidRDefault="00B4481B" w:rsidP="00B4481B">
      <w:pPr>
        <w:jc w:val="both"/>
      </w:pPr>
      <w:r w:rsidRPr="00F97863">
        <w:t>[10102-43-9]</w:t>
      </w:r>
    </w:p>
    <w:p w:rsidR="00340115" w:rsidRPr="00CB2BB8" w:rsidRDefault="00340115" w:rsidP="00340115">
      <w:pPr>
        <w:spacing w:line="288" w:lineRule="atLeast"/>
        <w:jc w:val="both"/>
      </w:pPr>
    </w:p>
    <w:p w:rsidR="00E522CB" w:rsidRDefault="00E522CB">
      <w:pPr>
        <w:pStyle w:val="Heading3"/>
        <w:rPr>
          <w:snapToGrid/>
          <w:sz w:val="20"/>
        </w:rPr>
      </w:pPr>
      <w:r>
        <w:rPr>
          <w:snapToGrid/>
          <w:sz w:val="20"/>
        </w:rPr>
        <w:t>7.</w:t>
      </w:r>
      <w:r>
        <w:rPr>
          <w:snapToGrid/>
          <w:sz w:val="20"/>
        </w:rPr>
        <w:tab/>
        <w:t>MEDICINE SCHEDULE (POISONS STANDARD)</w:t>
      </w:r>
    </w:p>
    <w:p w:rsidR="00E522CB" w:rsidRDefault="00E522CB" w:rsidP="00B4481B"/>
    <w:p w:rsidR="00E522CB" w:rsidRPr="00E522CB" w:rsidRDefault="00E522CB" w:rsidP="00B4481B">
      <w:r>
        <w:t>S4</w:t>
      </w:r>
    </w:p>
    <w:p w:rsidR="008326B6" w:rsidRPr="008326B6" w:rsidRDefault="008326B6" w:rsidP="008326B6"/>
    <w:p w:rsidR="00E522CB" w:rsidRDefault="00E522CB">
      <w:pPr>
        <w:pStyle w:val="Heading3"/>
        <w:rPr>
          <w:snapToGrid/>
          <w:sz w:val="20"/>
        </w:rPr>
      </w:pPr>
      <w:r>
        <w:rPr>
          <w:snapToGrid/>
          <w:sz w:val="20"/>
        </w:rPr>
        <w:t>8.</w:t>
      </w:r>
      <w:r>
        <w:rPr>
          <w:snapToGrid/>
          <w:sz w:val="20"/>
        </w:rPr>
        <w:tab/>
        <w:t>SPONSOR</w:t>
      </w:r>
    </w:p>
    <w:p w:rsidR="00E522CB" w:rsidRDefault="00E522CB"/>
    <w:p w:rsidR="00340115" w:rsidRDefault="00340115">
      <w:r>
        <w:t xml:space="preserve">Ikaria Australia Pty Ltd </w:t>
      </w:r>
    </w:p>
    <w:p w:rsidR="00340115" w:rsidRDefault="00340115">
      <w:r>
        <w:t>Ground Floor, 17 Cotham Road,</w:t>
      </w:r>
    </w:p>
    <w:p w:rsidR="00340115" w:rsidRDefault="00340115">
      <w:r>
        <w:t>Kew, Victoria 3101</w:t>
      </w:r>
    </w:p>
    <w:p w:rsidR="00B4481B" w:rsidRPr="00553EFF" w:rsidRDefault="0034068C">
      <w:r w:rsidRPr="00553EFF">
        <w:t xml:space="preserve">Phone 1300 198 565: </w:t>
      </w:r>
      <w:r w:rsidR="00C05BDA" w:rsidRPr="00553EFF">
        <w:t>24/7 Customer Care and Technical Support</w:t>
      </w:r>
      <w:r w:rsidR="00B34BF4" w:rsidRPr="00553EFF">
        <w:t xml:space="preserve"> </w:t>
      </w:r>
    </w:p>
    <w:p w:rsidR="00B34BF4" w:rsidRPr="00553EFF" w:rsidRDefault="00B34BF4">
      <w:r w:rsidRPr="00553EFF">
        <w:t>www.ikariaaust.com</w:t>
      </w:r>
    </w:p>
    <w:p w:rsidR="008326B6" w:rsidRDefault="008326B6">
      <w:pPr>
        <w:rPr>
          <w:b/>
        </w:rPr>
      </w:pPr>
    </w:p>
    <w:p w:rsidR="00B4481B" w:rsidRDefault="00B4481B">
      <w:pPr>
        <w:rPr>
          <w:b/>
        </w:rPr>
      </w:pPr>
      <w:r>
        <w:rPr>
          <w:b/>
        </w:rPr>
        <w:t>9.</w:t>
      </w:r>
      <w:r>
        <w:rPr>
          <w:b/>
        </w:rPr>
        <w:tab/>
        <w:t>DATE OF FIRST APPROVAL</w:t>
      </w:r>
    </w:p>
    <w:p w:rsidR="00340115" w:rsidRPr="00CB2BB8" w:rsidRDefault="00340115"/>
    <w:p w:rsidR="00340115" w:rsidRPr="00CB2BB8" w:rsidRDefault="00340115">
      <w:r>
        <w:t>22 November</w:t>
      </w:r>
      <w:r w:rsidRPr="00717B73">
        <w:t xml:space="preserve"> 2007</w:t>
      </w:r>
    </w:p>
    <w:p w:rsidR="008326B6" w:rsidRPr="00CB2BB8" w:rsidRDefault="008326B6"/>
    <w:p w:rsidR="00B4481B" w:rsidRDefault="00B4481B">
      <w:pPr>
        <w:rPr>
          <w:b/>
          <w:caps/>
        </w:rPr>
      </w:pPr>
      <w:r>
        <w:rPr>
          <w:b/>
          <w:caps/>
        </w:rPr>
        <w:t>10.</w:t>
      </w:r>
      <w:r>
        <w:rPr>
          <w:b/>
          <w:caps/>
        </w:rPr>
        <w:tab/>
        <w:t>DATE OF REVISION</w:t>
      </w:r>
    </w:p>
    <w:p w:rsidR="00B4481B" w:rsidRDefault="00B4481B">
      <w:pPr>
        <w:rPr>
          <w:b/>
          <w:caps/>
        </w:rPr>
      </w:pPr>
    </w:p>
    <w:p w:rsidR="00340115" w:rsidRDefault="00117B3C">
      <w:r>
        <w:t>30 April 2019</w:t>
      </w:r>
    </w:p>
    <w:p w:rsidR="00763C3D" w:rsidRPr="00CB2BB8" w:rsidRDefault="00763C3D"/>
    <w:p w:rsidR="00DD20C5" w:rsidRPr="004B7A84" w:rsidRDefault="00DD20C5" w:rsidP="00C87EDD">
      <w:pPr>
        <w:pageBreakBefore/>
        <w:widowControl w:val="0"/>
        <w:autoSpaceDE w:val="0"/>
        <w:autoSpaceDN w:val="0"/>
        <w:adjustRightInd w:val="0"/>
        <w:rPr>
          <w:b/>
          <w:lang w:val="en-US"/>
        </w:rPr>
      </w:pPr>
      <w:bookmarkStart w:id="0" w:name="_GoBack"/>
      <w:bookmarkEnd w:id="0"/>
      <w:r w:rsidRPr="004B7A84">
        <w:rPr>
          <w:b/>
          <w:lang w:val="en-US"/>
        </w:rPr>
        <w:lastRenderedPageBreak/>
        <w:t>Summary Table of Changes</w:t>
      </w:r>
    </w:p>
    <w:p w:rsidR="00DD20C5" w:rsidRPr="004B7A84" w:rsidRDefault="00DD20C5" w:rsidP="00DD20C5">
      <w:pPr>
        <w:widowControl w:val="0"/>
        <w:autoSpaceDE w:val="0"/>
        <w:autoSpaceDN w:val="0"/>
        <w:adjustRightInd w:val="0"/>
        <w:rPr>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259"/>
      </w:tblGrid>
      <w:tr w:rsidR="00DD20C5" w:rsidRPr="004B7A84" w:rsidTr="00612264">
        <w:tc>
          <w:tcPr>
            <w:tcW w:w="4644" w:type="dxa"/>
            <w:shd w:val="clear" w:color="auto" w:fill="auto"/>
          </w:tcPr>
          <w:p w:rsidR="00DD20C5" w:rsidRPr="004B7A84" w:rsidRDefault="00DD20C5" w:rsidP="00DD20C5">
            <w:pPr>
              <w:widowControl w:val="0"/>
              <w:autoSpaceDE w:val="0"/>
              <w:autoSpaceDN w:val="0"/>
              <w:adjustRightInd w:val="0"/>
              <w:jc w:val="both"/>
              <w:rPr>
                <w:b/>
                <w:lang w:val="en-US"/>
              </w:rPr>
            </w:pPr>
            <w:r w:rsidRPr="004B7A84">
              <w:rPr>
                <w:b/>
                <w:lang w:val="en-US"/>
              </w:rPr>
              <w:t>Section Changed</w:t>
            </w:r>
          </w:p>
        </w:tc>
        <w:tc>
          <w:tcPr>
            <w:tcW w:w="4259" w:type="dxa"/>
            <w:shd w:val="clear" w:color="auto" w:fill="auto"/>
          </w:tcPr>
          <w:p w:rsidR="00DD20C5" w:rsidRPr="004B7A84" w:rsidRDefault="00DD20C5" w:rsidP="00DD20C5">
            <w:pPr>
              <w:widowControl w:val="0"/>
              <w:autoSpaceDE w:val="0"/>
              <w:autoSpaceDN w:val="0"/>
              <w:adjustRightInd w:val="0"/>
              <w:jc w:val="both"/>
              <w:rPr>
                <w:b/>
                <w:lang w:val="en-US"/>
              </w:rPr>
            </w:pPr>
            <w:r w:rsidRPr="004B7A84">
              <w:rPr>
                <w:b/>
                <w:lang w:val="en-US"/>
              </w:rPr>
              <w:t>Summary of new Information</w:t>
            </w:r>
          </w:p>
        </w:tc>
      </w:tr>
      <w:tr w:rsidR="00DD20C5" w:rsidRPr="004B7A84" w:rsidTr="00612264">
        <w:tc>
          <w:tcPr>
            <w:tcW w:w="4644" w:type="dxa"/>
            <w:shd w:val="clear" w:color="auto" w:fill="auto"/>
          </w:tcPr>
          <w:p w:rsidR="00DD20C5" w:rsidRPr="004B7A84" w:rsidRDefault="00DD20C5" w:rsidP="00DD20C5">
            <w:pPr>
              <w:widowControl w:val="0"/>
              <w:autoSpaceDE w:val="0"/>
              <w:autoSpaceDN w:val="0"/>
              <w:adjustRightInd w:val="0"/>
              <w:jc w:val="both"/>
              <w:rPr>
                <w:lang w:val="en-US"/>
              </w:rPr>
            </w:pPr>
            <w:r w:rsidRPr="004B7A84">
              <w:rPr>
                <w:lang w:val="en-US"/>
              </w:rPr>
              <w:t>Complete document</w:t>
            </w:r>
          </w:p>
        </w:tc>
        <w:tc>
          <w:tcPr>
            <w:tcW w:w="4259" w:type="dxa"/>
            <w:shd w:val="clear" w:color="auto" w:fill="auto"/>
          </w:tcPr>
          <w:p w:rsidR="00DD20C5" w:rsidRPr="004B7A84" w:rsidRDefault="00DD20C5" w:rsidP="00DD20C5">
            <w:pPr>
              <w:widowControl w:val="0"/>
              <w:autoSpaceDE w:val="0"/>
              <w:autoSpaceDN w:val="0"/>
              <w:adjustRightInd w:val="0"/>
              <w:jc w:val="both"/>
              <w:rPr>
                <w:lang w:val="en-US"/>
              </w:rPr>
            </w:pPr>
            <w:r w:rsidRPr="004B7A84">
              <w:rPr>
                <w:lang w:val="en-US"/>
              </w:rPr>
              <w:t>Format updated as per TGA Nov 2017 Guidance</w:t>
            </w:r>
          </w:p>
        </w:tc>
      </w:tr>
      <w:tr w:rsidR="00DD20C5" w:rsidRPr="004B7A84" w:rsidTr="00612264">
        <w:tc>
          <w:tcPr>
            <w:tcW w:w="4644" w:type="dxa"/>
            <w:shd w:val="clear" w:color="auto" w:fill="auto"/>
          </w:tcPr>
          <w:p w:rsidR="00DD20C5" w:rsidRPr="004B7A84" w:rsidRDefault="00DD20C5" w:rsidP="00DD20C5">
            <w:pPr>
              <w:widowControl w:val="0"/>
              <w:autoSpaceDE w:val="0"/>
              <w:autoSpaceDN w:val="0"/>
              <w:adjustRightInd w:val="0"/>
              <w:jc w:val="both"/>
              <w:rPr>
                <w:lang w:val="en-US"/>
              </w:rPr>
            </w:pPr>
            <w:r w:rsidRPr="004B7A84">
              <w:rPr>
                <w:lang w:val="en-US"/>
              </w:rPr>
              <w:t>4.1 Therapeutic Indications</w:t>
            </w:r>
          </w:p>
        </w:tc>
        <w:tc>
          <w:tcPr>
            <w:tcW w:w="4259" w:type="dxa"/>
            <w:shd w:val="clear" w:color="auto" w:fill="auto"/>
          </w:tcPr>
          <w:p w:rsidR="00DD20C5" w:rsidRPr="004B7A84" w:rsidRDefault="00DD20C5" w:rsidP="00DD20C5">
            <w:pPr>
              <w:widowControl w:val="0"/>
              <w:autoSpaceDE w:val="0"/>
              <w:autoSpaceDN w:val="0"/>
              <w:adjustRightInd w:val="0"/>
              <w:jc w:val="both"/>
              <w:rPr>
                <w:lang w:val="en-US"/>
              </w:rPr>
            </w:pPr>
            <w:r w:rsidRPr="004B7A84">
              <w:rPr>
                <w:lang w:val="en-US"/>
              </w:rPr>
              <w:t>New indication of adult cardiac surgery</w:t>
            </w:r>
          </w:p>
        </w:tc>
      </w:tr>
      <w:tr w:rsidR="00DD20C5" w:rsidRPr="004B7A84" w:rsidTr="00612264">
        <w:tc>
          <w:tcPr>
            <w:tcW w:w="4644" w:type="dxa"/>
            <w:shd w:val="clear" w:color="auto" w:fill="auto"/>
          </w:tcPr>
          <w:p w:rsidR="00DD20C5" w:rsidRPr="004B7A84" w:rsidRDefault="00DD20C5" w:rsidP="00DD20C5">
            <w:pPr>
              <w:widowControl w:val="0"/>
              <w:autoSpaceDE w:val="0"/>
              <w:autoSpaceDN w:val="0"/>
              <w:adjustRightInd w:val="0"/>
              <w:jc w:val="both"/>
              <w:rPr>
                <w:lang w:val="en-US"/>
              </w:rPr>
            </w:pPr>
            <w:r w:rsidRPr="004B7A84">
              <w:rPr>
                <w:lang w:val="en-US"/>
              </w:rPr>
              <w:t>4.2 Dose and method of Administration</w:t>
            </w:r>
          </w:p>
        </w:tc>
        <w:tc>
          <w:tcPr>
            <w:tcW w:w="4259" w:type="dxa"/>
            <w:vMerge w:val="restart"/>
            <w:shd w:val="clear" w:color="auto" w:fill="auto"/>
          </w:tcPr>
          <w:p w:rsidR="00DD20C5" w:rsidRPr="004B7A84" w:rsidRDefault="00DD20C5" w:rsidP="00DD20C5">
            <w:pPr>
              <w:widowControl w:val="0"/>
              <w:autoSpaceDE w:val="0"/>
              <w:autoSpaceDN w:val="0"/>
              <w:adjustRightInd w:val="0"/>
              <w:jc w:val="both"/>
              <w:rPr>
                <w:lang w:val="en-US"/>
              </w:rPr>
            </w:pPr>
            <w:r w:rsidRPr="004B7A84">
              <w:rPr>
                <w:lang w:val="en-US"/>
              </w:rPr>
              <w:t>Updated sections with information specific to the indication of cardiac surgery in adults</w:t>
            </w:r>
          </w:p>
        </w:tc>
      </w:tr>
      <w:tr w:rsidR="00DD20C5" w:rsidRPr="004B7A84" w:rsidTr="00612264">
        <w:tc>
          <w:tcPr>
            <w:tcW w:w="4644" w:type="dxa"/>
            <w:shd w:val="clear" w:color="auto" w:fill="auto"/>
          </w:tcPr>
          <w:p w:rsidR="00DD20C5" w:rsidRPr="004B7A84" w:rsidRDefault="00DD20C5" w:rsidP="00DD20C5">
            <w:pPr>
              <w:widowControl w:val="0"/>
              <w:autoSpaceDE w:val="0"/>
              <w:autoSpaceDN w:val="0"/>
              <w:adjustRightInd w:val="0"/>
              <w:jc w:val="both"/>
              <w:rPr>
                <w:lang w:val="en-US"/>
              </w:rPr>
            </w:pPr>
            <w:r w:rsidRPr="004B7A84">
              <w:rPr>
                <w:lang w:val="en-US"/>
              </w:rPr>
              <w:t>4.8 Adverse effects (Undesirable effects)</w:t>
            </w:r>
          </w:p>
        </w:tc>
        <w:tc>
          <w:tcPr>
            <w:tcW w:w="4259" w:type="dxa"/>
            <w:vMerge/>
            <w:shd w:val="clear" w:color="auto" w:fill="auto"/>
          </w:tcPr>
          <w:p w:rsidR="00DD20C5" w:rsidRPr="004B7A84" w:rsidRDefault="00DD20C5" w:rsidP="00DD20C5">
            <w:pPr>
              <w:widowControl w:val="0"/>
              <w:autoSpaceDE w:val="0"/>
              <w:autoSpaceDN w:val="0"/>
              <w:adjustRightInd w:val="0"/>
              <w:jc w:val="both"/>
              <w:rPr>
                <w:lang w:val="en-US"/>
              </w:rPr>
            </w:pPr>
          </w:p>
        </w:tc>
      </w:tr>
      <w:tr w:rsidR="00DD20C5" w:rsidRPr="004B7A84" w:rsidTr="00612264">
        <w:tc>
          <w:tcPr>
            <w:tcW w:w="4644" w:type="dxa"/>
            <w:shd w:val="clear" w:color="auto" w:fill="auto"/>
          </w:tcPr>
          <w:p w:rsidR="00DD20C5" w:rsidRPr="004B7A84" w:rsidRDefault="00E6174F" w:rsidP="00E6174F">
            <w:pPr>
              <w:widowControl w:val="0"/>
              <w:autoSpaceDE w:val="0"/>
              <w:autoSpaceDN w:val="0"/>
              <w:adjustRightInd w:val="0"/>
              <w:jc w:val="both"/>
              <w:rPr>
                <w:lang w:val="en-US"/>
              </w:rPr>
            </w:pPr>
            <w:r w:rsidRPr="004B7A84">
              <w:rPr>
                <w:lang w:val="en-US"/>
              </w:rPr>
              <w:t xml:space="preserve">5.1 </w:t>
            </w:r>
            <w:proofErr w:type="spellStart"/>
            <w:r w:rsidR="00DD20C5" w:rsidRPr="004B7A84">
              <w:rPr>
                <w:lang w:val="en-US"/>
              </w:rPr>
              <w:t>Pharmacodynamic</w:t>
            </w:r>
            <w:proofErr w:type="spellEnd"/>
            <w:r w:rsidR="00DD20C5" w:rsidRPr="004B7A84">
              <w:rPr>
                <w:lang w:val="en-US"/>
              </w:rPr>
              <w:t xml:space="preserve"> properties (Clinical Trials)</w:t>
            </w:r>
          </w:p>
        </w:tc>
        <w:tc>
          <w:tcPr>
            <w:tcW w:w="4259" w:type="dxa"/>
            <w:vMerge/>
            <w:shd w:val="clear" w:color="auto" w:fill="auto"/>
          </w:tcPr>
          <w:p w:rsidR="00DD20C5" w:rsidRPr="004B7A84" w:rsidRDefault="00DD20C5" w:rsidP="00DD20C5">
            <w:pPr>
              <w:widowControl w:val="0"/>
              <w:autoSpaceDE w:val="0"/>
              <w:autoSpaceDN w:val="0"/>
              <w:adjustRightInd w:val="0"/>
              <w:jc w:val="both"/>
              <w:rPr>
                <w:lang w:val="en-US"/>
              </w:rPr>
            </w:pPr>
          </w:p>
        </w:tc>
      </w:tr>
    </w:tbl>
    <w:p w:rsidR="008326B6" w:rsidRDefault="008326B6" w:rsidP="003401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both"/>
        <w:textAlignment w:val="baseline"/>
      </w:pPr>
    </w:p>
    <w:p w:rsidR="00340115" w:rsidRPr="000B6FE9" w:rsidRDefault="00340115" w:rsidP="003401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both"/>
        <w:textAlignment w:val="baseline"/>
      </w:pPr>
      <w:r w:rsidRPr="000B6FE9">
        <w:t>Mallinckrodt, the “M” brand mark, the Mallinckrodt Pharmaceuticals logo and other brands are trademarks of a Mallinckrodt company.</w:t>
      </w:r>
      <w:r w:rsidR="004B7A84">
        <w:t xml:space="preserve"> </w:t>
      </w:r>
      <w:r w:rsidRPr="000B6FE9">
        <w:t>© 2016 Mallinckrodt.</w:t>
      </w:r>
    </w:p>
    <w:p w:rsidR="00340115" w:rsidRDefault="00340115" w:rsidP="00340115">
      <w:pPr>
        <w:rPr>
          <w:b/>
        </w:rPr>
      </w:pPr>
    </w:p>
    <w:p w:rsidR="00340115" w:rsidRPr="004B7A84" w:rsidRDefault="00340115" w:rsidP="004B7A84">
      <w:pPr>
        <w:rPr>
          <w:b/>
        </w:rPr>
      </w:pPr>
      <w:proofErr w:type="spellStart"/>
      <w:r w:rsidRPr="00CB2BB8">
        <w:rPr>
          <w:b/>
        </w:rPr>
        <w:t>INOmax</w:t>
      </w:r>
      <w:proofErr w:type="spellEnd"/>
      <w:r w:rsidRPr="00CB2BB8">
        <w:rPr>
          <w:b/>
        </w:rPr>
        <w:t xml:space="preserve">® is a registered trademark of </w:t>
      </w:r>
      <w:r>
        <w:rPr>
          <w:b/>
        </w:rPr>
        <w:t>Mallinckrodt Pharmaceuticals</w:t>
      </w:r>
      <w:r w:rsidR="004B7A84">
        <w:rPr>
          <w:b/>
        </w:rPr>
        <w:t xml:space="preserve"> </w:t>
      </w:r>
      <w:r w:rsidRPr="000B6FE9">
        <w:t>© 2016 Mallinckrodt.</w:t>
      </w:r>
    </w:p>
    <w:p w:rsidR="00895231" w:rsidRPr="000B6FE9" w:rsidRDefault="00895231" w:rsidP="003401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both"/>
        <w:textAlignment w:val="baseline"/>
      </w:pPr>
    </w:p>
    <w:p w:rsidR="00340115" w:rsidRPr="00CB2BB8" w:rsidRDefault="00340115" w:rsidP="00340115">
      <w:r w:rsidRPr="00671E80">
        <w:rPr>
          <w:b/>
        </w:rPr>
        <w:t>AUST R 128136</w:t>
      </w:r>
    </w:p>
    <w:sectPr w:rsidR="00340115" w:rsidRPr="00CB2BB8" w:rsidSect="00340115">
      <w:headerReference w:type="even" r:id="rId11"/>
      <w:headerReference w:type="default" r:id="rId12"/>
      <w:footerReference w:type="even" r:id="rId13"/>
      <w:footerReference w:type="default" r:id="rId14"/>
      <w:headerReference w:type="first" r:id="rId15"/>
      <w:footerReference w:type="first" r:id="rId16"/>
      <w:pgSz w:w="11907" w:h="16840" w:code="9"/>
      <w:pgMar w:top="1418" w:right="1440" w:bottom="1304" w:left="17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67B8" w:rsidRDefault="008367B8">
      <w:r>
        <w:separator/>
      </w:r>
    </w:p>
  </w:endnote>
  <w:endnote w:type="continuationSeparator" w:id="0">
    <w:p w:rsidR="008367B8" w:rsidRDefault="00836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MT">
    <w:panose1 w:val="00000000000000000000"/>
    <w:charset w:val="4D"/>
    <w:family w:val="roman"/>
    <w:notTrueType/>
    <w:pitch w:val="default"/>
    <w:sig w:usb0="00000003" w:usb1="00000000" w:usb2="00000000" w:usb3="00000000" w:csb0="00000001" w:csb1="00000000"/>
  </w:font>
  <w:font w:name="TimesNewRoman">
    <w:altName w:val="Cambria"/>
    <w:panose1 w:val="00000000000000000000"/>
    <w:charset w:val="4D"/>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4CA9" w:rsidRDefault="00A54C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7B3C" w:rsidRDefault="00117B3C">
    <w:pPr>
      <w:pStyle w:val="Header"/>
      <w:rPr>
        <w:rStyle w:val="PageNumber"/>
        <w:rFonts w:ascii="Arial" w:hAnsi="Arial" w:cs="Arial"/>
        <w:sz w:val="22"/>
      </w:rPr>
    </w:pPr>
    <w:proofErr w:type="spellStart"/>
    <w:r>
      <w:rPr>
        <w:lang w:val="en-US"/>
      </w:rPr>
      <w:t>INOmax</w:t>
    </w:r>
    <w:proofErr w:type="spellEnd"/>
    <w:r>
      <w:rPr>
        <w:lang w:val="en-US"/>
      </w:rPr>
      <w:t>® Product Information / Version 1.8 April 30 2019</w:t>
    </w:r>
    <w:r>
      <w:rPr>
        <w:lang w:val="en-US"/>
      </w:rPr>
      <w:tab/>
    </w:r>
    <w:r>
      <w:rPr>
        <w:rStyle w:val="PageNumber"/>
        <w:rFonts w:ascii="Arial" w:hAnsi="Arial" w:cs="Arial"/>
        <w:sz w:val="22"/>
      </w:rPr>
      <w:fldChar w:fldCharType="begin"/>
    </w:r>
    <w:r>
      <w:rPr>
        <w:rStyle w:val="PageNumber"/>
        <w:rFonts w:ascii="Arial" w:hAnsi="Arial" w:cs="Arial"/>
        <w:sz w:val="22"/>
      </w:rPr>
      <w:instrText xml:space="preserve"> PAGE </w:instrText>
    </w:r>
    <w:r>
      <w:rPr>
        <w:rStyle w:val="PageNumber"/>
        <w:rFonts w:ascii="Arial" w:hAnsi="Arial" w:cs="Arial"/>
        <w:sz w:val="22"/>
      </w:rPr>
      <w:fldChar w:fldCharType="separate"/>
    </w:r>
    <w:r w:rsidR="00C87EDD">
      <w:rPr>
        <w:rStyle w:val="PageNumber"/>
        <w:rFonts w:ascii="Arial" w:hAnsi="Arial" w:cs="Arial"/>
        <w:noProof/>
        <w:sz w:val="22"/>
      </w:rPr>
      <w:t>20</w:t>
    </w:r>
    <w:r>
      <w:rPr>
        <w:rStyle w:val="PageNumber"/>
        <w:rFonts w:ascii="Arial" w:hAnsi="Arial" w:cs="Arial"/>
        <w:sz w:val="22"/>
      </w:rPr>
      <w:fldChar w:fldCharType="end"/>
    </w:r>
    <w:r>
      <w:rPr>
        <w:rStyle w:val="PageNumber"/>
        <w:rFonts w:ascii="Arial" w:hAnsi="Arial" w:cs="Arial"/>
        <w:sz w:val="22"/>
      </w:rPr>
      <w:t>/</w:t>
    </w:r>
    <w:r>
      <w:rPr>
        <w:rStyle w:val="PageNumber"/>
        <w:rFonts w:ascii="Arial" w:hAnsi="Arial" w:cs="Arial"/>
        <w:sz w:val="22"/>
      </w:rPr>
      <w:fldChar w:fldCharType="begin"/>
    </w:r>
    <w:r>
      <w:rPr>
        <w:rStyle w:val="PageNumber"/>
        <w:rFonts w:ascii="Arial" w:hAnsi="Arial" w:cs="Arial"/>
        <w:sz w:val="22"/>
      </w:rPr>
      <w:instrText xml:space="preserve"> NUMPAGES </w:instrText>
    </w:r>
    <w:r>
      <w:rPr>
        <w:rStyle w:val="PageNumber"/>
        <w:rFonts w:ascii="Arial" w:hAnsi="Arial" w:cs="Arial"/>
        <w:sz w:val="22"/>
      </w:rPr>
      <w:fldChar w:fldCharType="separate"/>
    </w:r>
    <w:r w:rsidR="00C87EDD">
      <w:rPr>
        <w:rStyle w:val="PageNumber"/>
        <w:rFonts w:ascii="Arial" w:hAnsi="Arial" w:cs="Arial"/>
        <w:noProof/>
        <w:sz w:val="22"/>
      </w:rPr>
      <w:t>20</w:t>
    </w:r>
    <w:r>
      <w:rPr>
        <w:rStyle w:val="PageNumber"/>
        <w:rFonts w:ascii="Arial" w:hAnsi="Arial" w:cs="Arial"/>
        <w:sz w:val="22"/>
      </w:rPr>
      <w:fldChar w:fldCharType="end"/>
    </w:r>
  </w:p>
  <w:p w:rsidR="00117B3C" w:rsidRPr="001F1C71" w:rsidRDefault="00117B3C">
    <w:pPr>
      <w:pStyle w:val="Footer"/>
      <w:rPr>
        <w:sz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4CA9" w:rsidRDefault="00A54C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67B8" w:rsidRDefault="008367B8">
      <w:r>
        <w:separator/>
      </w:r>
    </w:p>
  </w:footnote>
  <w:footnote w:type="continuationSeparator" w:id="0">
    <w:p w:rsidR="008367B8" w:rsidRDefault="008367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4CA9" w:rsidRDefault="00A54C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shd w:val="clear" w:color="auto" w:fill="E4F2E0"/>
      <w:tblLook w:val="04A0" w:firstRow="1" w:lastRow="0" w:firstColumn="1" w:lastColumn="0" w:noHBand="0" w:noVBand="1"/>
    </w:tblPr>
    <w:tblGrid>
      <w:gridCol w:w="8720"/>
    </w:tblGrid>
    <w:tr w:rsidR="00A54CA9" w:rsidRPr="002E7F61" w:rsidTr="00613D95">
      <w:trPr>
        <w:trHeight w:val="590"/>
      </w:trPr>
      <w:tc>
        <w:tcPr>
          <w:tcW w:w="8720" w:type="dxa"/>
          <w:shd w:val="clear" w:color="auto" w:fill="E4F2E0"/>
        </w:tcPr>
        <w:p w:rsidR="00A54CA9" w:rsidRPr="002E7F61" w:rsidRDefault="00A54CA9" w:rsidP="00A54CA9">
          <w:pPr>
            <w:pStyle w:val="Footer"/>
            <w:rPr>
              <w:b/>
              <w:sz w:val="18"/>
              <w:szCs w:val="18"/>
            </w:rPr>
          </w:pPr>
          <w:r w:rsidRPr="002E7F61">
            <w:rPr>
              <w:b/>
              <w:sz w:val="18"/>
              <w:szCs w:val="18"/>
            </w:rPr>
            <w:t xml:space="preserve">Attachment 1: Product </w:t>
          </w:r>
          <w:r w:rsidRPr="00CF7E46">
            <w:rPr>
              <w:b/>
              <w:sz w:val="18"/>
              <w:szCs w:val="18"/>
            </w:rPr>
            <w:t xml:space="preserve">AusPAR </w:t>
          </w:r>
          <w:proofErr w:type="spellStart"/>
          <w:r w:rsidRPr="00CF7E46">
            <w:rPr>
              <w:b/>
              <w:sz w:val="18"/>
              <w:szCs w:val="18"/>
            </w:rPr>
            <w:t>INOmax</w:t>
          </w:r>
          <w:proofErr w:type="spellEnd"/>
          <w:r w:rsidRPr="00CF7E46">
            <w:rPr>
              <w:b/>
              <w:sz w:val="18"/>
              <w:szCs w:val="18"/>
            </w:rPr>
            <w:t xml:space="preserve"> medicinal gas nitric oxide Ikaria Australia Pty. Ltd. PM-2018-00306–1-3 - FINAL 28 November 2019</w:t>
          </w:r>
          <w:r>
            <w:rPr>
              <w:b/>
              <w:sz w:val="18"/>
              <w:szCs w:val="18"/>
            </w:rPr>
            <w:t xml:space="preserve">. </w:t>
          </w:r>
          <w:r w:rsidRPr="00FF2AA4">
            <w:rPr>
              <w:b/>
              <w:sz w:val="18"/>
              <w:szCs w:val="18"/>
            </w:rPr>
            <w:t>This is the Product Information that was approved with the submission described in this AusPAR. It may have been superseded. For the most recent PI, please refer to the TGA website at &lt;</w:t>
          </w:r>
          <w:hyperlink r:id="rId1" w:history="1">
            <w:r w:rsidRPr="00FF2AA4">
              <w:rPr>
                <w:rStyle w:val="Hyperlink"/>
                <w:b/>
                <w:sz w:val="18"/>
                <w:szCs w:val="18"/>
              </w:rPr>
              <w:t>https://www.tga.gov.au/product-information-pi</w:t>
            </w:r>
          </w:hyperlink>
          <w:r w:rsidRPr="00FF2AA4">
            <w:rPr>
              <w:b/>
              <w:sz w:val="18"/>
              <w:szCs w:val="18"/>
              <w:u w:val="single"/>
            </w:rPr>
            <w:t>&gt;</w:t>
          </w:r>
        </w:p>
      </w:tc>
    </w:tr>
  </w:tbl>
  <w:p w:rsidR="00A54CA9" w:rsidRDefault="00A54C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4CA9" w:rsidRDefault="00A54C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E1C4C67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D"/>
    <w:multiLevelType w:val="singleLevel"/>
    <w:tmpl w:val="681A3592"/>
    <w:lvl w:ilvl="0">
      <w:start w:val="1"/>
      <w:numFmt w:val="decimal"/>
      <w:pStyle w:val="ListNumber4"/>
      <w:lvlText w:val="%1."/>
      <w:lvlJc w:val="left"/>
      <w:pPr>
        <w:tabs>
          <w:tab w:val="num" w:pos="1440"/>
        </w:tabs>
        <w:ind w:left="1440" w:hanging="360"/>
      </w:pPr>
      <w:rPr>
        <w:rFonts w:cs="Times New Roman"/>
      </w:rPr>
    </w:lvl>
  </w:abstractNum>
  <w:abstractNum w:abstractNumId="2" w15:restartNumberingAfterBreak="0">
    <w:nsid w:val="05EA107F"/>
    <w:multiLevelType w:val="multilevel"/>
    <w:tmpl w:val="16DC766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006E33"/>
    <w:multiLevelType w:val="singleLevel"/>
    <w:tmpl w:val="F564C8E0"/>
    <w:lvl w:ilvl="0">
      <w:start w:val="15"/>
      <w:numFmt w:val="bullet"/>
      <w:lvlText w:val="-"/>
      <w:lvlJc w:val="left"/>
      <w:pPr>
        <w:tabs>
          <w:tab w:val="num" w:pos="360"/>
        </w:tabs>
        <w:ind w:left="360" w:hanging="360"/>
      </w:pPr>
      <w:rPr>
        <w:rFonts w:ascii="Times New Roman" w:hAnsi="Times New Roman" w:hint="default"/>
      </w:rPr>
    </w:lvl>
  </w:abstractNum>
  <w:abstractNum w:abstractNumId="4" w15:restartNumberingAfterBreak="0">
    <w:nsid w:val="0EB73A58"/>
    <w:multiLevelType w:val="hybridMultilevel"/>
    <w:tmpl w:val="86526F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143528"/>
    <w:multiLevelType w:val="hybridMultilevel"/>
    <w:tmpl w:val="EB14079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2B15DF"/>
    <w:multiLevelType w:val="singleLevel"/>
    <w:tmpl w:val="6CDA4CB6"/>
    <w:lvl w:ilvl="0">
      <w:numFmt w:val="bullet"/>
      <w:lvlText w:val="-"/>
      <w:lvlJc w:val="left"/>
      <w:pPr>
        <w:tabs>
          <w:tab w:val="num" w:pos="360"/>
        </w:tabs>
        <w:ind w:left="360" w:hanging="360"/>
      </w:pPr>
      <w:rPr>
        <w:rFonts w:ascii="Times New Roman" w:hAnsi="Times New Roman" w:hint="default"/>
      </w:rPr>
    </w:lvl>
  </w:abstractNum>
  <w:abstractNum w:abstractNumId="7" w15:restartNumberingAfterBreak="0">
    <w:nsid w:val="1B4D1A19"/>
    <w:multiLevelType w:val="hybridMultilevel"/>
    <w:tmpl w:val="D19E58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297D2E"/>
    <w:multiLevelType w:val="multilevel"/>
    <w:tmpl w:val="83364CBE"/>
    <w:lvl w:ilvl="0">
      <w:start w:val="1"/>
      <w:numFmt w:val="decimal"/>
      <w:lvlText w:val="%1.0"/>
      <w:lvlJc w:val="left"/>
      <w:pPr>
        <w:tabs>
          <w:tab w:val="num" w:pos="1080"/>
        </w:tabs>
        <w:ind w:left="1080" w:hanging="1080"/>
      </w:pPr>
    </w:lvl>
    <w:lvl w:ilvl="1">
      <w:start w:val="1"/>
      <w:numFmt w:val="decimal"/>
      <w:lvlText w:val="%1.%2"/>
      <w:lvlJc w:val="left"/>
      <w:pPr>
        <w:tabs>
          <w:tab w:val="num" w:pos="1080"/>
        </w:tabs>
        <w:ind w:left="1080" w:hanging="1080"/>
      </w:pPr>
      <w:rPr>
        <w:u w:val="none"/>
      </w:rPr>
    </w:lvl>
    <w:lvl w:ilvl="2">
      <w:start w:val="1"/>
      <w:numFmt w:val="decimal"/>
      <w:lvlText w:val="%1.%2.%3"/>
      <w:lvlJc w:val="left"/>
      <w:pPr>
        <w:tabs>
          <w:tab w:val="num" w:pos="1080"/>
        </w:tabs>
        <w:ind w:left="1080" w:hanging="108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9" w15:restartNumberingAfterBreak="0">
    <w:nsid w:val="37557FCE"/>
    <w:multiLevelType w:val="hybridMultilevel"/>
    <w:tmpl w:val="8E0CC7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90235C1"/>
    <w:multiLevelType w:val="hybridMultilevel"/>
    <w:tmpl w:val="C41AB918"/>
    <w:lvl w:ilvl="0" w:tplc="227C33C6">
      <w:start w:val="2"/>
      <w:numFmt w:val="lowerLetter"/>
      <w:lvlText w:val="%1."/>
      <w:lvlJc w:val="left"/>
      <w:pPr>
        <w:tabs>
          <w:tab w:val="num" w:pos="405"/>
        </w:tabs>
        <w:ind w:left="405" w:hanging="405"/>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3F7641A9"/>
    <w:multiLevelType w:val="multilevel"/>
    <w:tmpl w:val="268040E8"/>
    <w:lvl w:ilvl="0">
      <w:start w:val="1"/>
      <w:numFmt w:val="decimal"/>
      <w:pStyle w:val="C-Heading1"/>
      <w:lvlText w:val="%1."/>
      <w:lvlJc w:val="left"/>
      <w:pPr>
        <w:tabs>
          <w:tab w:val="num" w:pos="1080"/>
        </w:tabs>
        <w:ind w:left="1080" w:hanging="1080"/>
      </w:pPr>
      <w:rPr>
        <w:rFonts w:hint="default"/>
      </w:rPr>
    </w:lvl>
    <w:lvl w:ilvl="1">
      <w:start w:val="1"/>
      <w:numFmt w:val="decimal"/>
      <w:pStyle w:val="C-Heading2"/>
      <w:lvlText w:val="%1.%2."/>
      <w:lvlJc w:val="left"/>
      <w:pPr>
        <w:tabs>
          <w:tab w:val="num" w:pos="1080"/>
        </w:tabs>
        <w:ind w:left="1080" w:hanging="1080"/>
      </w:pPr>
      <w:rPr>
        <w:rFonts w:hint="default"/>
      </w:rPr>
    </w:lvl>
    <w:lvl w:ilvl="2">
      <w:start w:val="1"/>
      <w:numFmt w:val="decimal"/>
      <w:pStyle w:val="C-Heading3"/>
      <w:lvlText w:val="%1.%2.%3."/>
      <w:lvlJc w:val="left"/>
      <w:pPr>
        <w:tabs>
          <w:tab w:val="num" w:pos="1080"/>
        </w:tabs>
        <w:ind w:left="1080" w:hanging="1080"/>
      </w:pPr>
      <w:rPr>
        <w:rFonts w:hint="default"/>
      </w:rPr>
    </w:lvl>
    <w:lvl w:ilvl="3">
      <w:start w:val="1"/>
      <w:numFmt w:val="decimal"/>
      <w:pStyle w:val="C-Heading4"/>
      <w:lvlText w:val="%1.%2.%3.%4."/>
      <w:lvlJc w:val="left"/>
      <w:pPr>
        <w:tabs>
          <w:tab w:val="num" w:pos="1080"/>
        </w:tabs>
        <w:ind w:left="1080" w:hanging="1080"/>
      </w:pPr>
      <w:rPr>
        <w:rFonts w:hint="default"/>
      </w:rPr>
    </w:lvl>
    <w:lvl w:ilvl="4">
      <w:start w:val="1"/>
      <w:numFmt w:val="decimal"/>
      <w:pStyle w:val="C-Heading5"/>
      <w:lvlText w:val="%1.%2.%3.%4.%5."/>
      <w:lvlJc w:val="left"/>
      <w:pPr>
        <w:tabs>
          <w:tab w:val="num" w:pos="1080"/>
        </w:tabs>
        <w:ind w:left="1080" w:hanging="1080"/>
      </w:pPr>
      <w:rPr>
        <w:rFonts w:hint="default"/>
      </w:rPr>
    </w:lvl>
    <w:lvl w:ilvl="5">
      <w:start w:val="1"/>
      <w:numFmt w:val="decimal"/>
      <w:pStyle w:val="C-Heading6"/>
      <w:lvlText w:val="%1.%2.%3.%4.%5.%6."/>
      <w:lvlJc w:val="left"/>
      <w:pPr>
        <w:tabs>
          <w:tab w:val="num" w:pos="1080"/>
        </w:tabs>
        <w:ind w:left="1080" w:hanging="1080"/>
      </w:pPr>
      <w:rPr>
        <w:rFonts w:hint="default"/>
      </w:rPr>
    </w:lvl>
    <w:lvl w:ilvl="6">
      <w:start w:val="1"/>
      <w:numFmt w:val="decimal"/>
      <w:lvlText w:val="%1.%2.%3.%4.%5.%6.%7."/>
      <w:lvlJc w:val="left"/>
      <w:pPr>
        <w:tabs>
          <w:tab w:val="num" w:pos="1800"/>
        </w:tabs>
        <w:ind w:left="1080" w:hanging="1080"/>
      </w:pPr>
      <w:rPr>
        <w:rFonts w:hint="default"/>
      </w:rPr>
    </w:lvl>
    <w:lvl w:ilvl="7">
      <w:start w:val="1"/>
      <w:numFmt w:val="decimal"/>
      <w:lvlText w:val="%1.%2.%3.%4.%5.%6.%7.%8."/>
      <w:lvlJc w:val="left"/>
      <w:pPr>
        <w:tabs>
          <w:tab w:val="num" w:pos="1440"/>
        </w:tabs>
        <w:ind w:left="1080" w:hanging="1080"/>
      </w:pPr>
      <w:rPr>
        <w:rFonts w:hint="default"/>
      </w:rPr>
    </w:lvl>
    <w:lvl w:ilvl="8">
      <w:start w:val="1"/>
      <w:numFmt w:val="decimal"/>
      <w:lvlText w:val="%1.%2.%3.%4.%5.%6.%7.%8.%9."/>
      <w:lvlJc w:val="left"/>
      <w:pPr>
        <w:tabs>
          <w:tab w:val="num" w:pos="2160"/>
        </w:tabs>
        <w:ind w:left="1080" w:hanging="1080"/>
      </w:pPr>
      <w:rPr>
        <w:rFonts w:hint="default"/>
      </w:rPr>
    </w:lvl>
  </w:abstractNum>
  <w:abstractNum w:abstractNumId="12" w15:restartNumberingAfterBreak="0">
    <w:nsid w:val="47084F17"/>
    <w:multiLevelType w:val="hybridMultilevel"/>
    <w:tmpl w:val="DF2A0C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6024FE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63A4042"/>
    <w:multiLevelType w:val="hybridMultilevel"/>
    <w:tmpl w:val="B8B0E8C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28561A7"/>
    <w:multiLevelType w:val="singleLevel"/>
    <w:tmpl w:val="F564C8E0"/>
    <w:lvl w:ilvl="0">
      <w:start w:val="15"/>
      <w:numFmt w:val="bullet"/>
      <w:lvlText w:val="-"/>
      <w:lvlJc w:val="left"/>
      <w:pPr>
        <w:tabs>
          <w:tab w:val="num" w:pos="360"/>
        </w:tabs>
        <w:ind w:left="360" w:hanging="360"/>
      </w:pPr>
      <w:rPr>
        <w:rFonts w:ascii="Times New Roman" w:hAnsi="Times New Roman" w:hint="default"/>
      </w:rPr>
    </w:lvl>
  </w:abstractNum>
  <w:abstractNum w:abstractNumId="16" w15:restartNumberingAfterBreak="0">
    <w:nsid w:val="69FB1E3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A336C48"/>
    <w:multiLevelType w:val="hybridMultilevel"/>
    <w:tmpl w:val="87E832E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5D6576"/>
    <w:multiLevelType w:val="hybridMultilevel"/>
    <w:tmpl w:val="574A2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6"/>
  </w:num>
  <w:num w:numId="3">
    <w:abstractNumId w:val="8"/>
  </w:num>
  <w:num w:numId="4">
    <w:abstractNumId w:val="6"/>
  </w:num>
  <w:num w:numId="5">
    <w:abstractNumId w:val="3"/>
  </w:num>
  <w:num w:numId="6">
    <w:abstractNumId w:val="15"/>
  </w:num>
  <w:num w:numId="7">
    <w:abstractNumId w:val="2"/>
  </w:num>
  <w:num w:numId="8">
    <w:abstractNumId w:val="12"/>
  </w:num>
  <w:num w:numId="9">
    <w:abstractNumId w:val="5"/>
  </w:num>
  <w:num w:numId="10">
    <w:abstractNumId w:val="17"/>
  </w:num>
  <w:num w:numId="11">
    <w:abstractNumId w:val="10"/>
  </w:num>
  <w:num w:numId="12">
    <w:abstractNumId w:val="9"/>
  </w:num>
  <w:num w:numId="13">
    <w:abstractNumId w:val="4"/>
  </w:num>
  <w:num w:numId="14">
    <w:abstractNumId w:val="11"/>
  </w:num>
  <w:num w:numId="15">
    <w:abstractNumId w:val="14"/>
  </w:num>
  <w:num w:numId="16">
    <w:abstractNumId w:val="18"/>
  </w:num>
  <w:num w:numId="17">
    <w:abstractNumId w:val="0"/>
  </w:num>
  <w:num w:numId="18">
    <w:abstractNumId w:val="1"/>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941F3"/>
    <w:rsid w:val="00000AAD"/>
    <w:rsid w:val="00005518"/>
    <w:rsid w:val="000143F0"/>
    <w:rsid w:val="00014DEF"/>
    <w:rsid w:val="00023EBB"/>
    <w:rsid w:val="00024632"/>
    <w:rsid w:val="00046626"/>
    <w:rsid w:val="00046F9A"/>
    <w:rsid w:val="000474C4"/>
    <w:rsid w:val="00054182"/>
    <w:rsid w:val="00056062"/>
    <w:rsid w:val="00063E3A"/>
    <w:rsid w:val="0006579F"/>
    <w:rsid w:val="00066F70"/>
    <w:rsid w:val="00072C4C"/>
    <w:rsid w:val="0008119F"/>
    <w:rsid w:val="00093863"/>
    <w:rsid w:val="000B1439"/>
    <w:rsid w:val="000D5BE5"/>
    <w:rsid w:val="000E0782"/>
    <w:rsid w:val="000E1625"/>
    <w:rsid w:val="000F4A2A"/>
    <w:rsid w:val="001007D8"/>
    <w:rsid w:val="00110500"/>
    <w:rsid w:val="00117B3C"/>
    <w:rsid w:val="0014299B"/>
    <w:rsid w:val="0014300B"/>
    <w:rsid w:val="00144C04"/>
    <w:rsid w:val="00180002"/>
    <w:rsid w:val="001841E6"/>
    <w:rsid w:val="001A02CF"/>
    <w:rsid w:val="001A0B8B"/>
    <w:rsid w:val="001A52DA"/>
    <w:rsid w:val="001B23C6"/>
    <w:rsid w:val="001B37F6"/>
    <w:rsid w:val="001C0551"/>
    <w:rsid w:val="001C0BFA"/>
    <w:rsid w:val="001C20A8"/>
    <w:rsid w:val="001D6CE0"/>
    <w:rsid w:val="001E3CD0"/>
    <w:rsid w:val="001F15A8"/>
    <w:rsid w:val="001F1DB1"/>
    <w:rsid w:val="001F1F4A"/>
    <w:rsid w:val="00202E56"/>
    <w:rsid w:val="00203B34"/>
    <w:rsid w:val="00213705"/>
    <w:rsid w:val="002261F1"/>
    <w:rsid w:val="0023187A"/>
    <w:rsid w:val="002321EE"/>
    <w:rsid w:val="002332EE"/>
    <w:rsid w:val="00234481"/>
    <w:rsid w:val="002347D6"/>
    <w:rsid w:val="00235DF3"/>
    <w:rsid w:val="002372B2"/>
    <w:rsid w:val="00244F4C"/>
    <w:rsid w:val="002617FA"/>
    <w:rsid w:val="0026756F"/>
    <w:rsid w:val="002716AB"/>
    <w:rsid w:val="00277FBF"/>
    <w:rsid w:val="00291EB2"/>
    <w:rsid w:val="002A0026"/>
    <w:rsid w:val="002B07DA"/>
    <w:rsid w:val="002B276F"/>
    <w:rsid w:val="002C0330"/>
    <w:rsid w:val="002C044C"/>
    <w:rsid w:val="002C5A08"/>
    <w:rsid w:val="002D2605"/>
    <w:rsid w:val="002E1667"/>
    <w:rsid w:val="002F6073"/>
    <w:rsid w:val="003024FB"/>
    <w:rsid w:val="00312DAF"/>
    <w:rsid w:val="00321CF8"/>
    <w:rsid w:val="00333972"/>
    <w:rsid w:val="00334469"/>
    <w:rsid w:val="003353A4"/>
    <w:rsid w:val="00340115"/>
    <w:rsid w:val="0034068C"/>
    <w:rsid w:val="00340F97"/>
    <w:rsid w:val="003430BD"/>
    <w:rsid w:val="00352FD0"/>
    <w:rsid w:val="00355EA4"/>
    <w:rsid w:val="00360E9F"/>
    <w:rsid w:val="003732DE"/>
    <w:rsid w:val="00384287"/>
    <w:rsid w:val="003A03C0"/>
    <w:rsid w:val="003A09A0"/>
    <w:rsid w:val="003A0F5D"/>
    <w:rsid w:val="003A3AA9"/>
    <w:rsid w:val="003A5C94"/>
    <w:rsid w:val="003B1EB7"/>
    <w:rsid w:val="003B6899"/>
    <w:rsid w:val="003C055D"/>
    <w:rsid w:val="003C0993"/>
    <w:rsid w:val="003C5B05"/>
    <w:rsid w:val="003D30E4"/>
    <w:rsid w:val="003D3C22"/>
    <w:rsid w:val="003D5332"/>
    <w:rsid w:val="003E0AF1"/>
    <w:rsid w:val="003E527E"/>
    <w:rsid w:val="003E6620"/>
    <w:rsid w:val="003F5CD0"/>
    <w:rsid w:val="00400BAA"/>
    <w:rsid w:val="00404CBD"/>
    <w:rsid w:val="004130EB"/>
    <w:rsid w:val="00417F19"/>
    <w:rsid w:val="0042787C"/>
    <w:rsid w:val="00432527"/>
    <w:rsid w:val="00461B15"/>
    <w:rsid w:val="00496E34"/>
    <w:rsid w:val="004B7A84"/>
    <w:rsid w:val="004C1040"/>
    <w:rsid w:val="004F0A41"/>
    <w:rsid w:val="004F4813"/>
    <w:rsid w:val="005006A3"/>
    <w:rsid w:val="00522E79"/>
    <w:rsid w:val="00524987"/>
    <w:rsid w:val="005256A3"/>
    <w:rsid w:val="005349A2"/>
    <w:rsid w:val="0053707D"/>
    <w:rsid w:val="00552538"/>
    <w:rsid w:val="00553EFF"/>
    <w:rsid w:val="00560800"/>
    <w:rsid w:val="0056689E"/>
    <w:rsid w:val="00570E15"/>
    <w:rsid w:val="00582EE4"/>
    <w:rsid w:val="00584475"/>
    <w:rsid w:val="00584B34"/>
    <w:rsid w:val="00596AE8"/>
    <w:rsid w:val="005A35D9"/>
    <w:rsid w:val="005A6E5C"/>
    <w:rsid w:val="005C1031"/>
    <w:rsid w:val="005C1C96"/>
    <w:rsid w:val="005D09E1"/>
    <w:rsid w:val="005D6598"/>
    <w:rsid w:val="005E770A"/>
    <w:rsid w:val="005F1052"/>
    <w:rsid w:val="00612264"/>
    <w:rsid w:val="006129B2"/>
    <w:rsid w:val="00613EF1"/>
    <w:rsid w:val="00620DD2"/>
    <w:rsid w:val="006468AB"/>
    <w:rsid w:val="00651E4F"/>
    <w:rsid w:val="00656BAE"/>
    <w:rsid w:val="00656FD5"/>
    <w:rsid w:val="0066148D"/>
    <w:rsid w:val="00662261"/>
    <w:rsid w:val="00674464"/>
    <w:rsid w:val="006762E9"/>
    <w:rsid w:val="00677175"/>
    <w:rsid w:val="00677EEA"/>
    <w:rsid w:val="00680C01"/>
    <w:rsid w:val="00686A2E"/>
    <w:rsid w:val="00691366"/>
    <w:rsid w:val="006A2833"/>
    <w:rsid w:val="006A4C98"/>
    <w:rsid w:val="006B2186"/>
    <w:rsid w:val="006D1FCE"/>
    <w:rsid w:val="006D783A"/>
    <w:rsid w:val="006E039A"/>
    <w:rsid w:val="006E2962"/>
    <w:rsid w:val="006E5641"/>
    <w:rsid w:val="006F5CB9"/>
    <w:rsid w:val="00700E2F"/>
    <w:rsid w:val="00700F78"/>
    <w:rsid w:val="00702FBB"/>
    <w:rsid w:val="007171FA"/>
    <w:rsid w:val="0072024F"/>
    <w:rsid w:val="00727DCE"/>
    <w:rsid w:val="00734517"/>
    <w:rsid w:val="007443D6"/>
    <w:rsid w:val="0076239A"/>
    <w:rsid w:val="00763C3D"/>
    <w:rsid w:val="00773497"/>
    <w:rsid w:val="007A33AE"/>
    <w:rsid w:val="007A41C7"/>
    <w:rsid w:val="007A72E6"/>
    <w:rsid w:val="007A73B9"/>
    <w:rsid w:val="007B11FA"/>
    <w:rsid w:val="007B47B2"/>
    <w:rsid w:val="007B5708"/>
    <w:rsid w:val="007B64CC"/>
    <w:rsid w:val="007C4272"/>
    <w:rsid w:val="007E25B8"/>
    <w:rsid w:val="007F542E"/>
    <w:rsid w:val="007F5DC0"/>
    <w:rsid w:val="00812D16"/>
    <w:rsid w:val="00813123"/>
    <w:rsid w:val="008157B2"/>
    <w:rsid w:val="008326B6"/>
    <w:rsid w:val="008367B8"/>
    <w:rsid w:val="00837CC2"/>
    <w:rsid w:val="00842EC8"/>
    <w:rsid w:val="008451B5"/>
    <w:rsid w:val="008508BE"/>
    <w:rsid w:val="00860CB5"/>
    <w:rsid w:val="00863210"/>
    <w:rsid w:val="00873456"/>
    <w:rsid w:val="00876C39"/>
    <w:rsid w:val="008801F4"/>
    <w:rsid w:val="00894363"/>
    <w:rsid w:val="00895231"/>
    <w:rsid w:val="0089642D"/>
    <w:rsid w:val="00897C09"/>
    <w:rsid w:val="008A5E3C"/>
    <w:rsid w:val="008B28FE"/>
    <w:rsid w:val="008B3B22"/>
    <w:rsid w:val="008B44EA"/>
    <w:rsid w:val="008C2F06"/>
    <w:rsid w:val="008D477E"/>
    <w:rsid w:val="008E1FFD"/>
    <w:rsid w:val="008E56D8"/>
    <w:rsid w:val="008E79D0"/>
    <w:rsid w:val="008F0760"/>
    <w:rsid w:val="008F3D0A"/>
    <w:rsid w:val="008F5383"/>
    <w:rsid w:val="0091347B"/>
    <w:rsid w:val="00913C39"/>
    <w:rsid w:val="00921279"/>
    <w:rsid w:val="009459C9"/>
    <w:rsid w:val="009518D9"/>
    <w:rsid w:val="00955159"/>
    <w:rsid w:val="00955451"/>
    <w:rsid w:val="00955887"/>
    <w:rsid w:val="00956E90"/>
    <w:rsid w:val="009726F4"/>
    <w:rsid w:val="00983A9D"/>
    <w:rsid w:val="009852EA"/>
    <w:rsid w:val="00987F3D"/>
    <w:rsid w:val="009A2210"/>
    <w:rsid w:val="009B541F"/>
    <w:rsid w:val="009D76B0"/>
    <w:rsid w:val="009E1624"/>
    <w:rsid w:val="00A26969"/>
    <w:rsid w:val="00A4574E"/>
    <w:rsid w:val="00A45E89"/>
    <w:rsid w:val="00A54CA9"/>
    <w:rsid w:val="00A55B5C"/>
    <w:rsid w:val="00A62E3A"/>
    <w:rsid w:val="00A66290"/>
    <w:rsid w:val="00A87A18"/>
    <w:rsid w:val="00AA1F85"/>
    <w:rsid w:val="00AA69F0"/>
    <w:rsid w:val="00AB1114"/>
    <w:rsid w:val="00AB1862"/>
    <w:rsid w:val="00AB2EA6"/>
    <w:rsid w:val="00AB7A62"/>
    <w:rsid w:val="00AF6B31"/>
    <w:rsid w:val="00B06994"/>
    <w:rsid w:val="00B07062"/>
    <w:rsid w:val="00B3164A"/>
    <w:rsid w:val="00B34BF4"/>
    <w:rsid w:val="00B43B21"/>
    <w:rsid w:val="00B4481B"/>
    <w:rsid w:val="00B46747"/>
    <w:rsid w:val="00B61935"/>
    <w:rsid w:val="00B841E1"/>
    <w:rsid w:val="00B90796"/>
    <w:rsid w:val="00B941F3"/>
    <w:rsid w:val="00BA48F0"/>
    <w:rsid w:val="00BA4C1F"/>
    <w:rsid w:val="00BA659B"/>
    <w:rsid w:val="00BB4CDB"/>
    <w:rsid w:val="00BB61E5"/>
    <w:rsid w:val="00BD695F"/>
    <w:rsid w:val="00BD7D48"/>
    <w:rsid w:val="00BE1250"/>
    <w:rsid w:val="00BE48AB"/>
    <w:rsid w:val="00BE5B45"/>
    <w:rsid w:val="00BE7FF9"/>
    <w:rsid w:val="00BF1601"/>
    <w:rsid w:val="00BF3E64"/>
    <w:rsid w:val="00BF78FB"/>
    <w:rsid w:val="00C03875"/>
    <w:rsid w:val="00C05BDA"/>
    <w:rsid w:val="00C06254"/>
    <w:rsid w:val="00C238B2"/>
    <w:rsid w:val="00C24925"/>
    <w:rsid w:val="00C31CC0"/>
    <w:rsid w:val="00C357E4"/>
    <w:rsid w:val="00C367DB"/>
    <w:rsid w:val="00C37613"/>
    <w:rsid w:val="00C4061A"/>
    <w:rsid w:val="00C52E07"/>
    <w:rsid w:val="00C54660"/>
    <w:rsid w:val="00C602A3"/>
    <w:rsid w:val="00C64B6A"/>
    <w:rsid w:val="00C87EDD"/>
    <w:rsid w:val="00C91F9F"/>
    <w:rsid w:val="00CB0E5E"/>
    <w:rsid w:val="00CB259D"/>
    <w:rsid w:val="00CB6038"/>
    <w:rsid w:val="00CE7940"/>
    <w:rsid w:val="00D002A2"/>
    <w:rsid w:val="00D06957"/>
    <w:rsid w:val="00D16304"/>
    <w:rsid w:val="00D3251F"/>
    <w:rsid w:val="00D34168"/>
    <w:rsid w:val="00D40EEC"/>
    <w:rsid w:val="00D47B5A"/>
    <w:rsid w:val="00D51144"/>
    <w:rsid w:val="00D76FD3"/>
    <w:rsid w:val="00D8278A"/>
    <w:rsid w:val="00D8498C"/>
    <w:rsid w:val="00D93C73"/>
    <w:rsid w:val="00D97147"/>
    <w:rsid w:val="00D97E46"/>
    <w:rsid w:val="00DB4DD6"/>
    <w:rsid w:val="00DC1263"/>
    <w:rsid w:val="00DC4D60"/>
    <w:rsid w:val="00DD20C5"/>
    <w:rsid w:val="00DE5EF5"/>
    <w:rsid w:val="00DF5D14"/>
    <w:rsid w:val="00E1414F"/>
    <w:rsid w:val="00E37B05"/>
    <w:rsid w:val="00E41464"/>
    <w:rsid w:val="00E41B58"/>
    <w:rsid w:val="00E450A4"/>
    <w:rsid w:val="00E51BA5"/>
    <w:rsid w:val="00E522CB"/>
    <w:rsid w:val="00E6174F"/>
    <w:rsid w:val="00E653DB"/>
    <w:rsid w:val="00E7520A"/>
    <w:rsid w:val="00E75ABB"/>
    <w:rsid w:val="00E8404B"/>
    <w:rsid w:val="00EB3855"/>
    <w:rsid w:val="00EC3E01"/>
    <w:rsid w:val="00EC7784"/>
    <w:rsid w:val="00EE472E"/>
    <w:rsid w:val="00EF0153"/>
    <w:rsid w:val="00EF70D5"/>
    <w:rsid w:val="00F018D2"/>
    <w:rsid w:val="00F11432"/>
    <w:rsid w:val="00F16DF3"/>
    <w:rsid w:val="00F22A8A"/>
    <w:rsid w:val="00F27DCF"/>
    <w:rsid w:val="00F468DD"/>
    <w:rsid w:val="00F52A0E"/>
    <w:rsid w:val="00F5585E"/>
    <w:rsid w:val="00F60A85"/>
    <w:rsid w:val="00F65BA3"/>
    <w:rsid w:val="00F67CB1"/>
    <w:rsid w:val="00F9583E"/>
    <w:rsid w:val="00F96A8F"/>
    <w:rsid w:val="00FA5D9A"/>
    <w:rsid w:val="00FE1F48"/>
    <w:rsid w:val="00FF0505"/>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o:shapelayout v:ext="edit">
      <o:idmap v:ext="edit" data="1"/>
    </o:shapelayout>
  </w:shapeDefaults>
  <w:decimalSymbol w:val="."/>
  <w:listSeparator w:val=","/>
  <w14:defaultImageDpi w14:val="330"/>
  <w15:chartTrackingRefBased/>
  <w15:docId w15:val="{A54E96FD-5C72-463E-BEC0-D283A78CC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qFormat/>
    <w:pPr>
      <w:keepNext/>
      <w:outlineLvl w:val="0"/>
    </w:pPr>
    <w:rPr>
      <w:rFonts w:ascii="Arial" w:hAnsi="Arial"/>
      <w:b/>
      <w:sz w:val="28"/>
    </w:rPr>
  </w:style>
  <w:style w:type="paragraph" w:styleId="Heading2">
    <w:name w:val="heading 2"/>
    <w:basedOn w:val="Normal"/>
    <w:next w:val="Normal"/>
    <w:qFormat/>
    <w:pPr>
      <w:keepNext/>
      <w:outlineLvl w:val="1"/>
    </w:pPr>
    <w:rPr>
      <w:rFonts w:ascii="Arial" w:hAnsi="Arial"/>
      <w:b/>
    </w:rPr>
  </w:style>
  <w:style w:type="paragraph" w:styleId="Heading3">
    <w:name w:val="heading 3"/>
    <w:basedOn w:val="Normal"/>
    <w:next w:val="Normal"/>
    <w:qFormat/>
    <w:pPr>
      <w:keepNext/>
      <w:outlineLvl w:val="2"/>
    </w:pPr>
    <w:rPr>
      <w:b/>
      <w:snapToGrid w:val="0"/>
      <w:sz w:val="22"/>
    </w:rPr>
  </w:style>
  <w:style w:type="paragraph" w:styleId="Heading4">
    <w:name w:val="heading 4"/>
    <w:basedOn w:val="Normal"/>
    <w:next w:val="Normal"/>
    <w:qFormat/>
    <w:pPr>
      <w:keepNext/>
      <w:jc w:val="both"/>
      <w:outlineLvl w:val="3"/>
    </w:pPr>
    <w:rPr>
      <w:rFonts w:ascii="Arial" w:hAnsi="Arial"/>
      <w:b/>
    </w:rPr>
  </w:style>
  <w:style w:type="paragraph" w:styleId="Heading5">
    <w:name w:val="heading 5"/>
    <w:basedOn w:val="Normal"/>
    <w:next w:val="Normal"/>
    <w:qFormat/>
    <w:pPr>
      <w:keepNext/>
      <w:jc w:val="center"/>
      <w:outlineLvl w:val="4"/>
    </w:pPr>
    <w:rPr>
      <w:b/>
      <w:sz w:val="22"/>
    </w:rPr>
  </w:style>
  <w:style w:type="paragraph" w:styleId="Heading6">
    <w:name w:val="heading 6"/>
    <w:basedOn w:val="Normal"/>
    <w:next w:val="Normal"/>
    <w:qFormat/>
    <w:pPr>
      <w:keepNext/>
      <w:jc w:val="center"/>
      <w:outlineLvl w:val="5"/>
    </w:pPr>
    <w:rPr>
      <w:sz w:val="24"/>
    </w:rPr>
  </w:style>
  <w:style w:type="paragraph" w:styleId="Heading7">
    <w:name w:val="heading 7"/>
    <w:basedOn w:val="Normal"/>
    <w:next w:val="Normal"/>
    <w:qFormat/>
    <w:pPr>
      <w:keepNext/>
      <w:jc w:val="center"/>
      <w:outlineLvl w:val="6"/>
    </w:pPr>
    <w:rPr>
      <w:b/>
      <w:sz w:val="24"/>
    </w:rPr>
  </w:style>
  <w:style w:type="paragraph" w:styleId="Heading8">
    <w:name w:val="heading 8"/>
    <w:basedOn w:val="Normal"/>
    <w:next w:val="Normal"/>
    <w:qFormat/>
    <w:pPr>
      <w:keepNext/>
      <w:outlineLvl w:val="7"/>
    </w:pPr>
    <w:rPr>
      <w:b/>
      <w:sz w:val="22"/>
    </w:rPr>
  </w:style>
  <w:style w:type="paragraph" w:styleId="Heading9">
    <w:name w:val="heading 9"/>
    <w:basedOn w:val="Normal"/>
    <w:next w:val="Normal"/>
    <w:qFormat/>
    <w:pPr>
      <w:keepNext/>
      <w:outlineLvl w:val="8"/>
    </w:pPr>
    <w:rPr>
      <w:i/>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Pr>
      <w:sz w:val="22"/>
    </w:rPr>
  </w:style>
  <w:style w:type="paragraph" w:styleId="BodyText">
    <w:name w:val="Body Text"/>
    <w:basedOn w:val="Normal"/>
    <w:pPr>
      <w:jc w:val="both"/>
    </w:pPr>
    <w:rPr>
      <w:rFonts w:ascii="Arial" w:hAnsi="Arial"/>
      <w:sz w:val="22"/>
    </w:rPr>
  </w:style>
  <w:style w:type="character" w:styleId="Strong">
    <w:name w:val="Strong"/>
    <w:qFormat/>
    <w:rPr>
      <w:b/>
      <w:bCs/>
    </w:rPr>
  </w:style>
  <w:style w:type="paragraph" w:styleId="Caption">
    <w:name w:val="caption"/>
    <w:basedOn w:val="Normal"/>
    <w:next w:val="Normal"/>
    <w:uiPriority w:val="99"/>
    <w:qFormat/>
    <w:rPr>
      <w:rFonts w:ascii="Arial" w:hAnsi="Arial"/>
      <w:i/>
    </w:rPr>
  </w:style>
  <w:style w:type="paragraph" w:styleId="BodyText3">
    <w:name w:val="Body Text 3"/>
    <w:basedOn w:val="Normal"/>
    <w:rPr>
      <w:sz w:val="24"/>
    </w:rPr>
  </w:style>
  <w:style w:type="paragraph" w:styleId="Header">
    <w:name w:val="header"/>
    <w:basedOn w:val="Normal"/>
    <w:pPr>
      <w:tabs>
        <w:tab w:val="right" w:pos="9000"/>
      </w:tabs>
    </w:pPr>
    <w:rPr>
      <w:sz w:val="18"/>
    </w:rPr>
  </w:style>
  <w:style w:type="paragraph" w:styleId="BodyTextIndent">
    <w:name w:val="Body Text Indent"/>
    <w:basedOn w:val="Normal"/>
    <w:pPr>
      <w:ind w:left="720"/>
    </w:pPr>
    <w:rPr>
      <w:rFonts w:ascii="Arial" w:hAnsi="Arial"/>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EndnoteText">
    <w:name w:val="endnote text"/>
    <w:basedOn w:val="Normal"/>
    <w:next w:val="Normal"/>
    <w:semiHidden/>
    <w:pPr>
      <w:tabs>
        <w:tab w:val="left" w:pos="567"/>
      </w:tabs>
    </w:pPr>
    <w:rPr>
      <w:sz w:val="22"/>
      <w:lang w:val="en-GB"/>
    </w:rPr>
  </w:style>
  <w:style w:type="character" w:styleId="CommentReference">
    <w:name w:val="annotation reference"/>
    <w:semiHidden/>
    <w:rPr>
      <w:sz w:val="16"/>
      <w:szCs w:val="16"/>
    </w:rPr>
  </w:style>
  <w:style w:type="character" w:styleId="FootnoteReference">
    <w:name w:val="footnote reference"/>
    <w:semiHidden/>
    <w:rPr>
      <w:vertAlign w:val="superscript"/>
    </w:rPr>
  </w:style>
  <w:style w:type="paragraph" w:styleId="CommentText">
    <w:name w:val="annotation text"/>
    <w:basedOn w:val="Normal"/>
    <w:link w:val="CommentTextChar"/>
    <w:uiPriority w:val="99"/>
    <w:rPr>
      <w:rFonts w:ascii="Times" w:hAnsi="Times"/>
      <w:b/>
      <w:bCs/>
      <w:lang w:val="en-US"/>
    </w:rPr>
  </w:style>
  <w:style w:type="paragraph" w:styleId="FootnoteText">
    <w:name w:val="footnote text"/>
    <w:basedOn w:val="Normal"/>
    <w:semiHidden/>
    <w:rPr>
      <w:lang w:val="en-US"/>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Level4a">
    <w:name w:val="Level 4a"/>
    <w:basedOn w:val="Normal"/>
    <w:next w:val="Normal"/>
    <w:pPr>
      <w:overflowPunct w:val="0"/>
      <w:autoSpaceDE w:val="0"/>
      <w:autoSpaceDN w:val="0"/>
      <w:adjustRightInd w:val="0"/>
      <w:spacing w:line="360" w:lineRule="auto"/>
      <w:ind w:left="1267"/>
      <w:textAlignment w:val="baseline"/>
    </w:pPr>
    <w:rPr>
      <w:sz w:val="24"/>
      <w:lang w:val="en-US"/>
    </w:rPr>
  </w:style>
  <w:style w:type="paragraph" w:customStyle="1" w:styleId="TableLeft">
    <w:name w:val="TableLeft"/>
    <w:basedOn w:val="Normal"/>
    <w:pPr>
      <w:spacing w:before="120" w:after="120"/>
      <w:ind w:left="360" w:hanging="360"/>
    </w:pPr>
    <w:rPr>
      <w:sz w:val="24"/>
      <w:lang w:val="en-US"/>
    </w:rPr>
  </w:style>
  <w:style w:type="paragraph" w:customStyle="1" w:styleId="TableCenter">
    <w:name w:val="TableCenter"/>
    <w:basedOn w:val="Normal"/>
    <w:pPr>
      <w:spacing w:before="120" w:after="120"/>
      <w:jc w:val="center"/>
    </w:pPr>
    <w:rPr>
      <w:sz w:val="24"/>
      <w:lang w:val="en-US"/>
    </w:rPr>
  </w:style>
  <w:style w:type="paragraph" w:customStyle="1" w:styleId="TableRight">
    <w:name w:val="TableRight"/>
    <w:basedOn w:val="Normal"/>
    <w:pPr>
      <w:spacing w:before="120" w:after="120"/>
      <w:jc w:val="right"/>
    </w:pPr>
    <w:rPr>
      <w:sz w:val="24"/>
      <w:lang w:val="en-US"/>
    </w:rPr>
  </w:style>
  <w:style w:type="paragraph" w:styleId="BodyTextIndent2">
    <w:name w:val="Body Text Indent 2"/>
    <w:basedOn w:val="Normal"/>
    <w:pPr>
      <w:spacing w:after="120" w:line="480" w:lineRule="auto"/>
      <w:ind w:left="283"/>
    </w:pPr>
  </w:style>
  <w:style w:type="paragraph" w:styleId="CommentSubject">
    <w:name w:val="annotation subject"/>
    <w:basedOn w:val="CommentText"/>
    <w:next w:val="CommentText"/>
    <w:semiHidden/>
    <w:rsid w:val="00431BBC"/>
    <w:rPr>
      <w:rFonts w:ascii="Times New Roman" w:hAnsi="Times New Roman"/>
      <w:lang w:val="en-AU"/>
    </w:rPr>
  </w:style>
  <w:style w:type="table" w:styleId="TableGrid">
    <w:name w:val="Table Grid"/>
    <w:basedOn w:val="TableNormal"/>
    <w:uiPriority w:val="59"/>
    <w:rsid w:val="00B029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eading1">
    <w:name w:val="C-Heading 1"/>
    <w:next w:val="Normal"/>
    <w:rsid w:val="005B40D6"/>
    <w:pPr>
      <w:keepNext/>
      <w:pageBreakBefore/>
      <w:numPr>
        <w:numId w:val="14"/>
      </w:numPr>
      <w:spacing w:before="480" w:after="120"/>
      <w:outlineLvl w:val="0"/>
    </w:pPr>
    <w:rPr>
      <w:b/>
      <w:caps/>
      <w:sz w:val="28"/>
      <w:lang w:val="en-US" w:eastAsia="en-US"/>
    </w:rPr>
  </w:style>
  <w:style w:type="paragraph" w:customStyle="1" w:styleId="C-Heading2">
    <w:name w:val="C-Heading 2"/>
    <w:next w:val="Normal"/>
    <w:rsid w:val="005B40D6"/>
    <w:pPr>
      <w:keepNext/>
      <w:numPr>
        <w:ilvl w:val="1"/>
        <w:numId w:val="14"/>
      </w:numPr>
      <w:spacing w:before="240"/>
      <w:outlineLvl w:val="1"/>
    </w:pPr>
    <w:rPr>
      <w:b/>
      <w:sz w:val="28"/>
      <w:lang w:val="en-US" w:eastAsia="en-US"/>
    </w:rPr>
  </w:style>
  <w:style w:type="paragraph" w:customStyle="1" w:styleId="C-Heading3">
    <w:name w:val="C-Heading 3"/>
    <w:next w:val="Normal"/>
    <w:link w:val="C-Heading3Char"/>
    <w:rsid w:val="005B40D6"/>
    <w:pPr>
      <w:keepNext/>
      <w:numPr>
        <w:ilvl w:val="2"/>
        <w:numId w:val="14"/>
      </w:numPr>
      <w:spacing w:before="240"/>
      <w:outlineLvl w:val="2"/>
    </w:pPr>
    <w:rPr>
      <w:b/>
      <w:sz w:val="24"/>
      <w:lang w:val="en-US" w:eastAsia="en-US"/>
    </w:rPr>
  </w:style>
  <w:style w:type="paragraph" w:customStyle="1" w:styleId="C-Heading4">
    <w:name w:val="C-Heading 4"/>
    <w:next w:val="Normal"/>
    <w:rsid w:val="005B40D6"/>
    <w:pPr>
      <w:keepNext/>
      <w:numPr>
        <w:ilvl w:val="3"/>
        <w:numId w:val="14"/>
      </w:numPr>
      <w:spacing w:before="240"/>
      <w:outlineLvl w:val="3"/>
    </w:pPr>
    <w:rPr>
      <w:b/>
      <w:sz w:val="24"/>
      <w:lang w:val="en-US" w:eastAsia="en-US"/>
    </w:rPr>
  </w:style>
  <w:style w:type="paragraph" w:customStyle="1" w:styleId="C-Heading5">
    <w:name w:val="C-Heading 5"/>
    <w:next w:val="Normal"/>
    <w:rsid w:val="005B40D6"/>
    <w:pPr>
      <w:keepNext/>
      <w:numPr>
        <w:ilvl w:val="4"/>
        <w:numId w:val="14"/>
      </w:numPr>
      <w:spacing w:before="240"/>
      <w:outlineLvl w:val="4"/>
    </w:pPr>
    <w:rPr>
      <w:b/>
      <w:sz w:val="24"/>
      <w:lang w:val="en-US" w:eastAsia="en-US"/>
    </w:rPr>
  </w:style>
  <w:style w:type="paragraph" w:customStyle="1" w:styleId="C-Heading6">
    <w:name w:val="C-Heading 6"/>
    <w:next w:val="Normal"/>
    <w:rsid w:val="005B40D6"/>
    <w:pPr>
      <w:keepNext/>
      <w:numPr>
        <w:ilvl w:val="5"/>
        <w:numId w:val="14"/>
      </w:numPr>
      <w:tabs>
        <w:tab w:val="clear" w:pos="1080"/>
        <w:tab w:val="num" w:pos="1224"/>
        <w:tab w:val="num" w:pos="1309"/>
      </w:tabs>
      <w:spacing w:before="240"/>
      <w:ind w:left="1224" w:hanging="1224"/>
      <w:outlineLvl w:val="5"/>
    </w:pPr>
    <w:rPr>
      <w:b/>
      <w:sz w:val="24"/>
      <w:lang w:val="en-US" w:eastAsia="en-US"/>
    </w:rPr>
  </w:style>
  <w:style w:type="character" w:customStyle="1" w:styleId="C-Heading3Char">
    <w:name w:val="C-Heading 3 Char"/>
    <w:link w:val="C-Heading3"/>
    <w:rsid w:val="005B40D6"/>
    <w:rPr>
      <w:b/>
      <w:sz w:val="24"/>
      <w:lang w:val="en-US" w:eastAsia="en-US" w:bidi="ar-SA"/>
    </w:rPr>
  </w:style>
  <w:style w:type="character" w:customStyle="1" w:styleId="CommentTextChar">
    <w:name w:val="Comment Text Char"/>
    <w:link w:val="CommentText"/>
    <w:uiPriority w:val="99"/>
    <w:rsid w:val="001E1178"/>
    <w:rPr>
      <w:rFonts w:ascii="Times" w:hAnsi="Times"/>
      <w:b/>
      <w:bCs/>
      <w:lang w:val="en-US" w:eastAsia="en-US"/>
    </w:rPr>
  </w:style>
  <w:style w:type="paragraph" w:customStyle="1" w:styleId="Default">
    <w:name w:val="Default"/>
    <w:rsid w:val="00773000"/>
    <w:pPr>
      <w:widowControl w:val="0"/>
      <w:autoSpaceDE w:val="0"/>
      <w:autoSpaceDN w:val="0"/>
      <w:adjustRightInd w:val="0"/>
    </w:pPr>
    <w:rPr>
      <w:color w:val="000000"/>
      <w:sz w:val="24"/>
      <w:szCs w:val="24"/>
      <w:lang w:val="en-US" w:eastAsia="en-US" w:bidi="en-US"/>
    </w:rPr>
  </w:style>
  <w:style w:type="paragraph" w:customStyle="1" w:styleId="TableParagraph">
    <w:name w:val="Table Paragraph"/>
    <w:basedOn w:val="Normal"/>
    <w:uiPriority w:val="1"/>
    <w:qFormat/>
    <w:rsid w:val="005F6E81"/>
    <w:pPr>
      <w:widowControl w:val="0"/>
      <w:autoSpaceDE w:val="0"/>
      <w:autoSpaceDN w:val="0"/>
      <w:adjustRightInd w:val="0"/>
    </w:pPr>
    <w:rPr>
      <w:sz w:val="24"/>
      <w:szCs w:val="24"/>
      <w:lang w:eastAsia="en-AU" w:bidi="en-US"/>
    </w:rPr>
  </w:style>
  <w:style w:type="character" w:customStyle="1" w:styleId="Style11pt">
    <w:name w:val="Style 11 pt"/>
    <w:rsid w:val="00467969"/>
    <w:rPr>
      <w:sz w:val="22"/>
    </w:rPr>
  </w:style>
  <w:style w:type="paragraph" w:styleId="ListNumber4">
    <w:name w:val="List Number 4"/>
    <w:basedOn w:val="Normal"/>
    <w:uiPriority w:val="99"/>
    <w:rsid w:val="007A72E6"/>
    <w:pPr>
      <w:numPr>
        <w:numId w:val="18"/>
      </w:numPr>
    </w:pPr>
    <w:rPr>
      <w:rFonts w:eastAsia="Calibri"/>
      <w:sz w:val="24"/>
      <w:lang w:val="en-US"/>
    </w:rPr>
  </w:style>
  <w:style w:type="character" w:customStyle="1" w:styleId="FooterChar">
    <w:name w:val="Footer Char"/>
    <w:link w:val="Footer"/>
    <w:rsid w:val="00A54CA9"/>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0096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tga.gov.au/reporting-problems"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20</Pages>
  <Words>8073</Words>
  <Characters>45970</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PRODUCT INFORMATION</vt:lpstr>
    </vt:vector>
  </TitlesOfParts>
  <Company/>
  <LinksUpToDate>false</LinksUpToDate>
  <CharactersWithSpaces>53936</CharactersWithSpaces>
  <SharedDoc>false</SharedDoc>
  <HLinks>
    <vt:vector size="6" baseType="variant">
      <vt:variant>
        <vt:i4>5898317</vt:i4>
      </vt:variant>
      <vt:variant>
        <vt:i4>8</vt:i4>
      </vt:variant>
      <vt:variant>
        <vt:i4>0</vt:i4>
      </vt:variant>
      <vt:variant>
        <vt:i4>5</vt:i4>
      </vt:variant>
      <vt:variant>
        <vt:lpwstr>http://www.tga.gov.au/reporting-problems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Nitric oxide</dc:title>
  <dc:subject>prescription medicines</dc:subject>
  <dc:creator/>
  <cp:keywords/>
  <cp:lastPrinted>2016-10-28T06:56:00Z</cp:lastPrinted>
  <dcterms:created xsi:type="dcterms:W3CDTF">2019-12-23T21:51:00Z</dcterms:created>
  <dcterms:modified xsi:type="dcterms:W3CDTF">2019-12-23T21:54:00Z</dcterms:modified>
  <cp:category/>
</cp:coreProperties>
</file>