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tblGrid>
      <w:tr w:rsidR="008E7846" w:rsidRPr="00487162" w14:paraId="09E70053" w14:textId="77777777" w:rsidTr="00BF1190">
        <w:trPr>
          <w:trHeight w:val="1863"/>
        </w:trPr>
        <w:tc>
          <w:tcPr>
            <w:tcW w:w="3652" w:type="dxa"/>
            <w:tcBorders>
              <w:top w:val="nil"/>
              <w:left w:val="nil"/>
              <w:bottom w:val="nil"/>
              <w:right w:val="nil"/>
            </w:tcBorders>
          </w:tcPr>
          <w:p w14:paraId="4FA1B69A" w14:textId="1A2D2FB9" w:rsidR="008E7846" w:rsidRPr="00096AA7" w:rsidRDefault="00352986" w:rsidP="00352986">
            <w:pPr>
              <w:rPr>
                <w:rFonts w:ascii="Arial" w:hAnsi="Arial" w:cs="Arial"/>
                <w:b/>
                <w:color w:val="002C47"/>
                <w:sz w:val="36"/>
                <w:szCs w:val="36"/>
              </w:rPr>
            </w:pPr>
            <w:r>
              <w:rPr>
                <w:rFonts w:ascii="Arial" w:hAnsi="Arial" w:cs="Arial"/>
                <w:b/>
                <w:color w:val="002C47"/>
                <w:sz w:val="36"/>
                <w:szCs w:val="36"/>
              </w:rPr>
              <w:t xml:space="preserve">May </w:t>
            </w:r>
            <w:r w:rsidR="002A33F1">
              <w:rPr>
                <w:rFonts w:ascii="Arial" w:hAnsi="Arial" w:cs="Arial"/>
                <w:b/>
                <w:color w:val="002C47"/>
                <w:sz w:val="36"/>
                <w:szCs w:val="36"/>
              </w:rPr>
              <w:t>2017</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A964D1" w14:paraId="7FD1E96A" w14:textId="77777777" w:rsidTr="0032583B">
        <w:trPr>
          <w:trHeight w:val="868"/>
        </w:trPr>
        <w:tc>
          <w:tcPr>
            <w:tcW w:w="9079" w:type="dxa"/>
          </w:tcPr>
          <w:p w14:paraId="7E04237A" w14:textId="1CF3E7B0" w:rsidR="0032583B" w:rsidRPr="00A964D1" w:rsidRDefault="0032583B" w:rsidP="002A33F1">
            <w:pPr>
              <w:pStyle w:val="Title"/>
              <w:rPr>
                <w:color w:val="FFFFFF" w:themeColor="background1"/>
              </w:rPr>
            </w:pPr>
            <w:r w:rsidRPr="00A964D1">
              <w:rPr>
                <w:color w:val="FFFFFF" w:themeColor="background1"/>
              </w:rPr>
              <w:t xml:space="preserve">Australian Public Assessment Report for </w:t>
            </w:r>
            <w:r w:rsidR="00820A98">
              <w:rPr>
                <w:color w:val="FFFFFF" w:themeColor="background1"/>
              </w:rPr>
              <w:t>Nitric o</w:t>
            </w:r>
            <w:bookmarkStart w:id="0" w:name="_GoBack"/>
            <w:bookmarkEnd w:id="0"/>
            <w:r w:rsidR="002A33F1">
              <w:rPr>
                <w:color w:val="FFFFFF" w:themeColor="background1"/>
              </w:rPr>
              <w:t>xide</w:t>
            </w:r>
          </w:p>
        </w:tc>
      </w:tr>
      <w:tr w:rsidR="0032583B" w:rsidRPr="00B64760" w14:paraId="6B321569" w14:textId="77777777" w:rsidTr="0032583B">
        <w:tc>
          <w:tcPr>
            <w:tcW w:w="9079" w:type="dxa"/>
          </w:tcPr>
          <w:p w14:paraId="32F48F81" w14:textId="77777777" w:rsidR="0032583B" w:rsidRPr="008E7846" w:rsidRDefault="0032583B" w:rsidP="002A33F1">
            <w:pPr>
              <w:pStyle w:val="Subtitle"/>
              <w:rPr>
                <w:color w:val="FFFFFF" w:themeColor="background1"/>
              </w:rPr>
            </w:pPr>
            <w:r w:rsidRPr="008E7846">
              <w:rPr>
                <w:color w:val="FFFFFF" w:themeColor="background1"/>
              </w:rPr>
              <w:t xml:space="preserve">Proprietary Product Name: </w:t>
            </w:r>
            <w:r w:rsidR="002A33F1">
              <w:rPr>
                <w:color w:val="FFFFFF" w:themeColor="background1"/>
              </w:rPr>
              <w:t>INOmax</w:t>
            </w:r>
            <w:r w:rsidRPr="008E7846">
              <w:rPr>
                <w:color w:val="FFFFFF" w:themeColor="background1"/>
              </w:rPr>
              <w:t xml:space="preserve"> </w:t>
            </w:r>
          </w:p>
        </w:tc>
      </w:tr>
      <w:tr w:rsidR="0032583B" w:rsidRPr="00B64760" w14:paraId="07431149" w14:textId="77777777" w:rsidTr="0032583B">
        <w:trPr>
          <w:trHeight w:val="486"/>
        </w:trPr>
        <w:tc>
          <w:tcPr>
            <w:tcW w:w="9079" w:type="dxa"/>
          </w:tcPr>
          <w:p w14:paraId="7B6C5D45" w14:textId="77777777" w:rsidR="0032583B" w:rsidRPr="008E7846" w:rsidRDefault="000B5B6A" w:rsidP="002A33F1">
            <w:pPr>
              <w:pStyle w:val="Subtitle"/>
              <w:rPr>
                <w:color w:val="FFFFFF" w:themeColor="background1"/>
              </w:rPr>
            </w:pPr>
            <w:r>
              <w:rPr>
                <w:color w:val="FFFFFF" w:themeColor="background1"/>
              </w:rPr>
              <w:t>Sponsor</w:t>
            </w:r>
            <w:r w:rsidR="0032583B" w:rsidRPr="008E7846">
              <w:rPr>
                <w:color w:val="FFFFFF" w:themeColor="background1"/>
              </w:rPr>
              <w:t xml:space="preserve">: </w:t>
            </w:r>
            <w:r w:rsidR="002A33F1">
              <w:rPr>
                <w:color w:val="FFFFFF" w:themeColor="background1"/>
              </w:rPr>
              <w:t>Ikaria Australia Pty Ltd</w:t>
            </w:r>
            <w:r w:rsidR="0032583B" w:rsidRPr="008E7846">
              <w:rPr>
                <w:color w:val="FFFFFF" w:themeColor="background1"/>
              </w:rPr>
              <w:t xml:space="preserve"> </w:t>
            </w:r>
          </w:p>
        </w:tc>
      </w:tr>
    </w:tbl>
    <w:p w14:paraId="32FAE2AE" w14:textId="77777777" w:rsidR="008E7846" w:rsidRPr="0085156D" w:rsidRDefault="008E7846" w:rsidP="0085156D">
      <w:r w:rsidRPr="0085156D">
        <w:br w:type="page"/>
      </w:r>
    </w:p>
    <w:p w14:paraId="5DD6F9C9" w14:textId="77777777" w:rsidR="008E7846" w:rsidRPr="001F6CBA" w:rsidRDefault="008E7846" w:rsidP="008E7846">
      <w:pPr>
        <w:pStyle w:val="NonTOCHeading2"/>
      </w:pPr>
      <w:r w:rsidRPr="001F6CBA">
        <w:lastRenderedPageBreak/>
        <w:t>About the Therapeutic Goods Administration (TGA)</w:t>
      </w:r>
    </w:p>
    <w:p w14:paraId="1B39864A" w14:textId="77777777" w:rsidR="008E7846" w:rsidRDefault="008E7846" w:rsidP="00633576">
      <w:pPr>
        <w:pStyle w:val="ListBullet"/>
        <w:numPr>
          <w:ilvl w:val="0"/>
          <w:numId w:val="1"/>
        </w:numPr>
        <w:ind w:left="357" w:hanging="357"/>
      </w:pPr>
      <w:r>
        <w:t xml:space="preserve">The Therapeutic Goods Administration (TGA) is </w:t>
      </w:r>
      <w:r w:rsidR="00E624A5">
        <w:t xml:space="preserve">part </w:t>
      </w:r>
      <w:r>
        <w:t>of the Australian Government Department of Health and is responsible for regulating medicines and medical devices.</w:t>
      </w:r>
    </w:p>
    <w:p w14:paraId="08E17870" w14:textId="77777777" w:rsidR="008E7846" w:rsidRDefault="00C80137" w:rsidP="00633576">
      <w:pPr>
        <w:pStyle w:val="ListBullet"/>
        <w:numPr>
          <w:ilvl w:val="0"/>
          <w:numId w:val="1"/>
        </w:numPr>
        <w:ind w:left="357" w:hanging="357"/>
      </w:pPr>
      <w:r>
        <w:t xml:space="preserve">The </w:t>
      </w:r>
      <w:r w:rsidR="008E7846">
        <w:t xml:space="preserve">TGA administers the </w:t>
      </w:r>
      <w:r w:rsidR="008E7846" w:rsidRPr="00F640B6">
        <w:rPr>
          <w:i/>
        </w:rPr>
        <w:t>Therapeutic Goods Act 1989</w:t>
      </w:r>
      <w:r w:rsidR="00785717">
        <w:rPr>
          <w:i/>
        </w:rPr>
        <w:t xml:space="preserve"> </w:t>
      </w:r>
      <w:r w:rsidR="00785717" w:rsidRPr="00785717">
        <w:t>(the Act)</w:t>
      </w:r>
      <w:r w:rsidR="008E7846" w:rsidRPr="00785717">
        <w:t>,</w:t>
      </w:r>
      <w:r w:rsidR="008E7846">
        <w:t xml:space="preserve"> applying a risk management approach designed to ensure therapeutic goods supplied in Australia meet acceptable standards of quality, safety and efficacy (performance) when necessary.</w:t>
      </w:r>
    </w:p>
    <w:p w14:paraId="4CD612F7" w14:textId="77777777" w:rsidR="008E7846" w:rsidRDefault="008E7846" w:rsidP="00633576">
      <w:pPr>
        <w:pStyle w:val="ListBullet"/>
        <w:numPr>
          <w:ilvl w:val="0"/>
          <w:numId w:val="1"/>
        </w:numPr>
        <w:ind w:left="357" w:hanging="357"/>
      </w:pPr>
      <w:r>
        <w:t>The work of the TGA is based on applying scientific and clinical expertise to decision-making, to ensure that the benefits to consumers outweigh any risks associated with the use of medicines and medical devices.</w:t>
      </w:r>
    </w:p>
    <w:p w14:paraId="4BA26300" w14:textId="77777777" w:rsidR="008E7846" w:rsidRDefault="008E7846" w:rsidP="00633576">
      <w:pPr>
        <w:pStyle w:val="ListBullet"/>
        <w:numPr>
          <w:ilvl w:val="0"/>
          <w:numId w:val="1"/>
        </w:numPr>
        <w:ind w:left="357" w:hanging="357"/>
      </w:pPr>
      <w:r>
        <w:t>The TGA relies on the public, healthcare professionals and industry to report problems with medicines or medical devices. TGA investigates reports received by it to determine any necessary regulatory action.</w:t>
      </w:r>
    </w:p>
    <w:p w14:paraId="2FBCC59A" w14:textId="77777777" w:rsidR="00441C3F" w:rsidRDefault="008E7846" w:rsidP="00633576">
      <w:pPr>
        <w:pStyle w:val="ListBullet"/>
        <w:numPr>
          <w:ilvl w:val="0"/>
          <w:numId w:val="1"/>
        </w:numPr>
        <w:ind w:left="357" w:hanging="357"/>
      </w:pPr>
      <w:r>
        <w:t xml:space="preserve">To report a problem with a medicine or medical device, please see the information on </w:t>
      </w:r>
      <w:r w:rsidR="00441C3F">
        <w:t>the TGA website &lt;</w:t>
      </w:r>
      <w:hyperlink r:id="rId9" w:history="1">
        <w:r w:rsidR="00441C3F">
          <w:rPr>
            <w:rStyle w:val="Hyperlink"/>
          </w:rPr>
          <w:t>https://www.tga.gov.au</w:t>
        </w:r>
      </w:hyperlink>
      <w:r w:rsidR="00441C3F">
        <w:t>&gt;.</w:t>
      </w:r>
    </w:p>
    <w:p w14:paraId="77F56D2C" w14:textId="77777777" w:rsidR="008E7846" w:rsidRDefault="008E7846" w:rsidP="00875A6B">
      <w:pPr>
        <w:pStyle w:val="NonTOCHeading2"/>
      </w:pPr>
      <w:r>
        <w:t xml:space="preserve">About </w:t>
      </w:r>
      <w:proofErr w:type="spellStart"/>
      <w:r>
        <w:t>AusPARs</w:t>
      </w:r>
      <w:proofErr w:type="spellEnd"/>
    </w:p>
    <w:p w14:paraId="1D6A3516" w14:textId="77777777" w:rsidR="008E7846" w:rsidRDefault="008E7846" w:rsidP="00633576">
      <w:pPr>
        <w:pStyle w:val="ListBullet"/>
        <w:numPr>
          <w:ilvl w:val="0"/>
          <w:numId w:val="1"/>
        </w:numPr>
        <w:ind w:left="357" w:hanging="357"/>
      </w:pPr>
      <w:r>
        <w:t>An Australian Public Assessment Re</w:t>
      </w:r>
      <w:r w:rsidR="00133A1B">
        <w:t>port</w:t>
      </w:r>
      <w:r>
        <w:t xml:space="preserve"> (AusPAR) provides information about the evaluation of a prescription medicine and the considerations that led the TGA to approve or not approve a pr</w:t>
      </w:r>
      <w:r w:rsidR="00441C3F">
        <w:t>escription medicine submission.</w:t>
      </w:r>
    </w:p>
    <w:p w14:paraId="0E834976" w14:textId="77777777" w:rsidR="008E7846" w:rsidRDefault="008E7846" w:rsidP="00633576">
      <w:pPr>
        <w:pStyle w:val="ListBullet"/>
        <w:numPr>
          <w:ilvl w:val="0"/>
          <w:numId w:val="1"/>
        </w:numPr>
        <w:ind w:left="357" w:hanging="357"/>
      </w:pPr>
      <w:proofErr w:type="spellStart"/>
      <w:r>
        <w:t>AusPARs</w:t>
      </w:r>
      <w:proofErr w:type="spellEnd"/>
      <w:r>
        <w:t xml:space="preserve"> are prepared and published by the TGA.</w:t>
      </w:r>
    </w:p>
    <w:p w14:paraId="5DA5FDBF" w14:textId="77777777" w:rsidR="008E7846" w:rsidRDefault="008E7846" w:rsidP="00633576">
      <w:pPr>
        <w:pStyle w:val="ListBullet"/>
        <w:numPr>
          <w:ilvl w:val="0"/>
          <w:numId w:val="1"/>
        </w:numPr>
        <w:ind w:left="357" w:hanging="357"/>
      </w:pPr>
      <w:r>
        <w:t>An AusPAR is prepared for submissions that relate to new chemical entities, generic medicines, major variations and extensions of indications.</w:t>
      </w:r>
    </w:p>
    <w:p w14:paraId="440465F9" w14:textId="77777777" w:rsidR="008E7846" w:rsidRDefault="008E7846" w:rsidP="00633576">
      <w:pPr>
        <w:pStyle w:val="ListBullet"/>
        <w:numPr>
          <w:ilvl w:val="0"/>
          <w:numId w:val="1"/>
        </w:numPr>
        <w:ind w:left="357" w:hanging="357"/>
      </w:pPr>
      <w:r>
        <w:t>An AusPAR is a static document</w:t>
      </w:r>
      <w:r w:rsidR="00133A1B">
        <w:t>;</w:t>
      </w:r>
      <w:r>
        <w:t xml:space="preserve"> it provide</w:t>
      </w:r>
      <w:r w:rsidR="00133A1B">
        <w:t>s</w:t>
      </w:r>
      <w:r>
        <w:t xml:space="preserve"> information that relates to a submission at a particular point in time.</w:t>
      </w:r>
    </w:p>
    <w:p w14:paraId="77C8D646" w14:textId="77777777" w:rsidR="00B452CE" w:rsidRDefault="008E7846" w:rsidP="00633576">
      <w:pPr>
        <w:pStyle w:val="ListBullet"/>
        <w:numPr>
          <w:ilvl w:val="0"/>
          <w:numId w:val="1"/>
        </w:numPr>
        <w:ind w:left="357" w:hanging="357"/>
      </w:pPr>
      <w:r>
        <w:t>A new AusPAR will be developed to reflect changes to indications and/or major variations to a prescription medicine subject to evaluation by the TGA.</w:t>
      </w:r>
    </w:p>
    <w:p w14:paraId="6ED12CF2" w14:textId="77777777" w:rsidR="00924482" w:rsidRPr="00DF1D7F" w:rsidRDefault="00924482" w:rsidP="00F54B65">
      <w:pPr>
        <w:pStyle w:val="LegalSubheading"/>
        <w:spacing w:before="3120"/>
      </w:pPr>
      <w:r w:rsidRPr="00DF1D7F">
        <w:t>Copyright</w:t>
      </w:r>
    </w:p>
    <w:p w14:paraId="69B620F2" w14:textId="77777777" w:rsidR="00924482" w:rsidRDefault="00924482" w:rsidP="00924482">
      <w:pPr>
        <w:pStyle w:val="LegalCopy"/>
      </w:pPr>
      <w:r w:rsidRPr="00191B3B">
        <w:rPr>
          <w:rFonts w:cs="Arial"/>
          <w:lang w:val="en-GB"/>
        </w:rPr>
        <w:t>© Comm</w:t>
      </w:r>
      <w:r>
        <w:rPr>
          <w:rFonts w:cs="Arial"/>
          <w:lang w:val="en-GB"/>
        </w:rPr>
        <w:t>onwealth of Australia 201</w:t>
      </w:r>
      <w:r w:rsidR="007801FA">
        <w:rPr>
          <w:rFonts w:cs="Arial"/>
          <w:lang w:val="en-GB"/>
        </w:rPr>
        <w:t>7</w:t>
      </w:r>
      <w:r w:rsidRPr="00191B3B">
        <w:rPr>
          <w:rFonts w:cs="Arial"/>
          <w:lang w:val="en-GB"/>
        </w:rPr>
        <w:br/>
      </w:r>
      <w:proofErr w:type="gramStart"/>
      <w:r w:rsidRPr="00191B3B">
        <w:rPr>
          <w:rFonts w:cs="Arial"/>
          <w:lang w:val="en-GB"/>
        </w:rPr>
        <w:t>This</w:t>
      </w:r>
      <w:proofErr w:type="gramEnd"/>
      <w:r w:rsidRPr="00191B3B">
        <w:rPr>
          <w:rFonts w:cs="Arial"/>
          <w:lang w:val="en-GB"/>
        </w:rPr>
        <w:t xml:space="preserve">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t>
      </w:r>
      <w:proofErr w:type="spellStart"/>
      <w:r w:rsidRPr="00191B3B">
        <w:rPr>
          <w:rFonts w:cs="Arial"/>
          <w:lang w:val="en-GB"/>
        </w:rPr>
        <w:t>Woden</w:t>
      </w:r>
      <w:proofErr w:type="spellEnd"/>
      <w:r w:rsidRPr="00191B3B">
        <w:rPr>
          <w:rFonts w:cs="Arial"/>
          <w:lang w:val="en-GB"/>
        </w:rPr>
        <w:t xml:space="preserve"> ACT 2606 or emailed to &lt;</w:t>
      </w:r>
      <w:hyperlink r:id="rId10" w:history="1">
        <w:r w:rsidRPr="00191B3B">
          <w:rPr>
            <w:rStyle w:val="Hyperlink"/>
            <w:rFonts w:cs="Arial"/>
            <w:lang w:val="en-GB"/>
          </w:rPr>
          <w:t>tga.copyright@tga.gov.au</w:t>
        </w:r>
      </w:hyperlink>
      <w:r w:rsidRPr="00191B3B">
        <w:rPr>
          <w:rFonts w:cs="Arial"/>
        </w:rPr>
        <w:t>&gt;.</w:t>
      </w:r>
    </w:p>
    <w:p w14:paraId="0B1AC673" w14:textId="77777777" w:rsidR="00924482" w:rsidRDefault="00924482" w:rsidP="00924482">
      <w:pPr>
        <w:pStyle w:val="LegalCopy"/>
        <w:sectPr w:rsidR="00924482" w:rsidSect="003D1E62">
          <w:headerReference w:type="default" r:id="rId11"/>
          <w:footerReference w:type="default" r:id="rId12"/>
          <w:headerReference w:type="first" r:id="rId13"/>
          <w:pgSz w:w="11906" w:h="16838" w:code="9"/>
          <w:pgMar w:top="426" w:right="1701" w:bottom="0" w:left="1701" w:header="907" w:footer="142" w:gutter="0"/>
          <w:pgNumType w:fmt="lowerRoman" w:start="1"/>
          <w:cols w:space="708"/>
          <w:titlePg/>
          <w:docGrid w:linePitch="360"/>
        </w:sectPr>
      </w:pPr>
    </w:p>
    <w:bookmarkStart w:id="1" w:name="_Toc247691501" w:displacedByCustomXml="next"/>
    <w:bookmarkStart w:id="2"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14:paraId="1D3BD7C9" w14:textId="77777777" w:rsidR="0089635C" w:rsidRPr="0089635C" w:rsidRDefault="0089635C" w:rsidP="0010788A">
          <w:pPr>
            <w:pStyle w:val="Contents"/>
          </w:pPr>
          <w:r w:rsidRPr="0010788A">
            <w:t>Contents</w:t>
          </w:r>
        </w:p>
        <w:p w14:paraId="2D773BEF" w14:textId="77777777" w:rsidR="00D026F6" w:rsidRDefault="00DB6124">
          <w:pPr>
            <w:pStyle w:val="TOC2"/>
            <w:rPr>
              <w:rFonts w:asciiTheme="minorHAnsi" w:eastAsiaTheme="minorEastAsia" w:hAnsiTheme="minorHAnsi" w:cstheme="minorBidi"/>
              <w:b w:val="0"/>
              <w:noProof/>
              <w:sz w:val="22"/>
              <w:lang w:eastAsia="en-AU"/>
            </w:rPr>
          </w:pPr>
          <w:r>
            <w:fldChar w:fldCharType="begin"/>
          </w:r>
          <w:r w:rsidR="0089635C">
            <w:instrText xml:space="preserve"> TOC \o "1-3" \h \z \u </w:instrText>
          </w:r>
          <w:r>
            <w:fldChar w:fldCharType="separate"/>
          </w:r>
          <w:hyperlink w:anchor="_Toc483899401" w:history="1">
            <w:r w:rsidR="00D026F6" w:rsidRPr="00605795">
              <w:rPr>
                <w:rStyle w:val="Hyperlink"/>
                <w:noProof/>
              </w:rPr>
              <w:t>Common abbreviations</w:t>
            </w:r>
            <w:r w:rsidR="00D026F6">
              <w:rPr>
                <w:noProof/>
                <w:webHidden/>
              </w:rPr>
              <w:tab/>
            </w:r>
            <w:r w:rsidR="00D026F6">
              <w:rPr>
                <w:noProof/>
                <w:webHidden/>
              </w:rPr>
              <w:fldChar w:fldCharType="begin"/>
            </w:r>
            <w:r w:rsidR="00D026F6">
              <w:rPr>
                <w:noProof/>
                <w:webHidden/>
              </w:rPr>
              <w:instrText xml:space="preserve"> PAGEREF _Toc483899401 \h </w:instrText>
            </w:r>
            <w:r w:rsidR="00D026F6">
              <w:rPr>
                <w:noProof/>
                <w:webHidden/>
              </w:rPr>
            </w:r>
            <w:r w:rsidR="00D026F6">
              <w:rPr>
                <w:noProof/>
                <w:webHidden/>
              </w:rPr>
              <w:fldChar w:fldCharType="separate"/>
            </w:r>
            <w:r w:rsidR="00D026F6">
              <w:rPr>
                <w:noProof/>
                <w:webHidden/>
              </w:rPr>
              <w:t>4</w:t>
            </w:r>
            <w:r w:rsidR="00D026F6">
              <w:rPr>
                <w:noProof/>
                <w:webHidden/>
              </w:rPr>
              <w:fldChar w:fldCharType="end"/>
            </w:r>
          </w:hyperlink>
        </w:p>
        <w:p w14:paraId="524310E5" w14:textId="77777777" w:rsidR="00D026F6" w:rsidRDefault="00820A98">
          <w:pPr>
            <w:pStyle w:val="TOC2"/>
            <w:rPr>
              <w:rFonts w:asciiTheme="minorHAnsi" w:eastAsiaTheme="minorEastAsia" w:hAnsiTheme="minorHAnsi" w:cstheme="minorBidi"/>
              <w:b w:val="0"/>
              <w:noProof/>
              <w:sz w:val="22"/>
              <w:lang w:eastAsia="en-AU"/>
            </w:rPr>
          </w:pPr>
          <w:hyperlink w:anchor="_Toc483899402" w:history="1">
            <w:r w:rsidR="00D026F6" w:rsidRPr="00605795">
              <w:rPr>
                <w:rStyle w:val="Hyperlink"/>
                <w:noProof/>
              </w:rPr>
              <w:t>I. Introduction to product submission</w:t>
            </w:r>
            <w:r w:rsidR="00D026F6">
              <w:rPr>
                <w:noProof/>
                <w:webHidden/>
              </w:rPr>
              <w:tab/>
            </w:r>
            <w:r w:rsidR="00D026F6">
              <w:rPr>
                <w:noProof/>
                <w:webHidden/>
              </w:rPr>
              <w:fldChar w:fldCharType="begin"/>
            </w:r>
            <w:r w:rsidR="00D026F6">
              <w:rPr>
                <w:noProof/>
                <w:webHidden/>
              </w:rPr>
              <w:instrText xml:space="preserve"> PAGEREF _Toc483899402 \h </w:instrText>
            </w:r>
            <w:r w:rsidR="00D026F6">
              <w:rPr>
                <w:noProof/>
                <w:webHidden/>
              </w:rPr>
            </w:r>
            <w:r w:rsidR="00D026F6">
              <w:rPr>
                <w:noProof/>
                <w:webHidden/>
              </w:rPr>
              <w:fldChar w:fldCharType="separate"/>
            </w:r>
            <w:r w:rsidR="00D026F6">
              <w:rPr>
                <w:noProof/>
                <w:webHidden/>
              </w:rPr>
              <w:t>7</w:t>
            </w:r>
            <w:r w:rsidR="00D026F6">
              <w:rPr>
                <w:noProof/>
                <w:webHidden/>
              </w:rPr>
              <w:fldChar w:fldCharType="end"/>
            </w:r>
          </w:hyperlink>
        </w:p>
        <w:p w14:paraId="71EC0F8F" w14:textId="77777777" w:rsidR="00D026F6" w:rsidRDefault="00820A98">
          <w:pPr>
            <w:pStyle w:val="TOC3"/>
            <w:rPr>
              <w:rFonts w:asciiTheme="minorHAnsi" w:eastAsiaTheme="minorEastAsia" w:hAnsiTheme="minorHAnsi" w:cstheme="minorBidi"/>
              <w:noProof/>
              <w:lang w:eastAsia="en-AU"/>
            </w:rPr>
          </w:pPr>
          <w:hyperlink w:anchor="_Toc483899403" w:history="1">
            <w:r w:rsidR="00D026F6" w:rsidRPr="00605795">
              <w:rPr>
                <w:rStyle w:val="Hyperlink"/>
                <w:noProof/>
                <w:lang w:eastAsia="en-AU"/>
              </w:rPr>
              <w:t>Submission details</w:t>
            </w:r>
            <w:r w:rsidR="00D026F6">
              <w:rPr>
                <w:noProof/>
                <w:webHidden/>
              </w:rPr>
              <w:tab/>
            </w:r>
            <w:r w:rsidR="00D026F6">
              <w:rPr>
                <w:noProof/>
                <w:webHidden/>
              </w:rPr>
              <w:fldChar w:fldCharType="begin"/>
            </w:r>
            <w:r w:rsidR="00D026F6">
              <w:rPr>
                <w:noProof/>
                <w:webHidden/>
              </w:rPr>
              <w:instrText xml:space="preserve"> PAGEREF _Toc483899403 \h </w:instrText>
            </w:r>
            <w:r w:rsidR="00D026F6">
              <w:rPr>
                <w:noProof/>
                <w:webHidden/>
              </w:rPr>
            </w:r>
            <w:r w:rsidR="00D026F6">
              <w:rPr>
                <w:noProof/>
                <w:webHidden/>
              </w:rPr>
              <w:fldChar w:fldCharType="separate"/>
            </w:r>
            <w:r w:rsidR="00D026F6">
              <w:rPr>
                <w:noProof/>
                <w:webHidden/>
              </w:rPr>
              <w:t>7</w:t>
            </w:r>
            <w:r w:rsidR="00D026F6">
              <w:rPr>
                <w:noProof/>
                <w:webHidden/>
              </w:rPr>
              <w:fldChar w:fldCharType="end"/>
            </w:r>
          </w:hyperlink>
        </w:p>
        <w:p w14:paraId="081DD026" w14:textId="77777777" w:rsidR="00D026F6" w:rsidRDefault="00820A98">
          <w:pPr>
            <w:pStyle w:val="TOC3"/>
            <w:rPr>
              <w:rFonts w:asciiTheme="minorHAnsi" w:eastAsiaTheme="minorEastAsia" w:hAnsiTheme="minorHAnsi" w:cstheme="minorBidi"/>
              <w:noProof/>
              <w:lang w:eastAsia="en-AU"/>
            </w:rPr>
          </w:pPr>
          <w:hyperlink w:anchor="_Toc483899404" w:history="1">
            <w:r w:rsidR="00D026F6" w:rsidRPr="00605795">
              <w:rPr>
                <w:rStyle w:val="Hyperlink"/>
                <w:noProof/>
              </w:rPr>
              <w:t>Product background</w:t>
            </w:r>
            <w:r w:rsidR="00D026F6">
              <w:rPr>
                <w:noProof/>
                <w:webHidden/>
              </w:rPr>
              <w:tab/>
            </w:r>
            <w:r w:rsidR="00D026F6">
              <w:rPr>
                <w:noProof/>
                <w:webHidden/>
              </w:rPr>
              <w:fldChar w:fldCharType="begin"/>
            </w:r>
            <w:r w:rsidR="00D026F6">
              <w:rPr>
                <w:noProof/>
                <w:webHidden/>
              </w:rPr>
              <w:instrText xml:space="preserve"> PAGEREF _Toc483899404 \h </w:instrText>
            </w:r>
            <w:r w:rsidR="00D026F6">
              <w:rPr>
                <w:noProof/>
                <w:webHidden/>
              </w:rPr>
            </w:r>
            <w:r w:rsidR="00D026F6">
              <w:rPr>
                <w:noProof/>
                <w:webHidden/>
              </w:rPr>
              <w:fldChar w:fldCharType="separate"/>
            </w:r>
            <w:r w:rsidR="00D026F6">
              <w:rPr>
                <w:noProof/>
                <w:webHidden/>
              </w:rPr>
              <w:t>7</w:t>
            </w:r>
            <w:r w:rsidR="00D026F6">
              <w:rPr>
                <w:noProof/>
                <w:webHidden/>
              </w:rPr>
              <w:fldChar w:fldCharType="end"/>
            </w:r>
          </w:hyperlink>
        </w:p>
        <w:p w14:paraId="7AC6E432" w14:textId="77777777" w:rsidR="00D026F6" w:rsidRDefault="00820A98">
          <w:pPr>
            <w:pStyle w:val="TOC3"/>
            <w:rPr>
              <w:rFonts w:asciiTheme="minorHAnsi" w:eastAsiaTheme="minorEastAsia" w:hAnsiTheme="minorHAnsi" w:cstheme="minorBidi"/>
              <w:noProof/>
              <w:lang w:eastAsia="en-AU"/>
            </w:rPr>
          </w:pPr>
          <w:hyperlink w:anchor="_Toc483899405" w:history="1">
            <w:r w:rsidR="00D026F6" w:rsidRPr="00605795">
              <w:rPr>
                <w:rStyle w:val="Hyperlink"/>
                <w:noProof/>
              </w:rPr>
              <w:t>Regulatory status</w:t>
            </w:r>
            <w:r w:rsidR="00D026F6">
              <w:rPr>
                <w:noProof/>
                <w:webHidden/>
              </w:rPr>
              <w:tab/>
            </w:r>
            <w:r w:rsidR="00D026F6">
              <w:rPr>
                <w:noProof/>
                <w:webHidden/>
              </w:rPr>
              <w:fldChar w:fldCharType="begin"/>
            </w:r>
            <w:r w:rsidR="00D026F6">
              <w:rPr>
                <w:noProof/>
                <w:webHidden/>
              </w:rPr>
              <w:instrText xml:space="preserve"> PAGEREF _Toc483899405 \h </w:instrText>
            </w:r>
            <w:r w:rsidR="00D026F6">
              <w:rPr>
                <w:noProof/>
                <w:webHidden/>
              </w:rPr>
            </w:r>
            <w:r w:rsidR="00D026F6">
              <w:rPr>
                <w:noProof/>
                <w:webHidden/>
              </w:rPr>
              <w:fldChar w:fldCharType="separate"/>
            </w:r>
            <w:r w:rsidR="00D026F6">
              <w:rPr>
                <w:noProof/>
                <w:webHidden/>
              </w:rPr>
              <w:t>8</w:t>
            </w:r>
            <w:r w:rsidR="00D026F6">
              <w:rPr>
                <w:noProof/>
                <w:webHidden/>
              </w:rPr>
              <w:fldChar w:fldCharType="end"/>
            </w:r>
          </w:hyperlink>
        </w:p>
        <w:p w14:paraId="3B2D3A51" w14:textId="77777777" w:rsidR="00D026F6" w:rsidRDefault="00820A98">
          <w:pPr>
            <w:pStyle w:val="TOC3"/>
            <w:rPr>
              <w:rFonts w:asciiTheme="minorHAnsi" w:eastAsiaTheme="minorEastAsia" w:hAnsiTheme="minorHAnsi" w:cstheme="minorBidi"/>
              <w:noProof/>
              <w:lang w:eastAsia="en-AU"/>
            </w:rPr>
          </w:pPr>
          <w:hyperlink w:anchor="_Toc483899406" w:history="1">
            <w:r w:rsidR="00D026F6" w:rsidRPr="00605795">
              <w:rPr>
                <w:rStyle w:val="Hyperlink"/>
                <w:noProof/>
              </w:rPr>
              <w:t>Product information</w:t>
            </w:r>
            <w:r w:rsidR="00D026F6">
              <w:rPr>
                <w:noProof/>
                <w:webHidden/>
              </w:rPr>
              <w:tab/>
            </w:r>
            <w:r w:rsidR="00D026F6">
              <w:rPr>
                <w:noProof/>
                <w:webHidden/>
              </w:rPr>
              <w:fldChar w:fldCharType="begin"/>
            </w:r>
            <w:r w:rsidR="00D026F6">
              <w:rPr>
                <w:noProof/>
                <w:webHidden/>
              </w:rPr>
              <w:instrText xml:space="preserve"> PAGEREF _Toc483899406 \h </w:instrText>
            </w:r>
            <w:r w:rsidR="00D026F6">
              <w:rPr>
                <w:noProof/>
                <w:webHidden/>
              </w:rPr>
            </w:r>
            <w:r w:rsidR="00D026F6">
              <w:rPr>
                <w:noProof/>
                <w:webHidden/>
              </w:rPr>
              <w:fldChar w:fldCharType="separate"/>
            </w:r>
            <w:r w:rsidR="00D026F6">
              <w:rPr>
                <w:noProof/>
                <w:webHidden/>
              </w:rPr>
              <w:t>9</w:t>
            </w:r>
            <w:r w:rsidR="00D026F6">
              <w:rPr>
                <w:noProof/>
                <w:webHidden/>
              </w:rPr>
              <w:fldChar w:fldCharType="end"/>
            </w:r>
          </w:hyperlink>
        </w:p>
        <w:p w14:paraId="5122FB55" w14:textId="77777777" w:rsidR="00D026F6" w:rsidRDefault="00820A98">
          <w:pPr>
            <w:pStyle w:val="TOC2"/>
            <w:rPr>
              <w:rFonts w:asciiTheme="minorHAnsi" w:eastAsiaTheme="minorEastAsia" w:hAnsiTheme="minorHAnsi" w:cstheme="minorBidi"/>
              <w:b w:val="0"/>
              <w:noProof/>
              <w:sz w:val="22"/>
              <w:lang w:eastAsia="en-AU"/>
            </w:rPr>
          </w:pPr>
          <w:hyperlink w:anchor="_Toc483899407" w:history="1">
            <w:r w:rsidR="00D026F6" w:rsidRPr="00605795">
              <w:rPr>
                <w:rStyle w:val="Hyperlink"/>
                <w:noProof/>
              </w:rPr>
              <w:t>II. Quality findings</w:t>
            </w:r>
            <w:r w:rsidR="00D026F6">
              <w:rPr>
                <w:noProof/>
                <w:webHidden/>
              </w:rPr>
              <w:tab/>
            </w:r>
            <w:r w:rsidR="00D026F6">
              <w:rPr>
                <w:noProof/>
                <w:webHidden/>
              </w:rPr>
              <w:fldChar w:fldCharType="begin"/>
            </w:r>
            <w:r w:rsidR="00D026F6">
              <w:rPr>
                <w:noProof/>
                <w:webHidden/>
              </w:rPr>
              <w:instrText xml:space="preserve"> PAGEREF _Toc483899407 \h </w:instrText>
            </w:r>
            <w:r w:rsidR="00D026F6">
              <w:rPr>
                <w:noProof/>
                <w:webHidden/>
              </w:rPr>
            </w:r>
            <w:r w:rsidR="00D026F6">
              <w:rPr>
                <w:noProof/>
                <w:webHidden/>
              </w:rPr>
              <w:fldChar w:fldCharType="separate"/>
            </w:r>
            <w:r w:rsidR="00D026F6">
              <w:rPr>
                <w:noProof/>
                <w:webHidden/>
              </w:rPr>
              <w:t>9</w:t>
            </w:r>
            <w:r w:rsidR="00D026F6">
              <w:rPr>
                <w:noProof/>
                <w:webHidden/>
              </w:rPr>
              <w:fldChar w:fldCharType="end"/>
            </w:r>
          </w:hyperlink>
        </w:p>
        <w:p w14:paraId="4610D7C7" w14:textId="77777777" w:rsidR="00D026F6" w:rsidRDefault="00820A98">
          <w:pPr>
            <w:pStyle w:val="TOC2"/>
            <w:rPr>
              <w:rFonts w:asciiTheme="minorHAnsi" w:eastAsiaTheme="minorEastAsia" w:hAnsiTheme="minorHAnsi" w:cstheme="minorBidi"/>
              <w:b w:val="0"/>
              <w:noProof/>
              <w:sz w:val="22"/>
              <w:lang w:eastAsia="en-AU"/>
            </w:rPr>
          </w:pPr>
          <w:hyperlink w:anchor="_Toc483899408" w:history="1">
            <w:r w:rsidR="00D026F6" w:rsidRPr="00605795">
              <w:rPr>
                <w:rStyle w:val="Hyperlink"/>
                <w:noProof/>
              </w:rPr>
              <w:t>III. Nonclinical findings</w:t>
            </w:r>
            <w:r w:rsidR="00D026F6">
              <w:rPr>
                <w:noProof/>
                <w:webHidden/>
              </w:rPr>
              <w:tab/>
            </w:r>
            <w:r w:rsidR="00D026F6">
              <w:rPr>
                <w:noProof/>
                <w:webHidden/>
              </w:rPr>
              <w:fldChar w:fldCharType="begin"/>
            </w:r>
            <w:r w:rsidR="00D026F6">
              <w:rPr>
                <w:noProof/>
                <w:webHidden/>
              </w:rPr>
              <w:instrText xml:space="preserve"> PAGEREF _Toc483899408 \h </w:instrText>
            </w:r>
            <w:r w:rsidR="00D026F6">
              <w:rPr>
                <w:noProof/>
                <w:webHidden/>
              </w:rPr>
            </w:r>
            <w:r w:rsidR="00D026F6">
              <w:rPr>
                <w:noProof/>
                <w:webHidden/>
              </w:rPr>
              <w:fldChar w:fldCharType="separate"/>
            </w:r>
            <w:r w:rsidR="00D026F6">
              <w:rPr>
                <w:noProof/>
                <w:webHidden/>
              </w:rPr>
              <w:t>9</w:t>
            </w:r>
            <w:r w:rsidR="00D026F6">
              <w:rPr>
                <w:noProof/>
                <w:webHidden/>
              </w:rPr>
              <w:fldChar w:fldCharType="end"/>
            </w:r>
          </w:hyperlink>
        </w:p>
        <w:p w14:paraId="0F32B65A" w14:textId="77777777" w:rsidR="00D026F6" w:rsidRDefault="00820A98">
          <w:pPr>
            <w:pStyle w:val="TOC3"/>
            <w:rPr>
              <w:rFonts w:asciiTheme="minorHAnsi" w:eastAsiaTheme="minorEastAsia" w:hAnsiTheme="minorHAnsi" w:cstheme="minorBidi"/>
              <w:noProof/>
              <w:lang w:eastAsia="en-AU"/>
            </w:rPr>
          </w:pPr>
          <w:hyperlink w:anchor="_Toc483899409" w:history="1">
            <w:r w:rsidR="00D026F6" w:rsidRPr="00605795">
              <w:rPr>
                <w:rStyle w:val="Hyperlink"/>
                <w:noProof/>
              </w:rPr>
              <w:t>Nonclinical summary and conclusions</w:t>
            </w:r>
            <w:r w:rsidR="00D026F6">
              <w:rPr>
                <w:noProof/>
                <w:webHidden/>
              </w:rPr>
              <w:tab/>
            </w:r>
            <w:r w:rsidR="00D026F6">
              <w:rPr>
                <w:noProof/>
                <w:webHidden/>
              </w:rPr>
              <w:fldChar w:fldCharType="begin"/>
            </w:r>
            <w:r w:rsidR="00D026F6">
              <w:rPr>
                <w:noProof/>
                <w:webHidden/>
              </w:rPr>
              <w:instrText xml:space="preserve"> PAGEREF _Toc483899409 \h </w:instrText>
            </w:r>
            <w:r w:rsidR="00D026F6">
              <w:rPr>
                <w:noProof/>
                <w:webHidden/>
              </w:rPr>
            </w:r>
            <w:r w:rsidR="00D026F6">
              <w:rPr>
                <w:noProof/>
                <w:webHidden/>
              </w:rPr>
              <w:fldChar w:fldCharType="separate"/>
            </w:r>
            <w:r w:rsidR="00D026F6">
              <w:rPr>
                <w:noProof/>
                <w:webHidden/>
              </w:rPr>
              <w:t>9</w:t>
            </w:r>
            <w:r w:rsidR="00D026F6">
              <w:rPr>
                <w:noProof/>
                <w:webHidden/>
              </w:rPr>
              <w:fldChar w:fldCharType="end"/>
            </w:r>
          </w:hyperlink>
        </w:p>
        <w:p w14:paraId="278A51FF" w14:textId="77777777" w:rsidR="00D026F6" w:rsidRDefault="00820A98">
          <w:pPr>
            <w:pStyle w:val="TOC2"/>
            <w:rPr>
              <w:rFonts w:asciiTheme="minorHAnsi" w:eastAsiaTheme="minorEastAsia" w:hAnsiTheme="minorHAnsi" w:cstheme="minorBidi"/>
              <w:b w:val="0"/>
              <w:noProof/>
              <w:sz w:val="22"/>
              <w:lang w:eastAsia="en-AU"/>
            </w:rPr>
          </w:pPr>
          <w:hyperlink w:anchor="_Toc483899410" w:history="1">
            <w:r w:rsidR="00D026F6" w:rsidRPr="00605795">
              <w:rPr>
                <w:rStyle w:val="Hyperlink"/>
                <w:noProof/>
              </w:rPr>
              <w:t>IV. Clinical findings</w:t>
            </w:r>
            <w:r w:rsidR="00D026F6">
              <w:rPr>
                <w:noProof/>
                <w:webHidden/>
              </w:rPr>
              <w:tab/>
            </w:r>
            <w:r w:rsidR="00D026F6">
              <w:rPr>
                <w:noProof/>
                <w:webHidden/>
              </w:rPr>
              <w:fldChar w:fldCharType="begin"/>
            </w:r>
            <w:r w:rsidR="00D026F6">
              <w:rPr>
                <w:noProof/>
                <w:webHidden/>
              </w:rPr>
              <w:instrText xml:space="preserve"> PAGEREF _Toc483899410 \h </w:instrText>
            </w:r>
            <w:r w:rsidR="00D026F6">
              <w:rPr>
                <w:noProof/>
                <w:webHidden/>
              </w:rPr>
            </w:r>
            <w:r w:rsidR="00D026F6">
              <w:rPr>
                <w:noProof/>
                <w:webHidden/>
              </w:rPr>
              <w:fldChar w:fldCharType="separate"/>
            </w:r>
            <w:r w:rsidR="00D026F6">
              <w:rPr>
                <w:noProof/>
                <w:webHidden/>
              </w:rPr>
              <w:t>11</w:t>
            </w:r>
            <w:r w:rsidR="00D026F6">
              <w:rPr>
                <w:noProof/>
                <w:webHidden/>
              </w:rPr>
              <w:fldChar w:fldCharType="end"/>
            </w:r>
          </w:hyperlink>
        </w:p>
        <w:p w14:paraId="00785911" w14:textId="77777777" w:rsidR="00D026F6" w:rsidRDefault="00820A98">
          <w:pPr>
            <w:pStyle w:val="TOC3"/>
            <w:rPr>
              <w:rFonts w:asciiTheme="minorHAnsi" w:eastAsiaTheme="minorEastAsia" w:hAnsiTheme="minorHAnsi" w:cstheme="minorBidi"/>
              <w:noProof/>
              <w:lang w:eastAsia="en-AU"/>
            </w:rPr>
          </w:pPr>
          <w:hyperlink w:anchor="_Toc483899411" w:history="1">
            <w:r w:rsidR="00D026F6" w:rsidRPr="00605795">
              <w:rPr>
                <w:rStyle w:val="Hyperlink"/>
                <w:noProof/>
              </w:rPr>
              <w:t>Introduction</w:t>
            </w:r>
            <w:r w:rsidR="00D026F6">
              <w:rPr>
                <w:noProof/>
                <w:webHidden/>
              </w:rPr>
              <w:tab/>
            </w:r>
            <w:r w:rsidR="00D026F6">
              <w:rPr>
                <w:noProof/>
                <w:webHidden/>
              </w:rPr>
              <w:fldChar w:fldCharType="begin"/>
            </w:r>
            <w:r w:rsidR="00D026F6">
              <w:rPr>
                <w:noProof/>
                <w:webHidden/>
              </w:rPr>
              <w:instrText xml:space="preserve"> PAGEREF _Toc483899411 \h </w:instrText>
            </w:r>
            <w:r w:rsidR="00D026F6">
              <w:rPr>
                <w:noProof/>
                <w:webHidden/>
              </w:rPr>
            </w:r>
            <w:r w:rsidR="00D026F6">
              <w:rPr>
                <w:noProof/>
                <w:webHidden/>
              </w:rPr>
              <w:fldChar w:fldCharType="separate"/>
            </w:r>
            <w:r w:rsidR="00D026F6">
              <w:rPr>
                <w:noProof/>
                <w:webHidden/>
              </w:rPr>
              <w:t>11</w:t>
            </w:r>
            <w:r w:rsidR="00D026F6">
              <w:rPr>
                <w:noProof/>
                <w:webHidden/>
              </w:rPr>
              <w:fldChar w:fldCharType="end"/>
            </w:r>
          </w:hyperlink>
        </w:p>
        <w:p w14:paraId="23FD81D9" w14:textId="77777777" w:rsidR="00D026F6" w:rsidRDefault="00820A98">
          <w:pPr>
            <w:pStyle w:val="TOC3"/>
            <w:rPr>
              <w:rFonts w:asciiTheme="minorHAnsi" w:eastAsiaTheme="minorEastAsia" w:hAnsiTheme="minorHAnsi" w:cstheme="minorBidi"/>
              <w:noProof/>
              <w:lang w:eastAsia="en-AU"/>
            </w:rPr>
          </w:pPr>
          <w:hyperlink w:anchor="_Toc483899412" w:history="1">
            <w:r w:rsidR="00D026F6" w:rsidRPr="00605795">
              <w:rPr>
                <w:rStyle w:val="Hyperlink"/>
                <w:noProof/>
              </w:rPr>
              <w:t>Pharmacokinetics</w:t>
            </w:r>
            <w:r w:rsidR="00D026F6">
              <w:rPr>
                <w:noProof/>
                <w:webHidden/>
              </w:rPr>
              <w:tab/>
            </w:r>
            <w:r w:rsidR="00D026F6">
              <w:rPr>
                <w:noProof/>
                <w:webHidden/>
              </w:rPr>
              <w:fldChar w:fldCharType="begin"/>
            </w:r>
            <w:r w:rsidR="00D026F6">
              <w:rPr>
                <w:noProof/>
                <w:webHidden/>
              </w:rPr>
              <w:instrText xml:space="preserve"> PAGEREF _Toc483899412 \h </w:instrText>
            </w:r>
            <w:r w:rsidR="00D026F6">
              <w:rPr>
                <w:noProof/>
                <w:webHidden/>
              </w:rPr>
            </w:r>
            <w:r w:rsidR="00D026F6">
              <w:rPr>
                <w:noProof/>
                <w:webHidden/>
              </w:rPr>
              <w:fldChar w:fldCharType="separate"/>
            </w:r>
            <w:r w:rsidR="00D026F6">
              <w:rPr>
                <w:noProof/>
                <w:webHidden/>
              </w:rPr>
              <w:t>14</w:t>
            </w:r>
            <w:r w:rsidR="00D026F6">
              <w:rPr>
                <w:noProof/>
                <w:webHidden/>
              </w:rPr>
              <w:fldChar w:fldCharType="end"/>
            </w:r>
          </w:hyperlink>
        </w:p>
        <w:p w14:paraId="4F6B1CCD" w14:textId="77777777" w:rsidR="00D026F6" w:rsidRDefault="00820A98">
          <w:pPr>
            <w:pStyle w:val="TOC3"/>
            <w:rPr>
              <w:rFonts w:asciiTheme="minorHAnsi" w:eastAsiaTheme="minorEastAsia" w:hAnsiTheme="minorHAnsi" w:cstheme="minorBidi"/>
              <w:noProof/>
              <w:lang w:eastAsia="en-AU"/>
            </w:rPr>
          </w:pPr>
          <w:hyperlink w:anchor="_Toc483899413" w:history="1">
            <w:r w:rsidR="00D026F6" w:rsidRPr="00605795">
              <w:rPr>
                <w:rStyle w:val="Hyperlink"/>
                <w:noProof/>
              </w:rPr>
              <w:t>Pharmacodynamics</w:t>
            </w:r>
            <w:r w:rsidR="00D026F6">
              <w:rPr>
                <w:noProof/>
                <w:webHidden/>
              </w:rPr>
              <w:tab/>
            </w:r>
            <w:r w:rsidR="00D026F6">
              <w:rPr>
                <w:noProof/>
                <w:webHidden/>
              </w:rPr>
              <w:fldChar w:fldCharType="begin"/>
            </w:r>
            <w:r w:rsidR="00D026F6">
              <w:rPr>
                <w:noProof/>
                <w:webHidden/>
              </w:rPr>
              <w:instrText xml:space="preserve"> PAGEREF _Toc483899413 \h </w:instrText>
            </w:r>
            <w:r w:rsidR="00D026F6">
              <w:rPr>
                <w:noProof/>
                <w:webHidden/>
              </w:rPr>
            </w:r>
            <w:r w:rsidR="00D026F6">
              <w:rPr>
                <w:noProof/>
                <w:webHidden/>
              </w:rPr>
              <w:fldChar w:fldCharType="separate"/>
            </w:r>
            <w:r w:rsidR="00D026F6">
              <w:rPr>
                <w:noProof/>
                <w:webHidden/>
              </w:rPr>
              <w:t>15</w:t>
            </w:r>
            <w:r w:rsidR="00D026F6">
              <w:rPr>
                <w:noProof/>
                <w:webHidden/>
              </w:rPr>
              <w:fldChar w:fldCharType="end"/>
            </w:r>
          </w:hyperlink>
        </w:p>
        <w:p w14:paraId="5B3CC7F0" w14:textId="77777777" w:rsidR="00D026F6" w:rsidRDefault="00820A98">
          <w:pPr>
            <w:pStyle w:val="TOC3"/>
            <w:rPr>
              <w:rFonts w:asciiTheme="minorHAnsi" w:eastAsiaTheme="minorEastAsia" w:hAnsiTheme="minorHAnsi" w:cstheme="minorBidi"/>
              <w:noProof/>
              <w:lang w:eastAsia="en-AU"/>
            </w:rPr>
          </w:pPr>
          <w:hyperlink w:anchor="_Toc483899414" w:history="1">
            <w:r w:rsidR="00D026F6" w:rsidRPr="00605795">
              <w:rPr>
                <w:rStyle w:val="Hyperlink"/>
                <w:noProof/>
              </w:rPr>
              <w:t>Dosage selection for the pivotal studies</w:t>
            </w:r>
            <w:r w:rsidR="00D026F6">
              <w:rPr>
                <w:noProof/>
                <w:webHidden/>
              </w:rPr>
              <w:tab/>
            </w:r>
            <w:r w:rsidR="00D026F6">
              <w:rPr>
                <w:noProof/>
                <w:webHidden/>
              </w:rPr>
              <w:fldChar w:fldCharType="begin"/>
            </w:r>
            <w:r w:rsidR="00D026F6">
              <w:rPr>
                <w:noProof/>
                <w:webHidden/>
              </w:rPr>
              <w:instrText xml:space="preserve"> PAGEREF _Toc483899414 \h </w:instrText>
            </w:r>
            <w:r w:rsidR="00D026F6">
              <w:rPr>
                <w:noProof/>
                <w:webHidden/>
              </w:rPr>
            </w:r>
            <w:r w:rsidR="00D026F6">
              <w:rPr>
                <w:noProof/>
                <w:webHidden/>
              </w:rPr>
              <w:fldChar w:fldCharType="separate"/>
            </w:r>
            <w:r w:rsidR="00D026F6">
              <w:rPr>
                <w:noProof/>
                <w:webHidden/>
              </w:rPr>
              <w:t>17</w:t>
            </w:r>
            <w:r w:rsidR="00D026F6">
              <w:rPr>
                <w:noProof/>
                <w:webHidden/>
              </w:rPr>
              <w:fldChar w:fldCharType="end"/>
            </w:r>
          </w:hyperlink>
        </w:p>
        <w:p w14:paraId="45CF3427" w14:textId="77777777" w:rsidR="00D026F6" w:rsidRDefault="00820A98">
          <w:pPr>
            <w:pStyle w:val="TOC3"/>
            <w:rPr>
              <w:rFonts w:asciiTheme="minorHAnsi" w:eastAsiaTheme="minorEastAsia" w:hAnsiTheme="minorHAnsi" w:cstheme="minorBidi"/>
              <w:noProof/>
              <w:lang w:eastAsia="en-AU"/>
            </w:rPr>
          </w:pPr>
          <w:hyperlink w:anchor="_Toc483899415" w:history="1">
            <w:r w:rsidR="00D026F6" w:rsidRPr="00605795">
              <w:rPr>
                <w:rStyle w:val="Hyperlink"/>
                <w:noProof/>
              </w:rPr>
              <w:t>Efficacy</w:t>
            </w:r>
            <w:r w:rsidR="00D026F6">
              <w:rPr>
                <w:noProof/>
                <w:webHidden/>
              </w:rPr>
              <w:tab/>
            </w:r>
            <w:r w:rsidR="00D026F6">
              <w:rPr>
                <w:noProof/>
                <w:webHidden/>
              </w:rPr>
              <w:fldChar w:fldCharType="begin"/>
            </w:r>
            <w:r w:rsidR="00D026F6">
              <w:rPr>
                <w:noProof/>
                <w:webHidden/>
              </w:rPr>
              <w:instrText xml:space="preserve"> PAGEREF _Toc483899415 \h </w:instrText>
            </w:r>
            <w:r w:rsidR="00D026F6">
              <w:rPr>
                <w:noProof/>
                <w:webHidden/>
              </w:rPr>
            </w:r>
            <w:r w:rsidR="00D026F6">
              <w:rPr>
                <w:noProof/>
                <w:webHidden/>
              </w:rPr>
              <w:fldChar w:fldCharType="separate"/>
            </w:r>
            <w:r w:rsidR="00D026F6">
              <w:rPr>
                <w:noProof/>
                <w:webHidden/>
              </w:rPr>
              <w:t>20</w:t>
            </w:r>
            <w:r w:rsidR="00D026F6">
              <w:rPr>
                <w:noProof/>
                <w:webHidden/>
              </w:rPr>
              <w:fldChar w:fldCharType="end"/>
            </w:r>
          </w:hyperlink>
        </w:p>
        <w:p w14:paraId="3910A093" w14:textId="77777777" w:rsidR="00D026F6" w:rsidRDefault="00820A98">
          <w:pPr>
            <w:pStyle w:val="TOC3"/>
            <w:rPr>
              <w:rFonts w:asciiTheme="minorHAnsi" w:eastAsiaTheme="minorEastAsia" w:hAnsiTheme="minorHAnsi" w:cstheme="minorBidi"/>
              <w:noProof/>
              <w:lang w:eastAsia="en-AU"/>
            </w:rPr>
          </w:pPr>
          <w:hyperlink w:anchor="_Toc483899416" w:history="1">
            <w:r w:rsidR="00D026F6" w:rsidRPr="00605795">
              <w:rPr>
                <w:rStyle w:val="Hyperlink"/>
                <w:noProof/>
              </w:rPr>
              <w:t>Safety</w:t>
            </w:r>
            <w:r w:rsidR="00D026F6">
              <w:rPr>
                <w:noProof/>
                <w:webHidden/>
              </w:rPr>
              <w:tab/>
            </w:r>
            <w:r w:rsidR="00D026F6">
              <w:rPr>
                <w:noProof/>
                <w:webHidden/>
              </w:rPr>
              <w:fldChar w:fldCharType="begin"/>
            </w:r>
            <w:r w:rsidR="00D026F6">
              <w:rPr>
                <w:noProof/>
                <w:webHidden/>
              </w:rPr>
              <w:instrText xml:space="preserve"> PAGEREF _Toc483899416 \h </w:instrText>
            </w:r>
            <w:r w:rsidR="00D026F6">
              <w:rPr>
                <w:noProof/>
                <w:webHidden/>
              </w:rPr>
            </w:r>
            <w:r w:rsidR="00D026F6">
              <w:rPr>
                <w:noProof/>
                <w:webHidden/>
              </w:rPr>
              <w:fldChar w:fldCharType="separate"/>
            </w:r>
            <w:r w:rsidR="00D026F6">
              <w:rPr>
                <w:noProof/>
                <w:webHidden/>
              </w:rPr>
              <w:t>28</w:t>
            </w:r>
            <w:r w:rsidR="00D026F6">
              <w:rPr>
                <w:noProof/>
                <w:webHidden/>
              </w:rPr>
              <w:fldChar w:fldCharType="end"/>
            </w:r>
          </w:hyperlink>
        </w:p>
        <w:p w14:paraId="4DECEA2A" w14:textId="77777777" w:rsidR="00D026F6" w:rsidRDefault="00820A98">
          <w:pPr>
            <w:pStyle w:val="TOC3"/>
            <w:rPr>
              <w:rFonts w:asciiTheme="minorHAnsi" w:eastAsiaTheme="minorEastAsia" w:hAnsiTheme="minorHAnsi" w:cstheme="minorBidi"/>
              <w:noProof/>
              <w:lang w:eastAsia="en-AU"/>
            </w:rPr>
          </w:pPr>
          <w:hyperlink w:anchor="_Toc483899417" w:history="1">
            <w:r w:rsidR="00D026F6" w:rsidRPr="00605795">
              <w:rPr>
                <w:rStyle w:val="Hyperlink"/>
                <w:noProof/>
              </w:rPr>
              <w:t>First round benefit-risk assessment</w:t>
            </w:r>
            <w:r w:rsidR="00D026F6">
              <w:rPr>
                <w:noProof/>
                <w:webHidden/>
              </w:rPr>
              <w:tab/>
            </w:r>
            <w:r w:rsidR="00D026F6">
              <w:rPr>
                <w:noProof/>
                <w:webHidden/>
              </w:rPr>
              <w:fldChar w:fldCharType="begin"/>
            </w:r>
            <w:r w:rsidR="00D026F6">
              <w:rPr>
                <w:noProof/>
                <w:webHidden/>
              </w:rPr>
              <w:instrText xml:space="preserve"> PAGEREF _Toc483899417 \h </w:instrText>
            </w:r>
            <w:r w:rsidR="00D026F6">
              <w:rPr>
                <w:noProof/>
                <w:webHidden/>
              </w:rPr>
            </w:r>
            <w:r w:rsidR="00D026F6">
              <w:rPr>
                <w:noProof/>
                <w:webHidden/>
              </w:rPr>
              <w:fldChar w:fldCharType="separate"/>
            </w:r>
            <w:r w:rsidR="00D026F6">
              <w:rPr>
                <w:noProof/>
                <w:webHidden/>
              </w:rPr>
              <w:t>31</w:t>
            </w:r>
            <w:r w:rsidR="00D026F6">
              <w:rPr>
                <w:noProof/>
                <w:webHidden/>
              </w:rPr>
              <w:fldChar w:fldCharType="end"/>
            </w:r>
          </w:hyperlink>
        </w:p>
        <w:p w14:paraId="14E02108" w14:textId="77777777" w:rsidR="00D026F6" w:rsidRDefault="00820A98">
          <w:pPr>
            <w:pStyle w:val="TOC3"/>
            <w:rPr>
              <w:rFonts w:asciiTheme="minorHAnsi" w:eastAsiaTheme="minorEastAsia" w:hAnsiTheme="minorHAnsi" w:cstheme="minorBidi"/>
              <w:noProof/>
              <w:lang w:eastAsia="en-AU"/>
            </w:rPr>
          </w:pPr>
          <w:hyperlink w:anchor="_Toc483899418" w:history="1">
            <w:r w:rsidR="00D026F6" w:rsidRPr="00605795">
              <w:rPr>
                <w:rStyle w:val="Hyperlink"/>
                <w:noProof/>
              </w:rPr>
              <w:t>First round recommendation regarding authorisation</w:t>
            </w:r>
            <w:r w:rsidR="00D026F6">
              <w:rPr>
                <w:noProof/>
                <w:webHidden/>
              </w:rPr>
              <w:tab/>
            </w:r>
            <w:r w:rsidR="00D026F6">
              <w:rPr>
                <w:noProof/>
                <w:webHidden/>
              </w:rPr>
              <w:fldChar w:fldCharType="begin"/>
            </w:r>
            <w:r w:rsidR="00D026F6">
              <w:rPr>
                <w:noProof/>
                <w:webHidden/>
              </w:rPr>
              <w:instrText xml:space="preserve"> PAGEREF _Toc483899418 \h </w:instrText>
            </w:r>
            <w:r w:rsidR="00D026F6">
              <w:rPr>
                <w:noProof/>
                <w:webHidden/>
              </w:rPr>
            </w:r>
            <w:r w:rsidR="00D026F6">
              <w:rPr>
                <w:noProof/>
                <w:webHidden/>
              </w:rPr>
              <w:fldChar w:fldCharType="separate"/>
            </w:r>
            <w:r w:rsidR="00D026F6">
              <w:rPr>
                <w:noProof/>
                <w:webHidden/>
              </w:rPr>
              <w:t>33</w:t>
            </w:r>
            <w:r w:rsidR="00D026F6">
              <w:rPr>
                <w:noProof/>
                <w:webHidden/>
              </w:rPr>
              <w:fldChar w:fldCharType="end"/>
            </w:r>
          </w:hyperlink>
        </w:p>
        <w:p w14:paraId="755FE63A" w14:textId="77777777" w:rsidR="00D026F6" w:rsidRDefault="00820A98">
          <w:pPr>
            <w:pStyle w:val="TOC3"/>
            <w:rPr>
              <w:rFonts w:asciiTheme="minorHAnsi" w:eastAsiaTheme="minorEastAsia" w:hAnsiTheme="minorHAnsi" w:cstheme="minorBidi"/>
              <w:noProof/>
              <w:lang w:eastAsia="en-AU"/>
            </w:rPr>
          </w:pPr>
          <w:hyperlink w:anchor="_Toc483899419" w:history="1">
            <w:r w:rsidR="00D026F6" w:rsidRPr="00605795">
              <w:rPr>
                <w:rStyle w:val="Hyperlink"/>
                <w:noProof/>
              </w:rPr>
              <w:t>Clinical questions</w:t>
            </w:r>
            <w:r w:rsidR="00D026F6">
              <w:rPr>
                <w:noProof/>
                <w:webHidden/>
              </w:rPr>
              <w:tab/>
            </w:r>
            <w:r w:rsidR="00D026F6">
              <w:rPr>
                <w:noProof/>
                <w:webHidden/>
              </w:rPr>
              <w:fldChar w:fldCharType="begin"/>
            </w:r>
            <w:r w:rsidR="00D026F6">
              <w:rPr>
                <w:noProof/>
                <w:webHidden/>
              </w:rPr>
              <w:instrText xml:space="preserve"> PAGEREF _Toc483899419 \h </w:instrText>
            </w:r>
            <w:r w:rsidR="00D026F6">
              <w:rPr>
                <w:noProof/>
                <w:webHidden/>
              </w:rPr>
            </w:r>
            <w:r w:rsidR="00D026F6">
              <w:rPr>
                <w:noProof/>
                <w:webHidden/>
              </w:rPr>
              <w:fldChar w:fldCharType="separate"/>
            </w:r>
            <w:r w:rsidR="00D026F6">
              <w:rPr>
                <w:noProof/>
                <w:webHidden/>
              </w:rPr>
              <w:t>33</w:t>
            </w:r>
            <w:r w:rsidR="00D026F6">
              <w:rPr>
                <w:noProof/>
                <w:webHidden/>
              </w:rPr>
              <w:fldChar w:fldCharType="end"/>
            </w:r>
          </w:hyperlink>
        </w:p>
        <w:p w14:paraId="7B10335B" w14:textId="77777777" w:rsidR="00D026F6" w:rsidRDefault="00820A98">
          <w:pPr>
            <w:pStyle w:val="TOC3"/>
            <w:rPr>
              <w:rFonts w:asciiTheme="minorHAnsi" w:eastAsiaTheme="minorEastAsia" w:hAnsiTheme="minorHAnsi" w:cstheme="minorBidi"/>
              <w:noProof/>
              <w:lang w:eastAsia="en-AU"/>
            </w:rPr>
          </w:pPr>
          <w:hyperlink w:anchor="_Toc483899420" w:history="1">
            <w:r w:rsidR="00D026F6" w:rsidRPr="00605795">
              <w:rPr>
                <w:rStyle w:val="Hyperlink"/>
                <w:noProof/>
              </w:rPr>
              <w:t>General questions</w:t>
            </w:r>
            <w:r w:rsidR="00D026F6">
              <w:rPr>
                <w:noProof/>
                <w:webHidden/>
              </w:rPr>
              <w:tab/>
            </w:r>
            <w:r w:rsidR="00D026F6">
              <w:rPr>
                <w:noProof/>
                <w:webHidden/>
              </w:rPr>
              <w:fldChar w:fldCharType="begin"/>
            </w:r>
            <w:r w:rsidR="00D026F6">
              <w:rPr>
                <w:noProof/>
                <w:webHidden/>
              </w:rPr>
              <w:instrText xml:space="preserve"> PAGEREF _Toc483899420 \h </w:instrText>
            </w:r>
            <w:r w:rsidR="00D026F6">
              <w:rPr>
                <w:noProof/>
                <w:webHidden/>
              </w:rPr>
            </w:r>
            <w:r w:rsidR="00D026F6">
              <w:rPr>
                <w:noProof/>
                <w:webHidden/>
              </w:rPr>
              <w:fldChar w:fldCharType="separate"/>
            </w:r>
            <w:r w:rsidR="00D026F6">
              <w:rPr>
                <w:noProof/>
                <w:webHidden/>
              </w:rPr>
              <w:t>34</w:t>
            </w:r>
            <w:r w:rsidR="00D026F6">
              <w:rPr>
                <w:noProof/>
                <w:webHidden/>
              </w:rPr>
              <w:fldChar w:fldCharType="end"/>
            </w:r>
          </w:hyperlink>
        </w:p>
        <w:p w14:paraId="378F26AA" w14:textId="77777777" w:rsidR="00D026F6" w:rsidRDefault="00820A98">
          <w:pPr>
            <w:pStyle w:val="TOC3"/>
            <w:rPr>
              <w:rFonts w:asciiTheme="minorHAnsi" w:eastAsiaTheme="minorEastAsia" w:hAnsiTheme="minorHAnsi" w:cstheme="minorBidi"/>
              <w:noProof/>
              <w:lang w:eastAsia="en-AU"/>
            </w:rPr>
          </w:pPr>
          <w:hyperlink w:anchor="_Toc483899421" w:history="1">
            <w:r w:rsidR="00D026F6" w:rsidRPr="00605795">
              <w:rPr>
                <w:rStyle w:val="Hyperlink"/>
                <w:noProof/>
              </w:rPr>
              <w:t>Questions related to specific studies</w:t>
            </w:r>
            <w:r w:rsidR="00D026F6">
              <w:rPr>
                <w:noProof/>
                <w:webHidden/>
              </w:rPr>
              <w:tab/>
            </w:r>
            <w:r w:rsidR="00D026F6">
              <w:rPr>
                <w:noProof/>
                <w:webHidden/>
              </w:rPr>
              <w:fldChar w:fldCharType="begin"/>
            </w:r>
            <w:r w:rsidR="00D026F6">
              <w:rPr>
                <w:noProof/>
                <w:webHidden/>
              </w:rPr>
              <w:instrText xml:space="preserve"> PAGEREF _Toc483899421 \h </w:instrText>
            </w:r>
            <w:r w:rsidR="00D026F6">
              <w:rPr>
                <w:noProof/>
                <w:webHidden/>
              </w:rPr>
            </w:r>
            <w:r w:rsidR="00D026F6">
              <w:rPr>
                <w:noProof/>
                <w:webHidden/>
              </w:rPr>
              <w:fldChar w:fldCharType="separate"/>
            </w:r>
            <w:r w:rsidR="00D026F6">
              <w:rPr>
                <w:noProof/>
                <w:webHidden/>
              </w:rPr>
              <w:t>34</w:t>
            </w:r>
            <w:r w:rsidR="00D026F6">
              <w:rPr>
                <w:noProof/>
                <w:webHidden/>
              </w:rPr>
              <w:fldChar w:fldCharType="end"/>
            </w:r>
          </w:hyperlink>
        </w:p>
        <w:p w14:paraId="09CB244C" w14:textId="77777777" w:rsidR="00D026F6" w:rsidRDefault="00820A98">
          <w:pPr>
            <w:pStyle w:val="TOC3"/>
            <w:rPr>
              <w:rFonts w:asciiTheme="minorHAnsi" w:eastAsiaTheme="minorEastAsia" w:hAnsiTheme="minorHAnsi" w:cstheme="minorBidi"/>
              <w:noProof/>
              <w:lang w:eastAsia="en-AU"/>
            </w:rPr>
          </w:pPr>
          <w:hyperlink w:anchor="_Toc483899422" w:history="1">
            <w:r w:rsidR="00D026F6" w:rsidRPr="00605795">
              <w:rPr>
                <w:rStyle w:val="Hyperlink"/>
                <w:noProof/>
              </w:rPr>
              <w:t>Second round evaluation of clinical data submitted in response to questions</w:t>
            </w:r>
            <w:r w:rsidR="00D026F6">
              <w:rPr>
                <w:noProof/>
                <w:webHidden/>
              </w:rPr>
              <w:tab/>
            </w:r>
            <w:r w:rsidR="00D026F6">
              <w:rPr>
                <w:noProof/>
                <w:webHidden/>
              </w:rPr>
              <w:fldChar w:fldCharType="begin"/>
            </w:r>
            <w:r w:rsidR="00D026F6">
              <w:rPr>
                <w:noProof/>
                <w:webHidden/>
              </w:rPr>
              <w:instrText xml:space="preserve"> PAGEREF _Toc483899422 \h </w:instrText>
            </w:r>
            <w:r w:rsidR="00D026F6">
              <w:rPr>
                <w:noProof/>
                <w:webHidden/>
              </w:rPr>
            </w:r>
            <w:r w:rsidR="00D026F6">
              <w:rPr>
                <w:noProof/>
                <w:webHidden/>
              </w:rPr>
              <w:fldChar w:fldCharType="separate"/>
            </w:r>
            <w:r w:rsidR="00D026F6">
              <w:rPr>
                <w:noProof/>
                <w:webHidden/>
              </w:rPr>
              <w:t>35</w:t>
            </w:r>
            <w:r w:rsidR="00D026F6">
              <w:rPr>
                <w:noProof/>
                <w:webHidden/>
              </w:rPr>
              <w:fldChar w:fldCharType="end"/>
            </w:r>
          </w:hyperlink>
        </w:p>
        <w:p w14:paraId="513C3799" w14:textId="77777777" w:rsidR="00D026F6" w:rsidRDefault="00820A98">
          <w:pPr>
            <w:pStyle w:val="TOC3"/>
            <w:rPr>
              <w:rFonts w:asciiTheme="minorHAnsi" w:eastAsiaTheme="minorEastAsia" w:hAnsiTheme="minorHAnsi" w:cstheme="minorBidi"/>
              <w:noProof/>
              <w:lang w:eastAsia="en-AU"/>
            </w:rPr>
          </w:pPr>
          <w:hyperlink w:anchor="_Toc483899423" w:history="1">
            <w:r w:rsidR="00D026F6" w:rsidRPr="00605795">
              <w:rPr>
                <w:rStyle w:val="Hyperlink"/>
                <w:noProof/>
              </w:rPr>
              <w:t>Second round benefit-risk assessment</w:t>
            </w:r>
            <w:r w:rsidR="00D026F6">
              <w:rPr>
                <w:noProof/>
                <w:webHidden/>
              </w:rPr>
              <w:tab/>
            </w:r>
            <w:r w:rsidR="00D026F6">
              <w:rPr>
                <w:noProof/>
                <w:webHidden/>
              </w:rPr>
              <w:fldChar w:fldCharType="begin"/>
            </w:r>
            <w:r w:rsidR="00D026F6">
              <w:rPr>
                <w:noProof/>
                <w:webHidden/>
              </w:rPr>
              <w:instrText xml:space="preserve"> PAGEREF _Toc483899423 \h </w:instrText>
            </w:r>
            <w:r w:rsidR="00D026F6">
              <w:rPr>
                <w:noProof/>
                <w:webHidden/>
              </w:rPr>
            </w:r>
            <w:r w:rsidR="00D026F6">
              <w:rPr>
                <w:noProof/>
                <w:webHidden/>
              </w:rPr>
              <w:fldChar w:fldCharType="separate"/>
            </w:r>
            <w:r w:rsidR="00D026F6">
              <w:rPr>
                <w:noProof/>
                <w:webHidden/>
              </w:rPr>
              <w:t>35</w:t>
            </w:r>
            <w:r w:rsidR="00D026F6">
              <w:rPr>
                <w:noProof/>
                <w:webHidden/>
              </w:rPr>
              <w:fldChar w:fldCharType="end"/>
            </w:r>
          </w:hyperlink>
        </w:p>
        <w:p w14:paraId="0E2DC712" w14:textId="77777777" w:rsidR="00D026F6" w:rsidRDefault="00820A98">
          <w:pPr>
            <w:pStyle w:val="TOC2"/>
            <w:rPr>
              <w:rFonts w:asciiTheme="minorHAnsi" w:eastAsiaTheme="minorEastAsia" w:hAnsiTheme="minorHAnsi" w:cstheme="minorBidi"/>
              <w:b w:val="0"/>
              <w:noProof/>
              <w:sz w:val="22"/>
              <w:lang w:eastAsia="en-AU"/>
            </w:rPr>
          </w:pPr>
          <w:hyperlink w:anchor="_Toc483899424" w:history="1">
            <w:r w:rsidR="00D026F6" w:rsidRPr="00605795">
              <w:rPr>
                <w:rStyle w:val="Hyperlink"/>
                <w:noProof/>
              </w:rPr>
              <w:t>V. Pharmacovigilance findings</w:t>
            </w:r>
            <w:r w:rsidR="00D026F6">
              <w:rPr>
                <w:noProof/>
                <w:webHidden/>
              </w:rPr>
              <w:tab/>
            </w:r>
            <w:r w:rsidR="00D026F6">
              <w:rPr>
                <w:noProof/>
                <w:webHidden/>
              </w:rPr>
              <w:fldChar w:fldCharType="begin"/>
            </w:r>
            <w:r w:rsidR="00D026F6">
              <w:rPr>
                <w:noProof/>
                <w:webHidden/>
              </w:rPr>
              <w:instrText xml:space="preserve"> PAGEREF _Toc483899424 \h </w:instrText>
            </w:r>
            <w:r w:rsidR="00D026F6">
              <w:rPr>
                <w:noProof/>
                <w:webHidden/>
              </w:rPr>
            </w:r>
            <w:r w:rsidR="00D026F6">
              <w:rPr>
                <w:noProof/>
                <w:webHidden/>
              </w:rPr>
              <w:fldChar w:fldCharType="separate"/>
            </w:r>
            <w:r w:rsidR="00D026F6">
              <w:rPr>
                <w:noProof/>
                <w:webHidden/>
              </w:rPr>
              <w:t>37</w:t>
            </w:r>
            <w:r w:rsidR="00D026F6">
              <w:rPr>
                <w:noProof/>
                <w:webHidden/>
              </w:rPr>
              <w:fldChar w:fldCharType="end"/>
            </w:r>
          </w:hyperlink>
        </w:p>
        <w:p w14:paraId="0D3AB2E4" w14:textId="77777777" w:rsidR="00D026F6" w:rsidRDefault="00820A98">
          <w:pPr>
            <w:pStyle w:val="TOC3"/>
            <w:rPr>
              <w:rFonts w:asciiTheme="minorHAnsi" w:eastAsiaTheme="minorEastAsia" w:hAnsiTheme="minorHAnsi" w:cstheme="minorBidi"/>
              <w:noProof/>
              <w:lang w:eastAsia="en-AU"/>
            </w:rPr>
          </w:pPr>
          <w:hyperlink w:anchor="_Toc483899425" w:history="1">
            <w:r w:rsidR="00D026F6" w:rsidRPr="00605795">
              <w:rPr>
                <w:rStyle w:val="Hyperlink"/>
                <w:noProof/>
                <w:lang w:eastAsia="en-AU"/>
              </w:rPr>
              <w:t>Risk management plan</w:t>
            </w:r>
            <w:r w:rsidR="00D026F6">
              <w:rPr>
                <w:noProof/>
                <w:webHidden/>
              </w:rPr>
              <w:tab/>
            </w:r>
            <w:r w:rsidR="00D026F6">
              <w:rPr>
                <w:noProof/>
                <w:webHidden/>
              </w:rPr>
              <w:fldChar w:fldCharType="begin"/>
            </w:r>
            <w:r w:rsidR="00D026F6">
              <w:rPr>
                <w:noProof/>
                <w:webHidden/>
              </w:rPr>
              <w:instrText xml:space="preserve"> PAGEREF _Toc483899425 \h </w:instrText>
            </w:r>
            <w:r w:rsidR="00D026F6">
              <w:rPr>
                <w:noProof/>
                <w:webHidden/>
              </w:rPr>
            </w:r>
            <w:r w:rsidR="00D026F6">
              <w:rPr>
                <w:noProof/>
                <w:webHidden/>
              </w:rPr>
              <w:fldChar w:fldCharType="separate"/>
            </w:r>
            <w:r w:rsidR="00D026F6">
              <w:rPr>
                <w:noProof/>
                <w:webHidden/>
              </w:rPr>
              <w:t>37</w:t>
            </w:r>
            <w:r w:rsidR="00D026F6">
              <w:rPr>
                <w:noProof/>
                <w:webHidden/>
              </w:rPr>
              <w:fldChar w:fldCharType="end"/>
            </w:r>
          </w:hyperlink>
        </w:p>
        <w:p w14:paraId="1FED94E5" w14:textId="77777777" w:rsidR="00D026F6" w:rsidRDefault="00820A98">
          <w:pPr>
            <w:pStyle w:val="TOC2"/>
            <w:rPr>
              <w:rFonts w:asciiTheme="minorHAnsi" w:eastAsiaTheme="minorEastAsia" w:hAnsiTheme="minorHAnsi" w:cstheme="minorBidi"/>
              <w:b w:val="0"/>
              <w:noProof/>
              <w:sz w:val="22"/>
              <w:lang w:eastAsia="en-AU"/>
            </w:rPr>
          </w:pPr>
          <w:hyperlink w:anchor="_Toc483899426" w:history="1">
            <w:r w:rsidR="00D026F6" w:rsidRPr="00605795">
              <w:rPr>
                <w:rStyle w:val="Hyperlink"/>
                <w:noProof/>
              </w:rPr>
              <w:t>VI. Overall conclusion and risk/benefit assessment</w:t>
            </w:r>
            <w:r w:rsidR="00D026F6">
              <w:rPr>
                <w:noProof/>
                <w:webHidden/>
              </w:rPr>
              <w:tab/>
            </w:r>
            <w:r w:rsidR="00D026F6">
              <w:rPr>
                <w:noProof/>
                <w:webHidden/>
              </w:rPr>
              <w:fldChar w:fldCharType="begin"/>
            </w:r>
            <w:r w:rsidR="00D026F6">
              <w:rPr>
                <w:noProof/>
                <w:webHidden/>
              </w:rPr>
              <w:instrText xml:space="preserve"> PAGEREF _Toc483899426 \h </w:instrText>
            </w:r>
            <w:r w:rsidR="00D026F6">
              <w:rPr>
                <w:noProof/>
                <w:webHidden/>
              </w:rPr>
            </w:r>
            <w:r w:rsidR="00D026F6">
              <w:rPr>
                <w:noProof/>
                <w:webHidden/>
              </w:rPr>
              <w:fldChar w:fldCharType="separate"/>
            </w:r>
            <w:r w:rsidR="00D026F6">
              <w:rPr>
                <w:noProof/>
                <w:webHidden/>
              </w:rPr>
              <w:t>45</w:t>
            </w:r>
            <w:r w:rsidR="00D026F6">
              <w:rPr>
                <w:noProof/>
                <w:webHidden/>
              </w:rPr>
              <w:fldChar w:fldCharType="end"/>
            </w:r>
          </w:hyperlink>
        </w:p>
        <w:p w14:paraId="7875D447" w14:textId="77777777" w:rsidR="00D026F6" w:rsidRDefault="00820A98">
          <w:pPr>
            <w:pStyle w:val="TOC3"/>
            <w:rPr>
              <w:rFonts w:asciiTheme="minorHAnsi" w:eastAsiaTheme="minorEastAsia" w:hAnsiTheme="minorHAnsi" w:cstheme="minorBidi"/>
              <w:noProof/>
              <w:lang w:eastAsia="en-AU"/>
            </w:rPr>
          </w:pPr>
          <w:hyperlink w:anchor="_Toc483899427" w:history="1">
            <w:r w:rsidR="00D026F6" w:rsidRPr="00605795">
              <w:rPr>
                <w:rStyle w:val="Hyperlink"/>
                <w:noProof/>
              </w:rPr>
              <w:t>Quality</w:t>
            </w:r>
            <w:r w:rsidR="00D026F6">
              <w:rPr>
                <w:noProof/>
                <w:webHidden/>
              </w:rPr>
              <w:tab/>
            </w:r>
            <w:r w:rsidR="00D026F6">
              <w:rPr>
                <w:noProof/>
                <w:webHidden/>
              </w:rPr>
              <w:fldChar w:fldCharType="begin"/>
            </w:r>
            <w:r w:rsidR="00D026F6">
              <w:rPr>
                <w:noProof/>
                <w:webHidden/>
              </w:rPr>
              <w:instrText xml:space="preserve"> PAGEREF _Toc483899427 \h </w:instrText>
            </w:r>
            <w:r w:rsidR="00D026F6">
              <w:rPr>
                <w:noProof/>
                <w:webHidden/>
              </w:rPr>
            </w:r>
            <w:r w:rsidR="00D026F6">
              <w:rPr>
                <w:noProof/>
                <w:webHidden/>
              </w:rPr>
              <w:fldChar w:fldCharType="separate"/>
            </w:r>
            <w:r w:rsidR="00D026F6">
              <w:rPr>
                <w:noProof/>
                <w:webHidden/>
              </w:rPr>
              <w:t>45</w:t>
            </w:r>
            <w:r w:rsidR="00D026F6">
              <w:rPr>
                <w:noProof/>
                <w:webHidden/>
              </w:rPr>
              <w:fldChar w:fldCharType="end"/>
            </w:r>
          </w:hyperlink>
        </w:p>
        <w:p w14:paraId="5B5DA5BF" w14:textId="77777777" w:rsidR="00D026F6" w:rsidRDefault="00820A98">
          <w:pPr>
            <w:pStyle w:val="TOC3"/>
            <w:rPr>
              <w:rFonts w:asciiTheme="minorHAnsi" w:eastAsiaTheme="minorEastAsia" w:hAnsiTheme="minorHAnsi" w:cstheme="minorBidi"/>
              <w:noProof/>
              <w:lang w:eastAsia="en-AU"/>
            </w:rPr>
          </w:pPr>
          <w:hyperlink w:anchor="_Toc483899428" w:history="1">
            <w:r w:rsidR="00D026F6" w:rsidRPr="00605795">
              <w:rPr>
                <w:rStyle w:val="Hyperlink"/>
                <w:noProof/>
              </w:rPr>
              <w:t>Nonclinical</w:t>
            </w:r>
            <w:r w:rsidR="00D026F6">
              <w:rPr>
                <w:noProof/>
                <w:webHidden/>
              </w:rPr>
              <w:tab/>
            </w:r>
            <w:r w:rsidR="00D026F6">
              <w:rPr>
                <w:noProof/>
                <w:webHidden/>
              </w:rPr>
              <w:fldChar w:fldCharType="begin"/>
            </w:r>
            <w:r w:rsidR="00D026F6">
              <w:rPr>
                <w:noProof/>
                <w:webHidden/>
              </w:rPr>
              <w:instrText xml:space="preserve"> PAGEREF _Toc483899428 \h </w:instrText>
            </w:r>
            <w:r w:rsidR="00D026F6">
              <w:rPr>
                <w:noProof/>
                <w:webHidden/>
              </w:rPr>
            </w:r>
            <w:r w:rsidR="00D026F6">
              <w:rPr>
                <w:noProof/>
                <w:webHidden/>
              </w:rPr>
              <w:fldChar w:fldCharType="separate"/>
            </w:r>
            <w:r w:rsidR="00D026F6">
              <w:rPr>
                <w:noProof/>
                <w:webHidden/>
              </w:rPr>
              <w:t>45</w:t>
            </w:r>
            <w:r w:rsidR="00D026F6">
              <w:rPr>
                <w:noProof/>
                <w:webHidden/>
              </w:rPr>
              <w:fldChar w:fldCharType="end"/>
            </w:r>
          </w:hyperlink>
        </w:p>
        <w:p w14:paraId="32AC7744" w14:textId="77777777" w:rsidR="00D026F6" w:rsidRDefault="00820A98">
          <w:pPr>
            <w:pStyle w:val="TOC3"/>
            <w:rPr>
              <w:rFonts w:asciiTheme="minorHAnsi" w:eastAsiaTheme="minorEastAsia" w:hAnsiTheme="minorHAnsi" w:cstheme="minorBidi"/>
              <w:noProof/>
              <w:lang w:eastAsia="en-AU"/>
            </w:rPr>
          </w:pPr>
          <w:hyperlink w:anchor="_Toc483899429" w:history="1">
            <w:r w:rsidR="00D026F6" w:rsidRPr="00605795">
              <w:rPr>
                <w:rStyle w:val="Hyperlink"/>
                <w:noProof/>
              </w:rPr>
              <w:t>Clinical</w:t>
            </w:r>
            <w:r w:rsidR="00D026F6">
              <w:rPr>
                <w:noProof/>
                <w:webHidden/>
              </w:rPr>
              <w:tab/>
            </w:r>
            <w:r w:rsidR="00D026F6">
              <w:rPr>
                <w:noProof/>
                <w:webHidden/>
              </w:rPr>
              <w:fldChar w:fldCharType="begin"/>
            </w:r>
            <w:r w:rsidR="00D026F6">
              <w:rPr>
                <w:noProof/>
                <w:webHidden/>
              </w:rPr>
              <w:instrText xml:space="preserve"> PAGEREF _Toc483899429 \h </w:instrText>
            </w:r>
            <w:r w:rsidR="00D026F6">
              <w:rPr>
                <w:noProof/>
                <w:webHidden/>
              </w:rPr>
            </w:r>
            <w:r w:rsidR="00D026F6">
              <w:rPr>
                <w:noProof/>
                <w:webHidden/>
              </w:rPr>
              <w:fldChar w:fldCharType="separate"/>
            </w:r>
            <w:r w:rsidR="00D026F6">
              <w:rPr>
                <w:noProof/>
                <w:webHidden/>
              </w:rPr>
              <w:t>45</w:t>
            </w:r>
            <w:r w:rsidR="00D026F6">
              <w:rPr>
                <w:noProof/>
                <w:webHidden/>
              </w:rPr>
              <w:fldChar w:fldCharType="end"/>
            </w:r>
          </w:hyperlink>
        </w:p>
        <w:p w14:paraId="1D682E3E" w14:textId="77777777" w:rsidR="00D026F6" w:rsidRDefault="00820A98">
          <w:pPr>
            <w:pStyle w:val="TOC3"/>
            <w:rPr>
              <w:rFonts w:asciiTheme="minorHAnsi" w:eastAsiaTheme="minorEastAsia" w:hAnsiTheme="minorHAnsi" w:cstheme="minorBidi"/>
              <w:noProof/>
              <w:lang w:eastAsia="en-AU"/>
            </w:rPr>
          </w:pPr>
          <w:hyperlink w:anchor="_Toc483899430" w:history="1">
            <w:r w:rsidR="00D026F6" w:rsidRPr="00605795">
              <w:rPr>
                <w:rStyle w:val="Hyperlink"/>
                <w:noProof/>
                <w:lang w:eastAsia="en-AU"/>
              </w:rPr>
              <w:t>Risk management plan</w:t>
            </w:r>
            <w:r w:rsidR="00D026F6">
              <w:rPr>
                <w:noProof/>
                <w:webHidden/>
              </w:rPr>
              <w:tab/>
            </w:r>
            <w:r w:rsidR="00D026F6">
              <w:rPr>
                <w:noProof/>
                <w:webHidden/>
              </w:rPr>
              <w:fldChar w:fldCharType="begin"/>
            </w:r>
            <w:r w:rsidR="00D026F6">
              <w:rPr>
                <w:noProof/>
                <w:webHidden/>
              </w:rPr>
              <w:instrText xml:space="preserve"> PAGEREF _Toc483899430 \h </w:instrText>
            </w:r>
            <w:r w:rsidR="00D026F6">
              <w:rPr>
                <w:noProof/>
                <w:webHidden/>
              </w:rPr>
            </w:r>
            <w:r w:rsidR="00D026F6">
              <w:rPr>
                <w:noProof/>
                <w:webHidden/>
              </w:rPr>
              <w:fldChar w:fldCharType="separate"/>
            </w:r>
            <w:r w:rsidR="00D026F6">
              <w:rPr>
                <w:noProof/>
                <w:webHidden/>
              </w:rPr>
              <w:t>50</w:t>
            </w:r>
            <w:r w:rsidR="00D026F6">
              <w:rPr>
                <w:noProof/>
                <w:webHidden/>
              </w:rPr>
              <w:fldChar w:fldCharType="end"/>
            </w:r>
          </w:hyperlink>
        </w:p>
        <w:p w14:paraId="40C2BF63" w14:textId="77777777" w:rsidR="00D026F6" w:rsidRDefault="00820A98">
          <w:pPr>
            <w:pStyle w:val="TOC3"/>
            <w:rPr>
              <w:rFonts w:asciiTheme="minorHAnsi" w:eastAsiaTheme="minorEastAsia" w:hAnsiTheme="minorHAnsi" w:cstheme="minorBidi"/>
              <w:noProof/>
              <w:lang w:eastAsia="en-AU"/>
            </w:rPr>
          </w:pPr>
          <w:hyperlink w:anchor="_Toc483899431" w:history="1">
            <w:r w:rsidR="00D026F6" w:rsidRPr="00605795">
              <w:rPr>
                <w:rStyle w:val="Hyperlink"/>
                <w:noProof/>
              </w:rPr>
              <w:t>Risk-benefit analysis</w:t>
            </w:r>
            <w:r w:rsidR="00D026F6">
              <w:rPr>
                <w:noProof/>
                <w:webHidden/>
              </w:rPr>
              <w:tab/>
            </w:r>
            <w:r w:rsidR="00D026F6">
              <w:rPr>
                <w:noProof/>
                <w:webHidden/>
              </w:rPr>
              <w:fldChar w:fldCharType="begin"/>
            </w:r>
            <w:r w:rsidR="00D026F6">
              <w:rPr>
                <w:noProof/>
                <w:webHidden/>
              </w:rPr>
              <w:instrText xml:space="preserve"> PAGEREF _Toc483899431 \h </w:instrText>
            </w:r>
            <w:r w:rsidR="00D026F6">
              <w:rPr>
                <w:noProof/>
                <w:webHidden/>
              </w:rPr>
            </w:r>
            <w:r w:rsidR="00D026F6">
              <w:rPr>
                <w:noProof/>
                <w:webHidden/>
              </w:rPr>
              <w:fldChar w:fldCharType="separate"/>
            </w:r>
            <w:r w:rsidR="00D026F6">
              <w:rPr>
                <w:noProof/>
                <w:webHidden/>
              </w:rPr>
              <w:t>50</w:t>
            </w:r>
            <w:r w:rsidR="00D026F6">
              <w:rPr>
                <w:noProof/>
                <w:webHidden/>
              </w:rPr>
              <w:fldChar w:fldCharType="end"/>
            </w:r>
          </w:hyperlink>
        </w:p>
        <w:p w14:paraId="0A352205" w14:textId="77777777" w:rsidR="00D026F6" w:rsidRDefault="00820A98">
          <w:pPr>
            <w:pStyle w:val="TOC3"/>
            <w:rPr>
              <w:rFonts w:asciiTheme="minorHAnsi" w:eastAsiaTheme="minorEastAsia" w:hAnsiTheme="minorHAnsi" w:cstheme="minorBidi"/>
              <w:noProof/>
              <w:lang w:eastAsia="en-AU"/>
            </w:rPr>
          </w:pPr>
          <w:hyperlink w:anchor="_Toc483899432" w:history="1">
            <w:r w:rsidR="00D026F6" w:rsidRPr="00605795">
              <w:rPr>
                <w:rStyle w:val="Hyperlink"/>
                <w:noProof/>
              </w:rPr>
              <w:t>Outcome</w:t>
            </w:r>
            <w:r w:rsidR="00D026F6">
              <w:rPr>
                <w:noProof/>
                <w:webHidden/>
              </w:rPr>
              <w:tab/>
            </w:r>
            <w:r w:rsidR="00D026F6">
              <w:rPr>
                <w:noProof/>
                <w:webHidden/>
              </w:rPr>
              <w:fldChar w:fldCharType="begin"/>
            </w:r>
            <w:r w:rsidR="00D026F6">
              <w:rPr>
                <w:noProof/>
                <w:webHidden/>
              </w:rPr>
              <w:instrText xml:space="preserve"> PAGEREF _Toc483899432 \h </w:instrText>
            </w:r>
            <w:r w:rsidR="00D026F6">
              <w:rPr>
                <w:noProof/>
                <w:webHidden/>
              </w:rPr>
            </w:r>
            <w:r w:rsidR="00D026F6">
              <w:rPr>
                <w:noProof/>
                <w:webHidden/>
              </w:rPr>
              <w:fldChar w:fldCharType="separate"/>
            </w:r>
            <w:r w:rsidR="00D026F6">
              <w:rPr>
                <w:noProof/>
                <w:webHidden/>
              </w:rPr>
              <w:t>58</w:t>
            </w:r>
            <w:r w:rsidR="00D026F6">
              <w:rPr>
                <w:noProof/>
                <w:webHidden/>
              </w:rPr>
              <w:fldChar w:fldCharType="end"/>
            </w:r>
          </w:hyperlink>
        </w:p>
        <w:p w14:paraId="3366C041" w14:textId="77777777" w:rsidR="00D026F6" w:rsidRDefault="00820A98">
          <w:pPr>
            <w:pStyle w:val="TOC2"/>
            <w:rPr>
              <w:rFonts w:asciiTheme="minorHAnsi" w:eastAsiaTheme="minorEastAsia" w:hAnsiTheme="minorHAnsi" w:cstheme="minorBidi"/>
              <w:b w:val="0"/>
              <w:noProof/>
              <w:sz w:val="22"/>
              <w:lang w:eastAsia="en-AU"/>
            </w:rPr>
          </w:pPr>
          <w:hyperlink w:anchor="_Toc483899433" w:history="1">
            <w:r w:rsidR="00D026F6" w:rsidRPr="00605795">
              <w:rPr>
                <w:rStyle w:val="Hyperlink"/>
                <w:noProof/>
              </w:rPr>
              <w:t>Attachment 1. Product Information</w:t>
            </w:r>
            <w:r w:rsidR="00D026F6">
              <w:rPr>
                <w:noProof/>
                <w:webHidden/>
              </w:rPr>
              <w:tab/>
            </w:r>
            <w:r w:rsidR="00D026F6">
              <w:rPr>
                <w:noProof/>
                <w:webHidden/>
              </w:rPr>
              <w:fldChar w:fldCharType="begin"/>
            </w:r>
            <w:r w:rsidR="00D026F6">
              <w:rPr>
                <w:noProof/>
                <w:webHidden/>
              </w:rPr>
              <w:instrText xml:space="preserve"> PAGEREF _Toc483899433 \h </w:instrText>
            </w:r>
            <w:r w:rsidR="00D026F6">
              <w:rPr>
                <w:noProof/>
                <w:webHidden/>
              </w:rPr>
            </w:r>
            <w:r w:rsidR="00D026F6">
              <w:rPr>
                <w:noProof/>
                <w:webHidden/>
              </w:rPr>
              <w:fldChar w:fldCharType="separate"/>
            </w:r>
            <w:r w:rsidR="00D026F6">
              <w:rPr>
                <w:noProof/>
                <w:webHidden/>
              </w:rPr>
              <w:t>58</w:t>
            </w:r>
            <w:r w:rsidR="00D026F6">
              <w:rPr>
                <w:noProof/>
                <w:webHidden/>
              </w:rPr>
              <w:fldChar w:fldCharType="end"/>
            </w:r>
          </w:hyperlink>
        </w:p>
        <w:p w14:paraId="07EA5E6D" w14:textId="77777777" w:rsidR="00D026F6" w:rsidRDefault="00820A98">
          <w:pPr>
            <w:pStyle w:val="TOC2"/>
            <w:rPr>
              <w:rFonts w:asciiTheme="minorHAnsi" w:eastAsiaTheme="minorEastAsia" w:hAnsiTheme="minorHAnsi" w:cstheme="minorBidi"/>
              <w:b w:val="0"/>
              <w:noProof/>
              <w:sz w:val="22"/>
              <w:lang w:eastAsia="en-AU"/>
            </w:rPr>
          </w:pPr>
          <w:hyperlink w:anchor="_Toc483899434" w:history="1">
            <w:r w:rsidR="00D026F6" w:rsidRPr="00605795">
              <w:rPr>
                <w:rStyle w:val="Hyperlink"/>
                <w:noProof/>
                <w:lang w:eastAsia="en-AU"/>
              </w:rPr>
              <w:t>Attachment 2. Extract from the Clinical Evaluation Report</w:t>
            </w:r>
            <w:r w:rsidR="00D026F6">
              <w:rPr>
                <w:noProof/>
                <w:webHidden/>
              </w:rPr>
              <w:tab/>
            </w:r>
            <w:r w:rsidR="00D026F6">
              <w:rPr>
                <w:noProof/>
                <w:webHidden/>
              </w:rPr>
              <w:fldChar w:fldCharType="begin"/>
            </w:r>
            <w:r w:rsidR="00D026F6">
              <w:rPr>
                <w:noProof/>
                <w:webHidden/>
              </w:rPr>
              <w:instrText xml:space="preserve"> PAGEREF _Toc483899434 \h </w:instrText>
            </w:r>
            <w:r w:rsidR="00D026F6">
              <w:rPr>
                <w:noProof/>
                <w:webHidden/>
              </w:rPr>
            </w:r>
            <w:r w:rsidR="00D026F6">
              <w:rPr>
                <w:noProof/>
                <w:webHidden/>
              </w:rPr>
              <w:fldChar w:fldCharType="separate"/>
            </w:r>
            <w:r w:rsidR="00D026F6">
              <w:rPr>
                <w:noProof/>
                <w:webHidden/>
              </w:rPr>
              <w:t>58</w:t>
            </w:r>
            <w:r w:rsidR="00D026F6">
              <w:rPr>
                <w:noProof/>
                <w:webHidden/>
              </w:rPr>
              <w:fldChar w:fldCharType="end"/>
            </w:r>
          </w:hyperlink>
        </w:p>
        <w:p w14:paraId="597E7E96" w14:textId="77777777" w:rsidR="00CE6FBE" w:rsidRDefault="00DB6124" w:rsidP="00CE6FBE">
          <w:pPr>
            <w:pStyle w:val="TOC2"/>
            <w:ind w:left="0"/>
          </w:pPr>
          <w:r>
            <w:lastRenderedPageBreak/>
            <w:fldChar w:fldCharType="end"/>
          </w:r>
        </w:p>
      </w:sdtContent>
    </w:sdt>
    <w:bookmarkStart w:id="3" w:name="_Toc351716269" w:displacedByCustomXml="prev"/>
    <w:bookmarkStart w:id="4" w:name="_Toc351718881" w:displacedByCustomXml="prev"/>
    <w:bookmarkStart w:id="5" w:name="_Toc355338616" w:displacedByCustomXml="prev"/>
    <w:bookmarkStart w:id="6" w:name="_Toc356306144" w:displacedByCustomXml="prev"/>
    <w:bookmarkStart w:id="7" w:name="_Toc314842482" w:displacedByCustomXml="prev"/>
    <w:p w14:paraId="40ABD962" w14:textId="3E2CD89B" w:rsidR="00FD119B" w:rsidRPr="00FD119B" w:rsidRDefault="00441C3F" w:rsidP="00CE6FBE">
      <w:pPr>
        <w:pStyle w:val="Heading2"/>
      </w:pPr>
      <w:bookmarkStart w:id="8" w:name="_Toc483899401"/>
      <w:r>
        <w:t>Common</w:t>
      </w:r>
      <w:r w:rsidR="00FD119B" w:rsidRPr="00FD119B">
        <w:t xml:space="preserve"> abbreviations</w:t>
      </w:r>
      <w:bookmarkEnd w:id="8"/>
      <w:bookmarkEnd w:id="6"/>
      <w:bookmarkEnd w:id="5"/>
      <w:bookmarkEnd w:id="4"/>
      <w:bookmarkEnd w:id="3"/>
    </w:p>
    <w:tbl>
      <w:tblPr>
        <w:tblStyle w:val="TableTGAblue"/>
        <w:tblW w:w="0" w:type="auto"/>
        <w:tblLook w:val="04A0" w:firstRow="1" w:lastRow="0" w:firstColumn="1" w:lastColumn="0" w:noHBand="0" w:noVBand="1"/>
      </w:tblPr>
      <w:tblGrid>
        <w:gridCol w:w="1809"/>
        <w:gridCol w:w="6911"/>
      </w:tblGrid>
      <w:tr w:rsidR="00FD119B" w:rsidRPr="00FD119B" w14:paraId="528805E2" w14:textId="77777777" w:rsidTr="00FD119B">
        <w:trPr>
          <w:cnfStyle w:val="100000000000" w:firstRow="1" w:lastRow="0" w:firstColumn="0" w:lastColumn="0" w:oddVBand="0" w:evenVBand="0" w:oddHBand="0" w:evenHBand="0" w:firstRowFirstColumn="0" w:firstRowLastColumn="0" w:lastRowFirstColumn="0" w:lastRowLastColumn="0"/>
        </w:trPr>
        <w:tc>
          <w:tcPr>
            <w:tcW w:w="1809" w:type="dxa"/>
          </w:tcPr>
          <w:p w14:paraId="1BBF4E7C" w14:textId="0A06CAFA" w:rsidR="00FD119B" w:rsidRPr="00FD119B" w:rsidRDefault="00FD119B" w:rsidP="00FD119B">
            <w:pPr>
              <w:keepNext w:val="0"/>
              <w:ind w:left="0" w:right="0"/>
              <w:rPr>
                <w:szCs w:val="22"/>
                <w:lang w:eastAsia="en-US"/>
              </w:rPr>
            </w:pPr>
            <w:r w:rsidRPr="00FD119B">
              <w:rPr>
                <w:szCs w:val="22"/>
                <w:lang w:eastAsia="en-US"/>
              </w:rPr>
              <w:t>Abbreviation</w:t>
            </w:r>
          </w:p>
        </w:tc>
        <w:tc>
          <w:tcPr>
            <w:tcW w:w="6911" w:type="dxa"/>
          </w:tcPr>
          <w:p w14:paraId="1532A246" w14:textId="77777777" w:rsidR="00FD119B" w:rsidRPr="00FD119B" w:rsidRDefault="00FD119B" w:rsidP="00FD119B">
            <w:pPr>
              <w:keepNext w:val="0"/>
              <w:ind w:left="0" w:right="0"/>
              <w:rPr>
                <w:szCs w:val="22"/>
                <w:lang w:eastAsia="en-US"/>
              </w:rPr>
            </w:pPr>
            <w:r w:rsidRPr="00FD119B">
              <w:rPr>
                <w:szCs w:val="22"/>
                <w:lang w:eastAsia="en-US"/>
              </w:rPr>
              <w:t>Meaning</w:t>
            </w:r>
          </w:p>
        </w:tc>
      </w:tr>
      <w:tr w:rsidR="007801FA" w:rsidRPr="00FD119B" w14:paraId="3B99B48C" w14:textId="77777777" w:rsidTr="00356B53">
        <w:trPr>
          <w:trHeight w:val="533"/>
        </w:trPr>
        <w:tc>
          <w:tcPr>
            <w:tcW w:w="1809" w:type="dxa"/>
          </w:tcPr>
          <w:p w14:paraId="4756A09E" w14:textId="77777777" w:rsidR="007801FA" w:rsidRPr="0099058E" w:rsidRDefault="007801FA" w:rsidP="007801FA">
            <w:r>
              <w:t>AE</w:t>
            </w:r>
          </w:p>
        </w:tc>
        <w:tc>
          <w:tcPr>
            <w:tcW w:w="6911" w:type="dxa"/>
          </w:tcPr>
          <w:p w14:paraId="615CAE5B" w14:textId="77777777" w:rsidR="007801FA" w:rsidRPr="0099058E" w:rsidRDefault="007801FA" w:rsidP="007801FA">
            <w:r w:rsidRPr="0099058E">
              <w:t>Adverse Event</w:t>
            </w:r>
          </w:p>
        </w:tc>
      </w:tr>
      <w:tr w:rsidR="007801FA" w:rsidRPr="00FD119B" w14:paraId="18124E8E" w14:textId="77777777" w:rsidTr="00FD119B">
        <w:tc>
          <w:tcPr>
            <w:tcW w:w="1809" w:type="dxa"/>
          </w:tcPr>
          <w:p w14:paraId="12B03062" w14:textId="77777777" w:rsidR="007801FA" w:rsidRPr="0099058E" w:rsidRDefault="007801FA" w:rsidP="007801FA">
            <w:r>
              <w:t>BP</w:t>
            </w:r>
          </w:p>
        </w:tc>
        <w:tc>
          <w:tcPr>
            <w:tcW w:w="6911" w:type="dxa"/>
          </w:tcPr>
          <w:p w14:paraId="0C3CEB0F" w14:textId="77777777" w:rsidR="007801FA" w:rsidRPr="0099058E" w:rsidRDefault="007801FA" w:rsidP="007801FA">
            <w:r w:rsidRPr="0099058E">
              <w:t>Blood Pressure</w:t>
            </w:r>
          </w:p>
        </w:tc>
      </w:tr>
      <w:tr w:rsidR="007801FA" w:rsidRPr="00FD119B" w14:paraId="2C76E41B" w14:textId="77777777" w:rsidTr="00FD119B">
        <w:tc>
          <w:tcPr>
            <w:tcW w:w="1809" w:type="dxa"/>
          </w:tcPr>
          <w:p w14:paraId="115C6898" w14:textId="77777777" w:rsidR="007801FA" w:rsidRPr="0099058E" w:rsidRDefault="007801FA" w:rsidP="007801FA">
            <w:proofErr w:type="spellStart"/>
            <w:r>
              <w:t>cAMP</w:t>
            </w:r>
            <w:proofErr w:type="spellEnd"/>
          </w:p>
        </w:tc>
        <w:tc>
          <w:tcPr>
            <w:tcW w:w="6911" w:type="dxa"/>
          </w:tcPr>
          <w:p w14:paraId="21253BE1" w14:textId="77777777" w:rsidR="007801FA" w:rsidRPr="0099058E" w:rsidRDefault="007801FA" w:rsidP="007801FA">
            <w:r w:rsidRPr="0099058E">
              <w:t>Cyclic Adenosine Monophosphate</w:t>
            </w:r>
          </w:p>
        </w:tc>
      </w:tr>
      <w:tr w:rsidR="007801FA" w:rsidRPr="00FD119B" w14:paraId="31A8D171" w14:textId="77777777" w:rsidTr="00FD119B">
        <w:tc>
          <w:tcPr>
            <w:tcW w:w="1809" w:type="dxa"/>
          </w:tcPr>
          <w:p w14:paraId="6819B094" w14:textId="77777777" w:rsidR="007801FA" w:rsidRPr="0099058E" w:rsidRDefault="007801FA" w:rsidP="007801FA">
            <w:r>
              <w:t>cGMP</w:t>
            </w:r>
          </w:p>
        </w:tc>
        <w:tc>
          <w:tcPr>
            <w:tcW w:w="6911" w:type="dxa"/>
          </w:tcPr>
          <w:p w14:paraId="3C9816A0" w14:textId="77777777" w:rsidR="007801FA" w:rsidRPr="0099058E" w:rsidRDefault="007801FA" w:rsidP="007801FA">
            <w:r w:rsidRPr="0099058E">
              <w:t>Cyclic Guanosine Monophosphate</w:t>
            </w:r>
          </w:p>
        </w:tc>
      </w:tr>
      <w:tr w:rsidR="007801FA" w:rsidRPr="00FD119B" w14:paraId="3E011C01" w14:textId="77777777" w:rsidTr="00FD119B">
        <w:tc>
          <w:tcPr>
            <w:tcW w:w="1809" w:type="dxa"/>
          </w:tcPr>
          <w:p w14:paraId="3477A34F" w14:textId="77777777" w:rsidR="007801FA" w:rsidRPr="0099058E" w:rsidRDefault="007801FA" w:rsidP="007801FA">
            <w:r>
              <w:t>CHMP</w:t>
            </w:r>
          </w:p>
        </w:tc>
        <w:tc>
          <w:tcPr>
            <w:tcW w:w="6911" w:type="dxa"/>
          </w:tcPr>
          <w:p w14:paraId="6CC0DD92" w14:textId="77777777" w:rsidR="007801FA" w:rsidRPr="0099058E" w:rsidRDefault="007801FA" w:rsidP="007801FA">
            <w:r w:rsidRPr="0099058E">
              <w:t>Committee for Medicinal Products for Human Use</w:t>
            </w:r>
          </w:p>
        </w:tc>
      </w:tr>
      <w:tr w:rsidR="007801FA" w:rsidRPr="00FD119B" w14:paraId="29F0622E" w14:textId="77777777" w:rsidTr="00FD119B">
        <w:tc>
          <w:tcPr>
            <w:tcW w:w="1809" w:type="dxa"/>
          </w:tcPr>
          <w:p w14:paraId="4B9C36D7" w14:textId="77777777" w:rsidR="007801FA" w:rsidRPr="0099058E" w:rsidRDefault="007801FA" w:rsidP="007801FA">
            <w:r>
              <w:t>CI</w:t>
            </w:r>
          </w:p>
        </w:tc>
        <w:tc>
          <w:tcPr>
            <w:tcW w:w="6911" w:type="dxa"/>
          </w:tcPr>
          <w:p w14:paraId="42F0C633" w14:textId="77777777" w:rsidR="007801FA" w:rsidRPr="0099058E" w:rsidRDefault="00356B53" w:rsidP="007801FA">
            <w:r>
              <w:t>Confidence interval</w:t>
            </w:r>
          </w:p>
        </w:tc>
      </w:tr>
      <w:tr w:rsidR="007801FA" w:rsidRPr="00FD119B" w14:paraId="75782DDB" w14:textId="77777777" w:rsidTr="00FD119B">
        <w:tc>
          <w:tcPr>
            <w:tcW w:w="1809" w:type="dxa"/>
          </w:tcPr>
          <w:p w14:paraId="05F3356A" w14:textId="77777777" w:rsidR="007801FA" w:rsidRPr="0099058E" w:rsidRDefault="007801FA" w:rsidP="007801FA">
            <w:r w:rsidRPr="0099058E">
              <w:t>CMI</w:t>
            </w:r>
          </w:p>
        </w:tc>
        <w:tc>
          <w:tcPr>
            <w:tcW w:w="6911" w:type="dxa"/>
          </w:tcPr>
          <w:p w14:paraId="5E54C78C" w14:textId="77777777" w:rsidR="007801FA" w:rsidRPr="0099058E" w:rsidRDefault="008F1362" w:rsidP="008F1362">
            <w:r>
              <w:t>Consumer Medicine Information</w:t>
            </w:r>
          </w:p>
        </w:tc>
      </w:tr>
      <w:tr w:rsidR="007801FA" w:rsidRPr="00FD119B" w14:paraId="6E2CC84A" w14:textId="77777777" w:rsidTr="00FD119B">
        <w:tc>
          <w:tcPr>
            <w:tcW w:w="1809" w:type="dxa"/>
          </w:tcPr>
          <w:p w14:paraId="1E842F42" w14:textId="77777777" w:rsidR="007801FA" w:rsidRPr="0099058E" w:rsidRDefault="007801FA" w:rsidP="007801FA">
            <w:r>
              <w:t>CO</w:t>
            </w:r>
          </w:p>
        </w:tc>
        <w:tc>
          <w:tcPr>
            <w:tcW w:w="6911" w:type="dxa"/>
          </w:tcPr>
          <w:p w14:paraId="5015C4D4" w14:textId="77777777" w:rsidR="007801FA" w:rsidRPr="0099058E" w:rsidRDefault="00356B53" w:rsidP="007801FA">
            <w:r w:rsidRPr="0099058E">
              <w:t>Cardiac Output</w:t>
            </w:r>
          </w:p>
        </w:tc>
      </w:tr>
      <w:tr w:rsidR="007801FA" w:rsidRPr="00FD119B" w14:paraId="3F442529" w14:textId="77777777" w:rsidTr="00FD119B">
        <w:tc>
          <w:tcPr>
            <w:tcW w:w="1809" w:type="dxa"/>
          </w:tcPr>
          <w:p w14:paraId="470C9F77" w14:textId="77777777" w:rsidR="007801FA" w:rsidRPr="0099058E" w:rsidRDefault="007801FA" w:rsidP="007801FA">
            <w:r>
              <w:t>CPB</w:t>
            </w:r>
          </w:p>
        </w:tc>
        <w:tc>
          <w:tcPr>
            <w:tcW w:w="6911" w:type="dxa"/>
          </w:tcPr>
          <w:p w14:paraId="4A4E7750" w14:textId="77777777" w:rsidR="007801FA" w:rsidRPr="0099058E" w:rsidRDefault="007801FA" w:rsidP="007801FA">
            <w:r w:rsidRPr="0099058E">
              <w:t>Cardio Pulmonary Bypass</w:t>
            </w:r>
          </w:p>
        </w:tc>
      </w:tr>
      <w:tr w:rsidR="007801FA" w:rsidRPr="00FD119B" w14:paraId="257F913A" w14:textId="77777777" w:rsidTr="00FD119B">
        <w:tc>
          <w:tcPr>
            <w:tcW w:w="1809" w:type="dxa"/>
          </w:tcPr>
          <w:p w14:paraId="34525B5B" w14:textId="77777777" w:rsidR="007801FA" w:rsidRPr="0099058E" w:rsidRDefault="007801FA" w:rsidP="007801FA">
            <w:r>
              <w:t>DB</w:t>
            </w:r>
          </w:p>
        </w:tc>
        <w:tc>
          <w:tcPr>
            <w:tcW w:w="6911" w:type="dxa"/>
          </w:tcPr>
          <w:p w14:paraId="56877425" w14:textId="77777777" w:rsidR="007801FA" w:rsidRPr="0099058E" w:rsidRDefault="007801FA" w:rsidP="007801FA">
            <w:r w:rsidRPr="0099058E">
              <w:t>Double Blind</w:t>
            </w:r>
          </w:p>
        </w:tc>
      </w:tr>
      <w:tr w:rsidR="007801FA" w:rsidRPr="00FD119B" w14:paraId="18DC5F81" w14:textId="77777777" w:rsidTr="00FD119B">
        <w:tc>
          <w:tcPr>
            <w:tcW w:w="1809" w:type="dxa"/>
          </w:tcPr>
          <w:p w14:paraId="29F3131F" w14:textId="77777777" w:rsidR="007801FA" w:rsidRPr="0099058E" w:rsidRDefault="007801FA" w:rsidP="007801FA">
            <w:r>
              <w:t>ECG</w:t>
            </w:r>
          </w:p>
        </w:tc>
        <w:tc>
          <w:tcPr>
            <w:tcW w:w="6911" w:type="dxa"/>
          </w:tcPr>
          <w:p w14:paraId="6D3156D0" w14:textId="77777777" w:rsidR="007801FA" w:rsidRPr="0099058E" w:rsidRDefault="007801FA" w:rsidP="007801FA">
            <w:r w:rsidRPr="0099058E">
              <w:t>Electrocardiogram</w:t>
            </w:r>
          </w:p>
        </w:tc>
      </w:tr>
      <w:tr w:rsidR="007801FA" w:rsidRPr="00FD119B" w14:paraId="7A5E546D" w14:textId="77777777" w:rsidTr="00FD119B">
        <w:tc>
          <w:tcPr>
            <w:tcW w:w="1809" w:type="dxa"/>
          </w:tcPr>
          <w:p w14:paraId="594887BE" w14:textId="77777777" w:rsidR="007801FA" w:rsidRPr="0099058E" w:rsidRDefault="007801FA" w:rsidP="007801FA">
            <w:r>
              <w:t>EF</w:t>
            </w:r>
          </w:p>
        </w:tc>
        <w:tc>
          <w:tcPr>
            <w:tcW w:w="6911" w:type="dxa"/>
          </w:tcPr>
          <w:p w14:paraId="4E8C607C" w14:textId="77777777" w:rsidR="007801FA" w:rsidRPr="0099058E" w:rsidRDefault="007801FA" w:rsidP="007801FA">
            <w:r w:rsidRPr="0099058E">
              <w:t>Ejection Fraction</w:t>
            </w:r>
          </w:p>
        </w:tc>
      </w:tr>
      <w:tr w:rsidR="007801FA" w:rsidRPr="00FD119B" w14:paraId="04CE4D0B" w14:textId="77777777" w:rsidTr="00FD119B">
        <w:tc>
          <w:tcPr>
            <w:tcW w:w="1809" w:type="dxa"/>
          </w:tcPr>
          <w:p w14:paraId="0FD9E292" w14:textId="77777777" w:rsidR="007801FA" w:rsidRPr="0099058E" w:rsidRDefault="00356B53" w:rsidP="007801FA">
            <w:r w:rsidRPr="00247A92">
              <w:t>FiO</w:t>
            </w:r>
            <w:r w:rsidRPr="00356B53">
              <w:rPr>
                <w:vertAlign w:val="subscript"/>
              </w:rPr>
              <w:t>2</w:t>
            </w:r>
          </w:p>
        </w:tc>
        <w:tc>
          <w:tcPr>
            <w:tcW w:w="6911" w:type="dxa"/>
          </w:tcPr>
          <w:p w14:paraId="34D5B004" w14:textId="77777777" w:rsidR="007801FA" w:rsidRPr="0099058E" w:rsidRDefault="007801FA" w:rsidP="007801FA">
            <w:r w:rsidRPr="0099058E">
              <w:t>Fraction of Inspired Oxygen</w:t>
            </w:r>
          </w:p>
        </w:tc>
      </w:tr>
      <w:tr w:rsidR="007801FA" w:rsidRPr="00FD119B" w14:paraId="330FB7D8" w14:textId="77777777" w:rsidTr="00FD119B">
        <w:tc>
          <w:tcPr>
            <w:tcW w:w="1809" w:type="dxa"/>
          </w:tcPr>
          <w:p w14:paraId="796E4C53" w14:textId="77777777" w:rsidR="007801FA" w:rsidRPr="0099058E" w:rsidRDefault="007801FA" w:rsidP="007801FA">
            <w:r>
              <w:t>GCP</w:t>
            </w:r>
          </w:p>
        </w:tc>
        <w:tc>
          <w:tcPr>
            <w:tcW w:w="6911" w:type="dxa"/>
          </w:tcPr>
          <w:p w14:paraId="1773083D" w14:textId="77777777" w:rsidR="007801FA" w:rsidRPr="0099058E" w:rsidRDefault="007801FA" w:rsidP="007801FA">
            <w:r w:rsidRPr="0099058E">
              <w:t>Good Clinical Practice</w:t>
            </w:r>
          </w:p>
        </w:tc>
      </w:tr>
      <w:tr w:rsidR="007801FA" w:rsidRPr="00FD119B" w14:paraId="638BBCC5" w14:textId="77777777" w:rsidTr="00FD119B">
        <w:tc>
          <w:tcPr>
            <w:tcW w:w="1809" w:type="dxa"/>
          </w:tcPr>
          <w:p w14:paraId="7D0CAF55" w14:textId="77777777" w:rsidR="007801FA" w:rsidRPr="0099058E" w:rsidRDefault="007801FA" w:rsidP="007801FA">
            <w:r>
              <w:t>GMP</w:t>
            </w:r>
          </w:p>
        </w:tc>
        <w:tc>
          <w:tcPr>
            <w:tcW w:w="6911" w:type="dxa"/>
          </w:tcPr>
          <w:p w14:paraId="6AAF5639" w14:textId="77777777" w:rsidR="007801FA" w:rsidRPr="0099058E" w:rsidRDefault="007801FA" w:rsidP="007801FA">
            <w:r w:rsidRPr="0099058E">
              <w:t>Guanosine Monophosphate</w:t>
            </w:r>
          </w:p>
        </w:tc>
      </w:tr>
      <w:tr w:rsidR="007801FA" w:rsidRPr="00FD119B" w14:paraId="6A9E6F4E" w14:textId="77777777" w:rsidTr="00FD119B">
        <w:tc>
          <w:tcPr>
            <w:tcW w:w="1809" w:type="dxa"/>
          </w:tcPr>
          <w:p w14:paraId="02D5B945" w14:textId="77777777" w:rsidR="007801FA" w:rsidRPr="0099058E" w:rsidRDefault="007801FA" w:rsidP="007801FA">
            <w:r>
              <w:t>HR</w:t>
            </w:r>
          </w:p>
        </w:tc>
        <w:tc>
          <w:tcPr>
            <w:tcW w:w="6911" w:type="dxa"/>
          </w:tcPr>
          <w:p w14:paraId="5C314E87" w14:textId="77777777" w:rsidR="007801FA" w:rsidRPr="0099058E" w:rsidRDefault="007801FA" w:rsidP="007801FA">
            <w:r w:rsidRPr="0099058E">
              <w:t>Heart Rate</w:t>
            </w:r>
          </w:p>
        </w:tc>
      </w:tr>
      <w:tr w:rsidR="007801FA" w:rsidRPr="00FD119B" w14:paraId="60135A69" w14:textId="77777777" w:rsidTr="00FD119B">
        <w:tc>
          <w:tcPr>
            <w:tcW w:w="1809" w:type="dxa"/>
          </w:tcPr>
          <w:p w14:paraId="5B20E125" w14:textId="77777777" w:rsidR="007801FA" w:rsidRPr="0099058E" w:rsidRDefault="007801FA" w:rsidP="007801FA">
            <w:r w:rsidRPr="0099058E">
              <w:t>HV</w:t>
            </w:r>
          </w:p>
        </w:tc>
        <w:tc>
          <w:tcPr>
            <w:tcW w:w="6911" w:type="dxa"/>
          </w:tcPr>
          <w:p w14:paraId="176A322B" w14:textId="77777777" w:rsidR="007801FA" w:rsidRPr="0099058E" w:rsidRDefault="007801FA" w:rsidP="00356B53">
            <w:r w:rsidRPr="0099058E">
              <w:t>Hyperventilation</w:t>
            </w:r>
            <w:r w:rsidR="00356B53">
              <w:t xml:space="preserve"> (induced alkalosis)</w:t>
            </w:r>
          </w:p>
        </w:tc>
      </w:tr>
      <w:tr w:rsidR="007801FA" w:rsidRPr="00FD119B" w14:paraId="1BF79DB5" w14:textId="77777777" w:rsidTr="00FD119B">
        <w:tc>
          <w:tcPr>
            <w:tcW w:w="1809" w:type="dxa"/>
          </w:tcPr>
          <w:p w14:paraId="61805039" w14:textId="77777777" w:rsidR="007801FA" w:rsidRPr="0099058E" w:rsidRDefault="007801FA" w:rsidP="007801FA">
            <w:r>
              <w:t>iNO</w:t>
            </w:r>
          </w:p>
        </w:tc>
        <w:tc>
          <w:tcPr>
            <w:tcW w:w="6911" w:type="dxa"/>
          </w:tcPr>
          <w:p w14:paraId="129291FF" w14:textId="77777777" w:rsidR="007801FA" w:rsidRPr="0099058E" w:rsidRDefault="007801FA" w:rsidP="007801FA">
            <w:r w:rsidRPr="0099058E">
              <w:t>inhaled Nitric Oxide</w:t>
            </w:r>
          </w:p>
        </w:tc>
      </w:tr>
      <w:tr w:rsidR="007801FA" w:rsidRPr="00FD119B" w14:paraId="5B346902" w14:textId="77777777" w:rsidTr="00FD119B">
        <w:tc>
          <w:tcPr>
            <w:tcW w:w="1809" w:type="dxa"/>
          </w:tcPr>
          <w:p w14:paraId="0569F9D5" w14:textId="77777777" w:rsidR="007801FA" w:rsidRPr="0099058E" w:rsidRDefault="007801FA" w:rsidP="007801FA">
            <w:r>
              <w:t>iPGI2</w:t>
            </w:r>
          </w:p>
        </w:tc>
        <w:tc>
          <w:tcPr>
            <w:tcW w:w="6911" w:type="dxa"/>
          </w:tcPr>
          <w:p w14:paraId="4DA20205" w14:textId="77777777" w:rsidR="007801FA" w:rsidRPr="0099058E" w:rsidRDefault="007801FA" w:rsidP="007801FA">
            <w:r w:rsidRPr="0099058E">
              <w:t>inhaled Prostacyclin (prostaglandin I2)</w:t>
            </w:r>
          </w:p>
        </w:tc>
      </w:tr>
      <w:tr w:rsidR="009C010A" w:rsidRPr="00FD119B" w14:paraId="7EFB67AB" w14:textId="77777777" w:rsidTr="00FD119B">
        <w:tc>
          <w:tcPr>
            <w:tcW w:w="1809" w:type="dxa"/>
          </w:tcPr>
          <w:p w14:paraId="04AD60D9" w14:textId="77777777" w:rsidR="009C010A" w:rsidRDefault="009C010A" w:rsidP="007801FA">
            <w:r>
              <w:rPr>
                <w:lang w:val="en"/>
              </w:rPr>
              <w:t>IPPV</w:t>
            </w:r>
          </w:p>
        </w:tc>
        <w:tc>
          <w:tcPr>
            <w:tcW w:w="6911" w:type="dxa"/>
          </w:tcPr>
          <w:p w14:paraId="0A69269F" w14:textId="77777777" w:rsidR="009C010A" w:rsidRPr="0099058E" w:rsidRDefault="009C010A" w:rsidP="009C010A">
            <w:r>
              <w:rPr>
                <w:lang w:val="en"/>
              </w:rPr>
              <w:t>intermittent positive pressure ventilation</w:t>
            </w:r>
          </w:p>
        </w:tc>
      </w:tr>
      <w:tr w:rsidR="007801FA" w:rsidRPr="00FD119B" w14:paraId="74499FAB" w14:textId="77777777" w:rsidTr="00FD119B">
        <w:tc>
          <w:tcPr>
            <w:tcW w:w="1809" w:type="dxa"/>
          </w:tcPr>
          <w:p w14:paraId="0DC4F705" w14:textId="77777777" w:rsidR="007801FA" w:rsidRPr="0099058E" w:rsidRDefault="007801FA" w:rsidP="007801FA">
            <w:r>
              <w:t>IQR</w:t>
            </w:r>
          </w:p>
        </w:tc>
        <w:tc>
          <w:tcPr>
            <w:tcW w:w="6911" w:type="dxa"/>
          </w:tcPr>
          <w:p w14:paraId="584543DF" w14:textId="77777777" w:rsidR="007801FA" w:rsidRPr="0099058E" w:rsidRDefault="007801FA" w:rsidP="007801FA">
            <w:r w:rsidRPr="0099058E">
              <w:t>Interquartile range</w:t>
            </w:r>
          </w:p>
        </w:tc>
      </w:tr>
      <w:tr w:rsidR="007801FA" w:rsidRPr="00FD119B" w14:paraId="72447111" w14:textId="77777777" w:rsidTr="00FD119B">
        <w:tc>
          <w:tcPr>
            <w:tcW w:w="1809" w:type="dxa"/>
          </w:tcPr>
          <w:p w14:paraId="477F6545" w14:textId="77777777" w:rsidR="007801FA" w:rsidRPr="0099058E" w:rsidRDefault="007801FA" w:rsidP="007801FA">
            <w:r>
              <w:t>LVAD</w:t>
            </w:r>
          </w:p>
        </w:tc>
        <w:tc>
          <w:tcPr>
            <w:tcW w:w="6911" w:type="dxa"/>
          </w:tcPr>
          <w:p w14:paraId="7D5CF589" w14:textId="77777777" w:rsidR="007801FA" w:rsidRPr="0099058E" w:rsidRDefault="007801FA" w:rsidP="007801FA">
            <w:r w:rsidRPr="0099058E">
              <w:t>Left Ventricular Assist Device</w:t>
            </w:r>
          </w:p>
        </w:tc>
      </w:tr>
      <w:tr w:rsidR="007801FA" w:rsidRPr="00FD119B" w14:paraId="11AC5FA8" w14:textId="77777777" w:rsidTr="00FD119B">
        <w:tc>
          <w:tcPr>
            <w:tcW w:w="1809" w:type="dxa"/>
          </w:tcPr>
          <w:p w14:paraId="46B29362" w14:textId="77777777" w:rsidR="007801FA" w:rsidRPr="0099058E" w:rsidRDefault="007801FA" w:rsidP="007801FA">
            <w:r>
              <w:t>MAH</w:t>
            </w:r>
          </w:p>
        </w:tc>
        <w:tc>
          <w:tcPr>
            <w:tcW w:w="6911" w:type="dxa"/>
          </w:tcPr>
          <w:p w14:paraId="4BCCFA55" w14:textId="77777777" w:rsidR="007801FA" w:rsidRPr="0099058E" w:rsidRDefault="007801FA" w:rsidP="007801FA">
            <w:r w:rsidRPr="0099058E">
              <w:t>Marketing Authorisation Holder</w:t>
            </w:r>
          </w:p>
        </w:tc>
      </w:tr>
      <w:tr w:rsidR="007801FA" w:rsidRPr="00FD119B" w14:paraId="40F11EA9" w14:textId="77777777" w:rsidTr="00FD119B">
        <w:tc>
          <w:tcPr>
            <w:tcW w:w="1809" w:type="dxa"/>
          </w:tcPr>
          <w:p w14:paraId="1CDE5C2B" w14:textId="77777777" w:rsidR="007801FA" w:rsidRPr="0099058E" w:rsidRDefault="00E3550D" w:rsidP="007801FA">
            <w:proofErr w:type="spellStart"/>
            <w:r>
              <w:lastRenderedPageBreak/>
              <w:t>metHb</w:t>
            </w:r>
            <w:proofErr w:type="spellEnd"/>
          </w:p>
        </w:tc>
        <w:tc>
          <w:tcPr>
            <w:tcW w:w="6911" w:type="dxa"/>
          </w:tcPr>
          <w:p w14:paraId="19829093" w14:textId="77777777" w:rsidR="007801FA" w:rsidRPr="0099058E" w:rsidRDefault="007801FA" w:rsidP="007801FA">
            <w:proofErr w:type="spellStart"/>
            <w:r w:rsidRPr="0099058E">
              <w:t>Methahaemoglobin</w:t>
            </w:r>
            <w:proofErr w:type="spellEnd"/>
          </w:p>
        </w:tc>
      </w:tr>
      <w:tr w:rsidR="007801FA" w:rsidRPr="00FD119B" w14:paraId="5587EF99" w14:textId="77777777" w:rsidTr="00FD119B">
        <w:tc>
          <w:tcPr>
            <w:tcW w:w="1809" w:type="dxa"/>
          </w:tcPr>
          <w:p w14:paraId="7D320944" w14:textId="77777777" w:rsidR="007801FA" w:rsidRPr="0099058E" w:rsidRDefault="007801FA" w:rsidP="007801FA">
            <w:r>
              <w:t>mmHg</w:t>
            </w:r>
          </w:p>
        </w:tc>
        <w:tc>
          <w:tcPr>
            <w:tcW w:w="6911" w:type="dxa"/>
          </w:tcPr>
          <w:p w14:paraId="039A67AC" w14:textId="77777777" w:rsidR="007801FA" w:rsidRPr="0099058E" w:rsidRDefault="007801FA" w:rsidP="007801FA">
            <w:r w:rsidRPr="0099058E">
              <w:t>mm of Mercury</w:t>
            </w:r>
          </w:p>
        </w:tc>
      </w:tr>
      <w:tr w:rsidR="007801FA" w:rsidRPr="00FD119B" w14:paraId="3FCB6133" w14:textId="77777777" w:rsidTr="00FD119B">
        <w:tc>
          <w:tcPr>
            <w:tcW w:w="1809" w:type="dxa"/>
          </w:tcPr>
          <w:p w14:paraId="5AFFB0AC" w14:textId="77777777" w:rsidR="007801FA" w:rsidRPr="0099058E" w:rsidRDefault="007801FA" w:rsidP="007801FA">
            <w:proofErr w:type="spellStart"/>
            <w:r>
              <w:t>mPAP</w:t>
            </w:r>
            <w:proofErr w:type="spellEnd"/>
          </w:p>
        </w:tc>
        <w:tc>
          <w:tcPr>
            <w:tcW w:w="6911" w:type="dxa"/>
          </w:tcPr>
          <w:p w14:paraId="1E29AC80" w14:textId="77777777" w:rsidR="007801FA" w:rsidRPr="0099058E" w:rsidRDefault="007801FA" w:rsidP="007801FA">
            <w:r w:rsidRPr="0099058E">
              <w:t>Mean Pulmonary Artery Pressure</w:t>
            </w:r>
          </w:p>
        </w:tc>
      </w:tr>
      <w:tr w:rsidR="007801FA" w:rsidRPr="00FD119B" w14:paraId="3170DA34" w14:textId="77777777" w:rsidTr="00FD119B">
        <w:tc>
          <w:tcPr>
            <w:tcW w:w="1809" w:type="dxa"/>
          </w:tcPr>
          <w:p w14:paraId="785CABEE" w14:textId="77777777" w:rsidR="007801FA" w:rsidRPr="0099058E" w:rsidRDefault="007801FA" w:rsidP="007801FA">
            <w:proofErr w:type="spellStart"/>
            <w:r>
              <w:t>mSAP</w:t>
            </w:r>
            <w:proofErr w:type="spellEnd"/>
          </w:p>
        </w:tc>
        <w:tc>
          <w:tcPr>
            <w:tcW w:w="6911" w:type="dxa"/>
          </w:tcPr>
          <w:p w14:paraId="163CB177" w14:textId="77777777" w:rsidR="007801FA" w:rsidRPr="0099058E" w:rsidRDefault="007801FA" w:rsidP="007801FA">
            <w:r w:rsidRPr="0099058E">
              <w:t>Mean Systemic Arterial Pressure</w:t>
            </w:r>
          </w:p>
        </w:tc>
      </w:tr>
      <w:tr w:rsidR="007801FA" w:rsidRPr="00FD119B" w14:paraId="5A689C4D" w14:textId="77777777" w:rsidTr="00FD119B">
        <w:tc>
          <w:tcPr>
            <w:tcW w:w="1809" w:type="dxa"/>
          </w:tcPr>
          <w:p w14:paraId="516FCAAA" w14:textId="77777777" w:rsidR="007801FA" w:rsidRPr="0099058E" w:rsidRDefault="007801FA" w:rsidP="007801FA">
            <w:r>
              <w:t>N</w:t>
            </w:r>
            <w:r w:rsidRPr="00EB7308">
              <w:rPr>
                <w:vertAlign w:val="subscript"/>
              </w:rPr>
              <w:t>2</w:t>
            </w:r>
          </w:p>
        </w:tc>
        <w:tc>
          <w:tcPr>
            <w:tcW w:w="6911" w:type="dxa"/>
          </w:tcPr>
          <w:p w14:paraId="48BECA6D" w14:textId="77777777" w:rsidR="007801FA" w:rsidRPr="0099058E" w:rsidRDefault="007801FA" w:rsidP="007801FA">
            <w:r w:rsidRPr="0099058E">
              <w:t>Nitrogen</w:t>
            </w:r>
          </w:p>
        </w:tc>
      </w:tr>
      <w:tr w:rsidR="007801FA" w:rsidRPr="00FD119B" w14:paraId="49610057" w14:textId="77777777" w:rsidTr="00FD119B">
        <w:tc>
          <w:tcPr>
            <w:tcW w:w="1809" w:type="dxa"/>
          </w:tcPr>
          <w:p w14:paraId="7A41149B" w14:textId="77777777" w:rsidR="007801FA" w:rsidRPr="0099058E" w:rsidRDefault="007801FA" w:rsidP="007801FA">
            <w:r>
              <w:t>NO</w:t>
            </w:r>
          </w:p>
        </w:tc>
        <w:tc>
          <w:tcPr>
            <w:tcW w:w="6911" w:type="dxa"/>
          </w:tcPr>
          <w:p w14:paraId="2DC067F5" w14:textId="77777777" w:rsidR="007801FA" w:rsidRPr="0099058E" w:rsidRDefault="007801FA" w:rsidP="007801FA">
            <w:r w:rsidRPr="0099058E">
              <w:t>Nitric Oxide</w:t>
            </w:r>
          </w:p>
        </w:tc>
      </w:tr>
      <w:tr w:rsidR="007801FA" w:rsidRPr="00FD119B" w14:paraId="02BDB2FD" w14:textId="77777777" w:rsidTr="00FD119B">
        <w:tc>
          <w:tcPr>
            <w:tcW w:w="1809" w:type="dxa"/>
          </w:tcPr>
          <w:p w14:paraId="2956D762" w14:textId="77777777" w:rsidR="007801FA" w:rsidRPr="0099058E" w:rsidRDefault="007801FA" w:rsidP="007801FA">
            <w:r>
              <w:t>NO</w:t>
            </w:r>
            <w:r w:rsidRPr="00EB7308">
              <w:rPr>
                <w:vertAlign w:val="subscript"/>
              </w:rPr>
              <w:t>2</w:t>
            </w:r>
          </w:p>
        </w:tc>
        <w:tc>
          <w:tcPr>
            <w:tcW w:w="6911" w:type="dxa"/>
          </w:tcPr>
          <w:p w14:paraId="039192E9" w14:textId="77777777" w:rsidR="007801FA" w:rsidRPr="0099058E" w:rsidRDefault="007801FA" w:rsidP="007801FA">
            <w:r w:rsidRPr="0099058E">
              <w:t>Nitrogen Dioxide</w:t>
            </w:r>
          </w:p>
        </w:tc>
      </w:tr>
      <w:tr w:rsidR="008A6123" w:rsidRPr="00FD119B" w14:paraId="7300409B" w14:textId="77777777" w:rsidTr="00FD119B">
        <w:tc>
          <w:tcPr>
            <w:tcW w:w="1809" w:type="dxa"/>
          </w:tcPr>
          <w:p w14:paraId="42884C2E" w14:textId="77777777" w:rsidR="008A6123" w:rsidRDefault="008A6123" w:rsidP="007801FA">
            <w:r w:rsidRPr="00CC135A">
              <w:t>NOAEL</w:t>
            </w:r>
          </w:p>
        </w:tc>
        <w:tc>
          <w:tcPr>
            <w:tcW w:w="6911" w:type="dxa"/>
          </w:tcPr>
          <w:p w14:paraId="01DF6A5E" w14:textId="77777777" w:rsidR="008A6123" w:rsidRPr="0099058E" w:rsidRDefault="008A6123" w:rsidP="007801FA">
            <w:r>
              <w:t>No observed adverse effect level</w:t>
            </w:r>
          </w:p>
        </w:tc>
      </w:tr>
      <w:tr w:rsidR="007801FA" w:rsidRPr="00FD119B" w14:paraId="43C4204A" w14:textId="77777777" w:rsidTr="00FD119B">
        <w:tc>
          <w:tcPr>
            <w:tcW w:w="1809" w:type="dxa"/>
          </w:tcPr>
          <w:p w14:paraId="6BBB7DCF" w14:textId="77777777" w:rsidR="007801FA" w:rsidRPr="0099058E" w:rsidRDefault="007801FA" w:rsidP="007801FA">
            <w:r>
              <w:t>NTG</w:t>
            </w:r>
          </w:p>
        </w:tc>
        <w:tc>
          <w:tcPr>
            <w:tcW w:w="6911" w:type="dxa"/>
          </w:tcPr>
          <w:p w14:paraId="12D65694" w14:textId="77777777" w:rsidR="007801FA" w:rsidRPr="0099058E" w:rsidRDefault="007801FA" w:rsidP="007801FA">
            <w:r w:rsidRPr="0099058E">
              <w:t>Nitroglycerin</w:t>
            </w:r>
          </w:p>
        </w:tc>
      </w:tr>
      <w:tr w:rsidR="007801FA" w:rsidRPr="00FD119B" w14:paraId="37B0AAA7" w14:textId="77777777" w:rsidTr="00FD119B">
        <w:tc>
          <w:tcPr>
            <w:tcW w:w="1809" w:type="dxa"/>
          </w:tcPr>
          <w:p w14:paraId="56179D62" w14:textId="77777777" w:rsidR="007801FA" w:rsidRPr="0099058E" w:rsidRDefault="007801FA" w:rsidP="007801FA">
            <w:r>
              <w:t>OD</w:t>
            </w:r>
          </w:p>
        </w:tc>
        <w:tc>
          <w:tcPr>
            <w:tcW w:w="6911" w:type="dxa"/>
          </w:tcPr>
          <w:p w14:paraId="62FDA505" w14:textId="77777777" w:rsidR="007801FA" w:rsidRPr="0099058E" w:rsidRDefault="007801FA" w:rsidP="007801FA">
            <w:r w:rsidRPr="0099058E">
              <w:t>Orphan Drug</w:t>
            </w:r>
          </w:p>
        </w:tc>
      </w:tr>
      <w:tr w:rsidR="007801FA" w:rsidRPr="00FD119B" w14:paraId="01B4F777" w14:textId="77777777" w:rsidTr="00FD119B">
        <w:tc>
          <w:tcPr>
            <w:tcW w:w="1809" w:type="dxa"/>
          </w:tcPr>
          <w:p w14:paraId="0F8F897C" w14:textId="77777777" w:rsidR="007801FA" w:rsidRPr="0099058E" w:rsidRDefault="007801FA" w:rsidP="007801FA">
            <w:r>
              <w:t>PA</w:t>
            </w:r>
          </w:p>
        </w:tc>
        <w:tc>
          <w:tcPr>
            <w:tcW w:w="6911" w:type="dxa"/>
          </w:tcPr>
          <w:p w14:paraId="109A1219" w14:textId="77777777" w:rsidR="007801FA" w:rsidRPr="0099058E" w:rsidRDefault="007801FA" w:rsidP="007801FA">
            <w:r w:rsidRPr="0099058E">
              <w:t>Pulmonary Artery</w:t>
            </w:r>
          </w:p>
        </w:tc>
      </w:tr>
      <w:tr w:rsidR="007801FA" w:rsidRPr="00FD119B" w14:paraId="419DAB9C" w14:textId="77777777" w:rsidTr="00FD119B">
        <w:tc>
          <w:tcPr>
            <w:tcW w:w="1809" w:type="dxa"/>
          </w:tcPr>
          <w:p w14:paraId="1686546B" w14:textId="77777777" w:rsidR="007801FA" w:rsidRPr="0099058E" w:rsidRDefault="007801FA" w:rsidP="007801FA">
            <w:r>
              <w:t>PAH</w:t>
            </w:r>
          </w:p>
        </w:tc>
        <w:tc>
          <w:tcPr>
            <w:tcW w:w="6911" w:type="dxa"/>
          </w:tcPr>
          <w:p w14:paraId="3A614B97" w14:textId="77777777" w:rsidR="007801FA" w:rsidRPr="0099058E" w:rsidRDefault="007801FA" w:rsidP="007801FA">
            <w:r w:rsidRPr="0099058E">
              <w:t>Pulmonary Artery Hypertension</w:t>
            </w:r>
          </w:p>
        </w:tc>
      </w:tr>
      <w:tr w:rsidR="007801FA" w:rsidRPr="00FD119B" w14:paraId="510005F5" w14:textId="77777777" w:rsidTr="00FD119B">
        <w:tc>
          <w:tcPr>
            <w:tcW w:w="1809" w:type="dxa"/>
          </w:tcPr>
          <w:p w14:paraId="58CD4BA6" w14:textId="77777777" w:rsidR="007801FA" w:rsidRPr="0099058E" w:rsidRDefault="007801FA" w:rsidP="007801FA">
            <w:r>
              <w:t>PAP</w:t>
            </w:r>
          </w:p>
        </w:tc>
        <w:tc>
          <w:tcPr>
            <w:tcW w:w="6911" w:type="dxa"/>
          </w:tcPr>
          <w:p w14:paraId="56DC0030" w14:textId="77777777" w:rsidR="007801FA" w:rsidRPr="0099058E" w:rsidRDefault="007801FA" w:rsidP="007801FA">
            <w:r w:rsidRPr="0099058E">
              <w:t>Pulmonary Artery Pressure</w:t>
            </w:r>
          </w:p>
        </w:tc>
      </w:tr>
      <w:tr w:rsidR="007801FA" w:rsidRPr="00FD119B" w14:paraId="2957AD98" w14:textId="77777777" w:rsidTr="00FD119B">
        <w:tc>
          <w:tcPr>
            <w:tcW w:w="1809" w:type="dxa"/>
          </w:tcPr>
          <w:p w14:paraId="08F15DA7" w14:textId="77777777" w:rsidR="007801FA" w:rsidRPr="0099058E" w:rsidRDefault="007801FA" w:rsidP="007801FA">
            <w:r>
              <w:t>PBO</w:t>
            </w:r>
          </w:p>
        </w:tc>
        <w:tc>
          <w:tcPr>
            <w:tcW w:w="6911" w:type="dxa"/>
          </w:tcPr>
          <w:p w14:paraId="2EA27462" w14:textId="77777777" w:rsidR="007801FA" w:rsidRPr="0099058E" w:rsidRDefault="007801FA" w:rsidP="007801FA">
            <w:r w:rsidRPr="0099058E">
              <w:t>Placebo</w:t>
            </w:r>
          </w:p>
        </w:tc>
      </w:tr>
      <w:tr w:rsidR="007801FA" w:rsidRPr="00FD119B" w14:paraId="6B1F8736" w14:textId="77777777" w:rsidTr="00FD119B">
        <w:tc>
          <w:tcPr>
            <w:tcW w:w="1809" w:type="dxa"/>
          </w:tcPr>
          <w:p w14:paraId="23AB5977" w14:textId="77777777" w:rsidR="007801FA" w:rsidRPr="0099058E" w:rsidRDefault="007801FA" w:rsidP="007801FA">
            <w:r>
              <w:t>PCWP</w:t>
            </w:r>
          </w:p>
        </w:tc>
        <w:tc>
          <w:tcPr>
            <w:tcW w:w="6911" w:type="dxa"/>
          </w:tcPr>
          <w:p w14:paraId="7F93FB60" w14:textId="77777777" w:rsidR="007801FA" w:rsidRPr="0099058E" w:rsidRDefault="007801FA" w:rsidP="007801FA">
            <w:r w:rsidRPr="0099058E">
              <w:t>Pulmonary Capillary Wedge Pressure</w:t>
            </w:r>
          </w:p>
        </w:tc>
      </w:tr>
      <w:tr w:rsidR="007801FA" w:rsidRPr="00FD119B" w14:paraId="6CBCFC3D" w14:textId="77777777" w:rsidTr="00FD119B">
        <w:tc>
          <w:tcPr>
            <w:tcW w:w="1809" w:type="dxa"/>
          </w:tcPr>
          <w:p w14:paraId="33930DD7" w14:textId="77777777" w:rsidR="007801FA" w:rsidRPr="0099058E" w:rsidRDefault="007801FA" w:rsidP="007801FA">
            <w:r w:rsidRPr="0099058E">
              <w:t>PD</w:t>
            </w:r>
          </w:p>
        </w:tc>
        <w:tc>
          <w:tcPr>
            <w:tcW w:w="6911" w:type="dxa"/>
          </w:tcPr>
          <w:p w14:paraId="2B86C840" w14:textId="77777777" w:rsidR="007801FA" w:rsidRPr="0099058E" w:rsidRDefault="007801FA" w:rsidP="007801FA">
            <w:r w:rsidRPr="0099058E">
              <w:t>pharmacodynamic</w:t>
            </w:r>
          </w:p>
        </w:tc>
      </w:tr>
      <w:tr w:rsidR="007801FA" w:rsidRPr="00FD119B" w14:paraId="7DABF2DA" w14:textId="77777777" w:rsidTr="00FD119B">
        <w:tc>
          <w:tcPr>
            <w:tcW w:w="1809" w:type="dxa"/>
          </w:tcPr>
          <w:p w14:paraId="2925AAD2" w14:textId="77777777" w:rsidR="007801FA" w:rsidRPr="0099058E" w:rsidRDefault="007801FA" w:rsidP="007801FA">
            <w:r>
              <w:t>PGE1</w:t>
            </w:r>
          </w:p>
        </w:tc>
        <w:tc>
          <w:tcPr>
            <w:tcW w:w="6911" w:type="dxa"/>
          </w:tcPr>
          <w:p w14:paraId="2516FB1B" w14:textId="77777777" w:rsidR="007801FA" w:rsidRPr="0099058E" w:rsidRDefault="007801FA" w:rsidP="007801FA">
            <w:r w:rsidRPr="0099058E">
              <w:t>Prostaglandin E1</w:t>
            </w:r>
          </w:p>
        </w:tc>
      </w:tr>
      <w:tr w:rsidR="007801FA" w:rsidRPr="00FD119B" w14:paraId="380EE744" w14:textId="77777777" w:rsidTr="00FD119B">
        <w:tc>
          <w:tcPr>
            <w:tcW w:w="1809" w:type="dxa"/>
          </w:tcPr>
          <w:p w14:paraId="4890904D" w14:textId="77777777" w:rsidR="007801FA" w:rsidRPr="0099058E" w:rsidRDefault="007801FA" w:rsidP="007801FA">
            <w:r>
              <w:t>PH</w:t>
            </w:r>
          </w:p>
        </w:tc>
        <w:tc>
          <w:tcPr>
            <w:tcW w:w="6911" w:type="dxa"/>
          </w:tcPr>
          <w:p w14:paraId="6CFCC498" w14:textId="77777777" w:rsidR="007801FA" w:rsidRPr="0099058E" w:rsidRDefault="007801FA" w:rsidP="007801FA">
            <w:r w:rsidRPr="0099058E">
              <w:t>Pulmonary Hypertension</w:t>
            </w:r>
          </w:p>
        </w:tc>
      </w:tr>
      <w:tr w:rsidR="007801FA" w:rsidRPr="00FD119B" w14:paraId="524511F2" w14:textId="77777777" w:rsidTr="00FD119B">
        <w:tc>
          <w:tcPr>
            <w:tcW w:w="1809" w:type="dxa"/>
          </w:tcPr>
          <w:p w14:paraId="2ECAF2D9" w14:textId="77777777" w:rsidR="007801FA" w:rsidRPr="0099058E" w:rsidRDefault="007801FA" w:rsidP="007801FA">
            <w:r>
              <w:t>PHT</w:t>
            </w:r>
          </w:p>
        </w:tc>
        <w:tc>
          <w:tcPr>
            <w:tcW w:w="6911" w:type="dxa"/>
          </w:tcPr>
          <w:p w14:paraId="3AD32BD3" w14:textId="77777777" w:rsidR="007801FA" w:rsidRPr="0099058E" w:rsidRDefault="007801FA" w:rsidP="007801FA">
            <w:r w:rsidRPr="0099058E">
              <w:t>Pulmonary Hypertension</w:t>
            </w:r>
          </w:p>
        </w:tc>
      </w:tr>
      <w:tr w:rsidR="007801FA" w:rsidRPr="00FD119B" w14:paraId="3CABF20F" w14:textId="77777777" w:rsidTr="00FD119B">
        <w:tc>
          <w:tcPr>
            <w:tcW w:w="1809" w:type="dxa"/>
          </w:tcPr>
          <w:p w14:paraId="3ECE5804" w14:textId="77777777" w:rsidR="007801FA" w:rsidRPr="0099058E" w:rsidRDefault="007801FA" w:rsidP="007801FA">
            <w:r>
              <w:t>PHTC</w:t>
            </w:r>
          </w:p>
        </w:tc>
        <w:tc>
          <w:tcPr>
            <w:tcW w:w="6911" w:type="dxa"/>
          </w:tcPr>
          <w:p w14:paraId="0D1368E6" w14:textId="77777777" w:rsidR="007801FA" w:rsidRPr="0099058E" w:rsidRDefault="007801FA" w:rsidP="007801FA">
            <w:r w:rsidRPr="0099058E">
              <w:t>Pulmonary Hypertensive Crisis</w:t>
            </w:r>
          </w:p>
        </w:tc>
      </w:tr>
      <w:tr w:rsidR="007801FA" w:rsidRPr="00FD119B" w14:paraId="601F281E" w14:textId="77777777" w:rsidTr="00FD119B">
        <w:tc>
          <w:tcPr>
            <w:tcW w:w="1809" w:type="dxa"/>
          </w:tcPr>
          <w:p w14:paraId="2B71ED43" w14:textId="77777777" w:rsidR="007801FA" w:rsidRPr="0099058E" w:rsidRDefault="007801FA" w:rsidP="007801FA">
            <w:r>
              <w:t>PI</w:t>
            </w:r>
          </w:p>
        </w:tc>
        <w:tc>
          <w:tcPr>
            <w:tcW w:w="6911" w:type="dxa"/>
          </w:tcPr>
          <w:p w14:paraId="4CA7E593" w14:textId="77777777" w:rsidR="007801FA" w:rsidRPr="0099058E" w:rsidRDefault="007801FA" w:rsidP="009273A2">
            <w:r w:rsidRPr="0099058E">
              <w:t>Product Information</w:t>
            </w:r>
          </w:p>
        </w:tc>
      </w:tr>
      <w:tr w:rsidR="007801FA" w:rsidRPr="00FD119B" w14:paraId="312E8205" w14:textId="77777777" w:rsidTr="00FD119B">
        <w:tc>
          <w:tcPr>
            <w:tcW w:w="1809" w:type="dxa"/>
          </w:tcPr>
          <w:p w14:paraId="2653006F" w14:textId="77777777" w:rsidR="007801FA" w:rsidRPr="0099058E" w:rsidRDefault="007801FA" w:rsidP="007801FA">
            <w:r w:rsidRPr="0099058E">
              <w:t>PK</w:t>
            </w:r>
          </w:p>
        </w:tc>
        <w:tc>
          <w:tcPr>
            <w:tcW w:w="6911" w:type="dxa"/>
          </w:tcPr>
          <w:p w14:paraId="59446DA0" w14:textId="77777777" w:rsidR="007801FA" w:rsidRPr="0099058E" w:rsidRDefault="007801FA" w:rsidP="007801FA">
            <w:r w:rsidRPr="0099058E">
              <w:t>pharmacokinetic</w:t>
            </w:r>
          </w:p>
        </w:tc>
      </w:tr>
      <w:tr w:rsidR="007801FA" w:rsidRPr="00FD119B" w14:paraId="138F5D68" w14:textId="77777777" w:rsidTr="00FD119B">
        <w:tc>
          <w:tcPr>
            <w:tcW w:w="1809" w:type="dxa"/>
          </w:tcPr>
          <w:p w14:paraId="603ECD0F" w14:textId="77777777" w:rsidR="007801FA" w:rsidRPr="0099058E" w:rsidRDefault="007801FA" w:rsidP="007801FA">
            <w:r>
              <w:t>PPHN</w:t>
            </w:r>
          </w:p>
        </w:tc>
        <w:tc>
          <w:tcPr>
            <w:tcW w:w="6911" w:type="dxa"/>
          </w:tcPr>
          <w:p w14:paraId="644DB115" w14:textId="77777777" w:rsidR="007801FA" w:rsidRPr="0099058E" w:rsidRDefault="007801FA" w:rsidP="007801FA">
            <w:r w:rsidRPr="0099058E">
              <w:t>Persistent Pulmonary Hypertension of the Newborn</w:t>
            </w:r>
          </w:p>
        </w:tc>
      </w:tr>
      <w:tr w:rsidR="007801FA" w:rsidRPr="00FD119B" w14:paraId="3BFE47D8" w14:textId="77777777" w:rsidTr="00FD119B">
        <w:tc>
          <w:tcPr>
            <w:tcW w:w="1809" w:type="dxa"/>
          </w:tcPr>
          <w:p w14:paraId="7DFF0C09" w14:textId="77777777" w:rsidR="007801FA" w:rsidRPr="0099058E" w:rsidRDefault="007801FA" w:rsidP="007801FA">
            <w:r>
              <w:t>ppm</w:t>
            </w:r>
          </w:p>
        </w:tc>
        <w:tc>
          <w:tcPr>
            <w:tcW w:w="6911" w:type="dxa"/>
          </w:tcPr>
          <w:p w14:paraId="3C7DAA62" w14:textId="77777777" w:rsidR="007801FA" w:rsidRPr="0099058E" w:rsidRDefault="007801FA" w:rsidP="007801FA">
            <w:r w:rsidRPr="0099058E">
              <w:t>part per million</w:t>
            </w:r>
          </w:p>
        </w:tc>
      </w:tr>
      <w:tr w:rsidR="007801FA" w:rsidRPr="00FD119B" w14:paraId="08E8F314" w14:textId="77777777" w:rsidTr="00FD119B">
        <w:tc>
          <w:tcPr>
            <w:tcW w:w="1809" w:type="dxa"/>
          </w:tcPr>
          <w:p w14:paraId="251705EF" w14:textId="77777777" w:rsidR="007801FA" w:rsidRPr="0099058E" w:rsidRDefault="007801FA" w:rsidP="007801FA">
            <w:r>
              <w:t>PSUR</w:t>
            </w:r>
          </w:p>
        </w:tc>
        <w:tc>
          <w:tcPr>
            <w:tcW w:w="6911" w:type="dxa"/>
          </w:tcPr>
          <w:p w14:paraId="7F4B5AD7" w14:textId="77777777" w:rsidR="007801FA" w:rsidRPr="0099058E" w:rsidRDefault="007801FA" w:rsidP="007801FA">
            <w:r w:rsidRPr="0099058E">
              <w:t>Periodic Safety Update Report</w:t>
            </w:r>
          </w:p>
        </w:tc>
      </w:tr>
      <w:tr w:rsidR="007801FA" w:rsidRPr="00FD119B" w14:paraId="4EC52F04" w14:textId="77777777" w:rsidTr="00FD119B">
        <w:tc>
          <w:tcPr>
            <w:tcW w:w="1809" w:type="dxa"/>
          </w:tcPr>
          <w:p w14:paraId="6BC1FB3D" w14:textId="77777777" w:rsidR="007801FA" w:rsidRPr="0099058E" w:rsidRDefault="007801FA" w:rsidP="007801FA">
            <w:r>
              <w:t>PVR</w:t>
            </w:r>
          </w:p>
        </w:tc>
        <w:tc>
          <w:tcPr>
            <w:tcW w:w="6911" w:type="dxa"/>
          </w:tcPr>
          <w:p w14:paraId="0BD03D1D" w14:textId="77777777" w:rsidR="007801FA" w:rsidRPr="0099058E" w:rsidRDefault="007801FA" w:rsidP="007801FA">
            <w:r w:rsidRPr="0099058E">
              <w:t>Pulmonary Vascular Resistance</w:t>
            </w:r>
          </w:p>
        </w:tc>
      </w:tr>
      <w:tr w:rsidR="007801FA" w:rsidRPr="00FD119B" w14:paraId="3F118C83" w14:textId="77777777" w:rsidTr="00FD119B">
        <w:tc>
          <w:tcPr>
            <w:tcW w:w="1809" w:type="dxa"/>
          </w:tcPr>
          <w:p w14:paraId="7DA9901B" w14:textId="77777777" w:rsidR="007801FA" w:rsidRPr="0099058E" w:rsidRDefault="007801FA" w:rsidP="007801FA">
            <w:r>
              <w:lastRenderedPageBreak/>
              <w:t>PVRI</w:t>
            </w:r>
          </w:p>
        </w:tc>
        <w:tc>
          <w:tcPr>
            <w:tcW w:w="6911" w:type="dxa"/>
          </w:tcPr>
          <w:p w14:paraId="6D0A4BF9" w14:textId="77777777" w:rsidR="007801FA" w:rsidRPr="0099058E" w:rsidRDefault="007801FA" w:rsidP="007801FA">
            <w:r w:rsidRPr="0099058E">
              <w:t>Pulmonary Vascular Resistance Index</w:t>
            </w:r>
          </w:p>
        </w:tc>
      </w:tr>
      <w:tr w:rsidR="007801FA" w:rsidRPr="00FD119B" w14:paraId="01CD5348" w14:textId="77777777" w:rsidTr="00FD119B">
        <w:tc>
          <w:tcPr>
            <w:tcW w:w="1809" w:type="dxa"/>
          </w:tcPr>
          <w:p w14:paraId="1F485D93" w14:textId="77777777" w:rsidR="007801FA" w:rsidRPr="0099058E" w:rsidRDefault="007801FA" w:rsidP="007801FA">
            <w:r>
              <w:t>RCT</w:t>
            </w:r>
          </w:p>
        </w:tc>
        <w:tc>
          <w:tcPr>
            <w:tcW w:w="6911" w:type="dxa"/>
          </w:tcPr>
          <w:p w14:paraId="363A9E07" w14:textId="77777777" w:rsidR="007801FA" w:rsidRPr="0099058E" w:rsidRDefault="007801FA" w:rsidP="007801FA">
            <w:r w:rsidRPr="0099058E">
              <w:t>Randomised Controlled Trial</w:t>
            </w:r>
          </w:p>
        </w:tc>
      </w:tr>
      <w:tr w:rsidR="007801FA" w:rsidRPr="00FD119B" w14:paraId="7F0F332B" w14:textId="77777777" w:rsidTr="00FD119B">
        <w:tc>
          <w:tcPr>
            <w:tcW w:w="1809" w:type="dxa"/>
          </w:tcPr>
          <w:p w14:paraId="3D009160" w14:textId="77777777" w:rsidR="007801FA" w:rsidRPr="0099058E" w:rsidRDefault="007801FA" w:rsidP="007801FA">
            <w:r>
              <w:t>RV</w:t>
            </w:r>
          </w:p>
        </w:tc>
        <w:tc>
          <w:tcPr>
            <w:tcW w:w="6911" w:type="dxa"/>
          </w:tcPr>
          <w:p w14:paraId="59D5EDC3" w14:textId="77777777" w:rsidR="007801FA" w:rsidRPr="0099058E" w:rsidRDefault="007801FA" w:rsidP="007801FA">
            <w:r w:rsidRPr="0099058E">
              <w:t>Right Ventricular</w:t>
            </w:r>
          </w:p>
        </w:tc>
      </w:tr>
      <w:tr w:rsidR="007801FA" w:rsidRPr="00FD119B" w14:paraId="1DD81A05" w14:textId="77777777" w:rsidTr="00FD119B">
        <w:tc>
          <w:tcPr>
            <w:tcW w:w="1809" w:type="dxa"/>
          </w:tcPr>
          <w:p w14:paraId="052AF6F4" w14:textId="77777777" w:rsidR="007801FA" w:rsidRPr="0099058E" w:rsidRDefault="007801FA" w:rsidP="007801FA">
            <w:r>
              <w:t>SAE</w:t>
            </w:r>
          </w:p>
        </w:tc>
        <w:tc>
          <w:tcPr>
            <w:tcW w:w="6911" w:type="dxa"/>
          </w:tcPr>
          <w:p w14:paraId="5C50ABB5" w14:textId="77777777" w:rsidR="007801FA" w:rsidRPr="0099058E" w:rsidRDefault="007801FA" w:rsidP="007801FA">
            <w:r w:rsidRPr="0099058E">
              <w:t>Serious Adverse Event</w:t>
            </w:r>
          </w:p>
        </w:tc>
      </w:tr>
      <w:tr w:rsidR="007801FA" w:rsidRPr="00FD119B" w14:paraId="628E6A6B" w14:textId="77777777" w:rsidTr="00FD119B">
        <w:tc>
          <w:tcPr>
            <w:tcW w:w="1809" w:type="dxa"/>
          </w:tcPr>
          <w:p w14:paraId="066AEE70" w14:textId="77777777" w:rsidR="007801FA" w:rsidRPr="0099058E" w:rsidRDefault="007801FA" w:rsidP="007801FA">
            <w:r w:rsidRPr="0099058E">
              <w:t>S</w:t>
            </w:r>
            <w:r>
              <w:t>AP</w:t>
            </w:r>
          </w:p>
        </w:tc>
        <w:tc>
          <w:tcPr>
            <w:tcW w:w="6911" w:type="dxa"/>
          </w:tcPr>
          <w:p w14:paraId="4F49F024" w14:textId="77777777" w:rsidR="007801FA" w:rsidRPr="0099058E" w:rsidRDefault="007801FA" w:rsidP="007801FA">
            <w:r w:rsidRPr="0099058E">
              <w:t>Systemic Arterial Pressure</w:t>
            </w:r>
          </w:p>
        </w:tc>
      </w:tr>
      <w:tr w:rsidR="007801FA" w:rsidRPr="00FD119B" w14:paraId="336B3206" w14:textId="77777777" w:rsidTr="00FD119B">
        <w:tc>
          <w:tcPr>
            <w:tcW w:w="1809" w:type="dxa"/>
          </w:tcPr>
          <w:p w14:paraId="0C9586CE" w14:textId="77777777" w:rsidR="007801FA" w:rsidRPr="0099058E" w:rsidRDefault="007801FA" w:rsidP="007801FA">
            <w:r>
              <w:t>SD</w:t>
            </w:r>
          </w:p>
        </w:tc>
        <w:tc>
          <w:tcPr>
            <w:tcW w:w="6911" w:type="dxa"/>
          </w:tcPr>
          <w:p w14:paraId="5F6150F2" w14:textId="77777777" w:rsidR="007801FA" w:rsidRPr="0099058E" w:rsidRDefault="007801FA" w:rsidP="007801FA">
            <w:r w:rsidRPr="0099058E">
              <w:t>Standard Deviation</w:t>
            </w:r>
          </w:p>
        </w:tc>
      </w:tr>
      <w:tr w:rsidR="007801FA" w:rsidRPr="00FD119B" w14:paraId="1114C3EE" w14:textId="77777777" w:rsidTr="00FD119B">
        <w:tc>
          <w:tcPr>
            <w:tcW w:w="1809" w:type="dxa"/>
          </w:tcPr>
          <w:p w14:paraId="326AEF6A" w14:textId="77777777" w:rsidR="007801FA" w:rsidRPr="0099058E" w:rsidRDefault="007801FA" w:rsidP="007801FA">
            <w:r>
              <w:t>SPAP</w:t>
            </w:r>
          </w:p>
        </w:tc>
        <w:tc>
          <w:tcPr>
            <w:tcW w:w="6911" w:type="dxa"/>
          </w:tcPr>
          <w:p w14:paraId="4B6F8A2D" w14:textId="77777777" w:rsidR="007801FA" w:rsidRPr="0099058E" w:rsidRDefault="007801FA" w:rsidP="007801FA">
            <w:r w:rsidRPr="0099058E">
              <w:t>Systolic Pulmonary Arterial Pressure</w:t>
            </w:r>
          </w:p>
        </w:tc>
      </w:tr>
      <w:tr w:rsidR="007801FA" w:rsidRPr="00FD119B" w14:paraId="3F5B18E6" w14:textId="77777777" w:rsidTr="00FD119B">
        <w:tc>
          <w:tcPr>
            <w:tcW w:w="1809" w:type="dxa"/>
          </w:tcPr>
          <w:p w14:paraId="64AD444C" w14:textId="77777777" w:rsidR="007801FA" w:rsidRPr="0099058E" w:rsidRDefault="007801FA" w:rsidP="007801FA">
            <w:r>
              <w:t>SPC</w:t>
            </w:r>
          </w:p>
        </w:tc>
        <w:tc>
          <w:tcPr>
            <w:tcW w:w="6911" w:type="dxa"/>
          </w:tcPr>
          <w:p w14:paraId="6621F258" w14:textId="77777777" w:rsidR="007801FA" w:rsidRPr="0099058E" w:rsidRDefault="007801FA" w:rsidP="007801FA">
            <w:r w:rsidRPr="0099058E">
              <w:t>Summary of Product Characteristics</w:t>
            </w:r>
          </w:p>
        </w:tc>
      </w:tr>
      <w:tr w:rsidR="007801FA" w:rsidRPr="00FD119B" w14:paraId="2999CB04" w14:textId="77777777" w:rsidTr="00FD119B">
        <w:tc>
          <w:tcPr>
            <w:tcW w:w="1809" w:type="dxa"/>
          </w:tcPr>
          <w:p w14:paraId="24D6FDDB" w14:textId="77777777" w:rsidR="007801FA" w:rsidRPr="0099058E" w:rsidRDefault="007801FA" w:rsidP="007801FA">
            <w:r w:rsidRPr="0099058E">
              <w:t>SSAP</w:t>
            </w:r>
          </w:p>
        </w:tc>
        <w:tc>
          <w:tcPr>
            <w:tcW w:w="6911" w:type="dxa"/>
          </w:tcPr>
          <w:p w14:paraId="66D58D47" w14:textId="77777777" w:rsidR="007801FA" w:rsidRPr="0099058E" w:rsidRDefault="007801FA" w:rsidP="007801FA">
            <w:r w:rsidRPr="0099058E">
              <w:t>Systolic Systemic Arterial Pressure</w:t>
            </w:r>
          </w:p>
        </w:tc>
      </w:tr>
      <w:tr w:rsidR="007801FA" w:rsidRPr="00FD119B" w14:paraId="5D7793EA" w14:textId="77777777" w:rsidTr="00FD119B">
        <w:tc>
          <w:tcPr>
            <w:tcW w:w="1809" w:type="dxa"/>
          </w:tcPr>
          <w:p w14:paraId="0C0E135A" w14:textId="77777777" w:rsidR="007801FA" w:rsidRPr="0099058E" w:rsidRDefault="007801FA" w:rsidP="007801FA">
            <w:r>
              <w:t>SVR</w:t>
            </w:r>
          </w:p>
        </w:tc>
        <w:tc>
          <w:tcPr>
            <w:tcW w:w="6911" w:type="dxa"/>
          </w:tcPr>
          <w:p w14:paraId="13090E55" w14:textId="77777777" w:rsidR="007801FA" w:rsidRPr="0099058E" w:rsidRDefault="007801FA" w:rsidP="007801FA">
            <w:r w:rsidRPr="0099058E">
              <w:t>Systemic Vascular Resistance</w:t>
            </w:r>
          </w:p>
        </w:tc>
      </w:tr>
    </w:tbl>
    <w:p w14:paraId="4F726B52" w14:textId="77777777" w:rsidR="00FD119B" w:rsidRDefault="00FD119B" w:rsidP="00FD119B"/>
    <w:p w14:paraId="738C1788" w14:textId="77777777" w:rsidR="00FD119B" w:rsidRPr="00FD119B" w:rsidRDefault="00FD119B" w:rsidP="00FD119B">
      <w:pPr>
        <w:spacing w:before="0" w:after="200" w:line="0" w:lineRule="auto"/>
        <w:rPr>
          <w:b/>
          <w:i/>
          <w:sz w:val="24"/>
          <w:szCs w:val="24"/>
        </w:rPr>
      </w:pPr>
      <w:r w:rsidRPr="00FD119B">
        <w:rPr>
          <w:b/>
          <w:i/>
          <w:sz w:val="24"/>
          <w:szCs w:val="24"/>
        </w:rPr>
        <w:br w:type="page"/>
      </w:r>
    </w:p>
    <w:p w14:paraId="606FA814" w14:textId="77777777" w:rsidR="008E7846" w:rsidRDefault="00F53C07" w:rsidP="008E7846">
      <w:pPr>
        <w:pStyle w:val="Heading2"/>
      </w:pPr>
      <w:bookmarkStart w:id="9" w:name="_Toc483899402"/>
      <w:r>
        <w:lastRenderedPageBreak/>
        <w:t>I.</w:t>
      </w:r>
      <w:r w:rsidR="008E7846">
        <w:t xml:space="preserve"> Introduction to product submission</w:t>
      </w:r>
      <w:bookmarkEnd w:id="9"/>
      <w:bookmarkEnd w:id="7"/>
      <w:bookmarkEnd w:id="1"/>
    </w:p>
    <w:p w14:paraId="368FE1DB" w14:textId="77777777" w:rsidR="008E7846" w:rsidRDefault="008E7846" w:rsidP="008E7846">
      <w:pPr>
        <w:pStyle w:val="Heading3"/>
        <w:rPr>
          <w:lang w:eastAsia="en-AU"/>
        </w:rPr>
      </w:pPr>
      <w:bookmarkStart w:id="10" w:name="_Toc247691502"/>
      <w:bookmarkStart w:id="11" w:name="_Toc314842483"/>
      <w:bookmarkStart w:id="12" w:name="_Toc483899403"/>
      <w:r>
        <w:rPr>
          <w:lang w:eastAsia="en-AU"/>
        </w:rPr>
        <w:t>Submission details</w:t>
      </w:r>
      <w:bookmarkEnd w:id="10"/>
      <w:bookmarkEnd w:id="11"/>
      <w:bookmarkEnd w:id="12"/>
    </w:p>
    <w:tbl>
      <w:tblPr>
        <w:tblW w:w="9497" w:type="dxa"/>
        <w:tblInd w:w="108" w:type="dxa"/>
        <w:tblLook w:val="01E0" w:firstRow="1" w:lastRow="1" w:firstColumn="1" w:lastColumn="1" w:noHBand="0" w:noVBand="0"/>
      </w:tblPr>
      <w:tblGrid>
        <w:gridCol w:w="2907"/>
        <w:gridCol w:w="6307"/>
        <w:gridCol w:w="283"/>
      </w:tblGrid>
      <w:tr w:rsidR="008E7846" w:rsidRPr="003D1E62" w14:paraId="3D15DB28" w14:textId="77777777" w:rsidTr="0054722C">
        <w:trPr>
          <w:trHeight w:hRule="exact" w:val="454"/>
        </w:trPr>
        <w:tc>
          <w:tcPr>
            <w:tcW w:w="2907" w:type="dxa"/>
          </w:tcPr>
          <w:p w14:paraId="48D85930" w14:textId="77777777" w:rsidR="008E7846" w:rsidRPr="003D1E62" w:rsidRDefault="001B5C90" w:rsidP="001B5C90">
            <w:pPr>
              <w:rPr>
                <w:i/>
              </w:rPr>
            </w:pPr>
            <w:r>
              <w:rPr>
                <w:i/>
              </w:rPr>
              <w:t>Type of s</w:t>
            </w:r>
            <w:r w:rsidR="008E7846" w:rsidRPr="003D1E62">
              <w:rPr>
                <w:i/>
              </w:rPr>
              <w:t>ubmission</w:t>
            </w:r>
            <w:r>
              <w:rPr>
                <w:i/>
              </w:rPr>
              <w:t>:</w:t>
            </w:r>
          </w:p>
        </w:tc>
        <w:tc>
          <w:tcPr>
            <w:tcW w:w="6590" w:type="dxa"/>
            <w:gridSpan w:val="2"/>
          </w:tcPr>
          <w:p w14:paraId="2EE25CFB" w14:textId="77777777" w:rsidR="008E7846" w:rsidRPr="003D1E62" w:rsidRDefault="008F1362" w:rsidP="008F1362">
            <w:r>
              <w:t>M</w:t>
            </w:r>
            <w:r w:rsidR="008E7846" w:rsidRPr="003D1E62">
              <w:t xml:space="preserve">ajor </w:t>
            </w:r>
            <w:r w:rsidR="001B5C90">
              <w:t>v</w:t>
            </w:r>
            <w:r w:rsidR="008E7846" w:rsidRPr="003D1E62">
              <w:t>ariation (</w:t>
            </w:r>
            <w:r w:rsidR="001B5C90">
              <w:t>n</w:t>
            </w:r>
            <w:r w:rsidR="008E7846" w:rsidRPr="003D1E62">
              <w:t xml:space="preserve">ew </w:t>
            </w:r>
            <w:r>
              <w:t>indication</w:t>
            </w:r>
            <w:r w:rsidR="008E7846" w:rsidRPr="003D1E62">
              <w:t>)</w:t>
            </w:r>
          </w:p>
        </w:tc>
      </w:tr>
      <w:tr w:rsidR="008E7846" w:rsidRPr="003D1E62" w14:paraId="2C9C756E" w14:textId="77777777" w:rsidTr="0054722C">
        <w:trPr>
          <w:trHeight w:hRule="exact" w:val="454"/>
        </w:trPr>
        <w:tc>
          <w:tcPr>
            <w:tcW w:w="2907" w:type="dxa"/>
          </w:tcPr>
          <w:p w14:paraId="0A855C6F" w14:textId="77777777" w:rsidR="008E7846" w:rsidRPr="003D1E62" w:rsidRDefault="008E7846" w:rsidP="003D1E62">
            <w:r w:rsidRPr="003D1E62">
              <w:rPr>
                <w:i/>
              </w:rPr>
              <w:t>Decision</w:t>
            </w:r>
            <w:r w:rsidRPr="003D1E62">
              <w:t>:</w:t>
            </w:r>
          </w:p>
        </w:tc>
        <w:tc>
          <w:tcPr>
            <w:tcW w:w="6590" w:type="dxa"/>
            <w:gridSpan w:val="2"/>
          </w:tcPr>
          <w:p w14:paraId="3937CC11" w14:textId="77777777" w:rsidR="008E7846" w:rsidRPr="003D1E62" w:rsidRDefault="008F1362" w:rsidP="008F1362">
            <w:r>
              <w:t>Approved</w:t>
            </w:r>
          </w:p>
        </w:tc>
      </w:tr>
      <w:tr w:rsidR="008E7846" w:rsidRPr="003D1E62" w14:paraId="2A06439D" w14:textId="77777777" w:rsidTr="0054722C">
        <w:trPr>
          <w:trHeight w:hRule="exact" w:val="454"/>
        </w:trPr>
        <w:tc>
          <w:tcPr>
            <w:tcW w:w="2907" w:type="dxa"/>
          </w:tcPr>
          <w:p w14:paraId="0951BADB" w14:textId="77777777" w:rsidR="008E7846" w:rsidRPr="003D1E62" w:rsidRDefault="008E7846" w:rsidP="001B5C90">
            <w:pPr>
              <w:rPr>
                <w:i/>
              </w:rPr>
            </w:pPr>
            <w:r w:rsidRPr="003D1E62">
              <w:rPr>
                <w:i/>
              </w:rPr>
              <w:t xml:space="preserve">Date of </w:t>
            </w:r>
            <w:r w:rsidR="001B5C90">
              <w:rPr>
                <w:i/>
              </w:rPr>
              <w:t>d</w:t>
            </w:r>
            <w:r w:rsidRPr="003D1E62">
              <w:rPr>
                <w:i/>
              </w:rPr>
              <w:t>ecision:</w:t>
            </w:r>
          </w:p>
        </w:tc>
        <w:tc>
          <w:tcPr>
            <w:tcW w:w="6590" w:type="dxa"/>
            <w:gridSpan w:val="2"/>
          </w:tcPr>
          <w:p w14:paraId="1F7A1863" w14:textId="77777777" w:rsidR="008E7846" w:rsidRPr="003D1E62" w:rsidRDefault="007801FA" w:rsidP="001B5C90">
            <w:r>
              <w:t>27 July 2015</w:t>
            </w:r>
          </w:p>
        </w:tc>
      </w:tr>
      <w:tr w:rsidR="00ED2922" w:rsidRPr="003D1E62" w14:paraId="2734E0B0" w14:textId="77777777" w:rsidTr="0054722C">
        <w:trPr>
          <w:trHeight w:hRule="exact" w:val="454"/>
        </w:trPr>
        <w:tc>
          <w:tcPr>
            <w:tcW w:w="2907" w:type="dxa"/>
          </w:tcPr>
          <w:p w14:paraId="4D5CB9F9" w14:textId="77777777" w:rsidR="00ED2922" w:rsidRPr="00441C3F" w:rsidRDefault="00ED2922" w:rsidP="001B5C90">
            <w:pPr>
              <w:rPr>
                <w:i/>
              </w:rPr>
            </w:pPr>
            <w:r w:rsidRPr="00441C3F">
              <w:rPr>
                <w:i/>
              </w:rPr>
              <w:t>Date of entry onto ARTG</w:t>
            </w:r>
          </w:p>
        </w:tc>
        <w:tc>
          <w:tcPr>
            <w:tcW w:w="6590" w:type="dxa"/>
            <w:gridSpan w:val="2"/>
          </w:tcPr>
          <w:p w14:paraId="79575A6C" w14:textId="77777777" w:rsidR="00ED2922" w:rsidRPr="00441C3F" w:rsidRDefault="007801FA" w:rsidP="00EC463D">
            <w:pPr>
              <w:rPr>
                <w:i/>
              </w:rPr>
            </w:pPr>
            <w:r>
              <w:t>30 July 2015</w:t>
            </w:r>
          </w:p>
        </w:tc>
      </w:tr>
      <w:tr w:rsidR="008E7846" w:rsidRPr="00487162" w14:paraId="103851A7" w14:textId="77777777" w:rsidTr="0054722C">
        <w:trPr>
          <w:gridAfter w:val="1"/>
          <w:wAfter w:w="283" w:type="dxa"/>
        </w:trPr>
        <w:tc>
          <w:tcPr>
            <w:tcW w:w="2907" w:type="dxa"/>
          </w:tcPr>
          <w:p w14:paraId="3C9BFAC7" w14:textId="77777777" w:rsidR="008E7846" w:rsidRPr="00487162" w:rsidRDefault="00CD2044" w:rsidP="00E45619">
            <w:pPr>
              <w:rPr>
                <w:i/>
              </w:rPr>
            </w:pPr>
            <w:r>
              <w:rPr>
                <w:i/>
              </w:rPr>
              <w:t>Active ingredient</w:t>
            </w:r>
            <w:r w:rsidR="001B5C90">
              <w:rPr>
                <w:i/>
              </w:rPr>
              <w:t>:</w:t>
            </w:r>
          </w:p>
        </w:tc>
        <w:tc>
          <w:tcPr>
            <w:tcW w:w="6307" w:type="dxa"/>
          </w:tcPr>
          <w:p w14:paraId="46F06AA7" w14:textId="77777777" w:rsidR="008E7846" w:rsidRPr="00487162" w:rsidRDefault="00CD2044" w:rsidP="00E45619">
            <w:r>
              <w:t>Nitric oxide</w:t>
            </w:r>
          </w:p>
        </w:tc>
      </w:tr>
      <w:tr w:rsidR="008E7846" w:rsidRPr="00487162" w14:paraId="17503A85" w14:textId="77777777" w:rsidTr="0054722C">
        <w:trPr>
          <w:gridAfter w:val="1"/>
          <w:wAfter w:w="283" w:type="dxa"/>
        </w:trPr>
        <w:tc>
          <w:tcPr>
            <w:tcW w:w="2907" w:type="dxa"/>
          </w:tcPr>
          <w:p w14:paraId="5BA123FF" w14:textId="77777777" w:rsidR="008E7846" w:rsidRPr="00487162" w:rsidRDefault="008E7846" w:rsidP="001B5C90">
            <w:pPr>
              <w:rPr>
                <w:i/>
              </w:rPr>
            </w:pPr>
            <w:r w:rsidRPr="00487162">
              <w:rPr>
                <w:i/>
              </w:rPr>
              <w:t>Product</w:t>
            </w:r>
            <w:r w:rsidR="00CD2044">
              <w:rPr>
                <w:i/>
              </w:rPr>
              <w:t xml:space="preserve"> name</w:t>
            </w:r>
            <w:r w:rsidR="001B5C90">
              <w:rPr>
                <w:i/>
              </w:rPr>
              <w:t>:</w:t>
            </w:r>
          </w:p>
        </w:tc>
        <w:tc>
          <w:tcPr>
            <w:tcW w:w="6307" w:type="dxa"/>
          </w:tcPr>
          <w:p w14:paraId="4FEECD8B" w14:textId="77777777" w:rsidR="008E7846" w:rsidRPr="00487162" w:rsidRDefault="00CD2044" w:rsidP="00E45619">
            <w:r>
              <w:t>INOmax</w:t>
            </w:r>
          </w:p>
        </w:tc>
      </w:tr>
      <w:tr w:rsidR="008E7846" w:rsidRPr="00487162" w14:paraId="3670D990" w14:textId="77777777" w:rsidTr="0054722C">
        <w:trPr>
          <w:gridAfter w:val="1"/>
          <w:wAfter w:w="283" w:type="dxa"/>
        </w:trPr>
        <w:tc>
          <w:tcPr>
            <w:tcW w:w="2907" w:type="dxa"/>
          </w:tcPr>
          <w:p w14:paraId="7BE1BECE" w14:textId="77777777" w:rsidR="008E7846" w:rsidRPr="00487162" w:rsidRDefault="000B5B6A" w:rsidP="001B5C90">
            <w:pPr>
              <w:rPr>
                <w:i/>
              </w:rPr>
            </w:pPr>
            <w:r>
              <w:rPr>
                <w:i/>
              </w:rPr>
              <w:t>Sponsor</w:t>
            </w:r>
            <w:r w:rsidR="008E7846" w:rsidRPr="00487162">
              <w:rPr>
                <w:i/>
              </w:rPr>
              <w:t xml:space="preserve">’s </w:t>
            </w:r>
            <w:r w:rsidR="001B5C90">
              <w:rPr>
                <w:i/>
              </w:rPr>
              <w:t>n</w:t>
            </w:r>
            <w:r w:rsidR="008E7846" w:rsidRPr="00487162">
              <w:rPr>
                <w:i/>
              </w:rPr>
              <w:t xml:space="preserve">ame and </w:t>
            </w:r>
            <w:r w:rsidR="001B5C90">
              <w:rPr>
                <w:i/>
              </w:rPr>
              <w:t>a</w:t>
            </w:r>
            <w:r w:rsidR="008E7846" w:rsidRPr="00487162">
              <w:rPr>
                <w:i/>
              </w:rPr>
              <w:t>ddress:</w:t>
            </w:r>
          </w:p>
        </w:tc>
        <w:tc>
          <w:tcPr>
            <w:tcW w:w="6307" w:type="dxa"/>
          </w:tcPr>
          <w:p w14:paraId="1E61D169" w14:textId="77777777" w:rsidR="008E7846" w:rsidRDefault="00CD2044" w:rsidP="00E45619">
            <w:r>
              <w:t>Ikaria Australia Pty Ltd</w:t>
            </w:r>
          </w:p>
          <w:p w14:paraId="29AB6444" w14:textId="77777777" w:rsidR="00CD2044" w:rsidRDefault="00CD2044" w:rsidP="00E45619">
            <w:r>
              <w:t>17 Cotham Rd</w:t>
            </w:r>
          </w:p>
          <w:p w14:paraId="2F32443E" w14:textId="77777777" w:rsidR="00CD2044" w:rsidRPr="00487162" w:rsidRDefault="00CD2044" w:rsidP="00E45619">
            <w:r>
              <w:t>Kew VIC 3101</w:t>
            </w:r>
          </w:p>
        </w:tc>
      </w:tr>
      <w:tr w:rsidR="008E7846" w:rsidRPr="00487162" w14:paraId="74D620A8" w14:textId="77777777" w:rsidTr="0054722C">
        <w:trPr>
          <w:gridAfter w:val="1"/>
          <w:wAfter w:w="283" w:type="dxa"/>
        </w:trPr>
        <w:tc>
          <w:tcPr>
            <w:tcW w:w="2907" w:type="dxa"/>
          </w:tcPr>
          <w:p w14:paraId="22573764" w14:textId="77777777" w:rsidR="008E7846" w:rsidRPr="00487162" w:rsidRDefault="00CD2044" w:rsidP="00E45619">
            <w:pPr>
              <w:rPr>
                <w:i/>
              </w:rPr>
            </w:pPr>
            <w:r>
              <w:rPr>
                <w:i/>
              </w:rPr>
              <w:t>Dose form</w:t>
            </w:r>
            <w:r w:rsidR="001B5C90">
              <w:rPr>
                <w:i/>
              </w:rPr>
              <w:t>:</w:t>
            </w:r>
          </w:p>
        </w:tc>
        <w:tc>
          <w:tcPr>
            <w:tcW w:w="6307" w:type="dxa"/>
          </w:tcPr>
          <w:p w14:paraId="06F4B526" w14:textId="77777777" w:rsidR="008E7846" w:rsidRPr="00487162" w:rsidRDefault="00CD2044" w:rsidP="00E45619">
            <w:r>
              <w:t>Medicinal gas</w:t>
            </w:r>
          </w:p>
        </w:tc>
      </w:tr>
      <w:tr w:rsidR="008E7846" w:rsidRPr="00487162" w14:paraId="62439BAB" w14:textId="77777777" w:rsidTr="0054722C">
        <w:trPr>
          <w:gridAfter w:val="1"/>
          <w:wAfter w:w="283" w:type="dxa"/>
        </w:trPr>
        <w:tc>
          <w:tcPr>
            <w:tcW w:w="2907" w:type="dxa"/>
          </w:tcPr>
          <w:p w14:paraId="55AFD387" w14:textId="77777777" w:rsidR="008E7846" w:rsidRPr="00487162" w:rsidRDefault="00CD2044" w:rsidP="00E45619">
            <w:pPr>
              <w:rPr>
                <w:i/>
              </w:rPr>
            </w:pPr>
            <w:r>
              <w:rPr>
                <w:i/>
              </w:rPr>
              <w:t>Strength</w:t>
            </w:r>
            <w:r w:rsidR="008F1362">
              <w:rPr>
                <w:i/>
              </w:rPr>
              <w:t>:</w:t>
            </w:r>
          </w:p>
        </w:tc>
        <w:tc>
          <w:tcPr>
            <w:tcW w:w="6307" w:type="dxa"/>
          </w:tcPr>
          <w:p w14:paraId="5552BDAE" w14:textId="77777777" w:rsidR="008E7846" w:rsidRPr="00487162" w:rsidRDefault="00CD2044" w:rsidP="00E45619">
            <w:r>
              <w:t>800 ppm</w:t>
            </w:r>
          </w:p>
        </w:tc>
      </w:tr>
      <w:tr w:rsidR="008E7846" w:rsidRPr="00487162" w14:paraId="4ECBD110" w14:textId="77777777" w:rsidTr="0054722C">
        <w:trPr>
          <w:gridAfter w:val="1"/>
          <w:wAfter w:w="283" w:type="dxa"/>
        </w:trPr>
        <w:tc>
          <w:tcPr>
            <w:tcW w:w="2907" w:type="dxa"/>
          </w:tcPr>
          <w:p w14:paraId="56B7D8B2" w14:textId="77777777" w:rsidR="008E7846" w:rsidRPr="00487162" w:rsidRDefault="00CD2044" w:rsidP="00E45619">
            <w:pPr>
              <w:rPr>
                <w:i/>
              </w:rPr>
            </w:pPr>
            <w:r>
              <w:rPr>
                <w:i/>
              </w:rPr>
              <w:t>Container</w:t>
            </w:r>
            <w:r w:rsidR="008E7846" w:rsidRPr="00487162">
              <w:rPr>
                <w:i/>
              </w:rPr>
              <w:t>:</w:t>
            </w:r>
          </w:p>
        </w:tc>
        <w:tc>
          <w:tcPr>
            <w:tcW w:w="6307" w:type="dxa"/>
          </w:tcPr>
          <w:p w14:paraId="6600FBE1" w14:textId="77777777" w:rsidR="008E7846" w:rsidRPr="00487162" w:rsidRDefault="00CD2044" w:rsidP="00E45619">
            <w:r>
              <w:t>Gas cylinder</w:t>
            </w:r>
          </w:p>
        </w:tc>
      </w:tr>
      <w:tr w:rsidR="008E7846" w:rsidRPr="00487162" w14:paraId="0E2C8B2D" w14:textId="77777777" w:rsidTr="0054722C">
        <w:trPr>
          <w:gridAfter w:val="1"/>
          <w:wAfter w:w="283" w:type="dxa"/>
        </w:trPr>
        <w:tc>
          <w:tcPr>
            <w:tcW w:w="2907" w:type="dxa"/>
          </w:tcPr>
          <w:p w14:paraId="7C2022FC" w14:textId="77777777" w:rsidR="008E7846" w:rsidRPr="00487162" w:rsidRDefault="008E7846" w:rsidP="00E45619">
            <w:pPr>
              <w:rPr>
                <w:i/>
              </w:rPr>
            </w:pPr>
            <w:r w:rsidRPr="00487162">
              <w:rPr>
                <w:i/>
              </w:rPr>
              <w:t>Pack size(s):</w:t>
            </w:r>
          </w:p>
        </w:tc>
        <w:tc>
          <w:tcPr>
            <w:tcW w:w="6307" w:type="dxa"/>
          </w:tcPr>
          <w:p w14:paraId="77EB0505" w14:textId="77777777" w:rsidR="008E7846" w:rsidRPr="00487162" w:rsidRDefault="00CD2044" w:rsidP="00E45619">
            <w:r>
              <w:t>Size 88 cylinder, size MD15 cylinder</w:t>
            </w:r>
          </w:p>
        </w:tc>
      </w:tr>
      <w:tr w:rsidR="008E7846" w:rsidRPr="00487162" w14:paraId="3A7A6834" w14:textId="77777777" w:rsidTr="0054722C">
        <w:trPr>
          <w:gridAfter w:val="1"/>
          <w:wAfter w:w="283" w:type="dxa"/>
        </w:trPr>
        <w:tc>
          <w:tcPr>
            <w:tcW w:w="2907" w:type="dxa"/>
          </w:tcPr>
          <w:p w14:paraId="5DE408A6" w14:textId="77777777" w:rsidR="008E7846" w:rsidRPr="00487162" w:rsidRDefault="008E7846" w:rsidP="001B5C90">
            <w:pPr>
              <w:rPr>
                <w:i/>
              </w:rPr>
            </w:pPr>
            <w:r w:rsidRPr="00487162">
              <w:rPr>
                <w:i/>
              </w:rPr>
              <w:t xml:space="preserve">Approved </w:t>
            </w:r>
            <w:r w:rsidR="001B5C90">
              <w:rPr>
                <w:i/>
              </w:rPr>
              <w:t>t</w:t>
            </w:r>
            <w:r w:rsidRPr="00487162">
              <w:rPr>
                <w:i/>
              </w:rPr>
              <w:t>herapeutic use:</w:t>
            </w:r>
          </w:p>
        </w:tc>
        <w:tc>
          <w:tcPr>
            <w:tcW w:w="6307" w:type="dxa"/>
          </w:tcPr>
          <w:p w14:paraId="102CB734" w14:textId="77777777" w:rsidR="00CD2044" w:rsidRPr="00CD2044" w:rsidRDefault="00AC2690" w:rsidP="00CD2044">
            <w:pPr>
              <w:rPr>
                <w:i/>
              </w:rPr>
            </w:pPr>
            <w:r>
              <w:rPr>
                <w:i/>
              </w:rPr>
              <w:t>INOma</w:t>
            </w:r>
            <w:r w:rsidR="00CD2044" w:rsidRPr="00CD2044">
              <w:rPr>
                <w:i/>
              </w:rPr>
              <w:t>x, in conjunction with ventilatory support and other appropriate agents, is indicated</w:t>
            </w:r>
          </w:p>
          <w:p w14:paraId="1E7CF2C6" w14:textId="77777777" w:rsidR="008E7846" w:rsidRPr="00CD2044" w:rsidRDefault="00CD2044" w:rsidP="00CD2044">
            <w:pPr>
              <w:pStyle w:val="ListBullet"/>
            </w:pPr>
            <w:proofErr w:type="gramStart"/>
            <w:r w:rsidRPr="00CD2044">
              <w:rPr>
                <w:i/>
              </w:rPr>
              <w:t>as</w:t>
            </w:r>
            <w:proofErr w:type="gramEnd"/>
            <w:r w:rsidRPr="00CD2044">
              <w:rPr>
                <w:i/>
              </w:rPr>
              <w:t xml:space="preserve"> part of the treatment of peri- and post-operative pulmonary hypertension in newborn infants, infants and toddlers, children and adolescents, ages 0-17 years in conjunction with heart surgery, in order to selectively decrease pulmonary arterial pressure and improve right ventricular function and oxygenation.</w:t>
            </w:r>
          </w:p>
        </w:tc>
      </w:tr>
      <w:tr w:rsidR="008E7846" w:rsidRPr="00487162" w14:paraId="3026ADF8" w14:textId="77777777" w:rsidTr="0054722C">
        <w:trPr>
          <w:gridAfter w:val="1"/>
          <w:wAfter w:w="283" w:type="dxa"/>
        </w:trPr>
        <w:tc>
          <w:tcPr>
            <w:tcW w:w="2907" w:type="dxa"/>
          </w:tcPr>
          <w:p w14:paraId="04FC574E" w14:textId="77777777" w:rsidR="008E7846" w:rsidRPr="00487162" w:rsidRDefault="008E7846" w:rsidP="00E45619">
            <w:pPr>
              <w:rPr>
                <w:i/>
              </w:rPr>
            </w:pPr>
            <w:r w:rsidRPr="00487162">
              <w:rPr>
                <w:i/>
              </w:rPr>
              <w:t>Route(s) of administration:</w:t>
            </w:r>
          </w:p>
        </w:tc>
        <w:tc>
          <w:tcPr>
            <w:tcW w:w="6307" w:type="dxa"/>
          </w:tcPr>
          <w:p w14:paraId="5FADF897" w14:textId="77777777" w:rsidR="008E7846" w:rsidRPr="00487162" w:rsidRDefault="00CD2044" w:rsidP="00E45619">
            <w:r>
              <w:t>inhalation</w:t>
            </w:r>
          </w:p>
        </w:tc>
      </w:tr>
      <w:tr w:rsidR="008E7846" w:rsidRPr="00487162" w14:paraId="5AC132E2" w14:textId="77777777" w:rsidTr="0054722C">
        <w:trPr>
          <w:gridAfter w:val="1"/>
          <w:wAfter w:w="283" w:type="dxa"/>
        </w:trPr>
        <w:tc>
          <w:tcPr>
            <w:tcW w:w="2907" w:type="dxa"/>
          </w:tcPr>
          <w:p w14:paraId="56ECD943" w14:textId="77777777" w:rsidR="008E7846" w:rsidRPr="00487162" w:rsidRDefault="008E7846" w:rsidP="00E45619">
            <w:pPr>
              <w:rPr>
                <w:i/>
              </w:rPr>
            </w:pPr>
            <w:r w:rsidRPr="00487162">
              <w:rPr>
                <w:i/>
              </w:rPr>
              <w:t>Dosage:</w:t>
            </w:r>
          </w:p>
        </w:tc>
        <w:tc>
          <w:tcPr>
            <w:tcW w:w="6307" w:type="dxa"/>
          </w:tcPr>
          <w:p w14:paraId="5757B4D5" w14:textId="77777777" w:rsidR="008E7846" w:rsidRPr="00487162" w:rsidRDefault="00CC135A" w:rsidP="00E45619">
            <w:r>
              <w:t>For instructions regarding dosage please see the Product Information</w:t>
            </w:r>
          </w:p>
        </w:tc>
      </w:tr>
      <w:tr w:rsidR="008E7846" w:rsidRPr="00487162" w14:paraId="46C333DA" w14:textId="77777777" w:rsidTr="0054722C">
        <w:trPr>
          <w:gridAfter w:val="1"/>
          <w:wAfter w:w="283" w:type="dxa"/>
        </w:trPr>
        <w:tc>
          <w:tcPr>
            <w:tcW w:w="2907" w:type="dxa"/>
          </w:tcPr>
          <w:p w14:paraId="40C9EA55" w14:textId="77777777" w:rsidR="008E7846" w:rsidRPr="00487162" w:rsidRDefault="008E7846" w:rsidP="001B5C90">
            <w:pPr>
              <w:rPr>
                <w:i/>
              </w:rPr>
            </w:pPr>
            <w:r w:rsidRPr="00487162">
              <w:rPr>
                <w:i/>
              </w:rPr>
              <w:t xml:space="preserve">ARTG </w:t>
            </w:r>
            <w:r w:rsidR="001B5C90">
              <w:rPr>
                <w:i/>
              </w:rPr>
              <w:t>n</w:t>
            </w:r>
            <w:r w:rsidR="00CD2044">
              <w:rPr>
                <w:i/>
              </w:rPr>
              <w:t>umber</w:t>
            </w:r>
            <w:r w:rsidR="001B5C90">
              <w:rPr>
                <w:i/>
              </w:rPr>
              <w:t>:</w:t>
            </w:r>
          </w:p>
        </w:tc>
        <w:tc>
          <w:tcPr>
            <w:tcW w:w="6307" w:type="dxa"/>
          </w:tcPr>
          <w:p w14:paraId="1D2F9DBE" w14:textId="77777777" w:rsidR="008E7846" w:rsidRPr="00487162" w:rsidRDefault="00CD2044" w:rsidP="00E45619">
            <w:r>
              <w:t>128136</w:t>
            </w:r>
          </w:p>
        </w:tc>
      </w:tr>
    </w:tbl>
    <w:p w14:paraId="49A90404" w14:textId="77777777" w:rsidR="008E7846" w:rsidRDefault="008E7846" w:rsidP="008E7846">
      <w:pPr>
        <w:pStyle w:val="Heading3"/>
      </w:pPr>
      <w:bookmarkStart w:id="13" w:name="_Toc247691503"/>
      <w:bookmarkStart w:id="14" w:name="_Toc314842484"/>
      <w:bookmarkStart w:id="15" w:name="_Toc483899404"/>
      <w:r>
        <w:t>Product background</w:t>
      </w:r>
      <w:bookmarkEnd w:id="13"/>
      <w:bookmarkEnd w:id="14"/>
      <w:bookmarkEnd w:id="15"/>
    </w:p>
    <w:p w14:paraId="740BF4C7" w14:textId="77777777" w:rsidR="00420471" w:rsidRDefault="00940A89" w:rsidP="00940A89">
      <w:r w:rsidRPr="00940A89">
        <w:t xml:space="preserve">This AusPAR describes the application by </w:t>
      </w:r>
      <w:r w:rsidR="00AC2690">
        <w:t>Ikaria Australia Pty Ltd</w:t>
      </w:r>
      <w:r w:rsidR="00AC2690" w:rsidRPr="00940A89">
        <w:t xml:space="preserve"> </w:t>
      </w:r>
      <w:r w:rsidR="00AC2690">
        <w:t>(</w:t>
      </w:r>
      <w:r w:rsidRPr="00940A89">
        <w:t>the sponsor</w:t>
      </w:r>
      <w:r w:rsidR="00AC2690">
        <w:t>)</w:t>
      </w:r>
      <w:r w:rsidRPr="00940A89">
        <w:t xml:space="preserve"> to register </w:t>
      </w:r>
      <w:r w:rsidR="00AC2690">
        <w:t>INOmax</w:t>
      </w:r>
      <w:r w:rsidRPr="00940A89">
        <w:t xml:space="preserve"> </w:t>
      </w:r>
      <w:r w:rsidR="00CC135A">
        <w:t xml:space="preserve">nitric oxide 800 ppm </w:t>
      </w:r>
      <w:r w:rsidR="009273A2">
        <w:t xml:space="preserve">(part per million) </w:t>
      </w:r>
      <w:r w:rsidR="00CC135A">
        <w:t xml:space="preserve">medicinal gas for inhalation </w:t>
      </w:r>
      <w:r w:rsidRPr="00940A89">
        <w:t>for the following indicatio</w:t>
      </w:r>
      <w:r w:rsidR="00247A92">
        <w:t>n:</w:t>
      </w:r>
    </w:p>
    <w:p w14:paraId="09BA62A5" w14:textId="77777777" w:rsidR="008E7846" w:rsidRPr="00420471" w:rsidRDefault="00420471" w:rsidP="00CC135A">
      <w:pPr>
        <w:ind w:left="720"/>
        <w:rPr>
          <w:i/>
        </w:rPr>
      </w:pPr>
      <w:r w:rsidRPr="00420471">
        <w:rPr>
          <w:i/>
        </w:rPr>
        <w:t>INOmax, in conjunction with ventilatory support and other appropriate agents, is indicated as part of</w:t>
      </w:r>
      <w:r>
        <w:rPr>
          <w:i/>
        </w:rPr>
        <w:t xml:space="preserve"> </w:t>
      </w:r>
      <w:r w:rsidRPr="00420471">
        <w:rPr>
          <w:i/>
        </w:rPr>
        <w:t>the treatment of peri- and post-operative pulmonary hypertension in newborn infants, infants and</w:t>
      </w:r>
      <w:r>
        <w:rPr>
          <w:i/>
        </w:rPr>
        <w:t xml:space="preserve"> </w:t>
      </w:r>
      <w:r w:rsidRPr="00420471">
        <w:rPr>
          <w:i/>
        </w:rPr>
        <w:t xml:space="preserve">toddlers, children and adolescents, ages </w:t>
      </w:r>
      <w:r w:rsidRPr="00420471">
        <w:rPr>
          <w:i/>
        </w:rPr>
        <w:lastRenderedPageBreak/>
        <w:t xml:space="preserve">0-17 years in conjunction </w:t>
      </w:r>
      <w:r>
        <w:rPr>
          <w:i/>
        </w:rPr>
        <w:t xml:space="preserve">with heart surgery, in order to </w:t>
      </w:r>
      <w:r w:rsidRPr="00420471">
        <w:rPr>
          <w:i/>
        </w:rPr>
        <w:t>selectively decrease pulmonary arterial pressure and improve right ventr</w:t>
      </w:r>
      <w:r>
        <w:rPr>
          <w:i/>
        </w:rPr>
        <w:t xml:space="preserve">icular function and </w:t>
      </w:r>
      <w:r w:rsidRPr="00420471">
        <w:rPr>
          <w:i/>
        </w:rPr>
        <w:t>oxygenation.</w:t>
      </w:r>
      <w:r w:rsidR="00940A89" w:rsidRPr="00420471">
        <w:rPr>
          <w:i/>
        </w:rPr>
        <w:t>’</w:t>
      </w:r>
    </w:p>
    <w:p w14:paraId="4E66FA3B" w14:textId="77777777" w:rsidR="00247A92" w:rsidRPr="00247A92" w:rsidRDefault="00247A92" w:rsidP="00247A92">
      <w:bookmarkStart w:id="16" w:name="_Toc314842485"/>
      <w:bookmarkStart w:id="17" w:name="_Toc247691504"/>
      <w:r w:rsidRPr="00247A92">
        <w:t>Nitric Oxide (NO) is an endogenous signalling molecule. It acts in vascular smooth muscle cells by activating guanylate cyclase, causing the formation of cyclic guanosine monophosphate (cGMP). Elevated levels of cGMP set off a phosphorylation cascade leading to smooth muscle relaxation and vasodilation. NO is inhaled and has relative selectivity for the pulmonary vasculature. NO is also an inhibitor of platelet activation and vascular smooth muscle cell proliferation.</w:t>
      </w:r>
    </w:p>
    <w:p w14:paraId="5F9A7C4D" w14:textId="77777777" w:rsidR="00247A92" w:rsidRPr="00247A92" w:rsidRDefault="00247A92" w:rsidP="00247A92">
      <w:r w:rsidRPr="00247A92">
        <w:t>Pulmonary hypertension is defined as a mean pulmonary artery pressure (</w:t>
      </w:r>
      <w:proofErr w:type="spellStart"/>
      <w:r w:rsidR="00E3550D">
        <w:t>mPAP</w:t>
      </w:r>
      <w:proofErr w:type="spellEnd"/>
      <w:r w:rsidRPr="00247A92">
        <w:t xml:space="preserve">) </w:t>
      </w:r>
      <w:r w:rsidR="000B5B6A">
        <w:t>&gt; </w:t>
      </w:r>
      <w:r>
        <w:t>25 </w:t>
      </w:r>
      <w:r w:rsidR="00E3550D">
        <w:t>mmHg</w:t>
      </w:r>
      <w:r w:rsidRPr="00247A92">
        <w:t xml:space="preserve">, a normal capillary wedge pressure (PCWP) and increased pulmonary vascular resistance (PVR). It has been argued that pulmonary hypertension is present if the ratio of </w:t>
      </w:r>
      <w:r w:rsidR="005E41D7">
        <w:t>mean pulmonary artery pressure</w:t>
      </w:r>
      <w:r w:rsidR="005E41D7" w:rsidRPr="00247A92">
        <w:t xml:space="preserve"> </w:t>
      </w:r>
      <w:r w:rsidR="005E41D7">
        <w:t>(</w:t>
      </w:r>
      <w:proofErr w:type="spellStart"/>
      <w:r w:rsidR="00E3550D">
        <w:t>mPAP</w:t>
      </w:r>
      <w:proofErr w:type="spellEnd"/>
      <w:r w:rsidR="005E41D7">
        <w:t>)</w:t>
      </w:r>
      <w:r w:rsidRPr="00247A92">
        <w:t xml:space="preserve"> to mean systemic arterial pressure (</w:t>
      </w:r>
      <w:proofErr w:type="spellStart"/>
      <w:r w:rsidR="00E3550D">
        <w:t>mSAP</w:t>
      </w:r>
      <w:proofErr w:type="spellEnd"/>
      <w:r w:rsidRPr="00247A92">
        <w:t>) is &gt;</w:t>
      </w:r>
      <w:r>
        <w:t xml:space="preserve"> </w:t>
      </w:r>
      <w:r w:rsidRPr="00247A92">
        <w:t>0.4, or &gt;</w:t>
      </w:r>
      <w:r>
        <w:t xml:space="preserve"> </w:t>
      </w:r>
      <w:r w:rsidRPr="00247A92">
        <w:t>0.5 for children with congenital cardiovascular disease undergoing surgical repair</w:t>
      </w:r>
      <w:r w:rsidR="000B5B6A">
        <w:t>.</w:t>
      </w:r>
      <w:r w:rsidR="008A6123">
        <w:rPr>
          <w:rStyle w:val="FootnoteReference"/>
        </w:rPr>
        <w:footnoteReference w:id="1"/>
      </w:r>
      <w:r w:rsidR="008A6123">
        <w:t xml:space="preserve"> </w:t>
      </w:r>
      <w:r w:rsidRPr="00247A92">
        <w:t xml:space="preserve">Pulmonary hypertensive crises (PHTCs) are </w:t>
      </w:r>
      <w:r w:rsidR="008A6123">
        <w:t>life threatening</w:t>
      </w:r>
      <w:r w:rsidRPr="00247A92">
        <w:t xml:space="preserve"> events characterised by a rapid increase in PVR to the point where </w:t>
      </w:r>
      <w:r w:rsidR="00EB7308">
        <w:t>pulmonary artery pressure</w:t>
      </w:r>
      <w:r w:rsidR="00EB7308" w:rsidRPr="00247A92">
        <w:t xml:space="preserve"> </w:t>
      </w:r>
      <w:r w:rsidR="00EB7308">
        <w:t>(</w:t>
      </w:r>
      <w:r w:rsidRPr="00247A92">
        <w:t>PAP</w:t>
      </w:r>
      <w:r w:rsidR="00EB7308">
        <w:t>)</w:t>
      </w:r>
      <w:r w:rsidRPr="00247A92">
        <w:t xml:space="preserve"> exceeds the systemic blood pressure (SBP). The resulting right heart failure leads to a decrease in pulmonary blood flow, decreased cardiac output, hypoxia and biventricular failure. Without treatment these crises result in rapid cardiovascular collapse and death.</w:t>
      </w:r>
    </w:p>
    <w:p w14:paraId="449F9221" w14:textId="77777777" w:rsidR="00247A92" w:rsidRPr="00247A92" w:rsidRDefault="00247A92" w:rsidP="00247A92">
      <w:r w:rsidRPr="00247A92">
        <w:t>Pulmonary hypertension in the context of paediatric cardiac surgery has a number of contributing factors. Among these is the effect of cardiopulmonary bypass on the lung resulting in impaired endothelial function in the pulmonary vasculature a</w:t>
      </w:r>
      <w:r>
        <w:t xml:space="preserve">nd pulmonary vasoconstriction. </w:t>
      </w:r>
      <w:r w:rsidRPr="00247A92">
        <w:t>Children undergoing cardiac surgery are also at risk of pulmonary hypertension on the basis of their underlying cardiac abnormality (</w:t>
      </w:r>
      <w:r w:rsidR="008A6123">
        <w:t xml:space="preserve">for example </w:t>
      </w:r>
      <w:r w:rsidRPr="00247A92">
        <w:t>shunting, cardiac failure). This is important in the peri-and post-operative setting.</w:t>
      </w:r>
    </w:p>
    <w:p w14:paraId="38B5D501" w14:textId="77777777" w:rsidR="00247A92" w:rsidRPr="00247A92" w:rsidRDefault="00247A92" w:rsidP="00247A92">
      <w:r w:rsidRPr="00247A92">
        <w:t>Nitric oxide has been described in this literature for use in pulmonary hypertension for approximately two decades.</w:t>
      </w:r>
    </w:p>
    <w:p w14:paraId="32B9591C" w14:textId="77777777" w:rsidR="00247A92" w:rsidRPr="00247A92" w:rsidRDefault="00247A92" w:rsidP="00247A92">
      <w:r w:rsidRPr="00247A92">
        <w:t>INOmax was first registered in the USA in 1999 and in the EU in 2001 for the treatment of neonates (&gt;</w:t>
      </w:r>
      <w:r w:rsidR="008A6123">
        <w:t xml:space="preserve"> </w:t>
      </w:r>
      <w:r w:rsidRPr="00247A92">
        <w:t>34 weeks gestation) with hypoxic respiratory failure associated with clinical or echocardiographic evidence of pulmonary hypertension.</w:t>
      </w:r>
    </w:p>
    <w:p w14:paraId="0B9C6788" w14:textId="77777777" w:rsidR="008E7846" w:rsidRPr="003F31A2" w:rsidRDefault="00386150" w:rsidP="008E7846">
      <w:pPr>
        <w:pStyle w:val="Heading3"/>
      </w:pPr>
      <w:bookmarkStart w:id="18" w:name="_Toc483899405"/>
      <w:r>
        <w:t>Regulatory s</w:t>
      </w:r>
      <w:r w:rsidR="008E7846">
        <w:t>tatus</w:t>
      </w:r>
      <w:bookmarkEnd w:id="16"/>
      <w:bookmarkEnd w:id="17"/>
      <w:bookmarkEnd w:id="18"/>
    </w:p>
    <w:p w14:paraId="0A3C9684" w14:textId="77777777" w:rsidR="00940A89" w:rsidRDefault="00940A89" w:rsidP="00940A89">
      <w:bookmarkStart w:id="19" w:name="_Toc247691505"/>
      <w:bookmarkStart w:id="20" w:name="_Toc314842486"/>
      <w:r w:rsidRPr="00940A89">
        <w:t>The product received initial registration on the Australian Register of Therapeutic Goods (ARTG) on</w:t>
      </w:r>
      <w:r w:rsidR="00AC2690">
        <w:t xml:space="preserve"> 22 November 2007 for the indication</w:t>
      </w:r>
    </w:p>
    <w:p w14:paraId="5166EBB7" w14:textId="77777777" w:rsidR="00AC2690" w:rsidRPr="00AC2690" w:rsidRDefault="00AC2690" w:rsidP="008F1362">
      <w:pPr>
        <w:ind w:left="360"/>
        <w:rPr>
          <w:i/>
        </w:rPr>
      </w:pPr>
      <w:r w:rsidRPr="00AC2690">
        <w:rPr>
          <w:i/>
        </w:rPr>
        <w:t>INOmax, in conjunction with ventilatory support and other appropriate agents, is indicated</w:t>
      </w:r>
    </w:p>
    <w:p w14:paraId="746DBA4C" w14:textId="77777777" w:rsidR="00AC2690" w:rsidRPr="00AC2690" w:rsidRDefault="00AC2690" w:rsidP="008F1362">
      <w:pPr>
        <w:pStyle w:val="ListBullet"/>
        <w:ind w:left="720"/>
        <w:rPr>
          <w:i/>
        </w:rPr>
      </w:pPr>
      <w:proofErr w:type="gramStart"/>
      <w:r w:rsidRPr="00AC2690">
        <w:rPr>
          <w:i/>
        </w:rPr>
        <w:t>for</w:t>
      </w:r>
      <w:proofErr w:type="gramEnd"/>
      <w:r w:rsidRPr="00AC2690">
        <w:rPr>
          <w:i/>
        </w:rPr>
        <w:t xml:space="preserve"> the treatment of term and near-term (&gt; 34 weeks) neonates with hypoxic respiratory failure associated with clinical or echocardiographic evidence of pulmonary hypertension, in order to improve oxygenation and to reduce the need for extracorporeal membrane oxygenation.</w:t>
      </w:r>
    </w:p>
    <w:p w14:paraId="3090E840" w14:textId="77777777" w:rsidR="00940A89" w:rsidRDefault="00940A89" w:rsidP="00940A89">
      <w:r w:rsidRPr="00940A89">
        <w:t xml:space="preserve">At the time the TGA considered this application, a similar application had been approved in </w:t>
      </w:r>
      <w:r w:rsidR="00420471">
        <w:t>European Union: March 2011, Argentina: April 2012, Chile: June 2012, Columbia: October 2013, Mexico: March 2012 and Uruguay: July 2013. An application submitted to Switzerland in 2011 was withdrawn (for business reasons). The sponsor at the time had no intention to submit the application in the USA, Canada, New Zealand or Singapore.</w:t>
      </w:r>
    </w:p>
    <w:p w14:paraId="422AB5CB" w14:textId="77777777" w:rsidR="00420471" w:rsidRDefault="00420471" w:rsidP="00420471">
      <w:pPr>
        <w:pStyle w:val="Heading4"/>
      </w:pPr>
      <w:r>
        <w:lastRenderedPageBreak/>
        <w:t>Orphan drug designation</w:t>
      </w:r>
    </w:p>
    <w:p w14:paraId="7B8CFEB7" w14:textId="46795056" w:rsidR="00420471" w:rsidRPr="00420471" w:rsidRDefault="00420471" w:rsidP="00420471">
      <w:pPr>
        <w:autoSpaceDE w:val="0"/>
        <w:autoSpaceDN w:val="0"/>
        <w:adjustRightInd w:val="0"/>
        <w:spacing w:before="0" w:after="0" w:line="240" w:lineRule="auto"/>
        <w:rPr>
          <w:rFonts w:ascii="Times New Roman" w:eastAsiaTheme="minorHAnsi" w:hAnsi="Times New Roman"/>
        </w:rPr>
      </w:pPr>
      <w:r>
        <w:rPr>
          <w:rFonts w:ascii="Times New Roman" w:eastAsiaTheme="minorHAnsi" w:hAnsi="Times New Roman"/>
        </w:rPr>
        <w:t>The proposed indication was granted Orphan Drug Designation (ODD) by the TGA on 12</w:t>
      </w:r>
      <w:r w:rsidR="00CE6FBE">
        <w:rPr>
          <w:rFonts w:ascii="Times New Roman" w:eastAsiaTheme="minorHAnsi" w:hAnsi="Times New Roman"/>
        </w:rPr>
        <w:t xml:space="preserve"> </w:t>
      </w:r>
      <w:r>
        <w:rPr>
          <w:rFonts w:ascii="Times New Roman" w:eastAsiaTheme="minorHAnsi" w:hAnsi="Times New Roman"/>
        </w:rPr>
        <w:t>September 2013.</w:t>
      </w:r>
    </w:p>
    <w:p w14:paraId="6B14A7BE" w14:textId="403BFA17" w:rsidR="008E7846" w:rsidRDefault="008E7846" w:rsidP="00940A89">
      <w:pPr>
        <w:pStyle w:val="Heading3"/>
      </w:pPr>
      <w:bookmarkStart w:id="21" w:name="_Toc483899406"/>
      <w:r>
        <w:t>Product</w:t>
      </w:r>
      <w:r w:rsidR="00CE6FBE">
        <w:t xml:space="preserve"> information</w:t>
      </w:r>
      <w:bookmarkEnd w:id="19"/>
      <w:bookmarkEnd w:id="20"/>
      <w:bookmarkEnd w:id="21"/>
    </w:p>
    <w:p w14:paraId="12740835" w14:textId="77777777" w:rsidR="00940A89" w:rsidRDefault="006136D7" w:rsidP="00940A89">
      <w:pPr>
        <w:rPr>
          <w:b/>
          <w:bCs/>
        </w:rPr>
      </w:pPr>
      <w:bookmarkStart w:id="22" w:name="_Toc247691506"/>
      <w:bookmarkStart w:id="23" w:name="_Toc314842487"/>
      <w:r w:rsidRPr="00940A89">
        <w:t xml:space="preserve">The Product Information (PI) </w:t>
      </w:r>
      <w:r>
        <w:t xml:space="preserve">approved with the submission which is described in </w:t>
      </w:r>
      <w:r w:rsidRPr="00940A89">
        <w:t xml:space="preserve">this AusPAR can be found as Attachment 1. For the most recent </w:t>
      </w:r>
      <w:r>
        <w:t>PI,</w:t>
      </w:r>
      <w:r w:rsidRPr="00940A89">
        <w:t xml:space="preserve"> ple</w:t>
      </w:r>
      <w:r>
        <w:t>ase refer to the TGA website</w:t>
      </w:r>
      <w:r w:rsidRPr="00441C3F">
        <w:t xml:space="preserve"> at </w:t>
      </w:r>
      <w:r w:rsidR="00441C3F" w:rsidRPr="00441C3F">
        <w:t>&lt;</w:t>
      </w:r>
      <w:hyperlink r:id="rId14" w:history="1">
        <w:r w:rsidR="00441C3F" w:rsidRPr="00441C3F">
          <w:rPr>
            <w:rStyle w:val="Hyperlink"/>
          </w:rPr>
          <w:t>https://www.tga.gov.au/product-information-pi</w:t>
        </w:r>
      </w:hyperlink>
      <w:r w:rsidR="00441C3F">
        <w:t>&gt;</w:t>
      </w:r>
      <w:r w:rsidR="00940A89" w:rsidRPr="00940A89">
        <w:t>.</w:t>
      </w:r>
    </w:p>
    <w:p w14:paraId="086B8730" w14:textId="77777777" w:rsidR="008E7846" w:rsidRPr="003602A9" w:rsidRDefault="008E7846" w:rsidP="008E7846">
      <w:pPr>
        <w:pStyle w:val="Heading2"/>
        <w:ind w:left="-11"/>
      </w:pPr>
      <w:bookmarkStart w:id="24" w:name="_Toc483899407"/>
      <w:r>
        <w:t>II. Quality</w:t>
      </w:r>
      <w:bookmarkEnd w:id="2"/>
      <w:r>
        <w:t xml:space="preserve"> findings</w:t>
      </w:r>
      <w:bookmarkEnd w:id="22"/>
      <w:bookmarkEnd w:id="23"/>
      <w:bookmarkEnd w:id="24"/>
    </w:p>
    <w:p w14:paraId="202DFD2E" w14:textId="77777777" w:rsidR="00940A89" w:rsidRPr="00940A89" w:rsidRDefault="00940A89" w:rsidP="00940A89">
      <w:bookmarkStart w:id="25" w:name="_Toc247691507"/>
      <w:bookmarkStart w:id="26" w:name="_Toc314842488"/>
      <w:r w:rsidRPr="00940A89">
        <w:t>There was no requirement for a quality evaluation in a submission of this type.</w:t>
      </w:r>
    </w:p>
    <w:p w14:paraId="1F567ECB" w14:textId="77777777" w:rsidR="008E7846" w:rsidRDefault="008E7846" w:rsidP="008E7846">
      <w:pPr>
        <w:pStyle w:val="Heading2"/>
      </w:pPr>
      <w:bookmarkStart w:id="27" w:name="_Toc196046439"/>
      <w:bookmarkStart w:id="28" w:name="_Toc247691510"/>
      <w:bookmarkStart w:id="29" w:name="_Toc314842494"/>
      <w:bookmarkStart w:id="30" w:name="_Toc483899408"/>
      <w:bookmarkEnd w:id="25"/>
      <w:bookmarkEnd w:id="26"/>
      <w:r>
        <w:t>III. Nonclinical</w:t>
      </w:r>
      <w:bookmarkEnd w:id="27"/>
      <w:r>
        <w:t xml:space="preserve"> findings</w:t>
      </w:r>
      <w:bookmarkEnd w:id="28"/>
      <w:bookmarkEnd w:id="29"/>
      <w:bookmarkEnd w:id="30"/>
    </w:p>
    <w:p w14:paraId="544AE43F" w14:textId="77777777" w:rsidR="008E7846" w:rsidRDefault="008E7846" w:rsidP="008E7846">
      <w:pPr>
        <w:pStyle w:val="Heading3"/>
      </w:pPr>
      <w:bookmarkStart w:id="31" w:name="_Toc247691515"/>
      <w:bookmarkStart w:id="32" w:name="_Toc314842499"/>
      <w:bookmarkStart w:id="33" w:name="_Toc483899409"/>
      <w:r>
        <w:t>Nonclinical summary and conclusions</w:t>
      </w:r>
      <w:bookmarkEnd w:id="31"/>
      <w:bookmarkEnd w:id="32"/>
      <w:bookmarkEnd w:id="33"/>
    </w:p>
    <w:p w14:paraId="58232F0F" w14:textId="77777777" w:rsidR="00CC135A" w:rsidRPr="00CC135A" w:rsidRDefault="00CC135A" w:rsidP="008A6123">
      <w:r w:rsidRPr="00CC135A">
        <w:t>The sponsor submitted the following study reports and information:</w:t>
      </w:r>
    </w:p>
    <w:p w14:paraId="58D13B0C" w14:textId="77777777" w:rsidR="00CC135A" w:rsidRPr="00CC135A" w:rsidRDefault="00CC135A" w:rsidP="00C313C9">
      <w:pPr>
        <w:pStyle w:val="ListBullet"/>
      </w:pPr>
      <w:r w:rsidRPr="00CC135A">
        <w:t xml:space="preserve">A </w:t>
      </w:r>
      <w:r w:rsidR="008A6123">
        <w:t>6 month</w:t>
      </w:r>
      <w:r w:rsidRPr="00CC135A">
        <w:t xml:space="preserve"> intermittent, repeat dose, pulse inhalation study in sheep.</w:t>
      </w:r>
    </w:p>
    <w:p w14:paraId="6DD32B13" w14:textId="77777777" w:rsidR="00CC135A" w:rsidRPr="00CC135A" w:rsidRDefault="00CC135A" w:rsidP="00C313C9">
      <w:pPr>
        <w:pStyle w:val="ListBullet"/>
      </w:pPr>
      <w:r w:rsidRPr="00CC135A">
        <w:t>Newly proposed chronic exposure margin calculations for INOmax based on local pulmonary exposure.</w:t>
      </w:r>
    </w:p>
    <w:p w14:paraId="5928716F" w14:textId="77777777" w:rsidR="00CC135A" w:rsidRPr="00CC135A" w:rsidRDefault="00CC135A" w:rsidP="00C313C9">
      <w:pPr>
        <w:pStyle w:val="ListBullet"/>
      </w:pPr>
      <w:r w:rsidRPr="00CC135A">
        <w:t>A re-assessment of uterine lesion finding</w:t>
      </w:r>
      <w:r>
        <w:t xml:space="preserve">s in the previously submitted 2 </w:t>
      </w:r>
      <w:r w:rsidRPr="00CC135A">
        <w:t>year rat carcinogenicity study.</w:t>
      </w:r>
    </w:p>
    <w:p w14:paraId="7F94A123" w14:textId="77777777" w:rsidR="00CC135A" w:rsidRPr="00CC135A" w:rsidRDefault="00CC135A" w:rsidP="00C313C9">
      <w:pPr>
        <w:pStyle w:val="ListBullet"/>
      </w:pPr>
      <w:r w:rsidRPr="00CC135A">
        <w:t>Various published papers on nitric oxide, nitrate and nitrite pharmacology/toxicology.</w:t>
      </w:r>
    </w:p>
    <w:p w14:paraId="03F6B88D" w14:textId="77777777" w:rsidR="00CC135A" w:rsidRPr="00CC135A" w:rsidRDefault="00CC135A" w:rsidP="00C313C9">
      <w:pPr>
        <w:pStyle w:val="ListBullet2"/>
      </w:pPr>
      <w:r w:rsidRPr="00CC135A">
        <w:t xml:space="preserve">No overt </w:t>
      </w:r>
      <w:r w:rsidR="008A6123">
        <w:t>treatment related</w:t>
      </w:r>
      <w:r w:rsidRPr="00CC135A">
        <w:t xml:space="preserve"> effects were observed in the repeat dose inhalation study in sheep. However, non-dose related increases in methaemoglobin levels were generally present in all nitric oxide</w:t>
      </w:r>
      <w:r w:rsidR="008A6123">
        <w:t xml:space="preserve"> exposed groups, with the worst</w:t>
      </w:r>
      <w:r w:rsidR="008A6123" w:rsidRPr="00CC135A">
        <w:t xml:space="preserve"> case</w:t>
      </w:r>
      <w:r w:rsidRPr="00CC135A">
        <w:t xml:space="preserve"> (</w:t>
      </w:r>
      <w:r w:rsidR="008A6123">
        <w:t>approximately</w:t>
      </w:r>
      <w:r w:rsidRPr="00CC135A">
        <w:t xml:space="preserve"> 12%) producing signs of cyanosis but no other physiologically adverse effects in normal animals. No other signs of oxidative damage to the </w:t>
      </w:r>
      <w:proofErr w:type="spellStart"/>
      <w:r w:rsidRPr="00CC135A">
        <w:t>erythron</w:t>
      </w:r>
      <w:proofErr w:type="spellEnd"/>
      <w:r w:rsidRPr="00CC135A">
        <w:t xml:space="preserve"> were observed.</w:t>
      </w:r>
    </w:p>
    <w:p w14:paraId="2B129E04" w14:textId="77777777" w:rsidR="00CC135A" w:rsidRPr="00CC135A" w:rsidRDefault="00CC135A" w:rsidP="00C313C9">
      <w:pPr>
        <w:pStyle w:val="ListBullet2"/>
      </w:pPr>
      <w:r w:rsidRPr="00CC135A">
        <w:t xml:space="preserve">The sponsor’s new relative exposure calculations for the rat and sheep repeat dose studies were incorrectly based on lung burdens and pulmonary region surface areas. As the key site/mode of adverse effect is methaemoglobin formation within erythrocytes, the calculations have been adjusted accordingly, yielding relative exposure margins at the </w:t>
      </w:r>
      <w:r w:rsidR="008A6123">
        <w:t>no observed adverse effect level</w:t>
      </w:r>
      <w:r w:rsidR="008A6123" w:rsidRPr="00CC135A">
        <w:t xml:space="preserve"> </w:t>
      </w:r>
      <w:r w:rsidR="008A6123">
        <w:t>(</w:t>
      </w:r>
      <w:r w:rsidRPr="00CC135A">
        <w:t>NOAEL</w:t>
      </w:r>
      <w:r w:rsidR="008A6123">
        <w:t>)</w:t>
      </w:r>
      <w:r w:rsidRPr="00CC135A">
        <w:t xml:space="preserve"> of ≥ 1.0 for the </w:t>
      </w:r>
      <w:r w:rsidR="008A6123">
        <w:t>6 month</w:t>
      </w:r>
      <w:r w:rsidRPr="00CC135A">
        <w:t xml:space="preserve"> sheep study and ≥ 0.8 for the </w:t>
      </w:r>
      <w:r w:rsidR="008A6123">
        <w:t>2 year</w:t>
      </w:r>
      <w:r w:rsidRPr="00CC135A">
        <w:t xml:space="preserve"> rat study.</w:t>
      </w:r>
    </w:p>
    <w:p w14:paraId="0444BA0D" w14:textId="77777777" w:rsidR="00CC135A" w:rsidRPr="00CC135A" w:rsidRDefault="00CC135A" w:rsidP="00C313C9">
      <w:pPr>
        <w:pStyle w:val="ListBullet2"/>
      </w:pPr>
      <w:r w:rsidRPr="00CC135A">
        <w:t>The published literature shows variable effects of nitric oxide on the coagulation system in different species; however, no overt coagulopathies or bleeding tendencies were noted in any of the repeat dose toxicity studies in rats and sheep.</w:t>
      </w:r>
    </w:p>
    <w:p w14:paraId="5BA239D8" w14:textId="77777777" w:rsidR="00CC135A" w:rsidRDefault="00CC135A" w:rsidP="00C313C9">
      <w:pPr>
        <w:pStyle w:val="ListBullet2"/>
      </w:pPr>
      <w:r w:rsidRPr="00CC135A">
        <w:t xml:space="preserve">The </w:t>
      </w:r>
      <w:r w:rsidR="008A6123">
        <w:t>nonclinical</w:t>
      </w:r>
      <w:r w:rsidRPr="00CC135A">
        <w:t xml:space="preserve"> evaluator concurs with the sponsor that the uterine lesions in the </w:t>
      </w:r>
      <w:r w:rsidR="008F1362">
        <w:t>2 </w:t>
      </w:r>
      <w:r w:rsidR="008A6123">
        <w:t>year</w:t>
      </w:r>
      <w:r w:rsidRPr="00CC135A">
        <w:t xml:space="preserve"> rat carcinogenicity study are not treatment related. Substantial (up to </w:t>
      </w:r>
      <w:r w:rsidR="008A6123">
        <w:t xml:space="preserve">approximately </w:t>
      </w:r>
      <w:r w:rsidRPr="00CC135A">
        <w:t>30% relative to the controls) hepatomegaly (most likely due to diffuse hepatocyte hyperplasia) was present in this study, which has implications for drug metabolism and drug interactions if there is particularly extended usage.</w:t>
      </w:r>
    </w:p>
    <w:p w14:paraId="79920B5A" w14:textId="0CD54F9E" w:rsidR="00772617" w:rsidRPr="00772617" w:rsidRDefault="00772617" w:rsidP="008A6123">
      <w:pPr>
        <w:pStyle w:val="Heading4"/>
      </w:pPr>
      <w:r w:rsidRPr="00772617">
        <w:lastRenderedPageBreak/>
        <w:t xml:space="preserve">Comments on the </w:t>
      </w:r>
      <w:r w:rsidR="00CE6FBE" w:rsidRPr="00772617">
        <w:t xml:space="preserve">safety specification </w:t>
      </w:r>
      <w:r w:rsidRPr="00772617">
        <w:t xml:space="preserve">of the </w:t>
      </w:r>
      <w:r w:rsidR="00C313C9" w:rsidRPr="00772617">
        <w:t>risk management plan</w:t>
      </w:r>
    </w:p>
    <w:p w14:paraId="72CA6D82" w14:textId="77777777" w:rsidR="00772617" w:rsidRPr="00772617" w:rsidRDefault="00772617" w:rsidP="00772617">
      <w:r w:rsidRPr="00772617">
        <w:t>Results and conclusions drawn from the nonclinical program for INOmax detailed in the sponsor’s draft Risk Management Plan</w:t>
      </w:r>
      <w:r w:rsidR="008A6123">
        <w:t xml:space="preserve"> (RMP)</w:t>
      </w:r>
      <w:r w:rsidRPr="00772617">
        <w:t xml:space="preserve"> (EU RMP, Part II, Nonclinical part of the safety specification) are generally concordant with those of the </w:t>
      </w:r>
      <w:r w:rsidR="008A6123" w:rsidRPr="00772617">
        <w:t xml:space="preserve">nonclinical evaluator </w:t>
      </w:r>
      <w:r w:rsidRPr="00772617">
        <w:t>although the following modifications are suggested:</w:t>
      </w:r>
    </w:p>
    <w:p w14:paraId="5AD81121" w14:textId="77777777" w:rsidR="00772617" w:rsidRPr="00772617" w:rsidRDefault="00772617" w:rsidP="008F1362">
      <w:pPr>
        <w:ind w:left="720"/>
      </w:pPr>
      <w:r w:rsidRPr="00772617">
        <w:t>Table 5, located in section 3.1 (page 28</w:t>
      </w:r>
      <w:proofErr w:type="gramStart"/>
      <w:r w:rsidRPr="00772617">
        <w:t>)</w:t>
      </w:r>
      <w:r w:rsidR="004536B4">
        <w:t>[</w:t>
      </w:r>
      <w:proofErr w:type="gramEnd"/>
      <w:r w:rsidR="004536B4">
        <w:t>of the RMP].</w:t>
      </w:r>
    </w:p>
    <w:p w14:paraId="2E161766" w14:textId="47F7AB78" w:rsidR="00772617" w:rsidRDefault="00772617" w:rsidP="008F1362">
      <w:r w:rsidRPr="00772617">
        <w:t xml:space="preserve">Given that the key adverse effect for NO is methaemoglobinaemia, the target tissue is actually the blood (specifically the erythrocytes </w:t>
      </w:r>
      <w:r w:rsidR="008A6123">
        <w:t xml:space="preserve">that is </w:t>
      </w:r>
      <w:r w:rsidRPr="00772617">
        <w:t xml:space="preserve">technically distal to the </w:t>
      </w:r>
      <w:r w:rsidR="00080384">
        <w:t>pulmonary</w:t>
      </w:r>
      <w:r w:rsidRPr="00772617">
        <w:t xml:space="preserve"> region of the lung). Therefore, an extra column should be added to the relative exposure table for systemic (SYS) effects as follows</w:t>
      </w:r>
      <w:r w:rsidR="004536B4">
        <w:t xml:space="preserve"> in Table 1</w:t>
      </w:r>
      <w:r w:rsidR="00352986">
        <w:t>.</w:t>
      </w:r>
    </w:p>
    <w:p w14:paraId="208C79ED" w14:textId="77777777" w:rsidR="00ED67DA" w:rsidRPr="00772617" w:rsidRDefault="00ED67DA" w:rsidP="006A7861">
      <w:pPr>
        <w:pStyle w:val="Tabletitle0"/>
      </w:pPr>
      <w:r w:rsidRPr="004536B4">
        <w:t xml:space="preserve">Table 1 </w:t>
      </w:r>
      <w:r w:rsidR="006A7861" w:rsidRPr="004536B4">
        <w:t>recommended</w:t>
      </w:r>
      <w:r>
        <w:t xml:space="preserve"> format changes to Table 5 of the RMP</w:t>
      </w:r>
    </w:p>
    <w:tbl>
      <w:tblPr>
        <w:tblStyle w:val="TableTGAblue"/>
        <w:tblW w:w="0" w:type="auto"/>
        <w:tblLook w:val="04A0" w:firstRow="1" w:lastRow="0" w:firstColumn="1" w:lastColumn="0" w:noHBand="0" w:noVBand="1"/>
      </w:tblPr>
      <w:tblGrid>
        <w:gridCol w:w="1751"/>
        <w:gridCol w:w="1720"/>
        <w:gridCol w:w="1759"/>
        <w:gridCol w:w="1720"/>
        <w:gridCol w:w="1770"/>
      </w:tblGrid>
      <w:tr w:rsidR="00772617" w:rsidRPr="00426B22" w14:paraId="4AA2B9A4" w14:textId="77777777" w:rsidTr="00772617">
        <w:trPr>
          <w:cnfStyle w:val="100000000000" w:firstRow="1" w:lastRow="0" w:firstColumn="0" w:lastColumn="0" w:oddVBand="0" w:evenVBand="0" w:oddHBand="0" w:evenHBand="0" w:firstRowFirstColumn="0" w:firstRowLastColumn="0" w:lastRowFirstColumn="0" w:lastRowLastColumn="0"/>
        </w:trPr>
        <w:tc>
          <w:tcPr>
            <w:tcW w:w="1751" w:type="dxa"/>
          </w:tcPr>
          <w:p w14:paraId="2F5C8A79" w14:textId="2A95A97F" w:rsidR="00772617" w:rsidRPr="00426B22" w:rsidRDefault="00772617" w:rsidP="00C313C9">
            <w:r w:rsidRPr="00426B22">
              <w:t>Species</w:t>
            </w:r>
            <w:r w:rsidR="00C313C9">
              <w:t xml:space="preserve"> </w:t>
            </w:r>
            <w:r w:rsidRPr="00426B22">
              <w:t>(Study Nos.)</w:t>
            </w:r>
          </w:p>
        </w:tc>
        <w:tc>
          <w:tcPr>
            <w:tcW w:w="1720" w:type="dxa"/>
          </w:tcPr>
          <w:p w14:paraId="0C38FE54" w14:textId="77777777" w:rsidR="00772617" w:rsidRPr="00426B22" w:rsidRDefault="00772617" w:rsidP="00C313C9">
            <w:r w:rsidRPr="00426B22">
              <w:t>Duration, dose</w:t>
            </w:r>
          </w:p>
        </w:tc>
        <w:tc>
          <w:tcPr>
            <w:tcW w:w="1759" w:type="dxa"/>
          </w:tcPr>
          <w:p w14:paraId="0181A31A" w14:textId="1624B05C" w:rsidR="00772617" w:rsidRPr="00426B22" w:rsidRDefault="00772617" w:rsidP="00C313C9">
            <w:r w:rsidRPr="00426B22">
              <w:t>Lung burden</w:t>
            </w:r>
            <w:r w:rsidR="00C313C9">
              <w:t xml:space="preserve"> </w:t>
            </w:r>
            <w:r w:rsidRPr="00426B22">
              <w:t xml:space="preserve">(mg </w:t>
            </w:r>
            <w:proofErr w:type="spellStart"/>
            <w:r w:rsidRPr="00426B22">
              <w:t>iNO</w:t>
            </w:r>
            <w:proofErr w:type="spellEnd"/>
            <w:r w:rsidRPr="00426B22">
              <w:t>/gram lung/day)a</w:t>
            </w:r>
          </w:p>
        </w:tc>
        <w:tc>
          <w:tcPr>
            <w:tcW w:w="1720" w:type="dxa"/>
          </w:tcPr>
          <w:p w14:paraId="68829B6C" w14:textId="32C4B567" w:rsidR="00772617" w:rsidRPr="00426B22" w:rsidRDefault="00772617" w:rsidP="00C313C9">
            <w:r w:rsidRPr="00426B22">
              <w:t>Exposure Margin</w:t>
            </w:r>
            <w:r w:rsidR="00C313C9">
              <w:t xml:space="preserve"> </w:t>
            </w:r>
            <w:r w:rsidRPr="00426B22">
              <w:t>(Lung burden)b</w:t>
            </w:r>
          </w:p>
        </w:tc>
        <w:tc>
          <w:tcPr>
            <w:tcW w:w="1770" w:type="dxa"/>
          </w:tcPr>
          <w:p w14:paraId="66B8625F" w14:textId="46550E06" w:rsidR="00772617" w:rsidRPr="00426B22" w:rsidRDefault="00772617" w:rsidP="00C313C9">
            <w:r w:rsidRPr="00426B22">
              <w:t>Exposure Margin</w:t>
            </w:r>
            <w:r w:rsidR="00C313C9">
              <w:t xml:space="preserve"> </w:t>
            </w:r>
            <w:r w:rsidRPr="00426B22">
              <w:t>(Systemic)c</w:t>
            </w:r>
          </w:p>
        </w:tc>
      </w:tr>
      <w:tr w:rsidR="00772617" w:rsidRPr="00426B22" w14:paraId="19CE7431" w14:textId="77777777" w:rsidTr="00772617">
        <w:tc>
          <w:tcPr>
            <w:tcW w:w="1751" w:type="dxa"/>
          </w:tcPr>
          <w:p w14:paraId="5FB8AE54" w14:textId="77777777" w:rsidR="00772617" w:rsidRPr="00426B22" w:rsidRDefault="00772617" w:rsidP="00C313C9">
            <w:r w:rsidRPr="00426B22">
              <w:t>Rat (NOO5243)</w:t>
            </w:r>
          </w:p>
        </w:tc>
        <w:tc>
          <w:tcPr>
            <w:tcW w:w="1720" w:type="dxa"/>
          </w:tcPr>
          <w:p w14:paraId="4B04BFFB" w14:textId="77777777" w:rsidR="00772617" w:rsidRPr="00426B22" w:rsidRDefault="00772617" w:rsidP="00C313C9">
            <w:r w:rsidRPr="00426B22">
              <w:t>2 years, 20 ppm (NOAEL)</w:t>
            </w:r>
          </w:p>
        </w:tc>
        <w:tc>
          <w:tcPr>
            <w:tcW w:w="1759" w:type="dxa"/>
          </w:tcPr>
          <w:p w14:paraId="1045D681" w14:textId="77777777" w:rsidR="00772617" w:rsidRPr="00426B22" w:rsidRDefault="00772617" w:rsidP="00C313C9">
            <w:r w:rsidRPr="00426B22">
              <w:t>3.4</w:t>
            </w:r>
          </w:p>
        </w:tc>
        <w:tc>
          <w:tcPr>
            <w:tcW w:w="1720" w:type="dxa"/>
          </w:tcPr>
          <w:p w14:paraId="6242CFEE" w14:textId="77777777" w:rsidR="00772617" w:rsidRPr="00426B22" w:rsidRDefault="00772617" w:rsidP="00C313C9">
            <w:r w:rsidRPr="00426B22">
              <w:t>5.5</w:t>
            </w:r>
          </w:p>
        </w:tc>
        <w:tc>
          <w:tcPr>
            <w:tcW w:w="1770" w:type="dxa"/>
          </w:tcPr>
          <w:p w14:paraId="382FB8B9" w14:textId="77777777" w:rsidR="00772617" w:rsidRPr="00426B22" w:rsidRDefault="00772617" w:rsidP="00C313C9">
            <w:r w:rsidRPr="00426B22">
              <w:t>0.8</w:t>
            </w:r>
          </w:p>
        </w:tc>
      </w:tr>
      <w:tr w:rsidR="00772617" w:rsidRPr="00426B22" w14:paraId="3D17AF35" w14:textId="77777777" w:rsidTr="00772617">
        <w:tc>
          <w:tcPr>
            <w:tcW w:w="1751" w:type="dxa"/>
          </w:tcPr>
          <w:p w14:paraId="204C2D41" w14:textId="77777777" w:rsidR="00772617" w:rsidRPr="00426B22" w:rsidRDefault="00772617" w:rsidP="00C313C9">
            <w:r w:rsidRPr="00426B22">
              <w:t>Sheep (ABRAB1)</w:t>
            </w:r>
          </w:p>
        </w:tc>
        <w:tc>
          <w:tcPr>
            <w:tcW w:w="1720" w:type="dxa"/>
          </w:tcPr>
          <w:p w14:paraId="2570EBF5" w14:textId="77777777" w:rsidR="00772617" w:rsidRPr="00426B22" w:rsidRDefault="00772617" w:rsidP="00C313C9">
            <w:r w:rsidRPr="00426B22">
              <w:t>6 months, 0.23 mg/kg/h (NOAEL)</w:t>
            </w:r>
          </w:p>
        </w:tc>
        <w:tc>
          <w:tcPr>
            <w:tcW w:w="1759" w:type="dxa"/>
          </w:tcPr>
          <w:p w14:paraId="7818EB92" w14:textId="77777777" w:rsidR="00772617" w:rsidRPr="00426B22" w:rsidRDefault="00772617" w:rsidP="00C313C9">
            <w:r w:rsidRPr="00426B22">
              <w:t>0.43</w:t>
            </w:r>
          </w:p>
        </w:tc>
        <w:tc>
          <w:tcPr>
            <w:tcW w:w="1720" w:type="dxa"/>
          </w:tcPr>
          <w:p w14:paraId="6F122A82" w14:textId="77777777" w:rsidR="00772617" w:rsidRPr="00426B22" w:rsidRDefault="00772617" w:rsidP="00C313C9">
            <w:r w:rsidRPr="00426B22">
              <w:t>0.70</w:t>
            </w:r>
          </w:p>
        </w:tc>
        <w:tc>
          <w:tcPr>
            <w:tcW w:w="1770" w:type="dxa"/>
          </w:tcPr>
          <w:p w14:paraId="26F5C1C7" w14:textId="77777777" w:rsidR="00772617" w:rsidRPr="00426B22" w:rsidRDefault="00772617" w:rsidP="00C313C9">
            <w:r w:rsidRPr="00426B22">
              <w:t>1.0</w:t>
            </w:r>
          </w:p>
        </w:tc>
      </w:tr>
    </w:tbl>
    <w:p w14:paraId="50A95BC5" w14:textId="77777777" w:rsidR="004607B6" w:rsidRDefault="00772617" w:rsidP="00426B22">
      <w:pPr>
        <w:pStyle w:val="TableDescription"/>
      </w:pPr>
      <w:r w:rsidRPr="00772617">
        <w:t>NOAEL</w:t>
      </w:r>
      <w:r w:rsidR="008A6123">
        <w:t xml:space="preserve"> </w:t>
      </w:r>
      <w:r w:rsidRPr="00772617">
        <w:t>=</w:t>
      </w:r>
      <w:r w:rsidR="008A6123">
        <w:t xml:space="preserve"> no </w:t>
      </w:r>
      <w:r w:rsidRPr="00772617">
        <w:t>observe</w:t>
      </w:r>
      <w:r w:rsidR="008A6123">
        <w:t xml:space="preserve">d adverse effect </w:t>
      </w:r>
      <w:r w:rsidRPr="00772617">
        <w:t xml:space="preserve">level a: Part per million concentration in the rat toxicity study was converted to lung burden based on a respiratory rate of 290 L per day (ICH Q3C(R2)) and the mean lung weight obtained at terminal </w:t>
      </w:r>
      <w:r w:rsidRPr="00CE6FBE">
        <w:t>necropsy</w:t>
      </w:r>
      <w:r w:rsidRPr="00772617">
        <w:t xml:space="preserve"> b: Lung burden at 20 ppm </w:t>
      </w:r>
      <w:r w:rsidR="00A31697">
        <w:t>inhaled nitric oxide</w:t>
      </w:r>
      <w:r w:rsidR="00A31697" w:rsidRPr="00772617">
        <w:t xml:space="preserve"> </w:t>
      </w:r>
      <w:r w:rsidR="00A31697">
        <w:t>(</w:t>
      </w:r>
      <w:r w:rsidRPr="00772617">
        <w:t>iNO</w:t>
      </w:r>
      <w:r w:rsidR="00A31697">
        <w:t>)</w:t>
      </w:r>
      <w:r w:rsidRPr="00772617">
        <w:t xml:space="preserve"> for a preterm infant calculated as 0.617 mg/g/day based on an average birth weight of 0.790 kg (studies INOT25, INOT27, BALLR1), a respiratory rate using Bide, RW 2000</w:t>
      </w:r>
      <w:r w:rsidR="000B338D">
        <w:rPr>
          <w:rStyle w:val="FootnoteReference"/>
        </w:rPr>
        <w:footnoteReference w:id="2"/>
      </w:r>
      <w:r w:rsidRPr="00772617">
        <w:t xml:space="preserve"> (RMV (L) = 0.499</w:t>
      </w:r>
      <w:r w:rsidR="00080384">
        <w:t xml:space="preserve"> x </w:t>
      </w:r>
      <w:r w:rsidRPr="00772617">
        <w:t>W</w:t>
      </w:r>
      <w:r w:rsidRPr="00080384">
        <w:rPr>
          <w:vertAlign w:val="superscript"/>
        </w:rPr>
        <w:t>0.809</w:t>
      </w:r>
      <w:r w:rsidRPr="00772617">
        <w:t xml:space="preserve">), and a lung weight of 3% of the birth weight based on preterm </w:t>
      </w:r>
      <w:r w:rsidRPr="00426B22">
        <w:t>infant</w:t>
      </w:r>
      <w:r w:rsidRPr="00772617">
        <w:t xml:space="preserve"> data</w:t>
      </w:r>
      <w:r w:rsidR="000B338D">
        <w:t>.</w:t>
      </w:r>
      <w:r w:rsidR="000B338D">
        <w:rPr>
          <w:rStyle w:val="FootnoteReference"/>
        </w:rPr>
        <w:footnoteReference w:id="3"/>
      </w:r>
      <w:r w:rsidR="000B338D">
        <w:t xml:space="preserve"> </w:t>
      </w:r>
      <w:r w:rsidRPr="00772617">
        <w:t>C: Calculated systemic (SYS) exposure using EPA “Advances in Inhalation Gas Dosimetry for Derivation of a Reference Concentration (</w:t>
      </w:r>
      <w:proofErr w:type="spellStart"/>
      <w:r w:rsidRPr="00772617">
        <w:t>RfC</w:t>
      </w:r>
      <w:proofErr w:type="spellEnd"/>
      <w:r w:rsidRPr="00772617">
        <w:t>) and Use in Risk Assessment”. NO as a Category 3 gas (water soluble, perfusion limited), res</w:t>
      </w:r>
      <w:r w:rsidR="00080384">
        <w:t>piratory parameters for sheep;</w:t>
      </w:r>
      <w:r w:rsidRPr="00772617">
        <w:t xml:space="preserve"> 40</w:t>
      </w:r>
      <w:r w:rsidR="00080384">
        <w:t xml:space="preserve"> breaths/min, tidal volume 238 to </w:t>
      </w:r>
      <w:r w:rsidRPr="00772617">
        <w:t xml:space="preserve">380 </w:t>
      </w:r>
      <w:proofErr w:type="spellStart"/>
      <w:r w:rsidRPr="00772617">
        <w:t>mL</w:t>
      </w:r>
      <w:r w:rsidR="004607B6">
        <w:t>.</w:t>
      </w:r>
      <w:proofErr w:type="spellEnd"/>
    </w:p>
    <w:p w14:paraId="0C327467" w14:textId="77777777" w:rsidR="00772617" w:rsidRPr="00772617" w:rsidRDefault="00772617" w:rsidP="00772617">
      <w:pPr>
        <w:pStyle w:val="Heading5"/>
      </w:pPr>
      <w:bookmarkStart w:id="34" w:name="_Toc414874040"/>
      <w:r w:rsidRPr="00772617">
        <w:t>Conclusions and recommendations</w:t>
      </w:r>
      <w:bookmarkEnd w:id="34"/>
    </w:p>
    <w:p w14:paraId="06A8531C" w14:textId="77777777" w:rsidR="00772617" w:rsidRPr="00772617" w:rsidRDefault="00772617" w:rsidP="00772617">
      <w:r w:rsidRPr="00772617">
        <w:t>Methaemoglobinaemia was the primary adverse effect of inhaled nitric oxide noted in the sheep repeat dose toxicity study. The highest levels achieved in this study (</w:t>
      </w:r>
      <w:r w:rsidR="00D76BCC">
        <w:t>approximately</w:t>
      </w:r>
      <w:r w:rsidRPr="00772617">
        <w:t xml:space="preserve"> 12%) could be expected to produce some skin discoloration but would not be physiologically adverse in normal circumstances.</w:t>
      </w:r>
      <w:r w:rsidR="009A0B07">
        <w:t xml:space="preserve"> </w:t>
      </w:r>
      <w:r w:rsidRPr="00772617">
        <w:t xml:space="preserve">However, this may not be the case in individuals with compromised oxygenation and/or reduced blood oxygen carrying capacity. Such individuals are likely to be more sensitive to the adverse effects of INOmax such as methaemoglobinemia and oxidative damage to the erythrocytes: careful assessment and monitoring is suggested as outlined in the proposed </w:t>
      </w:r>
      <w:r w:rsidR="00D76BCC">
        <w:t>RMP</w:t>
      </w:r>
      <w:r w:rsidRPr="00772617">
        <w:t>.</w:t>
      </w:r>
    </w:p>
    <w:p w14:paraId="02891BCA" w14:textId="77777777" w:rsidR="00772617" w:rsidRPr="00772617" w:rsidRDefault="00D76BCC" w:rsidP="00772617">
      <w:r>
        <w:t>There are no objections on non</w:t>
      </w:r>
      <w:r w:rsidR="00772617" w:rsidRPr="00772617">
        <w:t>clinical grounds to the extension of indications for INOmax.</w:t>
      </w:r>
    </w:p>
    <w:p w14:paraId="60FBB3DA" w14:textId="77777777" w:rsidR="008E7846" w:rsidRPr="00254787" w:rsidRDefault="008E7846" w:rsidP="008E7846">
      <w:pPr>
        <w:pStyle w:val="Heading2"/>
      </w:pPr>
      <w:bookmarkStart w:id="35" w:name="_Toc196046462"/>
      <w:bookmarkStart w:id="36" w:name="_Toc247691516"/>
      <w:bookmarkStart w:id="37" w:name="_Toc314842500"/>
      <w:bookmarkStart w:id="38" w:name="_Toc483899410"/>
      <w:bookmarkStart w:id="39" w:name="_Toc163441353"/>
      <w:bookmarkStart w:id="40" w:name="_Toc163441348"/>
      <w:r>
        <w:lastRenderedPageBreak/>
        <w:t xml:space="preserve">IV. </w:t>
      </w:r>
      <w:r w:rsidRPr="00254787">
        <w:t>Clinical</w:t>
      </w:r>
      <w:bookmarkEnd w:id="35"/>
      <w:r>
        <w:t xml:space="preserve"> </w:t>
      </w:r>
      <w:r w:rsidR="003A7F6C">
        <w:t>f</w:t>
      </w:r>
      <w:r>
        <w:t>indings</w:t>
      </w:r>
      <w:bookmarkEnd w:id="36"/>
      <w:bookmarkEnd w:id="37"/>
      <w:bookmarkEnd w:id="38"/>
    </w:p>
    <w:p w14:paraId="332F9721" w14:textId="77777777" w:rsidR="00C80137" w:rsidRDefault="00C80137" w:rsidP="00D425BB">
      <w:bookmarkStart w:id="41" w:name="_Toc196046463"/>
      <w:r>
        <w:t xml:space="preserve">A summary of the </w:t>
      </w:r>
      <w:r w:rsidRPr="00FD70B8">
        <w:t xml:space="preserve">clinical findings is presented in this section. </w:t>
      </w:r>
      <w:r>
        <w:t xml:space="preserve">Further details of these </w:t>
      </w:r>
      <w:r w:rsidRPr="00FD70B8">
        <w:t>clinical findings can be found in Attachment 2.</w:t>
      </w:r>
    </w:p>
    <w:p w14:paraId="43C58ACE" w14:textId="77777777" w:rsidR="008E7846" w:rsidRDefault="008E7846" w:rsidP="008E7846">
      <w:pPr>
        <w:pStyle w:val="Heading3"/>
      </w:pPr>
      <w:bookmarkStart w:id="42" w:name="_Toc247691517"/>
      <w:bookmarkStart w:id="43" w:name="_Toc314842501"/>
      <w:bookmarkStart w:id="44" w:name="_Toc483899411"/>
      <w:r w:rsidRPr="00254787">
        <w:t>Introduction</w:t>
      </w:r>
      <w:bookmarkEnd w:id="41"/>
      <w:bookmarkEnd w:id="42"/>
      <w:bookmarkEnd w:id="43"/>
      <w:bookmarkEnd w:id="44"/>
    </w:p>
    <w:p w14:paraId="0C6AD50F" w14:textId="77777777" w:rsidR="00084A3F" w:rsidRPr="00146314" w:rsidRDefault="00084A3F" w:rsidP="00084A3F">
      <w:r w:rsidRPr="00146314">
        <w:t>Nitric oxide (NO) is an endogenous signalling molecule originally known as endothelial derived</w:t>
      </w:r>
      <w:r>
        <w:t xml:space="preserve"> </w:t>
      </w:r>
      <w:r w:rsidRPr="00146314">
        <w:t>relaxing factor, but later shown to be identical to the simple gaseous molecule, nitric oxi</w:t>
      </w:r>
      <w:r>
        <w:t>de. It is unique in its class.</w:t>
      </w:r>
    </w:p>
    <w:p w14:paraId="797C5A37" w14:textId="77777777" w:rsidR="00084A3F" w:rsidRPr="00084A3F" w:rsidRDefault="00084A3F" w:rsidP="00084A3F">
      <w:r w:rsidRPr="00146314">
        <w:t xml:space="preserve">INOmax is an inhaled vasodilator that diffuses into vascular smooth muscle cells where it activates guanylate cyclase, causing the formation of </w:t>
      </w:r>
      <w:r w:rsidR="00356B53">
        <w:t>cGMP</w:t>
      </w:r>
      <w:r w:rsidRPr="00146314">
        <w:t>. Elevated levels of cGMP set off a phosphorylation cascade leading to smooth muscle relaxation and vasodilatation. Because it is inhaled, it has relative selectivity for the pulmonary vasculature.</w:t>
      </w:r>
    </w:p>
    <w:p w14:paraId="329DF1E8" w14:textId="77777777" w:rsidR="00605AD4" w:rsidRDefault="00605AD4" w:rsidP="00605AD4">
      <w:pPr>
        <w:pStyle w:val="Heading4"/>
      </w:pPr>
      <w:bookmarkStart w:id="45" w:name="_Toc196046464"/>
      <w:bookmarkStart w:id="46" w:name="_Toc247691518"/>
      <w:bookmarkStart w:id="47" w:name="_Toc314842502"/>
      <w:r w:rsidRPr="00605AD4">
        <w:t xml:space="preserve">Clinical </w:t>
      </w:r>
      <w:r w:rsidR="00EF59DC">
        <w:t>r</w:t>
      </w:r>
      <w:r w:rsidRPr="00605AD4">
        <w:t>ationale</w:t>
      </w:r>
    </w:p>
    <w:p w14:paraId="705629EB" w14:textId="77777777" w:rsidR="00084A3F" w:rsidRPr="00146314" w:rsidRDefault="00084A3F" w:rsidP="00084A3F">
      <w:r w:rsidRPr="00146314">
        <w:t>Cardiopulmonary bypass (CPB) causes complex changes in the lung that have the end result of impairing endothelial function in the pulmonary vasculature and producing pulmonary vasoconstriction. Impaired endogenous production of NO appears to be a major contributor to this problem. Even without these CPB effects, many subjects undergoing cardiac surgery have pre-existing pulmonary hypertension because of impaired cardiac function, shunting, or other causes. The combination of these problems puts cardiac surgical patients at high risk of post-operative pulmonary hypertension, with subsequent right heart strain or right heart failure. Subjects are also at risk of pulmonary hypertensive crises (PHTCs), in which severe pulmonary hypertension compromises cardiac output and impairs oxygenation, leading to circulatory collapse and a high mortality rate unless the pulmonary hypertension is reversed.</w:t>
      </w:r>
    </w:p>
    <w:p w14:paraId="34931801" w14:textId="77777777" w:rsidR="00084A3F" w:rsidRPr="00146314" w:rsidRDefault="00084A3F" w:rsidP="00084A3F">
      <w:r w:rsidRPr="00146314">
        <w:t xml:space="preserve">Systemically administered vasodilators (such as sodium nitroprusside, nitroglycerin or milrinone) may lower pulmonary blood pressure, but they lack specificity for the pulmonary circulation, so their use is often complicated by systemic hypotension. Inhaled vasodilators, such as </w:t>
      </w:r>
      <w:r w:rsidR="00A31697">
        <w:t>inhaled nitric oxide</w:t>
      </w:r>
      <w:r w:rsidR="00A31697" w:rsidRPr="00146314">
        <w:t xml:space="preserve"> </w:t>
      </w:r>
      <w:r w:rsidR="00A31697">
        <w:t>(</w:t>
      </w:r>
      <w:r w:rsidRPr="00146314">
        <w:t>iNO</w:t>
      </w:r>
      <w:r w:rsidR="00A31697">
        <w:t>)</w:t>
      </w:r>
      <w:r w:rsidRPr="00146314">
        <w:t>, offer the prospect of treating pulmonary hypertension without compromising systemic blood pressure. Furthermore, to the extent that post-operative pulmonary hypertension is caused by impaired production of endogenous NO, inhaled NO potentially restores nor</w:t>
      </w:r>
      <w:r>
        <w:t>mal NO levels.</w:t>
      </w:r>
    </w:p>
    <w:p w14:paraId="0A0CAD1E" w14:textId="77777777" w:rsidR="00084A3F" w:rsidRPr="00146314" w:rsidRDefault="00084A3F" w:rsidP="00084A3F">
      <w:r w:rsidRPr="00146314">
        <w:t>Another proposed advantage of iNO is that it has better access to parts of the lung that are well ventilated, so it potentially improves ventilation-perfusion matching by preferentially dilating pulmonary vessels in well-ventilated parts o</w:t>
      </w:r>
      <w:r>
        <w:t>f the lung.</w:t>
      </w:r>
    </w:p>
    <w:p w14:paraId="235A07B4" w14:textId="77777777" w:rsidR="00084A3F" w:rsidRPr="00146314" w:rsidRDefault="00084A3F" w:rsidP="00084A3F">
      <w:r w:rsidRPr="00146314">
        <w:t>Because of these theoretical advantages of iNO over intravenous pulmonary vasodilators, it has shown increasing off-label use for the treatment of pulmonary hypertension (PH) in the cardiac surgical setting, and over the last 20 years it has become the first-line agent for the treatment and prevention of PHTC. Even though it was not formally approved for this indication, iNO has been recommended for this indication for many years, by a number of specialist bodies.</w:t>
      </w:r>
    </w:p>
    <w:p w14:paraId="4FE659E2" w14:textId="77777777" w:rsidR="00084A3F" w:rsidRPr="00084A3F" w:rsidRDefault="00084A3F" w:rsidP="00084A3F">
      <w:r w:rsidRPr="00146314">
        <w:t xml:space="preserve">The </w:t>
      </w:r>
      <w:r>
        <w:t>sponsor</w:t>
      </w:r>
      <w:r w:rsidRPr="00146314">
        <w:t xml:space="preserve"> now seeks to officially register iNO for this indication.</w:t>
      </w:r>
    </w:p>
    <w:p w14:paraId="5313169B" w14:textId="77777777" w:rsidR="00605AD4" w:rsidRDefault="00605AD4" w:rsidP="00605AD4">
      <w:pPr>
        <w:pStyle w:val="Heading4"/>
      </w:pPr>
      <w:r w:rsidRPr="00605AD4">
        <w:t>Guidance</w:t>
      </w:r>
    </w:p>
    <w:p w14:paraId="1E571A8B" w14:textId="77777777" w:rsidR="00247A92" w:rsidRPr="00247A92" w:rsidRDefault="00247A92" w:rsidP="00247A92">
      <w:r w:rsidRPr="00247A92">
        <w:t>The EU guidelines adopted by the TGA that are of relevance for this submission are:</w:t>
      </w:r>
    </w:p>
    <w:p w14:paraId="0EA1FEFF" w14:textId="484D8E5E" w:rsidR="00247A92" w:rsidRPr="00247A92" w:rsidRDefault="00247A92" w:rsidP="00247A92">
      <w:pPr>
        <w:pStyle w:val="ListBullet"/>
      </w:pPr>
      <w:r w:rsidRPr="00247A92">
        <w:t>EMEA/CHMP/EWP/356954/2008: Guideline on the Clinical Investigations of Medicinal Products for the Treatment of Pulmonary Arterial Hypertension</w:t>
      </w:r>
      <w:r w:rsidR="00CE6FBE">
        <w:t>.</w:t>
      </w:r>
    </w:p>
    <w:p w14:paraId="77C02E76" w14:textId="625B939F" w:rsidR="00247A92" w:rsidRPr="00247A92" w:rsidRDefault="00247A92" w:rsidP="00247A92">
      <w:pPr>
        <w:pStyle w:val="ListBullet"/>
      </w:pPr>
      <w:r w:rsidRPr="00247A92">
        <w:lastRenderedPageBreak/>
        <w:t>EMEA/CHMP/EWP/147013/2004: Clinical Investigation of Medicinal Products in the Paediatric Population</w:t>
      </w:r>
      <w:r w:rsidR="00CE6FBE">
        <w:t>.</w:t>
      </w:r>
    </w:p>
    <w:p w14:paraId="22C35D0E" w14:textId="6E3B350B" w:rsidR="00247A92" w:rsidRPr="00247A92" w:rsidRDefault="00247A92" w:rsidP="00247A92">
      <w:pPr>
        <w:pStyle w:val="ListBullet"/>
      </w:pPr>
      <w:r w:rsidRPr="00247A92">
        <w:t>EMEA/536810/2008: Guideline on the Investigation of Medicinal Products in the Term and Preterm Neonate</w:t>
      </w:r>
      <w:r w:rsidR="00CE6FBE">
        <w:t>.</w:t>
      </w:r>
    </w:p>
    <w:p w14:paraId="3BD5A30D" w14:textId="706ED19E" w:rsidR="00247A92" w:rsidRPr="00247A92" w:rsidRDefault="00247A92" w:rsidP="00247A92">
      <w:pPr>
        <w:pStyle w:val="ListBullet"/>
      </w:pPr>
      <w:r w:rsidRPr="00247A92">
        <w:t>CHMP/EWP/83561/2005: Guideline on Clinical Trials in Small Populations</w:t>
      </w:r>
      <w:r w:rsidR="00CE6FBE">
        <w:t>.</w:t>
      </w:r>
    </w:p>
    <w:p w14:paraId="0DDCEFB6" w14:textId="255DCDF9" w:rsidR="00247A92" w:rsidRPr="00247A92" w:rsidRDefault="00356B53" w:rsidP="00C313C9">
      <w:pPr>
        <w:pStyle w:val="ListBullet"/>
      </w:pPr>
      <w:r>
        <w:t>EMEA</w:t>
      </w:r>
      <w:r w:rsidR="000B338D">
        <w:t>/CHMP/</w:t>
      </w:r>
      <w:r w:rsidR="00247A92" w:rsidRPr="00247A92">
        <w:t xml:space="preserve">EWP/147013/2044 </w:t>
      </w:r>
      <w:proofErr w:type="spellStart"/>
      <w:r w:rsidR="00247A92" w:rsidRPr="00247A92">
        <w:t>Corr</w:t>
      </w:r>
      <w:proofErr w:type="spellEnd"/>
      <w:r w:rsidR="00247A92" w:rsidRPr="00247A92">
        <w:t xml:space="preserve">: Guideline on the Role of Pharmacokinetics in the </w:t>
      </w:r>
      <w:r w:rsidR="00247A92" w:rsidRPr="00CE6FBE">
        <w:t>Development</w:t>
      </w:r>
      <w:r w:rsidR="00247A92" w:rsidRPr="00247A92">
        <w:t xml:space="preserve"> of Medicinal Produc</w:t>
      </w:r>
      <w:r w:rsidR="00084A3F">
        <w:t>ts in the Paediatric Population</w:t>
      </w:r>
      <w:r w:rsidR="00F54198">
        <w:t>.</w:t>
      </w:r>
    </w:p>
    <w:p w14:paraId="6FE4BF41" w14:textId="77777777" w:rsidR="00605AD4" w:rsidRDefault="00605AD4" w:rsidP="00605AD4">
      <w:pPr>
        <w:pStyle w:val="Heading4"/>
      </w:pPr>
      <w:r w:rsidRPr="00605AD4">
        <w:t>Contents of the clinical dossier</w:t>
      </w:r>
    </w:p>
    <w:p w14:paraId="358A0BE9" w14:textId="77777777" w:rsidR="00084A3F" w:rsidRPr="00084A3F" w:rsidRDefault="00084A3F" w:rsidP="00084A3F">
      <w:r w:rsidRPr="00084A3F">
        <w:t>The current submi</w:t>
      </w:r>
      <w:r w:rsidR="000B338D">
        <w:t xml:space="preserve">ssion is primarily a literature </w:t>
      </w:r>
      <w:r w:rsidRPr="00084A3F">
        <w:t>based submission, with all pivotal studies and most supportive studie</w:t>
      </w:r>
      <w:r w:rsidR="000B338D">
        <w:t xml:space="preserve">s consisting of published, peer </w:t>
      </w:r>
      <w:r w:rsidRPr="00084A3F">
        <w:t>reviewed papers that were identified through a literature search, using a search strategy approved by the TGA. In the updated literature searches conducted prior to the Australian submission, two new published clinical studies were retrieved that were not available at the time of preparation of the EU submission (</w:t>
      </w:r>
      <w:proofErr w:type="spellStart"/>
      <w:r w:rsidRPr="00084A3F">
        <w:t>Kirbas</w:t>
      </w:r>
      <w:proofErr w:type="spellEnd"/>
      <w:r w:rsidRPr="00084A3F">
        <w:t xml:space="preserve"> et al., 2012, and </w:t>
      </w:r>
      <w:proofErr w:type="spellStart"/>
      <w:r w:rsidRPr="00084A3F">
        <w:t>Loukanov</w:t>
      </w:r>
      <w:proofErr w:type="spellEnd"/>
      <w:r w:rsidRPr="00084A3F">
        <w:t xml:space="preserve"> et al., 2011)</w:t>
      </w:r>
      <w:bookmarkStart w:id="48" w:name="_Ref477535765"/>
      <w:r w:rsidR="000B338D">
        <w:rPr>
          <w:rStyle w:val="FootnoteReference"/>
        </w:rPr>
        <w:footnoteReference w:id="4"/>
      </w:r>
      <w:bookmarkEnd w:id="48"/>
      <w:r w:rsidR="002C73DA">
        <w:t xml:space="preserve">, </w:t>
      </w:r>
      <w:bookmarkStart w:id="49" w:name="_Ref477535779"/>
      <w:r w:rsidR="002C73DA">
        <w:rPr>
          <w:rStyle w:val="FootnoteReference"/>
        </w:rPr>
        <w:footnoteReference w:id="5"/>
      </w:r>
      <w:bookmarkEnd w:id="49"/>
      <w:r w:rsidRPr="00084A3F">
        <w:t xml:space="preserve"> but in other respects the submitted data is essentially the same. The Australian submission retains the studies done in adults, but these are considered supportive.</w:t>
      </w:r>
    </w:p>
    <w:p w14:paraId="0BF7C7AF" w14:textId="77777777" w:rsidR="00084A3F" w:rsidRPr="00084A3F" w:rsidRDefault="00084A3F" w:rsidP="00084A3F">
      <w:r w:rsidRPr="00084A3F">
        <w:t>The submission contained the following clinical information:</w:t>
      </w:r>
    </w:p>
    <w:p w14:paraId="3BB4367A" w14:textId="77777777" w:rsidR="00084A3F" w:rsidRPr="00084A3F" w:rsidRDefault="00084A3F" w:rsidP="00084A3F">
      <w:pPr>
        <w:pStyle w:val="ListBullet"/>
      </w:pPr>
      <w:r w:rsidRPr="00084A3F">
        <w:t xml:space="preserve">12 clinical pharmacology studies in children, none of which provided pharmacokinetic data, 11 of which provided interventional pharmacodynamic data and one of which was an observational study recording endogenous NO levels. One of the interventional </w:t>
      </w:r>
      <w:r w:rsidR="00EB7308">
        <w:t>pharmacodynamic</w:t>
      </w:r>
      <w:r w:rsidR="00EB7308" w:rsidRPr="00084A3F">
        <w:t xml:space="preserve"> </w:t>
      </w:r>
      <w:r w:rsidR="00EB7308">
        <w:t>(</w:t>
      </w:r>
      <w:r w:rsidRPr="00084A3F">
        <w:t>PD</w:t>
      </w:r>
      <w:r w:rsidR="00EB7308">
        <w:t>)</w:t>
      </w:r>
      <w:r w:rsidRPr="00084A3F">
        <w:t xml:space="preserve"> studies (INOT22) was a sponsor led study; the other 10 were investigator led studies identified through a literature search.</w:t>
      </w:r>
    </w:p>
    <w:p w14:paraId="0B9ABF1D" w14:textId="77777777" w:rsidR="00084A3F" w:rsidRPr="00084A3F" w:rsidRDefault="00084A3F" w:rsidP="00084A3F">
      <w:pPr>
        <w:pStyle w:val="ListBullet"/>
      </w:pPr>
      <w:r w:rsidRPr="00084A3F">
        <w:t>No population pharmacokinetic analyses.</w:t>
      </w:r>
    </w:p>
    <w:p w14:paraId="4AA27860" w14:textId="77777777" w:rsidR="00084A3F" w:rsidRPr="00084A3F" w:rsidRDefault="00084A3F" w:rsidP="00084A3F">
      <w:pPr>
        <w:pStyle w:val="ListBullet"/>
      </w:pPr>
      <w:r w:rsidRPr="00084A3F">
        <w:t>4 pivotal efficacy studies, in which iNO was compared to placebo or standard care in the target population of paediatric cardiac surgery patients. All of these were investigator led studies, and safety monitoring and reporting was suboptimal.</w:t>
      </w:r>
    </w:p>
    <w:p w14:paraId="55F0E798" w14:textId="77777777" w:rsidR="00084A3F" w:rsidRPr="00084A3F" w:rsidRDefault="00084A3F" w:rsidP="00084A3F">
      <w:pPr>
        <w:pStyle w:val="ListBullet"/>
      </w:pPr>
      <w:r w:rsidRPr="00084A3F">
        <w:t>5 supportive efficacy studies in the target population, where iNO was compared to an active control. All of these were investigator led studies. In no case was the active control an approved agent for the treatment of pulmonary hypertension in the cardiac surgical setting, which is why these studies can only be considered supportive.</w:t>
      </w:r>
    </w:p>
    <w:p w14:paraId="15F1A191" w14:textId="77777777" w:rsidR="00084A3F" w:rsidRPr="00084A3F" w:rsidRDefault="00084A3F" w:rsidP="00084A3F">
      <w:pPr>
        <w:pStyle w:val="ListBullet"/>
      </w:pPr>
      <w:r w:rsidRPr="00084A3F">
        <w:t>13 supportive efficacy studies in adults, which have only indirect relevance to the proposed indication in children, but have been retained after the EU application and remain of substantial interest for both efficacy and safety assessments. One of these studies (INOT41) was a sponsor led study with comprehensive safety assessments; the others were investigator led studies with variable and generally suboptimal safety reporting.</w:t>
      </w:r>
    </w:p>
    <w:p w14:paraId="71CFE800" w14:textId="77777777" w:rsidR="00084A3F" w:rsidRPr="00084A3F" w:rsidRDefault="00084A3F" w:rsidP="00084A3F">
      <w:pPr>
        <w:pStyle w:val="ListBullet"/>
      </w:pPr>
      <w:r w:rsidRPr="00084A3F">
        <w:t>A Cochrane meta-analysis of the efficacy of iNO for the treatment of pulmonary hypertension in the cardiac surgery setting; this was actually of minimal value given that it only accepted a small number of underpowered studies with clinical endpoints.</w:t>
      </w:r>
    </w:p>
    <w:p w14:paraId="50044E45" w14:textId="14127EBC" w:rsidR="00084A3F" w:rsidRPr="00084A3F" w:rsidRDefault="00084A3F" w:rsidP="00084A3F">
      <w:pPr>
        <w:pStyle w:val="ListBullet"/>
      </w:pPr>
      <w:r w:rsidRPr="00084A3F">
        <w:t>Clinical Overview, Summary of Clinical Pharmacology, Summary of Clinical Efficacy, Summary of Clinical Safety</w:t>
      </w:r>
      <w:r w:rsidR="00352986">
        <w:t>.</w:t>
      </w:r>
    </w:p>
    <w:p w14:paraId="503B9A16" w14:textId="77777777" w:rsidR="00084A3F" w:rsidRPr="00084A3F" w:rsidRDefault="00084A3F" w:rsidP="00084A3F">
      <w:pPr>
        <w:pStyle w:val="ListBullet"/>
      </w:pPr>
      <w:r w:rsidRPr="00084A3F">
        <w:lastRenderedPageBreak/>
        <w:t>Literature references.</w:t>
      </w:r>
    </w:p>
    <w:p w14:paraId="199322D9" w14:textId="77777777" w:rsidR="00084A3F" w:rsidRPr="00084A3F" w:rsidRDefault="00084A3F" w:rsidP="00084A3F">
      <w:pPr>
        <w:pStyle w:val="ListBullet"/>
      </w:pPr>
      <w:r w:rsidRPr="00084A3F">
        <w:t>Synopses of all 34 submitted studies.</w:t>
      </w:r>
    </w:p>
    <w:p w14:paraId="3CACA50A" w14:textId="77777777" w:rsidR="00084A3F" w:rsidRPr="004536B4" w:rsidRDefault="00084A3F" w:rsidP="00084A3F">
      <w:r w:rsidRPr="00084A3F">
        <w:t xml:space="preserve">The 34 submitted studies are </w:t>
      </w:r>
      <w:r w:rsidRPr="004536B4">
        <w:t xml:space="preserve">listed in Table </w:t>
      </w:r>
      <w:r w:rsidR="004536B4" w:rsidRPr="004536B4">
        <w:t>2</w:t>
      </w:r>
      <w:r w:rsidRPr="004536B4">
        <w:t>.</w:t>
      </w:r>
    </w:p>
    <w:p w14:paraId="4644520A" w14:textId="77777777" w:rsidR="00084A3F" w:rsidRDefault="00084A3F" w:rsidP="00084A3F">
      <w:pPr>
        <w:pStyle w:val="Tabletitle0"/>
      </w:pPr>
      <w:bookmarkStart w:id="50" w:name="_Toc418607741"/>
      <w:r w:rsidRPr="004536B4">
        <w:t xml:space="preserve">Table </w:t>
      </w:r>
      <w:r w:rsidR="004536B4" w:rsidRPr="004536B4">
        <w:t>2</w:t>
      </w:r>
      <w:r w:rsidR="008F1362">
        <w:t>:</w:t>
      </w:r>
      <w:r w:rsidRPr="004536B4">
        <w:t xml:space="preserve"> Submitted studies</w:t>
      </w:r>
      <w:bookmarkStart w:id="51" w:name="_Ref477535034"/>
      <w:bookmarkEnd w:id="50"/>
      <w:r w:rsidR="002D68AA" w:rsidRPr="004536B4">
        <w:rPr>
          <w:rStyle w:val="FootnoteReference"/>
        </w:rPr>
        <w:footnoteReference w:id="6"/>
      </w:r>
      <w:bookmarkEnd w:id="51"/>
    </w:p>
    <w:tbl>
      <w:tblPr>
        <w:tblStyle w:val="TableTGAblue"/>
        <w:tblW w:w="0" w:type="auto"/>
        <w:tblLook w:val="04A0" w:firstRow="1" w:lastRow="0" w:firstColumn="1" w:lastColumn="0" w:noHBand="0" w:noVBand="1"/>
      </w:tblPr>
      <w:tblGrid>
        <w:gridCol w:w="4350"/>
        <w:gridCol w:w="4370"/>
      </w:tblGrid>
      <w:tr w:rsidR="00084A3F" w14:paraId="6A87DC71" w14:textId="77777777" w:rsidTr="00300485">
        <w:trPr>
          <w:cnfStyle w:val="100000000000" w:firstRow="1" w:lastRow="0" w:firstColumn="0" w:lastColumn="0" w:oddVBand="0" w:evenVBand="0" w:oddHBand="0" w:evenHBand="0" w:firstRowFirstColumn="0" w:firstRowLastColumn="0" w:lastRowFirstColumn="0" w:lastRowLastColumn="0"/>
        </w:trPr>
        <w:tc>
          <w:tcPr>
            <w:tcW w:w="4621" w:type="dxa"/>
          </w:tcPr>
          <w:p w14:paraId="460C2891" w14:textId="77777777" w:rsidR="00084A3F" w:rsidRDefault="00084A3F" w:rsidP="00C313C9">
            <w:r>
              <w:t>Type of study</w:t>
            </w:r>
          </w:p>
        </w:tc>
        <w:tc>
          <w:tcPr>
            <w:tcW w:w="4621" w:type="dxa"/>
          </w:tcPr>
          <w:p w14:paraId="5B7D21D5" w14:textId="77777777" w:rsidR="00084A3F" w:rsidRDefault="00084A3F" w:rsidP="00C313C9">
            <w:r>
              <w:t>Study identifier</w:t>
            </w:r>
          </w:p>
        </w:tc>
      </w:tr>
      <w:tr w:rsidR="00084A3F" w14:paraId="78DC2892" w14:textId="77777777" w:rsidTr="00D026F6">
        <w:tc>
          <w:tcPr>
            <w:tcW w:w="9242" w:type="dxa"/>
            <w:gridSpan w:val="2"/>
            <w:shd w:val="clear" w:color="auto" w:fill="C6D4E9"/>
          </w:tcPr>
          <w:p w14:paraId="7920C2C0" w14:textId="77777777" w:rsidR="00084A3F" w:rsidRPr="00F57C30" w:rsidRDefault="00084A3F" w:rsidP="00C313C9">
            <w:r w:rsidRPr="00426B22">
              <w:t>Pharmacodynamics</w:t>
            </w:r>
          </w:p>
        </w:tc>
      </w:tr>
      <w:tr w:rsidR="00084A3F" w14:paraId="53D4A5DD" w14:textId="77777777" w:rsidTr="00300485">
        <w:tc>
          <w:tcPr>
            <w:tcW w:w="4621" w:type="dxa"/>
          </w:tcPr>
          <w:p w14:paraId="310D6DBD" w14:textId="77777777" w:rsidR="00084A3F" w:rsidRDefault="00084A3F" w:rsidP="00C313C9">
            <w:r>
              <w:t>Paediatric population</w:t>
            </w:r>
          </w:p>
        </w:tc>
        <w:tc>
          <w:tcPr>
            <w:tcW w:w="4621" w:type="dxa"/>
          </w:tcPr>
          <w:p w14:paraId="6B37B982" w14:textId="77777777" w:rsidR="00084A3F" w:rsidRDefault="00084A3F" w:rsidP="00C313C9">
            <w:r>
              <w:t>INOT22, 2008</w:t>
            </w:r>
            <w:r>
              <w:br/>
            </w:r>
            <w:proofErr w:type="spellStart"/>
            <w:r w:rsidRPr="00252C3D">
              <w:t>Beghetti</w:t>
            </w:r>
            <w:proofErr w:type="spellEnd"/>
            <w:r w:rsidRPr="00252C3D">
              <w:t xml:space="preserve"> et al 1998</w:t>
            </w:r>
            <w:r w:rsidRPr="00252C3D">
              <w:br/>
              <w:t>Girard et al 1992</w:t>
            </w:r>
            <w:r w:rsidRPr="00252C3D">
              <w:br/>
            </w:r>
            <w:proofErr w:type="spellStart"/>
            <w:r w:rsidRPr="00252C3D">
              <w:t>Journois</w:t>
            </w:r>
            <w:proofErr w:type="spellEnd"/>
            <w:r w:rsidRPr="00252C3D">
              <w:t xml:space="preserve"> et al 1994</w:t>
            </w:r>
            <w:r w:rsidRPr="00252C3D">
              <w:br/>
            </w:r>
            <w:proofErr w:type="spellStart"/>
            <w:r w:rsidRPr="00252C3D">
              <w:t>Lepore</w:t>
            </w:r>
            <w:proofErr w:type="spellEnd"/>
            <w:r w:rsidRPr="00252C3D">
              <w:t xml:space="preserve"> et al 2005</w:t>
            </w:r>
            <w:r w:rsidRPr="00252C3D">
              <w:br/>
              <w:t>Lindberg et al 1994</w:t>
            </w:r>
            <w:r w:rsidRPr="00252C3D">
              <w:br/>
              <w:t>Miller at al 1994</w:t>
            </w:r>
            <w:r w:rsidRPr="00252C3D">
              <w:br/>
              <w:t>Roberts et al 1993</w:t>
            </w:r>
            <w:r w:rsidRPr="00252C3D">
              <w:br/>
            </w:r>
            <w:proofErr w:type="spellStart"/>
            <w:r w:rsidRPr="00252C3D">
              <w:t>Turanlahti</w:t>
            </w:r>
            <w:proofErr w:type="spellEnd"/>
            <w:r w:rsidRPr="00252C3D">
              <w:t xml:space="preserve"> et al 1998</w:t>
            </w:r>
            <w:r w:rsidRPr="00252C3D">
              <w:br/>
            </w:r>
            <w:proofErr w:type="spellStart"/>
            <w:r w:rsidRPr="00252C3D">
              <w:t>Turanlahti</w:t>
            </w:r>
            <w:proofErr w:type="spellEnd"/>
            <w:r w:rsidRPr="00252C3D">
              <w:t xml:space="preserve"> et al 2000</w:t>
            </w:r>
            <w:r w:rsidRPr="00252C3D">
              <w:br/>
              <w:t>Wessel et al 1993</w:t>
            </w:r>
            <w:r w:rsidRPr="00252C3D">
              <w:br/>
            </w:r>
            <w:proofErr w:type="spellStart"/>
            <w:r w:rsidRPr="00252C3D">
              <w:t>Winberg</w:t>
            </w:r>
            <w:proofErr w:type="spellEnd"/>
            <w:r w:rsidRPr="00252C3D">
              <w:t xml:space="preserve"> et al 1994</w:t>
            </w:r>
          </w:p>
        </w:tc>
      </w:tr>
      <w:tr w:rsidR="00084A3F" w14:paraId="3963B666" w14:textId="77777777" w:rsidTr="00D026F6">
        <w:tc>
          <w:tcPr>
            <w:tcW w:w="9242" w:type="dxa"/>
            <w:gridSpan w:val="2"/>
            <w:shd w:val="clear" w:color="auto" w:fill="C6D4E9"/>
          </w:tcPr>
          <w:p w14:paraId="1FEBF005" w14:textId="77777777" w:rsidR="00084A3F" w:rsidRPr="00F57C30" w:rsidRDefault="00084A3F" w:rsidP="00C313C9">
            <w:r w:rsidRPr="00426B22">
              <w:t>Efficacy</w:t>
            </w:r>
          </w:p>
        </w:tc>
      </w:tr>
      <w:tr w:rsidR="00084A3F" w14:paraId="3086E7C6" w14:textId="77777777" w:rsidTr="00300485">
        <w:tc>
          <w:tcPr>
            <w:tcW w:w="4621" w:type="dxa"/>
          </w:tcPr>
          <w:p w14:paraId="415944F1" w14:textId="77777777" w:rsidR="00084A3F" w:rsidRDefault="00084A3F" w:rsidP="00C313C9">
            <w:r>
              <w:t>Paediatric cardiac surgery</w:t>
            </w:r>
          </w:p>
        </w:tc>
        <w:tc>
          <w:tcPr>
            <w:tcW w:w="4621" w:type="dxa"/>
          </w:tcPr>
          <w:p w14:paraId="18B69BE2" w14:textId="77777777" w:rsidR="00084A3F" w:rsidRDefault="00084A3F" w:rsidP="00C313C9">
            <w:proofErr w:type="spellStart"/>
            <w:r>
              <w:t>Cai</w:t>
            </w:r>
            <w:proofErr w:type="spellEnd"/>
            <w:r>
              <w:t xml:space="preserve"> et al 2008</w:t>
            </w:r>
            <w:r>
              <w:br/>
              <w:t>Day et al 2000</w:t>
            </w:r>
            <w:r>
              <w:br/>
              <w:t>Goldman et al 1995</w:t>
            </w:r>
            <w:r>
              <w:br/>
            </w:r>
            <w:proofErr w:type="spellStart"/>
            <w:r>
              <w:t>Kirbas</w:t>
            </w:r>
            <w:proofErr w:type="spellEnd"/>
            <w:r>
              <w:t xml:space="preserve"> et al 2012</w:t>
            </w:r>
            <w:r>
              <w:br/>
            </w:r>
            <w:proofErr w:type="spellStart"/>
            <w:r>
              <w:t>Loukanov</w:t>
            </w:r>
            <w:proofErr w:type="spellEnd"/>
            <w:r>
              <w:t xml:space="preserve"> et al 2011</w:t>
            </w:r>
            <w:r>
              <w:br/>
              <w:t>Miller et al 2000</w:t>
            </w:r>
            <w:r>
              <w:br/>
              <w:t>Morris et al 2000</w:t>
            </w:r>
            <w:r>
              <w:br/>
              <w:t>Russell et al 1998</w:t>
            </w:r>
            <w:r>
              <w:br/>
              <w:t>Stocker et al 2003</w:t>
            </w:r>
          </w:p>
        </w:tc>
      </w:tr>
      <w:tr w:rsidR="00084A3F" w14:paraId="6EDD51F4" w14:textId="77777777" w:rsidTr="00300485">
        <w:tc>
          <w:tcPr>
            <w:tcW w:w="4621" w:type="dxa"/>
          </w:tcPr>
          <w:p w14:paraId="42765306" w14:textId="77777777" w:rsidR="00084A3F" w:rsidRDefault="00084A3F" w:rsidP="00C313C9">
            <w:r>
              <w:t>Adult cardiac surgery</w:t>
            </w:r>
          </w:p>
        </w:tc>
        <w:tc>
          <w:tcPr>
            <w:tcW w:w="4621" w:type="dxa"/>
          </w:tcPr>
          <w:p w14:paraId="505BDA94" w14:textId="77777777" w:rsidR="00084A3F" w:rsidRDefault="00084A3F" w:rsidP="00C313C9">
            <w:proofErr w:type="spellStart"/>
            <w:r>
              <w:t>Fattouch</w:t>
            </w:r>
            <w:proofErr w:type="spellEnd"/>
            <w:r>
              <w:t xml:space="preserve"> et al 2005</w:t>
            </w:r>
            <w:r>
              <w:br/>
            </w:r>
            <w:proofErr w:type="spellStart"/>
            <w:r>
              <w:t>Fattouch</w:t>
            </w:r>
            <w:proofErr w:type="spellEnd"/>
            <w:r>
              <w:t xml:space="preserve"> et al 2006</w:t>
            </w:r>
            <w:r>
              <w:br/>
            </w:r>
            <w:proofErr w:type="spellStart"/>
            <w:r>
              <w:t>Gianetti</w:t>
            </w:r>
            <w:proofErr w:type="spellEnd"/>
            <w:r>
              <w:t xml:space="preserve"> et al 2004</w:t>
            </w:r>
            <w:r>
              <w:br/>
            </w:r>
            <w:proofErr w:type="spellStart"/>
            <w:r>
              <w:t>Schmid</w:t>
            </w:r>
            <w:proofErr w:type="spellEnd"/>
            <w:r>
              <w:t xml:space="preserve"> et al 1999</w:t>
            </w:r>
            <w:r>
              <w:br/>
            </w:r>
            <w:proofErr w:type="spellStart"/>
            <w:r>
              <w:t>Solina</w:t>
            </w:r>
            <w:proofErr w:type="spellEnd"/>
            <w:r>
              <w:t xml:space="preserve"> et al 2000</w:t>
            </w:r>
            <w:r>
              <w:br/>
            </w:r>
            <w:proofErr w:type="spellStart"/>
            <w:r>
              <w:t>Solina</w:t>
            </w:r>
            <w:proofErr w:type="spellEnd"/>
            <w:r>
              <w:t xml:space="preserve"> et al 2001</w:t>
            </w:r>
            <w:r>
              <w:br/>
            </w:r>
            <w:proofErr w:type="spellStart"/>
            <w:r>
              <w:t>Winterhalter</w:t>
            </w:r>
            <w:proofErr w:type="spellEnd"/>
            <w:r>
              <w:t xml:space="preserve"> et al 2008</w:t>
            </w:r>
          </w:p>
        </w:tc>
      </w:tr>
      <w:tr w:rsidR="00084A3F" w14:paraId="44262566" w14:textId="77777777" w:rsidTr="00300485">
        <w:tc>
          <w:tcPr>
            <w:tcW w:w="4621" w:type="dxa"/>
          </w:tcPr>
          <w:p w14:paraId="3B9DF6F3" w14:textId="77777777" w:rsidR="00084A3F" w:rsidRDefault="00084A3F" w:rsidP="00C313C9">
            <w:r>
              <w:t>Adult cardiac assessment</w:t>
            </w:r>
          </w:p>
        </w:tc>
        <w:tc>
          <w:tcPr>
            <w:tcW w:w="4621" w:type="dxa"/>
          </w:tcPr>
          <w:p w14:paraId="3617A51D" w14:textId="77777777" w:rsidR="00084A3F" w:rsidRDefault="00084A3F" w:rsidP="00C313C9">
            <w:proofErr w:type="spellStart"/>
            <w:r>
              <w:t>Kieler</w:t>
            </w:r>
            <w:proofErr w:type="spellEnd"/>
            <w:r>
              <w:t>-Jensen et al 1994</w:t>
            </w:r>
            <w:r>
              <w:br/>
            </w:r>
            <w:proofErr w:type="spellStart"/>
            <w:r>
              <w:t>Radovancevic</w:t>
            </w:r>
            <w:proofErr w:type="spellEnd"/>
            <w:r>
              <w:t xml:space="preserve"> et al 2005</w:t>
            </w:r>
          </w:p>
        </w:tc>
      </w:tr>
      <w:tr w:rsidR="00084A3F" w14:paraId="77BB61F2" w14:textId="77777777" w:rsidTr="00300485">
        <w:tc>
          <w:tcPr>
            <w:tcW w:w="4621" w:type="dxa"/>
          </w:tcPr>
          <w:p w14:paraId="0675880F" w14:textId="4CCBD4BA" w:rsidR="00084A3F" w:rsidRDefault="00B368CE" w:rsidP="00C313C9">
            <w:r>
              <w:t>Adult</w:t>
            </w:r>
            <w:r w:rsidR="00084A3F">
              <w:t xml:space="preserve"> LAVD</w:t>
            </w:r>
          </w:p>
        </w:tc>
        <w:tc>
          <w:tcPr>
            <w:tcW w:w="4621" w:type="dxa"/>
          </w:tcPr>
          <w:p w14:paraId="65F15E4B" w14:textId="77777777" w:rsidR="00084A3F" w:rsidRDefault="00084A3F" w:rsidP="00C313C9">
            <w:r>
              <w:t>INOT41 2009</w:t>
            </w:r>
            <w:r>
              <w:br/>
            </w:r>
            <w:proofErr w:type="spellStart"/>
            <w:r>
              <w:t>Argenziano</w:t>
            </w:r>
            <w:proofErr w:type="spellEnd"/>
            <w:r>
              <w:t xml:space="preserve"> et al 1998</w:t>
            </w:r>
          </w:p>
        </w:tc>
      </w:tr>
      <w:tr w:rsidR="00084A3F" w14:paraId="2C608089" w14:textId="77777777" w:rsidTr="00300485">
        <w:tc>
          <w:tcPr>
            <w:tcW w:w="4621" w:type="dxa"/>
          </w:tcPr>
          <w:p w14:paraId="6AA98709" w14:textId="77777777" w:rsidR="00084A3F" w:rsidRDefault="00084A3F" w:rsidP="00C313C9">
            <w:r>
              <w:t>Adult cardiac transplant</w:t>
            </w:r>
          </w:p>
        </w:tc>
        <w:tc>
          <w:tcPr>
            <w:tcW w:w="4621" w:type="dxa"/>
          </w:tcPr>
          <w:p w14:paraId="04AE4382" w14:textId="77777777" w:rsidR="00084A3F" w:rsidRDefault="00084A3F" w:rsidP="00C313C9">
            <w:proofErr w:type="spellStart"/>
            <w:r>
              <w:t>Rajek</w:t>
            </w:r>
            <w:proofErr w:type="spellEnd"/>
            <w:r>
              <w:t xml:space="preserve"> et al 2000</w:t>
            </w:r>
            <w:r>
              <w:br/>
            </w:r>
            <w:proofErr w:type="spellStart"/>
            <w:r>
              <w:t>Ardehali</w:t>
            </w:r>
            <w:proofErr w:type="spellEnd"/>
            <w:r>
              <w:t xml:space="preserve"> et al 2001</w:t>
            </w:r>
          </w:p>
        </w:tc>
      </w:tr>
    </w:tbl>
    <w:p w14:paraId="7CA4E0BE" w14:textId="77777777" w:rsidR="00605AD4" w:rsidRDefault="00605AD4" w:rsidP="00605AD4">
      <w:pPr>
        <w:pStyle w:val="Heading4"/>
      </w:pPr>
      <w:r w:rsidRPr="00605AD4">
        <w:lastRenderedPageBreak/>
        <w:t>Paediatric data</w:t>
      </w:r>
    </w:p>
    <w:p w14:paraId="5C4EDA20" w14:textId="77777777" w:rsidR="00084A3F" w:rsidRPr="00084A3F" w:rsidRDefault="00084A3F" w:rsidP="00084A3F">
      <w:r w:rsidRPr="003F5817">
        <w:t>The proposed indication exclusively refers to paediatric use, though a similar application in the EU sought and gained approval for use of iNO in children and adults with PH in the setting of cardiac surgery. As outlined above, all 12 of the PD studies and 9 of the efficacy studies were performed in the paediatric population. An additional 13 supportive efficacy studies were performed in adults, and these are only indirectly relevant to the proposed indication.</w:t>
      </w:r>
    </w:p>
    <w:p w14:paraId="5812D644" w14:textId="77777777" w:rsidR="00605AD4" w:rsidRDefault="00605AD4" w:rsidP="00605AD4">
      <w:pPr>
        <w:pStyle w:val="Heading4"/>
      </w:pPr>
      <w:r w:rsidRPr="00605AD4">
        <w:t>Good clinical practice</w:t>
      </w:r>
    </w:p>
    <w:p w14:paraId="65B2C3F8" w14:textId="77777777" w:rsidR="00084A3F" w:rsidRPr="003F5817" w:rsidRDefault="00084A3F" w:rsidP="00084A3F">
      <w:bookmarkStart w:id="52" w:name="_Toc241374282"/>
      <w:r w:rsidRPr="003F5817">
        <w:t xml:space="preserve">Both of the </w:t>
      </w:r>
      <w:r>
        <w:t>sponsor led</w:t>
      </w:r>
      <w:r w:rsidRPr="003F5817">
        <w:t xml:space="preserve"> studies (INOT22 and INOT41) were performed according to Good Clinical Practice (GCP) gui</w:t>
      </w:r>
      <w:r>
        <w:t>delines. The remaining studies,</w:t>
      </w:r>
      <w:r w:rsidRPr="003F5817">
        <w:t xml:space="preserve"> which in</w:t>
      </w:r>
      <w:r>
        <w:t>clude all four pivotal studies,</w:t>
      </w:r>
      <w:r w:rsidRPr="003F5817">
        <w:t xml:space="preserve"> did not contain a formal declaration of compliance with GCP, and in most cases clearly failed to comply with GCP. For instance, most </w:t>
      </w:r>
      <w:r>
        <w:t>investigator led</w:t>
      </w:r>
      <w:r w:rsidRPr="003F5817">
        <w:t xml:space="preserve"> studies did not formally declare a single prospective primary endpoint, many of them performed multiple statistical comparisons without correcting for this in reporting p-values, only a few studies performed power calculations, and most studies failed to collect or report on adverse events.</w:t>
      </w:r>
    </w:p>
    <w:p w14:paraId="1614F60F" w14:textId="77777777" w:rsidR="00084A3F" w:rsidRPr="003F5817" w:rsidRDefault="00084A3F" w:rsidP="00084A3F">
      <w:r w:rsidRPr="003F5817">
        <w:t xml:space="preserve">Overall, the quality of the </w:t>
      </w:r>
      <w:r>
        <w:t>investigator led</w:t>
      </w:r>
      <w:r w:rsidRPr="003F5817">
        <w:t xml:space="preserve"> studies was well below the standard normally expected of </w:t>
      </w:r>
      <w:r>
        <w:t xml:space="preserve">sponsor led studies, and the two GCP </w:t>
      </w:r>
      <w:r w:rsidRPr="003F5817">
        <w:t xml:space="preserve">compliant studies performed by the </w:t>
      </w:r>
      <w:r>
        <w:t>sponsor were not pivotal;</w:t>
      </w:r>
      <w:r w:rsidRPr="003F5817">
        <w:t xml:space="preserve"> one was a PD study using a crossover design, without an untreated control group, and the other was performed in adults. </w:t>
      </w:r>
      <w:r>
        <w:t xml:space="preserve">This means that no single, well </w:t>
      </w:r>
      <w:r w:rsidRPr="003F5817">
        <w:t>de</w:t>
      </w:r>
      <w:r>
        <w:t xml:space="preserve">signed, adequately powered, GCP </w:t>
      </w:r>
      <w:r w:rsidRPr="003F5817">
        <w:t>compliant pivotal study has been submitted in support of the proposed indication.</w:t>
      </w:r>
      <w:r>
        <w:t xml:space="preserve"> </w:t>
      </w:r>
      <w:r w:rsidRPr="003F5817">
        <w:t xml:space="preserve">On the other hand, iNO is already widely recognised as effective for the proposed indication, it is widely used off-label for this indication, and its use is recommended by all of the major authorities and guidelines. The proposed target population </w:t>
      </w:r>
      <w:bookmarkEnd w:id="52"/>
      <w:r w:rsidRPr="003F5817">
        <w:t>represents a relatively small population with very specific needs in wh</w:t>
      </w:r>
      <w:r>
        <w:t xml:space="preserve">om, it could be argued, placebo </w:t>
      </w:r>
      <w:r w:rsidRPr="003F5817">
        <w:t xml:space="preserve">controlled studies would no longer be ethical. Furthermore, no competing agent is registered for the same indication, so a non-inferiority study against an active agent would not allow clear </w:t>
      </w:r>
      <w:r>
        <w:t>efficacy inferences to be made.</w:t>
      </w:r>
    </w:p>
    <w:p w14:paraId="3D3065AE" w14:textId="77777777" w:rsidR="00084A3F" w:rsidRPr="003F5817" w:rsidRDefault="00084A3F" w:rsidP="00084A3F">
      <w:r>
        <w:t xml:space="preserve">Despite their lack of GCP </w:t>
      </w:r>
      <w:r w:rsidRPr="003F5817">
        <w:t xml:space="preserve">compliance, one distinct advantage of the </w:t>
      </w:r>
      <w:r>
        <w:t>investigator led studies is that</w:t>
      </w:r>
      <w:r w:rsidRPr="003F5817">
        <w:t xml:space="preserve"> in most cases, the authors have no particular incentive to exaggerate the efficacy or safety of iNO. (In fact, in a couple of the submitted papers, the authors were primarily arguing that they preferred some new agent to iNO, so they potentially had some incentive to highlight problems with iNO.) Furthermore, the large number of different investigative teams, different hospitals and different treatment protocols involved in the submitted studies means that are likely to have good external validity.</w:t>
      </w:r>
    </w:p>
    <w:p w14:paraId="04B9A1F3" w14:textId="77777777" w:rsidR="00084A3F" w:rsidRPr="00084A3F" w:rsidRDefault="00084A3F" w:rsidP="00084A3F">
      <w:r>
        <w:t xml:space="preserve">Thus, despite the lack of GCP </w:t>
      </w:r>
      <w:r w:rsidRPr="003F5817">
        <w:t>compliant studies in the submission, it remains reasonably appropriate to assess the efficacy and safety of iNO on the basis of the studies found in the literature.</w:t>
      </w:r>
    </w:p>
    <w:p w14:paraId="6086A3AB" w14:textId="77777777" w:rsidR="008E7846" w:rsidRDefault="008E7846" w:rsidP="00605AD4">
      <w:pPr>
        <w:pStyle w:val="Heading3"/>
      </w:pPr>
      <w:bookmarkStart w:id="53" w:name="_Toc483899412"/>
      <w:r w:rsidRPr="00254787">
        <w:t>Pharmacokinetics</w:t>
      </w:r>
      <w:bookmarkEnd w:id="39"/>
      <w:bookmarkEnd w:id="45"/>
      <w:bookmarkEnd w:id="46"/>
      <w:bookmarkEnd w:id="47"/>
      <w:bookmarkEnd w:id="53"/>
    </w:p>
    <w:p w14:paraId="2841C066" w14:textId="77777777" w:rsidR="00605AD4" w:rsidRDefault="00605AD4" w:rsidP="00605AD4">
      <w:pPr>
        <w:pStyle w:val="Heading4"/>
      </w:pPr>
      <w:r>
        <w:t>Studies</w:t>
      </w:r>
      <w:r w:rsidR="008F1362">
        <w:t xml:space="preserve"> providing pharmacokinetic data</w:t>
      </w:r>
    </w:p>
    <w:p w14:paraId="7D7EC465" w14:textId="77777777" w:rsidR="00084A3F" w:rsidRPr="003F5817" w:rsidRDefault="00084A3F" w:rsidP="00084A3F">
      <w:r w:rsidRPr="003F5817">
        <w:t xml:space="preserve">No new </w:t>
      </w:r>
      <w:r w:rsidR="009273A2">
        <w:t>pharmacokinetic</w:t>
      </w:r>
      <w:r w:rsidR="009273A2" w:rsidRPr="003F5817">
        <w:t xml:space="preserve"> </w:t>
      </w:r>
      <w:r w:rsidR="009273A2">
        <w:t>(</w:t>
      </w:r>
      <w:r w:rsidRPr="003F5817">
        <w:t>PK</w:t>
      </w:r>
      <w:r w:rsidR="009273A2">
        <w:t>)</w:t>
      </w:r>
      <w:r w:rsidRPr="003F5817">
        <w:t xml:space="preserve"> data was submitted for evaluation, and understanding of the PK of iNO has not changed since it was originally approved for treatment of </w:t>
      </w:r>
      <w:r w:rsidR="009273A2">
        <w:t>persistent pulmonary hypertension of the newborn</w:t>
      </w:r>
      <w:r w:rsidR="009273A2" w:rsidRPr="003F5817">
        <w:t xml:space="preserve"> </w:t>
      </w:r>
      <w:r w:rsidR="009273A2">
        <w:t>(</w:t>
      </w:r>
      <w:r w:rsidRPr="003F5817">
        <w:t>PPHN</w:t>
      </w:r>
      <w:r w:rsidR="009273A2">
        <w:t>)</w:t>
      </w:r>
      <w:r w:rsidRPr="003F5817">
        <w:t>. The proposed use of iNO in the post-surgical paediatric population does not raise any significant new issues, particularly in view of the fact that PD studies did not show a dose respons</w:t>
      </w:r>
      <w:r>
        <w:t>e across a wide range of doses.</w:t>
      </w:r>
    </w:p>
    <w:p w14:paraId="03415181" w14:textId="77777777" w:rsidR="00084A3F" w:rsidRDefault="00084A3F" w:rsidP="00084A3F">
      <w:r w:rsidRPr="003F5817">
        <w:lastRenderedPageBreak/>
        <w:t xml:space="preserve">The main importance of iNO levels relates to potential toxicity with </w:t>
      </w:r>
      <w:proofErr w:type="spellStart"/>
      <w:r w:rsidR="00E3550D">
        <w:t>methahaemoglobin</w:t>
      </w:r>
      <w:proofErr w:type="spellEnd"/>
      <w:r w:rsidR="00E3550D" w:rsidRPr="003F5817">
        <w:t xml:space="preserve"> </w:t>
      </w:r>
      <w:r w:rsidR="00E3550D">
        <w:t>(</w:t>
      </w:r>
      <w:proofErr w:type="spellStart"/>
      <w:r w:rsidRPr="003F5817">
        <w:t>metHb</w:t>
      </w:r>
      <w:proofErr w:type="spellEnd"/>
      <w:r w:rsidR="00E3550D">
        <w:t>)</w:t>
      </w:r>
      <w:r w:rsidRPr="003F5817">
        <w:t xml:space="preserve"> and </w:t>
      </w:r>
      <w:r w:rsidR="00EB7308">
        <w:t>nitrogen dioxide</w:t>
      </w:r>
      <w:r w:rsidR="00EB7308" w:rsidRPr="003F5817">
        <w:t xml:space="preserve"> </w:t>
      </w:r>
      <w:r w:rsidR="00EB7308">
        <w:t>(</w:t>
      </w:r>
      <w:r w:rsidRPr="003F5817">
        <w:t>NO</w:t>
      </w:r>
      <w:r w:rsidRPr="00252C3D">
        <w:rPr>
          <w:vertAlign w:val="subscript"/>
        </w:rPr>
        <w:t>2</w:t>
      </w:r>
      <w:r w:rsidR="00EB7308">
        <w:t>)</w:t>
      </w:r>
      <w:r w:rsidRPr="003F5817">
        <w:t>, so iNO should be used at the lowest effective dose to reduce exposure. This is discussed in more detail in the safety section.</w:t>
      </w:r>
    </w:p>
    <w:p w14:paraId="7BE06A3F" w14:textId="77777777" w:rsidR="00605AD4" w:rsidRDefault="00605AD4" w:rsidP="00605AD4">
      <w:pPr>
        <w:pStyle w:val="Heading4"/>
      </w:pPr>
      <w:r>
        <w:t>Evaluator’s conclusions on pharmacokinetics</w:t>
      </w:r>
    </w:p>
    <w:p w14:paraId="6B58EF6B" w14:textId="77777777" w:rsidR="00084A3F" w:rsidRPr="00084A3F" w:rsidRDefault="00084A3F" w:rsidP="00084A3F">
      <w:r w:rsidRPr="003F5817">
        <w:t xml:space="preserve">The proposed extension of indications does not raise specific concerns based on the PK of iNO. The PK of iNO in the new proposed target population </w:t>
      </w:r>
      <w:r w:rsidR="002D68AA" w:rsidRPr="003F5817">
        <w:t>is</w:t>
      </w:r>
      <w:r w:rsidRPr="003F5817">
        <w:t xml:space="preserve"> expected to be very similar to the PK in neonates.</w:t>
      </w:r>
    </w:p>
    <w:p w14:paraId="4DE5C871" w14:textId="4FBC8D44" w:rsidR="008E7846" w:rsidRDefault="008E7846" w:rsidP="008E7846">
      <w:pPr>
        <w:pStyle w:val="Heading3"/>
      </w:pPr>
      <w:bookmarkStart w:id="54" w:name="_Toc196046481"/>
      <w:bookmarkStart w:id="55" w:name="_Toc247691520"/>
      <w:bookmarkStart w:id="56" w:name="_Toc314842503"/>
      <w:bookmarkStart w:id="57" w:name="_Toc483899413"/>
      <w:r w:rsidRPr="00254787">
        <w:t>Pharmacodynamics</w:t>
      </w:r>
      <w:bookmarkEnd w:id="40"/>
      <w:bookmarkEnd w:id="54"/>
      <w:bookmarkEnd w:id="55"/>
      <w:bookmarkEnd w:id="56"/>
      <w:bookmarkEnd w:id="57"/>
    </w:p>
    <w:p w14:paraId="03477889" w14:textId="77777777" w:rsidR="00605AD4" w:rsidRDefault="00605AD4" w:rsidP="00605AD4">
      <w:pPr>
        <w:pStyle w:val="Heading4"/>
      </w:pPr>
      <w:r>
        <w:t>Studies providing pharmacodynamic data</w:t>
      </w:r>
    </w:p>
    <w:p w14:paraId="67E7DF4E" w14:textId="77777777" w:rsidR="00084A3F" w:rsidRPr="003F5817" w:rsidRDefault="00084A3F" w:rsidP="00084A3F">
      <w:r w:rsidRPr="003F5817">
        <w:t>Summaries of the 12 individual pharmacodynamic</w:t>
      </w:r>
      <w:r w:rsidR="00ED67DA">
        <w:t xml:space="preserve"> (PD)</w:t>
      </w:r>
      <w:r w:rsidRPr="003F5817">
        <w:t xml:space="preserve"> studies are presented in this report. One of the studies, INOT22, was a </w:t>
      </w:r>
      <w:r>
        <w:t>sponsor driven</w:t>
      </w:r>
      <w:r w:rsidRPr="003F5817">
        <w:t xml:space="preserve"> PD study of the effects of iNO and oxygen in patients undergoing pulmonary vasoreactivity testing; the other 11 were published </w:t>
      </w:r>
      <w:r>
        <w:t>investigator led</w:t>
      </w:r>
      <w:r w:rsidRPr="003F5817">
        <w:t xml:space="preserve"> studies un</w:t>
      </w:r>
      <w:r>
        <w:t>covered by a literature search.</w:t>
      </w:r>
    </w:p>
    <w:p w14:paraId="456EB4BD" w14:textId="77777777" w:rsidR="00084A3F" w:rsidRPr="003F5817" w:rsidRDefault="00084A3F" w:rsidP="00084A3F">
      <w:r w:rsidRPr="003F5817">
        <w:t>Many of the PD studies involved post-operative care of patients and iNO was used therapeutically, not merely as an investigational agent, so the line between PD studies and efficacy studies is somewhat blurred. Many of the studies submitted as efficacy studies could also be considered to be PD studies, because they merely assessed the short-term haemodynamic response to iNO, with the main distinction being that all studies submitted as “efficacy” studies employed a control group (placebo or active comparator). By contrast, the studies designated as PD studies required a comparison to baseline haemodynamic status to infer the effects of iNO. Where the studies were based on pre-operative vasoreactivity testing, the comparison to baseline provided a reasonably robust measure of the haemodynamics of iNO. Where the setting was post-operative treatment of pulmonary hypertension, it was sometimes not possible to determine to what extent the observed changes were du</w:t>
      </w:r>
      <w:r>
        <w:t>e to recovery from the surgery.</w:t>
      </w:r>
    </w:p>
    <w:p w14:paraId="43189BBD" w14:textId="77777777" w:rsidR="00084A3F" w:rsidRPr="003F5817" w:rsidRDefault="00084A3F" w:rsidP="00084A3F">
      <w:r w:rsidRPr="003F5817">
        <w:t xml:space="preserve">Most of the submitted PD studies (11 of 12) directly assessed the primary PD effect of iNO on the pulmonary vasculature, as reflected in pulmonary vascular resistance (PVR) and </w:t>
      </w:r>
      <w:proofErr w:type="spellStart"/>
      <w:r w:rsidR="00E3550D">
        <w:t>mPAP</w:t>
      </w:r>
      <w:proofErr w:type="spellEnd"/>
      <w:r w:rsidRPr="003F5817">
        <w:t>, and in all studies where these parameters were assessed, iNO produced significant and clinically meaningful reductions.</w:t>
      </w:r>
    </w:p>
    <w:p w14:paraId="221B7CC6" w14:textId="77777777" w:rsidR="00084A3F" w:rsidRPr="003F5817" w:rsidRDefault="00084A3F" w:rsidP="00084A3F">
      <w:r w:rsidRPr="003F5817">
        <w:t>None of the submitted PD studies specifically addressed differences in responsiveness to iNO based on age or gender, but results were broadly similar in adults and children. Many of the studies assessed the effect of baseline PVR on subsequent sensitivity to iNO, showing that iNO produced relatively little haemodynamic change in subjects without elevated PVR, and the efficacy of iNO was correlated with baseline PVR</w:t>
      </w:r>
      <w:r>
        <w:t>.</w:t>
      </w:r>
    </w:p>
    <w:p w14:paraId="138E8CFA" w14:textId="77777777" w:rsidR="00084A3F" w:rsidRPr="003F5817" w:rsidRDefault="00084A3F" w:rsidP="00084A3F">
      <w:r w:rsidRPr="003F5817">
        <w:t>Two studies sought to clarify the proposed mechanism of action of iNO, assessing the role of post-</w:t>
      </w:r>
      <w:r w:rsidR="00ED67DA">
        <w:t xml:space="preserve">cardio pulmonary </w:t>
      </w:r>
      <w:r w:rsidR="00ED67DA" w:rsidRPr="00ED67DA">
        <w:t>bypass (</w:t>
      </w:r>
      <w:r w:rsidRPr="00ED67DA">
        <w:t>CPB</w:t>
      </w:r>
      <w:r w:rsidR="00ED67DA" w:rsidRPr="00ED67DA">
        <w:t>)</w:t>
      </w:r>
      <w:r w:rsidRPr="00ED67DA">
        <w:t xml:space="preserve"> endothelial</w:t>
      </w:r>
      <w:r w:rsidRPr="003F5817">
        <w:t xml:space="preserve"> dysfunction as a contributor to post-operative pulmonary hypertension. One of these compared the effects of acetylcholine (ACH), an endothelium-dependent vasodilator, wi</w:t>
      </w:r>
      <w:r>
        <w:t xml:space="preserve">th iNO, which is an endothelium </w:t>
      </w:r>
      <w:r w:rsidRPr="003F5817">
        <w:t>independent vasodilator (normally NO is produced by the endothelium, but exogenous iNO bypasses this step).</w:t>
      </w:r>
      <w:bookmarkStart w:id="58" w:name="_Ref477773324"/>
      <w:r w:rsidR="00ED67DA">
        <w:rPr>
          <w:rStyle w:val="FootnoteReference"/>
        </w:rPr>
        <w:footnoteReference w:id="7"/>
      </w:r>
      <w:bookmarkEnd w:id="58"/>
      <w:r w:rsidR="00ED67DA">
        <w:t xml:space="preserve"> The other study</w:t>
      </w:r>
      <w:r w:rsidRPr="003F5817">
        <w:t xml:space="preserve"> was an observational study, measuring levels of exhaled endogenous NO to infer endothelial dysfunction after CPB.</w:t>
      </w:r>
      <w:r w:rsidR="00ED67DA">
        <w:rPr>
          <w:rStyle w:val="FootnoteReference"/>
        </w:rPr>
        <w:footnoteReference w:id="8"/>
      </w:r>
      <w:r>
        <w:t xml:space="preserve"> </w:t>
      </w:r>
      <w:r w:rsidRPr="003F5817">
        <w:t xml:space="preserve">Both of these studies were consistent with the proposed mechanism of action and the hypothesis that CPB </w:t>
      </w:r>
      <w:r w:rsidRPr="003F5817">
        <w:lastRenderedPageBreak/>
        <w:t xml:space="preserve">induces endothelial dysfunction characterised by a deficiency of endogenous iNO (more detail </w:t>
      </w:r>
      <w:r w:rsidR="00ED67DA">
        <w:t xml:space="preserve">is </w:t>
      </w:r>
      <w:r w:rsidRPr="003F5817">
        <w:t>provided in</w:t>
      </w:r>
      <w:r>
        <w:t xml:space="preserve"> </w:t>
      </w:r>
      <w:r w:rsidR="00ED67DA">
        <w:t>the references cited)</w:t>
      </w:r>
      <w:r w:rsidRPr="003F5817">
        <w:t>.</w:t>
      </w:r>
    </w:p>
    <w:p w14:paraId="5EC30C83" w14:textId="77777777" w:rsidR="00084A3F" w:rsidRPr="003F5817" w:rsidRDefault="00ED67DA" w:rsidP="00084A3F">
      <w:r>
        <w:t xml:space="preserve">One study </w:t>
      </w:r>
      <w:r w:rsidR="00084A3F" w:rsidRPr="003F5817">
        <w:t xml:space="preserve">assessed a </w:t>
      </w:r>
      <w:proofErr w:type="spellStart"/>
      <w:r w:rsidR="00084A3F" w:rsidRPr="003F5817">
        <w:t>pharmacodynamic</w:t>
      </w:r>
      <w:proofErr w:type="spellEnd"/>
      <w:r w:rsidR="00084A3F" w:rsidRPr="003F5817">
        <w:t xml:space="preserve"> interaction between </w:t>
      </w:r>
      <w:proofErr w:type="spellStart"/>
      <w:r w:rsidR="00084A3F" w:rsidRPr="003F5817">
        <w:t>iNO</w:t>
      </w:r>
      <w:proofErr w:type="spellEnd"/>
      <w:r w:rsidR="00084A3F" w:rsidRPr="003F5817">
        <w:t xml:space="preserve"> and </w:t>
      </w:r>
      <w:proofErr w:type="spellStart"/>
      <w:r w:rsidR="00084A3F" w:rsidRPr="003F5817">
        <w:t>dipyridamole</w:t>
      </w:r>
      <w:proofErr w:type="spellEnd"/>
      <w:r w:rsidR="00084A3F" w:rsidRPr="003F5817">
        <w:t>,</w:t>
      </w:r>
      <w:r>
        <w:rPr>
          <w:rStyle w:val="FootnoteReference"/>
        </w:rPr>
        <w:footnoteReference w:id="9"/>
      </w:r>
      <w:r w:rsidR="00084A3F" w:rsidRPr="003F5817">
        <w:t xml:space="preserve"> while a couple of early studies assessed the effects of oxygen in comparison to iNO, as well as the combination of oxygen and iNO. All of these interaction studies showed an effect of </w:t>
      </w:r>
      <w:proofErr w:type="spellStart"/>
      <w:r w:rsidR="00084A3F" w:rsidRPr="003F5817">
        <w:t>iNO</w:t>
      </w:r>
      <w:proofErr w:type="spellEnd"/>
      <w:r w:rsidR="00084A3F" w:rsidRPr="003F5817">
        <w:t xml:space="preserve"> on </w:t>
      </w:r>
      <w:proofErr w:type="spellStart"/>
      <w:r w:rsidR="00E3550D">
        <w:t>mPAP</w:t>
      </w:r>
      <w:proofErr w:type="spellEnd"/>
      <w:r w:rsidR="00084A3F" w:rsidRPr="003F5817">
        <w:t xml:space="preserve"> and PVR that exceeded the effects of pure oxygen.</w:t>
      </w:r>
    </w:p>
    <w:p w14:paraId="7BC3F88B" w14:textId="7ABC9FCF" w:rsidR="00084A3F" w:rsidRPr="004536B4" w:rsidRDefault="00084A3F" w:rsidP="00084A3F">
      <w:proofErr w:type="gramStart"/>
      <w:r w:rsidRPr="004536B4">
        <w:t xml:space="preserve">Table </w:t>
      </w:r>
      <w:r w:rsidR="004536B4" w:rsidRPr="004536B4">
        <w:t>3</w:t>
      </w:r>
      <w:r w:rsidRPr="004536B4">
        <w:t xml:space="preserve"> below, shows the studies relating to each pharmacodynamic topic.</w:t>
      </w:r>
      <w:proofErr w:type="gramEnd"/>
    </w:p>
    <w:p w14:paraId="2822EF79" w14:textId="77777777" w:rsidR="00B10AF1" w:rsidRDefault="00B10AF1" w:rsidP="00B10AF1">
      <w:pPr>
        <w:pStyle w:val="Tabletitle0"/>
      </w:pPr>
      <w:bookmarkStart w:id="59" w:name="_Ref269985397"/>
      <w:bookmarkStart w:id="60" w:name="_Toc418607373"/>
      <w:bookmarkStart w:id="61" w:name="_Toc418607742"/>
      <w:r w:rsidRPr="004536B4">
        <w:t xml:space="preserve">Table </w:t>
      </w:r>
      <w:bookmarkEnd w:id="59"/>
      <w:r w:rsidR="004536B4" w:rsidRPr="004536B4">
        <w:t>3</w:t>
      </w:r>
      <w:r w:rsidRPr="004536B4">
        <w:t>: Submitted</w:t>
      </w:r>
      <w:r w:rsidRPr="003F5817">
        <w:t xml:space="preserve"> </w:t>
      </w:r>
      <w:proofErr w:type="spellStart"/>
      <w:r w:rsidRPr="003F5817">
        <w:t>pharmacodynamic</w:t>
      </w:r>
      <w:proofErr w:type="spellEnd"/>
      <w:r w:rsidRPr="003F5817">
        <w:t xml:space="preserve"> studies</w:t>
      </w:r>
      <w:bookmarkEnd w:id="60"/>
      <w:bookmarkEnd w:id="61"/>
      <w:r w:rsidR="00ED67DA" w:rsidRPr="00ED67DA">
        <w:rPr>
          <w:vertAlign w:val="superscript"/>
        </w:rPr>
        <w:fldChar w:fldCharType="begin"/>
      </w:r>
      <w:r w:rsidR="00ED67DA" w:rsidRPr="00ED67DA">
        <w:rPr>
          <w:vertAlign w:val="superscript"/>
        </w:rPr>
        <w:instrText xml:space="preserve"> NOTEREF _Ref477535034 \h </w:instrText>
      </w:r>
      <w:r w:rsidR="00ED67DA">
        <w:rPr>
          <w:vertAlign w:val="superscript"/>
        </w:rPr>
        <w:instrText xml:space="preserve"> \* MERGEFORMAT </w:instrText>
      </w:r>
      <w:r w:rsidR="00ED67DA" w:rsidRPr="00ED67DA">
        <w:rPr>
          <w:vertAlign w:val="superscript"/>
        </w:rPr>
      </w:r>
      <w:r w:rsidR="00ED67DA" w:rsidRPr="00ED67DA">
        <w:rPr>
          <w:vertAlign w:val="superscript"/>
        </w:rPr>
        <w:fldChar w:fldCharType="separate"/>
      </w:r>
      <w:r w:rsidR="006D3007">
        <w:rPr>
          <w:vertAlign w:val="superscript"/>
        </w:rPr>
        <w:t>6</w:t>
      </w:r>
      <w:r w:rsidR="00ED67DA" w:rsidRPr="00ED67DA">
        <w:rPr>
          <w:vertAlign w:val="superscript"/>
        </w:rPr>
        <w:fldChar w:fldCharType="end"/>
      </w:r>
    </w:p>
    <w:tbl>
      <w:tblPr>
        <w:tblStyle w:val="TableTGAblue"/>
        <w:tblW w:w="9007" w:type="dxa"/>
        <w:tblLayout w:type="fixed"/>
        <w:tblLook w:val="00A0" w:firstRow="1" w:lastRow="0" w:firstColumn="1" w:lastColumn="0" w:noHBand="0" w:noVBand="0"/>
      </w:tblPr>
      <w:tblGrid>
        <w:gridCol w:w="2537"/>
        <w:gridCol w:w="3701"/>
        <w:gridCol w:w="2769"/>
      </w:tblGrid>
      <w:tr w:rsidR="00B10AF1" w:rsidRPr="00AB056B" w14:paraId="1F32B27D" w14:textId="77777777" w:rsidTr="00300485">
        <w:trPr>
          <w:cnfStyle w:val="100000000000" w:firstRow="1" w:lastRow="0" w:firstColumn="0" w:lastColumn="0" w:oddVBand="0" w:evenVBand="0" w:oddHBand="0" w:evenHBand="0" w:firstRowFirstColumn="0" w:firstRowLastColumn="0" w:lastRowFirstColumn="0" w:lastRowLastColumn="0"/>
          <w:trHeight w:val="144"/>
        </w:trPr>
        <w:tc>
          <w:tcPr>
            <w:tcW w:w="2537" w:type="dxa"/>
          </w:tcPr>
          <w:p w14:paraId="5F49BBEA" w14:textId="77777777" w:rsidR="00B10AF1" w:rsidRPr="00AB056B" w:rsidRDefault="00B10AF1" w:rsidP="00426B22">
            <w:r w:rsidRPr="00AB056B">
              <w:t>PD Topic</w:t>
            </w:r>
          </w:p>
        </w:tc>
        <w:tc>
          <w:tcPr>
            <w:tcW w:w="3701" w:type="dxa"/>
          </w:tcPr>
          <w:p w14:paraId="2ABADA5F" w14:textId="77777777" w:rsidR="00B10AF1" w:rsidRPr="00AB056B" w:rsidRDefault="00B10AF1" w:rsidP="00426B22">
            <w:r w:rsidRPr="00AB056B">
              <w:t>Subtopic</w:t>
            </w:r>
          </w:p>
        </w:tc>
        <w:tc>
          <w:tcPr>
            <w:tcW w:w="2769" w:type="dxa"/>
          </w:tcPr>
          <w:p w14:paraId="5D584A99" w14:textId="77777777" w:rsidR="00B10AF1" w:rsidRPr="00AB056B" w:rsidRDefault="00B10AF1" w:rsidP="00426B22">
            <w:r w:rsidRPr="00AB056B">
              <w:t>Study ID</w:t>
            </w:r>
          </w:p>
        </w:tc>
      </w:tr>
      <w:tr w:rsidR="00B10AF1" w:rsidRPr="00AB056B" w14:paraId="2A47A445" w14:textId="77777777" w:rsidTr="00300485">
        <w:trPr>
          <w:trHeight w:val="4135"/>
        </w:trPr>
        <w:tc>
          <w:tcPr>
            <w:tcW w:w="2537" w:type="dxa"/>
          </w:tcPr>
          <w:p w14:paraId="76F63641" w14:textId="77777777" w:rsidR="00B10AF1" w:rsidRPr="00AB056B" w:rsidRDefault="00B10AF1" w:rsidP="00426B22">
            <w:r w:rsidRPr="00AB056B">
              <w:t>Primary Pharmacology</w:t>
            </w:r>
          </w:p>
        </w:tc>
        <w:tc>
          <w:tcPr>
            <w:tcW w:w="3701" w:type="dxa"/>
          </w:tcPr>
          <w:p w14:paraId="5E8C5B70" w14:textId="77777777" w:rsidR="00B10AF1" w:rsidRPr="00AB056B" w:rsidRDefault="00B10AF1" w:rsidP="00426B22">
            <w:r>
              <w:t xml:space="preserve">Effect on PVR and </w:t>
            </w:r>
            <w:proofErr w:type="spellStart"/>
            <w:r w:rsidR="00E3550D">
              <w:t>mPAP</w:t>
            </w:r>
            <w:proofErr w:type="spellEnd"/>
          </w:p>
        </w:tc>
        <w:tc>
          <w:tcPr>
            <w:tcW w:w="2769" w:type="dxa"/>
          </w:tcPr>
          <w:p w14:paraId="499CD365" w14:textId="77777777" w:rsidR="00B10AF1" w:rsidRPr="00AB056B" w:rsidRDefault="00B10AF1" w:rsidP="00426B22">
            <w:r w:rsidRPr="00AB056B">
              <w:t>Girard et al, 1992</w:t>
            </w:r>
          </w:p>
          <w:p w14:paraId="20669F43" w14:textId="77777777" w:rsidR="00B10AF1" w:rsidRPr="00AB056B" w:rsidRDefault="00B10AF1" w:rsidP="00426B22">
            <w:r w:rsidRPr="00AB056B">
              <w:t>INOT22</w:t>
            </w:r>
          </w:p>
          <w:p w14:paraId="1BF89174" w14:textId="77777777" w:rsidR="00B10AF1" w:rsidRPr="00AB056B" w:rsidRDefault="00B10AF1" w:rsidP="00426B22">
            <w:proofErr w:type="spellStart"/>
            <w:r w:rsidRPr="00AB056B">
              <w:t>Journois</w:t>
            </w:r>
            <w:proofErr w:type="spellEnd"/>
            <w:r w:rsidRPr="00AB056B">
              <w:t xml:space="preserve"> et al, 1994</w:t>
            </w:r>
          </w:p>
          <w:p w14:paraId="29F0C6E4" w14:textId="77777777" w:rsidR="00B10AF1" w:rsidRPr="00AB056B" w:rsidRDefault="00B10AF1" w:rsidP="00426B22">
            <w:r w:rsidRPr="00AB056B">
              <w:t>Lindberg et al, 1994</w:t>
            </w:r>
          </w:p>
          <w:p w14:paraId="150AD1B4" w14:textId="77777777" w:rsidR="00B10AF1" w:rsidRPr="00AB056B" w:rsidRDefault="00B10AF1" w:rsidP="00426B22">
            <w:r w:rsidRPr="00AB056B">
              <w:t>Miller et al, 1994</w:t>
            </w:r>
          </w:p>
          <w:p w14:paraId="5B1B94B2" w14:textId="77777777" w:rsidR="00B10AF1" w:rsidRPr="00AB056B" w:rsidRDefault="00B10AF1" w:rsidP="00426B22">
            <w:r w:rsidRPr="00AB056B">
              <w:t>Roberts et al, 1993</w:t>
            </w:r>
          </w:p>
          <w:p w14:paraId="4C24543E" w14:textId="77777777" w:rsidR="00B10AF1" w:rsidRPr="00AB056B" w:rsidRDefault="00B10AF1" w:rsidP="00426B22">
            <w:proofErr w:type="spellStart"/>
            <w:r w:rsidRPr="00AB056B">
              <w:t>Turanlahti</w:t>
            </w:r>
            <w:proofErr w:type="spellEnd"/>
            <w:r w:rsidRPr="00AB056B">
              <w:t xml:space="preserve"> et al, 1998</w:t>
            </w:r>
          </w:p>
          <w:p w14:paraId="28C0B7B9" w14:textId="77777777" w:rsidR="00B10AF1" w:rsidRPr="00AB056B" w:rsidRDefault="00B10AF1" w:rsidP="00426B22">
            <w:proofErr w:type="spellStart"/>
            <w:r w:rsidRPr="00AB056B">
              <w:t>Turanlahti</w:t>
            </w:r>
            <w:proofErr w:type="spellEnd"/>
            <w:r w:rsidRPr="00AB056B">
              <w:t xml:space="preserve"> et al, 2000</w:t>
            </w:r>
          </w:p>
          <w:p w14:paraId="04550EF3" w14:textId="77777777" w:rsidR="00B10AF1" w:rsidRPr="00AB056B" w:rsidRDefault="00B10AF1" w:rsidP="00426B22">
            <w:r w:rsidRPr="00AB056B">
              <w:t>Wessel et al, 1993</w:t>
            </w:r>
          </w:p>
          <w:p w14:paraId="4E2B327B" w14:textId="77777777" w:rsidR="00B10AF1" w:rsidRPr="00AB056B" w:rsidRDefault="00B10AF1" w:rsidP="00426B22">
            <w:proofErr w:type="spellStart"/>
            <w:r w:rsidRPr="00AB056B">
              <w:t>Winberg</w:t>
            </w:r>
            <w:proofErr w:type="spellEnd"/>
            <w:r w:rsidRPr="00AB056B">
              <w:t xml:space="preserve"> et al, 1994</w:t>
            </w:r>
          </w:p>
          <w:p w14:paraId="6A3C66FB" w14:textId="77777777" w:rsidR="00B10AF1" w:rsidRPr="00AB056B" w:rsidRDefault="00B10AF1" w:rsidP="00426B22">
            <w:proofErr w:type="spellStart"/>
            <w:r w:rsidRPr="00AB056B">
              <w:t>Lepore</w:t>
            </w:r>
            <w:proofErr w:type="spellEnd"/>
            <w:r w:rsidRPr="00AB056B">
              <w:t xml:space="preserve"> et al, 2005</w:t>
            </w:r>
          </w:p>
        </w:tc>
      </w:tr>
      <w:tr w:rsidR="00B10AF1" w:rsidRPr="00AB056B" w14:paraId="49CEE651" w14:textId="77777777" w:rsidTr="00300485">
        <w:trPr>
          <w:trHeight w:val="1480"/>
        </w:trPr>
        <w:tc>
          <w:tcPr>
            <w:tcW w:w="2537" w:type="dxa"/>
          </w:tcPr>
          <w:p w14:paraId="1975B2ED" w14:textId="77777777" w:rsidR="00B10AF1" w:rsidRPr="00AB056B" w:rsidRDefault="00B10AF1" w:rsidP="00426B22">
            <w:r w:rsidRPr="00AB056B">
              <w:t>Secondary Pharmacology</w:t>
            </w:r>
          </w:p>
        </w:tc>
        <w:tc>
          <w:tcPr>
            <w:tcW w:w="3701" w:type="dxa"/>
          </w:tcPr>
          <w:p w14:paraId="535DE8FE" w14:textId="77777777" w:rsidR="00B10AF1" w:rsidRPr="00AB056B" w:rsidRDefault="00B10AF1" w:rsidP="00426B22">
            <w:r w:rsidRPr="00AB056B">
              <w:t>Effect on oxygenation</w:t>
            </w:r>
          </w:p>
        </w:tc>
        <w:tc>
          <w:tcPr>
            <w:tcW w:w="2769" w:type="dxa"/>
          </w:tcPr>
          <w:p w14:paraId="54C02945" w14:textId="77777777" w:rsidR="00B10AF1" w:rsidRPr="00AB056B" w:rsidRDefault="00B10AF1" w:rsidP="00426B22">
            <w:r w:rsidRPr="00AB056B">
              <w:t>Girard et al, 1992</w:t>
            </w:r>
          </w:p>
          <w:p w14:paraId="6AFC2377" w14:textId="77777777" w:rsidR="00B10AF1" w:rsidRPr="00AB056B" w:rsidRDefault="00B10AF1" w:rsidP="00426B22">
            <w:proofErr w:type="spellStart"/>
            <w:r w:rsidRPr="00AB056B">
              <w:t>Journois</w:t>
            </w:r>
            <w:proofErr w:type="spellEnd"/>
            <w:r w:rsidRPr="00AB056B">
              <w:t xml:space="preserve"> et al, 1994</w:t>
            </w:r>
          </w:p>
          <w:p w14:paraId="65E97F8B" w14:textId="77777777" w:rsidR="00B10AF1" w:rsidRPr="00AB056B" w:rsidRDefault="00B10AF1" w:rsidP="00426B22">
            <w:r w:rsidRPr="00AB056B">
              <w:t>Lindberg et al, 1994</w:t>
            </w:r>
          </w:p>
        </w:tc>
      </w:tr>
      <w:tr w:rsidR="00B10AF1" w:rsidRPr="00AB056B" w14:paraId="3E125F3A" w14:textId="77777777" w:rsidTr="00300485">
        <w:trPr>
          <w:trHeight w:val="974"/>
        </w:trPr>
        <w:tc>
          <w:tcPr>
            <w:tcW w:w="2537" w:type="dxa"/>
          </w:tcPr>
          <w:p w14:paraId="21667DB4" w14:textId="1C8D7F65" w:rsidR="00B10AF1" w:rsidRPr="00AB056B" w:rsidRDefault="00A54259" w:rsidP="00426B22">
            <w:r>
              <w:t xml:space="preserve">Gender other Genetic and Age </w:t>
            </w:r>
            <w:r w:rsidR="00B10AF1" w:rsidRPr="00AB056B">
              <w:t>Related Differences in PD Response</w:t>
            </w:r>
          </w:p>
        </w:tc>
        <w:tc>
          <w:tcPr>
            <w:tcW w:w="3701" w:type="dxa"/>
          </w:tcPr>
          <w:p w14:paraId="73F138C8" w14:textId="77777777" w:rsidR="00B10AF1" w:rsidRPr="00AB056B" w:rsidRDefault="00B10AF1" w:rsidP="00426B22"/>
        </w:tc>
        <w:tc>
          <w:tcPr>
            <w:tcW w:w="2769" w:type="dxa"/>
          </w:tcPr>
          <w:p w14:paraId="081C3B0F" w14:textId="77777777" w:rsidR="00B10AF1" w:rsidRPr="00AB056B" w:rsidRDefault="00B10AF1" w:rsidP="00426B22">
            <w:r w:rsidRPr="00AB056B">
              <w:t>None provided</w:t>
            </w:r>
          </w:p>
        </w:tc>
      </w:tr>
      <w:tr w:rsidR="00B10AF1" w:rsidRPr="00AB056B" w14:paraId="303E52E7" w14:textId="77777777" w:rsidTr="00300485">
        <w:trPr>
          <w:trHeight w:val="495"/>
        </w:trPr>
        <w:tc>
          <w:tcPr>
            <w:tcW w:w="2537" w:type="dxa"/>
          </w:tcPr>
          <w:p w14:paraId="61DC176C" w14:textId="77777777" w:rsidR="00B10AF1" w:rsidRPr="00AB056B" w:rsidRDefault="00B10AF1" w:rsidP="00426B22">
            <w:r w:rsidRPr="00AB056B">
              <w:t>PD Interactions</w:t>
            </w:r>
          </w:p>
        </w:tc>
        <w:tc>
          <w:tcPr>
            <w:tcW w:w="3701" w:type="dxa"/>
          </w:tcPr>
          <w:p w14:paraId="537B84E4" w14:textId="77777777" w:rsidR="00B10AF1" w:rsidRPr="00AB056B" w:rsidRDefault="00B10AF1" w:rsidP="00426B22">
            <w:r w:rsidRPr="00AB056B">
              <w:t xml:space="preserve">Interaction with </w:t>
            </w:r>
            <w:proofErr w:type="spellStart"/>
            <w:r w:rsidRPr="00AB056B">
              <w:t>dipyridamole</w:t>
            </w:r>
            <w:proofErr w:type="spellEnd"/>
          </w:p>
        </w:tc>
        <w:tc>
          <w:tcPr>
            <w:tcW w:w="2769" w:type="dxa"/>
          </w:tcPr>
          <w:p w14:paraId="44A605EE" w14:textId="77777777" w:rsidR="00B10AF1" w:rsidRPr="00AB056B" w:rsidRDefault="00B10AF1" w:rsidP="00426B22">
            <w:proofErr w:type="spellStart"/>
            <w:r w:rsidRPr="00AB056B">
              <w:t>Lepore</w:t>
            </w:r>
            <w:proofErr w:type="spellEnd"/>
            <w:r w:rsidRPr="00AB056B">
              <w:t xml:space="preserve"> et al, 2005</w:t>
            </w:r>
          </w:p>
        </w:tc>
      </w:tr>
      <w:tr w:rsidR="00B10AF1" w:rsidRPr="00AB056B" w14:paraId="4B8F01C1" w14:textId="77777777" w:rsidTr="00300485">
        <w:trPr>
          <w:trHeight w:val="482"/>
        </w:trPr>
        <w:tc>
          <w:tcPr>
            <w:tcW w:w="2537" w:type="dxa"/>
          </w:tcPr>
          <w:p w14:paraId="61FF40C8" w14:textId="77777777" w:rsidR="00B10AF1" w:rsidRPr="00AB056B" w:rsidRDefault="00B10AF1" w:rsidP="00426B22">
            <w:r w:rsidRPr="00AB056B">
              <w:t>Population PD and PK-PD Analyses</w:t>
            </w:r>
          </w:p>
        </w:tc>
        <w:tc>
          <w:tcPr>
            <w:tcW w:w="3701" w:type="dxa"/>
          </w:tcPr>
          <w:p w14:paraId="186522D5" w14:textId="77777777" w:rsidR="00B10AF1" w:rsidRPr="00AB056B" w:rsidRDefault="00B10AF1" w:rsidP="00426B22"/>
        </w:tc>
        <w:tc>
          <w:tcPr>
            <w:tcW w:w="2769" w:type="dxa"/>
          </w:tcPr>
          <w:p w14:paraId="7AF6079D" w14:textId="77777777" w:rsidR="00B10AF1" w:rsidRPr="00AB056B" w:rsidRDefault="00B10AF1" w:rsidP="00426B22">
            <w:r w:rsidRPr="00AB056B">
              <w:t>None provided</w:t>
            </w:r>
          </w:p>
        </w:tc>
      </w:tr>
    </w:tbl>
    <w:p w14:paraId="48431C5C" w14:textId="77777777" w:rsidR="00B10AF1" w:rsidRDefault="00B10AF1" w:rsidP="00B10AF1">
      <w:r>
        <w:t>None of the pharmacodynamic studies had deficiencies that excluded their results from consideration.</w:t>
      </w:r>
    </w:p>
    <w:p w14:paraId="51A3C7B1" w14:textId="77777777" w:rsidR="00B10AF1" w:rsidRPr="00B10AF1" w:rsidRDefault="00B10AF1" w:rsidP="00B10AF1">
      <w:r>
        <w:t xml:space="preserve">For further details of the evaluation of the </w:t>
      </w:r>
      <w:r w:rsidR="00ED67DA">
        <w:t>PD</w:t>
      </w:r>
      <w:r>
        <w:t xml:space="preserve"> please see Attachment 2, extract of </w:t>
      </w:r>
      <w:r w:rsidR="00ED67DA">
        <w:t>the clinical evaluation report.</w:t>
      </w:r>
    </w:p>
    <w:p w14:paraId="1330BC14" w14:textId="77777777" w:rsidR="00605AD4" w:rsidRDefault="00605AD4" w:rsidP="00605AD4">
      <w:pPr>
        <w:pStyle w:val="Heading4"/>
      </w:pPr>
      <w:r>
        <w:lastRenderedPageBreak/>
        <w:t>Evaluator’s conclusions on pharmacodynamics</w:t>
      </w:r>
    </w:p>
    <w:p w14:paraId="4FABF886" w14:textId="314BC495" w:rsidR="00B10AF1" w:rsidRPr="000E6D77" w:rsidRDefault="00B10AF1" w:rsidP="00B10AF1">
      <w:r w:rsidRPr="000E6D77">
        <w:t xml:space="preserve">The </w:t>
      </w:r>
      <w:r w:rsidR="00ED67DA">
        <w:t>PD</w:t>
      </w:r>
      <w:r w:rsidRPr="000E6D77">
        <w:t xml:space="preserve"> of iNO </w:t>
      </w:r>
      <w:r w:rsidR="00F54198" w:rsidRPr="000E6D77">
        <w:t>was</w:t>
      </w:r>
      <w:r w:rsidRPr="000E6D77">
        <w:t xml:space="preserve"> established with the original marketing authorisation application for treatment of persistent neonatal pulmonary hypertension, and the proposed indication is consistent with t</w:t>
      </w:r>
      <w:r>
        <w:t>hat original characterisation.</w:t>
      </w:r>
    </w:p>
    <w:p w14:paraId="1369FB6F" w14:textId="77777777" w:rsidR="00B10AF1" w:rsidRPr="000E6D77" w:rsidRDefault="00B10AF1" w:rsidP="00B10AF1">
      <w:r w:rsidRPr="000E6D77">
        <w:t xml:space="preserve">In the current submission, the </w:t>
      </w:r>
      <w:r>
        <w:t>sponsor</w:t>
      </w:r>
      <w:r w:rsidRPr="000E6D77">
        <w:t xml:space="preserve"> has submitted studies specifically pertaining to the perioperative setting, including both pre-operative </w:t>
      </w:r>
      <w:r>
        <w:t xml:space="preserve">vasoreactivity studies and post </w:t>
      </w:r>
      <w:r w:rsidRPr="000E6D77">
        <w:t>CPB studies, in both children and adults. Many of these studies were small in scale and lacked clearly defined prospective endpoints, but the studies can be considered reasonably robust as a group because of the high reproducibility of the PD effects which were observed across a range of independent investigative teams, different hospital settings an</w:t>
      </w:r>
      <w:r>
        <w:t>d different target populations.</w:t>
      </w:r>
    </w:p>
    <w:p w14:paraId="63DF8120" w14:textId="001E575C" w:rsidR="00B10AF1" w:rsidRPr="000E6D77" w:rsidRDefault="00B10AF1" w:rsidP="00B10AF1">
      <w:r w:rsidRPr="000E6D77">
        <w:t xml:space="preserve">Although the submitted PD studies lacked control groups, and therefore did not qualify as efficacy studies, the </w:t>
      </w:r>
      <w:r w:rsidR="00A54259">
        <w:t xml:space="preserve">use of baseline </w:t>
      </w:r>
      <w:r w:rsidRPr="000E6D77">
        <w:t>comparisons and crossover designs allowed the various investigators to demonstrate the haemodynamic effects of iNO. The PD studies provided a consistent view of iNO as an agent that produces selective pulmonary vasodilation in most subjects with elevated PVR, and particularly in subjects who have undergone CPB and have impaired endothelial function. The effect was observed in both children and adults, and was clinically meaningful in magnitude.</w:t>
      </w:r>
    </w:p>
    <w:p w14:paraId="1069A47C" w14:textId="77777777" w:rsidR="00B10AF1" w:rsidRPr="00B10AF1" w:rsidRDefault="00B10AF1" w:rsidP="00B10AF1">
      <w:r w:rsidRPr="000E6D77">
        <w:t>Additional exploratory studies were consistent with the hypothesis that CPB induces a deficit in endogenous NO production, which iNO specifically and effectively targets.</w:t>
      </w:r>
    </w:p>
    <w:p w14:paraId="3FD7E630" w14:textId="77777777" w:rsidR="008E7846" w:rsidRDefault="00605AD4" w:rsidP="00605AD4">
      <w:pPr>
        <w:pStyle w:val="Heading3"/>
      </w:pPr>
      <w:bookmarkStart w:id="62" w:name="_Toc483899414"/>
      <w:r>
        <w:t>Dosage selection for the pivotal studies</w:t>
      </w:r>
      <w:bookmarkEnd w:id="62"/>
    </w:p>
    <w:p w14:paraId="58A6A1AB" w14:textId="77777777" w:rsidR="005C13F0" w:rsidRPr="000E6D77" w:rsidRDefault="005C13F0" w:rsidP="005C13F0">
      <w:r>
        <w:t>As discussed above</w:t>
      </w:r>
      <w:r w:rsidRPr="000E6D77">
        <w:t xml:space="preserve">, there was little evidence of a </w:t>
      </w:r>
      <w:r>
        <w:t>dose response</w:t>
      </w:r>
      <w:r w:rsidRPr="000E6D77">
        <w:t xml:space="preserve"> relationship over a large range of doses from 2 ppm to 80 ppm, but occasional studies suggested that the effect of 40 ppm might be more pronounced than lower doses.</w:t>
      </w:r>
    </w:p>
    <w:p w14:paraId="0B94FBFC" w14:textId="77777777" w:rsidR="005C13F0" w:rsidRPr="004536B4" w:rsidRDefault="005C13F0" w:rsidP="005C13F0">
      <w:r w:rsidRPr="000E6D77">
        <w:t xml:space="preserve">None of the pivotal efficacy studies was </w:t>
      </w:r>
      <w:r>
        <w:t>sponsor driven</w:t>
      </w:r>
      <w:r w:rsidRPr="000E6D77">
        <w:t>, and several different doses were used by the investigators, ranging from 5 ppm to 80 pp</w:t>
      </w:r>
      <w:r>
        <w:t xml:space="preserve">m, as </w:t>
      </w:r>
      <w:r w:rsidRPr="004536B4">
        <w:t xml:space="preserve">shown in Table </w:t>
      </w:r>
      <w:r w:rsidR="004536B4" w:rsidRPr="004536B4">
        <w:t>4</w:t>
      </w:r>
      <w:r w:rsidRPr="004536B4">
        <w:t>.</w:t>
      </w:r>
    </w:p>
    <w:p w14:paraId="6D93A45F" w14:textId="493544E0" w:rsidR="005C13F0" w:rsidRDefault="005C13F0" w:rsidP="005C13F0">
      <w:pPr>
        <w:pStyle w:val="Tabletitle0"/>
      </w:pPr>
      <w:bookmarkStart w:id="63" w:name="_Toc418607745"/>
      <w:r w:rsidRPr="004536B4">
        <w:t xml:space="preserve">Table </w:t>
      </w:r>
      <w:r w:rsidR="004536B4" w:rsidRPr="004536B4">
        <w:t>4</w:t>
      </w:r>
      <w:r w:rsidR="00A54259">
        <w:t>:</w:t>
      </w:r>
      <w:r w:rsidRPr="004536B4">
        <w:t xml:space="preserve"> Studies in paediatric patients post-surgery for congenital heart</w:t>
      </w:r>
      <w:r w:rsidRPr="000E6D77">
        <w:t xml:space="preserve"> disease</w:t>
      </w:r>
      <w:bookmarkEnd w:id="63"/>
    </w:p>
    <w:tbl>
      <w:tblPr>
        <w:tblStyle w:val="TableTGAblue"/>
        <w:tblW w:w="9009" w:type="dxa"/>
        <w:tblLayout w:type="fixed"/>
        <w:tblLook w:val="04A0" w:firstRow="1" w:lastRow="0" w:firstColumn="1" w:lastColumn="0" w:noHBand="0" w:noVBand="1"/>
      </w:tblPr>
      <w:tblGrid>
        <w:gridCol w:w="1384"/>
        <w:gridCol w:w="2126"/>
        <w:gridCol w:w="682"/>
        <w:gridCol w:w="1303"/>
        <w:gridCol w:w="1483"/>
        <w:gridCol w:w="2031"/>
      </w:tblGrid>
      <w:tr w:rsidR="005C13F0" w:rsidRPr="00426B22" w14:paraId="6CEFC996" w14:textId="77777777" w:rsidTr="00426B22">
        <w:trPr>
          <w:cnfStyle w:val="100000000000" w:firstRow="1" w:lastRow="0" w:firstColumn="0" w:lastColumn="0" w:oddVBand="0" w:evenVBand="0" w:oddHBand="0" w:evenHBand="0" w:firstRowFirstColumn="0" w:firstRowLastColumn="0" w:lastRowFirstColumn="0" w:lastRowLastColumn="0"/>
        </w:trPr>
        <w:tc>
          <w:tcPr>
            <w:tcW w:w="1384" w:type="dxa"/>
          </w:tcPr>
          <w:p w14:paraId="5415C8B2" w14:textId="77777777" w:rsidR="005C13F0" w:rsidRPr="00426B22" w:rsidRDefault="005C13F0" w:rsidP="00426B22">
            <w:pPr>
              <w:ind w:left="0" w:right="34"/>
              <w:rPr>
                <w:sz w:val="20"/>
                <w:szCs w:val="20"/>
              </w:rPr>
            </w:pPr>
            <w:r w:rsidRPr="00426B22">
              <w:rPr>
                <w:sz w:val="20"/>
                <w:szCs w:val="20"/>
              </w:rPr>
              <w:t>Publication</w:t>
            </w:r>
          </w:p>
        </w:tc>
        <w:tc>
          <w:tcPr>
            <w:tcW w:w="2126" w:type="dxa"/>
          </w:tcPr>
          <w:p w14:paraId="62C13BFD" w14:textId="77777777" w:rsidR="005C13F0" w:rsidRPr="00426B22" w:rsidRDefault="005C13F0" w:rsidP="00426B22">
            <w:pPr>
              <w:ind w:left="88" w:right="110"/>
              <w:rPr>
                <w:sz w:val="20"/>
                <w:szCs w:val="20"/>
              </w:rPr>
            </w:pPr>
            <w:r w:rsidRPr="00426B22">
              <w:rPr>
                <w:sz w:val="20"/>
                <w:szCs w:val="20"/>
              </w:rPr>
              <w:t>Design</w:t>
            </w:r>
          </w:p>
        </w:tc>
        <w:tc>
          <w:tcPr>
            <w:tcW w:w="682" w:type="dxa"/>
          </w:tcPr>
          <w:p w14:paraId="2A274542" w14:textId="77777777" w:rsidR="005C13F0" w:rsidRPr="00426B22" w:rsidRDefault="005C13F0" w:rsidP="00426B22">
            <w:pPr>
              <w:ind w:left="34" w:right="7"/>
              <w:rPr>
                <w:sz w:val="20"/>
                <w:szCs w:val="20"/>
              </w:rPr>
            </w:pPr>
            <w:r w:rsidRPr="00426B22">
              <w:rPr>
                <w:sz w:val="20"/>
                <w:szCs w:val="20"/>
              </w:rPr>
              <w:t>N</w:t>
            </w:r>
          </w:p>
        </w:tc>
        <w:tc>
          <w:tcPr>
            <w:tcW w:w="1303" w:type="dxa"/>
          </w:tcPr>
          <w:p w14:paraId="3F98C17B" w14:textId="77777777" w:rsidR="005C13F0" w:rsidRPr="00426B22" w:rsidRDefault="005C13F0" w:rsidP="00426B22">
            <w:pPr>
              <w:ind w:left="61" w:right="0"/>
              <w:rPr>
                <w:sz w:val="20"/>
                <w:szCs w:val="20"/>
              </w:rPr>
            </w:pPr>
            <w:r w:rsidRPr="00426B22">
              <w:rPr>
                <w:sz w:val="20"/>
                <w:szCs w:val="20"/>
              </w:rPr>
              <w:t>Age</w:t>
            </w:r>
          </w:p>
        </w:tc>
        <w:tc>
          <w:tcPr>
            <w:tcW w:w="1483" w:type="dxa"/>
          </w:tcPr>
          <w:p w14:paraId="6243509E" w14:textId="77777777" w:rsidR="005C13F0" w:rsidRPr="00426B22" w:rsidRDefault="005C13F0" w:rsidP="00426B22">
            <w:pPr>
              <w:ind w:left="34" w:right="0"/>
              <w:rPr>
                <w:sz w:val="20"/>
                <w:szCs w:val="20"/>
              </w:rPr>
            </w:pPr>
            <w:r w:rsidRPr="00426B22">
              <w:rPr>
                <w:sz w:val="20"/>
                <w:szCs w:val="20"/>
              </w:rPr>
              <w:t>Dose &amp; duration iNO</w:t>
            </w:r>
          </w:p>
        </w:tc>
        <w:tc>
          <w:tcPr>
            <w:tcW w:w="2031" w:type="dxa"/>
          </w:tcPr>
          <w:p w14:paraId="4B789B6F" w14:textId="77777777" w:rsidR="005C13F0" w:rsidRPr="00426B22" w:rsidRDefault="005C13F0" w:rsidP="00426B22">
            <w:pPr>
              <w:rPr>
                <w:sz w:val="20"/>
                <w:szCs w:val="20"/>
              </w:rPr>
            </w:pPr>
            <w:r w:rsidRPr="00426B22">
              <w:rPr>
                <w:sz w:val="20"/>
                <w:szCs w:val="20"/>
              </w:rPr>
              <w:t>Primary endpoints</w:t>
            </w:r>
          </w:p>
        </w:tc>
      </w:tr>
      <w:tr w:rsidR="005C13F0" w:rsidRPr="00426B22" w14:paraId="26B14B44" w14:textId="77777777" w:rsidTr="00426B22">
        <w:tc>
          <w:tcPr>
            <w:tcW w:w="1384" w:type="dxa"/>
          </w:tcPr>
          <w:p w14:paraId="46157EA5" w14:textId="77777777" w:rsidR="005C13F0" w:rsidRPr="00426B22" w:rsidRDefault="005C13F0" w:rsidP="00426B22">
            <w:pPr>
              <w:rPr>
                <w:sz w:val="20"/>
                <w:szCs w:val="20"/>
              </w:rPr>
            </w:pPr>
            <w:r w:rsidRPr="00426B22">
              <w:rPr>
                <w:sz w:val="20"/>
                <w:szCs w:val="20"/>
              </w:rPr>
              <w:t>Miller et al 2000</w:t>
            </w:r>
          </w:p>
        </w:tc>
        <w:tc>
          <w:tcPr>
            <w:tcW w:w="2126" w:type="dxa"/>
          </w:tcPr>
          <w:p w14:paraId="41A86339" w14:textId="77777777" w:rsidR="005C13F0" w:rsidRPr="00426B22" w:rsidRDefault="005C13F0" w:rsidP="00426B22">
            <w:pPr>
              <w:ind w:left="88" w:right="110"/>
              <w:rPr>
                <w:sz w:val="20"/>
                <w:szCs w:val="20"/>
              </w:rPr>
            </w:pPr>
            <w:r w:rsidRPr="00426B22">
              <w:rPr>
                <w:sz w:val="20"/>
                <w:szCs w:val="20"/>
              </w:rPr>
              <w:t>Randomised, placebo controlled, double blind</w:t>
            </w:r>
          </w:p>
        </w:tc>
        <w:tc>
          <w:tcPr>
            <w:tcW w:w="682" w:type="dxa"/>
          </w:tcPr>
          <w:p w14:paraId="73F34F08" w14:textId="77777777" w:rsidR="005C13F0" w:rsidRPr="00426B22" w:rsidRDefault="005C13F0" w:rsidP="00426B22">
            <w:pPr>
              <w:ind w:left="34" w:right="7"/>
              <w:rPr>
                <w:sz w:val="20"/>
                <w:szCs w:val="20"/>
              </w:rPr>
            </w:pPr>
            <w:r w:rsidRPr="00426B22">
              <w:rPr>
                <w:sz w:val="20"/>
                <w:szCs w:val="20"/>
              </w:rPr>
              <w:t>124</w:t>
            </w:r>
          </w:p>
        </w:tc>
        <w:tc>
          <w:tcPr>
            <w:tcW w:w="1303" w:type="dxa"/>
          </w:tcPr>
          <w:p w14:paraId="582BD121" w14:textId="77777777" w:rsidR="005C13F0" w:rsidRPr="00426B22" w:rsidRDefault="005C13F0" w:rsidP="00426B22">
            <w:pPr>
              <w:ind w:left="61" w:right="0"/>
              <w:rPr>
                <w:sz w:val="20"/>
                <w:szCs w:val="20"/>
              </w:rPr>
            </w:pPr>
            <w:r w:rsidRPr="00426B22">
              <w:rPr>
                <w:sz w:val="20"/>
                <w:szCs w:val="20"/>
              </w:rPr>
              <w:t xml:space="preserve">NO: 1-5 </w:t>
            </w:r>
            <w:proofErr w:type="spellStart"/>
            <w:r w:rsidRPr="00426B22">
              <w:rPr>
                <w:sz w:val="20"/>
                <w:szCs w:val="20"/>
              </w:rPr>
              <w:t>mths</w:t>
            </w:r>
            <w:proofErr w:type="spellEnd"/>
            <w:r w:rsidRPr="00426B22">
              <w:rPr>
                <w:sz w:val="20"/>
                <w:szCs w:val="20"/>
              </w:rPr>
              <w:br/>
              <w:t xml:space="preserve">PBO: 1-4 </w:t>
            </w:r>
            <w:proofErr w:type="spellStart"/>
            <w:r w:rsidRPr="00426B22">
              <w:rPr>
                <w:sz w:val="20"/>
                <w:szCs w:val="20"/>
              </w:rPr>
              <w:t>mths</w:t>
            </w:r>
            <w:proofErr w:type="spellEnd"/>
          </w:p>
        </w:tc>
        <w:tc>
          <w:tcPr>
            <w:tcW w:w="1483" w:type="dxa"/>
          </w:tcPr>
          <w:p w14:paraId="2402B622" w14:textId="77777777" w:rsidR="005C13F0" w:rsidRPr="00426B22" w:rsidRDefault="005C13F0" w:rsidP="00426B22">
            <w:pPr>
              <w:ind w:left="34" w:right="0"/>
              <w:rPr>
                <w:sz w:val="20"/>
                <w:szCs w:val="20"/>
              </w:rPr>
            </w:pPr>
            <w:r w:rsidRPr="00426B22">
              <w:rPr>
                <w:sz w:val="20"/>
                <w:szCs w:val="20"/>
              </w:rPr>
              <w:t>10 ppm for mean 87 hrs</w:t>
            </w:r>
          </w:p>
        </w:tc>
        <w:tc>
          <w:tcPr>
            <w:tcW w:w="2031" w:type="dxa"/>
          </w:tcPr>
          <w:p w14:paraId="1711F359" w14:textId="52B18479" w:rsidR="005C13F0" w:rsidRPr="00426B22" w:rsidRDefault="005C13F0" w:rsidP="00D026F6">
            <w:pPr>
              <w:rPr>
                <w:sz w:val="20"/>
                <w:szCs w:val="20"/>
              </w:rPr>
            </w:pPr>
            <w:r w:rsidRPr="00426B22">
              <w:rPr>
                <w:sz w:val="20"/>
                <w:szCs w:val="20"/>
              </w:rPr>
              <w:t>Clinical:</w:t>
            </w:r>
            <w:r w:rsidR="00D026F6">
              <w:rPr>
                <w:sz w:val="20"/>
                <w:szCs w:val="20"/>
              </w:rPr>
              <w:t xml:space="preserve"> </w:t>
            </w:r>
            <w:r w:rsidRPr="00426B22">
              <w:rPr>
                <w:sz w:val="20"/>
                <w:szCs w:val="20"/>
              </w:rPr>
              <w:t>PHTC Frequency</w:t>
            </w:r>
          </w:p>
        </w:tc>
      </w:tr>
      <w:tr w:rsidR="005C13F0" w:rsidRPr="00426B22" w14:paraId="7D915E39" w14:textId="77777777" w:rsidTr="00426B22">
        <w:tc>
          <w:tcPr>
            <w:tcW w:w="1384" w:type="dxa"/>
          </w:tcPr>
          <w:p w14:paraId="7AA13070" w14:textId="77777777" w:rsidR="005C13F0" w:rsidRPr="00426B22" w:rsidRDefault="005C13F0" w:rsidP="00426B22">
            <w:pPr>
              <w:rPr>
                <w:sz w:val="20"/>
                <w:szCs w:val="20"/>
              </w:rPr>
            </w:pPr>
            <w:r w:rsidRPr="00426B22">
              <w:rPr>
                <w:sz w:val="20"/>
                <w:szCs w:val="20"/>
              </w:rPr>
              <w:t>Russell et al 1998</w:t>
            </w:r>
          </w:p>
        </w:tc>
        <w:tc>
          <w:tcPr>
            <w:tcW w:w="2126" w:type="dxa"/>
          </w:tcPr>
          <w:p w14:paraId="14CC367F" w14:textId="77777777" w:rsidR="005C13F0" w:rsidRPr="00426B22" w:rsidRDefault="005C13F0" w:rsidP="00426B22">
            <w:pPr>
              <w:ind w:left="88" w:right="110"/>
              <w:rPr>
                <w:sz w:val="20"/>
                <w:szCs w:val="20"/>
              </w:rPr>
            </w:pPr>
            <w:r w:rsidRPr="00426B22">
              <w:rPr>
                <w:sz w:val="20"/>
                <w:szCs w:val="20"/>
              </w:rPr>
              <w:t>Randomised, placebo controlled, double blind</w:t>
            </w:r>
          </w:p>
        </w:tc>
        <w:tc>
          <w:tcPr>
            <w:tcW w:w="682" w:type="dxa"/>
          </w:tcPr>
          <w:p w14:paraId="795358B6" w14:textId="77777777" w:rsidR="005C13F0" w:rsidRPr="00426B22" w:rsidRDefault="005C13F0" w:rsidP="00426B22">
            <w:pPr>
              <w:ind w:left="34" w:right="7"/>
              <w:rPr>
                <w:sz w:val="20"/>
                <w:szCs w:val="20"/>
              </w:rPr>
            </w:pPr>
            <w:r w:rsidRPr="00426B22">
              <w:rPr>
                <w:sz w:val="20"/>
                <w:szCs w:val="20"/>
              </w:rPr>
              <w:t>40</w:t>
            </w:r>
          </w:p>
        </w:tc>
        <w:tc>
          <w:tcPr>
            <w:tcW w:w="1303" w:type="dxa"/>
          </w:tcPr>
          <w:p w14:paraId="0D7F2F43" w14:textId="77777777" w:rsidR="005C13F0" w:rsidRPr="00426B22" w:rsidRDefault="005C13F0" w:rsidP="00426B22">
            <w:pPr>
              <w:ind w:left="61" w:right="0"/>
              <w:rPr>
                <w:sz w:val="20"/>
                <w:szCs w:val="20"/>
              </w:rPr>
            </w:pPr>
            <w:r w:rsidRPr="00426B22">
              <w:rPr>
                <w:sz w:val="20"/>
                <w:szCs w:val="20"/>
              </w:rPr>
              <w:t xml:space="preserve">2 days – 6.5 </w:t>
            </w:r>
            <w:proofErr w:type="spellStart"/>
            <w:r w:rsidRPr="00426B22">
              <w:rPr>
                <w:sz w:val="20"/>
                <w:szCs w:val="20"/>
              </w:rPr>
              <w:t>yrs</w:t>
            </w:r>
            <w:proofErr w:type="spellEnd"/>
          </w:p>
        </w:tc>
        <w:tc>
          <w:tcPr>
            <w:tcW w:w="1483" w:type="dxa"/>
          </w:tcPr>
          <w:p w14:paraId="6344DB9A" w14:textId="77777777" w:rsidR="005C13F0" w:rsidRPr="00426B22" w:rsidRDefault="005C13F0" w:rsidP="00426B22">
            <w:pPr>
              <w:ind w:left="34" w:right="0"/>
              <w:rPr>
                <w:sz w:val="20"/>
                <w:szCs w:val="20"/>
              </w:rPr>
            </w:pPr>
            <w:r w:rsidRPr="00426B22">
              <w:rPr>
                <w:sz w:val="20"/>
                <w:szCs w:val="20"/>
              </w:rPr>
              <w:t>80 ppm for 20 min</w:t>
            </w:r>
          </w:p>
        </w:tc>
        <w:tc>
          <w:tcPr>
            <w:tcW w:w="2031" w:type="dxa"/>
          </w:tcPr>
          <w:p w14:paraId="63A9A0F9" w14:textId="092F5801" w:rsidR="005C13F0" w:rsidRPr="00426B22" w:rsidRDefault="005C13F0" w:rsidP="00D026F6">
            <w:pPr>
              <w:rPr>
                <w:sz w:val="20"/>
                <w:szCs w:val="20"/>
              </w:rPr>
            </w:pPr>
            <w:proofErr w:type="spellStart"/>
            <w:r w:rsidRPr="00426B22">
              <w:rPr>
                <w:sz w:val="20"/>
                <w:szCs w:val="20"/>
              </w:rPr>
              <w:t>Haemodynamics</w:t>
            </w:r>
            <w:proofErr w:type="spellEnd"/>
            <w:r w:rsidRPr="00426B22">
              <w:rPr>
                <w:sz w:val="20"/>
                <w:szCs w:val="20"/>
              </w:rPr>
              <w:t>:</w:t>
            </w:r>
            <w:r w:rsidR="00D026F6">
              <w:rPr>
                <w:sz w:val="20"/>
                <w:szCs w:val="20"/>
              </w:rPr>
              <w:t xml:space="preserve"> </w:t>
            </w:r>
            <w:proofErr w:type="spellStart"/>
            <w:r w:rsidR="00E3550D" w:rsidRPr="00426B22">
              <w:rPr>
                <w:sz w:val="20"/>
                <w:szCs w:val="20"/>
              </w:rPr>
              <w:t>mPAP</w:t>
            </w:r>
            <w:proofErr w:type="spellEnd"/>
            <w:r w:rsidRPr="00426B22">
              <w:rPr>
                <w:sz w:val="20"/>
                <w:szCs w:val="20"/>
              </w:rPr>
              <w:t xml:space="preserve">, </w:t>
            </w:r>
            <w:proofErr w:type="spellStart"/>
            <w:r w:rsidR="00E3550D" w:rsidRPr="00426B22">
              <w:rPr>
                <w:sz w:val="20"/>
                <w:szCs w:val="20"/>
              </w:rPr>
              <w:t>mSAP</w:t>
            </w:r>
            <w:proofErr w:type="spellEnd"/>
            <w:r w:rsidRPr="00426B22">
              <w:rPr>
                <w:sz w:val="20"/>
                <w:szCs w:val="20"/>
              </w:rPr>
              <w:t>, HR</w:t>
            </w:r>
          </w:p>
        </w:tc>
      </w:tr>
      <w:tr w:rsidR="005C13F0" w:rsidRPr="00426B22" w14:paraId="4D12672F" w14:textId="77777777" w:rsidTr="00426B22">
        <w:tc>
          <w:tcPr>
            <w:tcW w:w="1384" w:type="dxa"/>
          </w:tcPr>
          <w:p w14:paraId="4CD8B4E1" w14:textId="77777777" w:rsidR="005C13F0" w:rsidRPr="00426B22" w:rsidRDefault="005C13F0" w:rsidP="00426B22">
            <w:pPr>
              <w:rPr>
                <w:sz w:val="20"/>
                <w:szCs w:val="20"/>
              </w:rPr>
            </w:pPr>
            <w:r w:rsidRPr="00426B22">
              <w:rPr>
                <w:sz w:val="20"/>
                <w:szCs w:val="20"/>
              </w:rPr>
              <w:t>Day et al 2000</w:t>
            </w:r>
          </w:p>
        </w:tc>
        <w:tc>
          <w:tcPr>
            <w:tcW w:w="2126" w:type="dxa"/>
          </w:tcPr>
          <w:p w14:paraId="30A00577" w14:textId="77777777" w:rsidR="005C13F0" w:rsidRPr="00426B22" w:rsidRDefault="005C13F0" w:rsidP="00426B22">
            <w:pPr>
              <w:ind w:left="88" w:right="110"/>
              <w:rPr>
                <w:sz w:val="20"/>
                <w:szCs w:val="20"/>
              </w:rPr>
            </w:pPr>
            <w:r w:rsidRPr="00426B22">
              <w:rPr>
                <w:sz w:val="20"/>
                <w:szCs w:val="20"/>
              </w:rPr>
              <w:t>Randomised, Conventional therapy control</w:t>
            </w:r>
          </w:p>
        </w:tc>
        <w:tc>
          <w:tcPr>
            <w:tcW w:w="682" w:type="dxa"/>
          </w:tcPr>
          <w:p w14:paraId="05FE6506" w14:textId="77777777" w:rsidR="005C13F0" w:rsidRPr="00426B22" w:rsidRDefault="005C13F0" w:rsidP="00426B22">
            <w:pPr>
              <w:ind w:left="34" w:right="7"/>
              <w:rPr>
                <w:sz w:val="20"/>
                <w:szCs w:val="20"/>
              </w:rPr>
            </w:pPr>
            <w:r w:rsidRPr="00426B22">
              <w:rPr>
                <w:sz w:val="20"/>
                <w:szCs w:val="20"/>
              </w:rPr>
              <w:t>40</w:t>
            </w:r>
          </w:p>
        </w:tc>
        <w:tc>
          <w:tcPr>
            <w:tcW w:w="1303" w:type="dxa"/>
          </w:tcPr>
          <w:p w14:paraId="0B7652E7" w14:textId="5C44F898" w:rsidR="005C13F0" w:rsidRPr="00426B22" w:rsidRDefault="005C13F0" w:rsidP="00D026F6">
            <w:pPr>
              <w:ind w:left="61" w:right="0"/>
              <w:rPr>
                <w:sz w:val="20"/>
                <w:szCs w:val="20"/>
              </w:rPr>
            </w:pPr>
            <w:r w:rsidRPr="00426B22">
              <w:rPr>
                <w:sz w:val="20"/>
                <w:szCs w:val="20"/>
              </w:rPr>
              <w:t xml:space="preserve">NO: 1 day – 20 </w:t>
            </w:r>
            <w:proofErr w:type="spellStart"/>
            <w:r w:rsidRPr="00426B22">
              <w:rPr>
                <w:sz w:val="20"/>
                <w:szCs w:val="20"/>
              </w:rPr>
              <w:t>yrs</w:t>
            </w:r>
            <w:proofErr w:type="spellEnd"/>
            <w:r w:rsidRPr="00426B22">
              <w:rPr>
                <w:sz w:val="20"/>
                <w:szCs w:val="20"/>
              </w:rPr>
              <w:t xml:space="preserve"> </w:t>
            </w:r>
            <w:r w:rsidR="00D026F6">
              <w:rPr>
                <w:sz w:val="20"/>
                <w:szCs w:val="20"/>
              </w:rPr>
              <w:t xml:space="preserve"> </w:t>
            </w:r>
            <w:r w:rsidRPr="00426B22">
              <w:rPr>
                <w:sz w:val="20"/>
                <w:szCs w:val="20"/>
              </w:rPr>
              <w:t xml:space="preserve">Control: 1 day – 3 </w:t>
            </w:r>
            <w:proofErr w:type="spellStart"/>
            <w:r w:rsidRPr="00426B22">
              <w:rPr>
                <w:sz w:val="20"/>
                <w:szCs w:val="20"/>
              </w:rPr>
              <w:t>yrs</w:t>
            </w:r>
            <w:proofErr w:type="spellEnd"/>
          </w:p>
        </w:tc>
        <w:tc>
          <w:tcPr>
            <w:tcW w:w="1483" w:type="dxa"/>
          </w:tcPr>
          <w:p w14:paraId="5557127A" w14:textId="77777777" w:rsidR="005C13F0" w:rsidRPr="00426B22" w:rsidRDefault="005C13F0" w:rsidP="00426B22">
            <w:pPr>
              <w:ind w:left="34" w:right="0"/>
              <w:rPr>
                <w:sz w:val="20"/>
                <w:szCs w:val="20"/>
              </w:rPr>
            </w:pPr>
            <w:r w:rsidRPr="00426B22">
              <w:rPr>
                <w:sz w:val="20"/>
                <w:szCs w:val="20"/>
              </w:rPr>
              <w:t>20 ppm until weaned from ventilation</w:t>
            </w:r>
          </w:p>
        </w:tc>
        <w:tc>
          <w:tcPr>
            <w:tcW w:w="2031" w:type="dxa"/>
          </w:tcPr>
          <w:p w14:paraId="086CB2C2" w14:textId="2B9EDAD8" w:rsidR="005C13F0" w:rsidRPr="00426B22" w:rsidRDefault="005C13F0" w:rsidP="00D026F6">
            <w:pPr>
              <w:rPr>
                <w:sz w:val="20"/>
                <w:szCs w:val="20"/>
              </w:rPr>
            </w:pPr>
            <w:r w:rsidRPr="00426B22">
              <w:rPr>
                <w:sz w:val="20"/>
                <w:szCs w:val="20"/>
              </w:rPr>
              <w:t xml:space="preserve">Clinical: </w:t>
            </w:r>
            <w:r w:rsidR="00D026F6">
              <w:rPr>
                <w:sz w:val="20"/>
                <w:szCs w:val="20"/>
              </w:rPr>
              <w:t xml:space="preserve"> </w:t>
            </w:r>
            <w:r w:rsidRPr="00426B22">
              <w:rPr>
                <w:sz w:val="20"/>
                <w:szCs w:val="20"/>
              </w:rPr>
              <w:t>PHTC Frequency</w:t>
            </w:r>
          </w:p>
        </w:tc>
      </w:tr>
      <w:tr w:rsidR="005C13F0" w:rsidRPr="00426B22" w14:paraId="79627432" w14:textId="77777777" w:rsidTr="00426B22">
        <w:tc>
          <w:tcPr>
            <w:tcW w:w="1384" w:type="dxa"/>
          </w:tcPr>
          <w:p w14:paraId="560D6471" w14:textId="77777777" w:rsidR="005C13F0" w:rsidRPr="00426B22" w:rsidRDefault="005C13F0" w:rsidP="00426B22">
            <w:pPr>
              <w:rPr>
                <w:sz w:val="20"/>
                <w:szCs w:val="20"/>
              </w:rPr>
            </w:pPr>
            <w:r w:rsidRPr="00426B22">
              <w:rPr>
                <w:sz w:val="20"/>
                <w:szCs w:val="20"/>
              </w:rPr>
              <w:t>Morris et al 2000</w:t>
            </w:r>
          </w:p>
        </w:tc>
        <w:tc>
          <w:tcPr>
            <w:tcW w:w="2126" w:type="dxa"/>
          </w:tcPr>
          <w:p w14:paraId="5AD3323E" w14:textId="77777777" w:rsidR="005C13F0" w:rsidRPr="00426B22" w:rsidRDefault="005C13F0" w:rsidP="00426B22">
            <w:pPr>
              <w:ind w:left="88" w:right="110"/>
              <w:rPr>
                <w:sz w:val="20"/>
                <w:szCs w:val="20"/>
              </w:rPr>
            </w:pPr>
            <w:r w:rsidRPr="00426B22">
              <w:rPr>
                <w:sz w:val="20"/>
                <w:szCs w:val="20"/>
              </w:rPr>
              <w:t>Randomised, conventional therapy control, cross-over</w:t>
            </w:r>
          </w:p>
        </w:tc>
        <w:tc>
          <w:tcPr>
            <w:tcW w:w="682" w:type="dxa"/>
          </w:tcPr>
          <w:p w14:paraId="733B63A4" w14:textId="77777777" w:rsidR="005C13F0" w:rsidRPr="00426B22" w:rsidRDefault="005C13F0" w:rsidP="00426B22">
            <w:pPr>
              <w:ind w:left="34" w:right="7"/>
              <w:rPr>
                <w:sz w:val="20"/>
                <w:szCs w:val="20"/>
              </w:rPr>
            </w:pPr>
            <w:r w:rsidRPr="00426B22">
              <w:rPr>
                <w:sz w:val="20"/>
                <w:szCs w:val="20"/>
              </w:rPr>
              <w:t>12</w:t>
            </w:r>
          </w:p>
        </w:tc>
        <w:tc>
          <w:tcPr>
            <w:tcW w:w="1303" w:type="dxa"/>
          </w:tcPr>
          <w:p w14:paraId="486A72BA" w14:textId="77777777" w:rsidR="005C13F0" w:rsidRPr="00426B22" w:rsidRDefault="005C13F0" w:rsidP="00426B22">
            <w:pPr>
              <w:ind w:left="61" w:right="0"/>
              <w:rPr>
                <w:sz w:val="20"/>
                <w:szCs w:val="20"/>
              </w:rPr>
            </w:pPr>
            <w:r w:rsidRPr="00426B22">
              <w:rPr>
                <w:sz w:val="20"/>
                <w:szCs w:val="20"/>
              </w:rPr>
              <w:t xml:space="preserve">0.1 – 17.7 </w:t>
            </w:r>
            <w:proofErr w:type="spellStart"/>
            <w:r w:rsidRPr="00426B22">
              <w:rPr>
                <w:sz w:val="20"/>
                <w:szCs w:val="20"/>
              </w:rPr>
              <w:t>yrs</w:t>
            </w:r>
            <w:proofErr w:type="spellEnd"/>
          </w:p>
        </w:tc>
        <w:tc>
          <w:tcPr>
            <w:tcW w:w="1483" w:type="dxa"/>
          </w:tcPr>
          <w:p w14:paraId="36C035FE" w14:textId="77777777" w:rsidR="005C13F0" w:rsidRPr="00426B22" w:rsidRDefault="005C13F0" w:rsidP="00426B22">
            <w:pPr>
              <w:ind w:left="34" w:right="0"/>
              <w:rPr>
                <w:sz w:val="20"/>
                <w:szCs w:val="20"/>
              </w:rPr>
            </w:pPr>
            <w:r w:rsidRPr="00426B22">
              <w:rPr>
                <w:sz w:val="20"/>
                <w:szCs w:val="20"/>
              </w:rPr>
              <w:t>5 and 40 ppm for 15 min</w:t>
            </w:r>
          </w:p>
        </w:tc>
        <w:tc>
          <w:tcPr>
            <w:tcW w:w="2031" w:type="dxa"/>
          </w:tcPr>
          <w:p w14:paraId="06E424BF" w14:textId="77777777" w:rsidR="005C13F0" w:rsidRPr="00426B22" w:rsidRDefault="005C13F0" w:rsidP="00426B22">
            <w:pPr>
              <w:rPr>
                <w:sz w:val="20"/>
                <w:szCs w:val="20"/>
              </w:rPr>
            </w:pPr>
            <w:proofErr w:type="spellStart"/>
            <w:r w:rsidRPr="00426B22">
              <w:rPr>
                <w:sz w:val="20"/>
                <w:szCs w:val="20"/>
              </w:rPr>
              <w:t>Haemodynamics</w:t>
            </w:r>
            <w:proofErr w:type="spellEnd"/>
            <w:r w:rsidRPr="00426B22">
              <w:rPr>
                <w:sz w:val="20"/>
                <w:szCs w:val="20"/>
              </w:rPr>
              <w:t xml:space="preserve">: </w:t>
            </w:r>
            <w:proofErr w:type="spellStart"/>
            <w:r w:rsidR="00E3550D" w:rsidRPr="00426B22">
              <w:rPr>
                <w:sz w:val="20"/>
                <w:szCs w:val="20"/>
              </w:rPr>
              <w:t>mPAP</w:t>
            </w:r>
            <w:proofErr w:type="spellEnd"/>
            <w:r w:rsidRPr="00426B22">
              <w:rPr>
                <w:sz w:val="20"/>
                <w:szCs w:val="20"/>
              </w:rPr>
              <w:t xml:space="preserve">, </w:t>
            </w:r>
            <w:proofErr w:type="spellStart"/>
            <w:r w:rsidR="00E3550D" w:rsidRPr="00426B22">
              <w:rPr>
                <w:sz w:val="20"/>
                <w:szCs w:val="20"/>
              </w:rPr>
              <w:t>mSAP</w:t>
            </w:r>
            <w:proofErr w:type="spellEnd"/>
            <w:r w:rsidRPr="00426B22">
              <w:rPr>
                <w:sz w:val="20"/>
                <w:szCs w:val="20"/>
              </w:rPr>
              <w:t>, HR</w:t>
            </w:r>
          </w:p>
        </w:tc>
      </w:tr>
    </w:tbl>
    <w:p w14:paraId="5110A6F0" w14:textId="77777777" w:rsidR="005C13F0" w:rsidRPr="004924A4" w:rsidRDefault="005C13F0" w:rsidP="005C13F0">
      <w:r w:rsidRPr="004924A4">
        <w:lastRenderedPageBreak/>
        <w:t xml:space="preserve">Increasing doses of </w:t>
      </w:r>
      <w:proofErr w:type="spellStart"/>
      <w:r w:rsidRPr="004924A4">
        <w:t>iNO</w:t>
      </w:r>
      <w:proofErr w:type="spellEnd"/>
      <w:r w:rsidRPr="004924A4">
        <w:t xml:space="preserve"> increase exposure to potentially toxic by-products, including </w:t>
      </w:r>
      <w:proofErr w:type="spellStart"/>
      <w:r w:rsidRPr="004924A4">
        <w:t>metHb</w:t>
      </w:r>
      <w:proofErr w:type="spellEnd"/>
      <w:r w:rsidRPr="004924A4">
        <w:t xml:space="preserve"> and nitrate. This is evident </w:t>
      </w:r>
      <w:r w:rsidRPr="008F1362">
        <w:t xml:space="preserve">in Figure </w:t>
      </w:r>
      <w:r w:rsidR="008F1362" w:rsidRPr="008F1362">
        <w:t>1</w:t>
      </w:r>
      <w:r w:rsidRPr="008F1362">
        <w:t xml:space="preserve"> below</w:t>
      </w:r>
      <w:r w:rsidRPr="004924A4">
        <w:t xml:space="preserve"> </w:t>
      </w:r>
      <w:r w:rsidRPr="009A30A7">
        <w:t xml:space="preserve">from </w:t>
      </w:r>
      <w:r w:rsidRPr="004924A4">
        <w:t>one of</w:t>
      </w:r>
      <w:r w:rsidR="006A7861">
        <w:t xml:space="preserve"> the submitted efficacy studies</w:t>
      </w:r>
      <w:r w:rsidRPr="004924A4">
        <w:t>.</w:t>
      </w:r>
      <w:bookmarkStart w:id="64" w:name="_Ref477536101"/>
      <w:r w:rsidR="006A7861">
        <w:rPr>
          <w:rStyle w:val="FootnoteReference"/>
        </w:rPr>
        <w:footnoteReference w:id="10"/>
      </w:r>
      <w:bookmarkEnd w:id="64"/>
    </w:p>
    <w:p w14:paraId="06E119EF" w14:textId="77777777" w:rsidR="005C13F0" w:rsidRDefault="005C13F0" w:rsidP="00320589">
      <w:pPr>
        <w:pStyle w:val="FigureTitle"/>
      </w:pPr>
      <w:bookmarkStart w:id="65" w:name="_Toc418607877"/>
      <w:r w:rsidRPr="008F1362">
        <w:t>Figure1: Levels</w:t>
      </w:r>
      <w:r w:rsidRPr="004924A4">
        <w:t xml:space="preserve"> of </w:t>
      </w:r>
      <w:r w:rsidRPr="00320589">
        <w:t>nitrate</w:t>
      </w:r>
      <w:r w:rsidRPr="004924A4">
        <w:t xml:space="preserve"> and </w:t>
      </w:r>
      <w:proofErr w:type="spellStart"/>
      <w:r w:rsidRPr="004924A4">
        <w:t>metHb</w:t>
      </w:r>
      <w:proofErr w:type="spellEnd"/>
      <w:r w:rsidRPr="004924A4">
        <w:t xml:space="preserve"> in response to iNO</w:t>
      </w:r>
      <w:bookmarkEnd w:id="65"/>
    </w:p>
    <w:p w14:paraId="04ACAA03" w14:textId="77777777" w:rsidR="005C13F0" w:rsidRPr="004924A4" w:rsidRDefault="005C13F0" w:rsidP="006B6C70">
      <w:r>
        <w:rPr>
          <w:noProof/>
          <w:lang w:eastAsia="en-AU"/>
        </w:rPr>
        <w:drawing>
          <wp:inline distT="0" distB="0" distL="0" distR="0" wp14:anchorId="61CAB720" wp14:editId="38E042DB">
            <wp:extent cx="5241680" cy="3240633"/>
            <wp:effectExtent l="0" t="0" r="0" b="0"/>
            <wp:docPr id="1" name="Picture 1" descr="Figure1: Levels of nitrate and metHb in response to 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246091" cy="3243360"/>
                    </a:xfrm>
                    <a:prstGeom prst="rect">
                      <a:avLst/>
                    </a:prstGeom>
                  </pic:spPr>
                </pic:pic>
              </a:graphicData>
            </a:graphic>
          </wp:inline>
        </w:drawing>
      </w:r>
    </w:p>
    <w:p w14:paraId="6F02F3CD" w14:textId="77777777" w:rsidR="005C13F0" w:rsidRPr="004924A4" w:rsidRDefault="005C13F0" w:rsidP="005C13F0">
      <w:r w:rsidRPr="004924A4">
        <w:t xml:space="preserve">A similar relationship between administered dose and </w:t>
      </w:r>
      <w:proofErr w:type="spellStart"/>
      <w:r w:rsidRPr="004924A4">
        <w:t>metHb</w:t>
      </w:r>
      <w:proofErr w:type="spellEnd"/>
      <w:r w:rsidRPr="004924A4">
        <w:t xml:space="preserve"> was described in the approved PI, based on a study previously submitted as part of the original marketing application.</w:t>
      </w:r>
    </w:p>
    <w:p w14:paraId="5F5000F2" w14:textId="77777777" w:rsidR="005C13F0" w:rsidRPr="004924A4" w:rsidRDefault="005C13F0" w:rsidP="005C13F0">
      <w:r w:rsidRPr="004924A4">
        <w:t>“Methaemoglobin disposition has been investigated as a function of time and nitric oxide exposure concentration in neonates with respiratory failure.</w:t>
      </w:r>
      <w:r>
        <w:t xml:space="preserve"> </w:t>
      </w:r>
      <w:r w:rsidRPr="004924A4">
        <w:t>The methaemoglobin (MetHb)</w:t>
      </w:r>
      <w:r>
        <w:t xml:space="preserve"> concentration </w:t>
      </w:r>
      <w:r w:rsidRPr="004924A4">
        <w:t>time profiles during the first 12 hours of exposure to</w:t>
      </w:r>
      <w:r>
        <w:t>:</w:t>
      </w:r>
      <w:r w:rsidRPr="004924A4">
        <w:t xml:space="preserve"> 0, 5, 20, and 80 ppm INOmax is shown </w:t>
      </w:r>
      <w:r w:rsidRPr="008F1362">
        <w:t xml:space="preserve">in Figure </w:t>
      </w:r>
      <w:r w:rsidR="008F1362" w:rsidRPr="008F1362">
        <w:t>2</w:t>
      </w:r>
      <w:r w:rsidRPr="008F1362">
        <w:t>.”</w:t>
      </w:r>
    </w:p>
    <w:p w14:paraId="1B413F53" w14:textId="77777777" w:rsidR="005C13F0" w:rsidRPr="004924A4" w:rsidRDefault="005C13F0" w:rsidP="005C13F0">
      <w:pPr>
        <w:pStyle w:val="FigureTitle"/>
      </w:pPr>
      <w:bookmarkStart w:id="66" w:name="_Ref403381601"/>
      <w:bookmarkStart w:id="67" w:name="_Toc418607878"/>
      <w:r w:rsidRPr="008F1362">
        <w:lastRenderedPageBreak/>
        <w:t xml:space="preserve">Figure </w:t>
      </w:r>
      <w:bookmarkEnd w:id="66"/>
      <w:r w:rsidR="008F1362" w:rsidRPr="008F1362">
        <w:t>2</w:t>
      </w:r>
      <w:r w:rsidRPr="008F1362">
        <w:t>: MetHb Concentration- Time Profiles, Neonates, 0, 5, 20 or 80 ppm INOmax</w:t>
      </w:r>
      <w:bookmarkEnd w:id="67"/>
    </w:p>
    <w:p w14:paraId="31270CD9" w14:textId="77777777" w:rsidR="005C13F0" w:rsidRDefault="005C13F0" w:rsidP="00320589">
      <w:r>
        <w:rPr>
          <w:noProof/>
          <w:lang w:eastAsia="en-AU"/>
        </w:rPr>
        <w:drawing>
          <wp:inline distT="0" distB="0" distL="0" distR="0" wp14:anchorId="0E71AB8C" wp14:editId="39CEC11F">
            <wp:extent cx="4996281" cy="2919302"/>
            <wp:effectExtent l="0" t="0" r="0" b="0"/>
            <wp:docPr id="2" name="Picture 2" descr="Figure 2: MetHb Concentration- Time Profiles, Neonates, 0, 5, 20 or 80 ppm INOma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000029" cy="2921492"/>
                    </a:xfrm>
                    <a:prstGeom prst="rect">
                      <a:avLst/>
                    </a:prstGeom>
                  </pic:spPr>
                </pic:pic>
              </a:graphicData>
            </a:graphic>
          </wp:inline>
        </w:drawing>
      </w:r>
    </w:p>
    <w:p w14:paraId="4224B56D" w14:textId="77777777" w:rsidR="005C13F0" w:rsidRPr="00700FC3" w:rsidRDefault="005C13F0" w:rsidP="005C13F0">
      <w:r w:rsidRPr="00700FC3">
        <w:t xml:space="preserve">Importantly, this figure suggests that accumulation of </w:t>
      </w:r>
      <w:proofErr w:type="spellStart"/>
      <w:r w:rsidRPr="00700FC3">
        <w:t>metHb</w:t>
      </w:r>
      <w:proofErr w:type="spellEnd"/>
      <w:r w:rsidRPr="00700FC3">
        <w:t xml:space="preserve"> is minimal for doses of 20 ppm and below, but becomes problematic for sustained doses of 80ppm.</w:t>
      </w:r>
    </w:p>
    <w:p w14:paraId="1550F336" w14:textId="77777777" w:rsidR="005C13F0" w:rsidRPr="00700FC3" w:rsidRDefault="005C13F0" w:rsidP="005C13F0">
      <w:r w:rsidRPr="00700FC3">
        <w:t>In the proposed PI, the following recommendations are made in the section relating to “Pulmonary Hypertension associated with</w:t>
      </w:r>
      <w:r>
        <w:t xml:space="preserve"> Cardiac Surgery in children (0 to </w:t>
      </w:r>
      <w:r w:rsidRPr="00700FC3">
        <w:t>17 years)”:</w:t>
      </w:r>
    </w:p>
    <w:p w14:paraId="5D8F2593" w14:textId="77777777" w:rsidR="005C13F0" w:rsidRPr="00700FC3" w:rsidRDefault="005C13F0" w:rsidP="005C13F0">
      <w:pPr>
        <w:ind w:left="720"/>
        <w:rPr>
          <w:i/>
        </w:rPr>
      </w:pPr>
      <w:r w:rsidRPr="00700FC3">
        <w:rPr>
          <w:i/>
        </w:rPr>
        <w:t>Dosage</w:t>
      </w:r>
    </w:p>
    <w:p w14:paraId="57A152C4" w14:textId="77777777" w:rsidR="005C13F0" w:rsidRPr="00700FC3" w:rsidRDefault="005C13F0" w:rsidP="005C13F0">
      <w:pPr>
        <w:ind w:left="720"/>
        <w:rPr>
          <w:i/>
        </w:rPr>
      </w:pPr>
      <w:r w:rsidRPr="00700FC3">
        <w:rPr>
          <w:i/>
        </w:rPr>
        <w:t xml:space="preserve">Newborn infants, infants and toddlers, children and adolescents, ages 0-17 years </w:t>
      </w:r>
    </w:p>
    <w:p w14:paraId="62F1054A" w14:textId="77777777" w:rsidR="005C13F0" w:rsidRDefault="005C13F0" w:rsidP="005C13F0">
      <w:pPr>
        <w:ind w:left="720"/>
        <w:rPr>
          <w:i/>
        </w:rPr>
      </w:pPr>
      <w:r w:rsidRPr="00700FC3">
        <w:rPr>
          <w:i/>
        </w:rPr>
        <w:t>The starting dose of inhaled nitric oxide is 10 ppm of inhaled gas. The dose may be increased up to 20 ppm if the lower dose has not provided sufficient clinical effects. The lowest effective dose should be administered and the dose should be weaned down to 5 ppm provided that the pulmonary artery pressure and systemic arterial oxygenation remain adequate at this lower dose</w:t>
      </w:r>
      <w:r>
        <w:rPr>
          <w:i/>
        </w:rPr>
        <w:t>.</w:t>
      </w:r>
    </w:p>
    <w:p w14:paraId="5364CACA" w14:textId="77777777" w:rsidR="005C13F0" w:rsidRPr="00700FC3" w:rsidRDefault="005C13F0" w:rsidP="005C13F0">
      <w:pPr>
        <w:ind w:left="720"/>
        <w:rPr>
          <w:i/>
        </w:rPr>
      </w:pPr>
      <w:r w:rsidRPr="00700FC3">
        <w:rPr>
          <w:i/>
        </w:rPr>
        <w:t>Clinical data supporting the suggested dose in the age range of 12-17 years is limited.</w:t>
      </w:r>
    </w:p>
    <w:p w14:paraId="5CC4783B" w14:textId="77777777" w:rsidR="005C13F0" w:rsidRPr="00700FC3" w:rsidRDefault="005C13F0" w:rsidP="005C13F0">
      <w:r w:rsidRPr="00700FC3">
        <w:t>These recommendations are somewhat more conservative than the approved dosing recommendations for Persistent Pulmonary Hypertension in the Newborn (PPHN), which propose a starting dose of 20 ppm instead of 10 ppm and read as follows:</w:t>
      </w:r>
    </w:p>
    <w:p w14:paraId="784548E5" w14:textId="77777777" w:rsidR="005C13F0" w:rsidRPr="00700FC3" w:rsidRDefault="005C13F0" w:rsidP="005C13F0">
      <w:pPr>
        <w:ind w:left="720"/>
        <w:rPr>
          <w:i/>
        </w:rPr>
      </w:pPr>
      <w:r w:rsidRPr="00700FC3">
        <w:rPr>
          <w:i/>
        </w:rPr>
        <w:t>The maximum recommended dose of INOmax is 20 ppm and this dose should not be exceeded, as the risk of methaemoglobinaemia and increased N</w:t>
      </w:r>
      <w:r w:rsidRPr="003F5817">
        <w:t>O</w:t>
      </w:r>
      <w:r w:rsidRPr="00252C3D">
        <w:rPr>
          <w:vertAlign w:val="subscript"/>
        </w:rPr>
        <w:t>2</w:t>
      </w:r>
      <w:r w:rsidRPr="00700FC3">
        <w:rPr>
          <w:i/>
        </w:rPr>
        <w:t xml:space="preserve"> increases significantly at doses &gt; 20 ppm.</w:t>
      </w:r>
      <w:r>
        <w:rPr>
          <w:i/>
        </w:rPr>
        <w:t xml:space="preserve"> </w:t>
      </w:r>
      <w:r w:rsidRPr="00700FC3">
        <w:rPr>
          <w:i/>
        </w:rPr>
        <w:t>In the pivotal clinical trials, the starting dose was 20 ppm.</w:t>
      </w:r>
      <w:r>
        <w:rPr>
          <w:i/>
        </w:rPr>
        <w:t xml:space="preserve"> </w:t>
      </w:r>
      <w:r w:rsidRPr="00700FC3">
        <w:rPr>
          <w:i/>
        </w:rPr>
        <w:t>Starting a</w:t>
      </w:r>
      <w:r>
        <w:rPr>
          <w:i/>
        </w:rPr>
        <w:t xml:space="preserve">s soon as possible and within 4 to </w:t>
      </w:r>
      <w:r w:rsidRPr="00700FC3">
        <w:rPr>
          <w:i/>
        </w:rPr>
        <w:t>24 hours of therapy, the dose should be weaned to 5 ppm provided that arterial oxygenation is adequate at this lower dose.</w:t>
      </w:r>
      <w:r>
        <w:rPr>
          <w:i/>
        </w:rPr>
        <w:t xml:space="preserve"> </w:t>
      </w:r>
      <w:r w:rsidRPr="00700FC3">
        <w:rPr>
          <w:i/>
        </w:rPr>
        <w:t xml:space="preserve">Inhaled nitric oxide therapy should be maintained at 5 ppm until there is improvement in the neonate’s oxygenation such that the </w:t>
      </w:r>
      <w:r w:rsidR="00356B53" w:rsidRPr="00247A92">
        <w:t>FiO</w:t>
      </w:r>
      <w:r w:rsidR="00356B53" w:rsidRPr="00356B53">
        <w:rPr>
          <w:vertAlign w:val="subscript"/>
        </w:rPr>
        <w:t>2</w:t>
      </w:r>
      <w:r w:rsidRPr="00700FC3">
        <w:rPr>
          <w:i/>
        </w:rPr>
        <w:t xml:space="preserve"> (fract</w:t>
      </w:r>
      <w:r>
        <w:rPr>
          <w:i/>
        </w:rPr>
        <w:t>ion of inspired oxygen) &lt; 0.60.</w:t>
      </w:r>
    </w:p>
    <w:p w14:paraId="150A74C0" w14:textId="77777777" w:rsidR="005C13F0" w:rsidRPr="00700FC3" w:rsidRDefault="005C13F0" w:rsidP="005C13F0">
      <w:r w:rsidRPr="00700FC3">
        <w:t>The proposed starting dose for the cardiac surgery indication is 10 ppm, which matches that used in the main pivotal study</w:t>
      </w:r>
      <w:r w:rsidR="006A7861">
        <w:t>.</w:t>
      </w:r>
      <w:bookmarkStart w:id="68" w:name="_Ref477535524"/>
      <w:r w:rsidR="006A7861">
        <w:rPr>
          <w:rStyle w:val="FootnoteReference"/>
        </w:rPr>
        <w:footnoteReference w:id="11"/>
      </w:r>
      <w:bookmarkEnd w:id="68"/>
    </w:p>
    <w:p w14:paraId="4D2DB175" w14:textId="77777777" w:rsidR="005C13F0" w:rsidRPr="005C13F0" w:rsidRDefault="005C13F0" w:rsidP="005C13F0">
      <w:r w:rsidRPr="00700FC3">
        <w:t xml:space="preserve">Given the available studies on the treatment of pulmonary hypertension in the cardiac surgery setting, which show no major advantage of higher doses, and the safety </w:t>
      </w:r>
      <w:r w:rsidRPr="00700FC3">
        <w:lastRenderedPageBreak/>
        <w:t xml:space="preserve">requirement to minimise accumulation of </w:t>
      </w:r>
      <w:proofErr w:type="spellStart"/>
      <w:r w:rsidRPr="00700FC3">
        <w:t>metHb</w:t>
      </w:r>
      <w:proofErr w:type="spellEnd"/>
      <w:r w:rsidRPr="00700FC3">
        <w:t xml:space="preserve"> and NO by-products, the proposed dosing recommendations for the n</w:t>
      </w:r>
      <w:r>
        <w:t>ew indication are appropriate.</w:t>
      </w:r>
    </w:p>
    <w:p w14:paraId="6CFDA8D2" w14:textId="77777777" w:rsidR="008E7846" w:rsidRDefault="008E7846" w:rsidP="008E7846">
      <w:pPr>
        <w:pStyle w:val="Heading3"/>
      </w:pPr>
      <w:bookmarkStart w:id="69" w:name="_Toc163441372"/>
      <w:bookmarkStart w:id="70" w:name="_Toc196046485"/>
      <w:bookmarkStart w:id="71" w:name="_Toc247691521"/>
      <w:bookmarkStart w:id="72" w:name="_Toc314842504"/>
      <w:bookmarkStart w:id="73" w:name="_Toc483899415"/>
      <w:r w:rsidRPr="00254787">
        <w:t>Efficacy</w:t>
      </w:r>
      <w:bookmarkEnd w:id="69"/>
      <w:bookmarkEnd w:id="70"/>
      <w:bookmarkEnd w:id="71"/>
      <w:bookmarkEnd w:id="72"/>
      <w:bookmarkEnd w:id="73"/>
    </w:p>
    <w:p w14:paraId="5A427FE4" w14:textId="77777777" w:rsidR="005C13F0" w:rsidRPr="005C13F0" w:rsidRDefault="005C13F0" w:rsidP="005C13F0">
      <w:pPr>
        <w:pStyle w:val="Heading4"/>
      </w:pPr>
      <w:r>
        <w:t>Studies providing efficacy data</w:t>
      </w:r>
    </w:p>
    <w:p w14:paraId="4431348E" w14:textId="77777777" w:rsidR="005C13F0" w:rsidRPr="00700FC3" w:rsidRDefault="005C13F0" w:rsidP="005C13F0">
      <w:r w:rsidRPr="00700FC3">
        <w:t xml:space="preserve">The three </w:t>
      </w:r>
      <w:r w:rsidRPr="004536B4">
        <w:t xml:space="preserve">tables below (Tables </w:t>
      </w:r>
      <w:r w:rsidR="004536B4">
        <w:t>5</w:t>
      </w:r>
      <w:r w:rsidR="004536B4" w:rsidRPr="004536B4">
        <w:t xml:space="preserve">, </w:t>
      </w:r>
      <w:r w:rsidR="004536B4">
        <w:t>6</w:t>
      </w:r>
      <w:r w:rsidRPr="004536B4">
        <w:t xml:space="preserve"> and </w:t>
      </w:r>
      <w:r w:rsidR="004536B4">
        <w:t>7</w:t>
      </w:r>
      <w:r w:rsidRPr="004536B4">
        <w:t>) provided</w:t>
      </w:r>
      <w:r w:rsidRPr="00700FC3">
        <w:t xml:space="preserve"> by the </w:t>
      </w:r>
      <w:r>
        <w:t>sponsor</w:t>
      </w:r>
      <w:r w:rsidRPr="00700FC3">
        <w:t>, list the 22 efficacy studies that were submitted for review. These included 9 randomised controlled studies in children undergoing cardiac surgery, which constitute the primary evidence base on which the submission rests, as well as 13 supportive studies in adults, which are only indirectly relevant to the proposed paediatric indication. Many of the studies submitted as efficacy studies would ordinarily be considered pharmacodynamic studies, because they only involved brief treatment and haemodynamic endpoints; iNO was not used as a sustained intervention as it would be when used for the proposed indication.</w:t>
      </w:r>
    </w:p>
    <w:p w14:paraId="319A1655" w14:textId="732973F7" w:rsidR="005C13F0" w:rsidRPr="00700FC3" w:rsidRDefault="005C13F0" w:rsidP="005C13F0">
      <w:r w:rsidRPr="00700FC3">
        <w:t xml:space="preserve">The only study that used iNO in a sustained, </w:t>
      </w:r>
      <w:r>
        <w:t>double blind</w:t>
      </w:r>
      <w:r w:rsidRPr="00700FC3">
        <w:t xml:space="preserve"> fashion in the target population was the study by Miller et al, which should be considered the p</w:t>
      </w:r>
      <w:r>
        <w:t>ivotal study of the submission.</w:t>
      </w:r>
    </w:p>
    <w:p w14:paraId="7F577CD0" w14:textId="77777777" w:rsidR="005C13F0" w:rsidRDefault="005C13F0" w:rsidP="005C13F0">
      <w:pPr>
        <w:pStyle w:val="Tabletitle0"/>
      </w:pPr>
      <w:bookmarkStart w:id="74" w:name="_Toc418607746"/>
      <w:r w:rsidRPr="004536B4">
        <w:t xml:space="preserve">Table </w:t>
      </w:r>
      <w:r w:rsidR="004536B4">
        <w:t>5</w:t>
      </w:r>
      <w:r w:rsidRPr="004536B4">
        <w:t>: Studies</w:t>
      </w:r>
      <w:r w:rsidRPr="00700FC3">
        <w:t xml:space="preserve"> in children undergoing cardiac surgery for congenital heart </w:t>
      </w:r>
      <w:bookmarkEnd w:id="74"/>
      <w:r>
        <w:t>disease</w:t>
      </w:r>
    </w:p>
    <w:tbl>
      <w:tblPr>
        <w:tblStyle w:val="TableTGAblue"/>
        <w:tblW w:w="0" w:type="auto"/>
        <w:tblLook w:val="04A0" w:firstRow="1" w:lastRow="0" w:firstColumn="1" w:lastColumn="0" w:noHBand="0" w:noVBand="1"/>
      </w:tblPr>
      <w:tblGrid>
        <w:gridCol w:w="2182"/>
        <w:gridCol w:w="1291"/>
        <w:gridCol w:w="947"/>
        <w:gridCol w:w="4300"/>
      </w:tblGrid>
      <w:tr w:rsidR="005C13F0" w:rsidRPr="00320589" w14:paraId="2B96B466" w14:textId="77777777" w:rsidTr="005C13F0">
        <w:trPr>
          <w:cnfStyle w:val="100000000000" w:firstRow="1" w:lastRow="0" w:firstColumn="0" w:lastColumn="0" w:oddVBand="0" w:evenVBand="0" w:oddHBand="0" w:evenHBand="0" w:firstRowFirstColumn="0" w:firstRowLastColumn="0" w:lastRowFirstColumn="0" w:lastRowLastColumn="0"/>
        </w:trPr>
        <w:tc>
          <w:tcPr>
            <w:tcW w:w="2182" w:type="dxa"/>
          </w:tcPr>
          <w:p w14:paraId="5A5C31C5" w14:textId="77777777" w:rsidR="005C13F0" w:rsidRPr="00320589" w:rsidRDefault="005C13F0" w:rsidP="00320589">
            <w:pPr>
              <w:ind w:left="0" w:right="0"/>
              <w:rPr>
                <w:sz w:val="20"/>
                <w:szCs w:val="20"/>
              </w:rPr>
            </w:pPr>
            <w:r w:rsidRPr="00320589">
              <w:rPr>
                <w:sz w:val="20"/>
                <w:szCs w:val="20"/>
              </w:rPr>
              <w:t>Authors</w:t>
            </w:r>
          </w:p>
        </w:tc>
        <w:tc>
          <w:tcPr>
            <w:tcW w:w="1291" w:type="dxa"/>
          </w:tcPr>
          <w:p w14:paraId="1DEE364C" w14:textId="3EEA48F5" w:rsidR="005C13F0" w:rsidRPr="00320589" w:rsidRDefault="005C13F0" w:rsidP="00D026F6">
            <w:pPr>
              <w:rPr>
                <w:sz w:val="20"/>
                <w:szCs w:val="20"/>
              </w:rPr>
            </w:pPr>
            <w:r w:rsidRPr="00320589">
              <w:rPr>
                <w:sz w:val="20"/>
                <w:szCs w:val="20"/>
              </w:rPr>
              <w:t>Study</w:t>
            </w:r>
            <w:r w:rsidR="00D026F6">
              <w:rPr>
                <w:sz w:val="20"/>
                <w:szCs w:val="20"/>
              </w:rPr>
              <w:t xml:space="preserve"> </w:t>
            </w:r>
            <w:r w:rsidRPr="00320589">
              <w:rPr>
                <w:sz w:val="20"/>
                <w:szCs w:val="20"/>
              </w:rPr>
              <w:t>Design</w:t>
            </w:r>
          </w:p>
        </w:tc>
        <w:tc>
          <w:tcPr>
            <w:tcW w:w="947" w:type="dxa"/>
          </w:tcPr>
          <w:p w14:paraId="56A5D262" w14:textId="77777777" w:rsidR="005C13F0" w:rsidRPr="00320589" w:rsidRDefault="005C13F0" w:rsidP="00320589">
            <w:pPr>
              <w:rPr>
                <w:sz w:val="20"/>
                <w:szCs w:val="20"/>
              </w:rPr>
            </w:pPr>
            <w:r w:rsidRPr="00320589">
              <w:rPr>
                <w:sz w:val="20"/>
                <w:szCs w:val="20"/>
              </w:rPr>
              <w:t>No Pts</w:t>
            </w:r>
          </w:p>
        </w:tc>
        <w:tc>
          <w:tcPr>
            <w:tcW w:w="4300" w:type="dxa"/>
          </w:tcPr>
          <w:p w14:paraId="3284CC19" w14:textId="77777777" w:rsidR="005C13F0" w:rsidRPr="00320589" w:rsidRDefault="005C13F0" w:rsidP="00320589">
            <w:pPr>
              <w:ind w:left="116" w:right="-1"/>
              <w:rPr>
                <w:sz w:val="20"/>
                <w:szCs w:val="20"/>
              </w:rPr>
            </w:pPr>
            <w:r w:rsidRPr="00320589">
              <w:rPr>
                <w:sz w:val="20"/>
                <w:szCs w:val="20"/>
              </w:rPr>
              <w:t>Primary Outcome</w:t>
            </w:r>
          </w:p>
        </w:tc>
      </w:tr>
      <w:tr w:rsidR="005C13F0" w:rsidRPr="00320589" w14:paraId="66E1F0EF" w14:textId="77777777" w:rsidTr="005C13F0">
        <w:tc>
          <w:tcPr>
            <w:tcW w:w="8720" w:type="dxa"/>
            <w:gridSpan w:val="4"/>
          </w:tcPr>
          <w:p w14:paraId="4F937450" w14:textId="77777777" w:rsidR="005C13F0" w:rsidRPr="00320589" w:rsidRDefault="005C13F0" w:rsidP="00320589">
            <w:pPr>
              <w:ind w:left="116" w:right="-1"/>
              <w:rPr>
                <w:b/>
                <w:sz w:val="20"/>
                <w:szCs w:val="20"/>
              </w:rPr>
            </w:pPr>
            <w:r w:rsidRPr="00320589">
              <w:rPr>
                <w:b/>
                <w:sz w:val="20"/>
                <w:szCs w:val="20"/>
              </w:rPr>
              <w:t>Pivotal studies, placebo controlled</w:t>
            </w:r>
          </w:p>
        </w:tc>
      </w:tr>
      <w:tr w:rsidR="005C13F0" w:rsidRPr="00320589" w14:paraId="23B41E4E" w14:textId="77777777" w:rsidTr="005C13F0">
        <w:tc>
          <w:tcPr>
            <w:tcW w:w="2182" w:type="dxa"/>
          </w:tcPr>
          <w:p w14:paraId="04E4F2CB" w14:textId="77777777" w:rsidR="005C13F0" w:rsidRPr="00320589" w:rsidRDefault="005C13F0" w:rsidP="00320589">
            <w:pPr>
              <w:ind w:left="0" w:right="0"/>
              <w:rPr>
                <w:sz w:val="20"/>
                <w:szCs w:val="20"/>
              </w:rPr>
            </w:pPr>
            <w:r w:rsidRPr="00320589">
              <w:rPr>
                <w:sz w:val="20"/>
                <w:szCs w:val="20"/>
              </w:rPr>
              <w:t>Miller et al 2000</w:t>
            </w:r>
            <w:r w:rsidR="006A7861" w:rsidRPr="00320589">
              <w:rPr>
                <w:sz w:val="20"/>
                <w:szCs w:val="20"/>
                <w:vertAlign w:val="superscript"/>
              </w:rPr>
              <w:fldChar w:fldCharType="begin"/>
            </w:r>
            <w:r w:rsidR="006A7861" w:rsidRPr="00320589">
              <w:rPr>
                <w:sz w:val="20"/>
                <w:szCs w:val="20"/>
                <w:vertAlign w:val="superscript"/>
              </w:rPr>
              <w:instrText xml:space="preserve"> NOTEREF _Ref477535524 \h  \* MERGEFORMAT </w:instrText>
            </w:r>
            <w:r w:rsidR="006A7861" w:rsidRPr="00320589">
              <w:rPr>
                <w:sz w:val="20"/>
                <w:szCs w:val="20"/>
                <w:vertAlign w:val="superscript"/>
              </w:rPr>
            </w:r>
            <w:r w:rsidR="006A7861" w:rsidRPr="00320589">
              <w:rPr>
                <w:sz w:val="20"/>
                <w:szCs w:val="20"/>
                <w:vertAlign w:val="superscript"/>
              </w:rPr>
              <w:fldChar w:fldCharType="separate"/>
            </w:r>
            <w:r w:rsidR="006D3007" w:rsidRPr="00320589">
              <w:rPr>
                <w:sz w:val="20"/>
                <w:szCs w:val="20"/>
                <w:vertAlign w:val="superscript"/>
              </w:rPr>
              <w:t>11</w:t>
            </w:r>
            <w:r w:rsidR="006A7861" w:rsidRPr="00320589">
              <w:rPr>
                <w:sz w:val="20"/>
                <w:szCs w:val="20"/>
                <w:vertAlign w:val="superscript"/>
              </w:rPr>
              <w:fldChar w:fldCharType="end"/>
            </w:r>
          </w:p>
        </w:tc>
        <w:tc>
          <w:tcPr>
            <w:tcW w:w="1291" w:type="dxa"/>
          </w:tcPr>
          <w:p w14:paraId="5E4313C9" w14:textId="77777777" w:rsidR="005C13F0" w:rsidRPr="00320589" w:rsidRDefault="005C13F0" w:rsidP="00320589">
            <w:pPr>
              <w:rPr>
                <w:sz w:val="20"/>
                <w:szCs w:val="20"/>
              </w:rPr>
            </w:pPr>
            <w:r w:rsidRPr="00320589">
              <w:rPr>
                <w:sz w:val="20"/>
                <w:szCs w:val="20"/>
              </w:rPr>
              <w:t>R, C, DB</w:t>
            </w:r>
          </w:p>
        </w:tc>
        <w:tc>
          <w:tcPr>
            <w:tcW w:w="947" w:type="dxa"/>
          </w:tcPr>
          <w:p w14:paraId="4E5AEF25" w14:textId="77777777" w:rsidR="005C13F0" w:rsidRPr="00320589" w:rsidRDefault="005C13F0" w:rsidP="00320589">
            <w:pPr>
              <w:rPr>
                <w:sz w:val="20"/>
                <w:szCs w:val="20"/>
              </w:rPr>
            </w:pPr>
            <w:r w:rsidRPr="00320589">
              <w:rPr>
                <w:sz w:val="20"/>
                <w:szCs w:val="20"/>
              </w:rPr>
              <w:t>124</w:t>
            </w:r>
          </w:p>
        </w:tc>
        <w:tc>
          <w:tcPr>
            <w:tcW w:w="4300" w:type="dxa"/>
          </w:tcPr>
          <w:p w14:paraId="11953237" w14:textId="77777777" w:rsidR="005C13F0" w:rsidRPr="00320589" w:rsidRDefault="005C13F0" w:rsidP="00320589">
            <w:pPr>
              <w:ind w:left="116" w:right="-1"/>
              <w:rPr>
                <w:sz w:val="20"/>
                <w:szCs w:val="20"/>
              </w:rPr>
            </w:pPr>
            <w:r w:rsidRPr="00320589">
              <w:rPr>
                <w:sz w:val="20"/>
                <w:szCs w:val="20"/>
              </w:rPr>
              <w:t>Routine iNO post cardiac surgery can reduce the risk of pulmonary hypertensive crises with no adverse effects.</w:t>
            </w:r>
          </w:p>
        </w:tc>
      </w:tr>
      <w:tr w:rsidR="005C13F0" w:rsidRPr="00320589" w14:paraId="4CFCFA82" w14:textId="77777777" w:rsidTr="005C13F0">
        <w:tc>
          <w:tcPr>
            <w:tcW w:w="2182" w:type="dxa"/>
          </w:tcPr>
          <w:p w14:paraId="4FFB6443" w14:textId="77777777" w:rsidR="005C13F0" w:rsidRPr="00320589" w:rsidRDefault="005C13F0" w:rsidP="00320589">
            <w:pPr>
              <w:ind w:left="0" w:right="0"/>
              <w:rPr>
                <w:sz w:val="20"/>
                <w:szCs w:val="20"/>
              </w:rPr>
            </w:pPr>
            <w:r w:rsidRPr="00320589">
              <w:rPr>
                <w:sz w:val="20"/>
                <w:szCs w:val="20"/>
              </w:rPr>
              <w:t>Russell et al 1998</w:t>
            </w:r>
            <w:bookmarkStart w:id="75" w:name="_Ref477536594"/>
            <w:r w:rsidR="006A7861" w:rsidRPr="00320589">
              <w:rPr>
                <w:rStyle w:val="FootnoteReference"/>
                <w:sz w:val="20"/>
                <w:szCs w:val="20"/>
              </w:rPr>
              <w:footnoteReference w:id="12"/>
            </w:r>
            <w:bookmarkEnd w:id="75"/>
          </w:p>
        </w:tc>
        <w:tc>
          <w:tcPr>
            <w:tcW w:w="1291" w:type="dxa"/>
          </w:tcPr>
          <w:p w14:paraId="7A423494" w14:textId="77777777" w:rsidR="005C13F0" w:rsidRPr="00320589" w:rsidRDefault="005C13F0" w:rsidP="00320589">
            <w:pPr>
              <w:rPr>
                <w:sz w:val="20"/>
                <w:szCs w:val="20"/>
              </w:rPr>
            </w:pPr>
            <w:r w:rsidRPr="00320589">
              <w:rPr>
                <w:sz w:val="20"/>
                <w:szCs w:val="20"/>
              </w:rPr>
              <w:t>R, C, DB</w:t>
            </w:r>
          </w:p>
        </w:tc>
        <w:tc>
          <w:tcPr>
            <w:tcW w:w="947" w:type="dxa"/>
          </w:tcPr>
          <w:p w14:paraId="58E81497" w14:textId="77777777" w:rsidR="005C13F0" w:rsidRPr="00320589" w:rsidRDefault="005C13F0" w:rsidP="00320589">
            <w:pPr>
              <w:rPr>
                <w:sz w:val="20"/>
                <w:szCs w:val="20"/>
              </w:rPr>
            </w:pPr>
            <w:r w:rsidRPr="00320589">
              <w:rPr>
                <w:sz w:val="20"/>
                <w:szCs w:val="20"/>
              </w:rPr>
              <w:t>40</w:t>
            </w:r>
          </w:p>
        </w:tc>
        <w:tc>
          <w:tcPr>
            <w:tcW w:w="4300" w:type="dxa"/>
          </w:tcPr>
          <w:p w14:paraId="5A6AC463" w14:textId="77777777" w:rsidR="005C13F0" w:rsidRPr="00320589" w:rsidRDefault="005C13F0" w:rsidP="00320589">
            <w:pPr>
              <w:ind w:left="116" w:right="-1"/>
              <w:rPr>
                <w:sz w:val="20"/>
                <w:szCs w:val="20"/>
              </w:rPr>
            </w:pPr>
            <w:proofErr w:type="spellStart"/>
            <w:proofErr w:type="gramStart"/>
            <w:r w:rsidRPr="00320589">
              <w:rPr>
                <w:sz w:val="20"/>
                <w:szCs w:val="20"/>
              </w:rPr>
              <w:t>iNO</w:t>
            </w:r>
            <w:proofErr w:type="spellEnd"/>
            <w:proofErr w:type="gramEnd"/>
            <w:r w:rsidRPr="00320589">
              <w:rPr>
                <w:sz w:val="20"/>
                <w:szCs w:val="20"/>
              </w:rPr>
              <w:t xml:space="preserve"> selectively reduced </w:t>
            </w:r>
            <w:proofErr w:type="spellStart"/>
            <w:r w:rsidRPr="00320589">
              <w:rPr>
                <w:sz w:val="20"/>
                <w:szCs w:val="20"/>
              </w:rPr>
              <w:t>mPAP</w:t>
            </w:r>
            <w:proofErr w:type="spellEnd"/>
            <w:r w:rsidRPr="00320589">
              <w:rPr>
                <w:sz w:val="20"/>
                <w:szCs w:val="20"/>
              </w:rPr>
              <w:t xml:space="preserve"> in those who had evidence of postoperative </w:t>
            </w:r>
            <w:r w:rsidR="00EB7308" w:rsidRPr="00320589">
              <w:rPr>
                <w:sz w:val="20"/>
                <w:szCs w:val="20"/>
              </w:rPr>
              <w:t>Pulmonary Artery Hypertension (</w:t>
            </w:r>
            <w:r w:rsidRPr="00320589">
              <w:rPr>
                <w:sz w:val="20"/>
                <w:szCs w:val="20"/>
              </w:rPr>
              <w:t>PAH</w:t>
            </w:r>
            <w:r w:rsidR="00EB7308" w:rsidRPr="00320589">
              <w:rPr>
                <w:sz w:val="20"/>
                <w:szCs w:val="20"/>
              </w:rPr>
              <w:t>)</w:t>
            </w:r>
            <w:r w:rsidRPr="00320589">
              <w:rPr>
                <w:sz w:val="20"/>
                <w:szCs w:val="20"/>
              </w:rPr>
              <w:t>.</w:t>
            </w:r>
          </w:p>
        </w:tc>
      </w:tr>
      <w:tr w:rsidR="005C13F0" w:rsidRPr="00320589" w14:paraId="7E9BD47C" w14:textId="77777777" w:rsidTr="00D026F6">
        <w:tc>
          <w:tcPr>
            <w:tcW w:w="8720" w:type="dxa"/>
            <w:gridSpan w:val="4"/>
            <w:shd w:val="clear" w:color="auto" w:fill="C6D4E9"/>
          </w:tcPr>
          <w:p w14:paraId="20232053" w14:textId="77777777" w:rsidR="005C13F0" w:rsidRPr="00320589" w:rsidRDefault="005C13F0" w:rsidP="00320589">
            <w:pPr>
              <w:ind w:left="116" w:right="-1"/>
              <w:rPr>
                <w:b/>
                <w:sz w:val="20"/>
                <w:szCs w:val="20"/>
              </w:rPr>
            </w:pPr>
            <w:r w:rsidRPr="00320589">
              <w:rPr>
                <w:b/>
                <w:sz w:val="20"/>
                <w:szCs w:val="20"/>
              </w:rPr>
              <w:t>Pivotal studies, versus conventional therapy</w:t>
            </w:r>
          </w:p>
        </w:tc>
      </w:tr>
      <w:tr w:rsidR="005C13F0" w:rsidRPr="00320589" w14:paraId="74D56B34" w14:textId="77777777" w:rsidTr="005C13F0">
        <w:tc>
          <w:tcPr>
            <w:tcW w:w="2182" w:type="dxa"/>
          </w:tcPr>
          <w:p w14:paraId="3B338C10" w14:textId="77777777" w:rsidR="005C13F0" w:rsidRPr="00320589" w:rsidRDefault="005C13F0" w:rsidP="00320589">
            <w:pPr>
              <w:ind w:left="0" w:right="0"/>
              <w:rPr>
                <w:sz w:val="20"/>
                <w:szCs w:val="20"/>
              </w:rPr>
            </w:pPr>
            <w:r w:rsidRPr="00320589">
              <w:rPr>
                <w:sz w:val="20"/>
                <w:szCs w:val="20"/>
              </w:rPr>
              <w:t>Day et al 2000</w:t>
            </w:r>
            <w:bookmarkStart w:id="76" w:name="_Ref477536516"/>
            <w:r w:rsidR="006A7861" w:rsidRPr="00320589">
              <w:rPr>
                <w:rStyle w:val="FootnoteReference"/>
                <w:sz w:val="20"/>
                <w:szCs w:val="20"/>
              </w:rPr>
              <w:footnoteReference w:id="13"/>
            </w:r>
            <w:bookmarkEnd w:id="76"/>
          </w:p>
        </w:tc>
        <w:tc>
          <w:tcPr>
            <w:tcW w:w="1291" w:type="dxa"/>
          </w:tcPr>
          <w:p w14:paraId="439114C2" w14:textId="77777777" w:rsidR="005C13F0" w:rsidRPr="00320589" w:rsidRDefault="005C13F0" w:rsidP="00320589">
            <w:pPr>
              <w:rPr>
                <w:sz w:val="20"/>
                <w:szCs w:val="20"/>
              </w:rPr>
            </w:pPr>
            <w:r w:rsidRPr="00320589">
              <w:rPr>
                <w:sz w:val="20"/>
                <w:szCs w:val="20"/>
              </w:rPr>
              <w:t>R, C</w:t>
            </w:r>
          </w:p>
        </w:tc>
        <w:tc>
          <w:tcPr>
            <w:tcW w:w="947" w:type="dxa"/>
          </w:tcPr>
          <w:p w14:paraId="2FD6333D" w14:textId="77777777" w:rsidR="005C13F0" w:rsidRPr="00320589" w:rsidRDefault="005C13F0" w:rsidP="00320589">
            <w:pPr>
              <w:rPr>
                <w:sz w:val="20"/>
                <w:szCs w:val="20"/>
              </w:rPr>
            </w:pPr>
            <w:r w:rsidRPr="00320589">
              <w:rPr>
                <w:sz w:val="20"/>
                <w:szCs w:val="20"/>
              </w:rPr>
              <w:t>40</w:t>
            </w:r>
          </w:p>
        </w:tc>
        <w:tc>
          <w:tcPr>
            <w:tcW w:w="4300" w:type="dxa"/>
          </w:tcPr>
          <w:p w14:paraId="4778800E" w14:textId="77777777" w:rsidR="005C13F0" w:rsidRPr="00320589" w:rsidRDefault="005C13F0" w:rsidP="00320589">
            <w:pPr>
              <w:ind w:left="116" w:right="-1"/>
              <w:rPr>
                <w:sz w:val="20"/>
                <w:szCs w:val="20"/>
              </w:rPr>
            </w:pPr>
            <w:r w:rsidRPr="00320589">
              <w:rPr>
                <w:sz w:val="20"/>
                <w:szCs w:val="20"/>
              </w:rPr>
              <w:t>No significant difference in incidence of PHTC compared with control (3 patients for iNO versus. 4 for control). Control patients who experienced PHTC were allowed to crossover and receive iNO after failing conventional; none of the control patients experienced a PHTC after being treated with iNO.</w:t>
            </w:r>
          </w:p>
        </w:tc>
      </w:tr>
      <w:tr w:rsidR="005C13F0" w:rsidRPr="00320589" w14:paraId="739ACB40" w14:textId="77777777" w:rsidTr="005C13F0">
        <w:tc>
          <w:tcPr>
            <w:tcW w:w="2182" w:type="dxa"/>
          </w:tcPr>
          <w:p w14:paraId="3A7EAD17" w14:textId="77777777" w:rsidR="005C13F0" w:rsidRPr="00320589" w:rsidRDefault="005C13F0" w:rsidP="00320589">
            <w:pPr>
              <w:ind w:left="0" w:right="0"/>
              <w:rPr>
                <w:sz w:val="20"/>
                <w:szCs w:val="20"/>
              </w:rPr>
            </w:pPr>
            <w:r w:rsidRPr="00320589">
              <w:rPr>
                <w:sz w:val="20"/>
                <w:szCs w:val="20"/>
              </w:rPr>
              <w:t>Morris et al 2000</w:t>
            </w:r>
            <w:bookmarkStart w:id="77" w:name="_Ref477536530"/>
            <w:r w:rsidR="006A7861" w:rsidRPr="00320589">
              <w:rPr>
                <w:rStyle w:val="FootnoteReference"/>
                <w:sz w:val="20"/>
                <w:szCs w:val="20"/>
              </w:rPr>
              <w:footnoteReference w:id="14"/>
            </w:r>
            <w:bookmarkEnd w:id="77"/>
          </w:p>
        </w:tc>
        <w:tc>
          <w:tcPr>
            <w:tcW w:w="1291" w:type="dxa"/>
          </w:tcPr>
          <w:p w14:paraId="28C3274B" w14:textId="77777777" w:rsidR="005C13F0" w:rsidRPr="00320589" w:rsidRDefault="005C13F0" w:rsidP="00320589">
            <w:pPr>
              <w:rPr>
                <w:sz w:val="20"/>
                <w:szCs w:val="20"/>
              </w:rPr>
            </w:pPr>
            <w:r w:rsidRPr="00320589">
              <w:rPr>
                <w:sz w:val="20"/>
                <w:szCs w:val="20"/>
              </w:rPr>
              <w:t>R, C, XO</w:t>
            </w:r>
          </w:p>
        </w:tc>
        <w:tc>
          <w:tcPr>
            <w:tcW w:w="947" w:type="dxa"/>
          </w:tcPr>
          <w:p w14:paraId="61C73D37" w14:textId="77777777" w:rsidR="005C13F0" w:rsidRPr="00320589" w:rsidRDefault="005C13F0" w:rsidP="00320589">
            <w:pPr>
              <w:rPr>
                <w:sz w:val="20"/>
                <w:szCs w:val="20"/>
              </w:rPr>
            </w:pPr>
            <w:r w:rsidRPr="00320589">
              <w:rPr>
                <w:sz w:val="20"/>
                <w:szCs w:val="20"/>
              </w:rPr>
              <w:t>12</w:t>
            </w:r>
          </w:p>
        </w:tc>
        <w:tc>
          <w:tcPr>
            <w:tcW w:w="4300" w:type="dxa"/>
          </w:tcPr>
          <w:p w14:paraId="33844012" w14:textId="77777777" w:rsidR="005C13F0" w:rsidRPr="00320589" w:rsidRDefault="005C13F0" w:rsidP="00320589">
            <w:pPr>
              <w:ind w:left="116" w:right="-1"/>
              <w:rPr>
                <w:sz w:val="20"/>
                <w:szCs w:val="20"/>
              </w:rPr>
            </w:pPr>
            <w:proofErr w:type="gramStart"/>
            <w:r w:rsidRPr="00320589">
              <w:rPr>
                <w:sz w:val="20"/>
                <w:szCs w:val="20"/>
              </w:rPr>
              <w:t>iNO</w:t>
            </w:r>
            <w:proofErr w:type="gramEnd"/>
            <w:r w:rsidRPr="00320589">
              <w:rPr>
                <w:sz w:val="20"/>
                <w:szCs w:val="20"/>
              </w:rPr>
              <w:t xml:space="preserve"> versus. </w:t>
            </w:r>
            <w:proofErr w:type="gramStart"/>
            <w:r w:rsidRPr="00320589">
              <w:rPr>
                <w:sz w:val="20"/>
                <w:szCs w:val="20"/>
              </w:rPr>
              <w:t>hyperventilation</w:t>
            </w:r>
            <w:proofErr w:type="gramEnd"/>
            <w:r w:rsidRPr="00320589">
              <w:rPr>
                <w:sz w:val="20"/>
                <w:szCs w:val="20"/>
              </w:rPr>
              <w:t xml:space="preserve">. NO selective for pulmonary circulation and did not increase </w:t>
            </w:r>
            <w:r w:rsidR="00C0382B" w:rsidRPr="00320589">
              <w:rPr>
                <w:sz w:val="20"/>
                <w:szCs w:val="20"/>
              </w:rPr>
              <w:t>Systemic Vascular Resistance (</w:t>
            </w:r>
            <w:r w:rsidRPr="00320589">
              <w:rPr>
                <w:sz w:val="20"/>
                <w:szCs w:val="20"/>
              </w:rPr>
              <w:t>SVR</w:t>
            </w:r>
            <w:r w:rsidR="00C0382B" w:rsidRPr="00320589">
              <w:rPr>
                <w:sz w:val="20"/>
                <w:szCs w:val="20"/>
              </w:rPr>
              <w:t>)</w:t>
            </w:r>
            <w:r w:rsidRPr="00320589">
              <w:rPr>
                <w:sz w:val="20"/>
                <w:szCs w:val="20"/>
              </w:rPr>
              <w:t>.</w:t>
            </w:r>
          </w:p>
        </w:tc>
      </w:tr>
      <w:tr w:rsidR="005C13F0" w:rsidRPr="00320589" w14:paraId="4E816DC0" w14:textId="77777777" w:rsidTr="00D026F6">
        <w:tc>
          <w:tcPr>
            <w:tcW w:w="8720" w:type="dxa"/>
            <w:gridSpan w:val="4"/>
            <w:shd w:val="clear" w:color="auto" w:fill="C6D4E9"/>
          </w:tcPr>
          <w:p w14:paraId="147458DA" w14:textId="77777777" w:rsidR="005C13F0" w:rsidRPr="00320589" w:rsidRDefault="005C13F0" w:rsidP="00320589">
            <w:pPr>
              <w:ind w:left="116" w:right="-1"/>
              <w:rPr>
                <w:b/>
                <w:sz w:val="20"/>
                <w:szCs w:val="20"/>
              </w:rPr>
            </w:pPr>
            <w:r w:rsidRPr="00320589">
              <w:rPr>
                <w:b/>
                <w:sz w:val="20"/>
                <w:szCs w:val="20"/>
              </w:rPr>
              <w:lastRenderedPageBreak/>
              <w:t>Supportive studies, versus active controls</w:t>
            </w:r>
          </w:p>
        </w:tc>
      </w:tr>
      <w:tr w:rsidR="005C13F0" w:rsidRPr="00320589" w14:paraId="36B0016C" w14:textId="77777777" w:rsidTr="005C13F0">
        <w:tc>
          <w:tcPr>
            <w:tcW w:w="2182" w:type="dxa"/>
          </w:tcPr>
          <w:p w14:paraId="565C2E53" w14:textId="77777777" w:rsidR="005C13F0" w:rsidRPr="00320589" w:rsidRDefault="005C13F0" w:rsidP="00320589">
            <w:pPr>
              <w:ind w:left="0" w:right="0"/>
              <w:rPr>
                <w:sz w:val="20"/>
                <w:szCs w:val="20"/>
              </w:rPr>
            </w:pPr>
            <w:proofErr w:type="spellStart"/>
            <w:r w:rsidRPr="00320589">
              <w:rPr>
                <w:sz w:val="20"/>
                <w:szCs w:val="20"/>
              </w:rPr>
              <w:t>Cai</w:t>
            </w:r>
            <w:proofErr w:type="spellEnd"/>
            <w:r w:rsidRPr="00320589">
              <w:rPr>
                <w:sz w:val="20"/>
                <w:szCs w:val="20"/>
              </w:rPr>
              <w:t xml:space="preserve"> et al 2008</w:t>
            </w:r>
            <w:bookmarkStart w:id="78" w:name="_Ref477536870"/>
            <w:r w:rsidR="006A7861" w:rsidRPr="00320589">
              <w:rPr>
                <w:rStyle w:val="FootnoteReference"/>
                <w:sz w:val="20"/>
                <w:szCs w:val="20"/>
              </w:rPr>
              <w:footnoteReference w:id="15"/>
            </w:r>
            <w:bookmarkEnd w:id="78"/>
          </w:p>
        </w:tc>
        <w:tc>
          <w:tcPr>
            <w:tcW w:w="1291" w:type="dxa"/>
          </w:tcPr>
          <w:p w14:paraId="2969FC3F" w14:textId="77777777" w:rsidR="005C13F0" w:rsidRPr="00320589" w:rsidRDefault="005C13F0" w:rsidP="00320589">
            <w:pPr>
              <w:rPr>
                <w:sz w:val="20"/>
                <w:szCs w:val="20"/>
              </w:rPr>
            </w:pPr>
            <w:r w:rsidRPr="00320589">
              <w:rPr>
                <w:sz w:val="20"/>
                <w:szCs w:val="20"/>
              </w:rPr>
              <w:t>R, C</w:t>
            </w:r>
          </w:p>
        </w:tc>
        <w:tc>
          <w:tcPr>
            <w:tcW w:w="947" w:type="dxa"/>
          </w:tcPr>
          <w:p w14:paraId="61FECB69" w14:textId="77777777" w:rsidR="005C13F0" w:rsidRPr="00320589" w:rsidRDefault="005C13F0" w:rsidP="00320589">
            <w:pPr>
              <w:rPr>
                <w:sz w:val="20"/>
                <w:szCs w:val="20"/>
              </w:rPr>
            </w:pPr>
            <w:r w:rsidRPr="00320589">
              <w:rPr>
                <w:sz w:val="20"/>
                <w:szCs w:val="20"/>
              </w:rPr>
              <w:t>46</w:t>
            </w:r>
          </w:p>
        </w:tc>
        <w:tc>
          <w:tcPr>
            <w:tcW w:w="4300" w:type="dxa"/>
          </w:tcPr>
          <w:p w14:paraId="06CE62C6" w14:textId="77777777" w:rsidR="005C13F0" w:rsidRPr="00320589" w:rsidRDefault="005C13F0" w:rsidP="00320589">
            <w:pPr>
              <w:ind w:left="116" w:right="-1"/>
              <w:rPr>
                <w:sz w:val="20"/>
                <w:szCs w:val="20"/>
              </w:rPr>
            </w:pPr>
            <w:r w:rsidRPr="00320589">
              <w:rPr>
                <w:sz w:val="20"/>
                <w:szCs w:val="20"/>
              </w:rPr>
              <w:t>Combined iNO and milrinone were more effective in lowering PVR, PAH compared to either drug alone. The combined group had significantly shorter time on mechanical ventilation (p &lt; 0.043)</w:t>
            </w:r>
          </w:p>
        </w:tc>
      </w:tr>
      <w:tr w:rsidR="005C13F0" w:rsidRPr="00320589" w14:paraId="68DC3146" w14:textId="77777777" w:rsidTr="005C13F0">
        <w:tc>
          <w:tcPr>
            <w:tcW w:w="2182" w:type="dxa"/>
          </w:tcPr>
          <w:p w14:paraId="19336E9E" w14:textId="77777777" w:rsidR="005C13F0" w:rsidRPr="00320589" w:rsidRDefault="005C13F0" w:rsidP="00320589">
            <w:pPr>
              <w:ind w:left="0" w:right="0"/>
              <w:rPr>
                <w:sz w:val="20"/>
                <w:szCs w:val="20"/>
              </w:rPr>
            </w:pPr>
            <w:r w:rsidRPr="00320589">
              <w:rPr>
                <w:sz w:val="20"/>
                <w:szCs w:val="20"/>
              </w:rPr>
              <w:t>Goldman et al 1995</w:t>
            </w:r>
            <w:bookmarkStart w:id="79" w:name="_Ref477536886"/>
            <w:r w:rsidR="006A7861" w:rsidRPr="00320589">
              <w:rPr>
                <w:rStyle w:val="FootnoteReference"/>
                <w:sz w:val="20"/>
                <w:szCs w:val="20"/>
              </w:rPr>
              <w:footnoteReference w:id="16"/>
            </w:r>
            <w:bookmarkEnd w:id="79"/>
          </w:p>
        </w:tc>
        <w:tc>
          <w:tcPr>
            <w:tcW w:w="1291" w:type="dxa"/>
          </w:tcPr>
          <w:p w14:paraId="652769D4" w14:textId="77777777" w:rsidR="005C13F0" w:rsidRPr="00320589" w:rsidRDefault="005C13F0" w:rsidP="00320589">
            <w:pPr>
              <w:rPr>
                <w:sz w:val="20"/>
                <w:szCs w:val="20"/>
              </w:rPr>
            </w:pPr>
            <w:r w:rsidRPr="00320589">
              <w:rPr>
                <w:sz w:val="20"/>
                <w:szCs w:val="20"/>
              </w:rPr>
              <w:t>R, C, XO</w:t>
            </w:r>
          </w:p>
        </w:tc>
        <w:tc>
          <w:tcPr>
            <w:tcW w:w="947" w:type="dxa"/>
          </w:tcPr>
          <w:p w14:paraId="3413E054" w14:textId="77777777" w:rsidR="005C13F0" w:rsidRPr="00320589" w:rsidRDefault="005C13F0" w:rsidP="00320589">
            <w:pPr>
              <w:rPr>
                <w:sz w:val="20"/>
                <w:szCs w:val="20"/>
              </w:rPr>
            </w:pPr>
            <w:r w:rsidRPr="00320589">
              <w:rPr>
                <w:sz w:val="20"/>
                <w:szCs w:val="20"/>
              </w:rPr>
              <w:t>13</w:t>
            </w:r>
          </w:p>
        </w:tc>
        <w:tc>
          <w:tcPr>
            <w:tcW w:w="4300" w:type="dxa"/>
          </w:tcPr>
          <w:p w14:paraId="7991C915" w14:textId="77777777" w:rsidR="005C13F0" w:rsidRPr="00320589" w:rsidRDefault="005C13F0" w:rsidP="00320589">
            <w:pPr>
              <w:ind w:left="116" w:right="-1"/>
              <w:rPr>
                <w:sz w:val="20"/>
                <w:szCs w:val="20"/>
              </w:rPr>
            </w:pPr>
            <w:proofErr w:type="spellStart"/>
            <w:proofErr w:type="gramStart"/>
            <w:r w:rsidRPr="00320589">
              <w:rPr>
                <w:sz w:val="20"/>
                <w:szCs w:val="20"/>
              </w:rPr>
              <w:t>mPAP</w:t>
            </w:r>
            <w:proofErr w:type="spellEnd"/>
            <w:proofErr w:type="gramEnd"/>
            <w:r w:rsidRPr="00320589">
              <w:rPr>
                <w:sz w:val="20"/>
                <w:szCs w:val="20"/>
              </w:rPr>
              <w:t xml:space="preserve"> lower during </w:t>
            </w:r>
            <w:proofErr w:type="spellStart"/>
            <w:r w:rsidRPr="00320589">
              <w:rPr>
                <w:sz w:val="20"/>
                <w:szCs w:val="20"/>
              </w:rPr>
              <w:t>iNO</w:t>
            </w:r>
            <w:proofErr w:type="spellEnd"/>
            <w:r w:rsidRPr="00320589">
              <w:rPr>
                <w:sz w:val="20"/>
                <w:szCs w:val="20"/>
              </w:rPr>
              <w:t xml:space="preserve"> compared to prostacyclin.</w:t>
            </w:r>
          </w:p>
        </w:tc>
      </w:tr>
      <w:tr w:rsidR="005C13F0" w:rsidRPr="00320589" w14:paraId="2B655985" w14:textId="77777777" w:rsidTr="005C13F0">
        <w:tc>
          <w:tcPr>
            <w:tcW w:w="2182" w:type="dxa"/>
          </w:tcPr>
          <w:p w14:paraId="625B3400" w14:textId="77777777" w:rsidR="005C13F0" w:rsidRPr="00320589" w:rsidRDefault="005C13F0" w:rsidP="00320589">
            <w:pPr>
              <w:ind w:left="0" w:right="0"/>
              <w:rPr>
                <w:sz w:val="20"/>
                <w:szCs w:val="20"/>
              </w:rPr>
            </w:pPr>
            <w:proofErr w:type="spellStart"/>
            <w:r w:rsidRPr="00320589">
              <w:rPr>
                <w:sz w:val="20"/>
                <w:szCs w:val="20"/>
              </w:rPr>
              <w:t>Kirbas</w:t>
            </w:r>
            <w:proofErr w:type="spellEnd"/>
            <w:r w:rsidRPr="00320589">
              <w:rPr>
                <w:sz w:val="20"/>
                <w:szCs w:val="20"/>
              </w:rPr>
              <w:t xml:space="preserve"> et al 2012</w:t>
            </w:r>
            <w:r w:rsidR="006A7861" w:rsidRPr="00320589">
              <w:rPr>
                <w:sz w:val="20"/>
                <w:szCs w:val="20"/>
                <w:vertAlign w:val="superscript"/>
              </w:rPr>
              <w:fldChar w:fldCharType="begin"/>
            </w:r>
            <w:r w:rsidR="006A7861" w:rsidRPr="00320589">
              <w:rPr>
                <w:sz w:val="20"/>
                <w:szCs w:val="20"/>
                <w:vertAlign w:val="superscript"/>
              </w:rPr>
              <w:instrText xml:space="preserve"> NOTEREF _Ref477535765 \h  \* MERGEFORMAT </w:instrText>
            </w:r>
            <w:r w:rsidR="006A7861" w:rsidRPr="00320589">
              <w:rPr>
                <w:sz w:val="20"/>
                <w:szCs w:val="20"/>
                <w:vertAlign w:val="superscript"/>
              </w:rPr>
            </w:r>
            <w:r w:rsidR="006A7861" w:rsidRPr="00320589">
              <w:rPr>
                <w:sz w:val="20"/>
                <w:szCs w:val="20"/>
                <w:vertAlign w:val="superscript"/>
              </w:rPr>
              <w:fldChar w:fldCharType="separate"/>
            </w:r>
            <w:r w:rsidR="006D3007" w:rsidRPr="00320589">
              <w:rPr>
                <w:sz w:val="20"/>
                <w:szCs w:val="20"/>
                <w:vertAlign w:val="superscript"/>
              </w:rPr>
              <w:t>4</w:t>
            </w:r>
            <w:r w:rsidR="006A7861" w:rsidRPr="00320589">
              <w:rPr>
                <w:sz w:val="20"/>
                <w:szCs w:val="20"/>
                <w:vertAlign w:val="superscript"/>
              </w:rPr>
              <w:fldChar w:fldCharType="end"/>
            </w:r>
          </w:p>
        </w:tc>
        <w:tc>
          <w:tcPr>
            <w:tcW w:w="1291" w:type="dxa"/>
          </w:tcPr>
          <w:p w14:paraId="5FE6E194" w14:textId="77777777" w:rsidR="005C13F0" w:rsidRPr="00320589" w:rsidRDefault="005C13F0" w:rsidP="00320589">
            <w:pPr>
              <w:rPr>
                <w:sz w:val="20"/>
                <w:szCs w:val="20"/>
              </w:rPr>
            </w:pPr>
            <w:r w:rsidRPr="00320589">
              <w:rPr>
                <w:sz w:val="20"/>
                <w:szCs w:val="20"/>
              </w:rPr>
              <w:t>R, C</w:t>
            </w:r>
          </w:p>
        </w:tc>
        <w:tc>
          <w:tcPr>
            <w:tcW w:w="947" w:type="dxa"/>
          </w:tcPr>
          <w:p w14:paraId="3768D517" w14:textId="77777777" w:rsidR="005C13F0" w:rsidRPr="00320589" w:rsidRDefault="005C13F0" w:rsidP="00320589">
            <w:pPr>
              <w:rPr>
                <w:sz w:val="20"/>
                <w:szCs w:val="20"/>
              </w:rPr>
            </w:pPr>
            <w:r w:rsidRPr="00320589">
              <w:rPr>
                <w:sz w:val="20"/>
                <w:szCs w:val="20"/>
              </w:rPr>
              <w:t>16</w:t>
            </w:r>
          </w:p>
        </w:tc>
        <w:tc>
          <w:tcPr>
            <w:tcW w:w="4300" w:type="dxa"/>
          </w:tcPr>
          <w:p w14:paraId="4BC3A387" w14:textId="77777777" w:rsidR="005C13F0" w:rsidRPr="00320589" w:rsidRDefault="005C13F0" w:rsidP="00320589">
            <w:pPr>
              <w:ind w:left="116" w:right="-1"/>
              <w:rPr>
                <w:sz w:val="20"/>
                <w:szCs w:val="20"/>
              </w:rPr>
            </w:pPr>
            <w:r w:rsidRPr="00320589">
              <w:rPr>
                <w:sz w:val="20"/>
                <w:szCs w:val="20"/>
              </w:rPr>
              <w:t>Both iNO and aerosolized iloprost are effective to selectively reduce PAP following cardiac surgery; no difference was found between the groups in terms of these effects.</w:t>
            </w:r>
          </w:p>
        </w:tc>
      </w:tr>
      <w:tr w:rsidR="005C13F0" w:rsidRPr="00320589" w14:paraId="5C2CBE34" w14:textId="77777777" w:rsidTr="005C13F0">
        <w:tc>
          <w:tcPr>
            <w:tcW w:w="2182" w:type="dxa"/>
          </w:tcPr>
          <w:p w14:paraId="6A28173C" w14:textId="77777777" w:rsidR="005C13F0" w:rsidRPr="00320589" w:rsidRDefault="005C13F0" w:rsidP="00320589">
            <w:pPr>
              <w:ind w:left="0" w:right="0"/>
              <w:rPr>
                <w:sz w:val="20"/>
                <w:szCs w:val="20"/>
              </w:rPr>
            </w:pPr>
            <w:proofErr w:type="spellStart"/>
            <w:r w:rsidRPr="00320589">
              <w:rPr>
                <w:sz w:val="20"/>
                <w:szCs w:val="20"/>
              </w:rPr>
              <w:t>Loukanov</w:t>
            </w:r>
            <w:proofErr w:type="spellEnd"/>
            <w:r w:rsidRPr="00320589">
              <w:rPr>
                <w:sz w:val="20"/>
                <w:szCs w:val="20"/>
              </w:rPr>
              <w:t xml:space="preserve"> et al 2011</w:t>
            </w:r>
            <w:r w:rsidR="006A7861" w:rsidRPr="00320589">
              <w:rPr>
                <w:sz w:val="20"/>
                <w:szCs w:val="20"/>
                <w:vertAlign w:val="superscript"/>
              </w:rPr>
              <w:fldChar w:fldCharType="begin"/>
            </w:r>
            <w:r w:rsidR="006A7861" w:rsidRPr="00320589">
              <w:rPr>
                <w:sz w:val="20"/>
                <w:szCs w:val="20"/>
                <w:vertAlign w:val="superscript"/>
              </w:rPr>
              <w:instrText xml:space="preserve"> NOTEREF _Ref477535779 \h  \* MERGEFORMAT </w:instrText>
            </w:r>
            <w:r w:rsidR="006A7861" w:rsidRPr="00320589">
              <w:rPr>
                <w:sz w:val="20"/>
                <w:szCs w:val="20"/>
                <w:vertAlign w:val="superscript"/>
              </w:rPr>
            </w:r>
            <w:r w:rsidR="006A7861" w:rsidRPr="00320589">
              <w:rPr>
                <w:sz w:val="20"/>
                <w:szCs w:val="20"/>
                <w:vertAlign w:val="superscript"/>
              </w:rPr>
              <w:fldChar w:fldCharType="separate"/>
            </w:r>
            <w:r w:rsidR="006D3007" w:rsidRPr="00320589">
              <w:rPr>
                <w:sz w:val="20"/>
                <w:szCs w:val="20"/>
                <w:vertAlign w:val="superscript"/>
              </w:rPr>
              <w:t>5</w:t>
            </w:r>
            <w:r w:rsidR="006A7861" w:rsidRPr="00320589">
              <w:rPr>
                <w:sz w:val="20"/>
                <w:szCs w:val="20"/>
                <w:vertAlign w:val="superscript"/>
              </w:rPr>
              <w:fldChar w:fldCharType="end"/>
            </w:r>
          </w:p>
        </w:tc>
        <w:tc>
          <w:tcPr>
            <w:tcW w:w="1291" w:type="dxa"/>
          </w:tcPr>
          <w:p w14:paraId="1F10436C" w14:textId="77777777" w:rsidR="005C13F0" w:rsidRPr="00320589" w:rsidRDefault="005C13F0" w:rsidP="00320589">
            <w:pPr>
              <w:rPr>
                <w:sz w:val="20"/>
                <w:szCs w:val="20"/>
              </w:rPr>
            </w:pPr>
            <w:r w:rsidRPr="00320589">
              <w:rPr>
                <w:sz w:val="20"/>
                <w:szCs w:val="20"/>
              </w:rPr>
              <w:t>R, C</w:t>
            </w:r>
          </w:p>
        </w:tc>
        <w:tc>
          <w:tcPr>
            <w:tcW w:w="947" w:type="dxa"/>
          </w:tcPr>
          <w:p w14:paraId="4DF74BEB" w14:textId="77777777" w:rsidR="005C13F0" w:rsidRPr="00320589" w:rsidRDefault="005C13F0" w:rsidP="00320589">
            <w:pPr>
              <w:rPr>
                <w:sz w:val="20"/>
                <w:szCs w:val="20"/>
              </w:rPr>
            </w:pPr>
            <w:r w:rsidRPr="00320589">
              <w:rPr>
                <w:sz w:val="20"/>
                <w:szCs w:val="20"/>
              </w:rPr>
              <w:t>15</w:t>
            </w:r>
          </w:p>
        </w:tc>
        <w:tc>
          <w:tcPr>
            <w:tcW w:w="4300" w:type="dxa"/>
          </w:tcPr>
          <w:p w14:paraId="23284D5D" w14:textId="77777777" w:rsidR="005C13F0" w:rsidRPr="00320589" w:rsidRDefault="005C13F0" w:rsidP="00320589">
            <w:pPr>
              <w:ind w:left="116" w:right="-1"/>
              <w:rPr>
                <w:sz w:val="20"/>
                <w:szCs w:val="20"/>
              </w:rPr>
            </w:pPr>
            <w:r w:rsidRPr="00320589">
              <w:rPr>
                <w:sz w:val="20"/>
                <w:szCs w:val="20"/>
              </w:rPr>
              <w:t>There was no difference between the groups treated with iNO or iloprost with regard to the frequency of PHTCs, mean PAP and duration of mechanical ventilation (p &gt; 0.05).</w:t>
            </w:r>
          </w:p>
        </w:tc>
      </w:tr>
      <w:tr w:rsidR="005C13F0" w:rsidRPr="00320589" w14:paraId="4AE837A6" w14:textId="77777777" w:rsidTr="005C13F0">
        <w:tc>
          <w:tcPr>
            <w:tcW w:w="2182" w:type="dxa"/>
          </w:tcPr>
          <w:p w14:paraId="3B89AD6D" w14:textId="77777777" w:rsidR="005C13F0" w:rsidRPr="00320589" w:rsidRDefault="005C13F0" w:rsidP="00320589">
            <w:pPr>
              <w:ind w:left="0" w:right="0"/>
              <w:rPr>
                <w:sz w:val="20"/>
                <w:szCs w:val="20"/>
              </w:rPr>
            </w:pPr>
            <w:r w:rsidRPr="00320589">
              <w:rPr>
                <w:sz w:val="20"/>
                <w:szCs w:val="20"/>
              </w:rPr>
              <w:t>Stocker at al 2003</w:t>
            </w:r>
            <w:bookmarkStart w:id="80" w:name="_Ref477536958"/>
            <w:r w:rsidR="006A7861" w:rsidRPr="00320589">
              <w:rPr>
                <w:rStyle w:val="FootnoteReference"/>
                <w:sz w:val="20"/>
                <w:szCs w:val="20"/>
              </w:rPr>
              <w:footnoteReference w:id="17"/>
            </w:r>
            <w:bookmarkEnd w:id="80"/>
          </w:p>
        </w:tc>
        <w:tc>
          <w:tcPr>
            <w:tcW w:w="1291" w:type="dxa"/>
          </w:tcPr>
          <w:p w14:paraId="2BCF14F4" w14:textId="77777777" w:rsidR="005C13F0" w:rsidRPr="00320589" w:rsidRDefault="005C13F0" w:rsidP="00320589">
            <w:pPr>
              <w:rPr>
                <w:sz w:val="20"/>
                <w:szCs w:val="20"/>
              </w:rPr>
            </w:pPr>
            <w:r w:rsidRPr="00320589">
              <w:rPr>
                <w:sz w:val="20"/>
                <w:szCs w:val="20"/>
              </w:rPr>
              <w:t>R, XO, C</w:t>
            </w:r>
          </w:p>
        </w:tc>
        <w:tc>
          <w:tcPr>
            <w:tcW w:w="947" w:type="dxa"/>
          </w:tcPr>
          <w:p w14:paraId="42638CC3" w14:textId="77777777" w:rsidR="005C13F0" w:rsidRPr="00320589" w:rsidRDefault="005C13F0" w:rsidP="00320589">
            <w:pPr>
              <w:rPr>
                <w:sz w:val="20"/>
                <w:szCs w:val="20"/>
              </w:rPr>
            </w:pPr>
            <w:r w:rsidRPr="00320589">
              <w:rPr>
                <w:sz w:val="20"/>
                <w:szCs w:val="20"/>
              </w:rPr>
              <w:t>15</w:t>
            </w:r>
          </w:p>
        </w:tc>
        <w:tc>
          <w:tcPr>
            <w:tcW w:w="4300" w:type="dxa"/>
          </w:tcPr>
          <w:p w14:paraId="001BF08E" w14:textId="77777777" w:rsidR="005C13F0" w:rsidRPr="00320589" w:rsidRDefault="005C13F0" w:rsidP="00320589">
            <w:pPr>
              <w:ind w:left="116" w:right="-1"/>
              <w:rPr>
                <w:sz w:val="20"/>
                <w:szCs w:val="20"/>
              </w:rPr>
            </w:pPr>
            <w:proofErr w:type="gramStart"/>
            <w:r w:rsidRPr="00320589">
              <w:rPr>
                <w:sz w:val="20"/>
                <w:szCs w:val="20"/>
              </w:rPr>
              <w:t>Both drugs</w:t>
            </w:r>
            <w:proofErr w:type="gramEnd"/>
            <w:r w:rsidRPr="00320589">
              <w:rPr>
                <w:sz w:val="20"/>
                <w:szCs w:val="20"/>
              </w:rPr>
              <w:t>, iNO</w:t>
            </w:r>
            <w:r w:rsidR="00EB7308" w:rsidRPr="00320589">
              <w:rPr>
                <w:sz w:val="20"/>
                <w:szCs w:val="20"/>
              </w:rPr>
              <w:t xml:space="preserve"> </w:t>
            </w:r>
            <w:r w:rsidRPr="00320589">
              <w:rPr>
                <w:sz w:val="20"/>
                <w:szCs w:val="20"/>
              </w:rPr>
              <w:t>20 ppm and intravenous sildenafil lowered pulmonary vascular resistance index. Sildenafil also lowered systemic blood pressure.</w:t>
            </w:r>
          </w:p>
        </w:tc>
      </w:tr>
    </w:tbl>
    <w:p w14:paraId="49ABC0C2" w14:textId="58D626AC" w:rsidR="005C13F0" w:rsidRDefault="005C13F0" w:rsidP="005C13F0">
      <w:pPr>
        <w:pStyle w:val="TableDescription"/>
      </w:pPr>
      <w:r w:rsidRPr="006D0EE8">
        <w:t xml:space="preserve">R = randomised, C = controlled, DB </w:t>
      </w:r>
      <w:r w:rsidR="00CE6FBE">
        <w:t>= Double blind, XO = cross-over</w:t>
      </w:r>
    </w:p>
    <w:p w14:paraId="5D0EB874" w14:textId="3750A760" w:rsidR="005C13F0" w:rsidRDefault="005C13F0" w:rsidP="00320589">
      <w:pPr>
        <w:pStyle w:val="Tabletitle0"/>
      </w:pPr>
      <w:bookmarkStart w:id="81" w:name="_Toc418607747"/>
      <w:r w:rsidRPr="004536B4">
        <w:t xml:space="preserve">Table </w:t>
      </w:r>
      <w:r w:rsidR="004536B4">
        <w:t>6</w:t>
      </w:r>
      <w:r w:rsidRPr="004536B4">
        <w:t>: Studies</w:t>
      </w:r>
      <w:r w:rsidRPr="00700FC3">
        <w:t xml:space="preserve"> in adults undergoing cardiac surgery (excluding heart transplant and </w:t>
      </w:r>
      <w:r w:rsidR="005E41D7">
        <w:t xml:space="preserve">left </w:t>
      </w:r>
      <w:r w:rsidR="005E41D7" w:rsidRPr="00320589">
        <w:t>ventricular</w:t>
      </w:r>
      <w:r w:rsidR="005E41D7">
        <w:t xml:space="preserve"> assist device</w:t>
      </w:r>
      <w:r w:rsidR="005E41D7" w:rsidRPr="00700FC3">
        <w:t xml:space="preserve"> </w:t>
      </w:r>
      <w:r w:rsidRPr="00700FC3">
        <w:t>insertion)</w:t>
      </w:r>
      <w:bookmarkStart w:id="82" w:name="_Ref481397853"/>
      <w:bookmarkEnd w:id="81"/>
      <w:r w:rsidR="00B2168B">
        <w:rPr>
          <w:rStyle w:val="FootnoteReference"/>
        </w:rPr>
        <w:footnoteReference w:id="18"/>
      </w:r>
      <w:bookmarkEnd w:id="82"/>
    </w:p>
    <w:tbl>
      <w:tblPr>
        <w:tblStyle w:val="TableTGAblue"/>
        <w:tblW w:w="0" w:type="auto"/>
        <w:tblLook w:val="04A0" w:firstRow="1" w:lastRow="0" w:firstColumn="1" w:lastColumn="0" w:noHBand="0" w:noVBand="1"/>
      </w:tblPr>
      <w:tblGrid>
        <w:gridCol w:w="2210"/>
        <w:gridCol w:w="1300"/>
        <w:gridCol w:w="993"/>
        <w:gridCol w:w="4217"/>
      </w:tblGrid>
      <w:tr w:rsidR="005C13F0" w:rsidRPr="00320589" w14:paraId="4B414ED6" w14:textId="77777777" w:rsidTr="00320589">
        <w:trPr>
          <w:cnfStyle w:val="100000000000" w:firstRow="1" w:lastRow="0" w:firstColumn="0" w:lastColumn="0" w:oddVBand="0" w:evenVBand="0" w:oddHBand="0" w:evenHBand="0" w:firstRowFirstColumn="0" w:firstRowLastColumn="0" w:lastRowFirstColumn="0" w:lastRowLastColumn="0"/>
        </w:trPr>
        <w:tc>
          <w:tcPr>
            <w:tcW w:w="2210" w:type="dxa"/>
          </w:tcPr>
          <w:p w14:paraId="18C71C26" w14:textId="77777777" w:rsidR="005C13F0" w:rsidRPr="00320589" w:rsidRDefault="005C13F0" w:rsidP="00D026F6">
            <w:r w:rsidRPr="00320589">
              <w:t>Authors</w:t>
            </w:r>
          </w:p>
        </w:tc>
        <w:tc>
          <w:tcPr>
            <w:tcW w:w="1300" w:type="dxa"/>
          </w:tcPr>
          <w:p w14:paraId="298FA7C3" w14:textId="77777777" w:rsidR="005C13F0" w:rsidRPr="00320589" w:rsidRDefault="005C13F0" w:rsidP="00D026F6">
            <w:r w:rsidRPr="00320589">
              <w:t>Study Design</w:t>
            </w:r>
          </w:p>
        </w:tc>
        <w:tc>
          <w:tcPr>
            <w:tcW w:w="993" w:type="dxa"/>
          </w:tcPr>
          <w:p w14:paraId="0723A209" w14:textId="77777777" w:rsidR="005C13F0" w:rsidRPr="00320589" w:rsidRDefault="005C13F0" w:rsidP="00D026F6">
            <w:r w:rsidRPr="00320589">
              <w:t>No Pts</w:t>
            </w:r>
          </w:p>
        </w:tc>
        <w:tc>
          <w:tcPr>
            <w:tcW w:w="4217" w:type="dxa"/>
          </w:tcPr>
          <w:p w14:paraId="7D0BDD9A" w14:textId="77777777" w:rsidR="005C13F0" w:rsidRPr="00320589" w:rsidRDefault="005C13F0" w:rsidP="00D026F6">
            <w:r w:rsidRPr="00320589">
              <w:t>Primary Outcome</w:t>
            </w:r>
          </w:p>
        </w:tc>
      </w:tr>
      <w:tr w:rsidR="005C13F0" w:rsidRPr="00320589" w14:paraId="7ACF2E0D" w14:textId="77777777" w:rsidTr="00320589">
        <w:tc>
          <w:tcPr>
            <w:tcW w:w="2210" w:type="dxa"/>
          </w:tcPr>
          <w:p w14:paraId="237A452E" w14:textId="77777777" w:rsidR="005C13F0" w:rsidRPr="00320589" w:rsidRDefault="005C13F0" w:rsidP="00D026F6">
            <w:proofErr w:type="spellStart"/>
            <w:r w:rsidRPr="00320589">
              <w:t>Fattouch</w:t>
            </w:r>
            <w:proofErr w:type="spellEnd"/>
            <w:r w:rsidRPr="00320589">
              <w:t xml:space="preserve"> et al 2005</w:t>
            </w:r>
            <w:bookmarkStart w:id="83" w:name="_Ref477772393"/>
            <w:r w:rsidR="006A7861" w:rsidRPr="00320589">
              <w:rPr>
                <w:rStyle w:val="FootnoteReference"/>
                <w:rFonts w:asciiTheme="minorHAnsi" w:hAnsiTheme="minorHAnsi"/>
                <w:sz w:val="20"/>
                <w:szCs w:val="20"/>
              </w:rPr>
              <w:footnoteReference w:id="19"/>
            </w:r>
            <w:bookmarkEnd w:id="83"/>
          </w:p>
        </w:tc>
        <w:tc>
          <w:tcPr>
            <w:tcW w:w="1300" w:type="dxa"/>
          </w:tcPr>
          <w:p w14:paraId="24BCBC98" w14:textId="77777777" w:rsidR="005C13F0" w:rsidRPr="00320589" w:rsidRDefault="005C13F0" w:rsidP="00D026F6">
            <w:r w:rsidRPr="00320589">
              <w:t>R, C, DB</w:t>
            </w:r>
          </w:p>
        </w:tc>
        <w:tc>
          <w:tcPr>
            <w:tcW w:w="993" w:type="dxa"/>
          </w:tcPr>
          <w:p w14:paraId="779BE69C" w14:textId="77777777" w:rsidR="005C13F0" w:rsidRPr="00320589" w:rsidRDefault="005C13F0" w:rsidP="00D026F6">
            <w:r w:rsidRPr="00320589">
              <w:t>58</w:t>
            </w:r>
          </w:p>
        </w:tc>
        <w:tc>
          <w:tcPr>
            <w:tcW w:w="4217" w:type="dxa"/>
          </w:tcPr>
          <w:p w14:paraId="32EAF53F" w14:textId="77777777" w:rsidR="005C13F0" w:rsidRPr="00320589" w:rsidRDefault="005C13F0" w:rsidP="00D026F6">
            <w:proofErr w:type="gramStart"/>
            <w:r w:rsidRPr="00320589">
              <w:t>iNO</w:t>
            </w:r>
            <w:proofErr w:type="gramEnd"/>
            <w:r w:rsidRPr="00320589">
              <w:t xml:space="preserve"> was as effective in treating PAH as inhaled </w:t>
            </w:r>
            <w:proofErr w:type="spellStart"/>
            <w:r w:rsidRPr="00320589">
              <w:t>prostacycline</w:t>
            </w:r>
            <w:proofErr w:type="spellEnd"/>
            <w:r w:rsidRPr="00320589">
              <w:t>. Both inhaled treatments superior to nitroprusside.</w:t>
            </w:r>
          </w:p>
        </w:tc>
      </w:tr>
      <w:tr w:rsidR="005C13F0" w:rsidRPr="00320589" w14:paraId="73FD338B" w14:textId="77777777" w:rsidTr="00320589">
        <w:tc>
          <w:tcPr>
            <w:tcW w:w="2210" w:type="dxa"/>
          </w:tcPr>
          <w:p w14:paraId="7926A374" w14:textId="77777777" w:rsidR="005C13F0" w:rsidRPr="00320589" w:rsidRDefault="005C13F0" w:rsidP="00D026F6">
            <w:proofErr w:type="spellStart"/>
            <w:r w:rsidRPr="00320589">
              <w:t>Fattouch</w:t>
            </w:r>
            <w:proofErr w:type="spellEnd"/>
            <w:r w:rsidRPr="00320589">
              <w:t xml:space="preserve"> et al 2006</w:t>
            </w:r>
            <w:bookmarkStart w:id="84" w:name="_Ref477772407"/>
            <w:r w:rsidR="006A7861" w:rsidRPr="00320589">
              <w:rPr>
                <w:rStyle w:val="FootnoteReference"/>
                <w:rFonts w:asciiTheme="minorHAnsi" w:hAnsiTheme="minorHAnsi"/>
                <w:sz w:val="20"/>
                <w:szCs w:val="20"/>
              </w:rPr>
              <w:footnoteReference w:id="20"/>
            </w:r>
            <w:bookmarkEnd w:id="84"/>
          </w:p>
        </w:tc>
        <w:tc>
          <w:tcPr>
            <w:tcW w:w="1300" w:type="dxa"/>
          </w:tcPr>
          <w:p w14:paraId="5A59875C" w14:textId="77777777" w:rsidR="005C13F0" w:rsidRPr="00320589" w:rsidRDefault="005C13F0" w:rsidP="00D026F6">
            <w:r w:rsidRPr="00320589">
              <w:t>R, C, DB</w:t>
            </w:r>
          </w:p>
        </w:tc>
        <w:tc>
          <w:tcPr>
            <w:tcW w:w="993" w:type="dxa"/>
          </w:tcPr>
          <w:p w14:paraId="37AAB5C1" w14:textId="77777777" w:rsidR="005C13F0" w:rsidRPr="00320589" w:rsidRDefault="005C13F0" w:rsidP="00D026F6">
            <w:r w:rsidRPr="00320589">
              <w:t>58</w:t>
            </w:r>
          </w:p>
        </w:tc>
        <w:tc>
          <w:tcPr>
            <w:tcW w:w="4217" w:type="dxa"/>
          </w:tcPr>
          <w:p w14:paraId="2B0B8515" w14:textId="185E5768" w:rsidR="005C13F0" w:rsidRPr="00320589" w:rsidRDefault="005C13F0" w:rsidP="00D026F6">
            <w:proofErr w:type="gramStart"/>
            <w:r w:rsidRPr="00320589">
              <w:t>iNO</w:t>
            </w:r>
            <w:proofErr w:type="gramEnd"/>
            <w:r w:rsidRPr="00320589">
              <w:t xml:space="preserve"> was as effective in treating PAH as inhaled </w:t>
            </w:r>
            <w:proofErr w:type="spellStart"/>
            <w:r w:rsidRPr="00320589">
              <w:t>prostacycline</w:t>
            </w:r>
            <w:proofErr w:type="spellEnd"/>
            <w:r w:rsidRPr="00320589">
              <w:t xml:space="preserve">. Both inhaled treatments superior </w:t>
            </w:r>
            <w:proofErr w:type="spellStart"/>
            <w:r w:rsidRPr="00320589">
              <w:t>to</w:t>
            </w:r>
            <w:r w:rsidR="00B368CE" w:rsidRPr="00320589">
              <w:t>IV</w:t>
            </w:r>
            <w:proofErr w:type="spellEnd"/>
            <w:r w:rsidR="00B368CE" w:rsidRPr="00320589">
              <w:t xml:space="preserve"> vasodilators</w:t>
            </w:r>
            <w:r w:rsidRPr="00320589">
              <w:t xml:space="preserve">. Inhaled treatments superior with </w:t>
            </w:r>
            <w:r w:rsidRPr="00320589">
              <w:lastRenderedPageBreak/>
              <w:t xml:space="preserve">regards to time to weaning, intubation time and </w:t>
            </w:r>
            <w:r w:rsidR="00A31697" w:rsidRPr="00320589">
              <w:t>Intensive Care Unit (</w:t>
            </w:r>
            <w:r w:rsidRPr="00320589">
              <w:t>ICU</w:t>
            </w:r>
            <w:r w:rsidR="00A31697" w:rsidRPr="00320589">
              <w:t>)</w:t>
            </w:r>
            <w:r w:rsidRPr="00320589">
              <w:t xml:space="preserve"> stay (</w:t>
            </w:r>
            <w:r w:rsidR="00815C3D" w:rsidRPr="00320589">
              <w:t>p &lt; 0</w:t>
            </w:r>
            <w:r w:rsidRPr="00320589">
              <w:t>.05)</w:t>
            </w:r>
          </w:p>
        </w:tc>
      </w:tr>
      <w:tr w:rsidR="005C13F0" w:rsidRPr="00320589" w14:paraId="4556B24A" w14:textId="77777777" w:rsidTr="00320589">
        <w:tc>
          <w:tcPr>
            <w:tcW w:w="2210" w:type="dxa"/>
          </w:tcPr>
          <w:p w14:paraId="53AF4F2F" w14:textId="77777777" w:rsidR="005C13F0" w:rsidRPr="00320589" w:rsidRDefault="005C13F0" w:rsidP="00D026F6">
            <w:proofErr w:type="spellStart"/>
            <w:r w:rsidRPr="00320589">
              <w:lastRenderedPageBreak/>
              <w:t>Gianetti</w:t>
            </w:r>
            <w:proofErr w:type="spellEnd"/>
            <w:r w:rsidRPr="00320589">
              <w:t xml:space="preserve"> et al 2004</w:t>
            </w:r>
            <w:bookmarkStart w:id="85" w:name="_Ref477772424"/>
            <w:r w:rsidR="006A7861" w:rsidRPr="00320589">
              <w:rPr>
                <w:rStyle w:val="FootnoteReference"/>
                <w:rFonts w:asciiTheme="minorHAnsi" w:hAnsiTheme="minorHAnsi"/>
                <w:sz w:val="20"/>
                <w:szCs w:val="20"/>
              </w:rPr>
              <w:footnoteReference w:id="21"/>
            </w:r>
            <w:bookmarkEnd w:id="85"/>
          </w:p>
        </w:tc>
        <w:tc>
          <w:tcPr>
            <w:tcW w:w="1300" w:type="dxa"/>
          </w:tcPr>
          <w:p w14:paraId="077DA94D" w14:textId="77777777" w:rsidR="005C13F0" w:rsidRPr="00320589" w:rsidRDefault="005C13F0" w:rsidP="00D026F6">
            <w:r w:rsidRPr="00320589">
              <w:t>R, C</w:t>
            </w:r>
          </w:p>
        </w:tc>
        <w:tc>
          <w:tcPr>
            <w:tcW w:w="993" w:type="dxa"/>
          </w:tcPr>
          <w:p w14:paraId="7AD49FAC" w14:textId="77777777" w:rsidR="005C13F0" w:rsidRPr="00320589" w:rsidRDefault="005C13F0" w:rsidP="00D026F6">
            <w:r w:rsidRPr="00320589">
              <w:t>29</w:t>
            </w:r>
          </w:p>
        </w:tc>
        <w:tc>
          <w:tcPr>
            <w:tcW w:w="4217" w:type="dxa"/>
          </w:tcPr>
          <w:p w14:paraId="49FE8C3C" w14:textId="77777777" w:rsidR="005C13F0" w:rsidRPr="00320589" w:rsidRDefault="005C13F0" w:rsidP="00D026F6">
            <w:r w:rsidRPr="00320589">
              <w:t>Low concentration iNO can blunt release of markers of myocardial injury and antagonise LV dysfunction after CPB.</w:t>
            </w:r>
          </w:p>
        </w:tc>
      </w:tr>
      <w:tr w:rsidR="005C13F0" w:rsidRPr="00320589" w14:paraId="1F254298" w14:textId="77777777" w:rsidTr="00320589">
        <w:tc>
          <w:tcPr>
            <w:tcW w:w="2210" w:type="dxa"/>
          </w:tcPr>
          <w:p w14:paraId="2A028837" w14:textId="77777777" w:rsidR="005C13F0" w:rsidRPr="00320589" w:rsidRDefault="005C13F0" w:rsidP="00D026F6">
            <w:proofErr w:type="spellStart"/>
            <w:r w:rsidRPr="00320589">
              <w:t>Schmid</w:t>
            </w:r>
            <w:proofErr w:type="spellEnd"/>
            <w:r w:rsidRPr="00320589">
              <w:t xml:space="preserve"> et al 1999</w:t>
            </w:r>
            <w:bookmarkStart w:id="86" w:name="_Ref477766928"/>
            <w:r w:rsidR="006A7861" w:rsidRPr="00320589">
              <w:rPr>
                <w:rStyle w:val="FootnoteReference"/>
                <w:rFonts w:asciiTheme="minorHAnsi" w:hAnsiTheme="minorHAnsi"/>
                <w:sz w:val="20"/>
                <w:szCs w:val="20"/>
              </w:rPr>
              <w:footnoteReference w:id="22"/>
            </w:r>
            <w:bookmarkEnd w:id="86"/>
          </w:p>
        </w:tc>
        <w:tc>
          <w:tcPr>
            <w:tcW w:w="1300" w:type="dxa"/>
          </w:tcPr>
          <w:p w14:paraId="3E307CD3" w14:textId="77777777" w:rsidR="005C13F0" w:rsidRPr="00320589" w:rsidRDefault="005C13F0" w:rsidP="00D026F6">
            <w:r w:rsidRPr="00320589">
              <w:t>R, XO</w:t>
            </w:r>
          </w:p>
        </w:tc>
        <w:tc>
          <w:tcPr>
            <w:tcW w:w="993" w:type="dxa"/>
          </w:tcPr>
          <w:p w14:paraId="65317222" w14:textId="77777777" w:rsidR="005C13F0" w:rsidRPr="00320589" w:rsidRDefault="005C13F0" w:rsidP="00D026F6">
            <w:r w:rsidRPr="00320589">
              <w:t>14</w:t>
            </w:r>
          </w:p>
        </w:tc>
        <w:tc>
          <w:tcPr>
            <w:tcW w:w="4217" w:type="dxa"/>
          </w:tcPr>
          <w:p w14:paraId="34F46722" w14:textId="77777777" w:rsidR="005C13F0" w:rsidRPr="00320589" w:rsidRDefault="005C13F0" w:rsidP="00D026F6">
            <w:proofErr w:type="spellStart"/>
            <w:r w:rsidRPr="00320589">
              <w:t>iNO</w:t>
            </w:r>
            <w:proofErr w:type="spellEnd"/>
            <w:r w:rsidRPr="00320589">
              <w:t xml:space="preserve"> and </w:t>
            </w:r>
            <w:proofErr w:type="spellStart"/>
            <w:r w:rsidRPr="00320589">
              <w:t>prostacycline</w:t>
            </w:r>
            <w:proofErr w:type="spellEnd"/>
            <w:r w:rsidRPr="00320589">
              <w:t xml:space="preserve"> iv decreased PVR and increased cardiac index</w:t>
            </w:r>
          </w:p>
        </w:tc>
      </w:tr>
      <w:tr w:rsidR="005C13F0" w:rsidRPr="00320589" w14:paraId="6272233B" w14:textId="77777777" w:rsidTr="00320589">
        <w:tc>
          <w:tcPr>
            <w:tcW w:w="2210" w:type="dxa"/>
          </w:tcPr>
          <w:p w14:paraId="73788061" w14:textId="77777777" w:rsidR="005C13F0" w:rsidRPr="00320589" w:rsidRDefault="005C13F0" w:rsidP="00D026F6">
            <w:proofErr w:type="spellStart"/>
            <w:r w:rsidRPr="00320589">
              <w:t>Winterhalter</w:t>
            </w:r>
            <w:proofErr w:type="spellEnd"/>
            <w:r w:rsidRPr="00320589">
              <w:t xml:space="preserve"> et al 2008</w:t>
            </w:r>
            <w:bookmarkStart w:id="87" w:name="_Ref477766865"/>
            <w:r w:rsidR="006A7861" w:rsidRPr="00320589">
              <w:rPr>
                <w:rStyle w:val="FootnoteReference"/>
                <w:rFonts w:asciiTheme="minorHAnsi" w:hAnsiTheme="minorHAnsi"/>
                <w:sz w:val="20"/>
                <w:szCs w:val="20"/>
              </w:rPr>
              <w:footnoteReference w:id="23"/>
            </w:r>
            <w:bookmarkEnd w:id="87"/>
          </w:p>
        </w:tc>
        <w:tc>
          <w:tcPr>
            <w:tcW w:w="1300" w:type="dxa"/>
          </w:tcPr>
          <w:p w14:paraId="70E20E29" w14:textId="77777777" w:rsidR="005C13F0" w:rsidRPr="00320589" w:rsidRDefault="005C13F0" w:rsidP="00D026F6">
            <w:r w:rsidRPr="00320589">
              <w:t>R, C</w:t>
            </w:r>
          </w:p>
        </w:tc>
        <w:tc>
          <w:tcPr>
            <w:tcW w:w="993" w:type="dxa"/>
          </w:tcPr>
          <w:p w14:paraId="2B461DBA" w14:textId="77777777" w:rsidR="005C13F0" w:rsidRPr="00320589" w:rsidRDefault="005C13F0" w:rsidP="00D026F6">
            <w:r w:rsidRPr="00320589">
              <w:t>46</w:t>
            </w:r>
          </w:p>
        </w:tc>
        <w:tc>
          <w:tcPr>
            <w:tcW w:w="4217" w:type="dxa"/>
          </w:tcPr>
          <w:p w14:paraId="3BEF3286" w14:textId="77777777" w:rsidR="005C13F0" w:rsidRPr="00320589" w:rsidRDefault="005C13F0" w:rsidP="00D026F6">
            <w:proofErr w:type="gramStart"/>
            <w:r w:rsidRPr="00320589">
              <w:t>iNO</w:t>
            </w:r>
            <w:proofErr w:type="gramEnd"/>
            <w:r w:rsidRPr="00320589">
              <w:t xml:space="preserve"> and iloprost both reduced PAP and PVR immediately after weaning from CPB. Iloprost gave larger reductions in PVR and </w:t>
            </w:r>
            <w:proofErr w:type="spellStart"/>
            <w:r w:rsidRPr="00320589">
              <w:t>mPAP</w:t>
            </w:r>
            <w:proofErr w:type="spellEnd"/>
            <w:r w:rsidRPr="00320589">
              <w:t xml:space="preserve"> and greater increase in </w:t>
            </w:r>
            <w:r w:rsidR="00356B53" w:rsidRPr="00320589">
              <w:t>cardiac output (</w:t>
            </w:r>
            <w:r w:rsidRPr="00320589">
              <w:t>CO</w:t>
            </w:r>
            <w:r w:rsidR="00356B53" w:rsidRPr="00320589">
              <w:t>)</w:t>
            </w:r>
            <w:r w:rsidRPr="00320589">
              <w:t>.</w:t>
            </w:r>
          </w:p>
        </w:tc>
      </w:tr>
      <w:tr w:rsidR="005C13F0" w:rsidRPr="00320589" w14:paraId="2B83B3C2" w14:textId="77777777" w:rsidTr="00320589">
        <w:tc>
          <w:tcPr>
            <w:tcW w:w="2210" w:type="dxa"/>
          </w:tcPr>
          <w:p w14:paraId="4FBE857E" w14:textId="77777777" w:rsidR="005C13F0" w:rsidRPr="00320589" w:rsidRDefault="005C13F0" w:rsidP="00D026F6">
            <w:proofErr w:type="spellStart"/>
            <w:r w:rsidRPr="00320589">
              <w:t>Solina</w:t>
            </w:r>
            <w:proofErr w:type="spellEnd"/>
            <w:r w:rsidRPr="00320589">
              <w:t xml:space="preserve"> et al 2000</w:t>
            </w:r>
            <w:bookmarkStart w:id="88" w:name="_Ref477766983"/>
            <w:r w:rsidR="006A7861" w:rsidRPr="00320589">
              <w:rPr>
                <w:rStyle w:val="FootnoteReference"/>
                <w:rFonts w:asciiTheme="minorHAnsi" w:hAnsiTheme="minorHAnsi"/>
                <w:sz w:val="20"/>
                <w:szCs w:val="20"/>
              </w:rPr>
              <w:footnoteReference w:id="24"/>
            </w:r>
            <w:bookmarkEnd w:id="88"/>
          </w:p>
        </w:tc>
        <w:tc>
          <w:tcPr>
            <w:tcW w:w="1300" w:type="dxa"/>
          </w:tcPr>
          <w:p w14:paraId="5B1424AA" w14:textId="77777777" w:rsidR="005C13F0" w:rsidRPr="00320589" w:rsidRDefault="005C13F0" w:rsidP="00D026F6">
            <w:r w:rsidRPr="00320589">
              <w:t>R, C</w:t>
            </w:r>
          </w:p>
        </w:tc>
        <w:tc>
          <w:tcPr>
            <w:tcW w:w="993" w:type="dxa"/>
          </w:tcPr>
          <w:p w14:paraId="2ECF6B32" w14:textId="77777777" w:rsidR="005C13F0" w:rsidRPr="00320589" w:rsidRDefault="005C13F0" w:rsidP="00D026F6">
            <w:r w:rsidRPr="00320589">
              <w:t>45</w:t>
            </w:r>
          </w:p>
        </w:tc>
        <w:tc>
          <w:tcPr>
            <w:tcW w:w="4217" w:type="dxa"/>
          </w:tcPr>
          <w:p w14:paraId="6650240B" w14:textId="77777777" w:rsidR="005C13F0" w:rsidRPr="00320589" w:rsidRDefault="005C13F0" w:rsidP="00D026F6">
            <w:proofErr w:type="gramStart"/>
            <w:r w:rsidRPr="00320589">
              <w:t>iNO</w:t>
            </w:r>
            <w:proofErr w:type="gramEnd"/>
            <w:r w:rsidRPr="00320589">
              <w:t xml:space="preserve"> lead to lower HR, higher </w:t>
            </w:r>
            <w:r w:rsidR="00B47086" w:rsidRPr="00320589">
              <w:t>Right Ventricular (</w:t>
            </w:r>
            <w:r w:rsidRPr="00320589">
              <w:t>RV</w:t>
            </w:r>
            <w:r w:rsidR="00B47086" w:rsidRPr="00320589">
              <w:t>)</w:t>
            </w:r>
            <w:r w:rsidRPr="00320589">
              <w:t xml:space="preserve"> ejection fraction and lower vasopressor requirement compared to milrinone.</w:t>
            </w:r>
          </w:p>
        </w:tc>
      </w:tr>
      <w:tr w:rsidR="005C13F0" w:rsidRPr="00320589" w14:paraId="00A2BA29" w14:textId="77777777" w:rsidTr="00320589">
        <w:tc>
          <w:tcPr>
            <w:tcW w:w="2210" w:type="dxa"/>
          </w:tcPr>
          <w:p w14:paraId="7693D351" w14:textId="77777777" w:rsidR="005C13F0" w:rsidRPr="00320589" w:rsidRDefault="005C13F0" w:rsidP="00D026F6">
            <w:proofErr w:type="spellStart"/>
            <w:r w:rsidRPr="00320589">
              <w:t>Solina</w:t>
            </w:r>
            <w:proofErr w:type="spellEnd"/>
            <w:r w:rsidRPr="00320589">
              <w:t xml:space="preserve"> et al 2001</w:t>
            </w:r>
            <w:bookmarkStart w:id="89" w:name="_Ref477767001"/>
            <w:r w:rsidR="006A7861" w:rsidRPr="00320589">
              <w:rPr>
                <w:rStyle w:val="FootnoteReference"/>
                <w:rFonts w:asciiTheme="minorHAnsi" w:hAnsiTheme="minorHAnsi"/>
                <w:sz w:val="20"/>
                <w:szCs w:val="20"/>
              </w:rPr>
              <w:footnoteReference w:id="25"/>
            </w:r>
            <w:bookmarkEnd w:id="89"/>
          </w:p>
        </w:tc>
        <w:tc>
          <w:tcPr>
            <w:tcW w:w="1300" w:type="dxa"/>
          </w:tcPr>
          <w:p w14:paraId="201ED352" w14:textId="77777777" w:rsidR="005C13F0" w:rsidRPr="00320589" w:rsidRDefault="005C13F0" w:rsidP="00D026F6">
            <w:r w:rsidRPr="00320589">
              <w:t>R, C</w:t>
            </w:r>
          </w:p>
        </w:tc>
        <w:tc>
          <w:tcPr>
            <w:tcW w:w="993" w:type="dxa"/>
          </w:tcPr>
          <w:p w14:paraId="599DC53B" w14:textId="77777777" w:rsidR="005C13F0" w:rsidRPr="00320589" w:rsidRDefault="005C13F0" w:rsidP="00D026F6">
            <w:r w:rsidRPr="00320589">
              <w:t>62</w:t>
            </w:r>
          </w:p>
        </w:tc>
        <w:tc>
          <w:tcPr>
            <w:tcW w:w="4217" w:type="dxa"/>
          </w:tcPr>
          <w:p w14:paraId="14A45D79" w14:textId="77777777" w:rsidR="005C13F0" w:rsidRPr="00320589" w:rsidRDefault="005C13F0" w:rsidP="00D026F6">
            <w:r w:rsidRPr="00320589">
              <w:t>Doses of iNO &gt; 10p pm showed no difference in PVR response.</w:t>
            </w:r>
          </w:p>
        </w:tc>
      </w:tr>
    </w:tbl>
    <w:p w14:paraId="7DCC6A24" w14:textId="40024966" w:rsidR="005C13F0" w:rsidRPr="00700FC3" w:rsidRDefault="005C13F0" w:rsidP="005C13F0">
      <w:r w:rsidRPr="00700FC3">
        <w:t xml:space="preserve">Of note, the two </w:t>
      </w:r>
      <w:proofErr w:type="spellStart"/>
      <w:r w:rsidRPr="00700FC3">
        <w:t>Fattouch</w:t>
      </w:r>
      <w:proofErr w:type="spellEnd"/>
      <w:r w:rsidRPr="00700FC3">
        <w:t xml:space="preserve"> studies were described</w:t>
      </w:r>
      <w:r w:rsidR="00B2168B">
        <w:rPr>
          <w:rStyle w:val="FootnoteReference"/>
        </w:rPr>
        <w:footnoteReference w:id="26"/>
      </w:r>
      <w:r w:rsidRPr="00700FC3">
        <w:t xml:space="preserve"> as </w:t>
      </w:r>
      <w:r>
        <w:t>double blind</w:t>
      </w:r>
      <w:r w:rsidRPr="00700FC3">
        <w:t xml:space="preserve"> but it is unclear if blinding was adequate. </w:t>
      </w:r>
      <w:r w:rsidR="00A54259">
        <w:t>[I</w:t>
      </w:r>
      <w:r w:rsidR="00B2168B">
        <w:t>nformation redacted]</w:t>
      </w:r>
      <w:r w:rsidRPr="00700FC3">
        <w:t>.</w:t>
      </w:r>
    </w:p>
    <w:p w14:paraId="2610F093" w14:textId="0810E444" w:rsidR="005C13F0" w:rsidRDefault="005C13F0" w:rsidP="00320589">
      <w:pPr>
        <w:pStyle w:val="Tabletitle0"/>
      </w:pPr>
      <w:bookmarkStart w:id="90" w:name="_Toc418607748"/>
      <w:r w:rsidRPr="004536B4">
        <w:t xml:space="preserve">Table </w:t>
      </w:r>
      <w:r w:rsidR="004536B4">
        <w:t>7</w:t>
      </w:r>
      <w:r w:rsidRPr="004536B4">
        <w:t>: Studies</w:t>
      </w:r>
      <w:r w:rsidRPr="00700FC3">
        <w:t xml:space="preserve"> in adult patients undergoing heart transplant or </w:t>
      </w:r>
      <w:r w:rsidR="005E41D7">
        <w:t xml:space="preserve">left ventricular assist device </w:t>
      </w:r>
      <w:r w:rsidRPr="00320589">
        <w:t>insertion</w:t>
      </w:r>
      <w:bookmarkEnd w:id="90"/>
      <w:r w:rsidR="00B2168B" w:rsidRPr="00320589">
        <w:fldChar w:fldCharType="begin"/>
      </w:r>
      <w:r w:rsidR="00B2168B" w:rsidRPr="00320589">
        <w:instrText xml:space="preserve"> NOTEREF _Ref481397853 \h  \* MERGEFORMAT </w:instrText>
      </w:r>
      <w:r w:rsidR="00B2168B" w:rsidRPr="00320589">
        <w:fldChar w:fldCharType="separate"/>
      </w:r>
      <w:r w:rsidR="00B2168B" w:rsidRPr="00320589">
        <w:t>18</w:t>
      </w:r>
      <w:r w:rsidR="00B2168B" w:rsidRPr="00320589">
        <w:fldChar w:fldCharType="end"/>
      </w:r>
    </w:p>
    <w:tbl>
      <w:tblPr>
        <w:tblStyle w:val="TableTGAblue"/>
        <w:tblW w:w="0" w:type="auto"/>
        <w:tblLook w:val="04A0" w:firstRow="1" w:lastRow="0" w:firstColumn="1" w:lastColumn="0" w:noHBand="0" w:noVBand="1"/>
      </w:tblPr>
      <w:tblGrid>
        <w:gridCol w:w="2218"/>
        <w:gridCol w:w="1291"/>
        <w:gridCol w:w="1075"/>
        <w:gridCol w:w="4136"/>
      </w:tblGrid>
      <w:tr w:rsidR="005C13F0" w:rsidRPr="00320589" w14:paraId="14B5C142" w14:textId="77777777" w:rsidTr="005C13F0">
        <w:trPr>
          <w:cnfStyle w:val="100000000000" w:firstRow="1" w:lastRow="0" w:firstColumn="0" w:lastColumn="0" w:oddVBand="0" w:evenVBand="0" w:oddHBand="0" w:evenHBand="0" w:firstRowFirstColumn="0" w:firstRowLastColumn="0" w:lastRowFirstColumn="0" w:lastRowLastColumn="0"/>
        </w:trPr>
        <w:tc>
          <w:tcPr>
            <w:tcW w:w="2218" w:type="dxa"/>
          </w:tcPr>
          <w:p w14:paraId="72EA0267" w14:textId="77777777" w:rsidR="005C13F0" w:rsidRPr="00320589" w:rsidRDefault="005C13F0" w:rsidP="00D026F6">
            <w:r w:rsidRPr="00320589">
              <w:t>Authors</w:t>
            </w:r>
          </w:p>
        </w:tc>
        <w:tc>
          <w:tcPr>
            <w:tcW w:w="1291" w:type="dxa"/>
          </w:tcPr>
          <w:p w14:paraId="166B22CE" w14:textId="77777777" w:rsidR="005C13F0" w:rsidRPr="00320589" w:rsidRDefault="005C13F0" w:rsidP="00D026F6">
            <w:r w:rsidRPr="00320589">
              <w:t>Study Design</w:t>
            </w:r>
          </w:p>
        </w:tc>
        <w:tc>
          <w:tcPr>
            <w:tcW w:w="1075" w:type="dxa"/>
          </w:tcPr>
          <w:p w14:paraId="2722F634" w14:textId="77777777" w:rsidR="005C13F0" w:rsidRPr="00320589" w:rsidRDefault="005C13F0" w:rsidP="00D026F6">
            <w:r w:rsidRPr="00320589">
              <w:t>No. Pts</w:t>
            </w:r>
          </w:p>
        </w:tc>
        <w:tc>
          <w:tcPr>
            <w:tcW w:w="4136" w:type="dxa"/>
          </w:tcPr>
          <w:p w14:paraId="034BF9AB" w14:textId="77777777" w:rsidR="005C13F0" w:rsidRPr="00320589" w:rsidRDefault="005C13F0" w:rsidP="00D026F6">
            <w:r w:rsidRPr="00320589">
              <w:t>Primary Outcome</w:t>
            </w:r>
          </w:p>
        </w:tc>
      </w:tr>
      <w:tr w:rsidR="005C13F0" w:rsidRPr="00320589" w14:paraId="3DDA8FB9" w14:textId="77777777" w:rsidTr="005C13F0">
        <w:tc>
          <w:tcPr>
            <w:tcW w:w="8720" w:type="dxa"/>
            <w:gridSpan w:val="4"/>
          </w:tcPr>
          <w:p w14:paraId="1BC3B3EF" w14:textId="77777777" w:rsidR="005C13F0" w:rsidRPr="00320589" w:rsidRDefault="005C13F0" w:rsidP="00D026F6">
            <w:r w:rsidRPr="00320589">
              <w:t>Heart transplant patients</w:t>
            </w:r>
          </w:p>
        </w:tc>
      </w:tr>
      <w:tr w:rsidR="005C13F0" w:rsidRPr="00320589" w14:paraId="09E2E2EC" w14:textId="77777777" w:rsidTr="005C13F0">
        <w:tc>
          <w:tcPr>
            <w:tcW w:w="2218" w:type="dxa"/>
          </w:tcPr>
          <w:p w14:paraId="04C87305" w14:textId="77777777" w:rsidR="005C13F0" w:rsidRPr="00320589" w:rsidRDefault="005C13F0" w:rsidP="00D026F6">
            <w:proofErr w:type="spellStart"/>
            <w:r w:rsidRPr="00320589">
              <w:t>Ardehali</w:t>
            </w:r>
            <w:proofErr w:type="spellEnd"/>
            <w:r w:rsidRPr="00320589">
              <w:t xml:space="preserve"> et al 2001</w:t>
            </w:r>
            <w:bookmarkStart w:id="91" w:name="_Ref477766279"/>
            <w:r w:rsidR="006A7861" w:rsidRPr="00320589">
              <w:rPr>
                <w:rStyle w:val="FootnoteReference"/>
                <w:sz w:val="20"/>
                <w:szCs w:val="20"/>
              </w:rPr>
              <w:footnoteReference w:id="27"/>
            </w:r>
            <w:bookmarkEnd w:id="91"/>
          </w:p>
        </w:tc>
        <w:tc>
          <w:tcPr>
            <w:tcW w:w="1291" w:type="dxa"/>
          </w:tcPr>
          <w:p w14:paraId="18F12CE2" w14:textId="77777777" w:rsidR="005C13F0" w:rsidRPr="00320589" w:rsidRDefault="005C13F0" w:rsidP="00D026F6">
            <w:proofErr w:type="spellStart"/>
            <w:r w:rsidRPr="00320589">
              <w:t>Pr</w:t>
            </w:r>
            <w:proofErr w:type="spellEnd"/>
            <w:r w:rsidRPr="00320589">
              <w:t>, C</w:t>
            </w:r>
          </w:p>
        </w:tc>
        <w:tc>
          <w:tcPr>
            <w:tcW w:w="1075" w:type="dxa"/>
          </w:tcPr>
          <w:p w14:paraId="77539810" w14:textId="77777777" w:rsidR="005C13F0" w:rsidRPr="00320589" w:rsidRDefault="005C13F0" w:rsidP="00D026F6">
            <w:r w:rsidRPr="00320589">
              <w:t>16</w:t>
            </w:r>
          </w:p>
        </w:tc>
        <w:tc>
          <w:tcPr>
            <w:tcW w:w="4136" w:type="dxa"/>
          </w:tcPr>
          <w:p w14:paraId="5CFDA655" w14:textId="77777777" w:rsidR="005C13F0" w:rsidRPr="00320589" w:rsidRDefault="005C13F0" w:rsidP="00D026F6">
            <w:r w:rsidRPr="00320589">
              <w:t>Post-transplant iNO significantly reduced RV stroke work and PVR.</w:t>
            </w:r>
          </w:p>
        </w:tc>
      </w:tr>
      <w:tr w:rsidR="005C13F0" w:rsidRPr="00320589" w14:paraId="07DAA49A" w14:textId="77777777" w:rsidTr="005C13F0">
        <w:tc>
          <w:tcPr>
            <w:tcW w:w="2218" w:type="dxa"/>
          </w:tcPr>
          <w:p w14:paraId="60283B9E" w14:textId="77777777" w:rsidR="005C13F0" w:rsidRPr="00320589" w:rsidRDefault="005C13F0" w:rsidP="00D026F6">
            <w:proofErr w:type="spellStart"/>
            <w:r w:rsidRPr="00320589">
              <w:lastRenderedPageBreak/>
              <w:t>Kieler</w:t>
            </w:r>
            <w:proofErr w:type="spellEnd"/>
            <w:r w:rsidRPr="00320589">
              <w:t>-Jensen et al 1994</w:t>
            </w:r>
            <w:r w:rsidR="006A7861" w:rsidRPr="00320589">
              <w:rPr>
                <w:vertAlign w:val="superscript"/>
              </w:rPr>
              <w:fldChar w:fldCharType="begin"/>
            </w:r>
            <w:r w:rsidR="006A7861" w:rsidRPr="00320589">
              <w:rPr>
                <w:vertAlign w:val="superscript"/>
              </w:rPr>
              <w:instrText xml:space="preserve"> NOTEREF _Ref477536101 \h  \* MERGEFORMAT </w:instrText>
            </w:r>
            <w:r w:rsidR="006A7861" w:rsidRPr="00320589">
              <w:rPr>
                <w:vertAlign w:val="superscript"/>
              </w:rPr>
            </w:r>
            <w:r w:rsidR="006A7861" w:rsidRPr="00320589">
              <w:rPr>
                <w:vertAlign w:val="superscript"/>
              </w:rPr>
              <w:fldChar w:fldCharType="separate"/>
            </w:r>
            <w:r w:rsidR="006D3007" w:rsidRPr="00320589">
              <w:rPr>
                <w:vertAlign w:val="superscript"/>
              </w:rPr>
              <w:t>10</w:t>
            </w:r>
            <w:r w:rsidR="006A7861" w:rsidRPr="00320589">
              <w:rPr>
                <w:vertAlign w:val="superscript"/>
              </w:rPr>
              <w:fldChar w:fldCharType="end"/>
            </w:r>
          </w:p>
        </w:tc>
        <w:tc>
          <w:tcPr>
            <w:tcW w:w="1291" w:type="dxa"/>
          </w:tcPr>
          <w:p w14:paraId="02840BF9" w14:textId="77777777" w:rsidR="005C13F0" w:rsidRPr="00320589" w:rsidRDefault="005C13F0" w:rsidP="00D026F6">
            <w:proofErr w:type="spellStart"/>
            <w:r w:rsidRPr="00320589">
              <w:t>Pr</w:t>
            </w:r>
            <w:proofErr w:type="spellEnd"/>
            <w:r w:rsidRPr="00320589">
              <w:t>, C</w:t>
            </w:r>
          </w:p>
        </w:tc>
        <w:tc>
          <w:tcPr>
            <w:tcW w:w="1075" w:type="dxa"/>
          </w:tcPr>
          <w:p w14:paraId="1ECBEE54" w14:textId="77777777" w:rsidR="005C13F0" w:rsidRPr="00320589" w:rsidRDefault="005C13F0" w:rsidP="00D026F6">
            <w:r w:rsidRPr="00320589">
              <w:t>12</w:t>
            </w:r>
          </w:p>
        </w:tc>
        <w:tc>
          <w:tcPr>
            <w:tcW w:w="4136" w:type="dxa"/>
          </w:tcPr>
          <w:p w14:paraId="1082E011" w14:textId="6AE6E8AD" w:rsidR="005C13F0" w:rsidRPr="00320589" w:rsidRDefault="00931496" w:rsidP="00D026F6">
            <w:r w:rsidRPr="00320589">
              <w:t>Should read “INO significantly increased PCWP and decreased PVR (p&lt;0.01) during 20ppm NO, with no further effects at 40 or 80ppm</w:t>
            </w:r>
          </w:p>
        </w:tc>
      </w:tr>
      <w:tr w:rsidR="005C13F0" w:rsidRPr="00320589" w14:paraId="44DFA66F" w14:textId="77777777" w:rsidTr="005C13F0">
        <w:tc>
          <w:tcPr>
            <w:tcW w:w="2218" w:type="dxa"/>
          </w:tcPr>
          <w:p w14:paraId="69E952CD" w14:textId="77777777" w:rsidR="005C13F0" w:rsidRPr="00320589" w:rsidRDefault="005C13F0" w:rsidP="00D026F6">
            <w:proofErr w:type="spellStart"/>
            <w:r w:rsidRPr="00320589">
              <w:t>Rajek</w:t>
            </w:r>
            <w:proofErr w:type="spellEnd"/>
            <w:r w:rsidRPr="00320589">
              <w:t xml:space="preserve"> at al 2000</w:t>
            </w:r>
            <w:bookmarkStart w:id="92" w:name="_Ref477536366"/>
            <w:r w:rsidR="006A7861" w:rsidRPr="00320589">
              <w:rPr>
                <w:rStyle w:val="FootnoteReference"/>
                <w:sz w:val="20"/>
                <w:szCs w:val="20"/>
              </w:rPr>
              <w:footnoteReference w:id="28"/>
            </w:r>
            <w:bookmarkEnd w:id="92"/>
          </w:p>
        </w:tc>
        <w:tc>
          <w:tcPr>
            <w:tcW w:w="1291" w:type="dxa"/>
          </w:tcPr>
          <w:p w14:paraId="371A7EC8" w14:textId="77777777" w:rsidR="005C13F0" w:rsidRPr="00320589" w:rsidRDefault="005C13F0" w:rsidP="00D026F6">
            <w:r w:rsidRPr="00320589">
              <w:t>R, C</w:t>
            </w:r>
          </w:p>
        </w:tc>
        <w:tc>
          <w:tcPr>
            <w:tcW w:w="1075" w:type="dxa"/>
          </w:tcPr>
          <w:p w14:paraId="0E7E7F3F" w14:textId="77777777" w:rsidR="005C13F0" w:rsidRPr="00320589" w:rsidRDefault="005C13F0" w:rsidP="00D026F6">
            <w:r w:rsidRPr="00320589">
              <w:t>68</w:t>
            </w:r>
          </w:p>
        </w:tc>
        <w:tc>
          <w:tcPr>
            <w:tcW w:w="4136" w:type="dxa"/>
          </w:tcPr>
          <w:p w14:paraId="25E45D65" w14:textId="554D5722" w:rsidR="005C13F0" w:rsidRPr="00320589" w:rsidRDefault="005C13F0" w:rsidP="00D026F6">
            <w:proofErr w:type="gramStart"/>
            <w:r w:rsidRPr="00320589">
              <w:t>iNO</w:t>
            </w:r>
            <w:proofErr w:type="gramEnd"/>
            <w:r w:rsidRPr="00320589">
              <w:t xml:space="preserve"> </w:t>
            </w:r>
            <w:r w:rsidR="00931496" w:rsidRPr="00320589">
              <w:t xml:space="preserve">commenced at </w:t>
            </w:r>
            <w:r w:rsidRPr="00320589">
              <w:t xml:space="preserve">4 ppm </w:t>
            </w:r>
            <w:r w:rsidR="00931496" w:rsidRPr="00320589">
              <w:t xml:space="preserve">but </w:t>
            </w:r>
            <w:proofErr w:type="spellStart"/>
            <w:r w:rsidR="00931496" w:rsidRPr="00320589">
              <w:t>tritrated</w:t>
            </w:r>
            <w:proofErr w:type="spellEnd"/>
            <w:r w:rsidR="00931496" w:rsidRPr="00320589">
              <w:t xml:space="preserve"> up as needed to 24 ppm </w:t>
            </w:r>
            <w:r w:rsidRPr="00320589">
              <w:t>cause selective reduction in PAP iNO aided weaning from CPB more successfully than PGE1.</w:t>
            </w:r>
          </w:p>
        </w:tc>
      </w:tr>
      <w:tr w:rsidR="005C13F0" w:rsidRPr="00320589" w14:paraId="623F3DBC" w14:textId="77777777" w:rsidTr="005C13F0">
        <w:tc>
          <w:tcPr>
            <w:tcW w:w="2218" w:type="dxa"/>
          </w:tcPr>
          <w:p w14:paraId="5300D9BF" w14:textId="77777777" w:rsidR="005C13F0" w:rsidRPr="00320589" w:rsidRDefault="005C13F0" w:rsidP="00D026F6">
            <w:proofErr w:type="spellStart"/>
            <w:r w:rsidRPr="00320589">
              <w:t>Radovancevic</w:t>
            </w:r>
            <w:proofErr w:type="spellEnd"/>
            <w:r w:rsidRPr="00320589">
              <w:t xml:space="preserve"> et al 2005</w:t>
            </w:r>
            <w:bookmarkStart w:id="93" w:name="_Ref477766910"/>
            <w:r w:rsidR="006A7861" w:rsidRPr="00320589">
              <w:rPr>
                <w:rStyle w:val="FootnoteReference"/>
                <w:sz w:val="20"/>
                <w:szCs w:val="20"/>
              </w:rPr>
              <w:footnoteReference w:id="29"/>
            </w:r>
            <w:bookmarkEnd w:id="93"/>
          </w:p>
        </w:tc>
        <w:tc>
          <w:tcPr>
            <w:tcW w:w="1291" w:type="dxa"/>
          </w:tcPr>
          <w:p w14:paraId="62AE6407" w14:textId="77777777" w:rsidR="005C13F0" w:rsidRPr="00320589" w:rsidRDefault="005C13F0" w:rsidP="00D026F6">
            <w:r w:rsidRPr="00320589">
              <w:t>R, XO</w:t>
            </w:r>
          </w:p>
        </w:tc>
        <w:tc>
          <w:tcPr>
            <w:tcW w:w="1075" w:type="dxa"/>
          </w:tcPr>
          <w:p w14:paraId="5740531B" w14:textId="77777777" w:rsidR="005C13F0" w:rsidRPr="00320589" w:rsidRDefault="005C13F0" w:rsidP="00D026F6">
            <w:r w:rsidRPr="00320589">
              <w:t>19</w:t>
            </w:r>
          </w:p>
        </w:tc>
        <w:tc>
          <w:tcPr>
            <w:tcW w:w="4136" w:type="dxa"/>
          </w:tcPr>
          <w:p w14:paraId="59C12898" w14:textId="77777777" w:rsidR="005C13F0" w:rsidRPr="00320589" w:rsidRDefault="005C13F0" w:rsidP="00D026F6">
            <w:proofErr w:type="gramStart"/>
            <w:r w:rsidRPr="00320589">
              <w:t>iNO</w:t>
            </w:r>
            <w:proofErr w:type="gramEnd"/>
            <w:r w:rsidRPr="00320589">
              <w:t xml:space="preserve"> and PGE1 have comparable dilatory effects in PAH.</w:t>
            </w:r>
          </w:p>
        </w:tc>
      </w:tr>
      <w:tr w:rsidR="005C13F0" w:rsidRPr="00320589" w14:paraId="6BD70679" w14:textId="77777777" w:rsidTr="005C13F0">
        <w:tc>
          <w:tcPr>
            <w:tcW w:w="8720" w:type="dxa"/>
            <w:gridSpan w:val="4"/>
          </w:tcPr>
          <w:p w14:paraId="2F30526E" w14:textId="77777777" w:rsidR="005C13F0" w:rsidRPr="00320589" w:rsidRDefault="005C13F0" w:rsidP="00D026F6">
            <w:r w:rsidRPr="00320589">
              <w:t>Left Ventricular Assist Device (LVAD) Placement</w:t>
            </w:r>
          </w:p>
        </w:tc>
      </w:tr>
      <w:tr w:rsidR="005C13F0" w:rsidRPr="00320589" w14:paraId="42365B3B" w14:textId="77777777" w:rsidTr="005C13F0">
        <w:tc>
          <w:tcPr>
            <w:tcW w:w="2218" w:type="dxa"/>
          </w:tcPr>
          <w:p w14:paraId="332038DC" w14:textId="77777777" w:rsidR="005C13F0" w:rsidRPr="00320589" w:rsidRDefault="005C13F0" w:rsidP="00D026F6">
            <w:proofErr w:type="spellStart"/>
            <w:r w:rsidRPr="00320589">
              <w:t>Argenziano</w:t>
            </w:r>
            <w:proofErr w:type="spellEnd"/>
            <w:r w:rsidRPr="00320589">
              <w:t xml:space="preserve"> et al 1998</w:t>
            </w:r>
            <w:bookmarkStart w:id="94" w:name="_Ref477536386"/>
            <w:r w:rsidR="006A7861" w:rsidRPr="00320589">
              <w:rPr>
                <w:rStyle w:val="FootnoteReference"/>
                <w:sz w:val="20"/>
                <w:szCs w:val="20"/>
              </w:rPr>
              <w:footnoteReference w:id="30"/>
            </w:r>
            <w:bookmarkEnd w:id="94"/>
          </w:p>
        </w:tc>
        <w:tc>
          <w:tcPr>
            <w:tcW w:w="1291" w:type="dxa"/>
          </w:tcPr>
          <w:p w14:paraId="76320EC9" w14:textId="77777777" w:rsidR="005C13F0" w:rsidRPr="00320589" w:rsidRDefault="005C13F0" w:rsidP="00D026F6">
            <w:r w:rsidRPr="00320589">
              <w:t>R, C, DB</w:t>
            </w:r>
          </w:p>
        </w:tc>
        <w:tc>
          <w:tcPr>
            <w:tcW w:w="1075" w:type="dxa"/>
          </w:tcPr>
          <w:p w14:paraId="796E1E11" w14:textId="77777777" w:rsidR="005C13F0" w:rsidRPr="00320589" w:rsidRDefault="005C13F0" w:rsidP="00D026F6">
            <w:r w:rsidRPr="00320589">
              <w:t>11</w:t>
            </w:r>
          </w:p>
        </w:tc>
        <w:tc>
          <w:tcPr>
            <w:tcW w:w="4136" w:type="dxa"/>
          </w:tcPr>
          <w:p w14:paraId="1084657E" w14:textId="3BF2D390" w:rsidR="005C13F0" w:rsidRPr="00320589" w:rsidRDefault="005C13F0" w:rsidP="00D026F6">
            <w:proofErr w:type="gramStart"/>
            <w:r w:rsidRPr="00320589">
              <w:t>iNO</w:t>
            </w:r>
            <w:proofErr w:type="gramEnd"/>
            <w:r w:rsidRPr="00320589">
              <w:t xml:space="preserve"> at 20 ppm induced significant reductions in </w:t>
            </w:r>
            <w:proofErr w:type="spellStart"/>
            <w:r w:rsidRPr="00320589">
              <w:t>mPAP</w:t>
            </w:r>
            <w:proofErr w:type="spellEnd"/>
            <w:r w:rsidRPr="00320589">
              <w:t xml:space="preserve"> and increases in LVAD</w:t>
            </w:r>
            <w:r w:rsidR="00931496" w:rsidRPr="00320589">
              <w:t xml:space="preserve"> </w:t>
            </w:r>
            <w:proofErr w:type="spellStart"/>
            <w:r w:rsidR="00931496" w:rsidRPr="00320589">
              <w:t>flowindex</w:t>
            </w:r>
            <w:proofErr w:type="spellEnd"/>
            <w:r w:rsidRPr="00320589">
              <w:t>.</w:t>
            </w:r>
          </w:p>
        </w:tc>
      </w:tr>
      <w:tr w:rsidR="005C13F0" w:rsidRPr="00320589" w14:paraId="348B2C0F" w14:textId="77777777" w:rsidTr="005C13F0">
        <w:tc>
          <w:tcPr>
            <w:tcW w:w="2218" w:type="dxa"/>
          </w:tcPr>
          <w:p w14:paraId="3A56B2B6" w14:textId="77777777" w:rsidR="005C13F0" w:rsidRPr="00320589" w:rsidRDefault="005C13F0" w:rsidP="00D026F6">
            <w:r w:rsidRPr="00320589">
              <w:t>INOT41</w:t>
            </w:r>
          </w:p>
        </w:tc>
        <w:tc>
          <w:tcPr>
            <w:tcW w:w="1291" w:type="dxa"/>
          </w:tcPr>
          <w:p w14:paraId="2B12C683" w14:textId="77777777" w:rsidR="005C13F0" w:rsidRPr="00320589" w:rsidRDefault="005C13F0" w:rsidP="00D026F6">
            <w:r w:rsidRPr="00320589">
              <w:t>R, C</w:t>
            </w:r>
          </w:p>
        </w:tc>
        <w:tc>
          <w:tcPr>
            <w:tcW w:w="1075" w:type="dxa"/>
          </w:tcPr>
          <w:p w14:paraId="0A5653A1" w14:textId="77777777" w:rsidR="005C13F0" w:rsidRPr="00320589" w:rsidRDefault="005C13F0" w:rsidP="00D026F6">
            <w:r w:rsidRPr="00320589">
              <w:t>150</w:t>
            </w:r>
          </w:p>
        </w:tc>
        <w:tc>
          <w:tcPr>
            <w:tcW w:w="4136" w:type="dxa"/>
          </w:tcPr>
          <w:p w14:paraId="2CD2F845" w14:textId="6DAB221D" w:rsidR="005C13F0" w:rsidRPr="00320589" w:rsidRDefault="005C13F0" w:rsidP="00D026F6">
            <w:r w:rsidRPr="00320589">
              <w:t xml:space="preserve">LVAD. </w:t>
            </w:r>
            <w:proofErr w:type="gramStart"/>
            <w:r w:rsidRPr="00320589">
              <w:t>iNO</w:t>
            </w:r>
            <w:proofErr w:type="gramEnd"/>
            <w:r w:rsidRPr="00320589">
              <w:t xml:space="preserve"> reduced the incidence of right ventricular dysfunction, but not significantly. Time on mechanical ventilation reduced for iNO (p=0.077)</w:t>
            </w:r>
          </w:p>
        </w:tc>
      </w:tr>
    </w:tbl>
    <w:p w14:paraId="5FBE404E" w14:textId="77777777" w:rsidR="00953C28" w:rsidRPr="005C13F0" w:rsidRDefault="00953C28" w:rsidP="005C13F0">
      <w:r>
        <w:t xml:space="preserve">For the full details of the evaluation of efficacy please see </w:t>
      </w:r>
      <w:r w:rsidR="005E41D7">
        <w:t>Attachment</w:t>
      </w:r>
      <w:r>
        <w:t xml:space="preserve"> 2, Extract of the Clinical Evaluation Report.</w:t>
      </w:r>
    </w:p>
    <w:p w14:paraId="20B5E7A0" w14:textId="77777777" w:rsidR="008E7846" w:rsidRDefault="00605AD4" w:rsidP="00605AD4">
      <w:pPr>
        <w:pStyle w:val="Heading4"/>
      </w:pPr>
      <w:bookmarkStart w:id="95" w:name="_Toc184439992"/>
      <w:bookmarkStart w:id="96" w:name="_Toc184440279"/>
      <w:bookmarkStart w:id="97" w:name="_Toc184444657"/>
      <w:bookmarkStart w:id="98" w:name="_Toc196046487"/>
      <w:r>
        <w:t>Evaluator’s conclusions on efficacy</w:t>
      </w:r>
    </w:p>
    <w:p w14:paraId="7D839F31" w14:textId="77777777" w:rsidR="005C13F0" w:rsidRPr="00B03216" w:rsidRDefault="005C13F0" w:rsidP="005C13F0">
      <w:r w:rsidRPr="00B03216">
        <w:t xml:space="preserve">The efficacy data submitted by the sponsor was largely derived from </w:t>
      </w:r>
      <w:r>
        <w:t>investigator led</w:t>
      </w:r>
      <w:r w:rsidRPr="00B03216">
        <w:t xml:space="preserve"> studies found in a literature search (the two </w:t>
      </w:r>
      <w:r>
        <w:t>sponsor led</w:t>
      </w:r>
      <w:r w:rsidRPr="00B03216">
        <w:t xml:space="preserve"> studies, consisting of a PD study in children, and a negative efficacy study in adults, were merely supportive). After identifying potentially relevant </w:t>
      </w:r>
      <w:r>
        <w:t>investigator led</w:t>
      </w:r>
      <w:r w:rsidRPr="00B03216">
        <w:t xml:space="preserve"> studies of the use of iNO in relation to cardiac surgery, the </w:t>
      </w:r>
      <w:r>
        <w:t>sponsor</w:t>
      </w:r>
      <w:r w:rsidRPr="00B03216">
        <w:t xml:space="preserve"> subdivided the studies into 22 efficacy studies (9 in children, 13 in adults) and 11 PD studies according to whether they compared iNO to a randomised control therapy. This subdivision was somewhat artificial, and many of the studies classified as efficacy studies had designs more typical of PD studies. Also, many of the studies listed as efficacy studies were small, used iNO for only short periods to gauge the short-term haemodynamic response, or used a contro</w:t>
      </w:r>
      <w:r>
        <w:t>l therapy of unproven utility.</w:t>
      </w:r>
    </w:p>
    <w:p w14:paraId="3D7F123D" w14:textId="668EF5FF" w:rsidR="005C13F0" w:rsidRPr="00B03216" w:rsidRDefault="005C13F0" w:rsidP="005C13F0">
      <w:r w:rsidRPr="00B03216">
        <w:t>Four of 9 efficacy studies in children were designated as “pivotal”</w:t>
      </w:r>
      <w:r w:rsidR="004507BC">
        <w:rPr>
          <w:rStyle w:val="FootnoteReference"/>
        </w:rPr>
        <w:footnoteReference w:id="31"/>
      </w:r>
      <w:r w:rsidRPr="00B03216">
        <w:t xml:space="preserve">, because the control group received placebo or standard care in a randomised prospective design, but three of </w:t>
      </w:r>
      <w:r w:rsidRPr="00B03216">
        <w:lastRenderedPageBreak/>
        <w:t xml:space="preserve">these lacked the core features expected of a Phase </w:t>
      </w:r>
      <w:r>
        <w:t>III</w:t>
      </w:r>
      <w:r w:rsidRPr="00B03216">
        <w:t xml:space="preserve"> pivotal study. For instance, both Day et al and Morris et al used an </w:t>
      </w:r>
      <w:r>
        <w:t>open label</w:t>
      </w:r>
      <w:r w:rsidRPr="00B03216">
        <w:t xml:space="preserve"> design.</w:t>
      </w:r>
      <w:r w:rsidR="006A7861" w:rsidRPr="006A7861">
        <w:rPr>
          <w:vertAlign w:val="superscript"/>
        </w:rPr>
        <w:fldChar w:fldCharType="begin"/>
      </w:r>
      <w:r w:rsidR="006A7861" w:rsidRPr="006A7861">
        <w:rPr>
          <w:vertAlign w:val="superscript"/>
        </w:rPr>
        <w:instrText xml:space="preserve"> NOTEREF _Ref477536516 \h </w:instrText>
      </w:r>
      <w:r w:rsidR="006A7861">
        <w:rPr>
          <w:vertAlign w:val="superscript"/>
        </w:rPr>
        <w:instrText xml:space="preserve"> \* MERGEFORMAT </w:instrText>
      </w:r>
      <w:r w:rsidR="006A7861" w:rsidRPr="006A7861">
        <w:rPr>
          <w:vertAlign w:val="superscript"/>
        </w:rPr>
      </w:r>
      <w:r w:rsidR="006A7861" w:rsidRPr="006A7861">
        <w:rPr>
          <w:vertAlign w:val="superscript"/>
        </w:rPr>
        <w:fldChar w:fldCharType="separate"/>
      </w:r>
      <w:r w:rsidR="006D3007">
        <w:rPr>
          <w:vertAlign w:val="superscript"/>
        </w:rPr>
        <w:t>13</w:t>
      </w:r>
      <w:r w:rsidR="006A7861" w:rsidRPr="006A7861">
        <w:rPr>
          <w:vertAlign w:val="superscript"/>
        </w:rPr>
        <w:fldChar w:fldCharType="end"/>
      </w:r>
      <w:r w:rsidR="006A7861" w:rsidRPr="006A7861">
        <w:rPr>
          <w:vertAlign w:val="superscript"/>
        </w:rPr>
        <w:t xml:space="preserve">, </w:t>
      </w:r>
      <w:r w:rsidR="006A7861" w:rsidRPr="006A7861">
        <w:rPr>
          <w:vertAlign w:val="superscript"/>
        </w:rPr>
        <w:fldChar w:fldCharType="begin"/>
      </w:r>
      <w:r w:rsidR="006A7861" w:rsidRPr="006A7861">
        <w:rPr>
          <w:vertAlign w:val="superscript"/>
        </w:rPr>
        <w:instrText xml:space="preserve"> NOTEREF _Ref477536530 \h </w:instrText>
      </w:r>
      <w:r w:rsidR="006A7861">
        <w:rPr>
          <w:vertAlign w:val="superscript"/>
        </w:rPr>
        <w:instrText xml:space="preserve"> \* MERGEFORMAT </w:instrText>
      </w:r>
      <w:r w:rsidR="006A7861" w:rsidRPr="006A7861">
        <w:rPr>
          <w:vertAlign w:val="superscript"/>
        </w:rPr>
      </w:r>
      <w:r w:rsidR="006A7861" w:rsidRPr="006A7861">
        <w:rPr>
          <w:vertAlign w:val="superscript"/>
        </w:rPr>
        <w:fldChar w:fldCharType="separate"/>
      </w:r>
      <w:r w:rsidR="006D3007">
        <w:rPr>
          <w:vertAlign w:val="superscript"/>
        </w:rPr>
        <w:t>14</w:t>
      </w:r>
      <w:r w:rsidR="006A7861" w:rsidRPr="006A7861">
        <w:rPr>
          <w:vertAlign w:val="superscript"/>
        </w:rPr>
        <w:fldChar w:fldCharType="end"/>
      </w:r>
      <w:r w:rsidRPr="00B03216">
        <w:t xml:space="preserve"> Of the four studies, only two were positive (Miller et al,</w:t>
      </w:r>
      <w:r>
        <w:t xml:space="preserve"> 2000, and Russell et al, 1998)</w:t>
      </w:r>
      <w:r w:rsidRPr="00B03216">
        <w:t xml:space="preserve"> and one of these (Russell et al) was only positive in a small subgroup that wa</w:t>
      </w:r>
      <w:r>
        <w:t>s possibly identified post hoc</w:t>
      </w:r>
      <w:r w:rsidRPr="006A7861">
        <w:rPr>
          <w:vertAlign w:val="superscript"/>
        </w:rPr>
        <w:t>.</w:t>
      </w:r>
      <w:r w:rsidR="006A7861" w:rsidRPr="006A7861">
        <w:rPr>
          <w:vertAlign w:val="superscript"/>
        </w:rPr>
        <w:fldChar w:fldCharType="begin"/>
      </w:r>
      <w:r w:rsidR="006A7861" w:rsidRPr="006A7861">
        <w:rPr>
          <w:vertAlign w:val="superscript"/>
        </w:rPr>
        <w:instrText xml:space="preserve"> NOTEREF _Ref477535524 \h </w:instrText>
      </w:r>
      <w:r w:rsidR="006A7861">
        <w:rPr>
          <w:vertAlign w:val="superscript"/>
        </w:rPr>
        <w:instrText xml:space="preserve"> \* MERGEFORMAT </w:instrText>
      </w:r>
      <w:r w:rsidR="006A7861" w:rsidRPr="006A7861">
        <w:rPr>
          <w:vertAlign w:val="superscript"/>
        </w:rPr>
      </w:r>
      <w:r w:rsidR="006A7861" w:rsidRPr="006A7861">
        <w:rPr>
          <w:vertAlign w:val="superscript"/>
        </w:rPr>
        <w:fldChar w:fldCharType="separate"/>
      </w:r>
      <w:r w:rsidR="006D3007">
        <w:rPr>
          <w:vertAlign w:val="superscript"/>
        </w:rPr>
        <w:t>11</w:t>
      </w:r>
      <w:r w:rsidR="006A7861" w:rsidRPr="006A7861">
        <w:rPr>
          <w:vertAlign w:val="superscript"/>
        </w:rPr>
        <w:fldChar w:fldCharType="end"/>
      </w:r>
      <w:r w:rsidR="006A7861" w:rsidRPr="006A7861">
        <w:rPr>
          <w:vertAlign w:val="superscript"/>
        </w:rPr>
        <w:t xml:space="preserve">, </w:t>
      </w:r>
      <w:r w:rsidR="006A7861" w:rsidRPr="006A7861">
        <w:rPr>
          <w:vertAlign w:val="superscript"/>
        </w:rPr>
        <w:fldChar w:fldCharType="begin"/>
      </w:r>
      <w:r w:rsidR="006A7861" w:rsidRPr="006A7861">
        <w:rPr>
          <w:vertAlign w:val="superscript"/>
        </w:rPr>
        <w:instrText xml:space="preserve"> NOTEREF _Ref477536594 \h </w:instrText>
      </w:r>
      <w:r w:rsidR="006A7861">
        <w:rPr>
          <w:vertAlign w:val="superscript"/>
        </w:rPr>
        <w:instrText xml:space="preserve"> \* MERGEFORMAT </w:instrText>
      </w:r>
      <w:r w:rsidR="006A7861" w:rsidRPr="006A7861">
        <w:rPr>
          <w:vertAlign w:val="superscript"/>
        </w:rPr>
      </w:r>
      <w:r w:rsidR="006A7861" w:rsidRPr="006A7861">
        <w:rPr>
          <w:vertAlign w:val="superscript"/>
        </w:rPr>
        <w:fldChar w:fldCharType="separate"/>
      </w:r>
      <w:r w:rsidR="006D3007">
        <w:rPr>
          <w:vertAlign w:val="superscript"/>
        </w:rPr>
        <w:t>12</w:t>
      </w:r>
      <w:r w:rsidR="006A7861" w:rsidRPr="006A7861">
        <w:rPr>
          <w:vertAlign w:val="superscript"/>
        </w:rPr>
        <w:fldChar w:fldCharType="end"/>
      </w:r>
    </w:p>
    <w:p w14:paraId="4EEB7651" w14:textId="77777777" w:rsidR="005C13F0" w:rsidRPr="00B03216" w:rsidRDefault="005C13F0" w:rsidP="005C13F0">
      <w:r w:rsidRPr="00B03216">
        <w:t>The only truly pivotal study was the one by Miller et al, 2000 (n</w:t>
      </w:r>
      <w:r>
        <w:t xml:space="preserve"> = </w:t>
      </w:r>
      <w:r w:rsidRPr="00B03216">
        <w:t xml:space="preserve">124). </w:t>
      </w:r>
      <w:r w:rsidR="006A7861" w:rsidRPr="006A7861">
        <w:rPr>
          <w:vertAlign w:val="superscript"/>
        </w:rPr>
        <w:fldChar w:fldCharType="begin"/>
      </w:r>
      <w:r w:rsidR="006A7861" w:rsidRPr="006A7861">
        <w:rPr>
          <w:vertAlign w:val="superscript"/>
        </w:rPr>
        <w:instrText xml:space="preserve"> NOTEREF _Ref477535524 \h </w:instrText>
      </w:r>
      <w:r w:rsidR="006A7861">
        <w:rPr>
          <w:vertAlign w:val="superscript"/>
        </w:rPr>
        <w:instrText xml:space="preserve"> \* MERGEFORMAT </w:instrText>
      </w:r>
      <w:r w:rsidR="006A7861" w:rsidRPr="006A7861">
        <w:rPr>
          <w:vertAlign w:val="superscript"/>
        </w:rPr>
      </w:r>
      <w:r w:rsidR="006A7861" w:rsidRPr="006A7861">
        <w:rPr>
          <w:vertAlign w:val="superscript"/>
        </w:rPr>
        <w:fldChar w:fldCharType="separate"/>
      </w:r>
      <w:r w:rsidR="006D3007">
        <w:rPr>
          <w:vertAlign w:val="superscript"/>
        </w:rPr>
        <w:t>11</w:t>
      </w:r>
      <w:r w:rsidR="006A7861" w:rsidRPr="006A7861">
        <w:rPr>
          <w:vertAlign w:val="superscript"/>
        </w:rPr>
        <w:fldChar w:fldCharType="end"/>
      </w:r>
      <w:r w:rsidR="006A7861">
        <w:t xml:space="preserve"> </w:t>
      </w:r>
      <w:r w:rsidRPr="00B03216">
        <w:t xml:space="preserve">Miller et al assessed the efficacy of iNO 10 ppm versus placebo in the target population of paediatric cardiac surgical patients using a prospective, randomised, </w:t>
      </w:r>
      <w:r>
        <w:t>double blind</w:t>
      </w:r>
      <w:r w:rsidRPr="00B03216">
        <w:t xml:space="preserve"> design, with a robust methodology and clearly defined clinical endpoints. The treatment benefits in this study could have been partially masked by the use of rescue therapy with </w:t>
      </w:r>
      <w:r>
        <w:t>open label</w:t>
      </w:r>
      <w:r w:rsidRPr="00B03216">
        <w:t xml:space="preserve"> iNO, but it demonstrated a statistically significant benefit anyway. The primary endpoint was the number of </w:t>
      </w:r>
      <w:r w:rsidR="009273A2">
        <w:t>PHTCs</w:t>
      </w:r>
      <w:r w:rsidRPr="00B03216">
        <w:t xml:space="preserve"> in the treatment period, which lasted for up to 7 days. Infants who received iNO had significantly fewer PHTCs (median four [</w:t>
      </w:r>
      <w:r w:rsidR="00A31697">
        <w:t>Interquartile range</w:t>
      </w:r>
      <w:r w:rsidR="00A31697" w:rsidRPr="00B03216">
        <w:t xml:space="preserve"> </w:t>
      </w:r>
      <w:r w:rsidR="00A31697">
        <w:t>(</w:t>
      </w:r>
      <w:r w:rsidRPr="00B03216">
        <w:t>IQR</w:t>
      </w:r>
      <w:r w:rsidR="00A31697">
        <w:t>)</w:t>
      </w:r>
      <w:r w:rsidRPr="00B03216">
        <w:t xml:space="preserve"> </w:t>
      </w:r>
      <w:r>
        <w:t>0 to 1</w:t>
      </w:r>
      <w:r w:rsidRPr="00B03216">
        <w:t xml:space="preserve">2]) than infants receiving nitrogen placebo (median seven PHTCs [IQR </w:t>
      </w:r>
      <w:r>
        <w:t>1 to 1</w:t>
      </w:r>
      <w:r w:rsidRPr="00B03216">
        <w:t>9]; unadjusted</w:t>
      </w:r>
      <w:r>
        <w:t xml:space="preserve"> relative risk 0·66 [95%CI 0·59 to </w:t>
      </w:r>
      <w:r w:rsidRPr="00B03216">
        <w:t xml:space="preserve">0·74] </w:t>
      </w:r>
      <w:r>
        <w:t>p &lt; 0</w:t>
      </w:r>
      <w:r w:rsidRPr="00B03216">
        <w:t>·001; adj</w:t>
      </w:r>
      <w:r>
        <w:t xml:space="preserve">usted for dispersion 0·65 [0·43 to </w:t>
      </w:r>
      <w:r w:rsidRPr="00B03216">
        <w:t xml:space="preserve">0·99], </w:t>
      </w:r>
      <w:r>
        <w:t>p = 0</w:t>
      </w:r>
      <w:r w:rsidRPr="00B03216">
        <w:t xml:space="preserve">·045). They also reached extubation criteria significantly sooner, and spent less time overall on study gas. The </w:t>
      </w:r>
      <w:r w:rsidR="00C0382B">
        <w:t>PVRI</w:t>
      </w:r>
      <w:r w:rsidRPr="00B03216">
        <w:t xml:space="preserve"> during study-gas administration was also significantly lower in the iNO</w:t>
      </w:r>
      <w:r>
        <w:t xml:space="preserve"> group (p &lt; 0·001).</w:t>
      </w:r>
    </w:p>
    <w:p w14:paraId="3A26D832" w14:textId="77777777" w:rsidR="005C13F0" w:rsidRPr="00B03216" w:rsidRDefault="005C13F0" w:rsidP="005C13F0">
      <w:r w:rsidRPr="00B03216">
        <w:t>The studies by Russell et al and Morris et al were listed as pivotal but they used haemodynamic endpoints rather than clinical endpoints, and the iNO treatment duration (≤ 30 min) was more consistent with a brief pharmacodynamic assessment tha</w:t>
      </w:r>
      <w:r>
        <w:t>n with realistic clinical use.</w:t>
      </w:r>
      <w:r w:rsidR="006A7861" w:rsidRPr="006A7861">
        <w:rPr>
          <w:vertAlign w:val="superscript"/>
        </w:rPr>
        <w:fldChar w:fldCharType="begin"/>
      </w:r>
      <w:r w:rsidR="006A7861" w:rsidRPr="006A7861">
        <w:rPr>
          <w:vertAlign w:val="superscript"/>
        </w:rPr>
        <w:instrText xml:space="preserve"> NOTEREF _Ref477535524 \h </w:instrText>
      </w:r>
      <w:r w:rsidR="006A7861">
        <w:rPr>
          <w:vertAlign w:val="superscript"/>
        </w:rPr>
        <w:instrText xml:space="preserve"> \* MERGEFORMAT </w:instrText>
      </w:r>
      <w:r w:rsidR="006A7861" w:rsidRPr="006A7861">
        <w:rPr>
          <w:vertAlign w:val="superscript"/>
        </w:rPr>
      </w:r>
      <w:r w:rsidR="006A7861" w:rsidRPr="006A7861">
        <w:rPr>
          <w:vertAlign w:val="superscript"/>
        </w:rPr>
        <w:fldChar w:fldCharType="separate"/>
      </w:r>
      <w:r w:rsidR="006D3007">
        <w:rPr>
          <w:vertAlign w:val="superscript"/>
        </w:rPr>
        <w:t>11</w:t>
      </w:r>
      <w:r w:rsidR="006A7861" w:rsidRPr="006A7861">
        <w:rPr>
          <w:vertAlign w:val="superscript"/>
        </w:rPr>
        <w:fldChar w:fldCharType="end"/>
      </w:r>
      <w:r w:rsidR="006A7861" w:rsidRPr="006A7861">
        <w:rPr>
          <w:vertAlign w:val="superscript"/>
        </w:rPr>
        <w:t xml:space="preserve">, </w:t>
      </w:r>
      <w:r w:rsidR="006A7861" w:rsidRPr="006A7861">
        <w:rPr>
          <w:vertAlign w:val="superscript"/>
        </w:rPr>
        <w:fldChar w:fldCharType="begin"/>
      </w:r>
      <w:r w:rsidR="006A7861" w:rsidRPr="006A7861">
        <w:rPr>
          <w:vertAlign w:val="superscript"/>
        </w:rPr>
        <w:instrText xml:space="preserve"> NOTEREF _Ref477536594 \h </w:instrText>
      </w:r>
      <w:r w:rsidR="006A7861">
        <w:rPr>
          <w:vertAlign w:val="superscript"/>
        </w:rPr>
        <w:instrText xml:space="preserve"> \* MERGEFORMAT </w:instrText>
      </w:r>
      <w:r w:rsidR="006A7861" w:rsidRPr="006A7861">
        <w:rPr>
          <w:vertAlign w:val="superscript"/>
        </w:rPr>
      </w:r>
      <w:r w:rsidR="006A7861" w:rsidRPr="006A7861">
        <w:rPr>
          <w:vertAlign w:val="superscript"/>
        </w:rPr>
        <w:fldChar w:fldCharType="separate"/>
      </w:r>
      <w:r w:rsidR="006D3007">
        <w:rPr>
          <w:vertAlign w:val="superscript"/>
        </w:rPr>
        <w:t>12</w:t>
      </w:r>
      <w:r w:rsidR="006A7861" w:rsidRPr="006A7861">
        <w:rPr>
          <w:vertAlign w:val="superscript"/>
        </w:rPr>
        <w:fldChar w:fldCharType="end"/>
      </w:r>
    </w:p>
    <w:p w14:paraId="7F40B6AC" w14:textId="77777777" w:rsidR="005C13F0" w:rsidRPr="00B03216" w:rsidRDefault="005C13F0" w:rsidP="005C13F0">
      <w:r w:rsidRPr="00B03216">
        <w:t>The study by Russell et al (n</w:t>
      </w:r>
      <w:r>
        <w:t xml:space="preserve"> = </w:t>
      </w:r>
      <w:r w:rsidRPr="00B03216">
        <w:t>40) showed a significant haem</w:t>
      </w:r>
      <w:r>
        <w:t>odynamic effect for iNO over 20 </w:t>
      </w:r>
      <w:r w:rsidRPr="00B03216">
        <w:t>min compared to placebo, but it produced its positive results in a subset of the study population, consisting of 13 subjects with elevated pulmonary artery pressure, only 5 of whom received iNO.</w:t>
      </w:r>
      <w:r>
        <w:t xml:space="preserve"> </w:t>
      </w:r>
      <w:r w:rsidRPr="00B03216">
        <w:t xml:space="preserve">Russell et al demonstrated that </w:t>
      </w:r>
      <w:proofErr w:type="spellStart"/>
      <w:r w:rsidR="00E3550D">
        <w:t>mPAP</w:t>
      </w:r>
      <w:proofErr w:type="spellEnd"/>
      <w:r w:rsidRPr="00B03216">
        <w:t xml:space="preserve"> in this subgroup was reduced by 19% with iNO (p</w:t>
      </w:r>
      <w:r>
        <w:t> = </w:t>
      </w:r>
      <w:r w:rsidRPr="00B03216">
        <w:t>0.008) versus an increase of 9% with placebo. The iNO dose used in Russell et al was well above that proposed for regi</w:t>
      </w:r>
      <w:r>
        <w:t xml:space="preserve">stration (80 ppm, instead of 10 to </w:t>
      </w:r>
      <w:r w:rsidRPr="00B03216">
        <w:t xml:space="preserve">20 </w:t>
      </w:r>
      <w:r>
        <w:t>ppm as recommended in the PI).</w:t>
      </w:r>
      <w:r w:rsidR="006A7861" w:rsidRPr="006A7861">
        <w:rPr>
          <w:vertAlign w:val="superscript"/>
        </w:rPr>
        <w:fldChar w:fldCharType="begin"/>
      </w:r>
      <w:r w:rsidR="006A7861" w:rsidRPr="006A7861">
        <w:rPr>
          <w:vertAlign w:val="superscript"/>
        </w:rPr>
        <w:instrText xml:space="preserve"> NOTEREF _Ref477536594 \h </w:instrText>
      </w:r>
      <w:r w:rsidR="006A7861">
        <w:rPr>
          <w:vertAlign w:val="superscript"/>
        </w:rPr>
        <w:instrText xml:space="preserve"> \* MERGEFORMAT </w:instrText>
      </w:r>
      <w:r w:rsidR="006A7861" w:rsidRPr="006A7861">
        <w:rPr>
          <w:vertAlign w:val="superscript"/>
        </w:rPr>
      </w:r>
      <w:r w:rsidR="006A7861" w:rsidRPr="006A7861">
        <w:rPr>
          <w:vertAlign w:val="superscript"/>
        </w:rPr>
        <w:fldChar w:fldCharType="separate"/>
      </w:r>
      <w:r w:rsidR="006D3007">
        <w:rPr>
          <w:vertAlign w:val="superscript"/>
        </w:rPr>
        <w:t>12</w:t>
      </w:r>
      <w:r w:rsidR="006A7861" w:rsidRPr="006A7861">
        <w:rPr>
          <w:vertAlign w:val="superscript"/>
        </w:rPr>
        <w:fldChar w:fldCharType="end"/>
      </w:r>
    </w:p>
    <w:p w14:paraId="70ACF3BF" w14:textId="77777777" w:rsidR="005C13F0" w:rsidRPr="00B03216" w:rsidRDefault="005C13F0" w:rsidP="005C13F0">
      <w:r w:rsidRPr="00B03216">
        <w:t>Morris et al performed a small study (n</w:t>
      </w:r>
      <w:r>
        <w:t xml:space="preserve"> = </w:t>
      </w:r>
      <w:r w:rsidRPr="00B03216">
        <w:t xml:space="preserve">12) with a randomised, controlled, </w:t>
      </w:r>
      <w:r>
        <w:t>open label</w:t>
      </w:r>
      <w:r w:rsidRPr="00B03216">
        <w:t xml:space="preserve"> crossover design to compare the haemodynamic effects of iNO</w:t>
      </w:r>
      <w:r>
        <w:t xml:space="preserve"> (at 5 ppm and at 40 ppm for 15 </w:t>
      </w:r>
      <w:r w:rsidRPr="00B03216">
        <w:t>mi</w:t>
      </w:r>
      <w:r>
        <w:t xml:space="preserve">n each) versus hyperventilation </w:t>
      </w:r>
      <w:r w:rsidRPr="00B03216">
        <w:t xml:space="preserve">induced alkalosis (HV) in children recovering from biventricular repair and CPB. They showed no significant differences between the combination of iNO and HV and HV alone, so this study does not provide evidence that iNO adds significantly to the pulmonary vasodilatory effects of standard care with HV. Significant changes were observed in PVRI and </w:t>
      </w:r>
      <w:proofErr w:type="spellStart"/>
      <w:r w:rsidR="00E3550D">
        <w:t>mPAP</w:t>
      </w:r>
      <w:proofErr w:type="spellEnd"/>
      <w:r w:rsidRPr="00B03216">
        <w:t xml:space="preserve"> with both treatments, relative to baseline, but this does not constitute clear positive evidence of a treatment effect because some improvement could</w:t>
      </w:r>
      <w:r>
        <w:t xml:space="preserve"> be due to recovery from CPB.</w:t>
      </w:r>
      <w:r w:rsidR="006A7861" w:rsidRPr="006A7861">
        <w:rPr>
          <w:vertAlign w:val="superscript"/>
        </w:rPr>
        <w:fldChar w:fldCharType="begin"/>
      </w:r>
      <w:r w:rsidR="006A7861" w:rsidRPr="006A7861">
        <w:rPr>
          <w:vertAlign w:val="superscript"/>
        </w:rPr>
        <w:instrText xml:space="preserve"> NOTEREF _Ref477536530 \h </w:instrText>
      </w:r>
      <w:r w:rsidR="006A7861">
        <w:rPr>
          <w:vertAlign w:val="superscript"/>
        </w:rPr>
        <w:instrText xml:space="preserve"> \* MERGEFORMAT </w:instrText>
      </w:r>
      <w:r w:rsidR="006A7861" w:rsidRPr="006A7861">
        <w:rPr>
          <w:vertAlign w:val="superscript"/>
        </w:rPr>
      </w:r>
      <w:r w:rsidR="006A7861" w:rsidRPr="006A7861">
        <w:rPr>
          <w:vertAlign w:val="superscript"/>
        </w:rPr>
        <w:fldChar w:fldCharType="separate"/>
      </w:r>
      <w:r w:rsidR="006D3007">
        <w:rPr>
          <w:vertAlign w:val="superscript"/>
        </w:rPr>
        <w:t>14</w:t>
      </w:r>
      <w:r w:rsidR="006A7861" w:rsidRPr="006A7861">
        <w:rPr>
          <w:vertAlign w:val="superscript"/>
        </w:rPr>
        <w:fldChar w:fldCharType="end"/>
      </w:r>
    </w:p>
    <w:p w14:paraId="360FCB9E" w14:textId="77777777" w:rsidR="005C13F0" w:rsidRPr="00B03216" w:rsidRDefault="005C13F0" w:rsidP="005C13F0">
      <w:r w:rsidRPr="00B03216">
        <w:t xml:space="preserve">The </w:t>
      </w:r>
      <w:r>
        <w:t>open label</w:t>
      </w:r>
      <w:r w:rsidRPr="00B03216">
        <w:t xml:space="preserve"> study by Day et al (n</w:t>
      </w:r>
      <w:r>
        <w:t xml:space="preserve"> = </w:t>
      </w:r>
      <w:r w:rsidRPr="00B03216">
        <w:t>40) compared the efficacy of iNO 20 ppm with conventional therapy (determined by the treating clinician) in children with post-operative pulmonary hypertension after cardiac surgery. It used a similar clinical endpoint as Miller et al (number of PHTCs), but it was clearly underpowered for this endpoint and for secondary haemodynamic endpoints. The primary endpoint, PHTC, occurred infrequently: PHTCs occurred in 4 control patients and in 3 iNO patients, a difference that was not statistically significant. It was also negative for all major secondary endpoints, but the trends were favourable. Systolic pulmonary arterial pressure (SPAP) in the control group started relatively low and increased after an hour, whereas SPAP in the iNO group started relatively high and decreased</w:t>
      </w:r>
      <w:r>
        <w:t xml:space="preserve"> </w:t>
      </w:r>
      <w:r w:rsidRPr="00B03216">
        <w:t xml:space="preserve">by </w:t>
      </w:r>
      <w:r>
        <w:t>approximately</w:t>
      </w:r>
      <w:r w:rsidRPr="00B03216">
        <w:t>10%. The changes in ratio of systolic pulmonary and systemic arterial pressures were greater with iNO than with conventional therapy, and this comparison approached statistical significance (</w:t>
      </w:r>
      <w:r>
        <w:t>p = 0</w:t>
      </w:r>
      <w:r w:rsidRPr="00B03216">
        <w:t xml:space="preserve">.066). </w:t>
      </w:r>
      <w:r w:rsidRPr="00B03216">
        <w:lastRenderedPageBreak/>
        <w:t xml:space="preserve">Given that the study was underpowered and </w:t>
      </w:r>
      <w:r>
        <w:t>open label</w:t>
      </w:r>
      <w:r w:rsidRPr="00B03216">
        <w:t>, and that clinicians used variable agents as control therapies, this study cannot be considered pivotal.</w:t>
      </w:r>
      <w:r w:rsidR="006A7861" w:rsidRPr="006A7861">
        <w:rPr>
          <w:vertAlign w:val="superscript"/>
        </w:rPr>
        <w:fldChar w:fldCharType="begin"/>
      </w:r>
      <w:r w:rsidR="006A7861" w:rsidRPr="006A7861">
        <w:rPr>
          <w:vertAlign w:val="superscript"/>
        </w:rPr>
        <w:instrText xml:space="preserve"> NOTEREF _Ref477536516 \h </w:instrText>
      </w:r>
      <w:r w:rsidR="006A7861">
        <w:rPr>
          <w:vertAlign w:val="superscript"/>
        </w:rPr>
        <w:instrText xml:space="preserve"> \* MERGEFORMAT </w:instrText>
      </w:r>
      <w:r w:rsidR="006A7861" w:rsidRPr="006A7861">
        <w:rPr>
          <w:vertAlign w:val="superscript"/>
        </w:rPr>
      </w:r>
      <w:r w:rsidR="006A7861" w:rsidRPr="006A7861">
        <w:rPr>
          <w:vertAlign w:val="superscript"/>
        </w:rPr>
        <w:fldChar w:fldCharType="separate"/>
      </w:r>
      <w:r w:rsidR="006D3007">
        <w:rPr>
          <w:vertAlign w:val="superscript"/>
        </w:rPr>
        <w:t>13</w:t>
      </w:r>
      <w:r w:rsidR="006A7861" w:rsidRPr="006A7861">
        <w:rPr>
          <w:vertAlign w:val="superscript"/>
        </w:rPr>
        <w:fldChar w:fldCharType="end"/>
      </w:r>
    </w:p>
    <w:p w14:paraId="17032F2A" w14:textId="77777777" w:rsidR="005C13F0" w:rsidRPr="00B03216" w:rsidRDefault="005C13F0" w:rsidP="005C13F0">
      <w:r w:rsidRPr="00B03216">
        <w:t>The remaining 5 efficacy studies in children compared iNO to active alternatives. None of the non-iNO therapies has been approved for the treatment of pulmonary hypertension in the setting of paediatric cardiac surgery, which is why none of these studies was considered pivotal. In general, the emphasis of these studies was in demonstrating that the non-iNO therapy was comparable in efficacy to iNO (which was used as a control therapy because the authors considered iNO to be the standard treatment of pulmonary hypertension in this setting). These studies were not specifically powered to demonstrate equivalence or non-inferiority of iNO compared to the active alternative, but in general the findings w</w:t>
      </w:r>
      <w:r>
        <w:t>ere favourable, as follows:</w:t>
      </w:r>
    </w:p>
    <w:p w14:paraId="70350BA9" w14:textId="77777777" w:rsidR="005C13F0" w:rsidRPr="00B03216" w:rsidRDefault="005C13F0" w:rsidP="005C13F0">
      <w:pPr>
        <w:pStyle w:val="ListBullet"/>
        <w:numPr>
          <w:ilvl w:val="0"/>
          <w:numId w:val="0"/>
        </w:numPr>
      </w:pPr>
      <w:r w:rsidRPr="00B03216">
        <w:t xml:space="preserve">In </w:t>
      </w:r>
      <w:proofErr w:type="spellStart"/>
      <w:r w:rsidRPr="00B03216">
        <w:t>Cai</w:t>
      </w:r>
      <w:proofErr w:type="spellEnd"/>
      <w:r w:rsidRPr="00B03216">
        <w:t xml:space="preserve"> et al, 2008 (n</w:t>
      </w:r>
      <w:r>
        <w:t xml:space="preserve"> = </w:t>
      </w:r>
      <w:r w:rsidRPr="00B03216">
        <w:t xml:space="preserve">46), iNO at a starting dose of 10 ppm and continued for at least 24 hours was compared to intravenous milrinone 0.5 </w:t>
      </w:r>
      <w:r>
        <w:t xml:space="preserve">µg </w:t>
      </w:r>
      <w:r w:rsidRPr="00B03216">
        <w:t>kg</w:t>
      </w:r>
      <w:r w:rsidRPr="00C91082">
        <w:rPr>
          <w:vertAlign w:val="superscript"/>
        </w:rPr>
        <w:t>-1</w:t>
      </w:r>
      <w:r>
        <w:t xml:space="preserve"> </w:t>
      </w:r>
      <w:r w:rsidRPr="00B03216">
        <w:t>min</w:t>
      </w:r>
      <w:r w:rsidRPr="00C91082">
        <w:rPr>
          <w:vertAlign w:val="superscript"/>
        </w:rPr>
        <w:t>-1</w:t>
      </w:r>
      <w:r w:rsidRPr="00B03216">
        <w:t xml:space="preserve"> in children with pulmonary hypertension after a Fontan proced</w:t>
      </w:r>
      <w:r>
        <w:t xml:space="preserve">ure. In a 3 </w:t>
      </w:r>
      <w:r w:rsidRPr="00B03216">
        <w:t xml:space="preserve">group, </w:t>
      </w:r>
      <w:r>
        <w:t>open label</w:t>
      </w:r>
      <w:r w:rsidRPr="00B03216">
        <w:t xml:space="preserve"> design, each agent was compared to the other agent and to the combination of both agents. Inhaled NO was significantly superior to milrinone for the study’s main measure of pulmonary vascular resistance, transpulmonary gradient (TPG). Given that milrinone is likely to be superior to placebo, this provides reasonably strong evidence of haemodynamic efficacy of iNO in this setting. The combination of iNO and milrinone was also significantly more effective at reducing TPG than </w:t>
      </w:r>
      <w:proofErr w:type="spellStart"/>
      <w:r w:rsidRPr="00B03216">
        <w:t>milrinone</w:t>
      </w:r>
      <w:proofErr w:type="spellEnd"/>
      <w:r w:rsidRPr="00B03216">
        <w:t xml:space="preserve"> al</w:t>
      </w:r>
      <w:r>
        <w:t>one.</w:t>
      </w:r>
      <w:r w:rsidR="006A7861" w:rsidRPr="006A7861">
        <w:rPr>
          <w:vertAlign w:val="superscript"/>
        </w:rPr>
        <w:fldChar w:fldCharType="begin"/>
      </w:r>
      <w:r w:rsidR="006A7861" w:rsidRPr="006A7861">
        <w:rPr>
          <w:vertAlign w:val="superscript"/>
        </w:rPr>
        <w:instrText xml:space="preserve"> NOTEREF _Ref477536870 \h </w:instrText>
      </w:r>
      <w:r w:rsidR="006A7861">
        <w:rPr>
          <w:vertAlign w:val="superscript"/>
        </w:rPr>
        <w:instrText xml:space="preserve"> \* MERGEFORMAT </w:instrText>
      </w:r>
      <w:r w:rsidR="006A7861" w:rsidRPr="006A7861">
        <w:rPr>
          <w:vertAlign w:val="superscript"/>
        </w:rPr>
      </w:r>
      <w:r w:rsidR="006A7861" w:rsidRPr="006A7861">
        <w:rPr>
          <w:vertAlign w:val="superscript"/>
        </w:rPr>
        <w:fldChar w:fldCharType="separate"/>
      </w:r>
      <w:r w:rsidR="006D3007">
        <w:rPr>
          <w:vertAlign w:val="superscript"/>
        </w:rPr>
        <w:t>15</w:t>
      </w:r>
      <w:r w:rsidR="006A7861" w:rsidRPr="006A7861">
        <w:rPr>
          <w:vertAlign w:val="superscript"/>
        </w:rPr>
        <w:fldChar w:fldCharType="end"/>
      </w:r>
    </w:p>
    <w:p w14:paraId="3E0D5572" w14:textId="77777777" w:rsidR="005C13F0" w:rsidRPr="00B03216" w:rsidRDefault="005C13F0" w:rsidP="005C13F0">
      <w:pPr>
        <w:pStyle w:val="ListBullet"/>
        <w:numPr>
          <w:ilvl w:val="0"/>
          <w:numId w:val="0"/>
        </w:numPr>
      </w:pPr>
      <w:r w:rsidRPr="00B03216">
        <w:t>Goldman et al, 1995 (n</w:t>
      </w:r>
      <w:r>
        <w:t xml:space="preserve"> = </w:t>
      </w:r>
      <w:r w:rsidRPr="00B03216">
        <w:t xml:space="preserve">13), was a small, brief, </w:t>
      </w:r>
      <w:r>
        <w:t>open label</w:t>
      </w:r>
      <w:r w:rsidRPr="00B03216">
        <w:t xml:space="preserve"> crossover study, which showed that iNO 20 ppm was significantly superior to intravenous prostacyclin 20 ng per kg p</w:t>
      </w:r>
      <w:r>
        <w:t xml:space="preserve">er minute in the short-term (10 </w:t>
      </w:r>
      <w:r w:rsidRPr="00B03216">
        <w:t xml:space="preserve">minute) treatment of severe pulmonary hypertension in paediatric subjects after cardiac surgery. </w:t>
      </w:r>
      <w:proofErr w:type="spellStart"/>
      <w:proofErr w:type="gramStart"/>
      <w:r w:rsidR="00E3550D">
        <w:t>mPAP</w:t>
      </w:r>
      <w:proofErr w:type="spellEnd"/>
      <w:proofErr w:type="gramEnd"/>
      <w:r w:rsidRPr="00B03216">
        <w:t xml:space="preserve"> was reduced by 33% during iNO treatment (95%CI, -24% to -51%), compared to a reduction of 15% during prostacyclin treatmen</w:t>
      </w:r>
      <w:r>
        <w:t>t (95%Cl, -4% to -38%; p &lt; 0.01).</w:t>
      </w:r>
      <w:r w:rsidR="006A7861" w:rsidRPr="006A7861">
        <w:rPr>
          <w:vertAlign w:val="superscript"/>
        </w:rPr>
        <w:fldChar w:fldCharType="begin"/>
      </w:r>
      <w:r w:rsidR="006A7861" w:rsidRPr="006A7861">
        <w:rPr>
          <w:vertAlign w:val="superscript"/>
        </w:rPr>
        <w:instrText xml:space="preserve"> NOTEREF _Ref477536886 \h </w:instrText>
      </w:r>
      <w:r w:rsidR="006A7861">
        <w:rPr>
          <w:vertAlign w:val="superscript"/>
        </w:rPr>
        <w:instrText xml:space="preserve"> \* MERGEFORMAT </w:instrText>
      </w:r>
      <w:r w:rsidR="006A7861" w:rsidRPr="006A7861">
        <w:rPr>
          <w:vertAlign w:val="superscript"/>
        </w:rPr>
      </w:r>
      <w:r w:rsidR="006A7861" w:rsidRPr="006A7861">
        <w:rPr>
          <w:vertAlign w:val="superscript"/>
        </w:rPr>
        <w:fldChar w:fldCharType="separate"/>
      </w:r>
      <w:r w:rsidR="006D3007">
        <w:rPr>
          <w:vertAlign w:val="superscript"/>
        </w:rPr>
        <w:t>16</w:t>
      </w:r>
      <w:r w:rsidR="006A7861" w:rsidRPr="006A7861">
        <w:rPr>
          <w:vertAlign w:val="superscript"/>
        </w:rPr>
        <w:fldChar w:fldCharType="end"/>
      </w:r>
    </w:p>
    <w:p w14:paraId="2093C46B" w14:textId="77777777" w:rsidR="005C13F0" w:rsidRPr="00B03216" w:rsidRDefault="005C13F0" w:rsidP="005C13F0">
      <w:pPr>
        <w:pStyle w:val="ListBullet"/>
        <w:numPr>
          <w:ilvl w:val="0"/>
          <w:numId w:val="0"/>
        </w:numPr>
      </w:pPr>
      <w:proofErr w:type="spellStart"/>
      <w:r w:rsidRPr="00B03216">
        <w:t>Kirbas</w:t>
      </w:r>
      <w:proofErr w:type="spellEnd"/>
      <w:r w:rsidRPr="00B03216">
        <w:t xml:space="preserve"> et al, 2012 (n</w:t>
      </w:r>
      <w:r>
        <w:t xml:space="preserve"> = </w:t>
      </w:r>
      <w:r w:rsidRPr="00B03216">
        <w:t xml:space="preserve">16), was another small, </w:t>
      </w:r>
      <w:r>
        <w:t>open label</w:t>
      </w:r>
      <w:r w:rsidRPr="00B03216">
        <w:t xml:space="preserve"> study performed in paediatric cardiac surgery patients. It compared the efficacy of iNO 20 ppm and aerosolised iloprost in the treatment of pulmonary hypertension, and found no difference. Favourable reductions in PAP and in PAP</w:t>
      </w:r>
      <w:r w:rsidR="004536B4" w:rsidRPr="00B03216">
        <w:t>/</w:t>
      </w:r>
      <w:r w:rsidR="004536B4" w:rsidRPr="004536B4">
        <w:t xml:space="preserve"> </w:t>
      </w:r>
      <w:r w:rsidR="004536B4">
        <w:t>systemic arterial pressure</w:t>
      </w:r>
      <w:r w:rsidR="004536B4" w:rsidRPr="00B03216">
        <w:t xml:space="preserve"> </w:t>
      </w:r>
      <w:r w:rsidR="004536B4">
        <w:t>(</w:t>
      </w:r>
      <w:r w:rsidRPr="00B03216">
        <w:t>SAP</w:t>
      </w:r>
      <w:r w:rsidR="004536B4">
        <w:t>)</w:t>
      </w:r>
      <w:r w:rsidRPr="00B03216">
        <w:t xml:space="preserve"> ratio were observed, but these are difficult to interpret given the lack of an untreated or</w:t>
      </w:r>
      <w:r>
        <w:t xml:space="preserve"> placebo treated control group</w:t>
      </w:r>
      <w:r w:rsidRPr="006A7861">
        <w:rPr>
          <w:vertAlign w:val="superscript"/>
        </w:rPr>
        <w:t>.</w:t>
      </w:r>
      <w:r w:rsidR="006A7861" w:rsidRPr="006A7861">
        <w:rPr>
          <w:vertAlign w:val="superscript"/>
        </w:rPr>
        <w:fldChar w:fldCharType="begin"/>
      </w:r>
      <w:r w:rsidR="006A7861" w:rsidRPr="006A7861">
        <w:rPr>
          <w:vertAlign w:val="superscript"/>
        </w:rPr>
        <w:instrText xml:space="preserve"> NOTEREF _Ref477535765 \h </w:instrText>
      </w:r>
      <w:r w:rsidR="006A7861">
        <w:rPr>
          <w:vertAlign w:val="superscript"/>
        </w:rPr>
        <w:instrText xml:space="preserve"> \* MERGEFORMAT </w:instrText>
      </w:r>
      <w:r w:rsidR="006A7861" w:rsidRPr="006A7861">
        <w:rPr>
          <w:vertAlign w:val="superscript"/>
        </w:rPr>
      </w:r>
      <w:r w:rsidR="006A7861" w:rsidRPr="006A7861">
        <w:rPr>
          <w:vertAlign w:val="superscript"/>
        </w:rPr>
        <w:fldChar w:fldCharType="separate"/>
      </w:r>
      <w:r w:rsidR="006D3007">
        <w:rPr>
          <w:vertAlign w:val="superscript"/>
        </w:rPr>
        <w:t>4</w:t>
      </w:r>
      <w:r w:rsidR="006A7861" w:rsidRPr="006A7861">
        <w:rPr>
          <w:vertAlign w:val="superscript"/>
        </w:rPr>
        <w:fldChar w:fldCharType="end"/>
      </w:r>
    </w:p>
    <w:p w14:paraId="5FE2F3B8" w14:textId="77777777" w:rsidR="005C13F0" w:rsidRPr="00B03216" w:rsidRDefault="005C13F0" w:rsidP="005C13F0">
      <w:pPr>
        <w:pStyle w:val="ListBullet"/>
        <w:numPr>
          <w:ilvl w:val="0"/>
          <w:numId w:val="0"/>
        </w:numPr>
      </w:pPr>
      <w:proofErr w:type="spellStart"/>
      <w:r w:rsidRPr="00B03216">
        <w:t>Loukanov</w:t>
      </w:r>
      <w:proofErr w:type="spellEnd"/>
      <w:r w:rsidRPr="00B03216">
        <w:t xml:space="preserve"> et al, 2011 (n</w:t>
      </w:r>
      <w:r>
        <w:t xml:space="preserve"> = </w:t>
      </w:r>
      <w:r w:rsidRPr="00B03216">
        <w:t xml:space="preserve">15), was a small, </w:t>
      </w:r>
      <w:r>
        <w:t>open label</w:t>
      </w:r>
      <w:r w:rsidRPr="00B03216">
        <w:t xml:space="preserve"> pilot study comparing iNO 10 ppm and aerosolised iloprost 0.5 </w:t>
      </w:r>
      <w:r>
        <w:t>µ</w:t>
      </w:r>
      <w:r w:rsidRPr="00B03216">
        <w:t xml:space="preserve">g/kg every 2 h. The study suggested that the two drugs might have similar efficacy when used to prevent PHTCs in the paediatric setting, but the study was not adequately powered to demonstrate equivalence. Trends in </w:t>
      </w:r>
      <w:proofErr w:type="spellStart"/>
      <w:r w:rsidR="00E3550D">
        <w:t>mPAP</w:t>
      </w:r>
      <w:proofErr w:type="spellEnd"/>
      <w:r w:rsidRPr="00B03216">
        <w:t xml:space="preserve"> were weakly in favour of iNO, but there was no convincing reduction </w:t>
      </w:r>
      <w:r>
        <w:t xml:space="preserve">in </w:t>
      </w:r>
      <w:proofErr w:type="spellStart"/>
      <w:r w:rsidR="00E3550D">
        <w:t>mPAP</w:t>
      </w:r>
      <w:proofErr w:type="spellEnd"/>
      <w:r>
        <w:t xml:space="preserve"> relative to baseline.</w:t>
      </w:r>
      <w:r w:rsidR="006A7861" w:rsidRPr="006A7861">
        <w:rPr>
          <w:vertAlign w:val="superscript"/>
        </w:rPr>
        <w:fldChar w:fldCharType="begin"/>
      </w:r>
      <w:r w:rsidR="006A7861" w:rsidRPr="006A7861">
        <w:rPr>
          <w:vertAlign w:val="superscript"/>
        </w:rPr>
        <w:instrText xml:space="preserve"> NOTEREF _Ref477535779 \h </w:instrText>
      </w:r>
      <w:r w:rsidR="006A7861">
        <w:rPr>
          <w:vertAlign w:val="superscript"/>
        </w:rPr>
        <w:instrText xml:space="preserve"> \* MERGEFORMAT </w:instrText>
      </w:r>
      <w:r w:rsidR="006A7861" w:rsidRPr="006A7861">
        <w:rPr>
          <w:vertAlign w:val="superscript"/>
        </w:rPr>
      </w:r>
      <w:r w:rsidR="006A7861" w:rsidRPr="006A7861">
        <w:rPr>
          <w:vertAlign w:val="superscript"/>
        </w:rPr>
        <w:fldChar w:fldCharType="separate"/>
      </w:r>
      <w:r w:rsidR="006D3007">
        <w:rPr>
          <w:vertAlign w:val="superscript"/>
        </w:rPr>
        <w:t>5</w:t>
      </w:r>
      <w:r w:rsidR="006A7861" w:rsidRPr="006A7861">
        <w:rPr>
          <w:vertAlign w:val="superscript"/>
        </w:rPr>
        <w:fldChar w:fldCharType="end"/>
      </w:r>
    </w:p>
    <w:p w14:paraId="20ACB230" w14:textId="77777777" w:rsidR="005C13F0" w:rsidRPr="00B03216" w:rsidRDefault="005C13F0" w:rsidP="005C13F0">
      <w:pPr>
        <w:pStyle w:val="ListBullet"/>
        <w:numPr>
          <w:ilvl w:val="0"/>
          <w:numId w:val="0"/>
        </w:numPr>
      </w:pPr>
      <w:r w:rsidRPr="00B03216">
        <w:t>Stocker et al, 2003 (evaluable n</w:t>
      </w:r>
      <w:r>
        <w:t xml:space="preserve"> = </w:t>
      </w:r>
      <w:r w:rsidRPr="00B03216">
        <w:t xml:space="preserve">15), compared iNO 20 ppm </w:t>
      </w:r>
      <w:r>
        <w:t>and intravenous sildenafil 0.35 </w:t>
      </w:r>
      <w:r w:rsidRPr="00B03216">
        <w:t xml:space="preserve">mg/kg in a small, </w:t>
      </w:r>
      <w:r>
        <w:t>open label</w:t>
      </w:r>
      <w:r w:rsidRPr="00B03216">
        <w:t xml:space="preserve"> crossover study in paediatric cardiac surgery patients, showing that the two drugs were similar in their ability to </w:t>
      </w:r>
      <w:r>
        <w:t xml:space="preserve">lower </w:t>
      </w:r>
      <w:proofErr w:type="spellStart"/>
      <w:r w:rsidR="00E3550D">
        <w:t>mPAP</w:t>
      </w:r>
      <w:proofErr w:type="spellEnd"/>
      <w:r>
        <w:t xml:space="preserve"> and PVRI. In the </w:t>
      </w:r>
      <w:proofErr w:type="spellStart"/>
      <w:r>
        <w:t>iNO</w:t>
      </w:r>
      <w:proofErr w:type="spellEnd"/>
      <w:r>
        <w:t xml:space="preserve"> </w:t>
      </w:r>
      <w:r w:rsidRPr="00B03216">
        <w:t xml:space="preserve">first group, </w:t>
      </w:r>
      <w:proofErr w:type="spellStart"/>
      <w:r w:rsidR="00E3550D">
        <w:t>mPAP</w:t>
      </w:r>
      <w:proofErr w:type="spellEnd"/>
      <w:r w:rsidRPr="00B03216">
        <w:t xml:space="preserve"> had fallen after 20 min of therapy, reducing by 1.4</w:t>
      </w:r>
      <w:r>
        <w:t xml:space="preserve"> ± </w:t>
      </w:r>
      <w:r w:rsidRPr="00B03216">
        <w:t xml:space="preserve">0.4 </w:t>
      </w:r>
      <w:r w:rsidR="00E3550D">
        <w:t>mmHg</w:t>
      </w:r>
      <w:r w:rsidRPr="00B03216">
        <w:t xml:space="preserve"> (by 7.8</w:t>
      </w:r>
      <w:r>
        <w:t xml:space="preserve"> ± </w:t>
      </w:r>
      <w:r w:rsidRPr="00B03216">
        <w:t xml:space="preserve">2.1%; </w:t>
      </w:r>
      <w:r>
        <w:t>p = 0</w:t>
      </w:r>
      <w:r w:rsidRPr="00B03216">
        <w:t xml:space="preserve">.008). The subsequent addition of sildenafil did not further lower </w:t>
      </w:r>
      <w:r w:rsidR="00EB7308">
        <w:t>pulmonary artery</w:t>
      </w:r>
      <w:r w:rsidR="00EB7308" w:rsidRPr="00B03216">
        <w:t xml:space="preserve"> </w:t>
      </w:r>
      <w:r w:rsidR="00EB7308">
        <w:t>(</w:t>
      </w:r>
      <w:r w:rsidRPr="00B03216">
        <w:t>PA</w:t>
      </w:r>
      <w:r w:rsidR="00EB7308">
        <w:t>)</w:t>
      </w:r>
      <w:r w:rsidRPr="00B03216">
        <w:t xml:space="preserve"> pressure. In the sildenafil-first group, </w:t>
      </w:r>
      <w:proofErr w:type="spellStart"/>
      <w:r w:rsidR="00E3550D">
        <w:t>mPAP</w:t>
      </w:r>
      <w:proofErr w:type="spellEnd"/>
      <w:r w:rsidRPr="00B03216">
        <w:t xml:space="preserve"> had also fallen by 20 min; the reduction seen with sildenafil was numerically gr</w:t>
      </w:r>
      <w:r>
        <w:t xml:space="preserve">eater than that seen in the iNO </w:t>
      </w:r>
      <w:r w:rsidRPr="00B03216">
        <w:t>first group when expressed as a percentage of baseline, but the fall was not statistically significant (reduction of 10</w:t>
      </w:r>
      <w:r>
        <w:t> ± </w:t>
      </w:r>
      <w:r w:rsidRPr="00B03216">
        <w:t xml:space="preserve">4.1%; </w:t>
      </w:r>
      <w:r>
        <w:t>p = 0</w:t>
      </w:r>
      <w:r w:rsidRPr="00B03216">
        <w:t xml:space="preserve">.055). The subsequent addition of iNO produced a further fall in </w:t>
      </w:r>
      <w:proofErr w:type="spellStart"/>
      <w:r w:rsidR="00E3550D">
        <w:t>mPAP</w:t>
      </w:r>
      <w:proofErr w:type="spellEnd"/>
      <w:r w:rsidRPr="00B03216">
        <w:t>. The authors noted that iNO had</w:t>
      </w:r>
      <w:r>
        <w:t xml:space="preserve"> greater pulmonary selectivity.</w:t>
      </w:r>
      <w:r w:rsidR="00CB3356" w:rsidRPr="00CB3356">
        <w:rPr>
          <w:vertAlign w:val="superscript"/>
        </w:rPr>
        <w:fldChar w:fldCharType="begin"/>
      </w:r>
      <w:r w:rsidR="00CB3356" w:rsidRPr="00CB3356">
        <w:rPr>
          <w:vertAlign w:val="superscript"/>
        </w:rPr>
        <w:instrText xml:space="preserve"> NOTEREF _Ref477536958 \h </w:instrText>
      </w:r>
      <w:r w:rsidR="00CB3356">
        <w:rPr>
          <w:vertAlign w:val="superscript"/>
        </w:rPr>
        <w:instrText xml:space="preserve"> \* MERGEFORMAT </w:instrText>
      </w:r>
      <w:r w:rsidR="00CB3356" w:rsidRPr="00CB3356">
        <w:rPr>
          <w:vertAlign w:val="superscript"/>
        </w:rPr>
      </w:r>
      <w:r w:rsidR="00CB3356" w:rsidRPr="00CB3356">
        <w:rPr>
          <w:vertAlign w:val="superscript"/>
        </w:rPr>
        <w:fldChar w:fldCharType="separate"/>
      </w:r>
      <w:r w:rsidR="006D3007">
        <w:rPr>
          <w:vertAlign w:val="superscript"/>
        </w:rPr>
        <w:t>17</w:t>
      </w:r>
      <w:r w:rsidR="00CB3356" w:rsidRPr="00CB3356">
        <w:rPr>
          <w:vertAlign w:val="superscript"/>
        </w:rPr>
        <w:fldChar w:fldCharType="end"/>
      </w:r>
    </w:p>
    <w:p w14:paraId="1C3C94D6" w14:textId="77777777" w:rsidR="005C13F0" w:rsidRPr="00B03216" w:rsidRDefault="005C13F0" w:rsidP="005C13F0">
      <w:r w:rsidRPr="00B03216">
        <w:t>Thus, of the five supportive studies in children, two of them (</w:t>
      </w:r>
      <w:proofErr w:type="spellStart"/>
      <w:r w:rsidRPr="00B03216">
        <w:t>Cai</w:t>
      </w:r>
      <w:proofErr w:type="spellEnd"/>
      <w:r w:rsidRPr="00B03216">
        <w:t xml:space="preserve"> et al</w:t>
      </w:r>
      <w:r w:rsidR="00365E0C" w:rsidRPr="00365E0C">
        <w:rPr>
          <w:vertAlign w:val="superscript"/>
        </w:rPr>
        <w:fldChar w:fldCharType="begin"/>
      </w:r>
      <w:r w:rsidR="00365E0C" w:rsidRPr="00365E0C">
        <w:rPr>
          <w:vertAlign w:val="superscript"/>
        </w:rPr>
        <w:instrText xml:space="preserve"> NOTEREF _Ref477536870 \h </w:instrText>
      </w:r>
      <w:r w:rsidR="00365E0C">
        <w:rPr>
          <w:vertAlign w:val="superscript"/>
        </w:rPr>
        <w:instrText xml:space="preserve"> \* MERGEFORMAT </w:instrText>
      </w:r>
      <w:r w:rsidR="00365E0C" w:rsidRPr="00365E0C">
        <w:rPr>
          <w:vertAlign w:val="superscript"/>
        </w:rPr>
      </w:r>
      <w:r w:rsidR="00365E0C" w:rsidRPr="00365E0C">
        <w:rPr>
          <w:vertAlign w:val="superscript"/>
        </w:rPr>
        <w:fldChar w:fldCharType="separate"/>
      </w:r>
      <w:r w:rsidR="006D3007">
        <w:rPr>
          <w:vertAlign w:val="superscript"/>
        </w:rPr>
        <w:t>15</w:t>
      </w:r>
      <w:r w:rsidR="00365E0C" w:rsidRPr="00365E0C">
        <w:rPr>
          <w:vertAlign w:val="superscript"/>
        </w:rPr>
        <w:fldChar w:fldCharType="end"/>
      </w:r>
      <w:r w:rsidR="00365E0C">
        <w:t xml:space="preserve"> and Goldman et </w:t>
      </w:r>
      <w:r w:rsidRPr="00B03216">
        <w:t>al</w:t>
      </w:r>
      <w:r w:rsidR="00365E0C" w:rsidRPr="00365E0C">
        <w:rPr>
          <w:vertAlign w:val="superscript"/>
        </w:rPr>
        <w:fldChar w:fldCharType="begin"/>
      </w:r>
      <w:r w:rsidR="00365E0C" w:rsidRPr="00365E0C">
        <w:rPr>
          <w:vertAlign w:val="superscript"/>
        </w:rPr>
        <w:instrText xml:space="preserve"> NOTEREF _Ref477536886 \h </w:instrText>
      </w:r>
      <w:r w:rsidR="00365E0C">
        <w:rPr>
          <w:vertAlign w:val="superscript"/>
        </w:rPr>
        <w:instrText xml:space="preserve"> \* MERGEFORMAT </w:instrText>
      </w:r>
      <w:r w:rsidR="00365E0C" w:rsidRPr="00365E0C">
        <w:rPr>
          <w:vertAlign w:val="superscript"/>
        </w:rPr>
      </w:r>
      <w:r w:rsidR="00365E0C" w:rsidRPr="00365E0C">
        <w:rPr>
          <w:vertAlign w:val="superscript"/>
        </w:rPr>
        <w:fldChar w:fldCharType="separate"/>
      </w:r>
      <w:r w:rsidR="006D3007">
        <w:rPr>
          <w:vertAlign w:val="superscript"/>
        </w:rPr>
        <w:t>16</w:t>
      </w:r>
      <w:r w:rsidR="00365E0C" w:rsidRPr="00365E0C">
        <w:rPr>
          <w:vertAlign w:val="superscript"/>
        </w:rPr>
        <w:fldChar w:fldCharType="end"/>
      </w:r>
      <w:r w:rsidRPr="00B03216">
        <w:t>) produced significant results</w:t>
      </w:r>
      <w:r>
        <w:t xml:space="preserve"> strongly supportive of a short </w:t>
      </w:r>
      <w:r w:rsidRPr="00B03216">
        <w:t xml:space="preserve">term </w:t>
      </w:r>
      <w:r w:rsidRPr="00B03216">
        <w:lastRenderedPageBreak/>
        <w:t>haemodynamic effect with iNO relative to an unproven active control. The other three showed broad equivalence of iNO</w:t>
      </w:r>
      <w:r>
        <w:t xml:space="preserve"> and the active control.</w:t>
      </w:r>
    </w:p>
    <w:p w14:paraId="5B268E76" w14:textId="77777777" w:rsidR="005C13F0" w:rsidRDefault="005C13F0" w:rsidP="005C13F0">
      <w:r w:rsidRPr="00B03216">
        <w:t>The remaining 13 efficacy studies were performed in adults, and so they are not directly relevant to the proposed indication. Also, most of these studies were small, or used iNO for only a brief period, a</w:t>
      </w:r>
      <w:r>
        <w:t xml:space="preserve">s </w:t>
      </w:r>
      <w:r w:rsidRPr="004536B4">
        <w:t xml:space="preserve">indicated in Table 34 </w:t>
      </w:r>
      <w:r w:rsidR="004536B4" w:rsidRPr="004536B4">
        <w:t>of Attachment 2</w:t>
      </w:r>
      <w:r w:rsidRPr="004536B4">
        <w:t>.</w:t>
      </w:r>
    </w:p>
    <w:p w14:paraId="713431F6" w14:textId="77777777" w:rsidR="005C13F0" w:rsidRDefault="005C13F0" w:rsidP="005C13F0">
      <w:pPr>
        <w:pStyle w:val="Heading4"/>
      </w:pPr>
      <w:r w:rsidRPr="00B03216">
        <w:t>Positive results</w:t>
      </w:r>
    </w:p>
    <w:p w14:paraId="7A6D9630" w14:textId="77777777" w:rsidR="005C13F0" w:rsidRPr="00B03216" w:rsidRDefault="005C13F0" w:rsidP="005C13F0">
      <w:r w:rsidRPr="00B03216">
        <w:t>Positive results were obtained for the 3 studies below, which all showed superiority of iNO relative to the control therapy.</w:t>
      </w:r>
    </w:p>
    <w:p w14:paraId="592797F6" w14:textId="77777777" w:rsidR="005C13F0" w:rsidRPr="00B03216" w:rsidRDefault="005C13F0" w:rsidP="005C13F0">
      <w:proofErr w:type="spellStart"/>
      <w:r w:rsidRPr="00B03216">
        <w:t>Ardehali</w:t>
      </w:r>
      <w:proofErr w:type="spellEnd"/>
      <w:r w:rsidRPr="00B03216">
        <w:t>, 2001</w:t>
      </w:r>
      <w:proofErr w:type="gramStart"/>
      <w:r w:rsidR="00365E0C">
        <w:t>,</w:t>
      </w:r>
      <w:proofErr w:type="gramEnd"/>
      <w:r w:rsidR="00365E0C" w:rsidRPr="00365E0C">
        <w:rPr>
          <w:vertAlign w:val="superscript"/>
        </w:rPr>
        <w:fldChar w:fldCharType="begin"/>
      </w:r>
      <w:r w:rsidR="00365E0C" w:rsidRPr="00365E0C">
        <w:rPr>
          <w:vertAlign w:val="superscript"/>
        </w:rPr>
        <w:instrText xml:space="preserve"> NOTEREF _Ref477766279 \h </w:instrText>
      </w:r>
      <w:r w:rsidR="00365E0C">
        <w:rPr>
          <w:vertAlign w:val="superscript"/>
        </w:rPr>
        <w:instrText xml:space="preserve"> \* MERGEFORMAT </w:instrText>
      </w:r>
      <w:r w:rsidR="00365E0C" w:rsidRPr="00365E0C">
        <w:rPr>
          <w:vertAlign w:val="superscript"/>
        </w:rPr>
      </w:r>
      <w:r w:rsidR="00365E0C" w:rsidRPr="00365E0C">
        <w:rPr>
          <w:vertAlign w:val="superscript"/>
        </w:rPr>
        <w:fldChar w:fldCharType="separate"/>
      </w:r>
      <w:r w:rsidR="006D3007">
        <w:rPr>
          <w:vertAlign w:val="superscript"/>
        </w:rPr>
        <w:t>25</w:t>
      </w:r>
      <w:r w:rsidR="00365E0C" w:rsidRPr="00365E0C">
        <w:rPr>
          <w:vertAlign w:val="superscript"/>
        </w:rPr>
        <w:fldChar w:fldCharType="end"/>
      </w:r>
      <w:r w:rsidRPr="00B03216">
        <w:t xml:space="preserve"> was a study of heart transplant patients. Stu</w:t>
      </w:r>
      <w:r>
        <w:t>dy subjects who received iNO 20 </w:t>
      </w:r>
      <w:r w:rsidRPr="00B03216">
        <w:t>ppm (n</w:t>
      </w:r>
      <w:r>
        <w:t xml:space="preserve"> = </w:t>
      </w:r>
      <w:r w:rsidRPr="00B03216">
        <w:t>16) were compared with historical control subjects (n</w:t>
      </w:r>
      <w:r>
        <w:t xml:space="preserve"> = </w:t>
      </w:r>
      <w:r w:rsidRPr="00B03216">
        <w:t xml:space="preserve">16), and the incidence </w:t>
      </w:r>
      <w:r w:rsidR="00B47086" w:rsidRPr="00B03216">
        <w:t xml:space="preserve">of </w:t>
      </w:r>
      <w:r w:rsidR="00B47086">
        <w:t>right ventricular</w:t>
      </w:r>
      <w:r w:rsidR="00B47086" w:rsidRPr="00B03216">
        <w:t xml:space="preserve"> </w:t>
      </w:r>
      <w:r w:rsidR="00B47086">
        <w:t>(</w:t>
      </w:r>
      <w:r w:rsidRPr="00B03216">
        <w:t>RV</w:t>
      </w:r>
      <w:r w:rsidR="00B47086">
        <w:t>)</w:t>
      </w:r>
      <w:r w:rsidRPr="00B03216">
        <w:t xml:space="preserve"> dysfunction was substantially lower with iNO (</w:t>
      </w:r>
      <w:r>
        <w:t>p &lt; 0</w:t>
      </w:r>
      <w:r w:rsidRPr="00B03216">
        <w:t>.05). Survival wa</w:t>
      </w:r>
      <w:r>
        <w:t xml:space="preserve">s 100% with iNO, compared to 13 out of </w:t>
      </w:r>
      <w:r w:rsidRPr="00B03216">
        <w:t>16 (81.25%) in historical controls.</w:t>
      </w:r>
    </w:p>
    <w:p w14:paraId="5EFDA131" w14:textId="77777777" w:rsidR="005C13F0" w:rsidRPr="00B03216" w:rsidRDefault="005C13F0" w:rsidP="005C13F0">
      <w:r w:rsidRPr="00B03216">
        <w:t xml:space="preserve">In </w:t>
      </w:r>
      <w:proofErr w:type="spellStart"/>
      <w:r w:rsidRPr="00B03216">
        <w:t>Argenzanio</w:t>
      </w:r>
      <w:proofErr w:type="spellEnd"/>
      <w:r w:rsidRPr="00B03216">
        <w:t xml:space="preserve"> et al, 1998</w:t>
      </w:r>
      <w:r w:rsidR="00365E0C" w:rsidRPr="00365E0C">
        <w:rPr>
          <w:vertAlign w:val="superscript"/>
        </w:rPr>
        <w:fldChar w:fldCharType="begin"/>
      </w:r>
      <w:r w:rsidR="00365E0C" w:rsidRPr="00365E0C">
        <w:rPr>
          <w:vertAlign w:val="superscript"/>
        </w:rPr>
        <w:instrText xml:space="preserve"> NOTEREF _Ref477536386 \h </w:instrText>
      </w:r>
      <w:r w:rsidR="00365E0C">
        <w:rPr>
          <w:vertAlign w:val="superscript"/>
        </w:rPr>
        <w:instrText xml:space="preserve"> \* MERGEFORMAT </w:instrText>
      </w:r>
      <w:r w:rsidR="00365E0C" w:rsidRPr="00365E0C">
        <w:rPr>
          <w:vertAlign w:val="superscript"/>
        </w:rPr>
      </w:r>
      <w:r w:rsidR="00365E0C" w:rsidRPr="00365E0C">
        <w:rPr>
          <w:vertAlign w:val="superscript"/>
        </w:rPr>
        <w:fldChar w:fldCharType="separate"/>
      </w:r>
      <w:r w:rsidR="006D3007">
        <w:rPr>
          <w:vertAlign w:val="superscript"/>
        </w:rPr>
        <w:t>28</w:t>
      </w:r>
      <w:r w:rsidR="00365E0C" w:rsidRPr="00365E0C">
        <w:rPr>
          <w:vertAlign w:val="superscript"/>
        </w:rPr>
        <w:fldChar w:fldCharType="end"/>
      </w:r>
      <w:r w:rsidRPr="00B03216">
        <w:t xml:space="preserve"> (evaluable n</w:t>
      </w:r>
      <w:r>
        <w:t xml:space="preserve"> = </w:t>
      </w:r>
      <w:r w:rsidRPr="00B03216">
        <w:t>11), iNO 20 ppm (n</w:t>
      </w:r>
      <w:r>
        <w:t xml:space="preserve"> = </w:t>
      </w:r>
      <w:r w:rsidRPr="00B03216">
        <w:t>6) was compared to placebo (n</w:t>
      </w:r>
      <w:r>
        <w:t> = </w:t>
      </w:r>
      <w:r w:rsidRPr="00B03216">
        <w:t xml:space="preserve">5) in subjects receiving an LVAD. The period of randomised treatment was brief (15 min), after which rescue therapy was initiated. Subjects randomised to iNO showed a reduction in </w:t>
      </w:r>
      <w:proofErr w:type="spellStart"/>
      <w:r w:rsidR="00E3550D">
        <w:t>mPAP</w:t>
      </w:r>
      <w:proofErr w:type="spellEnd"/>
      <w:r w:rsidRPr="00B03216">
        <w:t xml:space="preserve"> from 35</w:t>
      </w:r>
      <w:r>
        <w:t xml:space="preserve"> ± </w:t>
      </w:r>
      <w:r w:rsidRPr="00B03216">
        <w:t xml:space="preserve">6 </w:t>
      </w:r>
      <w:r w:rsidR="00E3550D">
        <w:t>mmHg</w:t>
      </w:r>
      <w:r w:rsidRPr="00B03216">
        <w:t xml:space="preserve"> to 24</w:t>
      </w:r>
      <w:r>
        <w:t xml:space="preserve"> ± </w:t>
      </w:r>
      <w:r w:rsidRPr="00B03216">
        <w:t xml:space="preserve">4 </w:t>
      </w:r>
      <w:r w:rsidR="00E3550D">
        <w:t>mmHg</w:t>
      </w:r>
      <w:r w:rsidRPr="00B03216">
        <w:t xml:space="preserve"> (</w:t>
      </w:r>
      <w:r>
        <w:t>p = 0</w:t>
      </w:r>
      <w:r w:rsidRPr="00B03216">
        <w:t xml:space="preserve">.02) and an increase in the LVAD flow index. Those randomised to nitrogen placebo showed no haemodynamic response, but subsequently responded to crossover therapy with iNO, with a reduction in </w:t>
      </w:r>
      <w:proofErr w:type="spellStart"/>
      <w:r w:rsidR="00E3550D">
        <w:t>mPAP</w:t>
      </w:r>
      <w:proofErr w:type="spellEnd"/>
      <w:r w:rsidRPr="00B03216">
        <w:t xml:space="preserve"> from 31</w:t>
      </w:r>
      <w:r>
        <w:t xml:space="preserve"> ± </w:t>
      </w:r>
      <w:r w:rsidRPr="00B03216">
        <w:t xml:space="preserve">4 </w:t>
      </w:r>
      <w:r w:rsidR="00E3550D">
        <w:t>mmHg</w:t>
      </w:r>
      <w:r w:rsidRPr="00B03216">
        <w:t xml:space="preserve"> to 22</w:t>
      </w:r>
      <w:r>
        <w:t> ± </w:t>
      </w:r>
      <w:r w:rsidRPr="00B03216">
        <w:t xml:space="preserve">3 </w:t>
      </w:r>
      <w:r w:rsidR="00E3550D">
        <w:t>mmHg</w:t>
      </w:r>
      <w:r w:rsidRPr="00B03216">
        <w:t xml:space="preserve"> (</w:t>
      </w:r>
      <w:r>
        <w:t>p = 0</w:t>
      </w:r>
      <w:r w:rsidRPr="00B03216">
        <w:t>.02) and an i</w:t>
      </w:r>
      <w:r>
        <w:t>ncrease in the LVAD flow index.</w:t>
      </w:r>
    </w:p>
    <w:p w14:paraId="431DB310" w14:textId="77777777" w:rsidR="005C13F0" w:rsidRPr="00B03216" w:rsidRDefault="005C13F0" w:rsidP="005C13F0">
      <w:r w:rsidRPr="00B03216">
        <w:t xml:space="preserve">In </w:t>
      </w:r>
      <w:proofErr w:type="spellStart"/>
      <w:r w:rsidRPr="00B03216">
        <w:t>Rajek</w:t>
      </w:r>
      <w:proofErr w:type="spellEnd"/>
      <w:r w:rsidRPr="00B03216">
        <w:t>, 2000</w:t>
      </w:r>
      <w:r w:rsidR="00365E0C" w:rsidRPr="00365E0C">
        <w:rPr>
          <w:vertAlign w:val="superscript"/>
        </w:rPr>
        <w:fldChar w:fldCharType="begin"/>
      </w:r>
      <w:r w:rsidR="00365E0C" w:rsidRPr="00365E0C">
        <w:rPr>
          <w:vertAlign w:val="superscript"/>
        </w:rPr>
        <w:instrText xml:space="preserve"> NOTEREF _Ref477536366 \h </w:instrText>
      </w:r>
      <w:r w:rsidR="00365E0C">
        <w:rPr>
          <w:vertAlign w:val="superscript"/>
        </w:rPr>
        <w:instrText xml:space="preserve"> \* MERGEFORMAT </w:instrText>
      </w:r>
      <w:r w:rsidR="00365E0C" w:rsidRPr="00365E0C">
        <w:rPr>
          <w:vertAlign w:val="superscript"/>
        </w:rPr>
      </w:r>
      <w:r w:rsidR="00365E0C" w:rsidRPr="00365E0C">
        <w:rPr>
          <w:vertAlign w:val="superscript"/>
        </w:rPr>
        <w:fldChar w:fldCharType="separate"/>
      </w:r>
      <w:r w:rsidR="006D3007">
        <w:rPr>
          <w:vertAlign w:val="superscript"/>
        </w:rPr>
        <w:t>26</w:t>
      </w:r>
      <w:r w:rsidR="00365E0C" w:rsidRPr="00365E0C">
        <w:rPr>
          <w:vertAlign w:val="superscript"/>
        </w:rPr>
        <w:fldChar w:fldCharType="end"/>
      </w:r>
      <w:r w:rsidRPr="00B03216">
        <w:t xml:space="preserve"> (evaluable n</w:t>
      </w:r>
      <w:r>
        <w:t xml:space="preserve"> = </w:t>
      </w:r>
      <w:r w:rsidRPr="00B03216">
        <w:t xml:space="preserve">68), iNO at doses of up to 24 ppm was compared to </w:t>
      </w:r>
      <w:r w:rsidR="009273A2">
        <w:t>prostaglandin E1 (</w:t>
      </w:r>
      <w:r w:rsidRPr="00B03216">
        <w:t>PGE1</w:t>
      </w:r>
      <w:r w:rsidR="009273A2">
        <w:t>)</w:t>
      </w:r>
      <w:r w:rsidRPr="00B03216">
        <w:t xml:space="preserve"> in adults undergoing heart transplantation, with treatment initiated at the end of CPB. In the iNO group, a major reduction in PVR occurred within 10 minutes of CPB (from 326</w:t>
      </w:r>
      <w:r>
        <w:t xml:space="preserve"> ± </w:t>
      </w:r>
      <w:r w:rsidRPr="00B03216">
        <w:t>21 to 180</w:t>
      </w:r>
      <w:r>
        <w:t> ± 15 </w:t>
      </w:r>
      <w:r w:rsidRPr="00B03216">
        <w:t>dynes∙s∙</w:t>
      </w:r>
      <w:r w:rsidRPr="00DA7AFA">
        <w:t>cm</w:t>
      </w:r>
      <w:r w:rsidRPr="00F22AA6">
        <w:rPr>
          <w:vertAlign w:val="superscript"/>
        </w:rPr>
        <w:t>-5</w:t>
      </w:r>
      <w:r w:rsidRPr="00B03216">
        <w:t>), and this was statistically significant (</w:t>
      </w:r>
      <w:r>
        <w:t>p &lt; 0</w:t>
      </w:r>
      <w:r w:rsidRPr="00B03216">
        <w:t>.0001) compared to PGE1, where the initial reduction was relatively minor (295</w:t>
      </w:r>
      <w:r>
        <w:t xml:space="preserve"> ± </w:t>
      </w:r>
      <w:r w:rsidRPr="00B03216">
        <w:t>30 to 264</w:t>
      </w:r>
      <w:r w:rsidR="00365E0C">
        <w:t> ± 27 </w:t>
      </w:r>
      <w:r w:rsidRPr="00B03216">
        <w:t>dynes∙s∙</w:t>
      </w:r>
      <w:r w:rsidRPr="00DA7AFA">
        <w:t>cm</w:t>
      </w:r>
      <w:r w:rsidR="00365E0C">
        <w:rPr>
          <w:vertAlign w:val="superscript"/>
        </w:rPr>
        <w:noBreakHyphen/>
      </w:r>
      <w:r w:rsidRPr="00F22AA6">
        <w:rPr>
          <w:vertAlign w:val="superscript"/>
        </w:rPr>
        <w:t>5</w:t>
      </w:r>
      <w:r w:rsidRPr="00B03216">
        <w:t>). The difference was still significant at one hour post-CPB but, by six hours, subjects in the PGE1 group had shown further reductions in PVR and the difference between gr</w:t>
      </w:r>
      <w:r>
        <w:t>oups was no longer significant.</w:t>
      </w:r>
    </w:p>
    <w:p w14:paraId="656B339E" w14:textId="77777777" w:rsidR="005C13F0" w:rsidRDefault="005C13F0" w:rsidP="005C13F0">
      <w:pPr>
        <w:pStyle w:val="Heading4"/>
      </w:pPr>
      <w:r w:rsidRPr="00B03216">
        <w:t>Si</w:t>
      </w:r>
      <w:r>
        <w:t>gnificant changes from baseline</w:t>
      </w:r>
    </w:p>
    <w:p w14:paraId="5CA82730" w14:textId="675AEADD" w:rsidR="005C13F0" w:rsidRPr="00B03216" w:rsidRDefault="005C13F0" w:rsidP="005C13F0">
      <w:r w:rsidRPr="00B03216">
        <w:t>Significant changes from baseline were obtained in the studies below, though no significant difference was observed between treatments (or,</w:t>
      </w:r>
      <w:r w:rsidR="00A54259">
        <w:t xml:space="preserve"> in the case of </w:t>
      </w:r>
      <w:proofErr w:type="spellStart"/>
      <w:r w:rsidR="00A54259">
        <w:t>Winterhalter</w:t>
      </w:r>
      <w:proofErr w:type="spellEnd"/>
      <w:r w:rsidR="00A54259">
        <w:t> et </w:t>
      </w:r>
      <w:r w:rsidRPr="00B03216">
        <w:t xml:space="preserve">al, </w:t>
      </w:r>
      <w:proofErr w:type="spellStart"/>
      <w:r w:rsidRPr="00B03216">
        <w:t>iNO</w:t>
      </w:r>
      <w:proofErr w:type="spellEnd"/>
      <w:r w:rsidRPr="00B03216">
        <w:t xml:space="preserve"> was significantly inferior to the active control, </w:t>
      </w:r>
      <w:proofErr w:type="spellStart"/>
      <w:r w:rsidRPr="00B03216">
        <w:t>iloprost</w:t>
      </w:r>
      <w:proofErr w:type="spellEnd"/>
      <w:r w:rsidRPr="00B03216">
        <w:t>)</w:t>
      </w:r>
      <w:r>
        <w:t>.</w:t>
      </w:r>
      <w:r w:rsidR="00365E0C" w:rsidRPr="00365E0C">
        <w:rPr>
          <w:vertAlign w:val="superscript"/>
        </w:rPr>
        <w:fldChar w:fldCharType="begin"/>
      </w:r>
      <w:r w:rsidR="00365E0C" w:rsidRPr="00365E0C">
        <w:rPr>
          <w:vertAlign w:val="superscript"/>
        </w:rPr>
        <w:instrText xml:space="preserve"> NOTEREF _Ref477766865 \h </w:instrText>
      </w:r>
      <w:r w:rsidR="00365E0C">
        <w:rPr>
          <w:vertAlign w:val="superscript"/>
        </w:rPr>
        <w:instrText xml:space="preserve"> \* MERGEFORMAT </w:instrText>
      </w:r>
      <w:r w:rsidR="00365E0C" w:rsidRPr="00365E0C">
        <w:rPr>
          <w:vertAlign w:val="superscript"/>
        </w:rPr>
      </w:r>
      <w:r w:rsidR="00365E0C" w:rsidRPr="00365E0C">
        <w:rPr>
          <w:vertAlign w:val="superscript"/>
        </w:rPr>
        <w:fldChar w:fldCharType="separate"/>
      </w:r>
      <w:r w:rsidR="006D3007">
        <w:rPr>
          <w:vertAlign w:val="superscript"/>
        </w:rPr>
        <w:t>22</w:t>
      </w:r>
      <w:r w:rsidR="00365E0C" w:rsidRPr="00365E0C">
        <w:rPr>
          <w:vertAlign w:val="superscript"/>
        </w:rPr>
        <w:fldChar w:fldCharType="end"/>
      </w:r>
    </w:p>
    <w:p w14:paraId="39F440C4" w14:textId="77777777" w:rsidR="005C13F0" w:rsidRPr="00B03216" w:rsidRDefault="005C13F0" w:rsidP="005C13F0">
      <w:proofErr w:type="spellStart"/>
      <w:r w:rsidRPr="00B03216">
        <w:t>Kieler</w:t>
      </w:r>
      <w:proofErr w:type="spellEnd"/>
      <w:r w:rsidRPr="00B03216">
        <w:t>-Jensen et al, 1994 (n</w:t>
      </w:r>
      <w:r>
        <w:t xml:space="preserve"> = </w:t>
      </w:r>
      <w:r w:rsidRPr="00B03216">
        <w:t xml:space="preserve">12), studied iNO in the setting of pre-operative vasoreactivity testing in adults. They confirmed that iNO (ten min at each of 20, 40 and 80 ppm) is a selective vasodilator in the pulmonary circulation, lowering PVR, though it showed minimal direct effects on </w:t>
      </w:r>
      <w:proofErr w:type="spellStart"/>
      <w:r w:rsidR="00E3550D">
        <w:t>mPAP</w:t>
      </w:r>
      <w:proofErr w:type="spellEnd"/>
      <w:r w:rsidRPr="00B03216">
        <w:t xml:space="preserve">. The active controls, intravenous PGI2 and nitroprusside, produced a greater </w:t>
      </w:r>
      <w:proofErr w:type="spellStart"/>
      <w:r w:rsidR="00E3550D">
        <w:t>mPAP</w:t>
      </w:r>
      <w:proofErr w:type="spellEnd"/>
      <w:r w:rsidRPr="00B03216">
        <w:t xml:space="preserve"> reduction than achieved with iNO. There was no convincing dose trend for iNO</w:t>
      </w:r>
      <w:r>
        <w:t>.</w:t>
      </w:r>
      <w:r w:rsidR="00365E0C" w:rsidRPr="00365E0C">
        <w:rPr>
          <w:vertAlign w:val="superscript"/>
        </w:rPr>
        <w:fldChar w:fldCharType="begin"/>
      </w:r>
      <w:r w:rsidR="00365E0C" w:rsidRPr="00365E0C">
        <w:rPr>
          <w:vertAlign w:val="superscript"/>
        </w:rPr>
        <w:instrText xml:space="preserve"> NOTEREF _Ref477536101 \h </w:instrText>
      </w:r>
      <w:r w:rsidR="00365E0C">
        <w:rPr>
          <w:vertAlign w:val="superscript"/>
        </w:rPr>
        <w:instrText xml:space="preserve"> \* MERGEFORMAT </w:instrText>
      </w:r>
      <w:r w:rsidR="00365E0C" w:rsidRPr="00365E0C">
        <w:rPr>
          <w:vertAlign w:val="superscript"/>
        </w:rPr>
      </w:r>
      <w:r w:rsidR="00365E0C" w:rsidRPr="00365E0C">
        <w:rPr>
          <w:vertAlign w:val="superscript"/>
        </w:rPr>
        <w:fldChar w:fldCharType="separate"/>
      </w:r>
      <w:r w:rsidR="006D3007">
        <w:rPr>
          <w:vertAlign w:val="superscript"/>
        </w:rPr>
        <w:t>10</w:t>
      </w:r>
      <w:r w:rsidR="00365E0C" w:rsidRPr="00365E0C">
        <w:rPr>
          <w:vertAlign w:val="superscript"/>
        </w:rPr>
        <w:fldChar w:fldCharType="end"/>
      </w:r>
    </w:p>
    <w:p w14:paraId="6A65815B" w14:textId="77777777" w:rsidR="005C13F0" w:rsidRDefault="005C13F0" w:rsidP="005C13F0">
      <w:proofErr w:type="spellStart"/>
      <w:r w:rsidRPr="00B03216">
        <w:t>Radovancevic</w:t>
      </w:r>
      <w:proofErr w:type="spellEnd"/>
      <w:r w:rsidRPr="00B03216">
        <w:t xml:space="preserve"> et al, 2005 (n</w:t>
      </w:r>
      <w:r>
        <w:t xml:space="preserve"> = </w:t>
      </w:r>
      <w:r w:rsidRPr="00B03216">
        <w:t>19), compared prostaglandin E</w:t>
      </w:r>
      <w:r>
        <w:t>1 (PGE1) and iNO (40, 60 and 80 </w:t>
      </w:r>
      <w:r w:rsidRPr="00B03216">
        <w:t xml:space="preserve">ppm) during pre-operative vasoreactivity testing of heart transplant candidates with pulmonary hypertension, using an </w:t>
      </w:r>
      <w:r>
        <w:t>open label</w:t>
      </w:r>
      <w:r w:rsidRPr="00B03216">
        <w:t xml:space="preserve"> crossover design. This study showed positive haemodynamic results for both agents, with reductions in PVR and TPG relative to baseline, but no significant difference between the two agents. The reduction in TPG was not significant for the lowest dose of PGE1, but higher doses of PGE1 and all doses of iNO produced significant mean reductions, compared to baseline. The haemodynamic response to all doses of iNO was very similar, with no apparent dose trend </w:t>
      </w:r>
      <w:r>
        <w:t>across the range of 40 to 80 ppm.</w:t>
      </w:r>
      <w:r w:rsidR="00365E0C" w:rsidRPr="00365E0C">
        <w:rPr>
          <w:vertAlign w:val="superscript"/>
        </w:rPr>
        <w:fldChar w:fldCharType="begin"/>
      </w:r>
      <w:r w:rsidR="00365E0C" w:rsidRPr="00365E0C">
        <w:rPr>
          <w:vertAlign w:val="superscript"/>
        </w:rPr>
        <w:instrText xml:space="preserve"> NOTEREF _Ref477766910 \h </w:instrText>
      </w:r>
      <w:r w:rsidR="00365E0C">
        <w:rPr>
          <w:vertAlign w:val="superscript"/>
        </w:rPr>
        <w:instrText xml:space="preserve"> \* MERGEFORMAT </w:instrText>
      </w:r>
      <w:r w:rsidR="00365E0C" w:rsidRPr="00365E0C">
        <w:rPr>
          <w:vertAlign w:val="superscript"/>
        </w:rPr>
      </w:r>
      <w:r w:rsidR="00365E0C" w:rsidRPr="00365E0C">
        <w:rPr>
          <w:vertAlign w:val="superscript"/>
        </w:rPr>
        <w:fldChar w:fldCharType="separate"/>
      </w:r>
      <w:r w:rsidR="006D3007">
        <w:rPr>
          <w:vertAlign w:val="superscript"/>
        </w:rPr>
        <w:t>27</w:t>
      </w:r>
      <w:r w:rsidR="00365E0C" w:rsidRPr="00365E0C">
        <w:rPr>
          <w:vertAlign w:val="superscript"/>
        </w:rPr>
        <w:fldChar w:fldCharType="end"/>
      </w:r>
    </w:p>
    <w:p w14:paraId="53207E50" w14:textId="77777777" w:rsidR="005C13F0" w:rsidRPr="00B03216" w:rsidRDefault="005C13F0" w:rsidP="005C13F0">
      <w:proofErr w:type="spellStart"/>
      <w:r w:rsidRPr="00B03216">
        <w:lastRenderedPageBreak/>
        <w:t>Schmid</w:t>
      </w:r>
      <w:proofErr w:type="spellEnd"/>
      <w:r w:rsidRPr="00B03216">
        <w:t xml:space="preserve"> et al, 1999 (n</w:t>
      </w:r>
      <w:r>
        <w:t xml:space="preserve"> = </w:t>
      </w:r>
      <w:r w:rsidRPr="00B03216">
        <w:t xml:space="preserve">14), used a crossover design to compare three agents, in random sequence: iNO 40 ppm, intravenous PGE1 0.1 </w:t>
      </w:r>
      <w:r>
        <w:t>µ</w:t>
      </w:r>
      <w:r w:rsidRPr="00B03216">
        <w:t xml:space="preserve">g∙kg-1∙min-1, and intravenous </w:t>
      </w:r>
      <w:proofErr w:type="spellStart"/>
      <w:r w:rsidRPr="00B03216">
        <w:t>nitroglycerine</w:t>
      </w:r>
      <w:proofErr w:type="spellEnd"/>
      <w:r w:rsidRPr="00B03216">
        <w:t xml:space="preserve"> (NTG), 3 to 5 mg∙kg-1∙min-1. All three agents produced a significant reduction in </w:t>
      </w:r>
      <w:proofErr w:type="spellStart"/>
      <w:r w:rsidR="00E3550D">
        <w:t>mPAP</w:t>
      </w:r>
      <w:proofErr w:type="spellEnd"/>
      <w:r w:rsidRPr="00B03216">
        <w:t xml:space="preserve"> (</w:t>
      </w:r>
      <w:r>
        <w:t>p &lt; 0</w:t>
      </w:r>
      <w:r w:rsidRPr="00B03216">
        <w:t>.01), and all were effective in reducing PVR and TPG (</w:t>
      </w:r>
      <w:r>
        <w:t>p = 0</w:t>
      </w:r>
      <w:r w:rsidRPr="00B03216">
        <w:t xml:space="preserve">.003). They differed in their effect on the systemic circulation: iNO did not produce a significant change in </w:t>
      </w:r>
      <w:proofErr w:type="spellStart"/>
      <w:r w:rsidR="00E3550D">
        <w:t>mSAP</w:t>
      </w:r>
      <w:proofErr w:type="spellEnd"/>
      <w:r w:rsidRPr="00B03216">
        <w:t xml:space="preserve"> or </w:t>
      </w:r>
      <w:r w:rsidR="00C0382B">
        <w:t>systemic vascular resistance (</w:t>
      </w:r>
      <w:r>
        <w:t>SVR</w:t>
      </w:r>
      <w:r w:rsidR="00C0382B">
        <w:t>)</w:t>
      </w:r>
      <w:r>
        <w:t>, but PGE1 and NTG did.</w:t>
      </w:r>
      <w:r w:rsidR="00365E0C" w:rsidRPr="00365E0C">
        <w:rPr>
          <w:vertAlign w:val="superscript"/>
        </w:rPr>
        <w:fldChar w:fldCharType="begin"/>
      </w:r>
      <w:r w:rsidR="00365E0C" w:rsidRPr="00365E0C">
        <w:rPr>
          <w:vertAlign w:val="superscript"/>
        </w:rPr>
        <w:instrText xml:space="preserve"> NOTEREF _Ref477766928 \h </w:instrText>
      </w:r>
      <w:r w:rsidR="00365E0C">
        <w:rPr>
          <w:vertAlign w:val="superscript"/>
        </w:rPr>
        <w:instrText xml:space="preserve"> \* MERGEFORMAT </w:instrText>
      </w:r>
      <w:r w:rsidR="00365E0C" w:rsidRPr="00365E0C">
        <w:rPr>
          <w:vertAlign w:val="superscript"/>
        </w:rPr>
      </w:r>
      <w:r w:rsidR="00365E0C" w:rsidRPr="00365E0C">
        <w:rPr>
          <w:vertAlign w:val="superscript"/>
        </w:rPr>
        <w:fldChar w:fldCharType="separate"/>
      </w:r>
      <w:r w:rsidR="006D3007">
        <w:rPr>
          <w:vertAlign w:val="superscript"/>
        </w:rPr>
        <w:t>21</w:t>
      </w:r>
      <w:r w:rsidR="00365E0C" w:rsidRPr="00365E0C">
        <w:rPr>
          <w:vertAlign w:val="superscript"/>
        </w:rPr>
        <w:fldChar w:fldCharType="end"/>
      </w:r>
    </w:p>
    <w:p w14:paraId="209A9F60" w14:textId="77777777" w:rsidR="005C13F0" w:rsidRPr="00B03216" w:rsidRDefault="005C13F0" w:rsidP="005C13F0">
      <w:proofErr w:type="spellStart"/>
      <w:r w:rsidRPr="00B03216">
        <w:t>Solina</w:t>
      </w:r>
      <w:proofErr w:type="spellEnd"/>
      <w:r w:rsidRPr="00B03216">
        <w:t xml:space="preserve"> et al, 2000 (n</w:t>
      </w:r>
      <w:r>
        <w:t xml:space="preserve"> = </w:t>
      </w:r>
      <w:r w:rsidRPr="00B03216">
        <w:t xml:space="preserve">45), assessed iNO at two doses (20 ppm and 40 ppm) in comparison to </w:t>
      </w:r>
      <w:r>
        <w:t>IV</w:t>
      </w:r>
      <w:r w:rsidRPr="00B03216">
        <w:t xml:space="preserve"> milrinone. They showed that iNO 40 ppm is broadly comparable to the intravenous vasodilator milrinone in its ability to reduce PVR. All three treatments produced a clear reduction in PVR compared to baseline. At a dose of 20 ppm, iNO was associated with a higher PVR than the other two treatments, but this could refl</w:t>
      </w:r>
      <w:r>
        <w:t>ect pre-treatment differences.</w:t>
      </w:r>
      <w:r w:rsidR="00365E0C" w:rsidRPr="00365E0C">
        <w:rPr>
          <w:vertAlign w:val="superscript"/>
        </w:rPr>
        <w:fldChar w:fldCharType="begin"/>
      </w:r>
      <w:r w:rsidR="00365E0C" w:rsidRPr="00365E0C">
        <w:rPr>
          <w:vertAlign w:val="superscript"/>
        </w:rPr>
        <w:instrText xml:space="preserve"> NOTEREF _Ref477766983 \h </w:instrText>
      </w:r>
      <w:r w:rsidR="00365E0C">
        <w:rPr>
          <w:vertAlign w:val="superscript"/>
        </w:rPr>
        <w:instrText xml:space="preserve"> \* MERGEFORMAT </w:instrText>
      </w:r>
      <w:r w:rsidR="00365E0C" w:rsidRPr="00365E0C">
        <w:rPr>
          <w:vertAlign w:val="superscript"/>
        </w:rPr>
      </w:r>
      <w:r w:rsidR="00365E0C" w:rsidRPr="00365E0C">
        <w:rPr>
          <w:vertAlign w:val="superscript"/>
        </w:rPr>
        <w:fldChar w:fldCharType="separate"/>
      </w:r>
      <w:r w:rsidR="006D3007">
        <w:rPr>
          <w:vertAlign w:val="superscript"/>
        </w:rPr>
        <w:t>23</w:t>
      </w:r>
      <w:r w:rsidR="00365E0C" w:rsidRPr="00365E0C">
        <w:rPr>
          <w:vertAlign w:val="superscript"/>
        </w:rPr>
        <w:fldChar w:fldCharType="end"/>
      </w:r>
    </w:p>
    <w:p w14:paraId="66E0F752" w14:textId="77777777" w:rsidR="005C13F0" w:rsidRPr="00B03216" w:rsidRDefault="005C13F0" w:rsidP="005C13F0">
      <w:proofErr w:type="spellStart"/>
      <w:r w:rsidRPr="00B03216">
        <w:t>Solina</w:t>
      </w:r>
      <w:proofErr w:type="spellEnd"/>
      <w:r w:rsidRPr="00B03216">
        <w:t xml:space="preserve"> et al, 2001 (n</w:t>
      </w:r>
      <w:r>
        <w:t xml:space="preserve"> = </w:t>
      </w:r>
      <w:r w:rsidRPr="00B03216">
        <w:t>62), compared several different doses of iNO to milrinone. Subjects in Group 1 (n</w:t>
      </w:r>
      <w:r>
        <w:t xml:space="preserve"> = </w:t>
      </w:r>
      <w:r w:rsidRPr="00B03216">
        <w:t>11) received 10 ppm, Group 2 (n</w:t>
      </w:r>
      <w:r>
        <w:t xml:space="preserve"> = </w:t>
      </w:r>
      <w:r w:rsidRPr="00B03216">
        <w:t>12) received 20 ppm, Group 3 (n</w:t>
      </w:r>
      <w:r>
        <w:t xml:space="preserve"> = </w:t>
      </w:r>
      <w:r w:rsidRPr="00B03216">
        <w:t>12) received 30 ppm, and Group 4 (n</w:t>
      </w:r>
      <w:r>
        <w:t xml:space="preserve"> = </w:t>
      </w:r>
      <w:r w:rsidRPr="00B03216">
        <w:t>12) received 40 ppm. Subjects in Group 5 (n</w:t>
      </w:r>
      <w:r>
        <w:t xml:space="preserve"> = </w:t>
      </w:r>
      <w:r w:rsidRPr="00B03216">
        <w:t>15) received milrinone initiated by bolus (50 mg/kg) 15 minutes before separation</w:t>
      </w:r>
      <w:r>
        <w:t xml:space="preserve"> from CPB and maintained at 0.5 </w:t>
      </w:r>
      <w:r w:rsidRPr="00B03216">
        <w:t>mg/kg/min in the operating room. All groups showed a clear and significant reduction in PVR. The percentage decrease in PVR did not show a consistent dose trend and was not significantly different between the groups by ANOVA (10 ppm</w:t>
      </w:r>
      <w:r>
        <w:t xml:space="preserve"> = </w:t>
      </w:r>
      <w:r w:rsidRPr="00B03216">
        <w:t>38%, 20 ppm</w:t>
      </w:r>
      <w:r>
        <w:t xml:space="preserve"> = 50%, 30 </w:t>
      </w:r>
      <w:r w:rsidRPr="00B03216">
        <w:t>ppm</w:t>
      </w:r>
      <w:r>
        <w:t> = </w:t>
      </w:r>
      <w:r w:rsidRPr="00B03216">
        <w:t>44%, 40 ppm</w:t>
      </w:r>
      <w:r>
        <w:t xml:space="preserve"> = </w:t>
      </w:r>
      <w:r w:rsidRPr="00B03216">
        <w:t>3</w:t>
      </w:r>
      <w:r>
        <w:t>6%, milrinone = 58%; p = 0.86).</w:t>
      </w:r>
      <w:r w:rsidR="00365E0C" w:rsidRPr="00365E0C">
        <w:rPr>
          <w:vertAlign w:val="superscript"/>
        </w:rPr>
        <w:fldChar w:fldCharType="begin"/>
      </w:r>
      <w:r w:rsidR="00365E0C" w:rsidRPr="00365E0C">
        <w:rPr>
          <w:vertAlign w:val="superscript"/>
        </w:rPr>
        <w:instrText xml:space="preserve"> NOTEREF _Ref477767001 \h </w:instrText>
      </w:r>
      <w:r w:rsidR="00365E0C">
        <w:rPr>
          <w:vertAlign w:val="superscript"/>
        </w:rPr>
        <w:instrText xml:space="preserve"> \* MERGEFORMAT </w:instrText>
      </w:r>
      <w:r w:rsidR="00365E0C" w:rsidRPr="00365E0C">
        <w:rPr>
          <w:vertAlign w:val="superscript"/>
        </w:rPr>
      </w:r>
      <w:r w:rsidR="00365E0C" w:rsidRPr="00365E0C">
        <w:rPr>
          <w:vertAlign w:val="superscript"/>
        </w:rPr>
        <w:fldChar w:fldCharType="separate"/>
      </w:r>
      <w:r w:rsidR="006D3007">
        <w:rPr>
          <w:vertAlign w:val="superscript"/>
        </w:rPr>
        <w:t>24</w:t>
      </w:r>
      <w:r w:rsidR="00365E0C" w:rsidRPr="00365E0C">
        <w:rPr>
          <w:vertAlign w:val="superscript"/>
        </w:rPr>
        <w:fldChar w:fldCharType="end"/>
      </w:r>
    </w:p>
    <w:p w14:paraId="5F7CEFA3" w14:textId="77777777" w:rsidR="005C13F0" w:rsidRPr="00B03216" w:rsidRDefault="005C13F0" w:rsidP="005C13F0">
      <w:proofErr w:type="spellStart"/>
      <w:r w:rsidRPr="00B03216">
        <w:t>Winterhalter</w:t>
      </w:r>
      <w:proofErr w:type="spellEnd"/>
      <w:r w:rsidRPr="00B03216">
        <w:t xml:space="preserve"> et al, 2008 (n</w:t>
      </w:r>
      <w:r>
        <w:t xml:space="preserve"> = </w:t>
      </w:r>
      <w:r w:rsidRPr="00B03216">
        <w:t xml:space="preserve">46), compared iNO to inhaled iloprost using an </w:t>
      </w:r>
      <w:r>
        <w:t>open label</w:t>
      </w:r>
      <w:r w:rsidRPr="00B03216">
        <w:t xml:space="preserve">, randomised, prospective, </w:t>
      </w:r>
      <w:r>
        <w:t>parallel group</w:t>
      </w:r>
      <w:r w:rsidRPr="00B03216">
        <w:t xml:space="preserve"> design. Both agents produced a major, significant reduction in </w:t>
      </w:r>
      <w:proofErr w:type="spellStart"/>
      <w:r w:rsidR="00E3550D">
        <w:t>mPAP</w:t>
      </w:r>
      <w:proofErr w:type="spellEnd"/>
      <w:r w:rsidRPr="00B03216">
        <w:t xml:space="preserve"> and PVR, relative to baseline, but the reduction in </w:t>
      </w:r>
      <w:proofErr w:type="spellStart"/>
      <w:r w:rsidR="00E3550D">
        <w:t>mPAP</w:t>
      </w:r>
      <w:proofErr w:type="spellEnd"/>
      <w:r w:rsidRPr="00B03216">
        <w:t xml:space="preserve"> and PVR was greater with </w:t>
      </w:r>
      <w:proofErr w:type="spellStart"/>
      <w:r w:rsidRPr="00B03216">
        <w:t>iloprost</w:t>
      </w:r>
      <w:proofErr w:type="spellEnd"/>
      <w:r w:rsidRPr="00B03216">
        <w:t xml:space="preserve"> (</w:t>
      </w:r>
      <w:r>
        <w:t>between group</w:t>
      </w:r>
      <w:r w:rsidRPr="00B03216">
        <w:t xml:space="preserve"> </w:t>
      </w:r>
      <w:proofErr w:type="spellStart"/>
      <w:r w:rsidR="00E3550D">
        <w:t>mPAP</w:t>
      </w:r>
      <w:proofErr w:type="spellEnd"/>
      <w:r w:rsidRPr="00B03216">
        <w:t xml:space="preserve"> difference, </w:t>
      </w:r>
      <w:r>
        <w:t>p = 0.006; PVR difference, p = 0.013).</w:t>
      </w:r>
      <w:r w:rsidR="00365E0C" w:rsidRPr="00365E0C">
        <w:rPr>
          <w:vertAlign w:val="superscript"/>
        </w:rPr>
        <w:fldChar w:fldCharType="begin"/>
      </w:r>
      <w:r w:rsidR="00365E0C" w:rsidRPr="00365E0C">
        <w:rPr>
          <w:vertAlign w:val="superscript"/>
        </w:rPr>
        <w:instrText xml:space="preserve"> NOTEREF _Ref477766865 \h </w:instrText>
      </w:r>
      <w:r w:rsidR="00365E0C">
        <w:rPr>
          <w:vertAlign w:val="superscript"/>
        </w:rPr>
        <w:instrText xml:space="preserve"> \* MERGEFORMAT </w:instrText>
      </w:r>
      <w:r w:rsidR="00365E0C" w:rsidRPr="00365E0C">
        <w:rPr>
          <w:vertAlign w:val="superscript"/>
        </w:rPr>
      </w:r>
      <w:r w:rsidR="00365E0C" w:rsidRPr="00365E0C">
        <w:rPr>
          <w:vertAlign w:val="superscript"/>
        </w:rPr>
        <w:fldChar w:fldCharType="separate"/>
      </w:r>
      <w:r w:rsidR="006D3007">
        <w:rPr>
          <w:vertAlign w:val="superscript"/>
        </w:rPr>
        <w:t>22</w:t>
      </w:r>
      <w:r w:rsidR="00365E0C" w:rsidRPr="00365E0C">
        <w:rPr>
          <w:vertAlign w:val="superscript"/>
        </w:rPr>
        <w:fldChar w:fldCharType="end"/>
      </w:r>
    </w:p>
    <w:p w14:paraId="57021ACD" w14:textId="77777777" w:rsidR="005C13F0" w:rsidRDefault="005C13F0" w:rsidP="005C13F0">
      <w:pPr>
        <w:pStyle w:val="Heading4"/>
      </w:pPr>
      <w:r w:rsidRPr="00B03216">
        <w:t>Negative or borderline results</w:t>
      </w:r>
    </w:p>
    <w:p w14:paraId="06CB1B78" w14:textId="77777777" w:rsidR="005C13F0" w:rsidRPr="00B03216" w:rsidRDefault="005C13F0" w:rsidP="005C13F0">
      <w:r w:rsidRPr="00B03216">
        <w:t>Negative or borderline results were obtained for the remaining studies, though this usually reflected inadequate statistical power. None of these negative studies casts significant doubt on the efficacy of iNO.</w:t>
      </w:r>
    </w:p>
    <w:p w14:paraId="38E97AC6" w14:textId="77777777" w:rsidR="005C13F0" w:rsidRPr="00B03216" w:rsidRDefault="005C13F0" w:rsidP="005C13F0">
      <w:proofErr w:type="spellStart"/>
      <w:r w:rsidRPr="00B03216">
        <w:t>Fattouch</w:t>
      </w:r>
      <w:proofErr w:type="spellEnd"/>
      <w:r w:rsidRPr="00B03216">
        <w:t xml:space="preserve"> 2005 (n</w:t>
      </w:r>
      <w:r>
        <w:t xml:space="preserve"> = </w:t>
      </w:r>
      <w:r w:rsidRPr="00B03216">
        <w:t xml:space="preserve">58) suggested that iNO 20 ppm and </w:t>
      </w:r>
      <w:r w:rsidR="00A31697">
        <w:t>inhaled Prostacyclin (prostaglandin I2) (</w:t>
      </w:r>
      <w:r w:rsidRPr="00B03216">
        <w:t>iPGI2</w:t>
      </w:r>
      <w:r w:rsidR="00A31697">
        <w:t>)</w:t>
      </w:r>
      <w:r w:rsidRPr="00B03216">
        <w:t xml:space="preserve"> have similar efficacy in reducing pulmonary arterial pressure and PVR following CPB, in adults with right ventricular failure.</w:t>
      </w:r>
      <w:r w:rsidR="00953C28" w:rsidRPr="00953C28">
        <w:rPr>
          <w:vertAlign w:val="superscript"/>
        </w:rPr>
        <w:fldChar w:fldCharType="begin"/>
      </w:r>
      <w:r w:rsidR="00953C28" w:rsidRPr="00953C28">
        <w:rPr>
          <w:vertAlign w:val="superscript"/>
        </w:rPr>
        <w:instrText xml:space="preserve"> NOTEREF _Ref477772393 \h </w:instrText>
      </w:r>
      <w:r w:rsidR="00953C28">
        <w:rPr>
          <w:vertAlign w:val="superscript"/>
        </w:rPr>
        <w:instrText xml:space="preserve"> \* MERGEFORMAT </w:instrText>
      </w:r>
      <w:r w:rsidR="00953C28" w:rsidRPr="00953C28">
        <w:rPr>
          <w:vertAlign w:val="superscript"/>
        </w:rPr>
      </w:r>
      <w:r w:rsidR="00953C28" w:rsidRPr="00953C28">
        <w:rPr>
          <w:vertAlign w:val="superscript"/>
        </w:rPr>
        <w:fldChar w:fldCharType="separate"/>
      </w:r>
      <w:r w:rsidR="006D3007">
        <w:rPr>
          <w:vertAlign w:val="superscript"/>
        </w:rPr>
        <w:t>18</w:t>
      </w:r>
      <w:r w:rsidR="00953C28" w:rsidRPr="00953C28">
        <w:rPr>
          <w:vertAlign w:val="superscript"/>
        </w:rPr>
        <w:fldChar w:fldCharType="end"/>
      </w:r>
      <w:r w:rsidRPr="00953C28">
        <w:rPr>
          <w:vertAlign w:val="superscript"/>
        </w:rPr>
        <w:t xml:space="preserve"> </w:t>
      </w:r>
      <w:proofErr w:type="spellStart"/>
      <w:r w:rsidRPr="00B03216">
        <w:t>Fattouch</w:t>
      </w:r>
      <w:proofErr w:type="spellEnd"/>
      <w:r w:rsidRPr="00B03216">
        <w:t xml:space="preserve"> et al, 2006 (n</w:t>
      </w:r>
      <w:r>
        <w:t xml:space="preserve"> = </w:t>
      </w:r>
      <w:r w:rsidRPr="00B03216">
        <w:t xml:space="preserve">58), showed a progressive fall in </w:t>
      </w:r>
      <w:proofErr w:type="spellStart"/>
      <w:r w:rsidR="00E3550D">
        <w:t>mPAP</w:t>
      </w:r>
      <w:proofErr w:type="spellEnd"/>
      <w:r w:rsidRPr="00B03216">
        <w:t xml:space="preserve"> during treatment with iNO, but there was no difference between iNO and intravenous controls, and many deta</w:t>
      </w:r>
      <w:r>
        <w:t>ils of the paper were unclear.</w:t>
      </w:r>
      <w:r w:rsidR="00953C28" w:rsidRPr="00953C28">
        <w:rPr>
          <w:vertAlign w:val="superscript"/>
        </w:rPr>
        <w:fldChar w:fldCharType="begin"/>
      </w:r>
      <w:r w:rsidR="00953C28" w:rsidRPr="00953C28">
        <w:rPr>
          <w:vertAlign w:val="superscript"/>
        </w:rPr>
        <w:instrText xml:space="preserve"> NOTEREF _Ref477772407 \h </w:instrText>
      </w:r>
      <w:r w:rsidR="00953C28">
        <w:rPr>
          <w:vertAlign w:val="superscript"/>
        </w:rPr>
        <w:instrText xml:space="preserve"> \* MERGEFORMAT </w:instrText>
      </w:r>
      <w:r w:rsidR="00953C28" w:rsidRPr="00953C28">
        <w:rPr>
          <w:vertAlign w:val="superscript"/>
        </w:rPr>
      </w:r>
      <w:r w:rsidR="00953C28" w:rsidRPr="00953C28">
        <w:rPr>
          <w:vertAlign w:val="superscript"/>
        </w:rPr>
        <w:fldChar w:fldCharType="separate"/>
      </w:r>
      <w:r w:rsidR="006D3007">
        <w:rPr>
          <w:vertAlign w:val="superscript"/>
        </w:rPr>
        <w:t>19</w:t>
      </w:r>
      <w:r w:rsidR="00953C28" w:rsidRPr="00953C28">
        <w:rPr>
          <w:vertAlign w:val="superscript"/>
        </w:rPr>
        <w:fldChar w:fldCharType="end"/>
      </w:r>
    </w:p>
    <w:p w14:paraId="7017CFE6" w14:textId="77777777" w:rsidR="005C13F0" w:rsidRPr="00B03216" w:rsidRDefault="005C13F0" w:rsidP="005C13F0">
      <w:proofErr w:type="spellStart"/>
      <w:r w:rsidRPr="00B03216">
        <w:t>Giannetti</w:t>
      </w:r>
      <w:proofErr w:type="spellEnd"/>
      <w:r w:rsidRPr="00B03216">
        <w:t xml:space="preserve"> et al, 2004 (n</w:t>
      </w:r>
      <w:r>
        <w:t xml:space="preserve"> = </w:t>
      </w:r>
      <w:r w:rsidRPr="00B03216">
        <w:t>29), was only indirectly relevant to the proposed indication, because it did not assess the effect of iNO on pulmonary hypertension, but instead assessed its effects on markers of myocardial injury following CPB, finding significant benefits for iNO in compari</w:t>
      </w:r>
      <w:r>
        <w:t>son to no additional treatment</w:t>
      </w:r>
      <w:r w:rsidRPr="00953C28">
        <w:t>.</w:t>
      </w:r>
      <w:r w:rsidR="00953C28" w:rsidRPr="00953C28">
        <w:rPr>
          <w:vertAlign w:val="superscript"/>
        </w:rPr>
        <w:fldChar w:fldCharType="begin"/>
      </w:r>
      <w:r w:rsidR="00953C28" w:rsidRPr="00953C28">
        <w:rPr>
          <w:vertAlign w:val="superscript"/>
        </w:rPr>
        <w:instrText xml:space="preserve"> NOTEREF _Ref477772424 \h </w:instrText>
      </w:r>
      <w:r w:rsidR="00953C28">
        <w:rPr>
          <w:vertAlign w:val="superscript"/>
        </w:rPr>
        <w:instrText xml:space="preserve"> \* MERGEFORMAT </w:instrText>
      </w:r>
      <w:r w:rsidR="00953C28" w:rsidRPr="00953C28">
        <w:rPr>
          <w:vertAlign w:val="superscript"/>
        </w:rPr>
      </w:r>
      <w:r w:rsidR="00953C28" w:rsidRPr="00953C28">
        <w:rPr>
          <w:vertAlign w:val="superscript"/>
        </w:rPr>
        <w:fldChar w:fldCharType="separate"/>
      </w:r>
      <w:r w:rsidR="006D3007">
        <w:rPr>
          <w:vertAlign w:val="superscript"/>
        </w:rPr>
        <w:t>20</w:t>
      </w:r>
      <w:r w:rsidR="00953C28" w:rsidRPr="00953C28">
        <w:rPr>
          <w:vertAlign w:val="superscript"/>
        </w:rPr>
        <w:fldChar w:fldCharType="end"/>
      </w:r>
    </w:p>
    <w:p w14:paraId="5C8F9FD1" w14:textId="77777777" w:rsidR="005C13F0" w:rsidRPr="00B03216" w:rsidRDefault="005C13F0" w:rsidP="005C13F0">
      <w:r w:rsidRPr="00B03216">
        <w:t xml:space="preserve">The </w:t>
      </w:r>
      <w:r>
        <w:t>sponsor</w:t>
      </w:r>
      <w:r w:rsidRPr="00B03216">
        <w:t>’s study INOT41 (n</w:t>
      </w:r>
      <w:r>
        <w:t xml:space="preserve"> = 150) was a well-</w:t>
      </w:r>
      <w:r w:rsidRPr="00B03216">
        <w:t xml:space="preserve">designed study of adult subjects undergoing LVAD insertion. It used an appropriate randomised, </w:t>
      </w:r>
      <w:r>
        <w:t>double blind</w:t>
      </w:r>
      <w:r w:rsidRPr="00B03216">
        <w:t xml:space="preserve">, </w:t>
      </w:r>
      <w:r>
        <w:t>placebo controlled</w:t>
      </w:r>
      <w:r w:rsidRPr="00B03216">
        <w:t xml:space="preserve"> design, but in retrospect it was underpowered for its clinical endpoint (“treatment failure”, largely equivalent to right ventricular dysfunction). Subjects received iNO or placebo for up to 48 hours. There was a trend suggesting superiority in the iNO group, which would be of substantial clinical worth of it were confirmed in an adequately powered study: the failure rate was 9.6% with iNO, compared to 15.6% wi</w:t>
      </w:r>
      <w:r>
        <w:t>th placebo (p not significant).</w:t>
      </w:r>
    </w:p>
    <w:p w14:paraId="0CF2F91C" w14:textId="77777777" w:rsidR="005C13F0" w:rsidRPr="005C13F0" w:rsidRDefault="005C13F0" w:rsidP="005C13F0">
      <w:r w:rsidRPr="00B03216">
        <w:t xml:space="preserve">Overall, despite some flaws in the individual studies, the submitted data are strongly supportive of the efficacy of iNO in the proposed indication. The largest and best-designed </w:t>
      </w:r>
      <w:r w:rsidRPr="00B03216">
        <w:lastRenderedPageBreak/>
        <w:t>pivotal study in children, by Miller et al, 2000, produced clear evidence of a significant benefit for both clinical and haemodynamic endpoints and the remaining studies provided strong supportive evidence of haemodynamic benef</w:t>
      </w:r>
      <w:r w:rsidR="006A7861">
        <w:t>it in both children and adults.</w:t>
      </w:r>
    </w:p>
    <w:p w14:paraId="604B5507" w14:textId="77777777" w:rsidR="008E7846" w:rsidRPr="002E238E" w:rsidRDefault="008E7846" w:rsidP="008E7846">
      <w:pPr>
        <w:pStyle w:val="Heading3"/>
      </w:pPr>
      <w:bookmarkStart w:id="99" w:name="_Toc163441378"/>
      <w:bookmarkStart w:id="100" w:name="_Toc196046495"/>
      <w:bookmarkStart w:id="101" w:name="_Toc247691522"/>
      <w:bookmarkStart w:id="102" w:name="_Toc314842505"/>
      <w:bookmarkStart w:id="103" w:name="_Toc483899416"/>
      <w:bookmarkEnd w:id="95"/>
      <w:bookmarkEnd w:id="96"/>
      <w:bookmarkEnd w:id="97"/>
      <w:bookmarkEnd w:id="98"/>
      <w:r w:rsidRPr="002E238E">
        <w:t>Safety</w:t>
      </w:r>
      <w:bookmarkEnd w:id="99"/>
      <w:bookmarkEnd w:id="100"/>
      <w:bookmarkEnd w:id="101"/>
      <w:bookmarkEnd w:id="102"/>
      <w:bookmarkEnd w:id="103"/>
    </w:p>
    <w:p w14:paraId="4509CDAD" w14:textId="77777777" w:rsidR="00605AD4" w:rsidRDefault="00605AD4" w:rsidP="00605AD4">
      <w:pPr>
        <w:pStyle w:val="Heading4"/>
      </w:pPr>
      <w:bookmarkStart w:id="104" w:name="_Toc247691524"/>
      <w:bookmarkStart w:id="105" w:name="_Toc314842508"/>
      <w:bookmarkStart w:id="106" w:name="_Toc196046504"/>
      <w:bookmarkStart w:id="107" w:name="_Toc163441390"/>
      <w:r w:rsidRPr="00605AD4">
        <w:t>Studies providing safety data</w:t>
      </w:r>
    </w:p>
    <w:p w14:paraId="24244169" w14:textId="77777777" w:rsidR="00BA132A" w:rsidRPr="00210514" w:rsidRDefault="00BA132A" w:rsidP="00BA132A">
      <w:bookmarkStart w:id="108" w:name="_Ref268776745"/>
      <w:r w:rsidRPr="00210514">
        <w:t>Safety data potentially comes from 11 PD studies in the paediatric population (one of the 12 PD studies was a non-intervention study), 9 efficacy studies in the con</w:t>
      </w:r>
      <w:r>
        <w:t>text</w:t>
      </w:r>
      <w:r w:rsidRPr="00210514">
        <w:t xml:space="preserve"> of paediatric cardiac surgery, and 13 supportive efficacy studies in adults. One of the PD studies (INOT22) and one of the supportive adult studies (INOT41) had a </w:t>
      </w:r>
      <w:r>
        <w:t>sponsor driven</w:t>
      </w:r>
      <w:r w:rsidRPr="00210514">
        <w:t xml:space="preserve"> design with comprehensive safety monitoring, but the other 32 studies were investigator-driven studies with variable and largel</w:t>
      </w:r>
      <w:r>
        <w:t>y incomplete safety monitoring.</w:t>
      </w:r>
    </w:p>
    <w:p w14:paraId="1DEE31A3" w14:textId="77777777" w:rsidR="00BA132A" w:rsidRPr="00210514" w:rsidRDefault="00BA132A" w:rsidP="00BA132A">
      <w:r w:rsidRPr="00210514">
        <w:t xml:space="preserve">In the two </w:t>
      </w:r>
      <w:r>
        <w:t>sponsor led</w:t>
      </w:r>
      <w:r w:rsidRPr="00210514">
        <w:t xml:space="preserve"> studies, adverse event reports were collected and grouped by organ system, and basic laboratory monitoring and vital sign reporting appeared to be comprehensive. Unfortunately, neither of these was performed in the proposed target population for the proposed </w:t>
      </w:r>
      <w:r>
        <w:t>indication.</w:t>
      </w:r>
    </w:p>
    <w:p w14:paraId="55F3018C" w14:textId="77777777" w:rsidR="00BA132A" w:rsidRPr="00210514" w:rsidRDefault="00BA132A" w:rsidP="00BA132A">
      <w:r w:rsidRPr="00210514">
        <w:t>In the 4 pivotal studies, safety assessments largely consisted of assays for methaemoglobin and nitrogen dioxide, along with continuous monitoring of haemodynamic profile and vital signs. Adverse events were not reported systematically,</w:t>
      </w:r>
      <w:r>
        <w:t xml:space="preserve"> </w:t>
      </w:r>
      <w:r w:rsidRPr="00210514">
        <w:t xml:space="preserve">and so it is not possible to pool all the adverse events that have occurred on iNO for the proposed indication, much less compare this to the incidence </w:t>
      </w:r>
      <w:r w:rsidR="00356B53" w:rsidRPr="00210514">
        <w:t xml:space="preserve">of </w:t>
      </w:r>
      <w:r w:rsidR="00356B53">
        <w:t>adverse events</w:t>
      </w:r>
      <w:r w:rsidR="00356B53" w:rsidRPr="00210514">
        <w:t xml:space="preserve"> </w:t>
      </w:r>
      <w:r w:rsidR="00356B53">
        <w:t>(</w:t>
      </w:r>
      <w:r w:rsidRPr="00210514">
        <w:t>AEs</w:t>
      </w:r>
      <w:r w:rsidR="00356B53">
        <w:t>)</w:t>
      </w:r>
      <w:r w:rsidRPr="00210514">
        <w:t xml:space="preserve"> with placebo. The number of paediatric subjects exposed to iNO in the pivotal studies was also small (Miller et al, 2000, n</w:t>
      </w:r>
      <w:r>
        <w:t xml:space="preserve"> = </w:t>
      </w:r>
      <w:r w:rsidRPr="00210514">
        <w:t>63; Russell et al, 1998, n</w:t>
      </w:r>
      <w:r>
        <w:t xml:space="preserve"> = </w:t>
      </w:r>
      <w:r w:rsidRPr="00210514">
        <w:t>18; Day et al, 2000, n</w:t>
      </w:r>
      <w:r>
        <w:t> = </w:t>
      </w:r>
      <w:r w:rsidRPr="00210514">
        <w:t>20; Morris et al, 2000, n</w:t>
      </w:r>
      <w:r>
        <w:t xml:space="preserve"> = </w:t>
      </w:r>
      <w:r w:rsidRPr="00210514">
        <w:t>12).</w:t>
      </w:r>
      <w:r w:rsidR="00FB0181" w:rsidRPr="00FB0181">
        <w:rPr>
          <w:vertAlign w:val="superscript"/>
        </w:rPr>
        <w:fldChar w:fldCharType="begin"/>
      </w:r>
      <w:r w:rsidR="00FB0181" w:rsidRPr="00FB0181">
        <w:rPr>
          <w:vertAlign w:val="superscript"/>
        </w:rPr>
        <w:instrText xml:space="preserve"> NOTEREF _Ref477535524 \h </w:instrText>
      </w:r>
      <w:r w:rsidR="00FB0181">
        <w:rPr>
          <w:vertAlign w:val="superscript"/>
        </w:rPr>
        <w:instrText xml:space="preserve"> \* MERGEFORMAT </w:instrText>
      </w:r>
      <w:r w:rsidR="00FB0181" w:rsidRPr="00FB0181">
        <w:rPr>
          <w:vertAlign w:val="superscript"/>
        </w:rPr>
      </w:r>
      <w:r w:rsidR="00FB0181" w:rsidRPr="00FB0181">
        <w:rPr>
          <w:vertAlign w:val="superscript"/>
        </w:rPr>
        <w:fldChar w:fldCharType="separate"/>
      </w:r>
      <w:r w:rsidR="006D3007">
        <w:rPr>
          <w:vertAlign w:val="superscript"/>
        </w:rPr>
        <w:t>11</w:t>
      </w:r>
      <w:r w:rsidR="00FB0181" w:rsidRPr="00FB0181">
        <w:rPr>
          <w:vertAlign w:val="superscript"/>
        </w:rPr>
        <w:fldChar w:fldCharType="end"/>
      </w:r>
      <w:r w:rsidR="00FB0181" w:rsidRPr="00FB0181">
        <w:rPr>
          <w:vertAlign w:val="superscript"/>
        </w:rPr>
        <w:t xml:space="preserve">, </w:t>
      </w:r>
      <w:r w:rsidR="00FB0181" w:rsidRPr="00FB0181">
        <w:rPr>
          <w:vertAlign w:val="superscript"/>
        </w:rPr>
        <w:fldChar w:fldCharType="begin"/>
      </w:r>
      <w:r w:rsidR="00FB0181" w:rsidRPr="00FB0181">
        <w:rPr>
          <w:vertAlign w:val="superscript"/>
        </w:rPr>
        <w:instrText xml:space="preserve"> NOTEREF _Ref477536594 \h </w:instrText>
      </w:r>
      <w:r w:rsidR="00FB0181">
        <w:rPr>
          <w:vertAlign w:val="superscript"/>
        </w:rPr>
        <w:instrText xml:space="preserve"> \* MERGEFORMAT </w:instrText>
      </w:r>
      <w:r w:rsidR="00FB0181" w:rsidRPr="00FB0181">
        <w:rPr>
          <w:vertAlign w:val="superscript"/>
        </w:rPr>
      </w:r>
      <w:r w:rsidR="00FB0181" w:rsidRPr="00FB0181">
        <w:rPr>
          <w:vertAlign w:val="superscript"/>
        </w:rPr>
        <w:fldChar w:fldCharType="separate"/>
      </w:r>
      <w:r w:rsidR="006D3007">
        <w:rPr>
          <w:vertAlign w:val="superscript"/>
        </w:rPr>
        <w:t>12</w:t>
      </w:r>
      <w:r w:rsidR="00FB0181" w:rsidRPr="00FB0181">
        <w:rPr>
          <w:vertAlign w:val="superscript"/>
        </w:rPr>
        <w:fldChar w:fldCharType="end"/>
      </w:r>
      <w:r w:rsidR="00FB0181" w:rsidRPr="00FB0181">
        <w:rPr>
          <w:vertAlign w:val="superscript"/>
        </w:rPr>
        <w:t xml:space="preserve">, </w:t>
      </w:r>
      <w:r w:rsidR="00FB0181" w:rsidRPr="00FB0181">
        <w:rPr>
          <w:vertAlign w:val="superscript"/>
        </w:rPr>
        <w:fldChar w:fldCharType="begin"/>
      </w:r>
      <w:r w:rsidR="00FB0181" w:rsidRPr="00FB0181">
        <w:rPr>
          <w:vertAlign w:val="superscript"/>
        </w:rPr>
        <w:instrText xml:space="preserve"> NOTEREF _Ref477536516 \h </w:instrText>
      </w:r>
      <w:r w:rsidR="00FB0181">
        <w:rPr>
          <w:vertAlign w:val="superscript"/>
        </w:rPr>
        <w:instrText xml:space="preserve"> \* MERGEFORMAT </w:instrText>
      </w:r>
      <w:r w:rsidR="00FB0181" w:rsidRPr="00FB0181">
        <w:rPr>
          <w:vertAlign w:val="superscript"/>
        </w:rPr>
      </w:r>
      <w:r w:rsidR="00FB0181" w:rsidRPr="00FB0181">
        <w:rPr>
          <w:vertAlign w:val="superscript"/>
        </w:rPr>
        <w:fldChar w:fldCharType="separate"/>
      </w:r>
      <w:r w:rsidR="006D3007">
        <w:rPr>
          <w:vertAlign w:val="superscript"/>
        </w:rPr>
        <w:t>13</w:t>
      </w:r>
      <w:r w:rsidR="00FB0181" w:rsidRPr="00FB0181">
        <w:rPr>
          <w:vertAlign w:val="superscript"/>
        </w:rPr>
        <w:fldChar w:fldCharType="end"/>
      </w:r>
      <w:r w:rsidR="00FB0181" w:rsidRPr="00FB0181">
        <w:rPr>
          <w:vertAlign w:val="superscript"/>
        </w:rPr>
        <w:t xml:space="preserve">, </w:t>
      </w:r>
      <w:r w:rsidR="00FB0181" w:rsidRPr="00FB0181">
        <w:rPr>
          <w:vertAlign w:val="superscript"/>
        </w:rPr>
        <w:fldChar w:fldCharType="begin"/>
      </w:r>
      <w:r w:rsidR="00FB0181" w:rsidRPr="00FB0181">
        <w:rPr>
          <w:vertAlign w:val="superscript"/>
        </w:rPr>
        <w:instrText xml:space="preserve"> NOTEREF _Ref477536530 \h </w:instrText>
      </w:r>
      <w:r w:rsidR="00FB0181">
        <w:rPr>
          <w:vertAlign w:val="superscript"/>
        </w:rPr>
        <w:instrText xml:space="preserve"> \* MERGEFORMAT </w:instrText>
      </w:r>
      <w:r w:rsidR="00FB0181" w:rsidRPr="00FB0181">
        <w:rPr>
          <w:vertAlign w:val="superscript"/>
        </w:rPr>
      </w:r>
      <w:r w:rsidR="00FB0181" w:rsidRPr="00FB0181">
        <w:rPr>
          <w:vertAlign w:val="superscript"/>
        </w:rPr>
        <w:fldChar w:fldCharType="separate"/>
      </w:r>
      <w:r w:rsidR="006D3007">
        <w:rPr>
          <w:vertAlign w:val="superscript"/>
        </w:rPr>
        <w:t>14</w:t>
      </w:r>
      <w:r w:rsidR="00FB0181" w:rsidRPr="00FB0181">
        <w:rPr>
          <w:vertAlign w:val="superscript"/>
        </w:rPr>
        <w:fldChar w:fldCharType="end"/>
      </w:r>
      <w:r w:rsidRPr="00210514">
        <w:t xml:space="preserve"> On the other hand, a review of the individual studies does not raise substantial new safety concerns related to the proposed indication, and the safety profile of iNO in the post-cardiac surgery setting appears to be broadly similar to that already established for the neonatal setting. </w:t>
      </w:r>
      <w:bookmarkEnd w:id="108"/>
      <w:r w:rsidRPr="00210514">
        <w:t>There is already extensive worldwide experience with iNO in paediatric subjects, including those treated for the approved indication</w:t>
      </w:r>
      <w:r w:rsidRPr="009273A2">
        <w:t>, PPHN, as well</w:t>
      </w:r>
      <w:r w:rsidRPr="00210514">
        <w:t xml:space="preserve"> as subjects treated off-label for the proposed indication. The safety profile established for the original indication remains relevant to the proposed indication: both target populations consist of highly vulnerable paediatric patients</w:t>
      </w:r>
      <w:r>
        <w:t xml:space="preserve"> in an intensive care setting.</w:t>
      </w:r>
    </w:p>
    <w:p w14:paraId="668F2EB3" w14:textId="77777777" w:rsidR="00BA132A" w:rsidRPr="00210514" w:rsidRDefault="00BA132A" w:rsidP="00BA132A">
      <w:r w:rsidRPr="00210514">
        <w:t xml:space="preserve">The 13 supportive studies in adults provide indirect evidence of the safety of iNO for the proposed indication, with particular relevance to older children and teenagers. These studies include one </w:t>
      </w:r>
      <w:r>
        <w:t>sponsor led</w:t>
      </w:r>
      <w:r w:rsidRPr="00210514">
        <w:t xml:space="preserve"> study (INOT41), where AE reporting was complete, and 12 </w:t>
      </w:r>
      <w:r>
        <w:t>investigator led</w:t>
      </w:r>
      <w:r w:rsidRPr="00210514">
        <w:t xml:space="preserve"> studies which merely provided broad descriptions of the safety of iNO.</w:t>
      </w:r>
    </w:p>
    <w:p w14:paraId="1DFF76E0" w14:textId="77777777" w:rsidR="00BA132A" w:rsidRPr="00210514" w:rsidRDefault="00BA132A" w:rsidP="00BA132A">
      <w:r w:rsidRPr="00210514">
        <w:t>In many of the investigator-driven studies, particularly the PD studies, adverse events were not even mentioned. Although it seemed likely in many cases that any serious safety concerns would have been discussed, had they occurred, there was no explicit reassurance tha</w:t>
      </w:r>
      <w:r>
        <w:t>t adverse events did not occur.</w:t>
      </w:r>
    </w:p>
    <w:p w14:paraId="6C802DCA" w14:textId="77777777" w:rsidR="00BA132A" w:rsidRPr="00210514" w:rsidRDefault="00BA132A" w:rsidP="00BA132A">
      <w:r w:rsidRPr="00210514">
        <w:t xml:space="preserve">In total, the </w:t>
      </w:r>
      <w:r>
        <w:t>sponsor considered (and the e</w:t>
      </w:r>
      <w:r w:rsidRPr="00210514">
        <w:t>valuator agrees) that the key safety data came from the following sources:</w:t>
      </w:r>
    </w:p>
    <w:p w14:paraId="0C6983FD" w14:textId="77777777" w:rsidR="00BA132A" w:rsidRPr="00210514" w:rsidRDefault="00BA132A" w:rsidP="00BA132A">
      <w:pPr>
        <w:pStyle w:val="Numberbullet0"/>
        <w:numPr>
          <w:ilvl w:val="0"/>
          <w:numId w:val="16"/>
        </w:numPr>
        <w:rPr>
          <w:i/>
        </w:rPr>
      </w:pPr>
      <w:r>
        <w:rPr>
          <w:i/>
        </w:rPr>
        <w:t>“</w:t>
      </w:r>
      <w:r w:rsidRPr="00210514">
        <w:rPr>
          <w:i/>
        </w:rPr>
        <w:t>Safety data from studies in the proposed indication within the paediatric cardiac surgery setting (n</w:t>
      </w:r>
      <w:r>
        <w:rPr>
          <w:i/>
        </w:rPr>
        <w:t xml:space="preserve"> = </w:t>
      </w:r>
      <w:r w:rsidRPr="00210514">
        <w:rPr>
          <w:i/>
        </w:rPr>
        <w:t>10 published studies)</w:t>
      </w:r>
    </w:p>
    <w:p w14:paraId="46F94013" w14:textId="77777777" w:rsidR="00BA132A" w:rsidRPr="00210514" w:rsidRDefault="00BA132A" w:rsidP="00BA132A">
      <w:pPr>
        <w:pStyle w:val="Numberbullet0"/>
        <w:numPr>
          <w:ilvl w:val="0"/>
          <w:numId w:val="16"/>
        </w:numPr>
        <w:rPr>
          <w:i/>
        </w:rPr>
      </w:pPr>
      <w:r w:rsidRPr="00210514">
        <w:rPr>
          <w:i/>
        </w:rPr>
        <w:t>Safety data from studies in the paediatric cardiac setting, but not specifically for the proposed indication (company-sponsored study INOT22)</w:t>
      </w:r>
    </w:p>
    <w:p w14:paraId="631BF776" w14:textId="063C60F6" w:rsidR="00BA132A" w:rsidRPr="00210514" w:rsidRDefault="00BA132A" w:rsidP="00BA132A">
      <w:pPr>
        <w:pStyle w:val="Numberbullet0"/>
        <w:numPr>
          <w:ilvl w:val="0"/>
          <w:numId w:val="16"/>
        </w:numPr>
        <w:rPr>
          <w:i/>
        </w:rPr>
      </w:pPr>
      <w:r w:rsidRPr="00210514">
        <w:rPr>
          <w:i/>
        </w:rPr>
        <w:t>Supportive safety data from adult populations in a variety of cardiac surgery settings</w:t>
      </w:r>
      <w:r w:rsidR="00EE137F">
        <w:rPr>
          <w:i/>
        </w:rPr>
        <w:t>.</w:t>
      </w:r>
      <w:r w:rsidRPr="00210514">
        <w:rPr>
          <w:i/>
        </w:rPr>
        <w:t>”</w:t>
      </w:r>
    </w:p>
    <w:p w14:paraId="42F14C8C" w14:textId="77777777" w:rsidR="00BA132A" w:rsidRDefault="00BA132A" w:rsidP="00BA132A">
      <w:r w:rsidRPr="00210514">
        <w:lastRenderedPageBreak/>
        <w:t>The primary source of information of relevance to the proposed</w:t>
      </w:r>
      <w:r>
        <w:t xml:space="preserve"> indication is therefore the 10 </w:t>
      </w:r>
      <w:r w:rsidRPr="00210514">
        <w:t>studies performed in the setting of paediatric card</w:t>
      </w:r>
      <w:r w:rsidR="00FB0181">
        <w:t>iac surgery; this include all 9 </w:t>
      </w:r>
      <w:r w:rsidRPr="00210514">
        <w:t>paediatric efficacy studies (4 pivotal, 5 supportive) and one of the paediatric PD studies (Wessel et al, 1993</w:t>
      </w:r>
      <w:r w:rsidR="00FB0181" w:rsidRPr="00FB0181">
        <w:rPr>
          <w:vertAlign w:val="superscript"/>
        </w:rPr>
        <w:fldChar w:fldCharType="begin"/>
      </w:r>
      <w:r w:rsidR="00FB0181" w:rsidRPr="00FB0181">
        <w:rPr>
          <w:vertAlign w:val="superscript"/>
        </w:rPr>
        <w:instrText xml:space="preserve"> NOTEREF _Ref477773324 \h </w:instrText>
      </w:r>
      <w:r w:rsidR="00FB0181">
        <w:rPr>
          <w:vertAlign w:val="superscript"/>
        </w:rPr>
        <w:instrText xml:space="preserve"> \* MERGEFORMAT </w:instrText>
      </w:r>
      <w:r w:rsidR="00FB0181" w:rsidRPr="00FB0181">
        <w:rPr>
          <w:vertAlign w:val="superscript"/>
        </w:rPr>
      </w:r>
      <w:r w:rsidR="00FB0181" w:rsidRPr="00FB0181">
        <w:rPr>
          <w:vertAlign w:val="superscript"/>
        </w:rPr>
        <w:fldChar w:fldCharType="separate"/>
      </w:r>
      <w:r w:rsidR="006D3007">
        <w:rPr>
          <w:vertAlign w:val="superscript"/>
        </w:rPr>
        <w:t>7</w:t>
      </w:r>
      <w:r w:rsidR="00FB0181" w:rsidRPr="00FB0181">
        <w:rPr>
          <w:vertAlign w:val="superscript"/>
        </w:rPr>
        <w:fldChar w:fldCharType="end"/>
      </w:r>
      <w:r w:rsidRPr="00210514">
        <w:t>).</w:t>
      </w:r>
    </w:p>
    <w:p w14:paraId="3E12792A" w14:textId="77777777" w:rsidR="00BA132A" w:rsidRDefault="00BA132A" w:rsidP="00411E95">
      <w:pPr>
        <w:pStyle w:val="Heading4"/>
      </w:pPr>
      <w:bookmarkStart w:id="109" w:name="_Toc418607678"/>
      <w:bookmarkStart w:id="110" w:name="_Toc476145540"/>
      <w:r w:rsidRPr="00210514">
        <w:t>Known safety issues for iNO</w:t>
      </w:r>
      <w:bookmarkEnd w:id="109"/>
      <w:bookmarkEnd w:id="110"/>
    </w:p>
    <w:p w14:paraId="65BF2615" w14:textId="77777777" w:rsidR="00BA132A" w:rsidRPr="00210514" w:rsidRDefault="00BA132A" w:rsidP="00BA132A">
      <w:r w:rsidRPr="00210514">
        <w:t>The published experience of iNO and the previously approved PI for the existing indication suggests that the use of iNO raises a numb</w:t>
      </w:r>
      <w:r>
        <w:t>er of specific safety concerns:</w:t>
      </w:r>
    </w:p>
    <w:p w14:paraId="7124EE0F" w14:textId="27FD5519" w:rsidR="00BA132A" w:rsidRPr="00FB0181" w:rsidRDefault="00BA132A" w:rsidP="00D026F6">
      <w:pPr>
        <w:pStyle w:val="ListBullet"/>
      </w:pPr>
      <w:r w:rsidRPr="00FB0181">
        <w:t>NO combines with haemoglobin (</w:t>
      </w:r>
      <w:proofErr w:type="spellStart"/>
      <w:r w:rsidRPr="00FB0181">
        <w:t>Hb</w:t>
      </w:r>
      <w:proofErr w:type="spellEnd"/>
      <w:r w:rsidRPr="00FB0181">
        <w:t>) to produce methaemoglobin (</w:t>
      </w:r>
      <w:proofErr w:type="spellStart"/>
      <w:r w:rsidRPr="00FB0181">
        <w:t>metHb</w:t>
      </w:r>
      <w:proofErr w:type="spellEnd"/>
      <w:r w:rsidRPr="00FB0181">
        <w:t xml:space="preserve">), which makes the </w:t>
      </w:r>
      <w:r w:rsidR="00FB0181" w:rsidRPr="00FB0181">
        <w:t>haemoglobin</w:t>
      </w:r>
      <w:r w:rsidRPr="00FB0181">
        <w:t xml:space="preserve"> unavailable for carrying oxygen</w:t>
      </w:r>
      <w:r w:rsidR="00331CFC">
        <w:t>.</w:t>
      </w:r>
    </w:p>
    <w:p w14:paraId="30CDAE03" w14:textId="3CB66684" w:rsidR="00BA132A" w:rsidRPr="00FB0181" w:rsidRDefault="00BA132A" w:rsidP="00FB0181">
      <w:pPr>
        <w:pStyle w:val="ListBullet"/>
      </w:pPr>
      <w:r w:rsidRPr="00FB0181">
        <w:t>NO by-products include NO</w:t>
      </w:r>
      <w:r w:rsidRPr="00EB7308">
        <w:rPr>
          <w:vertAlign w:val="subscript"/>
        </w:rPr>
        <w:t>2</w:t>
      </w:r>
      <w:r w:rsidRPr="00FB0181">
        <w:t>, and so monitoring is required to ensure that levels of NO</w:t>
      </w:r>
      <w:r w:rsidRPr="00EB7308">
        <w:rPr>
          <w:vertAlign w:val="subscript"/>
        </w:rPr>
        <w:t>2</w:t>
      </w:r>
      <w:r w:rsidRPr="00FB0181">
        <w:t xml:space="preserve"> remain within safe limits</w:t>
      </w:r>
      <w:r w:rsidR="00331CFC">
        <w:t>.</w:t>
      </w:r>
    </w:p>
    <w:p w14:paraId="5D99669B" w14:textId="3C87A5E7" w:rsidR="00BA132A" w:rsidRPr="00FB0181" w:rsidRDefault="00BA132A" w:rsidP="00FB0181">
      <w:pPr>
        <w:pStyle w:val="ListBullet"/>
      </w:pPr>
      <w:proofErr w:type="gramStart"/>
      <w:r w:rsidRPr="00FB0181">
        <w:t>abrupt</w:t>
      </w:r>
      <w:proofErr w:type="gramEnd"/>
      <w:r w:rsidRPr="00FB0181">
        <w:t xml:space="preserve"> cessation of NO can induce rebound pulmonary hypertension</w:t>
      </w:r>
      <w:r w:rsidR="00331CFC">
        <w:t>.</w:t>
      </w:r>
    </w:p>
    <w:p w14:paraId="61022704" w14:textId="3AF4617D" w:rsidR="00BA132A" w:rsidRPr="00FB0181" w:rsidRDefault="00BA132A" w:rsidP="00FB0181">
      <w:pPr>
        <w:pStyle w:val="ListBullet"/>
      </w:pPr>
      <w:r w:rsidRPr="00FB0181">
        <w:t>NO can increase left-atrial (LA) filling, potentially exacerbating cardiac failure or pulmonary oedema in susceptible individuals with pre-existing left ventricular dysfunction</w:t>
      </w:r>
      <w:r w:rsidR="00331CFC">
        <w:t>.</w:t>
      </w:r>
    </w:p>
    <w:p w14:paraId="2A9FB512" w14:textId="4C4CD8B1" w:rsidR="00BA132A" w:rsidRPr="00FB0181" w:rsidRDefault="00BA132A" w:rsidP="00FB0181">
      <w:pPr>
        <w:pStyle w:val="ListBullet"/>
      </w:pPr>
      <w:r w:rsidRPr="00FB0181">
        <w:t>NO could, in theory, effect platelet function</w:t>
      </w:r>
      <w:r w:rsidR="00331CFC">
        <w:t>.</w:t>
      </w:r>
    </w:p>
    <w:p w14:paraId="4BF24D9A" w14:textId="77777777" w:rsidR="00BA132A" w:rsidRPr="00FB0181" w:rsidRDefault="00BA132A" w:rsidP="00FB0181">
      <w:pPr>
        <w:pStyle w:val="ListBullet"/>
      </w:pPr>
      <w:r w:rsidRPr="00FB0181">
        <w:t>NO has unknown effects on the immune system.</w:t>
      </w:r>
    </w:p>
    <w:p w14:paraId="2997F386" w14:textId="77777777" w:rsidR="00BA132A" w:rsidRPr="00210514" w:rsidRDefault="00BA132A" w:rsidP="00BA132A">
      <w:r w:rsidRPr="00210514">
        <w:t xml:space="preserve">Some of the submitted studies specifically commented on these issues. Virtually all of the studies specifically monitored and reported </w:t>
      </w:r>
      <w:proofErr w:type="spellStart"/>
      <w:r w:rsidRPr="00210514">
        <w:t>metHb</w:t>
      </w:r>
      <w:proofErr w:type="spellEnd"/>
      <w:r w:rsidRPr="00210514">
        <w:t xml:space="preserve"> levels, and most studies reported N</w:t>
      </w:r>
      <w:r w:rsidRPr="003F5817">
        <w:t>O</w:t>
      </w:r>
      <w:r w:rsidRPr="00252C3D">
        <w:rPr>
          <w:vertAlign w:val="subscript"/>
        </w:rPr>
        <w:t>2</w:t>
      </w:r>
      <w:r w:rsidRPr="00210514">
        <w:t xml:space="preserve"> levels or indicated that alarms were in place for alerting investigators to elevated levels of N</w:t>
      </w:r>
      <w:r w:rsidRPr="003F5817">
        <w:t>O</w:t>
      </w:r>
      <w:r w:rsidRPr="00252C3D">
        <w:rPr>
          <w:vertAlign w:val="subscript"/>
        </w:rPr>
        <w:t>2</w:t>
      </w:r>
      <w:r w:rsidRPr="00210514">
        <w:t>. MetHb levels and N</w:t>
      </w:r>
      <w:r w:rsidRPr="003F5817">
        <w:t>O</w:t>
      </w:r>
      <w:r w:rsidRPr="00252C3D">
        <w:rPr>
          <w:vertAlign w:val="subscript"/>
        </w:rPr>
        <w:t>2</w:t>
      </w:r>
      <w:r w:rsidR="00FB0181">
        <w:t xml:space="preserve"> are discussed further in the safety section of Attachment 2.</w:t>
      </w:r>
    </w:p>
    <w:p w14:paraId="456628B5" w14:textId="77777777" w:rsidR="00BA132A" w:rsidRPr="00210514" w:rsidRDefault="00BA132A" w:rsidP="00BA132A">
      <w:r w:rsidRPr="00210514">
        <w:t>All authors appeared to be aware of the potential for rebound pulmonary hypertension to occur when iNO is ceased abruptly, and most study protocols avoided this with cautious weaning protocols. The ease of weaning therapy was specifically assessed in the main pivotal study, Miller et al 2000, where weaning time was considered a secondary efficacy endpoint.</w:t>
      </w:r>
      <w:r w:rsidR="00FB0181" w:rsidRPr="00FB0181">
        <w:rPr>
          <w:vertAlign w:val="superscript"/>
        </w:rPr>
        <w:fldChar w:fldCharType="begin"/>
      </w:r>
      <w:r w:rsidR="00FB0181" w:rsidRPr="00FB0181">
        <w:rPr>
          <w:vertAlign w:val="superscript"/>
        </w:rPr>
        <w:instrText xml:space="preserve"> NOTEREF _Ref477535524 \h </w:instrText>
      </w:r>
      <w:r w:rsidR="00FB0181">
        <w:rPr>
          <w:vertAlign w:val="superscript"/>
        </w:rPr>
        <w:instrText xml:space="preserve"> \* MERGEFORMAT </w:instrText>
      </w:r>
      <w:r w:rsidR="00FB0181" w:rsidRPr="00FB0181">
        <w:rPr>
          <w:vertAlign w:val="superscript"/>
        </w:rPr>
      </w:r>
      <w:r w:rsidR="00FB0181" w:rsidRPr="00FB0181">
        <w:rPr>
          <w:vertAlign w:val="superscript"/>
        </w:rPr>
        <w:fldChar w:fldCharType="separate"/>
      </w:r>
      <w:r w:rsidR="006D3007">
        <w:rPr>
          <w:vertAlign w:val="superscript"/>
        </w:rPr>
        <w:t>11</w:t>
      </w:r>
      <w:r w:rsidR="00FB0181" w:rsidRPr="00FB0181">
        <w:rPr>
          <w:vertAlign w:val="superscript"/>
        </w:rPr>
        <w:fldChar w:fldCharType="end"/>
      </w:r>
    </w:p>
    <w:p w14:paraId="7B34771A" w14:textId="77777777" w:rsidR="00BA132A" w:rsidRPr="00210514" w:rsidRDefault="00BA132A" w:rsidP="00BA132A">
      <w:r w:rsidRPr="00210514">
        <w:t xml:space="preserve">The </w:t>
      </w:r>
      <w:r>
        <w:t>sponsor</w:t>
      </w:r>
      <w:r w:rsidRPr="00210514">
        <w:t>’s study, INOT22, provides evidence that LA filling may be excessive when iNO is administered in the setting of pre-existing left ventricular failure.</w:t>
      </w:r>
      <w:r>
        <w:t xml:space="preserve"> </w:t>
      </w:r>
      <w:r w:rsidRPr="00210514">
        <w:t>This issue has been noted by previous investigators (</w:t>
      </w:r>
      <w:proofErr w:type="spellStart"/>
      <w:r w:rsidRPr="00210514">
        <w:t>Bocchi</w:t>
      </w:r>
      <w:proofErr w:type="spellEnd"/>
      <w:r w:rsidRPr="00210514">
        <w:t xml:space="preserve"> et al, 1994, </w:t>
      </w:r>
      <w:proofErr w:type="spellStart"/>
      <w:r w:rsidRPr="00210514">
        <w:t>Semigran</w:t>
      </w:r>
      <w:proofErr w:type="spellEnd"/>
      <w:r w:rsidRPr="00210514">
        <w:t xml:space="preserve"> et al, 1994)</w:t>
      </w:r>
      <w:r w:rsidR="00FB0181">
        <w:rPr>
          <w:rStyle w:val="FootnoteReference"/>
        </w:rPr>
        <w:footnoteReference w:id="32"/>
      </w:r>
      <w:r w:rsidR="00FB0181">
        <w:t xml:space="preserve">, </w:t>
      </w:r>
      <w:r w:rsidR="00FB0181">
        <w:rPr>
          <w:rStyle w:val="FootnoteReference"/>
        </w:rPr>
        <w:footnoteReference w:id="33"/>
      </w:r>
      <w:r w:rsidRPr="00210514">
        <w:t>and is appropriately mentioned i</w:t>
      </w:r>
      <w:r w:rsidR="00FB0181">
        <w:t>n the current and proposed PIs.</w:t>
      </w:r>
    </w:p>
    <w:p w14:paraId="26CA0800" w14:textId="54749A43" w:rsidR="00BA132A" w:rsidRPr="00210514" w:rsidRDefault="00BA132A" w:rsidP="00D026F6">
      <w:pPr>
        <w:pageBreakBefore/>
      </w:pPr>
      <w:proofErr w:type="spellStart"/>
      <w:r w:rsidRPr="00210514">
        <w:lastRenderedPageBreak/>
        <w:t>Ardehali</w:t>
      </w:r>
      <w:proofErr w:type="spellEnd"/>
      <w:r w:rsidRPr="00210514">
        <w:t xml:space="preserve"> et al, 2001, also raise the following safety concern about iNO: “</w:t>
      </w:r>
      <w:r w:rsidRPr="0047320D">
        <w:rPr>
          <w:i/>
        </w:rPr>
        <w:t>The immunological properties of NO are incompletely understood. Low-level NO production appears to be necessary for maximal proliferation of lymphocytes. Furthermore, expression of inducible NO synthetase has been linked with acute solid organ rejection. On the other hand, activation of inducible NO synthetase is associated with a reduction in lymphocyte proliferation and inhibition of the expression of class II major histocompatibility complex. Further research in this area is needed to better elucidate the immune-modulating properties of inhaled NO in thoracic transplantation.</w:t>
      </w:r>
      <w:r w:rsidR="00A54259">
        <w:rPr>
          <w:i/>
        </w:rPr>
        <w:t>”</w:t>
      </w:r>
      <w:r>
        <w:rPr>
          <w:rStyle w:val="FootnoteReference"/>
        </w:rPr>
        <w:footnoteReference w:id="34"/>
      </w:r>
    </w:p>
    <w:p w14:paraId="2FA19CAD" w14:textId="77777777" w:rsidR="00BA132A" w:rsidRPr="00FB0181" w:rsidRDefault="00BA132A" w:rsidP="00BA132A">
      <w:r w:rsidRPr="00210514">
        <w:t>The current safety database does not allow any substantial conclusions to be drawn about the effect of iNO on immunological function, but this should be a focus of ongoing post-marketing surveillance.</w:t>
      </w:r>
    </w:p>
    <w:p w14:paraId="660466EC" w14:textId="77777777" w:rsidR="00605AD4" w:rsidRDefault="00605AD4" w:rsidP="00605AD4">
      <w:pPr>
        <w:pStyle w:val="Heading4"/>
      </w:pPr>
      <w:r w:rsidRPr="00605AD4">
        <w:t>Patient exposure</w:t>
      </w:r>
    </w:p>
    <w:p w14:paraId="51ED4FEA" w14:textId="77777777" w:rsidR="00BA132A" w:rsidRDefault="00BA132A" w:rsidP="00BA132A">
      <w:r w:rsidRPr="00210514">
        <w:t>Exposure to iNO in the submitted efficacy studies is summarised in the tables, with paediatric and adult subjects pooled (</w:t>
      </w:r>
      <w:r>
        <w:t>Table 79</w:t>
      </w:r>
      <w:r w:rsidR="00FB0181">
        <w:t>, Attachment 2</w:t>
      </w:r>
      <w:r w:rsidRPr="00210514">
        <w:t>) or considered separately (</w:t>
      </w:r>
      <w:r w:rsidR="00FB0181">
        <w:t>Tables 80 and 81, Attachment 2</w:t>
      </w:r>
      <w:r w:rsidRPr="00210514">
        <w:t>). The doses involved range from b</w:t>
      </w:r>
      <w:r w:rsidR="00FB0181">
        <w:t>elow the proposed 10 </w:t>
      </w:r>
      <w:r w:rsidRPr="00210514">
        <w:t>ppm starting dose, in 12 subjects, up to 80 ppm, which is well beyond the maximum recommended dose of 20 ppm. The most comm</w:t>
      </w:r>
      <w:r w:rsidR="00FB0181">
        <w:t xml:space="preserve">on exposure was to a dose of 10 to </w:t>
      </w:r>
      <w:r w:rsidRPr="00210514">
        <w:t>20 ppm, used in 257 subjects, which is within the dose range recommended in the proposed PI</w:t>
      </w:r>
      <w:r>
        <w:t>.</w:t>
      </w:r>
    </w:p>
    <w:p w14:paraId="181F983B" w14:textId="77777777" w:rsidR="00FB0181" w:rsidRPr="00BA132A" w:rsidRDefault="00FB0181" w:rsidP="00BA132A">
      <w:r>
        <w:t>For the full evaluation of Safety please see Attachment 2.</w:t>
      </w:r>
    </w:p>
    <w:p w14:paraId="0F1FC935" w14:textId="77777777" w:rsidR="00605AD4" w:rsidRPr="00605AD4" w:rsidRDefault="00605AD4" w:rsidP="00605AD4">
      <w:pPr>
        <w:pStyle w:val="Heading4"/>
      </w:pPr>
      <w:r w:rsidRPr="00605AD4">
        <w:t>Evaluator’s conclusions on safety</w:t>
      </w:r>
    </w:p>
    <w:p w14:paraId="5176AB74" w14:textId="77777777" w:rsidR="00BA132A" w:rsidRPr="006F32C0" w:rsidRDefault="00BA132A" w:rsidP="00BA132A">
      <w:r w:rsidRPr="006F32C0">
        <w:t>The use of iNO poses a number of significant but manageable safety concerns, which are acceptable in the con</w:t>
      </w:r>
      <w:r>
        <w:t>text</w:t>
      </w:r>
      <w:r w:rsidRPr="006F32C0">
        <w:t xml:space="preserve"> of a drug used in intensive care to treat and to prevent </w:t>
      </w:r>
      <w:r w:rsidR="008A6123">
        <w:t>life threatening</w:t>
      </w:r>
      <w:r w:rsidRPr="006F32C0">
        <w:t xml:space="preserve"> pulmonary hypertension in relation to cardiac surgery.</w:t>
      </w:r>
    </w:p>
    <w:p w14:paraId="509C59A1" w14:textId="77777777" w:rsidR="00BA132A" w:rsidRPr="006F32C0" w:rsidRDefault="00BA132A" w:rsidP="00BA132A">
      <w:r w:rsidRPr="006F32C0">
        <w:t xml:space="preserve">Levels of toxic nitric oxide by-products, including </w:t>
      </w:r>
      <w:proofErr w:type="spellStart"/>
      <w:r w:rsidRPr="006F32C0">
        <w:t>metHb</w:t>
      </w:r>
      <w:proofErr w:type="spellEnd"/>
      <w:r w:rsidRPr="006F32C0">
        <w:t xml:space="preserve"> and N</w:t>
      </w:r>
      <w:r w:rsidRPr="003F5817">
        <w:t>O</w:t>
      </w:r>
      <w:r w:rsidRPr="00252C3D">
        <w:rPr>
          <w:vertAlign w:val="subscript"/>
        </w:rPr>
        <w:t>2</w:t>
      </w:r>
      <w:r w:rsidRPr="006F32C0">
        <w:t>, need to be monitored in all recipients of iNO, but levels are expected to be within acceptable</w:t>
      </w:r>
      <w:r>
        <w:t xml:space="preserve"> limits when the dose is kept ≤ </w:t>
      </w:r>
      <w:r w:rsidRPr="006F32C0">
        <w:t>20 ppm. The proposed indication does not increase the risk of methaemoglobinaemia or elevated N</w:t>
      </w:r>
      <w:r w:rsidRPr="003F5817">
        <w:t>O</w:t>
      </w:r>
      <w:r w:rsidRPr="00252C3D">
        <w:rPr>
          <w:vertAlign w:val="subscript"/>
        </w:rPr>
        <w:t>2</w:t>
      </w:r>
      <w:r w:rsidRPr="006F32C0">
        <w:t xml:space="preserve"> compared to the existing indication. Occupational exposure to NO in medical and nursing staff is expected to be minimal.</w:t>
      </w:r>
    </w:p>
    <w:p w14:paraId="19276330" w14:textId="77777777" w:rsidR="00BA132A" w:rsidRDefault="00BA132A" w:rsidP="00BA132A">
      <w:r w:rsidRPr="006F32C0">
        <w:t>The risk of methaemoglobinaemia can be increased by co</w:t>
      </w:r>
      <w:r>
        <w:t>-</w:t>
      </w:r>
      <w:r w:rsidRPr="006F32C0">
        <w:t xml:space="preserve">administration of iNO and other drugs, particularly NO donors such as nitroprusside, and some local anaesthetic agents. The PI carries warnings about this potential interaction, and monitoring for </w:t>
      </w:r>
      <w:proofErr w:type="spellStart"/>
      <w:r w:rsidRPr="006F32C0">
        <w:t>metHb</w:t>
      </w:r>
      <w:proofErr w:type="spellEnd"/>
      <w:r w:rsidRPr="006F32C0">
        <w:t xml:space="preserve"> would be expected to provide additional safeguards in the vent of inadvertent co-treatment with agents at risk o</w:t>
      </w:r>
      <w:r>
        <w:t>f causing methaemoglobinaemia.</w:t>
      </w:r>
    </w:p>
    <w:p w14:paraId="1714D8EB" w14:textId="77777777" w:rsidR="00BA132A" w:rsidRPr="006F32C0" w:rsidRDefault="00BA132A" w:rsidP="00BA132A">
      <w:r w:rsidRPr="006F32C0">
        <w:t xml:space="preserve">Inhaled nitric oxide causes pulmonary vasodilation, and this can have adverse consequences in patients with pre-existing left ventricular failure, or in infants relying on a particular level of cardiac shunting that could be modified by lowering resistance in the pulmonary vascular bed. This risk is intrinsic to the primary pharmacodynamic mode of action of iNO, and would be expected with any selective pulmonary vasodilator. The proposed PI carries adequate warnings about these risks, and the onus will be on </w:t>
      </w:r>
      <w:r w:rsidRPr="006F32C0">
        <w:lastRenderedPageBreak/>
        <w:t>clinicians to use iNO in appropriately targeted patients, and to monitor for adverse haemodynamic effects</w:t>
      </w:r>
      <w:r>
        <w:t>.</w:t>
      </w:r>
    </w:p>
    <w:p w14:paraId="15D276DB" w14:textId="77777777" w:rsidR="00BA132A" w:rsidRPr="006F32C0" w:rsidRDefault="00BA132A" w:rsidP="00BA132A">
      <w:r w:rsidRPr="006F32C0">
        <w:t>Abrupt withdrawal of iNO can produce rebound pulmonary hypertension. This effect was not well demonstrated in the submitted studies, because clinicians specifically avoided abrupt withdrawal, but weaning times were noted to be significantly longer in t</w:t>
      </w:r>
      <w:r>
        <w:t>he main pivotal efficacy study.</w:t>
      </w:r>
    </w:p>
    <w:p w14:paraId="46266DF9" w14:textId="77777777" w:rsidR="00BA132A" w:rsidRPr="006F32C0" w:rsidRDefault="00BA132A" w:rsidP="00BA132A">
      <w:r w:rsidRPr="006F32C0">
        <w:t>Because it is a vasodilator, iNO would be expected to have synergistic effects when combined with other vasodilators. This is not likely to be a more significant issue with iNO than other agents used to treat pulmonary hypertension, and the onus will be on clinicians to use sensible combinations of agents and to monitor for hypotension or other adverse haemodynamic effects. The PI carries appro</w:t>
      </w:r>
      <w:r>
        <w:t>priate warnings about this.</w:t>
      </w:r>
    </w:p>
    <w:p w14:paraId="4B55CF0F" w14:textId="77777777" w:rsidR="00BA132A" w:rsidRDefault="00BA132A" w:rsidP="00BA132A">
      <w:r w:rsidRPr="006F32C0">
        <w:t xml:space="preserve">The submitted studies, including supportive studies in adults, only provided limited evidence about the incidence of AEs and </w:t>
      </w:r>
      <w:r w:rsidR="004536B4">
        <w:t>serious adverse events</w:t>
      </w:r>
      <w:r w:rsidR="004536B4" w:rsidRPr="006F32C0">
        <w:t xml:space="preserve"> </w:t>
      </w:r>
      <w:r w:rsidR="004536B4">
        <w:t>(</w:t>
      </w:r>
      <w:r w:rsidRPr="006F32C0">
        <w:t>SAEs</w:t>
      </w:r>
      <w:r w:rsidR="004536B4">
        <w:t>)</w:t>
      </w:r>
      <w:r w:rsidRPr="006F32C0">
        <w:t xml:space="preserve"> on iNO in relation to placebo, but there does not appear to be a significantly increased risk of adverse outcomes.</w:t>
      </w:r>
      <w:r>
        <w:t xml:space="preserve"> </w:t>
      </w:r>
      <w:r w:rsidRPr="006F32C0">
        <w:t>No study has been adequately powered to demonstrate the effects of iNO on mortality rate, but mortality in the submitted studies did not appear to be increased with iNO. Of the deaths reported in the submitted studies, no concerning patterns emerged to suggest significant safety concerns with iNO. Instead, the efficacy data revealed a significant reduction in the incidence of PHTCs in children undergoing cardiac surgery (Miller et al, 2000)</w:t>
      </w:r>
      <w:proofErr w:type="gramStart"/>
      <w:r w:rsidRPr="00FB0181">
        <w:t>,</w:t>
      </w:r>
      <w:proofErr w:type="gramEnd"/>
      <w:r w:rsidR="00FB0181" w:rsidRPr="00FB0181">
        <w:rPr>
          <w:vertAlign w:val="superscript"/>
        </w:rPr>
        <w:fldChar w:fldCharType="begin"/>
      </w:r>
      <w:r w:rsidR="00FB0181" w:rsidRPr="00FB0181">
        <w:rPr>
          <w:vertAlign w:val="superscript"/>
        </w:rPr>
        <w:instrText xml:space="preserve"> NOTEREF _Ref477535524 \h </w:instrText>
      </w:r>
      <w:r w:rsidR="00FB0181">
        <w:rPr>
          <w:vertAlign w:val="superscript"/>
        </w:rPr>
        <w:instrText xml:space="preserve"> \* MERGEFORMAT </w:instrText>
      </w:r>
      <w:r w:rsidR="00FB0181" w:rsidRPr="00FB0181">
        <w:rPr>
          <w:vertAlign w:val="superscript"/>
        </w:rPr>
      </w:r>
      <w:r w:rsidR="00FB0181" w:rsidRPr="00FB0181">
        <w:rPr>
          <w:vertAlign w:val="superscript"/>
        </w:rPr>
        <w:fldChar w:fldCharType="separate"/>
      </w:r>
      <w:r w:rsidR="006D3007">
        <w:rPr>
          <w:vertAlign w:val="superscript"/>
        </w:rPr>
        <w:t>11</w:t>
      </w:r>
      <w:r w:rsidR="00FB0181" w:rsidRPr="00FB0181">
        <w:rPr>
          <w:vertAlign w:val="superscript"/>
        </w:rPr>
        <w:fldChar w:fldCharType="end"/>
      </w:r>
      <w:r w:rsidRPr="006F32C0">
        <w:t xml:space="preserve"> so there may be mortality benefits associated with the use of iNO, particularly in subjects at high risk </w:t>
      </w:r>
      <w:r w:rsidRPr="009273A2">
        <w:t>of PHTCs.</w:t>
      </w:r>
    </w:p>
    <w:p w14:paraId="35F557FA" w14:textId="77777777" w:rsidR="00BA132A" w:rsidRPr="006F32C0" w:rsidRDefault="00BA132A" w:rsidP="00BA132A">
      <w:r w:rsidRPr="006F32C0">
        <w:t>Theoretical considerations raise the possibility of increased bleeding with iNO, but this did not emerge as a significant issue in the submitted studies. The PI already carries appropriate warnings about this.</w:t>
      </w:r>
    </w:p>
    <w:p w14:paraId="203CF062" w14:textId="77777777" w:rsidR="00BA132A" w:rsidRPr="006F32C0" w:rsidRDefault="00BA132A" w:rsidP="00BA132A">
      <w:r w:rsidRPr="006F32C0">
        <w:t>Extensive post-marketing experience with iNO has not significantly modified the safety profile of iNO since it was first registered. The published and post-marketing experience with iNO shows broadly similar safety across several different age groups, ranging from near-term or full-term neonates to elderly adults. There is relatively little experience with teenage patients, but the extensive experience in younger and older patients allows a reasonable interpolation of the sa</w:t>
      </w:r>
      <w:r>
        <w:t>fety profile to this age group.</w:t>
      </w:r>
    </w:p>
    <w:p w14:paraId="5CDE9BEB" w14:textId="77777777" w:rsidR="00605AD4" w:rsidRPr="00605AD4" w:rsidRDefault="00BA132A" w:rsidP="00605AD4">
      <w:r w:rsidRPr="006F32C0">
        <w:t>Overall, the safety of iNO is acceptable, but it will need to be used by staff who have been trained in its use and who are familiar with its potential problems, and adequate monitoring will need to be in place. This is already the case for the existing indication, and the proposed indication does not raise s</w:t>
      </w:r>
      <w:r>
        <w:t>ubstantial new safety concerns.</w:t>
      </w:r>
    </w:p>
    <w:p w14:paraId="631068AD" w14:textId="64BC1435" w:rsidR="00605AD4" w:rsidRPr="00605AD4" w:rsidRDefault="00605AD4" w:rsidP="00605AD4">
      <w:pPr>
        <w:pStyle w:val="Heading3"/>
        <w:rPr>
          <w:rFonts w:eastAsia="Cambria"/>
        </w:rPr>
      </w:pPr>
      <w:bookmarkStart w:id="111" w:name="_Toc483899417"/>
      <w:r w:rsidRPr="00605AD4">
        <w:rPr>
          <w:rFonts w:eastAsia="Cambria"/>
        </w:rPr>
        <w:t xml:space="preserve">First </w:t>
      </w:r>
      <w:r w:rsidR="00331CFC" w:rsidRPr="00605AD4">
        <w:rPr>
          <w:rFonts w:eastAsia="Cambria"/>
        </w:rPr>
        <w:t>round benefit-risk assessment</w:t>
      </w:r>
      <w:bookmarkEnd w:id="111"/>
    </w:p>
    <w:p w14:paraId="078C9AAE" w14:textId="77777777" w:rsidR="00605AD4" w:rsidRDefault="00605AD4" w:rsidP="00605AD4">
      <w:pPr>
        <w:pStyle w:val="Heading4"/>
      </w:pPr>
      <w:r w:rsidRPr="00605AD4">
        <w:t>First round assessment of benefits</w:t>
      </w:r>
    </w:p>
    <w:p w14:paraId="3816B2EB" w14:textId="77777777" w:rsidR="00BA132A" w:rsidRPr="004379EA" w:rsidRDefault="00BA132A" w:rsidP="00BA132A">
      <w:r w:rsidRPr="004379EA">
        <w:t>In the con</w:t>
      </w:r>
      <w:r>
        <w:t>text</w:t>
      </w:r>
      <w:r w:rsidRPr="004379EA">
        <w:t xml:space="preserve"> of paediatric cardiac surgery, iNO significantly reduces pulmonary hypertension with subsequent improvements in right ventricular function, and it has been shown to prevent a significant proportion of pulmonary hypertensive crises. This would be expected to produce mortality benefits, but the design of the major efficacy studies included rescue therapy with iNO, limiting the ability of the studies to show a mortality benefit.</w:t>
      </w:r>
    </w:p>
    <w:p w14:paraId="59DAB391" w14:textId="77777777" w:rsidR="00BA132A" w:rsidRDefault="00BA132A" w:rsidP="00BA132A">
      <w:r w:rsidRPr="004379EA">
        <w:t xml:space="preserve">Because iNO is selective for the pulmonary vasculature, these haemodynamic gains can be achieved without causing systemic hypotension, as has been demonstrated in several efficacy and pharmacodynamic studies. By contrast, intravenous vasodilators often produced clinically significant systemic vasodilation and systemic hypotension. This partly reflects the different routes of administration, and other pulmonary vasodilators could </w:t>
      </w:r>
      <w:r w:rsidRPr="004379EA">
        <w:lastRenderedPageBreak/>
        <w:t>offer similar benefits over intravenous agents, though none is currently registered for this indication</w:t>
      </w:r>
      <w:r>
        <w:t>.</w:t>
      </w:r>
    </w:p>
    <w:p w14:paraId="3627A57B" w14:textId="77777777" w:rsidR="00BA132A" w:rsidRPr="004379EA" w:rsidRDefault="00BA132A" w:rsidP="00BA132A">
      <w:r w:rsidRPr="004379EA">
        <w:t>Inhaled NO can also significantly improve oxygenation, presumably through improved ventilation-perfusion matching.</w:t>
      </w:r>
    </w:p>
    <w:p w14:paraId="2A04376D" w14:textId="77777777" w:rsidR="00BA132A" w:rsidRPr="00BA132A" w:rsidRDefault="00BA132A" w:rsidP="00BA132A">
      <w:r w:rsidRPr="004379EA">
        <w:t>When used pre-operatively, as part of vasoreactivity testing, iNO can identify surgical candidates with reversible pulmonary hypertension who might otherwise be considered ineligible for surger</w:t>
      </w:r>
      <w:r>
        <w:t>y.</w:t>
      </w:r>
    </w:p>
    <w:p w14:paraId="7ECF1EF8" w14:textId="77777777" w:rsidR="00605AD4" w:rsidRDefault="00605AD4" w:rsidP="00605AD4">
      <w:pPr>
        <w:pStyle w:val="Heading4"/>
      </w:pPr>
      <w:r w:rsidRPr="00605AD4">
        <w:t>First round assessment of risks</w:t>
      </w:r>
    </w:p>
    <w:p w14:paraId="6AE41025" w14:textId="77777777" w:rsidR="00BA132A" w:rsidRPr="004379EA" w:rsidRDefault="00BA132A" w:rsidP="00BA132A">
      <w:r w:rsidRPr="004379EA">
        <w:t>Inhaled NO carries a number of acknowledged</w:t>
      </w:r>
      <w:r>
        <w:t xml:space="preserve"> and manageable risks.</w:t>
      </w:r>
    </w:p>
    <w:p w14:paraId="4A4C459D" w14:textId="77777777" w:rsidR="00BA132A" w:rsidRPr="004379EA" w:rsidRDefault="00BA132A" w:rsidP="00BA132A">
      <w:r w:rsidRPr="004379EA">
        <w:t>Of the risks identified in the submitted studies, the following are considered the most important:</w:t>
      </w:r>
    </w:p>
    <w:p w14:paraId="6B1780B5" w14:textId="77777777" w:rsidR="00BA132A" w:rsidRPr="00FB0181" w:rsidRDefault="00BA132A" w:rsidP="00FB0181">
      <w:pPr>
        <w:pStyle w:val="ListBullet"/>
      </w:pPr>
      <w:r w:rsidRPr="00FB0181">
        <w:t>risk of NO by-products; manageable through dose restriction and monitoring for NO</w:t>
      </w:r>
      <w:r w:rsidRPr="00EB7308">
        <w:rPr>
          <w:vertAlign w:val="subscript"/>
        </w:rPr>
        <w:t>2</w:t>
      </w:r>
      <w:r w:rsidRPr="00FB0181">
        <w:t xml:space="preserve"> and </w:t>
      </w:r>
      <w:proofErr w:type="spellStart"/>
      <w:r w:rsidRPr="00FB0181">
        <w:t>metHb</w:t>
      </w:r>
      <w:proofErr w:type="spellEnd"/>
      <w:r w:rsidRPr="00FB0181">
        <w:t>;</w:t>
      </w:r>
    </w:p>
    <w:p w14:paraId="7FB19670" w14:textId="77777777" w:rsidR="00BA132A" w:rsidRPr="00FB0181" w:rsidRDefault="00BA132A" w:rsidP="00FB0181">
      <w:pPr>
        <w:pStyle w:val="ListBullet"/>
      </w:pPr>
      <w:r w:rsidRPr="00FB0181">
        <w:t>risk of adverse haemodynamic effects; manageable through patient selection and monitoring (in particular avoiding use of iNO in subjects with elevated left atrial pressure, or subjects relying on right-to-left shunting, and monitoring subjects for systemic hypotensive responses or adverse modifications of shunt haemodynamics);</w:t>
      </w:r>
    </w:p>
    <w:p w14:paraId="5AE53C19" w14:textId="77777777" w:rsidR="00BA132A" w:rsidRPr="004379EA" w:rsidRDefault="00BA132A" w:rsidP="00FB0181">
      <w:pPr>
        <w:pStyle w:val="ListBullet"/>
      </w:pPr>
      <w:proofErr w:type="gramStart"/>
      <w:r w:rsidRPr="004379EA">
        <w:t>risk</w:t>
      </w:r>
      <w:proofErr w:type="gramEnd"/>
      <w:r w:rsidRPr="004379EA">
        <w:t xml:space="preserve"> </w:t>
      </w:r>
      <w:r>
        <w:t>during pregnancy;</w:t>
      </w:r>
      <w:r w:rsidRPr="004379EA">
        <w:t xml:space="preserve"> treatment during pregnancy should be avoided because of a complete lack of information about the safety of iNO in this setting. This situation is expected to arise relatively rarely in the paediatric setting, particularly because surgery for congenital heart disease is usually performed in the first few years of life, teenagers were not commonly treated in the paediatric studies, and severe cardiac disease is likely to </w:t>
      </w:r>
      <w:r>
        <w:t xml:space="preserve">lower fertility. Girls of child </w:t>
      </w:r>
      <w:r w:rsidRPr="004379EA">
        <w:t>bearing age should be screened for pregnancy as part of the cardiac surgical work-up, and decisions would need to be made about the appropriateness of continuing the pregnancy and the timing of surgery.</w:t>
      </w:r>
    </w:p>
    <w:p w14:paraId="273F7D33" w14:textId="77777777" w:rsidR="00BA132A" w:rsidRPr="004379EA" w:rsidRDefault="00BA132A" w:rsidP="00BA132A">
      <w:r w:rsidRPr="004379EA">
        <w:t xml:space="preserve">The risks listed below are acknowledged by the </w:t>
      </w:r>
      <w:r>
        <w:t>sponsor in their RMP.</w:t>
      </w:r>
    </w:p>
    <w:p w14:paraId="49B2D981" w14:textId="77777777" w:rsidR="00BA132A" w:rsidRDefault="00BA132A" w:rsidP="00BA132A">
      <w:pPr>
        <w:pStyle w:val="Tabletitle0"/>
      </w:pPr>
      <w:bookmarkStart w:id="112" w:name="_Toc418607845"/>
      <w:r w:rsidRPr="004379EA">
        <w:t xml:space="preserve">Table </w:t>
      </w:r>
      <w:r w:rsidR="004536B4">
        <w:t>8</w:t>
      </w:r>
      <w:r>
        <w:t>:</w:t>
      </w:r>
      <w:r w:rsidRPr="004379EA">
        <w:t xml:space="preserve"> Summary of safety concerns identified in RMP</w:t>
      </w:r>
      <w:bookmarkEnd w:id="112"/>
    </w:p>
    <w:tbl>
      <w:tblPr>
        <w:tblStyle w:val="TableTGAblue"/>
        <w:tblW w:w="0" w:type="auto"/>
        <w:tblLook w:val="04A0" w:firstRow="1" w:lastRow="0" w:firstColumn="1" w:lastColumn="0" w:noHBand="0" w:noVBand="1"/>
      </w:tblPr>
      <w:tblGrid>
        <w:gridCol w:w="3196"/>
        <w:gridCol w:w="5524"/>
      </w:tblGrid>
      <w:tr w:rsidR="00BA132A" w14:paraId="43C13AED" w14:textId="77777777" w:rsidTr="00BA132A">
        <w:trPr>
          <w:cnfStyle w:val="100000000000" w:firstRow="1" w:lastRow="0" w:firstColumn="0" w:lastColumn="0" w:oddVBand="0" w:evenVBand="0" w:oddHBand="0" w:evenHBand="0" w:firstRowFirstColumn="0" w:firstRowLastColumn="0" w:lastRowFirstColumn="0" w:lastRowLastColumn="0"/>
        </w:trPr>
        <w:tc>
          <w:tcPr>
            <w:tcW w:w="3196" w:type="dxa"/>
          </w:tcPr>
          <w:p w14:paraId="6D4F0ABE" w14:textId="77777777" w:rsidR="00BA132A" w:rsidRDefault="00BA132A" w:rsidP="0092006A">
            <w:r>
              <w:t>Safety concerns</w:t>
            </w:r>
          </w:p>
        </w:tc>
        <w:tc>
          <w:tcPr>
            <w:tcW w:w="5524" w:type="dxa"/>
          </w:tcPr>
          <w:p w14:paraId="0C5C15E9" w14:textId="77777777" w:rsidR="00BA132A" w:rsidRDefault="00BA132A" w:rsidP="0092006A"/>
        </w:tc>
      </w:tr>
      <w:tr w:rsidR="00BA132A" w14:paraId="641F23D9" w14:textId="77777777" w:rsidTr="00BA132A">
        <w:tc>
          <w:tcPr>
            <w:tcW w:w="3196" w:type="dxa"/>
            <w:vMerge w:val="restart"/>
          </w:tcPr>
          <w:p w14:paraId="66FE612C" w14:textId="77777777" w:rsidR="00BA132A" w:rsidRDefault="00BA132A" w:rsidP="0092006A">
            <w:r>
              <w:t>Important identified risks</w:t>
            </w:r>
          </w:p>
        </w:tc>
        <w:tc>
          <w:tcPr>
            <w:tcW w:w="5524" w:type="dxa"/>
          </w:tcPr>
          <w:p w14:paraId="47E2D556" w14:textId="77777777" w:rsidR="00BA132A" w:rsidRDefault="00BA132A" w:rsidP="0092006A">
            <w:proofErr w:type="spellStart"/>
            <w:r>
              <w:t>Methaemoglinaemia</w:t>
            </w:r>
            <w:proofErr w:type="spellEnd"/>
          </w:p>
        </w:tc>
      </w:tr>
      <w:tr w:rsidR="00BA132A" w14:paraId="26571855" w14:textId="77777777" w:rsidTr="00BA132A">
        <w:tc>
          <w:tcPr>
            <w:tcW w:w="3196" w:type="dxa"/>
            <w:vMerge/>
          </w:tcPr>
          <w:p w14:paraId="19AF3358" w14:textId="77777777" w:rsidR="00BA132A" w:rsidRDefault="00BA132A" w:rsidP="0092006A"/>
        </w:tc>
        <w:tc>
          <w:tcPr>
            <w:tcW w:w="5524" w:type="dxa"/>
          </w:tcPr>
          <w:p w14:paraId="715185F1" w14:textId="77777777" w:rsidR="00BA132A" w:rsidRDefault="00BA132A" w:rsidP="0092006A">
            <w:r>
              <w:t xml:space="preserve">Risk of acute cardiac failure with circulatory collapse in </w:t>
            </w:r>
            <w:r w:rsidR="00FB0181">
              <w:t>certain patient populations and</w:t>
            </w:r>
          </w:p>
          <w:p w14:paraId="5F8C599F" w14:textId="77777777" w:rsidR="00BA132A" w:rsidRDefault="00BA132A" w:rsidP="0092006A">
            <w:r>
              <w:t>Risk of heart failure or pulmonary oedema in certain patient populations</w:t>
            </w:r>
          </w:p>
        </w:tc>
      </w:tr>
      <w:tr w:rsidR="00BA132A" w14:paraId="2949737D" w14:textId="77777777" w:rsidTr="00BA132A">
        <w:tc>
          <w:tcPr>
            <w:tcW w:w="3196" w:type="dxa"/>
            <w:vMerge/>
          </w:tcPr>
          <w:p w14:paraId="764D3A1C" w14:textId="77777777" w:rsidR="00BA132A" w:rsidRDefault="00BA132A" w:rsidP="0092006A"/>
        </w:tc>
        <w:tc>
          <w:tcPr>
            <w:tcW w:w="5524" w:type="dxa"/>
          </w:tcPr>
          <w:p w14:paraId="0BBB3E15" w14:textId="77777777" w:rsidR="00BA132A" w:rsidRDefault="00BA132A" w:rsidP="0092006A">
            <w:r>
              <w:t>Rebound reactions (pulmonary hypertension) with abrupt withdrawal</w:t>
            </w:r>
          </w:p>
        </w:tc>
      </w:tr>
      <w:tr w:rsidR="00BA132A" w14:paraId="1F3F6649" w14:textId="77777777" w:rsidTr="00BA132A">
        <w:tc>
          <w:tcPr>
            <w:tcW w:w="3196" w:type="dxa"/>
            <w:vMerge w:val="restart"/>
          </w:tcPr>
          <w:p w14:paraId="01E03D4F" w14:textId="77777777" w:rsidR="00BA132A" w:rsidRDefault="00BA132A" w:rsidP="0092006A">
            <w:r>
              <w:t>Important potential risks</w:t>
            </w:r>
          </w:p>
        </w:tc>
        <w:tc>
          <w:tcPr>
            <w:tcW w:w="5524" w:type="dxa"/>
          </w:tcPr>
          <w:p w14:paraId="129CAA56" w14:textId="77777777" w:rsidR="00BA132A" w:rsidRDefault="00BA132A" w:rsidP="0092006A">
            <w:r>
              <w:t>NO</w:t>
            </w:r>
            <w:r w:rsidRPr="00EB7308">
              <w:rPr>
                <w:vertAlign w:val="subscript"/>
              </w:rPr>
              <w:t>2</w:t>
            </w:r>
            <w:r>
              <w:t xml:space="preserve"> formation</w:t>
            </w:r>
          </w:p>
        </w:tc>
      </w:tr>
      <w:tr w:rsidR="00BA132A" w14:paraId="42C76854" w14:textId="77777777" w:rsidTr="00BA132A">
        <w:tc>
          <w:tcPr>
            <w:tcW w:w="3196" w:type="dxa"/>
            <w:vMerge/>
          </w:tcPr>
          <w:p w14:paraId="5E43BC1C" w14:textId="77777777" w:rsidR="00BA132A" w:rsidRDefault="00BA132A" w:rsidP="0092006A"/>
        </w:tc>
        <w:tc>
          <w:tcPr>
            <w:tcW w:w="5524" w:type="dxa"/>
          </w:tcPr>
          <w:p w14:paraId="679463D9" w14:textId="77777777" w:rsidR="00BA132A" w:rsidRDefault="00BA132A" w:rsidP="0092006A">
            <w:r>
              <w:t>Increased bleeding time</w:t>
            </w:r>
          </w:p>
        </w:tc>
      </w:tr>
      <w:tr w:rsidR="00BA132A" w14:paraId="40FE4A99" w14:textId="77777777" w:rsidTr="00BA132A">
        <w:tc>
          <w:tcPr>
            <w:tcW w:w="3196" w:type="dxa"/>
            <w:vMerge/>
          </w:tcPr>
          <w:p w14:paraId="76FA38F3" w14:textId="77777777" w:rsidR="00BA132A" w:rsidRDefault="00BA132A" w:rsidP="0092006A"/>
        </w:tc>
        <w:tc>
          <w:tcPr>
            <w:tcW w:w="5524" w:type="dxa"/>
          </w:tcPr>
          <w:p w14:paraId="7867CBB1" w14:textId="77777777" w:rsidR="00BA132A" w:rsidRDefault="00BA132A" w:rsidP="0092006A">
            <w:r>
              <w:t>Critical failure of the delivery system</w:t>
            </w:r>
          </w:p>
        </w:tc>
      </w:tr>
      <w:tr w:rsidR="00BA132A" w14:paraId="655016F2" w14:textId="77777777" w:rsidTr="00BA132A">
        <w:tc>
          <w:tcPr>
            <w:tcW w:w="3196" w:type="dxa"/>
            <w:vMerge w:val="restart"/>
          </w:tcPr>
          <w:p w14:paraId="7680AED0" w14:textId="77777777" w:rsidR="00BA132A" w:rsidRDefault="00BA132A" w:rsidP="0092006A">
            <w:r>
              <w:lastRenderedPageBreak/>
              <w:t>Missing information</w:t>
            </w:r>
          </w:p>
        </w:tc>
        <w:tc>
          <w:tcPr>
            <w:tcW w:w="5524" w:type="dxa"/>
          </w:tcPr>
          <w:p w14:paraId="41BF5C98" w14:textId="77777777" w:rsidR="00BA132A" w:rsidRDefault="00BA132A" w:rsidP="0092006A">
            <w:r>
              <w:t>Combined use with other vasodilators</w:t>
            </w:r>
          </w:p>
        </w:tc>
      </w:tr>
      <w:tr w:rsidR="00BA132A" w14:paraId="05A78FAA" w14:textId="77777777" w:rsidTr="00BA132A">
        <w:tc>
          <w:tcPr>
            <w:tcW w:w="3196" w:type="dxa"/>
            <w:vMerge/>
          </w:tcPr>
          <w:p w14:paraId="4C8D390D" w14:textId="77777777" w:rsidR="00BA132A" w:rsidRDefault="00BA132A" w:rsidP="0092006A"/>
        </w:tc>
        <w:tc>
          <w:tcPr>
            <w:tcW w:w="5524" w:type="dxa"/>
          </w:tcPr>
          <w:p w14:paraId="60D27A38" w14:textId="77777777" w:rsidR="00BA132A" w:rsidRDefault="00BA132A" w:rsidP="0092006A">
            <w:r>
              <w:t>Use during pregnancy and lactation</w:t>
            </w:r>
          </w:p>
        </w:tc>
      </w:tr>
      <w:tr w:rsidR="00BA132A" w14:paraId="4EBE9319" w14:textId="77777777" w:rsidTr="00BA132A">
        <w:tc>
          <w:tcPr>
            <w:tcW w:w="3196" w:type="dxa"/>
            <w:vMerge/>
          </w:tcPr>
          <w:p w14:paraId="083F0DA8" w14:textId="77777777" w:rsidR="00BA132A" w:rsidRDefault="00BA132A" w:rsidP="0092006A"/>
        </w:tc>
        <w:tc>
          <w:tcPr>
            <w:tcW w:w="5524" w:type="dxa"/>
          </w:tcPr>
          <w:p w14:paraId="75FB8F8A" w14:textId="77777777" w:rsidR="00BA132A" w:rsidRDefault="00BA132A" w:rsidP="0092006A">
            <w:r>
              <w:t>Paediatric use &lt; 34 GA for PPHN, and patients 12 to 17 years treated for pulmonary hypertension in conjunction with heart surgery</w:t>
            </w:r>
          </w:p>
        </w:tc>
      </w:tr>
    </w:tbl>
    <w:p w14:paraId="001E0A91" w14:textId="77777777" w:rsidR="00BA132A" w:rsidRPr="00BA132A" w:rsidRDefault="00BA132A" w:rsidP="00BA132A">
      <w:r w:rsidRPr="004379EA">
        <w:t>Overall, the risks associated with iNO are adequately acknowledged in the PI and can be limited by the use of trained st</w:t>
      </w:r>
      <w:r>
        <w:t>aff and appropriate monitoring.</w:t>
      </w:r>
    </w:p>
    <w:p w14:paraId="1B88000B" w14:textId="77777777" w:rsidR="00605AD4" w:rsidRPr="00605AD4" w:rsidRDefault="00605AD4" w:rsidP="00605AD4">
      <w:pPr>
        <w:pStyle w:val="Heading4"/>
      </w:pPr>
      <w:r w:rsidRPr="00605AD4">
        <w:t>First round assessment of benefit-risk balance</w:t>
      </w:r>
    </w:p>
    <w:p w14:paraId="4B7675A5" w14:textId="77777777" w:rsidR="00BA132A" w:rsidRPr="004379EA" w:rsidRDefault="00BA132A" w:rsidP="00BA132A">
      <w:r w:rsidRPr="004379EA">
        <w:t xml:space="preserve">The benefit-risk balance of iNO in the proposed indication is favourable, because the risks that have been identified are manageable, the drug has proven efficacy in preventing or ameliorating </w:t>
      </w:r>
      <w:r w:rsidR="008A6123">
        <w:t>life threatening</w:t>
      </w:r>
      <w:r w:rsidRPr="004379EA">
        <w:t xml:space="preserve"> pulmonary hypertension, and no other standard agents are </w:t>
      </w:r>
      <w:r>
        <w:t>registered for this indication.</w:t>
      </w:r>
    </w:p>
    <w:p w14:paraId="1A8C2664" w14:textId="77777777" w:rsidR="00BA132A" w:rsidRPr="004379EA" w:rsidRDefault="00BA132A" w:rsidP="00BA132A">
      <w:r w:rsidRPr="004379EA">
        <w:t xml:space="preserve">There is a general lack of efficacy and </w:t>
      </w:r>
      <w:r>
        <w:t xml:space="preserve">safety data in the age range 12 to </w:t>
      </w:r>
      <w:r w:rsidRPr="004379EA">
        <w:t>17 years, but the data in younger children and older adults show consistent effects, and there is no reason to expect that the benefit-risk balance is substantially different in teenagers compared to younger and older patients. Because congenital cardiac defects are usually corrected before the age of 12, and acquired cardiac diseases often appear in older adults, this intermediate age group is under-represented in the clinical studies, and evidence in this group is likely to remain relatively limited. The potential hazard of approving iNO prior to obtaining an extensive database in this age group must be balanced against the potential hazard of denying such subjects a treatment that works in younger and older subjects, and for which there is no currently registered alternative therapy.</w:t>
      </w:r>
    </w:p>
    <w:p w14:paraId="0DA98FF1" w14:textId="77777777" w:rsidR="00605AD4" w:rsidRPr="00605AD4" w:rsidRDefault="00BA132A" w:rsidP="00605AD4">
      <w:r w:rsidRPr="004379EA">
        <w:t>To optimise the benefit-risk balance, care will need to be taken to ensure appro</w:t>
      </w:r>
      <w:r>
        <w:t>priate patient selection and on</w:t>
      </w:r>
      <w:r w:rsidRPr="004379EA">
        <w:t>going vigilance</w:t>
      </w:r>
      <w:r>
        <w:t xml:space="preserve"> </w:t>
      </w:r>
      <w:r w:rsidRPr="004379EA">
        <w:t>in terms of monitoring during iNO use. Inhaled NO will need to be administered by staff s</w:t>
      </w:r>
      <w:r w:rsidR="00FB0181">
        <w:t>pecifically trained in its use.</w:t>
      </w:r>
    </w:p>
    <w:p w14:paraId="3D03BA36" w14:textId="54F82D9D" w:rsidR="00605AD4" w:rsidRPr="00605AD4" w:rsidRDefault="00605AD4" w:rsidP="00605AD4">
      <w:pPr>
        <w:pStyle w:val="Heading3"/>
        <w:rPr>
          <w:rFonts w:eastAsia="Cambria"/>
        </w:rPr>
      </w:pPr>
      <w:bookmarkStart w:id="113" w:name="_Toc483899418"/>
      <w:r w:rsidRPr="00605AD4">
        <w:rPr>
          <w:rFonts w:eastAsia="Cambria"/>
        </w:rPr>
        <w:t xml:space="preserve">First </w:t>
      </w:r>
      <w:r w:rsidR="00331CFC" w:rsidRPr="00605AD4">
        <w:rPr>
          <w:rFonts w:eastAsia="Cambria"/>
        </w:rPr>
        <w:t>round recommendation regarding authorisation</w:t>
      </w:r>
      <w:bookmarkEnd w:id="113"/>
    </w:p>
    <w:p w14:paraId="530B8328" w14:textId="77777777" w:rsidR="00605AD4" w:rsidRPr="00605AD4" w:rsidRDefault="00BA132A" w:rsidP="00605AD4">
      <w:r w:rsidRPr="004379EA">
        <w:t>Inhaled nitric oxide (INOmax) should be approved for the proposed indication, follow</w:t>
      </w:r>
      <w:r>
        <w:t>ing revision of the PI.</w:t>
      </w:r>
    </w:p>
    <w:p w14:paraId="7BB371B1" w14:textId="62D31FDC" w:rsidR="00605AD4" w:rsidRPr="00605AD4" w:rsidRDefault="00605AD4" w:rsidP="00605AD4">
      <w:pPr>
        <w:pStyle w:val="Heading3"/>
        <w:rPr>
          <w:rFonts w:eastAsia="Cambria"/>
        </w:rPr>
      </w:pPr>
      <w:bookmarkStart w:id="114" w:name="_Toc483899419"/>
      <w:r w:rsidRPr="00605AD4">
        <w:rPr>
          <w:rFonts w:eastAsia="Cambria"/>
        </w:rPr>
        <w:t xml:space="preserve">Clinical </w:t>
      </w:r>
      <w:r w:rsidR="00331CFC" w:rsidRPr="00605AD4">
        <w:rPr>
          <w:rFonts w:eastAsia="Cambria"/>
        </w:rPr>
        <w:t>q</w:t>
      </w:r>
      <w:r w:rsidRPr="00605AD4">
        <w:rPr>
          <w:rFonts w:eastAsia="Cambria"/>
        </w:rPr>
        <w:t>uestions</w:t>
      </w:r>
      <w:bookmarkEnd w:id="114"/>
    </w:p>
    <w:p w14:paraId="2E1D7D2D" w14:textId="77777777" w:rsidR="00300485" w:rsidRPr="004379EA" w:rsidRDefault="00300485" w:rsidP="00300485">
      <w:r w:rsidRPr="004379EA">
        <w:t xml:space="preserve">As already discussed, the </w:t>
      </w:r>
      <w:r>
        <w:t>investigator led</w:t>
      </w:r>
      <w:r w:rsidRPr="004379EA">
        <w:t xml:space="preserve"> studies were not always clearly described in terms of their primary endpoints, blinding techniques, and safety monitoring. By contrast, the </w:t>
      </w:r>
      <w:r>
        <w:t>sponsor led</w:t>
      </w:r>
      <w:r w:rsidRPr="004379EA">
        <w:t xml:space="preserve"> studies had clear prospective endpoints and comprehensive safety monitoring.</w:t>
      </w:r>
    </w:p>
    <w:p w14:paraId="3C57F426" w14:textId="77777777" w:rsidR="00300485" w:rsidRPr="004379EA" w:rsidRDefault="00300485" w:rsidP="00300485">
      <w:r w:rsidRPr="004379EA">
        <w:t xml:space="preserve">It is acknowledged that, in the setting of a literature-based submission, it may be difficult for the </w:t>
      </w:r>
      <w:r>
        <w:t>sponsor</w:t>
      </w:r>
      <w:r w:rsidRPr="004379EA">
        <w:t xml:space="preserve"> to provide full information on studies that they did not initiate or supervise.</w:t>
      </w:r>
      <w:r>
        <w:t xml:space="preserve"> </w:t>
      </w:r>
      <w:r w:rsidRPr="004379EA">
        <w:t>Nonetheless, the following clinical questions represent substantial unresolved issues arising from the submission.</w:t>
      </w:r>
    </w:p>
    <w:p w14:paraId="153E369D" w14:textId="77777777" w:rsidR="00300485" w:rsidRPr="004379EA" w:rsidRDefault="00300485" w:rsidP="00300485">
      <w:pPr>
        <w:pStyle w:val="Heading3"/>
        <w:numPr>
          <w:ilvl w:val="1"/>
          <w:numId w:val="0"/>
        </w:numPr>
        <w:adjustRightInd w:val="0"/>
        <w:snapToGrid w:val="0"/>
        <w:spacing w:before="400" w:after="120"/>
        <w:ind w:left="907" w:hanging="794"/>
      </w:pPr>
      <w:bookmarkStart w:id="115" w:name="_Toc476145556"/>
      <w:bookmarkStart w:id="116" w:name="_Toc483899420"/>
      <w:r w:rsidRPr="004379EA">
        <w:lastRenderedPageBreak/>
        <w:t>General questions</w:t>
      </w:r>
      <w:bookmarkEnd w:id="115"/>
      <w:bookmarkEnd w:id="116"/>
    </w:p>
    <w:p w14:paraId="0EC1F297" w14:textId="77777777" w:rsidR="00300485" w:rsidRPr="004379EA" w:rsidRDefault="00300485" w:rsidP="00FB0181">
      <w:pPr>
        <w:pStyle w:val="Numberbullet0"/>
        <w:numPr>
          <w:ilvl w:val="0"/>
          <w:numId w:val="18"/>
        </w:numPr>
      </w:pPr>
      <w:r w:rsidRPr="004379EA">
        <w:t>To what extent does the pulmonary selectivity of iNO reflect the proposed route of administration, rather than an intrinsic pharma</w:t>
      </w:r>
      <w:r>
        <w:t>codynamic property of the drug?</w:t>
      </w:r>
    </w:p>
    <w:p w14:paraId="41843E42" w14:textId="77777777" w:rsidR="00300485" w:rsidRPr="004379EA" w:rsidRDefault="00300485" w:rsidP="00FB0181">
      <w:pPr>
        <w:pStyle w:val="Numberbullet0"/>
        <w:numPr>
          <w:ilvl w:val="0"/>
          <w:numId w:val="18"/>
        </w:numPr>
      </w:pPr>
      <w:bookmarkStart w:id="117" w:name="_Ref416605073"/>
      <w:r w:rsidRPr="004379EA">
        <w:t>What effects does iNO have on the immune system and are these effects likely to be clinically relevant?</w:t>
      </w:r>
      <w:bookmarkEnd w:id="117"/>
    </w:p>
    <w:p w14:paraId="095534AF" w14:textId="77777777" w:rsidR="00300485" w:rsidRPr="004379EA" w:rsidRDefault="00300485" w:rsidP="00300485">
      <w:pPr>
        <w:pStyle w:val="Heading3"/>
        <w:numPr>
          <w:ilvl w:val="1"/>
          <w:numId w:val="0"/>
        </w:numPr>
        <w:adjustRightInd w:val="0"/>
        <w:snapToGrid w:val="0"/>
        <w:spacing w:before="400" w:after="120"/>
        <w:ind w:left="907" w:hanging="794"/>
      </w:pPr>
      <w:bookmarkStart w:id="118" w:name="_Toc476145557"/>
      <w:bookmarkStart w:id="119" w:name="_Toc483899421"/>
      <w:r w:rsidRPr="004379EA">
        <w:t>Questions related to specific studies</w:t>
      </w:r>
      <w:bookmarkEnd w:id="118"/>
      <w:bookmarkEnd w:id="119"/>
    </w:p>
    <w:p w14:paraId="24D2D4B9" w14:textId="77777777" w:rsidR="00300485" w:rsidRPr="004379EA" w:rsidRDefault="00300485" w:rsidP="00300485">
      <w:pPr>
        <w:pStyle w:val="Numberbullet0"/>
        <w:numPr>
          <w:ilvl w:val="0"/>
          <w:numId w:val="17"/>
        </w:numPr>
      </w:pPr>
      <w:r w:rsidRPr="004379EA">
        <w:t>Why did the pivotal study by Miller et al (2000)</w:t>
      </w:r>
      <w:r w:rsidR="00FB0181" w:rsidRPr="00FB0181">
        <w:rPr>
          <w:vertAlign w:val="superscript"/>
        </w:rPr>
        <w:fldChar w:fldCharType="begin"/>
      </w:r>
      <w:r w:rsidR="00FB0181" w:rsidRPr="00FB0181">
        <w:rPr>
          <w:vertAlign w:val="superscript"/>
        </w:rPr>
        <w:instrText xml:space="preserve"> NOTEREF _Ref477535524 \h </w:instrText>
      </w:r>
      <w:r w:rsidR="00FB0181">
        <w:rPr>
          <w:vertAlign w:val="superscript"/>
        </w:rPr>
        <w:instrText xml:space="preserve"> \* MERGEFORMAT </w:instrText>
      </w:r>
      <w:r w:rsidR="00FB0181" w:rsidRPr="00FB0181">
        <w:rPr>
          <w:vertAlign w:val="superscript"/>
        </w:rPr>
      </w:r>
      <w:r w:rsidR="00FB0181" w:rsidRPr="00FB0181">
        <w:rPr>
          <w:vertAlign w:val="superscript"/>
        </w:rPr>
        <w:fldChar w:fldCharType="separate"/>
      </w:r>
      <w:r w:rsidR="006D3007">
        <w:rPr>
          <w:vertAlign w:val="superscript"/>
        </w:rPr>
        <w:t>11</w:t>
      </w:r>
      <w:r w:rsidR="00FB0181" w:rsidRPr="00FB0181">
        <w:rPr>
          <w:vertAlign w:val="superscript"/>
        </w:rPr>
        <w:fldChar w:fldCharType="end"/>
      </w:r>
      <w:r w:rsidRPr="004379EA">
        <w:t xml:space="preserve"> only recruit 124 patients after sample size estimations suggested that 136 subjects would be need to reach an adequate statistical power?</w:t>
      </w:r>
    </w:p>
    <w:p w14:paraId="47378B0F" w14:textId="77777777" w:rsidR="00300485" w:rsidRPr="004379EA" w:rsidRDefault="00300485" w:rsidP="00300485">
      <w:pPr>
        <w:pStyle w:val="Numberbullet0"/>
        <w:numPr>
          <w:ilvl w:val="0"/>
          <w:numId w:val="17"/>
        </w:numPr>
      </w:pPr>
      <w:r w:rsidRPr="004379EA">
        <w:t xml:space="preserve">Does the </w:t>
      </w:r>
      <w:r>
        <w:t>sponsor</w:t>
      </w:r>
      <w:r w:rsidRPr="004379EA">
        <w:t xml:space="preserve"> agree that, amongst time-based endpoints in the pivotal study by Miller et al (2000)</w:t>
      </w:r>
      <w:proofErr w:type="gramStart"/>
      <w:r w:rsidRPr="004379EA">
        <w:t>,</w:t>
      </w:r>
      <w:proofErr w:type="gramEnd"/>
      <w:r w:rsidR="00FB0181" w:rsidRPr="00FB0181">
        <w:rPr>
          <w:vertAlign w:val="superscript"/>
        </w:rPr>
        <w:fldChar w:fldCharType="begin"/>
      </w:r>
      <w:r w:rsidR="00FB0181" w:rsidRPr="00FB0181">
        <w:rPr>
          <w:vertAlign w:val="superscript"/>
        </w:rPr>
        <w:instrText xml:space="preserve"> NOTEREF _Ref477535524 \h  \* MERGEFORMAT </w:instrText>
      </w:r>
      <w:r w:rsidR="00FB0181" w:rsidRPr="00FB0181">
        <w:rPr>
          <w:vertAlign w:val="superscript"/>
        </w:rPr>
      </w:r>
      <w:r w:rsidR="00FB0181" w:rsidRPr="00FB0181">
        <w:rPr>
          <w:vertAlign w:val="superscript"/>
        </w:rPr>
        <w:fldChar w:fldCharType="separate"/>
      </w:r>
      <w:r w:rsidR="006D3007">
        <w:rPr>
          <w:vertAlign w:val="superscript"/>
        </w:rPr>
        <w:t>11</w:t>
      </w:r>
      <w:r w:rsidR="00FB0181" w:rsidRPr="00FB0181">
        <w:rPr>
          <w:vertAlign w:val="superscript"/>
        </w:rPr>
        <w:fldChar w:fldCharType="end"/>
      </w:r>
      <w:r w:rsidRPr="004379EA">
        <w:t xml:space="preserve"> they have misinterpreted the study by treating the time to meeting extubation criteria and the time to meeting weaning criteria as two different endpoints when they were actually the same endpoint?</w:t>
      </w:r>
    </w:p>
    <w:p w14:paraId="38DE8DB9" w14:textId="77777777" w:rsidR="00300485" w:rsidRPr="004379EA" w:rsidRDefault="00300485" w:rsidP="00300485">
      <w:pPr>
        <w:pStyle w:val="Numberbullet0"/>
        <w:numPr>
          <w:ilvl w:val="0"/>
          <w:numId w:val="17"/>
        </w:numPr>
      </w:pPr>
      <w:r w:rsidRPr="004379EA">
        <w:t>What statistical test was used to generate the p-value of 0.008 in the study by Russell et al (1998)</w:t>
      </w:r>
      <w:r w:rsidR="00FB0181" w:rsidRPr="00FB0181">
        <w:rPr>
          <w:vertAlign w:val="superscript"/>
        </w:rPr>
        <w:fldChar w:fldCharType="begin"/>
      </w:r>
      <w:r w:rsidR="00FB0181" w:rsidRPr="00FB0181">
        <w:rPr>
          <w:vertAlign w:val="superscript"/>
        </w:rPr>
        <w:instrText xml:space="preserve"> NOTEREF _Ref477536594 \h </w:instrText>
      </w:r>
      <w:r w:rsidR="00FB0181">
        <w:rPr>
          <w:vertAlign w:val="superscript"/>
        </w:rPr>
        <w:instrText xml:space="preserve"> \* MERGEFORMAT </w:instrText>
      </w:r>
      <w:r w:rsidR="00FB0181" w:rsidRPr="00FB0181">
        <w:rPr>
          <w:vertAlign w:val="superscript"/>
        </w:rPr>
      </w:r>
      <w:r w:rsidR="00FB0181" w:rsidRPr="00FB0181">
        <w:rPr>
          <w:vertAlign w:val="superscript"/>
        </w:rPr>
        <w:fldChar w:fldCharType="separate"/>
      </w:r>
      <w:r w:rsidR="006D3007">
        <w:rPr>
          <w:vertAlign w:val="superscript"/>
        </w:rPr>
        <w:t>12</w:t>
      </w:r>
      <w:r w:rsidR="00FB0181" w:rsidRPr="00FB0181">
        <w:rPr>
          <w:vertAlign w:val="superscript"/>
        </w:rPr>
        <w:fldChar w:fldCharType="end"/>
      </w:r>
      <w:r w:rsidRPr="004379EA">
        <w:t>, as cited in the abstract? “</w:t>
      </w:r>
      <w:r w:rsidRPr="00FB25F1">
        <w:rPr>
          <w:i/>
        </w:rPr>
        <w:t xml:space="preserve">Of the patients, 36% (n = 13) emerged from bypass with </w:t>
      </w:r>
      <w:proofErr w:type="spellStart"/>
      <w:r w:rsidR="00E3550D">
        <w:rPr>
          <w:i/>
        </w:rPr>
        <w:t>mPAP</w:t>
      </w:r>
      <w:proofErr w:type="spellEnd"/>
      <w:r w:rsidRPr="00FB25F1">
        <w:rPr>
          <w:i/>
        </w:rPr>
        <w:t xml:space="preserve"> &gt; 50% </w:t>
      </w:r>
      <w:proofErr w:type="spellStart"/>
      <w:r w:rsidR="00E3550D">
        <w:rPr>
          <w:i/>
        </w:rPr>
        <w:t>mSAP</w:t>
      </w:r>
      <w:proofErr w:type="spellEnd"/>
      <w:r w:rsidRPr="00FB25F1">
        <w:rPr>
          <w:i/>
        </w:rPr>
        <w:t xml:space="preserve">. In these patients, inhaled NO reduced </w:t>
      </w:r>
      <w:proofErr w:type="spellStart"/>
      <w:r w:rsidR="00E3550D">
        <w:rPr>
          <w:i/>
        </w:rPr>
        <w:t>mPAP</w:t>
      </w:r>
      <w:proofErr w:type="spellEnd"/>
      <w:r w:rsidRPr="00FB25F1">
        <w:rPr>
          <w:i/>
        </w:rPr>
        <w:t xml:space="preserve"> by 19% (P = 0.008) versus an increase of 9% in the placebo group</w:t>
      </w:r>
      <w:r w:rsidRPr="004379EA">
        <w:t>.”</w:t>
      </w:r>
      <w:r>
        <w:t xml:space="preserve"> </w:t>
      </w:r>
      <w:r w:rsidRPr="004379EA">
        <w:t>How does this p-value relate to the different p-value of 0.0016 shown for the 20 min time</w:t>
      </w:r>
      <w:r>
        <w:t>-</w:t>
      </w:r>
      <w:r w:rsidRPr="004379EA">
        <w:t>point in the authors’ table, reproduced below?</w:t>
      </w:r>
    </w:p>
    <w:p w14:paraId="4CEFD2CA" w14:textId="77777777" w:rsidR="00300485" w:rsidRDefault="00300485" w:rsidP="00300485">
      <w:pPr>
        <w:pStyle w:val="Tabletitle0"/>
      </w:pPr>
      <w:bookmarkStart w:id="120" w:name="_Toc418607847"/>
      <w:r w:rsidRPr="004379EA">
        <w:t xml:space="preserve">Table </w:t>
      </w:r>
      <w:r w:rsidR="004536B4">
        <w:t>9</w:t>
      </w:r>
      <w:r>
        <w:t>:</w:t>
      </w:r>
      <w:r w:rsidRPr="004379EA">
        <w:t xml:space="preserve"> Percent change in post</w:t>
      </w:r>
      <w:r>
        <w:t>-</w:t>
      </w:r>
      <w:r w:rsidRPr="004379EA">
        <w:t xml:space="preserve">bypass </w:t>
      </w:r>
      <w:proofErr w:type="spellStart"/>
      <w:r w:rsidR="00E3550D">
        <w:t>mPAP</w:t>
      </w:r>
      <w:proofErr w:type="spellEnd"/>
      <w:r w:rsidRPr="004379EA">
        <w:t xml:space="preserve"> (</w:t>
      </w:r>
      <w:proofErr w:type="spellStart"/>
      <w:r w:rsidR="00E3550D">
        <w:t>mPAP</w:t>
      </w:r>
      <w:proofErr w:type="spellEnd"/>
      <w:r>
        <w:t xml:space="preserve"> &gt; 5</w:t>
      </w:r>
      <w:r w:rsidRPr="004379EA">
        <w:t>0%</w:t>
      </w:r>
      <w:r w:rsidR="00E3550D">
        <w:t>mSAP</w:t>
      </w:r>
      <w:r w:rsidRPr="004379EA">
        <w:t>)</w:t>
      </w:r>
      <w:bookmarkEnd w:id="120"/>
    </w:p>
    <w:p w14:paraId="27766E65" w14:textId="77777777" w:rsidR="00605AD4" w:rsidRDefault="00300485" w:rsidP="00331CFC">
      <w:r>
        <w:rPr>
          <w:noProof/>
          <w:lang w:eastAsia="en-AU"/>
        </w:rPr>
        <w:drawing>
          <wp:inline distT="0" distB="0" distL="0" distR="0" wp14:anchorId="4BD3A2FE" wp14:editId="1120D739">
            <wp:extent cx="5400040" cy="2675789"/>
            <wp:effectExtent l="0" t="0" r="0" b="0"/>
            <wp:docPr id="3" name="Picture 3" descr="Table 9: Percent change in post-bypass mPAP (mPAP &gt; 50%mS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400040" cy="2675789"/>
                    </a:xfrm>
                    <a:prstGeom prst="rect">
                      <a:avLst/>
                    </a:prstGeom>
                  </pic:spPr>
                </pic:pic>
              </a:graphicData>
            </a:graphic>
          </wp:inline>
        </w:drawing>
      </w:r>
    </w:p>
    <w:p w14:paraId="0575D876" w14:textId="77777777" w:rsidR="00300485" w:rsidRPr="004379EA" w:rsidRDefault="00300485" w:rsidP="00300485">
      <w:pPr>
        <w:pStyle w:val="Numberbullet0"/>
        <w:numPr>
          <w:ilvl w:val="0"/>
          <w:numId w:val="17"/>
        </w:numPr>
      </w:pPr>
      <w:r w:rsidRPr="004379EA">
        <w:t>Russell et al (2000)</w:t>
      </w:r>
      <w:r w:rsidR="00FB0181" w:rsidRPr="00FB0181">
        <w:rPr>
          <w:vertAlign w:val="superscript"/>
        </w:rPr>
        <w:fldChar w:fldCharType="begin"/>
      </w:r>
      <w:r w:rsidR="00FB0181" w:rsidRPr="00FB0181">
        <w:rPr>
          <w:vertAlign w:val="superscript"/>
        </w:rPr>
        <w:instrText xml:space="preserve"> NOTEREF _Ref477536594 \h </w:instrText>
      </w:r>
      <w:r w:rsidR="00FB0181">
        <w:rPr>
          <w:vertAlign w:val="superscript"/>
        </w:rPr>
        <w:instrText xml:space="preserve"> \* MERGEFORMAT </w:instrText>
      </w:r>
      <w:r w:rsidR="00FB0181" w:rsidRPr="00FB0181">
        <w:rPr>
          <w:vertAlign w:val="superscript"/>
        </w:rPr>
      </w:r>
      <w:r w:rsidR="00FB0181" w:rsidRPr="00FB0181">
        <w:rPr>
          <w:vertAlign w:val="superscript"/>
        </w:rPr>
        <w:fldChar w:fldCharType="separate"/>
      </w:r>
      <w:r w:rsidR="006D3007">
        <w:rPr>
          <w:vertAlign w:val="superscript"/>
        </w:rPr>
        <w:t>12</w:t>
      </w:r>
      <w:r w:rsidR="00FB0181" w:rsidRPr="00FB0181">
        <w:rPr>
          <w:vertAlign w:val="superscript"/>
        </w:rPr>
        <w:fldChar w:fldCharType="end"/>
      </w:r>
      <w:r w:rsidRPr="004379EA">
        <w:t xml:space="preserve"> performed a subgroup analysis in which they assessed efficacy in 13 subjects who emerged from bypass with </w:t>
      </w:r>
      <w:proofErr w:type="spellStart"/>
      <w:r w:rsidR="00E3550D">
        <w:t>mPAP</w:t>
      </w:r>
      <w:proofErr w:type="spellEnd"/>
      <w:r w:rsidRPr="004379EA">
        <w:t xml:space="preserve"> </w:t>
      </w:r>
      <w:r>
        <w:t>&gt; 5</w:t>
      </w:r>
      <w:r w:rsidRPr="004379EA">
        <w:t xml:space="preserve">0% </w:t>
      </w:r>
      <w:proofErr w:type="spellStart"/>
      <w:r w:rsidR="00E3550D">
        <w:t>mSAP</w:t>
      </w:r>
      <w:proofErr w:type="spellEnd"/>
      <w:r w:rsidRPr="004379EA">
        <w:t xml:space="preserve">, and the significant efficacy results cited in the abstract were confined to this subgroup. </w:t>
      </w:r>
      <w:proofErr w:type="gramStart"/>
      <w:r w:rsidRPr="004379EA">
        <w:t>Was</w:t>
      </w:r>
      <w:proofErr w:type="gramEnd"/>
      <w:r w:rsidRPr="004379EA">
        <w:t xml:space="preserve"> this analysis and the precise definition of the subgroup declared prospectively, or was the analysis performed post hoc in response to the results?</w:t>
      </w:r>
    </w:p>
    <w:p w14:paraId="14FDCA16" w14:textId="77777777" w:rsidR="00300485" w:rsidRPr="004379EA" w:rsidRDefault="00300485" w:rsidP="00300485">
      <w:pPr>
        <w:pStyle w:val="Numberbullet0"/>
        <w:numPr>
          <w:ilvl w:val="0"/>
          <w:numId w:val="17"/>
        </w:numPr>
      </w:pPr>
      <w:r w:rsidRPr="004379EA">
        <w:t xml:space="preserve">What was the statistical power of the study performed by </w:t>
      </w:r>
      <w:proofErr w:type="spellStart"/>
      <w:r w:rsidRPr="004379EA">
        <w:t>Kirbas</w:t>
      </w:r>
      <w:proofErr w:type="spellEnd"/>
      <w:r w:rsidRPr="004379EA">
        <w:t xml:space="preserve"> et al (2012)?</w:t>
      </w:r>
      <w:r w:rsidR="00FB0181" w:rsidRPr="00FB0181">
        <w:rPr>
          <w:vertAlign w:val="superscript"/>
        </w:rPr>
        <w:fldChar w:fldCharType="begin"/>
      </w:r>
      <w:r w:rsidR="00FB0181" w:rsidRPr="00FB0181">
        <w:rPr>
          <w:vertAlign w:val="superscript"/>
        </w:rPr>
        <w:instrText xml:space="preserve"> NOTEREF _Ref477535765 \h </w:instrText>
      </w:r>
      <w:r w:rsidR="00FB0181">
        <w:rPr>
          <w:vertAlign w:val="superscript"/>
        </w:rPr>
        <w:instrText xml:space="preserve"> \* MERGEFORMAT </w:instrText>
      </w:r>
      <w:r w:rsidR="00FB0181" w:rsidRPr="00FB0181">
        <w:rPr>
          <w:vertAlign w:val="superscript"/>
        </w:rPr>
      </w:r>
      <w:r w:rsidR="00FB0181" w:rsidRPr="00FB0181">
        <w:rPr>
          <w:vertAlign w:val="superscript"/>
        </w:rPr>
        <w:fldChar w:fldCharType="separate"/>
      </w:r>
      <w:r w:rsidR="006D3007">
        <w:rPr>
          <w:vertAlign w:val="superscript"/>
        </w:rPr>
        <w:t>4</w:t>
      </w:r>
      <w:r w:rsidR="00FB0181" w:rsidRPr="00FB0181">
        <w:rPr>
          <w:vertAlign w:val="superscript"/>
        </w:rPr>
        <w:fldChar w:fldCharType="end"/>
      </w:r>
    </w:p>
    <w:p w14:paraId="673E6FB4" w14:textId="77777777" w:rsidR="00300485" w:rsidRPr="004379EA" w:rsidRDefault="00300485" w:rsidP="00300485">
      <w:pPr>
        <w:pStyle w:val="Numberbullet0"/>
        <w:numPr>
          <w:ilvl w:val="0"/>
          <w:numId w:val="17"/>
        </w:numPr>
      </w:pPr>
      <w:r w:rsidRPr="004379EA">
        <w:t xml:space="preserve">What were the </w:t>
      </w:r>
      <w:r>
        <w:t>between group</w:t>
      </w:r>
      <w:r w:rsidRPr="004379EA">
        <w:t xml:space="preserve"> differences demonstrated by </w:t>
      </w:r>
      <w:proofErr w:type="spellStart"/>
      <w:r w:rsidRPr="004379EA">
        <w:t>Fattouch</w:t>
      </w:r>
      <w:proofErr w:type="spellEnd"/>
      <w:r w:rsidRPr="004379EA">
        <w:t xml:space="preserve"> et al (2005)?</w:t>
      </w:r>
      <w:r w:rsidR="00FB0181" w:rsidRPr="00FB0181">
        <w:rPr>
          <w:vertAlign w:val="superscript"/>
        </w:rPr>
        <w:fldChar w:fldCharType="begin"/>
      </w:r>
      <w:r w:rsidR="00FB0181" w:rsidRPr="00FB0181">
        <w:rPr>
          <w:vertAlign w:val="superscript"/>
        </w:rPr>
        <w:instrText xml:space="preserve"> NOTEREF _Ref477772393 \h </w:instrText>
      </w:r>
      <w:r w:rsidR="00FB0181">
        <w:rPr>
          <w:vertAlign w:val="superscript"/>
        </w:rPr>
        <w:instrText xml:space="preserve"> \* MERGEFORMAT </w:instrText>
      </w:r>
      <w:r w:rsidR="00FB0181" w:rsidRPr="00FB0181">
        <w:rPr>
          <w:vertAlign w:val="superscript"/>
        </w:rPr>
      </w:r>
      <w:r w:rsidR="00FB0181" w:rsidRPr="00FB0181">
        <w:rPr>
          <w:vertAlign w:val="superscript"/>
        </w:rPr>
        <w:fldChar w:fldCharType="separate"/>
      </w:r>
      <w:r w:rsidR="006D3007">
        <w:rPr>
          <w:vertAlign w:val="superscript"/>
        </w:rPr>
        <w:t>18</w:t>
      </w:r>
      <w:r w:rsidR="00FB0181" w:rsidRPr="00FB0181">
        <w:rPr>
          <w:vertAlign w:val="superscript"/>
        </w:rPr>
        <w:fldChar w:fldCharType="end"/>
      </w:r>
      <w:r w:rsidRPr="004379EA">
        <w:t xml:space="preserve"> What did the ANOVA demonstrate?</w:t>
      </w:r>
    </w:p>
    <w:p w14:paraId="615031B1" w14:textId="77777777" w:rsidR="00300485" w:rsidRPr="004379EA" w:rsidRDefault="00300485" w:rsidP="00300485">
      <w:pPr>
        <w:pStyle w:val="Numberbullet0"/>
        <w:numPr>
          <w:ilvl w:val="0"/>
          <w:numId w:val="17"/>
        </w:numPr>
      </w:pPr>
      <w:r w:rsidRPr="004379EA">
        <w:t xml:space="preserve">What drugs at what doses were administered in the study described by </w:t>
      </w:r>
      <w:proofErr w:type="spellStart"/>
      <w:r w:rsidRPr="004379EA">
        <w:t>Fattouch</w:t>
      </w:r>
      <w:proofErr w:type="spellEnd"/>
      <w:r w:rsidRPr="004379EA">
        <w:t xml:space="preserve"> et al (2006)?</w:t>
      </w:r>
      <w:r w:rsidR="00FB0181" w:rsidRPr="00FB0181">
        <w:rPr>
          <w:vertAlign w:val="superscript"/>
        </w:rPr>
        <w:fldChar w:fldCharType="begin"/>
      </w:r>
      <w:r w:rsidR="00FB0181" w:rsidRPr="00FB0181">
        <w:rPr>
          <w:vertAlign w:val="superscript"/>
        </w:rPr>
        <w:instrText xml:space="preserve"> NOTEREF _Ref477772407 \h </w:instrText>
      </w:r>
      <w:r w:rsidR="00FB0181">
        <w:rPr>
          <w:vertAlign w:val="superscript"/>
        </w:rPr>
        <w:instrText xml:space="preserve"> \* MERGEFORMAT </w:instrText>
      </w:r>
      <w:r w:rsidR="00FB0181" w:rsidRPr="00FB0181">
        <w:rPr>
          <w:vertAlign w:val="superscript"/>
        </w:rPr>
      </w:r>
      <w:r w:rsidR="00FB0181" w:rsidRPr="00FB0181">
        <w:rPr>
          <w:vertAlign w:val="superscript"/>
        </w:rPr>
        <w:fldChar w:fldCharType="separate"/>
      </w:r>
      <w:r w:rsidR="006D3007">
        <w:rPr>
          <w:vertAlign w:val="superscript"/>
        </w:rPr>
        <w:t>19</w:t>
      </w:r>
      <w:r w:rsidR="00FB0181" w:rsidRPr="00FB0181">
        <w:rPr>
          <w:vertAlign w:val="superscript"/>
        </w:rPr>
        <w:fldChar w:fldCharType="end"/>
      </w:r>
    </w:p>
    <w:p w14:paraId="5C8F4351" w14:textId="77777777" w:rsidR="00300485" w:rsidRPr="00605AD4" w:rsidRDefault="00300485" w:rsidP="00605AD4">
      <w:r w:rsidRPr="004379EA">
        <w:lastRenderedPageBreak/>
        <w:t>Several authoritative bodies have endorsed the off-label use of iNO for the proposed indication, so additional expert input is not required.</w:t>
      </w:r>
    </w:p>
    <w:p w14:paraId="7F166977" w14:textId="63A872E4" w:rsidR="00605AD4" w:rsidRPr="00605AD4" w:rsidRDefault="00605AD4" w:rsidP="00605AD4">
      <w:pPr>
        <w:pStyle w:val="Heading3"/>
        <w:rPr>
          <w:rFonts w:eastAsia="Cambria"/>
        </w:rPr>
      </w:pPr>
      <w:bookmarkStart w:id="121" w:name="_Toc483899422"/>
      <w:r w:rsidRPr="00605AD4">
        <w:rPr>
          <w:rFonts w:eastAsia="Cambria"/>
        </w:rPr>
        <w:t xml:space="preserve">Second </w:t>
      </w:r>
      <w:r w:rsidR="00331CFC" w:rsidRPr="00605AD4">
        <w:rPr>
          <w:rFonts w:eastAsia="Cambria"/>
        </w:rPr>
        <w:t xml:space="preserve">round evaluation </w:t>
      </w:r>
      <w:r w:rsidRPr="00605AD4">
        <w:rPr>
          <w:rFonts w:eastAsia="Cambria"/>
        </w:rPr>
        <w:t>of clinical data submitted in response to questions</w:t>
      </w:r>
      <w:bookmarkEnd w:id="121"/>
    </w:p>
    <w:p w14:paraId="19D901C7" w14:textId="77777777" w:rsidR="006136D7" w:rsidRPr="00605AD4" w:rsidRDefault="006136D7" w:rsidP="006136D7">
      <w:r>
        <w:t>For details of the sponsor’s responses and the evaluation of these responses please see Attachment 2.</w:t>
      </w:r>
    </w:p>
    <w:p w14:paraId="3525F966" w14:textId="524A867E" w:rsidR="00605AD4" w:rsidRPr="00605AD4" w:rsidRDefault="00605AD4" w:rsidP="00546154">
      <w:pPr>
        <w:pStyle w:val="Heading3"/>
        <w:rPr>
          <w:rFonts w:eastAsia="Cambria"/>
        </w:rPr>
      </w:pPr>
      <w:bookmarkStart w:id="122" w:name="_Toc483899423"/>
      <w:r w:rsidRPr="00605AD4">
        <w:rPr>
          <w:rFonts w:eastAsia="Cambria"/>
        </w:rPr>
        <w:t xml:space="preserve">Second </w:t>
      </w:r>
      <w:r w:rsidR="00331CFC" w:rsidRPr="00605AD4">
        <w:rPr>
          <w:rFonts w:eastAsia="Cambria"/>
        </w:rPr>
        <w:t>round benefit-risk assessment</w:t>
      </w:r>
      <w:bookmarkEnd w:id="122"/>
    </w:p>
    <w:p w14:paraId="0CDD8A2F" w14:textId="0AF7A1AC" w:rsidR="00300485" w:rsidRPr="00692610" w:rsidRDefault="00300485" w:rsidP="00300485">
      <w:r w:rsidRPr="00692610">
        <w:t xml:space="preserve">The </w:t>
      </w:r>
      <w:r>
        <w:t>sponsor</w:t>
      </w:r>
      <w:r w:rsidRPr="00692610">
        <w:t xml:space="preserve">’s responses have clarified a number of important issues in relation to the studies by Miller et al and Russell et al, revealing that both of these studies, flagged as pivotal by the </w:t>
      </w:r>
      <w:r>
        <w:t>sponsor</w:t>
      </w:r>
      <w:r w:rsidRPr="00692610">
        <w:t>, contained methodological flaws. These flaws mean that the proposed benefits of iNO are less statistically certain than they at first seemed, but there is no strong reason to suspect that the overall benefit-risk balance is substantially different to that described in the first round clinical evaluation report. That is, estimations of the benefit-risk balance suggest a similar overall balance, but the estimate is now surrounded by greater uncertainty.</w:t>
      </w:r>
    </w:p>
    <w:p w14:paraId="2A0AF588" w14:textId="77777777" w:rsidR="00300485" w:rsidRPr="00692610" w:rsidRDefault="00300485" w:rsidP="00300485">
      <w:r w:rsidRPr="00692610">
        <w:t>In the case of Miller et al, the study was terminated early in response to an interim analysis showing it had achieved statistical significance; this decision means that the study had multiple potential ending times, multiple chances to achieve significance, and therefore stands in need of adjustment for multiplicity. No such adjustment was performed, and the borderline nature of the primary result (</w:t>
      </w:r>
      <w:r>
        <w:t>p = 0</w:t>
      </w:r>
      <w:r w:rsidRPr="00692610">
        <w:t xml:space="preserve">.045) raises the distinct possibility that the positive outcome of this study would have been negated if such an adjustment had been performed. From a purist perspective, the study should therefore be considered negative, unless the </w:t>
      </w:r>
      <w:r>
        <w:t>sponsor</w:t>
      </w:r>
      <w:r w:rsidRPr="00692610">
        <w:t xml:space="preserve"> or the original authors perform a formal statistical analysis showing that the p-value remains significant after an appropriate adjustment.</w:t>
      </w:r>
    </w:p>
    <w:p w14:paraId="017A2EB0" w14:textId="68FA91DA" w:rsidR="00300485" w:rsidRDefault="00300485" w:rsidP="00300485">
      <w:r w:rsidRPr="00692610">
        <w:t xml:space="preserve">The </w:t>
      </w:r>
      <w:r>
        <w:t>sponsor</w:t>
      </w:r>
      <w:r w:rsidRPr="00692610">
        <w:t xml:space="preserve"> also </w:t>
      </w:r>
      <w:r w:rsidR="004507BC">
        <w:t xml:space="preserve">agreed </w:t>
      </w:r>
      <w:r w:rsidRPr="00692610">
        <w:t>that they misinterpreted the secondary endpoints of M</w:t>
      </w:r>
      <w:r w:rsidR="00FB0181">
        <w:t>iller et </w:t>
      </w:r>
      <w:r w:rsidRPr="00692610">
        <w:t xml:space="preserve">al, but this makes no difference to the benefit-risk balance because it was assumed in the first round report that they were mistaken, and the </w:t>
      </w:r>
      <w:r w:rsidR="00FB0181">
        <w:t xml:space="preserve">first round clinical </w:t>
      </w:r>
      <w:r w:rsidR="004507BC">
        <w:t>evaluation</w:t>
      </w:r>
      <w:r w:rsidRPr="00692610">
        <w:t xml:space="preserve"> adopted the correct interpretation</w:t>
      </w:r>
      <w:r>
        <w:t>.</w:t>
      </w:r>
    </w:p>
    <w:p w14:paraId="475DC5F7" w14:textId="77777777" w:rsidR="00300485" w:rsidRPr="00692610" w:rsidRDefault="00300485" w:rsidP="00300485">
      <w:r w:rsidRPr="00692610">
        <w:t xml:space="preserve">In the case of Russell et al, the </w:t>
      </w:r>
      <w:r>
        <w:t>sponsor</w:t>
      </w:r>
      <w:r w:rsidRPr="00692610">
        <w:t xml:space="preserve"> has passed on assurances from the original author that this study’s subgroup analysis was planned prospectively. No documentation was provided to back this up. This is a potential problem because positive results were only obtained in one small subgroup, subjects with </w:t>
      </w:r>
      <w:r w:rsidR="00411E95" w:rsidRPr="00692610">
        <w:t xml:space="preserve">elevated </w:t>
      </w:r>
      <w:r w:rsidR="00411E95" w:rsidRPr="0099058E">
        <w:t>mean pulmonary artery pressure</w:t>
      </w:r>
      <w:r w:rsidR="00411E95">
        <w:rPr>
          <w:highlight w:val="yellow"/>
        </w:rPr>
        <w:t xml:space="preserve"> </w:t>
      </w:r>
      <w:r w:rsidR="00411E95" w:rsidRPr="00411E95">
        <w:t>(</w:t>
      </w:r>
      <w:proofErr w:type="spellStart"/>
      <w:r w:rsidR="00E3550D" w:rsidRPr="00411E95">
        <w:t>mPAP</w:t>
      </w:r>
      <w:proofErr w:type="spellEnd"/>
      <w:r w:rsidR="00411E95" w:rsidRPr="00411E95">
        <w:t>)</w:t>
      </w:r>
      <w:r w:rsidRPr="00411E95">
        <w:t xml:space="preserve"> post-surgery</w:t>
      </w:r>
      <w:r w:rsidRPr="00692610">
        <w:t>. Given that this subgroup would be expected to be the main target group for iNO on the basis of other studies that have reached similar conclusions, this methodological flaw does not substantially change the benefit-risk balance, though it does suggest that the study lacked rigour.</w:t>
      </w:r>
      <w:r>
        <w:t xml:space="preserve"> </w:t>
      </w:r>
      <w:r w:rsidRPr="00692610">
        <w:t>The original authors were also unable to explain the p-values declared in a secondary analysis, adding to the concerns about the rigour of this paper and suggesting it should be considered merely supportive. On balance, given the large number of other papers reaching similar conclusions, this does not c</w:t>
      </w:r>
      <w:r>
        <w:t>hange the benefit-risk balance.</w:t>
      </w:r>
    </w:p>
    <w:p w14:paraId="73807F21" w14:textId="77777777" w:rsidR="00300485" w:rsidRPr="00692610" w:rsidRDefault="00300485" w:rsidP="00300485">
      <w:r w:rsidRPr="00692610">
        <w:t xml:space="preserve">The </w:t>
      </w:r>
      <w:r>
        <w:t>sponsor</w:t>
      </w:r>
      <w:r w:rsidRPr="00692610">
        <w:t xml:space="preserve"> was unable to obtain information from the original authors in regard to three minor papers, but these papers</w:t>
      </w:r>
      <w:r>
        <w:t xml:space="preserve"> </w:t>
      </w:r>
      <w:r w:rsidRPr="00692610">
        <w:t xml:space="preserve">did not contribute much to the </w:t>
      </w:r>
      <w:r>
        <w:t>benefit-risk assessment anyway.</w:t>
      </w:r>
    </w:p>
    <w:p w14:paraId="2399F799" w14:textId="77777777" w:rsidR="00300485" w:rsidRPr="00692610" w:rsidRDefault="00300485" w:rsidP="00300485">
      <w:r w:rsidRPr="00692610">
        <w:t xml:space="preserve">With respect to safety issues, the </w:t>
      </w:r>
      <w:r>
        <w:t>sponsor</w:t>
      </w:r>
      <w:r w:rsidRPr="00692610">
        <w:t xml:space="preserve"> has provided arguments suggesting that the risk of infection is not increased by iNO, and that the RMP does not need to mention theoretical concerns about the potential effects of iNO on the immune system. The </w:t>
      </w:r>
      <w:r>
        <w:t>e</w:t>
      </w:r>
      <w:r w:rsidRPr="00692610">
        <w:t xml:space="preserve">valuator concedes </w:t>
      </w:r>
      <w:r w:rsidRPr="00692610">
        <w:lastRenderedPageBreak/>
        <w:t>that there is no positive clinical evidence of an immunosuppressive effect, but nonetheless concludes that the current clinical data is inadequate to address this risk. Some mention should be made of this theoretical issue in the RMP.</w:t>
      </w:r>
    </w:p>
    <w:p w14:paraId="64BC5D8E" w14:textId="77777777" w:rsidR="00300485" w:rsidRPr="00692610" w:rsidRDefault="00300485" w:rsidP="00300485">
      <w:r w:rsidRPr="00692610">
        <w:t xml:space="preserve">In conclusion, the benefits and risks outlined in the </w:t>
      </w:r>
      <w:r w:rsidR="00F861F0">
        <w:t xml:space="preserve">first round clinical </w:t>
      </w:r>
      <w:r w:rsidR="00411E95">
        <w:t>evaluation</w:t>
      </w:r>
      <w:r>
        <w:t xml:space="preserve"> </w:t>
      </w:r>
      <w:r w:rsidRPr="00692610">
        <w:t>appear unchanged by th</w:t>
      </w:r>
      <w:r>
        <w:t>e new data, and remain positive</w:t>
      </w:r>
      <w:r w:rsidRPr="00692610">
        <w:t xml:space="preserve">. The new data reveal that no individual pivotal study demonstrated the efficacy of iNO with complete rigour, and, in particular, the response to </w:t>
      </w:r>
      <w:r>
        <w:t>c</w:t>
      </w:r>
      <w:r w:rsidRPr="00692610">
        <w:t xml:space="preserve">linical Question 3 raises concerns that the main study by Miller et al should be considered negative, from a purist statistical perspective. Despite this, the flaws in the individual studies are offset by the </w:t>
      </w:r>
      <w:r>
        <w:t>following:</w:t>
      </w:r>
    </w:p>
    <w:p w14:paraId="295DFA89" w14:textId="6FBA34CE" w:rsidR="00300485" w:rsidRPr="00411E95" w:rsidRDefault="00300485" w:rsidP="00411E95">
      <w:pPr>
        <w:pStyle w:val="ListBullet"/>
      </w:pPr>
      <w:r w:rsidRPr="00411E95">
        <w:t xml:space="preserve">Multiple studies across multiple institutions, using both clinical and haemodynamic </w:t>
      </w:r>
      <w:proofErr w:type="gramStart"/>
      <w:r w:rsidRPr="00411E95">
        <w:t>endpoints,</w:t>
      </w:r>
      <w:proofErr w:type="gramEnd"/>
      <w:r w:rsidRPr="00411E95">
        <w:t xml:space="preserve"> have all been essentially concordant</w:t>
      </w:r>
      <w:r w:rsidR="00F54198">
        <w:t>.</w:t>
      </w:r>
    </w:p>
    <w:p w14:paraId="15612D78" w14:textId="5588B028" w:rsidR="00300485" w:rsidRPr="00411E95" w:rsidRDefault="00300485" w:rsidP="00411E95">
      <w:pPr>
        <w:pStyle w:val="ListBullet"/>
      </w:pPr>
      <w:r w:rsidRPr="00411E95">
        <w:t>The drug has been used off-label for a couple of decades for the proposed indication, with no concerns being raised about lack of efficacy</w:t>
      </w:r>
      <w:r w:rsidR="00F54198">
        <w:t>.</w:t>
      </w:r>
    </w:p>
    <w:p w14:paraId="4C1A03F3" w14:textId="77777777" w:rsidR="00300485" w:rsidRPr="00692610" w:rsidRDefault="00300485" w:rsidP="00300485">
      <w:pPr>
        <w:pStyle w:val="ListBullet"/>
      </w:pPr>
      <w:r w:rsidRPr="00692610">
        <w:t>Experi</w:t>
      </w:r>
      <w:r w:rsidR="00F861F0">
        <w:t xml:space="preserve">enced clinicians have been well </w:t>
      </w:r>
      <w:r w:rsidRPr="00692610">
        <w:t>placed to observe its use directly in a closely monitored intensive care setting, so the safety issues are largely known.</w:t>
      </w:r>
    </w:p>
    <w:p w14:paraId="1D165354" w14:textId="77777777" w:rsidR="00300485" w:rsidRPr="00692610" w:rsidRDefault="00300485" w:rsidP="00300485">
      <w:pPr>
        <w:pStyle w:val="ListBullet"/>
      </w:pPr>
      <w:r w:rsidRPr="00692610">
        <w:t>Several expert bodies have supported its use after considering much the same evidence as evaluated in this report.</w:t>
      </w:r>
    </w:p>
    <w:p w14:paraId="7C876D04" w14:textId="77777777" w:rsidR="00300485" w:rsidRPr="00804824" w:rsidRDefault="00300485" w:rsidP="00300485">
      <w:pPr>
        <w:pStyle w:val="ListBullet"/>
      </w:pPr>
      <w:r w:rsidRPr="00804824">
        <w:t>Thus, despite the flaws of the individual submitted studies, the balance of evidence falls narrowly in favour of registration.</w:t>
      </w:r>
    </w:p>
    <w:p w14:paraId="726E38CC" w14:textId="77777777" w:rsidR="00300485" w:rsidRPr="00804824" w:rsidRDefault="00300485" w:rsidP="00300485">
      <w:pPr>
        <w:pStyle w:val="ListBullet"/>
      </w:pPr>
      <w:r w:rsidRPr="00804824">
        <w:t>Experienced clinicians have been well-placed to observe its use directly in a closely monitored intensive care setting, so the safety issues are largely known.</w:t>
      </w:r>
    </w:p>
    <w:p w14:paraId="0985DE2D" w14:textId="77777777" w:rsidR="00300485" w:rsidRPr="00804824" w:rsidRDefault="00300485" w:rsidP="00300485">
      <w:pPr>
        <w:pStyle w:val="ListBullet"/>
      </w:pPr>
      <w:r w:rsidRPr="00804824">
        <w:t>Several expert bodies have supported its use after considering much the same evidence as evaluated in this report.</w:t>
      </w:r>
    </w:p>
    <w:p w14:paraId="6FA925C2" w14:textId="77777777" w:rsidR="00300485" w:rsidRPr="00586F98" w:rsidRDefault="00300485" w:rsidP="00300485">
      <w:r w:rsidRPr="00692610">
        <w:t>Thus, despite the flaws of the individual submitted studies, the balance of evidence falls narr</w:t>
      </w:r>
      <w:r>
        <w:t>owly in favour of registration.</w:t>
      </w:r>
    </w:p>
    <w:p w14:paraId="471A7345" w14:textId="77777777" w:rsidR="00300485" w:rsidRPr="00300485" w:rsidRDefault="00300485" w:rsidP="00300485">
      <w:pPr>
        <w:pStyle w:val="Heading4"/>
      </w:pPr>
      <w:bookmarkStart w:id="123" w:name="_Toc476145563"/>
      <w:r w:rsidRPr="00300485">
        <w:t>Second round recommendation regarding authorisation</w:t>
      </w:r>
      <w:bookmarkEnd w:id="123"/>
    </w:p>
    <w:p w14:paraId="5CC4F834" w14:textId="77777777" w:rsidR="00300485" w:rsidRPr="00300485" w:rsidRDefault="00300485" w:rsidP="00300485">
      <w:r w:rsidRPr="00300485">
        <w:t>The application to register iNO should be approved, following appropriate revision of the PI and RMP.</w:t>
      </w:r>
    </w:p>
    <w:p w14:paraId="0B72D070" w14:textId="77777777" w:rsidR="00300485" w:rsidRPr="00300485" w:rsidRDefault="00300485" w:rsidP="00300485">
      <w:r w:rsidRPr="00300485">
        <w:t>The revisions to the PI should include those already recommended in the first round clinical evaluation, which the sponsor has accepted.</w:t>
      </w:r>
    </w:p>
    <w:p w14:paraId="4EB32198" w14:textId="1EC4CEA9" w:rsidR="00300485" w:rsidRPr="00300485" w:rsidRDefault="00300485" w:rsidP="00300485">
      <w:r w:rsidRPr="00300485">
        <w:t>A new statement should be added to the PI that acknowledges the early termination of the pivotal study by Miller et al and the resulting uncertainty about the statistical significance of the cited results.</w:t>
      </w:r>
      <w:r w:rsidR="004507BC">
        <w:rPr>
          <w:rStyle w:val="FootnoteReference"/>
        </w:rPr>
        <w:footnoteReference w:id="35"/>
      </w:r>
    </w:p>
    <w:p w14:paraId="491C93F1" w14:textId="28FB46C7" w:rsidR="00300485" w:rsidRPr="00300485" w:rsidRDefault="00300485" w:rsidP="00300485">
      <w:r w:rsidRPr="00300485">
        <w:t>The proposed wording of the extension of the indication is acceptable, and it is consistent with the submitted evidence. It could be argued that a formal document should not contain the split infinitive, “to selectively decrease”, but the current evaluator feels that split infin</w:t>
      </w:r>
      <w:r w:rsidR="00DA656C">
        <w:t>i</w:t>
      </w:r>
      <w:r w:rsidRPr="00300485">
        <w:t>tives have become part of modern English, and no changes are suggested. Similarly, it could be argued that “improve” is also part of an infinitive, and it should therefore be replaced by “to improve.”</w:t>
      </w:r>
    </w:p>
    <w:p w14:paraId="68646894" w14:textId="77777777" w:rsidR="00300485" w:rsidRPr="00300485" w:rsidRDefault="00300485" w:rsidP="00300485">
      <w:pPr>
        <w:ind w:left="720"/>
        <w:rPr>
          <w:i/>
        </w:rPr>
      </w:pPr>
      <w:r w:rsidRPr="00300485">
        <w:t>“</w:t>
      </w:r>
      <w:r w:rsidRPr="00300485">
        <w:rPr>
          <w:i/>
        </w:rPr>
        <w:t>INOmax, in conjunction with ventilatory support and other appropriate agents, is indicated:</w:t>
      </w:r>
    </w:p>
    <w:p w14:paraId="6F0CE269" w14:textId="77777777" w:rsidR="00300485" w:rsidRPr="00300485" w:rsidRDefault="00300485" w:rsidP="00300485">
      <w:pPr>
        <w:ind w:left="720"/>
        <w:rPr>
          <w:i/>
        </w:rPr>
      </w:pPr>
      <w:proofErr w:type="gramStart"/>
      <w:r w:rsidRPr="00300485">
        <w:rPr>
          <w:i/>
        </w:rPr>
        <w:lastRenderedPageBreak/>
        <w:t>for</w:t>
      </w:r>
      <w:proofErr w:type="gramEnd"/>
      <w:r w:rsidRPr="00300485">
        <w:rPr>
          <w:i/>
        </w:rPr>
        <w:t xml:space="preserve"> the treatment of term and near-term (&gt; 34 weeks) neonates with hypoxic respiratory failure associated with clinical or echocardiographic evidence of pulmonary hypertension, in order to improve oxygenation and to reduce the need for extracorporeal membrane oxygenation.</w:t>
      </w:r>
    </w:p>
    <w:p w14:paraId="5C56BE85" w14:textId="77777777" w:rsidR="00605AD4" w:rsidRPr="00300485" w:rsidRDefault="00300485" w:rsidP="00300485">
      <w:pPr>
        <w:ind w:left="720"/>
        <w:rPr>
          <w:i/>
        </w:rPr>
      </w:pPr>
      <w:proofErr w:type="gramStart"/>
      <w:r w:rsidRPr="00300485">
        <w:rPr>
          <w:i/>
        </w:rPr>
        <w:t>as</w:t>
      </w:r>
      <w:proofErr w:type="gramEnd"/>
      <w:r w:rsidRPr="00300485">
        <w:rPr>
          <w:i/>
        </w:rPr>
        <w:t xml:space="preserve"> part of the treatment of peri- and post-operative pulmonary hypertension in newborn infants, infants and toddlers, children and adolescents, ages 0-17 years in conjunction with heart surgery, in order to selectively decrease pulmonary arterial pressure and improve right ventricular function and oxygenation.”</w:t>
      </w:r>
    </w:p>
    <w:p w14:paraId="06D7CF35" w14:textId="77777777" w:rsidR="008E7846" w:rsidRPr="00E41208" w:rsidRDefault="008E7846" w:rsidP="00546154">
      <w:pPr>
        <w:pStyle w:val="Heading2"/>
      </w:pPr>
      <w:bookmarkStart w:id="124" w:name="_Toc483899424"/>
      <w:r w:rsidRPr="00E41208">
        <w:t xml:space="preserve">V. Pharmacovigilance </w:t>
      </w:r>
      <w:r>
        <w:t>f</w:t>
      </w:r>
      <w:r w:rsidRPr="00E41208">
        <w:t>indings</w:t>
      </w:r>
      <w:bookmarkEnd w:id="104"/>
      <w:bookmarkEnd w:id="105"/>
      <w:bookmarkEnd w:id="124"/>
    </w:p>
    <w:p w14:paraId="2034E465" w14:textId="77777777" w:rsidR="008E7846" w:rsidRDefault="00386150" w:rsidP="008E7846">
      <w:pPr>
        <w:pStyle w:val="Heading3"/>
        <w:rPr>
          <w:lang w:eastAsia="en-AU"/>
        </w:rPr>
      </w:pPr>
      <w:bookmarkStart w:id="125" w:name="_Toc247691526"/>
      <w:bookmarkStart w:id="126" w:name="_Toc314842509"/>
      <w:bookmarkStart w:id="127" w:name="_Toc483899425"/>
      <w:r>
        <w:rPr>
          <w:lang w:eastAsia="en-AU"/>
        </w:rPr>
        <w:t>Risk m</w:t>
      </w:r>
      <w:r w:rsidR="008E7846">
        <w:rPr>
          <w:lang w:eastAsia="en-AU"/>
        </w:rPr>
        <w:t xml:space="preserve">anagement </w:t>
      </w:r>
      <w:r>
        <w:rPr>
          <w:lang w:eastAsia="en-AU"/>
        </w:rPr>
        <w:t>p</w:t>
      </w:r>
      <w:r w:rsidR="008E7846">
        <w:rPr>
          <w:lang w:eastAsia="en-AU"/>
        </w:rPr>
        <w:t>lan</w:t>
      </w:r>
      <w:bookmarkEnd w:id="125"/>
      <w:bookmarkEnd w:id="126"/>
      <w:bookmarkEnd w:id="127"/>
    </w:p>
    <w:p w14:paraId="282ABCC0" w14:textId="77777777" w:rsidR="008E7846" w:rsidRDefault="008E7846" w:rsidP="008E7846">
      <w:pPr>
        <w:rPr>
          <w:lang w:eastAsia="en-AU"/>
        </w:rPr>
      </w:pPr>
      <w:r>
        <w:rPr>
          <w:lang w:eastAsia="en-AU"/>
        </w:rPr>
        <w:t>The sponsor submitted a Risk Management Plan</w:t>
      </w:r>
      <w:r w:rsidR="006F25B8">
        <w:rPr>
          <w:lang w:eastAsia="en-AU"/>
        </w:rPr>
        <w:t xml:space="preserve"> </w:t>
      </w:r>
      <w:r w:rsidR="00366516">
        <w:t>EU-RMP version 2.0, dated 31 March 2014 (data lock point 31 March 2014), Australian Specific Annex version 1, dated 10 June 2014</w:t>
      </w:r>
      <w:r w:rsidRPr="006F25B8">
        <w:t xml:space="preserve"> </w:t>
      </w:r>
      <w:r>
        <w:rPr>
          <w:lang w:eastAsia="en-AU"/>
        </w:rPr>
        <w:t xml:space="preserve">which was reviewed by the </w:t>
      </w:r>
      <w:r w:rsidR="00FC1FCA">
        <w:rPr>
          <w:lang w:eastAsia="en-AU"/>
        </w:rPr>
        <w:t>RMP evaluator.</w:t>
      </w:r>
    </w:p>
    <w:p w14:paraId="0A97E539" w14:textId="77777777" w:rsidR="008E7846" w:rsidRDefault="003A7F6C" w:rsidP="008E7846">
      <w:pPr>
        <w:pStyle w:val="Heading4"/>
        <w:rPr>
          <w:lang w:eastAsia="en-AU"/>
        </w:rPr>
      </w:pPr>
      <w:r>
        <w:rPr>
          <w:lang w:eastAsia="en-AU"/>
        </w:rPr>
        <w:t>Safety s</w:t>
      </w:r>
      <w:r w:rsidR="008E7846">
        <w:rPr>
          <w:lang w:eastAsia="en-AU"/>
        </w:rPr>
        <w:t>pecification</w:t>
      </w:r>
    </w:p>
    <w:p w14:paraId="00417C86" w14:textId="77777777" w:rsidR="008E7846" w:rsidRDefault="008E7846" w:rsidP="008E7846">
      <w:pPr>
        <w:rPr>
          <w:lang w:eastAsia="en-AU"/>
        </w:rPr>
      </w:pPr>
      <w:r>
        <w:rPr>
          <w:lang w:eastAsia="en-AU"/>
        </w:rPr>
        <w:t>The</w:t>
      </w:r>
      <w:r w:rsidR="006F25B8">
        <w:rPr>
          <w:lang w:eastAsia="en-AU"/>
        </w:rPr>
        <w:t xml:space="preserve"> sponsor provided a summary of o</w:t>
      </w:r>
      <w:r>
        <w:rPr>
          <w:lang w:eastAsia="en-AU"/>
        </w:rPr>
        <w:t xml:space="preserve">ngoing safety </w:t>
      </w:r>
      <w:r w:rsidR="006F25B8">
        <w:rPr>
          <w:lang w:eastAsia="en-AU"/>
        </w:rPr>
        <w:t>c</w:t>
      </w:r>
      <w:r>
        <w:rPr>
          <w:lang w:eastAsia="en-AU"/>
        </w:rPr>
        <w:t xml:space="preserve">oncerns which are </w:t>
      </w:r>
      <w:r w:rsidRPr="004536B4">
        <w:rPr>
          <w:lang w:eastAsia="en-AU"/>
        </w:rPr>
        <w:t xml:space="preserve">shown at Table </w:t>
      </w:r>
      <w:r w:rsidR="004536B4" w:rsidRPr="004536B4">
        <w:rPr>
          <w:lang w:eastAsia="en-AU"/>
        </w:rPr>
        <w:t>10</w:t>
      </w:r>
      <w:r w:rsidRPr="004536B4">
        <w:rPr>
          <w:lang w:eastAsia="en-AU"/>
        </w:rPr>
        <w:t>.</w:t>
      </w:r>
    </w:p>
    <w:p w14:paraId="6B52D8B9" w14:textId="77777777" w:rsidR="00B02F24" w:rsidRDefault="00B02F24" w:rsidP="009A0B07">
      <w:pPr>
        <w:pStyle w:val="Tabletitle0"/>
        <w:rPr>
          <w:lang w:eastAsia="en-AU"/>
        </w:rPr>
      </w:pPr>
      <w:r w:rsidRPr="004536B4">
        <w:rPr>
          <w:lang w:eastAsia="en-AU"/>
        </w:rPr>
        <w:t xml:space="preserve">Table </w:t>
      </w:r>
      <w:r w:rsidR="004536B4" w:rsidRPr="004536B4">
        <w:rPr>
          <w:lang w:eastAsia="en-AU"/>
        </w:rPr>
        <w:t>10:</w:t>
      </w:r>
      <w:r w:rsidRPr="004536B4">
        <w:rPr>
          <w:lang w:eastAsia="en-AU"/>
        </w:rPr>
        <w:t xml:space="preserve"> Ongoing</w:t>
      </w:r>
      <w:r>
        <w:rPr>
          <w:lang w:eastAsia="en-AU"/>
        </w:rPr>
        <w:t xml:space="preserve"> safety concerns</w:t>
      </w:r>
    </w:p>
    <w:tbl>
      <w:tblPr>
        <w:tblStyle w:val="TableTGAblue"/>
        <w:tblW w:w="0" w:type="auto"/>
        <w:tblLook w:val="04A0" w:firstRow="1" w:lastRow="0" w:firstColumn="1" w:lastColumn="0" w:noHBand="0" w:noVBand="1"/>
      </w:tblPr>
      <w:tblGrid>
        <w:gridCol w:w="4360"/>
        <w:gridCol w:w="4360"/>
      </w:tblGrid>
      <w:tr w:rsidR="00366516" w14:paraId="2CDC83CB" w14:textId="77777777" w:rsidTr="00366516">
        <w:trPr>
          <w:cnfStyle w:val="100000000000" w:firstRow="1" w:lastRow="0" w:firstColumn="0" w:lastColumn="0" w:oddVBand="0" w:evenVBand="0" w:oddHBand="0" w:evenHBand="0" w:firstRowFirstColumn="0" w:firstRowLastColumn="0" w:lastRowFirstColumn="0" w:lastRowLastColumn="0"/>
        </w:trPr>
        <w:tc>
          <w:tcPr>
            <w:tcW w:w="4360" w:type="dxa"/>
          </w:tcPr>
          <w:p w14:paraId="64512C50" w14:textId="77777777" w:rsidR="00366516" w:rsidRDefault="00366516" w:rsidP="0092006A">
            <w:r>
              <w:t>Ongoing safety concerns</w:t>
            </w:r>
          </w:p>
        </w:tc>
        <w:tc>
          <w:tcPr>
            <w:tcW w:w="4360" w:type="dxa"/>
          </w:tcPr>
          <w:p w14:paraId="191DF213" w14:textId="77777777" w:rsidR="00366516" w:rsidRDefault="00366516" w:rsidP="0092006A"/>
        </w:tc>
      </w:tr>
      <w:tr w:rsidR="00366516" w14:paraId="5F4667CA" w14:textId="77777777" w:rsidTr="00366516">
        <w:tc>
          <w:tcPr>
            <w:tcW w:w="4360" w:type="dxa"/>
            <w:vMerge w:val="restart"/>
          </w:tcPr>
          <w:p w14:paraId="22B8C1C3" w14:textId="77777777" w:rsidR="00366516" w:rsidRDefault="00366516" w:rsidP="0092006A">
            <w:r>
              <w:t>Important identified risks</w:t>
            </w:r>
          </w:p>
        </w:tc>
        <w:tc>
          <w:tcPr>
            <w:tcW w:w="4360" w:type="dxa"/>
          </w:tcPr>
          <w:p w14:paraId="24EE2677" w14:textId="77777777" w:rsidR="00366516" w:rsidRDefault="00366516" w:rsidP="0092006A">
            <w:r>
              <w:t>methaemoglobinaemia</w:t>
            </w:r>
          </w:p>
        </w:tc>
      </w:tr>
      <w:tr w:rsidR="00366516" w14:paraId="4603BB9A" w14:textId="77777777" w:rsidTr="00366516">
        <w:tc>
          <w:tcPr>
            <w:tcW w:w="4360" w:type="dxa"/>
            <w:vMerge/>
          </w:tcPr>
          <w:p w14:paraId="2B0891F1" w14:textId="77777777" w:rsidR="00366516" w:rsidRDefault="00366516" w:rsidP="0092006A"/>
        </w:tc>
        <w:tc>
          <w:tcPr>
            <w:tcW w:w="4360" w:type="dxa"/>
          </w:tcPr>
          <w:p w14:paraId="02D39110" w14:textId="77777777" w:rsidR="00366516" w:rsidRDefault="00366516" w:rsidP="0092006A">
            <w:r>
              <w:t>Risk of acute cardiac failure with circularity collapse in certain patient populations</w:t>
            </w:r>
          </w:p>
          <w:p w14:paraId="0970C35F" w14:textId="77777777" w:rsidR="00366516" w:rsidRDefault="00366516" w:rsidP="0092006A">
            <w:r>
              <w:t>Risk of heart failure or pulmonary oedema in certain patient populations</w:t>
            </w:r>
          </w:p>
        </w:tc>
      </w:tr>
      <w:tr w:rsidR="00366516" w14:paraId="419442F8" w14:textId="77777777" w:rsidTr="00366516">
        <w:tc>
          <w:tcPr>
            <w:tcW w:w="4360" w:type="dxa"/>
            <w:vMerge/>
          </w:tcPr>
          <w:p w14:paraId="1840D43C" w14:textId="77777777" w:rsidR="00366516" w:rsidRDefault="00366516" w:rsidP="0092006A"/>
        </w:tc>
        <w:tc>
          <w:tcPr>
            <w:tcW w:w="4360" w:type="dxa"/>
          </w:tcPr>
          <w:p w14:paraId="0A1ACF6D" w14:textId="77777777" w:rsidR="00366516" w:rsidRDefault="00366516" w:rsidP="0092006A">
            <w:r>
              <w:t>Rebound reactions (pulmonary hypertension) with abrupt withdrawal</w:t>
            </w:r>
          </w:p>
        </w:tc>
      </w:tr>
      <w:tr w:rsidR="00366516" w14:paraId="041712B4" w14:textId="77777777" w:rsidTr="00366516">
        <w:tc>
          <w:tcPr>
            <w:tcW w:w="4360" w:type="dxa"/>
            <w:vMerge w:val="restart"/>
          </w:tcPr>
          <w:p w14:paraId="6FD9EAAC" w14:textId="77777777" w:rsidR="00366516" w:rsidRDefault="00366516" w:rsidP="0092006A">
            <w:r>
              <w:t>Important potential risks</w:t>
            </w:r>
          </w:p>
        </w:tc>
        <w:tc>
          <w:tcPr>
            <w:tcW w:w="4360" w:type="dxa"/>
          </w:tcPr>
          <w:p w14:paraId="160CCCBC" w14:textId="77777777" w:rsidR="00366516" w:rsidRDefault="00366516" w:rsidP="0092006A">
            <w:r>
              <w:t>NO</w:t>
            </w:r>
            <w:r w:rsidRPr="00EB7308">
              <w:rPr>
                <w:vertAlign w:val="subscript"/>
              </w:rPr>
              <w:t>2</w:t>
            </w:r>
            <w:r>
              <w:t xml:space="preserve"> formation</w:t>
            </w:r>
          </w:p>
        </w:tc>
      </w:tr>
      <w:tr w:rsidR="00366516" w14:paraId="1CBCB484" w14:textId="77777777" w:rsidTr="00366516">
        <w:tc>
          <w:tcPr>
            <w:tcW w:w="4360" w:type="dxa"/>
            <w:vMerge/>
          </w:tcPr>
          <w:p w14:paraId="04354508" w14:textId="77777777" w:rsidR="00366516" w:rsidRDefault="00366516" w:rsidP="0092006A"/>
        </w:tc>
        <w:tc>
          <w:tcPr>
            <w:tcW w:w="4360" w:type="dxa"/>
          </w:tcPr>
          <w:p w14:paraId="0AA5FBE2" w14:textId="77777777" w:rsidR="00366516" w:rsidRDefault="00366516" w:rsidP="0092006A">
            <w:r>
              <w:t>Increased bleeding time</w:t>
            </w:r>
          </w:p>
        </w:tc>
      </w:tr>
      <w:tr w:rsidR="00366516" w14:paraId="734E2DD8" w14:textId="77777777" w:rsidTr="00366516">
        <w:tc>
          <w:tcPr>
            <w:tcW w:w="4360" w:type="dxa"/>
            <w:vMerge/>
          </w:tcPr>
          <w:p w14:paraId="0E65F443" w14:textId="77777777" w:rsidR="00366516" w:rsidRDefault="00366516" w:rsidP="0092006A"/>
        </w:tc>
        <w:tc>
          <w:tcPr>
            <w:tcW w:w="4360" w:type="dxa"/>
          </w:tcPr>
          <w:p w14:paraId="78586CAD" w14:textId="77777777" w:rsidR="00366516" w:rsidRDefault="00366516" w:rsidP="0092006A">
            <w:r>
              <w:t>Critical failure of the delivery system</w:t>
            </w:r>
          </w:p>
        </w:tc>
      </w:tr>
      <w:tr w:rsidR="00B02F24" w14:paraId="59DA8797" w14:textId="77777777" w:rsidTr="00366516">
        <w:tc>
          <w:tcPr>
            <w:tcW w:w="4360" w:type="dxa"/>
            <w:vMerge w:val="restart"/>
          </w:tcPr>
          <w:p w14:paraId="1941A132" w14:textId="77777777" w:rsidR="00B02F24" w:rsidRDefault="00B02F24" w:rsidP="0092006A">
            <w:r>
              <w:t>Missing information</w:t>
            </w:r>
          </w:p>
        </w:tc>
        <w:tc>
          <w:tcPr>
            <w:tcW w:w="4360" w:type="dxa"/>
          </w:tcPr>
          <w:p w14:paraId="05D1BA08" w14:textId="77777777" w:rsidR="00B02F24" w:rsidRDefault="00B02F24" w:rsidP="0092006A">
            <w:r>
              <w:t>Combined use with other vasodilators</w:t>
            </w:r>
          </w:p>
        </w:tc>
      </w:tr>
      <w:tr w:rsidR="00B02F24" w14:paraId="33C7BEAD" w14:textId="77777777" w:rsidTr="00366516">
        <w:tc>
          <w:tcPr>
            <w:tcW w:w="4360" w:type="dxa"/>
            <w:vMerge/>
          </w:tcPr>
          <w:p w14:paraId="2F909F06" w14:textId="77777777" w:rsidR="00B02F24" w:rsidRDefault="00B02F24" w:rsidP="0092006A"/>
        </w:tc>
        <w:tc>
          <w:tcPr>
            <w:tcW w:w="4360" w:type="dxa"/>
          </w:tcPr>
          <w:p w14:paraId="5A31639F" w14:textId="77777777" w:rsidR="00B02F24" w:rsidRDefault="00B02F24" w:rsidP="0092006A">
            <w:r>
              <w:t>Use during pregnancy and lactation</w:t>
            </w:r>
          </w:p>
        </w:tc>
      </w:tr>
      <w:tr w:rsidR="00B02F24" w14:paraId="3056C92C" w14:textId="77777777" w:rsidTr="00366516">
        <w:tc>
          <w:tcPr>
            <w:tcW w:w="4360" w:type="dxa"/>
            <w:vMerge/>
          </w:tcPr>
          <w:p w14:paraId="10EACC9D" w14:textId="77777777" w:rsidR="00B02F24" w:rsidRDefault="00B02F24" w:rsidP="0092006A"/>
        </w:tc>
        <w:tc>
          <w:tcPr>
            <w:tcW w:w="4360" w:type="dxa"/>
          </w:tcPr>
          <w:p w14:paraId="1AB86DBE" w14:textId="77777777" w:rsidR="00B02F24" w:rsidRDefault="00B02F24" w:rsidP="0092006A">
            <w:r>
              <w:t>Paediatric use &lt; 34 GA for PPHN, and patients 12 to 17 years treated for pulmonary hypertension in conjunction with heart surgery</w:t>
            </w:r>
          </w:p>
        </w:tc>
      </w:tr>
    </w:tbl>
    <w:p w14:paraId="4FBF6304" w14:textId="77777777" w:rsidR="008E7846" w:rsidRDefault="008E7846" w:rsidP="00331CFC">
      <w:pPr>
        <w:pStyle w:val="Heading4"/>
        <w:rPr>
          <w:lang w:eastAsia="en-AU"/>
        </w:rPr>
      </w:pPr>
      <w:r>
        <w:rPr>
          <w:lang w:eastAsia="en-AU"/>
        </w:rPr>
        <w:lastRenderedPageBreak/>
        <w:t xml:space="preserve">Pharmacovigilance </w:t>
      </w:r>
      <w:r w:rsidR="003A7F6C">
        <w:rPr>
          <w:lang w:eastAsia="en-AU"/>
        </w:rPr>
        <w:t>p</w:t>
      </w:r>
      <w:r>
        <w:rPr>
          <w:lang w:eastAsia="en-AU"/>
        </w:rPr>
        <w:t>lan</w:t>
      </w:r>
    </w:p>
    <w:p w14:paraId="7C467108" w14:textId="77777777" w:rsidR="00B02F24" w:rsidRDefault="00B02F24" w:rsidP="00B02F24">
      <w:pPr>
        <w:spacing w:before="0" w:line="240" w:lineRule="auto"/>
      </w:pPr>
      <w:r>
        <w:t>The sponsor proposes routine pharmacovigilance to monitor all the identified safety concerns. No additional pharmacovigilance activities are considered necessary by the sponsor.</w:t>
      </w:r>
    </w:p>
    <w:p w14:paraId="356B4548" w14:textId="77777777" w:rsidR="008E7846" w:rsidRDefault="008E7846" w:rsidP="008E7846">
      <w:pPr>
        <w:pStyle w:val="Heading4"/>
        <w:rPr>
          <w:lang w:eastAsia="en-AU"/>
        </w:rPr>
      </w:pPr>
      <w:r>
        <w:rPr>
          <w:lang w:eastAsia="en-AU"/>
        </w:rPr>
        <w:t xml:space="preserve">Risk </w:t>
      </w:r>
      <w:r w:rsidR="003A7F6C">
        <w:rPr>
          <w:lang w:eastAsia="en-AU"/>
        </w:rPr>
        <w:t>m</w:t>
      </w:r>
      <w:r>
        <w:rPr>
          <w:lang w:eastAsia="en-AU"/>
        </w:rPr>
        <w:t xml:space="preserve">inimisation </w:t>
      </w:r>
      <w:r w:rsidR="003A7F6C">
        <w:rPr>
          <w:lang w:eastAsia="en-AU"/>
        </w:rPr>
        <w:t>a</w:t>
      </w:r>
      <w:r>
        <w:rPr>
          <w:lang w:eastAsia="en-AU"/>
        </w:rPr>
        <w:t>ctivities</w:t>
      </w:r>
    </w:p>
    <w:p w14:paraId="6F4D9AEB" w14:textId="77777777" w:rsidR="00B02F24" w:rsidRPr="00B02F24" w:rsidRDefault="00B02F24" w:rsidP="00B02F24">
      <w:pPr>
        <w:spacing w:before="0" w:line="240" w:lineRule="auto"/>
      </w:pPr>
      <w:r>
        <w:t>The sponsor states in the EU-RMP:</w:t>
      </w:r>
    </w:p>
    <w:p w14:paraId="0F3D1951" w14:textId="6B5D71EE" w:rsidR="00B02F24" w:rsidRDefault="00B02F24" w:rsidP="00B02F24">
      <w:pPr>
        <w:spacing w:before="0" w:line="240" w:lineRule="auto"/>
        <w:ind w:left="720"/>
      </w:pPr>
      <w:bookmarkStart w:id="128" w:name="_Toc247691527"/>
      <w:r>
        <w:t>‘</w:t>
      </w:r>
      <w:r w:rsidRPr="00AC47D8">
        <w:rPr>
          <w:i/>
        </w:rPr>
        <w:t xml:space="preserve">The drug is delivered </w:t>
      </w:r>
      <w:proofErr w:type="gramStart"/>
      <w:r w:rsidRPr="00AC47D8">
        <w:rPr>
          <w:i/>
        </w:rPr>
        <w:t xml:space="preserve">through </w:t>
      </w:r>
      <w:r w:rsidRPr="00411E95">
        <w:rPr>
          <w:i/>
        </w:rPr>
        <w:t>a NODS</w:t>
      </w:r>
      <w:proofErr w:type="gramEnd"/>
      <w:r w:rsidRPr="00411E95">
        <w:rPr>
          <w:i/>
        </w:rPr>
        <w:t xml:space="preserve"> into the breathing circuit of the ventilation system. The combination and interaction of the three modalities (drug, NODS, and ventilation system) is critical to the safety of inhaled nitric oxide…In all countries for which LHC AB is th</w:t>
      </w:r>
      <w:r w:rsidRPr="005E41D7">
        <w:rPr>
          <w:i/>
        </w:rPr>
        <w:t xml:space="preserve">e </w:t>
      </w:r>
      <w:r w:rsidR="005E41D7" w:rsidRPr="005E41D7">
        <w:rPr>
          <w:i/>
        </w:rPr>
        <w:t>Marketing Authorisation Holder</w:t>
      </w:r>
      <w:r w:rsidR="005E41D7" w:rsidRPr="00AC47D8">
        <w:rPr>
          <w:i/>
        </w:rPr>
        <w:t xml:space="preserve"> </w:t>
      </w:r>
      <w:r w:rsidR="005E41D7">
        <w:rPr>
          <w:i/>
        </w:rPr>
        <w:t>(</w:t>
      </w:r>
      <w:r w:rsidRPr="00AC47D8">
        <w:rPr>
          <w:i/>
        </w:rPr>
        <w:t>MAH</w:t>
      </w:r>
      <w:r w:rsidR="005E41D7">
        <w:rPr>
          <w:i/>
        </w:rPr>
        <w:t>)</w:t>
      </w:r>
      <w:r w:rsidRPr="00AC47D8">
        <w:rPr>
          <w:i/>
        </w:rPr>
        <w:t xml:space="preserve"> all relevant healthcare staff undergoes a continuous, documented training program for both INOmax and devices based on currently approved product information</w:t>
      </w:r>
      <w:r w:rsidR="00CE6FBE">
        <w:t>.’</w:t>
      </w:r>
    </w:p>
    <w:p w14:paraId="3600FA4A" w14:textId="77777777" w:rsidR="00B02F24" w:rsidRDefault="00B02F24" w:rsidP="00B02F24">
      <w:pPr>
        <w:spacing w:before="0" w:line="240" w:lineRule="auto"/>
        <w:ind w:left="720"/>
      </w:pPr>
      <w:r>
        <w:t>In addition, the sponsor has advised in the ASA that ‘</w:t>
      </w:r>
      <w:r w:rsidRPr="001F1826">
        <w:rPr>
          <w:i/>
        </w:rPr>
        <w:t>In Australia, the risk minimisation measures proposed for INOmax on approval of the proposed indication in the paediatric cardiac surgery setting are similar to those in the EU… At launch of the new indication, healthcare professionals who are likely to use and/or prescribe INOmax for the treatment of pulmonary hypertension associated with paediatric cardiac surgery will be provided with an educational pack</w:t>
      </w:r>
      <w:r>
        <w:t>.’</w:t>
      </w:r>
    </w:p>
    <w:p w14:paraId="5E8EB5C2" w14:textId="77777777" w:rsidR="006F25B8" w:rsidRDefault="006F25B8" w:rsidP="006F25B8">
      <w:pPr>
        <w:pStyle w:val="Heading4"/>
        <w:rPr>
          <w:lang w:eastAsia="en-AU"/>
        </w:rPr>
      </w:pPr>
      <w:r w:rsidRPr="006F25B8">
        <w:rPr>
          <w:lang w:eastAsia="en-AU"/>
        </w:rPr>
        <w:t>Reconciliation of is</w:t>
      </w:r>
      <w:r w:rsidR="009A0B07">
        <w:rPr>
          <w:lang w:eastAsia="en-AU"/>
        </w:rPr>
        <w:t>sues outlined in the RMP report</w:t>
      </w:r>
    </w:p>
    <w:p w14:paraId="23DFBB41" w14:textId="77777777" w:rsidR="006F25B8" w:rsidRDefault="006F25B8" w:rsidP="006F25B8">
      <w:pPr>
        <w:rPr>
          <w:lang w:eastAsia="en-AU"/>
        </w:rPr>
      </w:pPr>
      <w:r w:rsidRPr="004536B4">
        <w:rPr>
          <w:lang w:eastAsia="en-AU"/>
        </w:rPr>
        <w:t xml:space="preserve">Table </w:t>
      </w:r>
      <w:r w:rsidR="004536B4" w:rsidRPr="004536B4">
        <w:rPr>
          <w:lang w:eastAsia="en-AU"/>
        </w:rPr>
        <w:t>11</w:t>
      </w:r>
      <w:r w:rsidR="009A0B07" w:rsidRPr="004536B4">
        <w:rPr>
          <w:lang w:eastAsia="en-AU"/>
        </w:rPr>
        <w:t xml:space="preserve"> summarises</w:t>
      </w:r>
      <w:r w:rsidR="009A0B07">
        <w:rPr>
          <w:lang w:eastAsia="en-AU"/>
        </w:rPr>
        <w:t xml:space="preserve"> the</w:t>
      </w:r>
      <w:r>
        <w:rPr>
          <w:lang w:eastAsia="en-AU"/>
        </w:rPr>
        <w:t xml:space="preserve"> first round </w:t>
      </w:r>
      <w:r w:rsidR="009A0B07">
        <w:rPr>
          <w:lang w:eastAsia="en-AU"/>
        </w:rPr>
        <w:t xml:space="preserve">RMP </w:t>
      </w:r>
      <w:r>
        <w:rPr>
          <w:lang w:eastAsia="en-AU"/>
        </w:rPr>
        <w:t xml:space="preserve">evaluation of the RMP, the sponsor’s responses to issues raised and </w:t>
      </w:r>
      <w:r w:rsidR="009A0B07">
        <w:rPr>
          <w:lang w:eastAsia="en-AU"/>
        </w:rPr>
        <w:t>RMP</w:t>
      </w:r>
      <w:r>
        <w:rPr>
          <w:lang w:eastAsia="en-AU"/>
        </w:rPr>
        <w:t xml:space="preserve"> evaluat</w:t>
      </w:r>
      <w:r w:rsidR="009A0B07">
        <w:rPr>
          <w:lang w:eastAsia="en-AU"/>
        </w:rPr>
        <w:t>ion of the sponsor’s responses.</w:t>
      </w:r>
    </w:p>
    <w:p w14:paraId="591F760B" w14:textId="77777777" w:rsidR="00633576" w:rsidRDefault="00633576" w:rsidP="00633576">
      <w:pPr>
        <w:pStyle w:val="TableTitle"/>
        <w:rPr>
          <w:lang w:eastAsia="en-AU"/>
        </w:rPr>
      </w:pPr>
      <w:r w:rsidRPr="004536B4">
        <w:rPr>
          <w:lang w:eastAsia="en-AU"/>
        </w:rPr>
        <w:t xml:space="preserve">Table </w:t>
      </w:r>
      <w:r w:rsidR="004536B4" w:rsidRPr="004536B4">
        <w:rPr>
          <w:lang w:eastAsia="en-AU"/>
        </w:rPr>
        <w:t>11:</w:t>
      </w:r>
      <w:r w:rsidRPr="004536B4">
        <w:rPr>
          <w:lang w:eastAsia="en-AU"/>
        </w:rPr>
        <w:t xml:space="preserve"> Reconciliation of issues outlined</w:t>
      </w:r>
      <w:r>
        <w:rPr>
          <w:lang w:eastAsia="en-AU"/>
        </w:rPr>
        <w:t xml:space="preserve"> in the fi</w:t>
      </w:r>
      <w:r w:rsidR="00411E95">
        <w:rPr>
          <w:lang w:eastAsia="en-AU"/>
        </w:rPr>
        <w:t>rst round RMP evaluation report</w:t>
      </w:r>
    </w:p>
    <w:tbl>
      <w:tblPr>
        <w:tblStyle w:val="TableTGAblue"/>
        <w:tblW w:w="5000" w:type="pct"/>
        <w:tblLayout w:type="fixed"/>
        <w:tblLook w:val="04A0" w:firstRow="1" w:lastRow="0" w:firstColumn="1" w:lastColumn="0" w:noHBand="0" w:noVBand="1"/>
      </w:tblPr>
      <w:tblGrid>
        <w:gridCol w:w="2660"/>
        <w:gridCol w:w="4112"/>
        <w:gridCol w:w="1948"/>
      </w:tblGrid>
      <w:tr w:rsidR="00B02F24" w:rsidRPr="00331CFC" w14:paraId="4F118197" w14:textId="77777777" w:rsidTr="00B02F24">
        <w:trPr>
          <w:cnfStyle w:val="100000000000" w:firstRow="1" w:lastRow="0" w:firstColumn="0" w:lastColumn="0" w:oddVBand="0" w:evenVBand="0" w:oddHBand="0" w:evenHBand="0" w:firstRowFirstColumn="0" w:firstRowLastColumn="0" w:lastRowFirstColumn="0" w:lastRowLastColumn="0"/>
        </w:trPr>
        <w:tc>
          <w:tcPr>
            <w:tcW w:w="1525" w:type="pct"/>
            <w:noWrap/>
          </w:tcPr>
          <w:p w14:paraId="27005E23" w14:textId="77777777" w:rsidR="00B02F24" w:rsidRPr="00331CFC" w:rsidRDefault="00B02F24" w:rsidP="00331CFC">
            <w:pPr>
              <w:ind w:left="0" w:right="0"/>
              <w:rPr>
                <w:sz w:val="20"/>
                <w:szCs w:val="20"/>
              </w:rPr>
            </w:pPr>
            <w:r w:rsidRPr="00331CFC">
              <w:rPr>
                <w:sz w:val="20"/>
                <w:szCs w:val="20"/>
              </w:rPr>
              <w:t>Recommendation in RMP evaluation report</w:t>
            </w:r>
          </w:p>
        </w:tc>
        <w:tc>
          <w:tcPr>
            <w:tcW w:w="2358" w:type="pct"/>
            <w:noWrap/>
          </w:tcPr>
          <w:p w14:paraId="54282BE5" w14:textId="77777777" w:rsidR="00B02F24" w:rsidRPr="00331CFC" w:rsidRDefault="001F2F15" w:rsidP="00331CFC">
            <w:pPr>
              <w:ind w:left="0" w:right="0"/>
              <w:rPr>
                <w:sz w:val="20"/>
                <w:szCs w:val="20"/>
              </w:rPr>
            </w:pPr>
            <w:r w:rsidRPr="00331CFC">
              <w:rPr>
                <w:sz w:val="20"/>
                <w:szCs w:val="20"/>
              </w:rPr>
              <w:t>S</w:t>
            </w:r>
            <w:r w:rsidR="000B5B6A" w:rsidRPr="00331CFC">
              <w:rPr>
                <w:sz w:val="20"/>
                <w:szCs w:val="20"/>
              </w:rPr>
              <w:t>ponsor</w:t>
            </w:r>
            <w:r w:rsidRPr="00331CFC">
              <w:rPr>
                <w:sz w:val="20"/>
                <w:szCs w:val="20"/>
              </w:rPr>
              <w:t>’s response</w:t>
            </w:r>
          </w:p>
        </w:tc>
        <w:tc>
          <w:tcPr>
            <w:tcW w:w="1118" w:type="pct"/>
            <w:noWrap/>
          </w:tcPr>
          <w:p w14:paraId="2428DF76" w14:textId="77777777" w:rsidR="00B02F24" w:rsidRPr="00331CFC" w:rsidRDefault="00B02F24" w:rsidP="00331CFC">
            <w:pPr>
              <w:ind w:left="0" w:right="0"/>
              <w:rPr>
                <w:sz w:val="20"/>
                <w:szCs w:val="20"/>
              </w:rPr>
            </w:pPr>
            <w:r w:rsidRPr="00331CFC">
              <w:rPr>
                <w:sz w:val="20"/>
                <w:szCs w:val="20"/>
              </w:rPr>
              <w:t>RMP evaluator’s comment</w:t>
            </w:r>
          </w:p>
        </w:tc>
      </w:tr>
      <w:tr w:rsidR="00B02F24" w:rsidRPr="00331CFC" w14:paraId="0BDBA2EF" w14:textId="77777777" w:rsidTr="00B02F24">
        <w:tc>
          <w:tcPr>
            <w:tcW w:w="1525" w:type="pct"/>
            <w:noWrap/>
          </w:tcPr>
          <w:p w14:paraId="6DA561E2" w14:textId="77777777" w:rsidR="00B02F24" w:rsidRPr="00331CFC" w:rsidRDefault="003612EF" w:rsidP="00331CFC">
            <w:pPr>
              <w:ind w:left="0" w:right="0"/>
              <w:rPr>
                <w:sz w:val="20"/>
                <w:szCs w:val="20"/>
              </w:rPr>
            </w:pPr>
            <w:r w:rsidRPr="00331CFC">
              <w:rPr>
                <w:sz w:val="20"/>
                <w:szCs w:val="20"/>
              </w:rPr>
              <w:t xml:space="preserve">1. </w:t>
            </w:r>
            <w:r w:rsidR="00B02F24" w:rsidRPr="00331CFC">
              <w:rPr>
                <w:sz w:val="20"/>
                <w:szCs w:val="20"/>
              </w:rPr>
              <w:t>Safety considerations may be raised by the nonclinical and clinical evaluators through the consolidated TGA request for information and/or the nonclinical and clinical evaluation reports respectively.</w:t>
            </w:r>
            <w:r w:rsidR="009A0B07" w:rsidRPr="00331CFC">
              <w:rPr>
                <w:sz w:val="20"/>
                <w:szCs w:val="20"/>
              </w:rPr>
              <w:t xml:space="preserve"> </w:t>
            </w:r>
            <w:r w:rsidR="00B02F24" w:rsidRPr="00331CFC">
              <w:rPr>
                <w:sz w:val="20"/>
                <w:szCs w:val="20"/>
              </w:rPr>
              <w:t>It is important to ensure that the information provided in response to these includes a consideration of the relevance for the RMP, and any specific information needed to address this issue in the RMP.</w:t>
            </w:r>
            <w:r w:rsidR="009A0B07" w:rsidRPr="00331CFC">
              <w:rPr>
                <w:sz w:val="20"/>
                <w:szCs w:val="20"/>
              </w:rPr>
              <w:t xml:space="preserve"> </w:t>
            </w:r>
            <w:r w:rsidR="00B02F24" w:rsidRPr="00331CFC">
              <w:rPr>
                <w:bCs/>
                <w:sz w:val="20"/>
                <w:szCs w:val="20"/>
              </w:rPr>
              <w:t xml:space="preserve">For any safety considerations so raised, </w:t>
            </w:r>
            <w:r w:rsidR="00B02F24" w:rsidRPr="00331CFC">
              <w:rPr>
                <w:sz w:val="20"/>
                <w:szCs w:val="20"/>
              </w:rPr>
              <w:t>the sponsor should</w:t>
            </w:r>
            <w:r w:rsidR="00B02F24" w:rsidRPr="00331CFC">
              <w:rPr>
                <w:bCs/>
                <w:sz w:val="20"/>
                <w:szCs w:val="20"/>
              </w:rPr>
              <w:t xml:space="preserve"> provide information that is relevant and necessary to address the issue in the RMP.</w:t>
            </w:r>
          </w:p>
        </w:tc>
        <w:tc>
          <w:tcPr>
            <w:tcW w:w="2358" w:type="pct"/>
            <w:noWrap/>
          </w:tcPr>
          <w:p w14:paraId="7CA907BF" w14:textId="77777777" w:rsidR="00B02F24" w:rsidRPr="00331CFC" w:rsidRDefault="00B02F24" w:rsidP="00331CFC">
            <w:pPr>
              <w:ind w:left="0" w:right="0"/>
              <w:rPr>
                <w:sz w:val="20"/>
                <w:szCs w:val="20"/>
              </w:rPr>
            </w:pPr>
            <w:r w:rsidRPr="00331CFC">
              <w:rPr>
                <w:sz w:val="20"/>
                <w:szCs w:val="20"/>
              </w:rPr>
              <w:t xml:space="preserve">The </w:t>
            </w:r>
            <w:r w:rsidR="000B5B6A" w:rsidRPr="00331CFC">
              <w:rPr>
                <w:sz w:val="20"/>
                <w:szCs w:val="20"/>
              </w:rPr>
              <w:t>sponsor</w:t>
            </w:r>
            <w:r w:rsidRPr="00331CFC">
              <w:rPr>
                <w:sz w:val="20"/>
                <w:szCs w:val="20"/>
              </w:rPr>
              <w:t xml:space="preserve"> has incorporated the majority of revisions based on safety considerations raised by the nonclinical and clinical evaluator in the revised draft PI supplied with this response. The </w:t>
            </w:r>
            <w:r w:rsidR="000B5B6A" w:rsidRPr="00331CFC">
              <w:rPr>
                <w:sz w:val="20"/>
                <w:szCs w:val="20"/>
              </w:rPr>
              <w:t>sponsor</w:t>
            </w:r>
            <w:r w:rsidRPr="00331CFC">
              <w:rPr>
                <w:sz w:val="20"/>
                <w:szCs w:val="20"/>
              </w:rPr>
              <w:t xml:space="preserve"> has provided a justification for non-inclusion of the </w:t>
            </w:r>
            <w:r w:rsidR="003612EF" w:rsidRPr="00331CFC">
              <w:rPr>
                <w:sz w:val="20"/>
                <w:szCs w:val="20"/>
              </w:rPr>
              <w:t xml:space="preserve">nonclinical evaluator’s </w:t>
            </w:r>
            <w:r w:rsidRPr="00331CFC">
              <w:rPr>
                <w:sz w:val="20"/>
                <w:szCs w:val="20"/>
              </w:rPr>
              <w:t>additional text related to an effect of NO on platelet function, thrombocytopenia as an adverse effect and listing of drugs which may potentiate</w:t>
            </w:r>
            <w:r w:rsidRPr="00331CFC">
              <w:rPr>
                <w:i/>
                <w:sz w:val="20"/>
                <w:szCs w:val="20"/>
              </w:rPr>
              <w:t xml:space="preserve"> </w:t>
            </w:r>
            <w:r w:rsidRPr="00331CFC">
              <w:rPr>
                <w:sz w:val="20"/>
                <w:szCs w:val="20"/>
              </w:rPr>
              <w:t xml:space="preserve">methaemoglobin formation when combined with inhaled NO. These amendments are not considered relevant to the RMP at this stage but may be re-considered if the TGA Delegate’s </w:t>
            </w:r>
            <w:r w:rsidR="003612EF" w:rsidRPr="00331CFC">
              <w:rPr>
                <w:sz w:val="20"/>
                <w:szCs w:val="20"/>
              </w:rPr>
              <w:t>o</w:t>
            </w:r>
            <w:r w:rsidRPr="00331CFC">
              <w:rPr>
                <w:sz w:val="20"/>
                <w:szCs w:val="20"/>
              </w:rPr>
              <w:t xml:space="preserve">verview requests similar amendments to the </w:t>
            </w:r>
            <w:r w:rsidR="003612EF" w:rsidRPr="00331CFC">
              <w:rPr>
                <w:sz w:val="20"/>
                <w:szCs w:val="20"/>
              </w:rPr>
              <w:t>PI</w:t>
            </w:r>
            <w:r w:rsidRPr="00331CFC">
              <w:rPr>
                <w:sz w:val="20"/>
                <w:szCs w:val="20"/>
              </w:rPr>
              <w:t xml:space="preserve"> at a later time on the evaluation process.</w:t>
            </w:r>
          </w:p>
          <w:p w14:paraId="7B9B12E9" w14:textId="77777777" w:rsidR="00B02F24" w:rsidRPr="00331CFC" w:rsidRDefault="00B02F24" w:rsidP="00331CFC">
            <w:pPr>
              <w:ind w:left="0" w:right="0"/>
              <w:rPr>
                <w:i/>
                <w:sz w:val="20"/>
                <w:szCs w:val="20"/>
              </w:rPr>
            </w:pPr>
            <w:r w:rsidRPr="00331CFC">
              <w:rPr>
                <w:sz w:val="20"/>
                <w:szCs w:val="20"/>
              </w:rPr>
              <w:t xml:space="preserve">A justification has been prepared by the </w:t>
            </w:r>
            <w:r w:rsidR="000B5B6A" w:rsidRPr="00331CFC">
              <w:rPr>
                <w:sz w:val="20"/>
                <w:szCs w:val="20"/>
              </w:rPr>
              <w:t>sponsor</w:t>
            </w:r>
            <w:r w:rsidRPr="00331CFC">
              <w:rPr>
                <w:sz w:val="20"/>
                <w:szCs w:val="20"/>
              </w:rPr>
              <w:t xml:space="preserve"> for non-acceptance of the </w:t>
            </w:r>
            <w:r w:rsidR="003612EF" w:rsidRPr="00331CFC">
              <w:rPr>
                <w:sz w:val="20"/>
                <w:szCs w:val="20"/>
              </w:rPr>
              <w:t xml:space="preserve">clinical evaluator’s </w:t>
            </w:r>
            <w:r w:rsidRPr="00331CFC">
              <w:rPr>
                <w:sz w:val="20"/>
                <w:szCs w:val="20"/>
              </w:rPr>
              <w:t xml:space="preserve">request that the RMP should include an effect of inhaled NO on the immune system. The </w:t>
            </w:r>
            <w:r w:rsidR="003612EF" w:rsidRPr="00331CFC">
              <w:rPr>
                <w:sz w:val="20"/>
                <w:szCs w:val="20"/>
              </w:rPr>
              <w:t xml:space="preserve">nonclinical evaluator </w:t>
            </w:r>
            <w:r w:rsidRPr="00331CFC">
              <w:rPr>
                <w:sz w:val="20"/>
                <w:szCs w:val="20"/>
              </w:rPr>
              <w:t xml:space="preserve">requested an update to a table presented in the RMP which the </w:t>
            </w:r>
            <w:r w:rsidR="000B5B6A" w:rsidRPr="00331CFC">
              <w:rPr>
                <w:sz w:val="20"/>
                <w:szCs w:val="20"/>
              </w:rPr>
              <w:t>sponsor</w:t>
            </w:r>
            <w:r w:rsidRPr="00331CFC">
              <w:rPr>
                <w:sz w:val="20"/>
                <w:szCs w:val="20"/>
              </w:rPr>
              <w:t xml:space="preserve"> </w:t>
            </w:r>
            <w:r w:rsidR="009A0B07" w:rsidRPr="00331CFC">
              <w:rPr>
                <w:sz w:val="20"/>
                <w:szCs w:val="20"/>
              </w:rPr>
              <w:t>has responded</w:t>
            </w:r>
            <w:r w:rsidRPr="00331CFC">
              <w:rPr>
                <w:sz w:val="20"/>
                <w:szCs w:val="20"/>
              </w:rPr>
              <w:t xml:space="preserve"> to </w:t>
            </w:r>
            <w:r w:rsidRPr="00331CFC">
              <w:rPr>
                <w:sz w:val="20"/>
                <w:szCs w:val="20"/>
              </w:rPr>
              <w:lastRenderedPageBreak/>
              <w:t>in this response.</w:t>
            </w:r>
          </w:p>
        </w:tc>
        <w:tc>
          <w:tcPr>
            <w:tcW w:w="1118" w:type="pct"/>
            <w:noWrap/>
          </w:tcPr>
          <w:p w14:paraId="07315D79" w14:textId="77777777" w:rsidR="00B02F24" w:rsidRPr="00331CFC" w:rsidRDefault="00B02F24" w:rsidP="00331CFC">
            <w:pPr>
              <w:ind w:left="0" w:right="0"/>
              <w:rPr>
                <w:sz w:val="20"/>
                <w:szCs w:val="20"/>
              </w:rPr>
            </w:pPr>
            <w:r w:rsidRPr="00331CFC">
              <w:rPr>
                <w:sz w:val="20"/>
                <w:szCs w:val="20"/>
              </w:rPr>
              <w:lastRenderedPageBreak/>
              <w:t>The sponsor’s approach is satisfactory in the context of the risk management plan. The assessment of the sponsor’s response to the clinical and non-clinical evaluators’ recommendations is expected to be co</w:t>
            </w:r>
            <w:r w:rsidR="009A0B07" w:rsidRPr="00331CFC">
              <w:rPr>
                <w:sz w:val="20"/>
                <w:szCs w:val="20"/>
              </w:rPr>
              <w:t>nducted by relevant evaluators.</w:t>
            </w:r>
          </w:p>
        </w:tc>
      </w:tr>
      <w:tr w:rsidR="00B02F24" w:rsidRPr="00331CFC" w14:paraId="2671CA76" w14:textId="77777777" w:rsidTr="00B02F24">
        <w:tc>
          <w:tcPr>
            <w:tcW w:w="1525" w:type="pct"/>
            <w:noWrap/>
          </w:tcPr>
          <w:p w14:paraId="0406523E" w14:textId="77777777" w:rsidR="00B02F24" w:rsidRPr="00331CFC" w:rsidRDefault="003612EF" w:rsidP="00331CFC">
            <w:pPr>
              <w:ind w:left="0" w:right="0"/>
              <w:rPr>
                <w:sz w:val="20"/>
                <w:szCs w:val="20"/>
              </w:rPr>
            </w:pPr>
            <w:r w:rsidRPr="00331CFC">
              <w:rPr>
                <w:sz w:val="20"/>
                <w:szCs w:val="20"/>
              </w:rPr>
              <w:lastRenderedPageBreak/>
              <w:t xml:space="preserve">2. </w:t>
            </w:r>
            <w:r w:rsidR="00B02F24" w:rsidRPr="00331CFC">
              <w:rPr>
                <w:sz w:val="20"/>
                <w:szCs w:val="20"/>
              </w:rPr>
              <w:t>The sponsor has advised that a similar application in Switzerland was withdrawn. The sponsor should clarify whether any safety related factors contributed to its decision to withdraw the application in Switzerland.</w:t>
            </w:r>
          </w:p>
        </w:tc>
        <w:tc>
          <w:tcPr>
            <w:tcW w:w="2358" w:type="pct"/>
            <w:noWrap/>
          </w:tcPr>
          <w:p w14:paraId="018DB678" w14:textId="77777777" w:rsidR="00B02F24" w:rsidRPr="00331CFC" w:rsidRDefault="00B02F24" w:rsidP="00331CFC">
            <w:pPr>
              <w:ind w:left="0" w:right="0"/>
              <w:rPr>
                <w:sz w:val="20"/>
                <w:szCs w:val="20"/>
              </w:rPr>
            </w:pPr>
            <w:r w:rsidRPr="00331CFC">
              <w:rPr>
                <w:sz w:val="20"/>
                <w:szCs w:val="20"/>
              </w:rPr>
              <w:t xml:space="preserve">Please be advised that the application in Switzerland requested a line extension in both the adult and </w:t>
            </w:r>
            <w:r w:rsidR="009A0B07" w:rsidRPr="00331CFC">
              <w:rPr>
                <w:sz w:val="20"/>
                <w:szCs w:val="20"/>
              </w:rPr>
              <w:t>paediatric</w:t>
            </w:r>
            <w:r w:rsidRPr="00331CFC">
              <w:rPr>
                <w:sz w:val="20"/>
                <w:szCs w:val="20"/>
              </w:rPr>
              <w:t xml:space="preserve"> populations with an allowance for adults to dose escalate to 40 ppm of nitric oxide. </w:t>
            </w:r>
            <w:proofErr w:type="spellStart"/>
            <w:r w:rsidRPr="00331CFC">
              <w:rPr>
                <w:sz w:val="20"/>
                <w:szCs w:val="20"/>
              </w:rPr>
              <w:t>SwissMedic</w:t>
            </w:r>
            <w:proofErr w:type="spellEnd"/>
            <w:r w:rsidRPr="00331CFC">
              <w:rPr>
                <w:sz w:val="20"/>
                <w:szCs w:val="20"/>
              </w:rPr>
              <w:t xml:space="preserve"> had concerns primarily in the adult population regarding efficacy in the INOT41 study and lack of adequate efficacy in the published literature. Additionally, </w:t>
            </w:r>
            <w:proofErr w:type="spellStart"/>
            <w:r w:rsidRPr="00331CFC">
              <w:rPr>
                <w:sz w:val="20"/>
                <w:szCs w:val="20"/>
              </w:rPr>
              <w:t>SwissMedic</w:t>
            </w:r>
            <w:proofErr w:type="spellEnd"/>
            <w:r w:rsidRPr="00331CFC">
              <w:rPr>
                <w:sz w:val="20"/>
                <w:szCs w:val="20"/>
              </w:rPr>
              <w:t xml:space="preserve"> found the safety profile at higher doses was inconclusive. Therefore, the sponsor decided to withdraw the application.</w:t>
            </w:r>
          </w:p>
        </w:tc>
        <w:tc>
          <w:tcPr>
            <w:tcW w:w="1118" w:type="pct"/>
            <w:noWrap/>
          </w:tcPr>
          <w:p w14:paraId="349DD7EF" w14:textId="77777777" w:rsidR="00B02F24" w:rsidRPr="00331CFC" w:rsidRDefault="00B02F24" w:rsidP="00331CFC">
            <w:pPr>
              <w:ind w:left="0" w:right="0"/>
              <w:rPr>
                <w:sz w:val="20"/>
                <w:szCs w:val="20"/>
              </w:rPr>
            </w:pPr>
            <w:r w:rsidRPr="00331CFC">
              <w:rPr>
                <w:sz w:val="20"/>
                <w:szCs w:val="20"/>
              </w:rPr>
              <w:t>The sponsor’s response is satisfactory. Neither the patient population nor the dosage of concern appears to be relevant to the c</w:t>
            </w:r>
            <w:r w:rsidR="009A0B07" w:rsidRPr="00331CFC">
              <w:rPr>
                <w:sz w:val="20"/>
                <w:szCs w:val="20"/>
              </w:rPr>
              <w:t>urrent submission in Australia.</w:t>
            </w:r>
          </w:p>
        </w:tc>
      </w:tr>
      <w:tr w:rsidR="00B02F24" w:rsidRPr="00331CFC" w14:paraId="2E328B88" w14:textId="77777777" w:rsidTr="00B02F24">
        <w:tc>
          <w:tcPr>
            <w:tcW w:w="1525" w:type="pct"/>
            <w:noWrap/>
          </w:tcPr>
          <w:p w14:paraId="7670DFA7" w14:textId="77777777" w:rsidR="00B02F24" w:rsidRPr="00331CFC" w:rsidRDefault="003612EF" w:rsidP="00331CFC">
            <w:pPr>
              <w:ind w:left="0" w:right="0"/>
              <w:rPr>
                <w:sz w:val="20"/>
                <w:szCs w:val="20"/>
              </w:rPr>
            </w:pPr>
            <w:r w:rsidRPr="00331CFC">
              <w:rPr>
                <w:sz w:val="20"/>
                <w:szCs w:val="20"/>
              </w:rPr>
              <w:t xml:space="preserve">3. </w:t>
            </w:r>
            <w:r w:rsidR="00B02F24" w:rsidRPr="00331CFC">
              <w:rPr>
                <w:sz w:val="20"/>
                <w:szCs w:val="20"/>
              </w:rPr>
              <w:t>It is understood that the ‘certain patient populations’ mentioned under ‘important identifie</w:t>
            </w:r>
            <w:r w:rsidRPr="00331CFC">
              <w:rPr>
                <w:sz w:val="20"/>
                <w:szCs w:val="20"/>
              </w:rPr>
              <w:t>d risks’ include the following:</w:t>
            </w:r>
          </w:p>
          <w:p w14:paraId="6340F680" w14:textId="77777777" w:rsidR="00B02F24" w:rsidRPr="00331CFC" w:rsidRDefault="00B02F24" w:rsidP="00331CFC">
            <w:pPr>
              <w:ind w:left="0" w:right="0"/>
              <w:rPr>
                <w:sz w:val="20"/>
                <w:szCs w:val="20"/>
              </w:rPr>
            </w:pPr>
            <w:r w:rsidRPr="00331CFC">
              <w:rPr>
                <w:sz w:val="20"/>
                <w:szCs w:val="20"/>
              </w:rPr>
              <w:t>Neonates known to be dependent on right-to-left, or significant left-to-right shunting of blood (contraindicated)</w:t>
            </w:r>
          </w:p>
          <w:p w14:paraId="4E3D733A" w14:textId="77777777" w:rsidR="00B02F24" w:rsidRPr="00331CFC" w:rsidRDefault="00B02F24" w:rsidP="00331CFC">
            <w:pPr>
              <w:ind w:left="0" w:right="0"/>
              <w:rPr>
                <w:sz w:val="20"/>
                <w:szCs w:val="20"/>
              </w:rPr>
            </w:pPr>
            <w:r w:rsidRPr="00331CFC">
              <w:rPr>
                <w:sz w:val="20"/>
                <w:szCs w:val="20"/>
              </w:rPr>
              <w:t>Patients with compromised left ventricular function</w:t>
            </w:r>
          </w:p>
          <w:p w14:paraId="267A5309" w14:textId="77777777" w:rsidR="00B02F24" w:rsidRPr="00331CFC" w:rsidRDefault="00B02F24" w:rsidP="00331CFC">
            <w:pPr>
              <w:ind w:left="0" w:right="0"/>
              <w:rPr>
                <w:sz w:val="20"/>
                <w:szCs w:val="20"/>
              </w:rPr>
            </w:pPr>
            <w:r w:rsidRPr="00331CFC">
              <w:rPr>
                <w:sz w:val="20"/>
                <w:szCs w:val="20"/>
              </w:rPr>
              <w:t>Patients with elevated baselin</w:t>
            </w:r>
            <w:r w:rsidR="00633576" w:rsidRPr="00331CFC">
              <w:rPr>
                <w:sz w:val="20"/>
                <w:szCs w:val="20"/>
              </w:rPr>
              <w:t>e pulmonary capillary pressure.</w:t>
            </w:r>
          </w:p>
          <w:p w14:paraId="3DD04760" w14:textId="77777777" w:rsidR="00B02F24" w:rsidRPr="00331CFC" w:rsidRDefault="00B02F24" w:rsidP="00331CFC">
            <w:pPr>
              <w:ind w:left="0" w:right="0"/>
              <w:rPr>
                <w:sz w:val="20"/>
                <w:szCs w:val="20"/>
              </w:rPr>
            </w:pPr>
            <w:r w:rsidRPr="00331CFC">
              <w:rPr>
                <w:sz w:val="20"/>
                <w:szCs w:val="20"/>
              </w:rPr>
              <w:t xml:space="preserve">The sponsor should clarify whether there are other patient populations </w:t>
            </w:r>
            <w:r w:rsidR="001F2F15" w:rsidRPr="00331CFC">
              <w:rPr>
                <w:sz w:val="20"/>
                <w:szCs w:val="20"/>
              </w:rPr>
              <w:t>that are also at a higher risk.</w:t>
            </w:r>
          </w:p>
        </w:tc>
        <w:tc>
          <w:tcPr>
            <w:tcW w:w="2358" w:type="pct"/>
            <w:noWrap/>
          </w:tcPr>
          <w:p w14:paraId="7A4F162C" w14:textId="77777777" w:rsidR="00B02F24" w:rsidRPr="00331CFC" w:rsidRDefault="00B02F24" w:rsidP="00331CFC">
            <w:pPr>
              <w:ind w:left="0" w:right="0"/>
              <w:rPr>
                <w:sz w:val="20"/>
                <w:szCs w:val="20"/>
              </w:rPr>
            </w:pPr>
            <w:r w:rsidRPr="00331CFC">
              <w:rPr>
                <w:sz w:val="20"/>
                <w:szCs w:val="20"/>
              </w:rPr>
              <w:t xml:space="preserve">The </w:t>
            </w:r>
            <w:r w:rsidR="000B5B6A" w:rsidRPr="00331CFC">
              <w:rPr>
                <w:sz w:val="20"/>
                <w:szCs w:val="20"/>
              </w:rPr>
              <w:t>sponsor</w:t>
            </w:r>
            <w:r w:rsidRPr="00331CFC">
              <w:rPr>
                <w:sz w:val="20"/>
                <w:szCs w:val="20"/>
              </w:rPr>
              <w:t xml:space="preserve"> confirms that these are the three groups of “certain patient populations” mentioned under “important identified risks”. No other patient populations are considered appropriate for this classification.</w:t>
            </w:r>
          </w:p>
        </w:tc>
        <w:tc>
          <w:tcPr>
            <w:tcW w:w="1118" w:type="pct"/>
            <w:noWrap/>
          </w:tcPr>
          <w:p w14:paraId="47129031" w14:textId="77777777" w:rsidR="00B02F24" w:rsidRPr="00331CFC" w:rsidRDefault="00B02F24" w:rsidP="00331CFC">
            <w:pPr>
              <w:ind w:left="0" w:right="0"/>
              <w:rPr>
                <w:sz w:val="20"/>
                <w:szCs w:val="20"/>
              </w:rPr>
            </w:pPr>
            <w:r w:rsidRPr="00331CFC">
              <w:rPr>
                <w:sz w:val="20"/>
                <w:szCs w:val="20"/>
              </w:rPr>
              <w:t>The spon</w:t>
            </w:r>
            <w:r w:rsidR="001F2F15" w:rsidRPr="00331CFC">
              <w:rPr>
                <w:sz w:val="20"/>
                <w:szCs w:val="20"/>
              </w:rPr>
              <w:t>sor’s response is satisfactory.</w:t>
            </w:r>
          </w:p>
        </w:tc>
      </w:tr>
      <w:tr w:rsidR="00B02F24" w:rsidRPr="00331CFC" w14:paraId="7B4D020E" w14:textId="77777777" w:rsidTr="00B02F24">
        <w:tc>
          <w:tcPr>
            <w:tcW w:w="1525" w:type="pct"/>
            <w:noWrap/>
          </w:tcPr>
          <w:p w14:paraId="641FB12D" w14:textId="77777777" w:rsidR="00B02F24" w:rsidRPr="00331CFC" w:rsidRDefault="003612EF" w:rsidP="00331CFC">
            <w:pPr>
              <w:ind w:left="0" w:right="0"/>
              <w:rPr>
                <w:sz w:val="20"/>
                <w:szCs w:val="20"/>
              </w:rPr>
            </w:pPr>
            <w:r w:rsidRPr="00331CFC">
              <w:rPr>
                <w:sz w:val="20"/>
                <w:szCs w:val="20"/>
              </w:rPr>
              <w:t xml:space="preserve">4. </w:t>
            </w:r>
            <w:r w:rsidR="00B02F24" w:rsidRPr="00331CFC">
              <w:rPr>
                <w:sz w:val="20"/>
                <w:szCs w:val="20"/>
              </w:rPr>
              <w:t>It is recommended that the following safety concerns mentioned in the Australian PI be added in the ASA as these can be life threatening in neonates and young children:</w:t>
            </w:r>
          </w:p>
          <w:p w14:paraId="2EDD0435" w14:textId="77777777" w:rsidR="00B02F24" w:rsidRPr="00331CFC" w:rsidRDefault="00B02F24" w:rsidP="00331CFC">
            <w:pPr>
              <w:ind w:left="0" w:right="0"/>
              <w:rPr>
                <w:sz w:val="20"/>
                <w:szCs w:val="20"/>
              </w:rPr>
            </w:pPr>
            <w:r w:rsidRPr="00331CFC">
              <w:rPr>
                <w:sz w:val="20"/>
                <w:szCs w:val="20"/>
              </w:rPr>
              <w:t xml:space="preserve">Bacteraemia and/or local infection </w:t>
            </w:r>
            <w:r w:rsidR="00A3396B" w:rsidRPr="00331CFC">
              <w:rPr>
                <w:sz w:val="20"/>
                <w:szCs w:val="20"/>
              </w:rPr>
              <w:t>occurred</w:t>
            </w:r>
            <w:r w:rsidRPr="00331CFC">
              <w:rPr>
                <w:sz w:val="20"/>
                <w:szCs w:val="20"/>
              </w:rPr>
              <w:t xml:space="preserve"> in 13% of patients in the treatment group compared to 6% in the placebo group;</w:t>
            </w:r>
          </w:p>
          <w:p w14:paraId="6FF73E91" w14:textId="77777777" w:rsidR="00B02F24" w:rsidRPr="00331CFC" w:rsidRDefault="00B02F24" w:rsidP="00331CFC">
            <w:pPr>
              <w:ind w:left="0" w:right="0"/>
              <w:rPr>
                <w:sz w:val="20"/>
                <w:szCs w:val="20"/>
              </w:rPr>
            </w:pPr>
            <w:r w:rsidRPr="00331CFC">
              <w:rPr>
                <w:sz w:val="20"/>
                <w:szCs w:val="20"/>
              </w:rPr>
              <w:t>Cellulitis occurred in 5% of patients in the treatment group compared to 0% in the placebo group;</w:t>
            </w:r>
          </w:p>
          <w:p w14:paraId="7B282E4B" w14:textId="77777777" w:rsidR="00B02F24" w:rsidRPr="00331CFC" w:rsidRDefault="00B02F24" w:rsidP="00331CFC">
            <w:pPr>
              <w:ind w:left="0" w:right="0"/>
              <w:rPr>
                <w:sz w:val="20"/>
                <w:szCs w:val="20"/>
              </w:rPr>
            </w:pPr>
            <w:r w:rsidRPr="00331CFC">
              <w:rPr>
                <w:sz w:val="20"/>
                <w:szCs w:val="20"/>
              </w:rPr>
              <w:lastRenderedPageBreak/>
              <w:t>Thrombocytopenia occurred in more than 10% of patients in the CINRGI trial;</w:t>
            </w:r>
          </w:p>
          <w:p w14:paraId="4F84E98F" w14:textId="77777777" w:rsidR="00B02F24" w:rsidRPr="00331CFC" w:rsidRDefault="00B02F24" w:rsidP="00331CFC">
            <w:pPr>
              <w:ind w:left="0" w:right="0"/>
              <w:rPr>
                <w:sz w:val="20"/>
                <w:szCs w:val="20"/>
              </w:rPr>
            </w:pPr>
            <w:r w:rsidRPr="00331CFC">
              <w:rPr>
                <w:sz w:val="20"/>
                <w:szCs w:val="20"/>
              </w:rPr>
              <w:t>Hypotension occurred in 13% of patients in the treatment group compared to 10% in the placebo group in clinical trials.</w:t>
            </w:r>
          </w:p>
        </w:tc>
        <w:tc>
          <w:tcPr>
            <w:tcW w:w="2358" w:type="pct"/>
            <w:noWrap/>
          </w:tcPr>
          <w:p w14:paraId="3900E599" w14:textId="184EDE33" w:rsidR="00B02F24" w:rsidRPr="00331CFC" w:rsidRDefault="00B02F24" w:rsidP="00331CFC">
            <w:pPr>
              <w:ind w:left="0" w:right="0"/>
              <w:rPr>
                <w:sz w:val="20"/>
                <w:szCs w:val="20"/>
              </w:rPr>
            </w:pPr>
            <w:r w:rsidRPr="00331CFC">
              <w:rPr>
                <w:sz w:val="20"/>
                <w:szCs w:val="20"/>
              </w:rPr>
              <w:lastRenderedPageBreak/>
              <w:t xml:space="preserve">Section 3.1 of the ASA entitled “Risk minimisation activities in Australia” states that routine risk minimization activities are based on “Text included in the approved </w:t>
            </w:r>
            <w:r w:rsidR="001F2F15" w:rsidRPr="00331CFC">
              <w:rPr>
                <w:sz w:val="20"/>
                <w:szCs w:val="20"/>
              </w:rPr>
              <w:t>PI</w:t>
            </w:r>
            <w:r w:rsidRPr="00331CFC">
              <w:rPr>
                <w:sz w:val="20"/>
                <w:szCs w:val="20"/>
              </w:rPr>
              <w:t xml:space="preserve"> on the identified safety concerns’. The </w:t>
            </w:r>
            <w:r w:rsidR="000B5B6A" w:rsidRPr="00331CFC">
              <w:rPr>
                <w:sz w:val="20"/>
                <w:szCs w:val="20"/>
              </w:rPr>
              <w:t>sponsor</w:t>
            </w:r>
            <w:r w:rsidRPr="00331CFC">
              <w:rPr>
                <w:sz w:val="20"/>
                <w:szCs w:val="20"/>
              </w:rPr>
              <w:t xml:space="preserve"> does not agree that the individual adverse effects listed above should be listed as individual safety </w:t>
            </w:r>
            <w:r w:rsidR="003612EF" w:rsidRPr="00331CFC">
              <w:rPr>
                <w:sz w:val="20"/>
                <w:szCs w:val="20"/>
              </w:rPr>
              <w:t xml:space="preserve">concerns in the ASA Table; </w:t>
            </w:r>
            <w:r w:rsidRPr="00331CFC">
              <w:rPr>
                <w:sz w:val="20"/>
                <w:szCs w:val="20"/>
              </w:rPr>
              <w:t xml:space="preserve">instead the ASA Table </w:t>
            </w:r>
            <w:r w:rsidR="001F2F15" w:rsidRPr="00331CFC">
              <w:rPr>
                <w:sz w:val="20"/>
                <w:szCs w:val="20"/>
              </w:rPr>
              <w:t xml:space="preserve">1 has been revised to include </w:t>
            </w:r>
            <w:r w:rsidRPr="00331CFC">
              <w:rPr>
                <w:sz w:val="20"/>
                <w:szCs w:val="20"/>
              </w:rPr>
              <w:t>“11. Adverse effects specified in Australian PI</w:t>
            </w:r>
            <w:r w:rsidR="00A54259" w:rsidRPr="00331CFC">
              <w:rPr>
                <w:sz w:val="20"/>
                <w:szCs w:val="20"/>
              </w:rPr>
              <w:t>.</w:t>
            </w:r>
            <w:r w:rsidRPr="00331CFC">
              <w:rPr>
                <w:sz w:val="20"/>
                <w:szCs w:val="20"/>
              </w:rPr>
              <w:t>”</w:t>
            </w:r>
          </w:p>
          <w:p w14:paraId="7274DF78" w14:textId="77777777" w:rsidR="00B02F24" w:rsidRPr="00331CFC" w:rsidRDefault="00B02F24" w:rsidP="00331CFC">
            <w:pPr>
              <w:ind w:left="0" w:right="0"/>
              <w:rPr>
                <w:sz w:val="20"/>
                <w:szCs w:val="20"/>
              </w:rPr>
            </w:pPr>
            <w:r w:rsidRPr="00331CFC">
              <w:rPr>
                <w:sz w:val="20"/>
                <w:szCs w:val="20"/>
              </w:rPr>
              <w:t>In the prospectively des</w:t>
            </w:r>
            <w:r w:rsidR="001F2F15" w:rsidRPr="00331CFC">
              <w:rPr>
                <w:sz w:val="20"/>
                <w:szCs w:val="20"/>
              </w:rPr>
              <w:t xml:space="preserve">igned, double blind and placebo </w:t>
            </w:r>
            <w:r w:rsidRPr="00331CFC">
              <w:rPr>
                <w:sz w:val="20"/>
                <w:szCs w:val="20"/>
              </w:rPr>
              <w:t xml:space="preserve">controlled studies, such as CINRGI and NINOS, supporting initial Hypoxic Respiratory Failure indication registration, evaluation of incidence of infections was conducted. The suspected </w:t>
            </w:r>
            <w:r w:rsidRPr="00331CFC">
              <w:rPr>
                <w:sz w:val="20"/>
                <w:szCs w:val="20"/>
              </w:rPr>
              <w:lastRenderedPageBreak/>
              <w:t>sepsi</w:t>
            </w:r>
            <w:r w:rsidR="001F2F15" w:rsidRPr="00331CFC">
              <w:rPr>
                <w:sz w:val="20"/>
                <w:szCs w:val="20"/>
              </w:rPr>
              <w:t xml:space="preserve">s cases in CINRGI study were 59 out of </w:t>
            </w:r>
            <w:r w:rsidRPr="00331CFC">
              <w:rPr>
                <w:sz w:val="20"/>
                <w:szCs w:val="20"/>
              </w:rPr>
              <w:t>89 (66.3%</w:t>
            </w:r>
            <w:r w:rsidR="001F2F15" w:rsidRPr="00331CFC">
              <w:rPr>
                <w:sz w:val="20"/>
                <w:szCs w:val="20"/>
              </w:rPr>
              <w:t xml:space="preserve">) in placebo treated arm and 54 out of </w:t>
            </w:r>
            <w:r w:rsidRPr="00331CFC">
              <w:rPr>
                <w:sz w:val="20"/>
                <w:szCs w:val="20"/>
              </w:rPr>
              <w:t>97 (55.7%) in iNO treated arm. Additionally, the number of subjects with positive blood cultures in the first week was almost identical between the treatment arms (10.1% in placebo treated arm and 10.3% in iNO treated arm) (Ref</w:t>
            </w:r>
            <w:r w:rsidR="001F2F15" w:rsidRPr="00331CFC">
              <w:rPr>
                <w:sz w:val="20"/>
                <w:szCs w:val="20"/>
              </w:rPr>
              <w:t>er</w:t>
            </w:r>
            <w:r w:rsidRPr="00331CFC">
              <w:rPr>
                <w:sz w:val="20"/>
                <w:szCs w:val="20"/>
              </w:rPr>
              <w:t xml:space="preserve"> to CINRGI CSR</w:t>
            </w:r>
            <w:r w:rsidR="001F2F15" w:rsidRPr="00331CFC">
              <w:rPr>
                <w:sz w:val="20"/>
                <w:szCs w:val="20"/>
              </w:rPr>
              <w:t>;</w:t>
            </w:r>
            <w:r w:rsidRPr="00331CFC">
              <w:rPr>
                <w:sz w:val="20"/>
                <w:szCs w:val="20"/>
              </w:rPr>
              <w:t xml:space="preserve"> Table 68). The suspected or proven sepsis/infection as caus</w:t>
            </w:r>
            <w:r w:rsidR="001F2F15" w:rsidRPr="00331CFC">
              <w:rPr>
                <w:sz w:val="20"/>
                <w:szCs w:val="20"/>
              </w:rPr>
              <w:t xml:space="preserve">e of death in NINOS study was 6 out of </w:t>
            </w:r>
            <w:r w:rsidRPr="00331CFC">
              <w:rPr>
                <w:sz w:val="20"/>
                <w:szCs w:val="20"/>
              </w:rPr>
              <w:t>20 (30%) in placebo treated arm and 5</w:t>
            </w:r>
            <w:r w:rsidR="001F2F15" w:rsidRPr="00331CFC">
              <w:rPr>
                <w:sz w:val="20"/>
                <w:szCs w:val="20"/>
              </w:rPr>
              <w:t xml:space="preserve"> out of </w:t>
            </w:r>
            <w:r w:rsidRPr="00331CFC">
              <w:rPr>
                <w:sz w:val="20"/>
                <w:szCs w:val="20"/>
              </w:rPr>
              <w:t>16 (31%) in iNO treated arm (Ref</w:t>
            </w:r>
            <w:r w:rsidR="001F2F15" w:rsidRPr="00331CFC">
              <w:rPr>
                <w:sz w:val="20"/>
                <w:szCs w:val="20"/>
              </w:rPr>
              <w:t>er</w:t>
            </w:r>
            <w:r w:rsidRPr="00331CFC">
              <w:rPr>
                <w:sz w:val="20"/>
                <w:szCs w:val="20"/>
              </w:rPr>
              <w:t xml:space="preserve"> to NINOS Abbreviated CSR</w:t>
            </w:r>
            <w:r w:rsidR="001F2F15" w:rsidRPr="00331CFC">
              <w:rPr>
                <w:sz w:val="20"/>
                <w:szCs w:val="20"/>
              </w:rPr>
              <w:t>;</w:t>
            </w:r>
            <w:r w:rsidRPr="00331CFC">
              <w:rPr>
                <w:sz w:val="20"/>
                <w:szCs w:val="20"/>
              </w:rPr>
              <w:t xml:space="preserve"> Table 33). Based on this clinical data, there is no evidence of increased risk for infection/</w:t>
            </w:r>
            <w:r w:rsidR="003612EF" w:rsidRPr="00331CFC">
              <w:rPr>
                <w:sz w:val="20"/>
                <w:szCs w:val="20"/>
              </w:rPr>
              <w:t>bacteraemia</w:t>
            </w:r>
            <w:r w:rsidRPr="00331CFC">
              <w:rPr>
                <w:sz w:val="20"/>
                <w:szCs w:val="20"/>
              </w:rPr>
              <w:t xml:space="preserve"> in subject’s treated with iNO.</w:t>
            </w:r>
          </w:p>
          <w:p w14:paraId="08ADE3FA" w14:textId="77777777" w:rsidR="00B02F24" w:rsidRPr="00331CFC" w:rsidRDefault="00B02F24" w:rsidP="00331CFC">
            <w:pPr>
              <w:ind w:left="0" w:right="0"/>
              <w:rPr>
                <w:sz w:val="20"/>
                <w:szCs w:val="20"/>
              </w:rPr>
            </w:pPr>
            <w:r w:rsidRPr="00331CFC">
              <w:rPr>
                <w:sz w:val="20"/>
                <w:szCs w:val="20"/>
              </w:rPr>
              <w:t xml:space="preserve">Hypotension has been already listed in the Australian </w:t>
            </w:r>
            <w:r w:rsidR="003612EF" w:rsidRPr="00331CFC">
              <w:rPr>
                <w:sz w:val="20"/>
                <w:szCs w:val="20"/>
              </w:rPr>
              <w:t>PI.</w:t>
            </w:r>
          </w:p>
        </w:tc>
        <w:tc>
          <w:tcPr>
            <w:tcW w:w="1118" w:type="pct"/>
            <w:noWrap/>
          </w:tcPr>
          <w:p w14:paraId="120F9828" w14:textId="77777777" w:rsidR="00B02F24" w:rsidRPr="00331CFC" w:rsidRDefault="00B02F24" w:rsidP="00331CFC">
            <w:pPr>
              <w:ind w:left="0" w:right="0"/>
              <w:rPr>
                <w:sz w:val="20"/>
                <w:szCs w:val="20"/>
              </w:rPr>
            </w:pPr>
            <w:r w:rsidRPr="00331CFC">
              <w:rPr>
                <w:sz w:val="20"/>
                <w:szCs w:val="20"/>
              </w:rPr>
              <w:lastRenderedPageBreak/>
              <w:t>The sponsor’s response is acceptable. It is noted that ‘adverse effects specified in the Australian PI’ has been added to the list of safety concerns in the updated ASA.</w:t>
            </w:r>
          </w:p>
        </w:tc>
      </w:tr>
      <w:tr w:rsidR="00B02F24" w:rsidRPr="00331CFC" w14:paraId="5A4C461A" w14:textId="77777777" w:rsidTr="00B02F24">
        <w:tc>
          <w:tcPr>
            <w:tcW w:w="1525" w:type="pct"/>
            <w:noWrap/>
          </w:tcPr>
          <w:p w14:paraId="5454D6E2" w14:textId="77777777" w:rsidR="00B02F24" w:rsidRPr="00331CFC" w:rsidRDefault="003612EF" w:rsidP="00331CFC">
            <w:pPr>
              <w:ind w:left="0" w:right="0"/>
              <w:rPr>
                <w:sz w:val="20"/>
                <w:szCs w:val="20"/>
              </w:rPr>
            </w:pPr>
            <w:r w:rsidRPr="00331CFC">
              <w:rPr>
                <w:sz w:val="20"/>
                <w:szCs w:val="20"/>
              </w:rPr>
              <w:lastRenderedPageBreak/>
              <w:t xml:space="preserve">5. </w:t>
            </w:r>
            <w:r w:rsidR="00B02F24" w:rsidRPr="00331CFC">
              <w:rPr>
                <w:sz w:val="20"/>
                <w:szCs w:val="20"/>
              </w:rPr>
              <w:t>Long-term safety following treatment should be added as ‘missing information’. Although the sponsor claims that valid conclusion cann</w:t>
            </w:r>
            <w:r w:rsidR="001F2F15" w:rsidRPr="00331CFC">
              <w:rPr>
                <w:sz w:val="20"/>
                <w:szCs w:val="20"/>
              </w:rPr>
              <w:t xml:space="preserve">ot be drawn due to lack of dose </w:t>
            </w:r>
            <w:r w:rsidR="00B02F24" w:rsidRPr="00331CFC">
              <w:rPr>
                <w:sz w:val="20"/>
                <w:szCs w:val="20"/>
              </w:rPr>
              <w:t>response relationship and the low follow-up ra</w:t>
            </w:r>
            <w:r w:rsidR="001F2F15" w:rsidRPr="00331CFC">
              <w:rPr>
                <w:sz w:val="20"/>
                <w:szCs w:val="20"/>
              </w:rPr>
              <w:t xml:space="preserve">te, data from one year and five </w:t>
            </w:r>
            <w:r w:rsidR="00B02F24" w:rsidRPr="00331CFC">
              <w:rPr>
                <w:sz w:val="20"/>
                <w:szCs w:val="20"/>
              </w:rPr>
              <w:t>year follow-up studies have found hi</w:t>
            </w:r>
            <w:r w:rsidR="00A3396B" w:rsidRPr="00331CFC">
              <w:rPr>
                <w:sz w:val="20"/>
                <w:szCs w:val="20"/>
              </w:rPr>
              <w:t>gher incidence of hearing loss;</w:t>
            </w:r>
            <w:r w:rsidR="00B02F24" w:rsidRPr="00331CFC">
              <w:rPr>
                <w:sz w:val="20"/>
                <w:szCs w:val="20"/>
              </w:rPr>
              <w:t xml:space="preserve"> 4% in treatment group compared to 0% in</w:t>
            </w:r>
            <w:r w:rsidR="00A3396B" w:rsidRPr="00331CFC">
              <w:rPr>
                <w:sz w:val="20"/>
                <w:szCs w:val="20"/>
              </w:rPr>
              <w:t xml:space="preserve"> placebo group; cerebral palsy;</w:t>
            </w:r>
            <w:r w:rsidR="00B02F24" w:rsidRPr="00331CFC">
              <w:rPr>
                <w:sz w:val="20"/>
                <w:szCs w:val="20"/>
              </w:rPr>
              <w:t xml:space="preserve"> 4% in treatment group compared to 1% in placebo group; ne</w:t>
            </w:r>
            <w:r w:rsidR="00A3396B" w:rsidRPr="00331CFC">
              <w:rPr>
                <w:sz w:val="20"/>
                <w:szCs w:val="20"/>
              </w:rPr>
              <w:t>urological impairment;</w:t>
            </w:r>
            <w:r w:rsidR="00B02F24" w:rsidRPr="00331CFC">
              <w:rPr>
                <w:sz w:val="20"/>
                <w:szCs w:val="20"/>
              </w:rPr>
              <w:t xml:space="preserve"> 23% in treatment group compared to 14% in place</w:t>
            </w:r>
            <w:r w:rsidR="00A3396B" w:rsidRPr="00331CFC">
              <w:rPr>
                <w:sz w:val="20"/>
                <w:szCs w:val="20"/>
              </w:rPr>
              <w:t>bo group; and gait disturbance;</w:t>
            </w:r>
            <w:r w:rsidR="00B02F24" w:rsidRPr="00331CFC">
              <w:rPr>
                <w:sz w:val="20"/>
                <w:szCs w:val="20"/>
              </w:rPr>
              <w:t xml:space="preserve"> 16% in treatment group comp</w:t>
            </w:r>
            <w:r w:rsidRPr="00331CFC">
              <w:rPr>
                <w:sz w:val="20"/>
                <w:szCs w:val="20"/>
              </w:rPr>
              <w:t>ared to 2% in placebo group.</w:t>
            </w:r>
          </w:p>
        </w:tc>
        <w:tc>
          <w:tcPr>
            <w:tcW w:w="2358" w:type="pct"/>
            <w:noWrap/>
          </w:tcPr>
          <w:p w14:paraId="55C4896C" w14:textId="77777777" w:rsidR="00B02F24" w:rsidRPr="00331CFC" w:rsidRDefault="00B02F24" w:rsidP="00331CFC">
            <w:pPr>
              <w:ind w:left="0" w:right="0"/>
              <w:rPr>
                <w:noProof/>
                <w:sz w:val="20"/>
                <w:szCs w:val="20"/>
              </w:rPr>
            </w:pPr>
            <w:r w:rsidRPr="00331CFC">
              <w:rPr>
                <w:noProof/>
                <w:sz w:val="20"/>
                <w:szCs w:val="20"/>
              </w:rPr>
              <w:t>In the NINOS study, follo</w:t>
            </w:r>
            <w:r w:rsidR="001F2F15" w:rsidRPr="00331CFC">
              <w:rPr>
                <w:noProof/>
                <w:sz w:val="20"/>
                <w:szCs w:val="20"/>
              </w:rPr>
              <w:t xml:space="preserve">w-up exams were performed at 18 to </w:t>
            </w:r>
            <w:r w:rsidRPr="00331CFC">
              <w:rPr>
                <w:noProof/>
                <w:sz w:val="20"/>
                <w:szCs w:val="20"/>
              </w:rPr>
              <w:t>24 months for infants enrolled in the study. In those available for follow-up, there were no statistically significant differences between the two treatment groups with respect to mental, motor, audiological, visual or neurological evaluations (EU RMP).</w:t>
            </w:r>
          </w:p>
          <w:p w14:paraId="6FD8CE98" w14:textId="77777777" w:rsidR="00B02F24" w:rsidRPr="00331CFC" w:rsidRDefault="00A3396B" w:rsidP="00331CFC">
            <w:pPr>
              <w:ind w:left="0" w:right="0"/>
              <w:rPr>
                <w:noProof/>
                <w:sz w:val="20"/>
                <w:szCs w:val="20"/>
              </w:rPr>
            </w:pPr>
            <w:r w:rsidRPr="00331CFC">
              <w:rPr>
                <w:noProof/>
                <w:sz w:val="20"/>
                <w:szCs w:val="20"/>
              </w:rPr>
              <w:t xml:space="preserve">The overall 5 </w:t>
            </w:r>
            <w:r w:rsidR="00B02F24" w:rsidRPr="00331CFC">
              <w:rPr>
                <w:noProof/>
                <w:sz w:val="20"/>
                <w:szCs w:val="20"/>
              </w:rPr>
              <w:t xml:space="preserve">year follow-up rate of NINOS and CINRGI study subjects was only 25%. These data were based on 43 patients in the placebo group and 55 patients in the inhaled nitric oxide group. Based on this low follow-up rate and inability to come to valid conclusion with available follow-up data, the </w:t>
            </w:r>
            <w:r w:rsidR="000B5B6A" w:rsidRPr="00331CFC">
              <w:rPr>
                <w:noProof/>
                <w:sz w:val="20"/>
                <w:szCs w:val="20"/>
              </w:rPr>
              <w:t>sponsor</w:t>
            </w:r>
            <w:r w:rsidR="00B02F24" w:rsidRPr="00331CFC">
              <w:rPr>
                <w:noProof/>
                <w:sz w:val="20"/>
                <w:szCs w:val="20"/>
              </w:rPr>
              <w:t xml:space="preserve"> does not consider these as valid safety concerns to be added to the ASA table. However, the </w:t>
            </w:r>
            <w:r w:rsidR="000B5B6A" w:rsidRPr="00331CFC">
              <w:rPr>
                <w:noProof/>
                <w:sz w:val="20"/>
                <w:szCs w:val="20"/>
              </w:rPr>
              <w:t>sponsor</w:t>
            </w:r>
            <w:r w:rsidR="00B02F24" w:rsidRPr="00331CFC">
              <w:rPr>
                <w:noProof/>
                <w:sz w:val="20"/>
                <w:szCs w:val="20"/>
              </w:rPr>
              <w:t xml:space="preserve"> will continue to monitor these through routine pharmacovigilance.</w:t>
            </w:r>
          </w:p>
        </w:tc>
        <w:tc>
          <w:tcPr>
            <w:tcW w:w="1118" w:type="pct"/>
            <w:noWrap/>
          </w:tcPr>
          <w:p w14:paraId="6B7A9FAB" w14:textId="77777777" w:rsidR="00B02F24" w:rsidRPr="00331CFC" w:rsidRDefault="00B02F24" w:rsidP="00331CFC">
            <w:pPr>
              <w:ind w:left="0" w:right="0"/>
              <w:rPr>
                <w:sz w:val="20"/>
                <w:szCs w:val="20"/>
              </w:rPr>
            </w:pPr>
            <w:r w:rsidRPr="00331CFC">
              <w:rPr>
                <w:sz w:val="20"/>
                <w:szCs w:val="20"/>
              </w:rPr>
              <w:t>The sp</w:t>
            </w:r>
            <w:r w:rsidR="001F2F15" w:rsidRPr="00331CFC">
              <w:rPr>
                <w:sz w:val="20"/>
                <w:szCs w:val="20"/>
              </w:rPr>
              <w:t>onsor’s response is acceptable.</w:t>
            </w:r>
          </w:p>
        </w:tc>
      </w:tr>
      <w:tr w:rsidR="00B02F24" w:rsidRPr="00331CFC" w14:paraId="2DD4EC70" w14:textId="77777777" w:rsidTr="00B02F24">
        <w:tc>
          <w:tcPr>
            <w:tcW w:w="1525" w:type="pct"/>
            <w:noWrap/>
          </w:tcPr>
          <w:p w14:paraId="3B2A2B56" w14:textId="77777777" w:rsidR="00B02F24" w:rsidRPr="00331CFC" w:rsidRDefault="00A3396B" w:rsidP="00331CFC">
            <w:pPr>
              <w:ind w:left="0" w:right="0"/>
              <w:rPr>
                <w:sz w:val="20"/>
                <w:szCs w:val="20"/>
              </w:rPr>
            </w:pPr>
            <w:r w:rsidRPr="00331CFC">
              <w:rPr>
                <w:sz w:val="20"/>
                <w:szCs w:val="20"/>
              </w:rPr>
              <w:t xml:space="preserve">6. </w:t>
            </w:r>
            <w:r w:rsidR="00B02F24" w:rsidRPr="00331CFC">
              <w:rPr>
                <w:sz w:val="20"/>
                <w:szCs w:val="20"/>
              </w:rPr>
              <w:t xml:space="preserve">The safety concern list should include risks related to both ingredients and the delivery system. The risk of ‘abrupt discontinuation of INOmax therapy in the event of critical failure of the delivery system’ and </w:t>
            </w:r>
            <w:r w:rsidR="00B02F24" w:rsidRPr="00331CFC">
              <w:rPr>
                <w:sz w:val="20"/>
                <w:szCs w:val="20"/>
              </w:rPr>
              <w:lastRenderedPageBreak/>
              <w:t>‘dose errors associated with the delivery system’ should also be added as importa</w:t>
            </w:r>
            <w:r w:rsidR="001F2F15" w:rsidRPr="00331CFC">
              <w:rPr>
                <w:sz w:val="20"/>
                <w:szCs w:val="20"/>
              </w:rPr>
              <w:t>nt identified risks in the ASA.</w:t>
            </w:r>
          </w:p>
        </w:tc>
        <w:tc>
          <w:tcPr>
            <w:tcW w:w="2358" w:type="pct"/>
            <w:noWrap/>
          </w:tcPr>
          <w:p w14:paraId="5BCD5E8D" w14:textId="77777777" w:rsidR="00B02F24" w:rsidRPr="00331CFC" w:rsidRDefault="00B02F24" w:rsidP="00331CFC">
            <w:pPr>
              <w:ind w:left="0" w:right="0"/>
              <w:rPr>
                <w:sz w:val="20"/>
                <w:szCs w:val="20"/>
              </w:rPr>
            </w:pPr>
            <w:r w:rsidRPr="00331CFC">
              <w:rPr>
                <w:sz w:val="20"/>
                <w:szCs w:val="20"/>
              </w:rPr>
              <w:lastRenderedPageBreak/>
              <w:t>As INOmax delivery system is registered and approved as a medical device, it has its own risk assessment and management documents as required by ISO 14971 and Australian medical device regulations.</w:t>
            </w:r>
          </w:p>
          <w:p w14:paraId="70B13F08" w14:textId="77777777" w:rsidR="00B02F24" w:rsidRPr="00331CFC" w:rsidRDefault="00B02F24" w:rsidP="00331CFC">
            <w:pPr>
              <w:ind w:left="0" w:right="0"/>
              <w:rPr>
                <w:sz w:val="20"/>
                <w:szCs w:val="20"/>
              </w:rPr>
            </w:pPr>
            <w:r w:rsidRPr="00331CFC">
              <w:rPr>
                <w:sz w:val="20"/>
                <w:szCs w:val="20"/>
              </w:rPr>
              <w:t xml:space="preserve">With regard to “abrupt discontinuation of INOmax therapy”, the </w:t>
            </w:r>
            <w:r w:rsidR="000B5B6A" w:rsidRPr="00331CFC">
              <w:rPr>
                <w:sz w:val="20"/>
                <w:szCs w:val="20"/>
              </w:rPr>
              <w:t>sponsor</w:t>
            </w:r>
            <w:r w:rsidRPr="00331CFC">
              <w:rPr>
                <w:sz w:val="20"/>
                <w:szCs w:val="20"/>
              </w:rPr>
              <w:t xml:space="preserve"> wishes to draw attention to item 4 on the ASA table, </w:t>
            </w:r>
            <w:r w:rsidRPr="00331CFC">
              <w:rPr>
                <w:sz w:val="20"/>
                <w:szCs w:val="20"/>
              </w:rPr>
              <w:lastRenderedPageBreak/>
              <w:t xml:space="preserve">which discusses rebound pulmonary hypertension following abrupt withdrawal of INOmax, regardless of causes, as an important identified risk. Additionally, item 7 on the ASA discusses critical failure which includes device failures. Therefore, the </w:t>
            </w:r>
            <w:r w:rsidR="000B5B6A" w:rsidRPr="00331CFC">
              <w:rPr>
                <w:sz w:val="20"/>
                <w:szCs w:val="20"/>
              </w:rPr>
              <w:t>sponsor</w:t>
            </w:r>
            <w:r w:rsidRPr="00331CFC">
              <w:rPr>
                <w:sz w:val="20"/>
                <w:szCs w:val="20"/>
              </w:rPr>
              <w:t xml:space="preserve"> believes that, although the ASA table currently describes such a risk, the </w:t>
            </w:r>
            <w:r w:rsidR="001F2F15" w:rsidRPr="00331CFC">
              <w:rPr>
                <w:sz w:val="20"/>
                <w:szCs w:val="20"/>
              </w:rPr>
              <w:t>PI</w:t>
            </w:r>
            <w:r w:rsidRPr="00331CFC">
              <w:rPr>
                <w:sz w:val="20"/>
                <w:szCs w:val="20"/>
              </w:rPr>
              <w:t xml:space="preserve"> describing the nitric oxide delivery system should be amended to describe important device safety requirements engineered into the INOmax DSIR to mitigate these risks.</w:t>
            </w:r>
          </w:p>
          <w:p w14:paraId="5ACC00C1" w14:textId="77777777" w:rsidR="00B02F24" w:rsidRPr="00331CFC" w:rsidRDefault="00B02F24" w:rsidP="00331CFC">
            <w:pPr>
              <w:ind w:left="0" w:right="0"/>
              <w:rPr>
                <w:sz w:val="20"/>
                <w:szCs w:val="20"/>
              </w:rPr>
            </w:pPr>
            <w:r w:rsidRPr="00331CFC">
              <w:rPr>
                <w:sz w:val="20"/>
                <w:szCs w:val="20"/>
              </w:rPr>
              <w:t>The abrupt discontinuation of INOmax therapy may be caused at least by two reasons:</w:t>
            </w:r>
          </w:p>
          <w:p w14:paraId="5F45C6DA" w14:textId="77777777" w:rsidR="00B02F24" w:rsidRPr="00331CFC" w:rsidRDefault="00B02F24" w:rsidP="00331CFC">
            <w:pPr>
              <w:ind w:left="0" w:right="0"/>
              <w:rPr>
                <w:sz w:val="20"/>
                <w:szCs w:val="20"/>
              </w:rPr>
            </w:pPr>
            <w:r w:rsidRPr="00331CFC">
              <w:rPr>
                <w:sz w:val="20"/>
                <w:szCs w:val="20"/>
              </w:rPr>
              <w:t>Use error when the instruction to gradually wean off INOmax in the PI is not followed.</w:t>
            </w:r>
          </w:p>
          <w:p w14:paraId="12EA71C3" w14:textId="77777777" w:rsidR="00B02F24" w:rsidRPr="00331CFC" w:rsidRDefault="00B02F24" w:rsidP="00331CFC">
            <w:pPr>
              <w:ind w:left="0" w:right="0"/>
              <w:rPr>
                <w:sz w:val="20"/>
                <w:szCs w:val="20"/>
              </w:rPr>
            </w:pPr>
            <w:r w:rsidRPr="00331CFC">
              <w:rPr>
                <w:sz w:val="20"/>
                <w:szCs w:val="20"/>
              </w:rPr>
              <w:t xml:space="preserve">INOmax delivery device defect. To mitigate the risk of abrupt discontinuation of INOmax therapy, INOmax delivery </w:t>
            </w:r>
            <w:r w:rsidR="001F2F15" w:rsidRPr="00331CFC">
              <w:rPr>
                <w:sz w:val="20"/>
                <w:szCs w:val="20"/>
              </w:rPr>
              <w:t>system has two back-up systems;</w:t>
            </w:r>
            <w:r w:rsidRPr="00331CFC">
              <w:rPr>
                <w:sz w:val="20"/>
                <w:szCs w:val="20"/>
              </w:rPr>
              <w:t xml:space="preserve"> an integrated back-up system incorporated into the primary delivery system that allows back-up nitric oxide delivery while the patient remains mechanically ventilated, and an independent back-up system the </w:t>
            </w:r>
            <w:proofErr w:type="spellStart"/>
            <w:r w:rsidRPr="00331CFC">
              <w:rPr>
                <w:sz w:val="20"/>
                <w:szCs w:val="20"/>
              </w:rPr>
              <w:t>INOblender</w:t>
            </w:r>
            <w:proofErr w:type="spellEnd"/>
            <w:r w:rsidRPr="00331CFC">
              <w:rPr>
                <w:sz w:val="20"/>
                <w:szCs w:val="20"/>
              </w:rPr>
              <w:t xml:space="preserve">, that is mounted below the primary delivery system on the “cart” containing the delivery system and drug cylinders, and is able to deliver nitric oxide while the patient is manually ventilated. Both back-up systems are pneumatic, thus being able to operate without main electrical power or battery power. In the interest of patient safety, and in order to minimize the risk of rebound pulmonary hypertension, all Ikaria nitric oxide delivery systems provided to hospitals have an integrated and independent back-up system. In this way, if the primary delivery fails, the INOmax delivery system alerts users in order to initiate one of the two back-up delivery approaches. Ikaria Australia has been providing user training routinely to relevant hospital personnel, </w:t>
            </w:r>
            <w:r w:rsidR="001F2F15" w:rsidRPr="00331CFC">
              <w:rPr>
                <w:sz w:val="20"/>
                <w:szCs w:val="20"/>
              </w:rPr>
              <w:t xml:space="preserve">and ongoing 24 </w:t>
            </w:r>
            <w:r w:rsidRPr="00331CFC">
              <w:rPr>
                <w:sz w:val="20"/>
                <w:szCs w:val="20"/>
              </w:rPr>
              <w:t>hour, 7 days a week technical support service, on the proper use of INOmax delivery system to mitigate patient risks.</w:t>
            </w:r>
          </w:p>
          <w:p w14:paraId="471B1424" w14:textId="77777777" w:rsidR="00B02F24" w:rsidRPr="00331CFC" w:rsidRDefault="00B02F24" w:rsidP="00331CFC">
            <w:pPr>
              <w:ind w:left="0" w:right="0"/>
              <w:rPr>
                <w:sz w:val="20"/>
                <w:szCs w:val="20"/>
              </w:rPr>
            </w:pPr>
            <w:r w:rsidRPr="00331CFC">
              <w:rPr>
                <w:sz w:val="20"/>
                <w:szCs w:val="20"/>
              </w:rPr>
              <w:t xml:space="preserve">With regard to “dose errors associated with the delivery system”, the </w:t>
            </w:r>
            <w:r w:rsidR="000B5B6A" w:rsidRPr="00331CFC">
              <w:rPr>
                <w:sz w:val="20"/>
                <w:szCs w:val="20"/>
              </w:rPr>
              <w:t>sponsor</w:t>
            </w:r>
            <w:r w:rsidRPr="00331CFC">
              <w:rPr>
                <w:sz w:val="20"/>
                <w:szCs w:val="20"/>
              </w:rPr>
              <w:t xml:space="preserve"> wishes to draw attention to Section 3.4 of ASA, which </w:t>
            </w:r>
            <w:r w:rsidRPr="00331CFC">
              <w:rPr>
                <w:sz w:val="20"/>
                <w:szCs w:val="20"/>
              </w:rPr>
              <w:lastRenderedPageBreak/>
              <w:t>discusses potential for medication errors. There is very low to negligible potential for medication error including dose error for the following reasons:</w:t>
            </w:r>
          </w:p>
          <w:p w14:paraId="74E07BCC" w14:textId="77777777" w:rsidR="00B02F24" w:rsidRPr="00331CFC" w:rsidRDefault="00B02F24" w:rsidP="00331CFC">
            <w:pPr>
              <w:ind w:left="0" w:right="0"/>
              <w:rPr>
                <w:sz w:val="20"/>
                <w:szCs w:val="20"/>
              </w:rPr>
            </w:pPr>
            <w:r w:rsidRPr="00331CFC">
              <w:rPr>
                <w:sz w:val="20"/>
                <w:szCs w:val="20"/>
              </w:rPr>
              <w:t>To ensure accurate INOmax dose is delivered, INOmax delivery system has a specially designed injector module and an internal flow sensor, which enables tracking of the ventilator waveforms and the delivery of a synchronized and proportional dose of NO.</w:t>
            </w:r>
          </w:p>
          <w:p w14:paraId="62FA2F54" w14:textId="77777777" w:rsidR="00B02F24" w:rsidRPr="00331CFC" w:rsidRDefault="00B02F24" w:rsidP="00331CFC">
            <w:pPr>
              <w:ind w:left="0" w:right="0"/>
              <w:rPr>
                <w:sz w:val="20"/>
                <w:szCs w:val="20"/>
              </w:rPr>
            </w:pPr>
            <w:r w:rsidRPr="00331CFC">
              <w:rPr>
                <w:sz w:val="20"/>
                <w:szCs w:val="20"/>
              </w:rPr>
              <w:t>The INOmax delivery system has integrated monitoring of NO level of patient’s inspired gas. Every INOmax delivery system is/shall be calibrated with NO Cal gas.</w:t>
            </w:r>
          </w:p>
          <w:p w14:paraId="32F68AD9" w14:textId="77777777" w:rsidR="00B02F24" w:rsidRPr="00331CFC" w:rsidRDefault="00B02F24" w:rsidP="00331CFC">
            <w:pPr>
              <w:ind w:left="0" w:right="0"/>
              <w:rPr>
                <w:sz w:val="20"/>
                <w:szCs w:val="20"/>
              </w:rPr>
            </w:pPr>
            <w:r w:rsidRPr="00331CFC">
              <w:rPr>
                <w:sz w:val="20"/>
                <w:szCs w:val="20"/>
              </w:rPr>
              <w:t>When monitored NO level is not consistent with set NO dose, the INOmax delivery system alerts users for system check.</w:t>
            </w:r>
          </w:p>
          <w:p w14:paraId="37397ECC" w14:textId="77DAC8F7" w:rsidR="00B02F24" w:rsidRPr="00331CFC" w:rsidRDefault="00B02F24" w:rsidP="00331CFC">
            <w:pPr>
              <w:ind w:left="0" w:right="0"/>
              <w:rPr>
                <w:sz w:val="20"/>
                <w:szCs w:val="20"/>
              </w:rPr>
            </w:pPr>
            <w:r w:rsidRPr="00331CFC">
              <w:rPr>
                <w:sz w:val="20"/>
                <w:szCs w:val="20"/>
              </w:rPr>
              <w:t>INOmax is supplied as a single strength product in Australia. Ikaria Australia provides relevant hospital personnel training, and ongoing 24</w:t>
            </w:r>
            <w:r w:rsidR="00EE137F" w:rsidRPr="00331CFC">
              <w:rPr>
                <w:sz w:val="20"/>
                <w:szCs w:val="20"/>
              </w:rPr>
              <w:t xml:space="preserve"> </w:t>
            </w:r>
            <w:r w:rsidRPr="00331CFC">
              <w:rPr>
                <w:sz w:val="20"/>
                <w:szCs w:val="20"/>
              </w:rPr>
              <w:t>hour, 7 days a week technical support service, on the proper use of INOmax delivery system to mitigate patient risks including dose errors.</w:t>
            </w:r>
          </w:p>
          <w:p w14:paraId="33C23B64" w14:textId="77777777" w:rsidR="00B02F24" w:rsidRPr="00331CFC" w:rsidRDefault="00B02F24" w:rsidP="00331CFC">
            <w:pPr>
              <w:ind w:left="0" w:right="0"/>
              <w:rPr>
                <w:sz w:val="20"/>
                <w:szCs w:val="20"/>
              </w:rPr>
            </w:pPr>
            <w:r w:rsidRPr="00331CFC">
              <w:rPr>
                <w:sz w:val="20"/>
                <w:szCs w:val="20"/>
              </w:rPr>
              <w:t xml:space="preserve">Therefore, the </w:t>
            </w:r>
            <w:r w:rsidR="000B5B6A" w:rsidRPr="00331CFC">
              <w:rPr>
                <w:sz w:val="20"/>
                <w:szCs w:val="20"/>
              </w:rPr>
              <w:t>sponsor</w:t>
            </w:r>
            <w:r w:rsidRPr="00331CFC">
              <w:rPr>
                <w:sz w:val="20"/>
                <w:szCs w:val="20"/>
              </w:rPr>
              <w:t xml:space="preserve"> believes no addition shall be made to ASA.</w:t>
            </w:r>
          </w:p>
        </w:tc>
        <w:tc>
          <w:tcPr>
            <w:tcW w:w="1118" w:type="pct"/>
            <w:noWrap/>
          </w:tcPr>
          <w:p w14:paraId="3D6D38A8" w14:textId="77777777" w:rsidR="00B02F24" w:rsidRPr="00331CFC" w:rsidRDefault="00B02F24" w:rsidP="00331CFC">
            <w:pPr>
              <w:ind w:left="0" w:right="0"/>
              <w:rPr>
                <w:sz w:val="20"/>
                <w:szCs w:val="20"/>
              </w:rPr>
            </w:pPr>
            <w:r w:rsidRPr="00331CFC">
              <w:rPr>
                <w:sz w:val="20"/>
                <w:szCs w:val="20"/>
              </w:rPr>
              <w:lastRenderedPageBreak/>
              <w:t xml:space="preserve">The sponsor’s approach in amending the PI document to provide warning against the risk of abrupt discontinuation of </w:t>
            </w:r>
            <w:r w:rsidRPr="00331CFC">
              <w:rPr>
                <w:sz w:val="20"/>
                <w:szCs w:val="20"/>
              </w:rPr>
              <w:lastRenderedPageBreak/>
              <w:t xml:space="preserve">INOmax therapy in the event of critical failure of the </w:t>
            </w:r>
            <w:r w:rsidR="001F2F15" w:rsidRPr="00331CFC">
              <w:rPr>
                <w:sz w:val="20"/>
                <w:szCs w:val="20"/>
              </w:rPr>
              <w:t>delivery system’ is acceptable.</w:t>
            </w:r>
          </w:p>
          <w:p w14:paraId="222349E4" w14:textId="77777777" w:rsidR="00B02F24" w:rsidRPr="00331CFC" w:rsidRDefault="00B02F24" w:rsidP="00331CFC">
            <w:pPr>
              <w:ind w:left="0" w:right="0"/>
              <w:rPr>
                <w:sz w:val="20"/>
                <w:szCs w:val="20"/>
              </w:rPr>
            </w:pPr>
            <w:r w:rsidRPr="00331CFC">
              <w:rPr>
                <w:sz w:val="20"/>
                <w:szCs w:val="20"/>
              </w:rPr>
              <w:t>However, it should be noted that following the first round RMP evaluation report dated 18 December 2014 in which the relevant recommendations were first made, the UK regulator MHRA publis</w:t>
            </w:r>
            <w:r w:rsidR="001F2F15" w:rsidRPr="00331CFC">
              <w:rPr>
                <w:sz w:val="20"/>
                <w:szCs w:val="20"/>
              </w:rPr>
              <w:t>hed a drug safety update for INO</w:t>
            </w:r>
            <w:r w:rsidRPr="00331CFC">
              <w:rPr>
                <w:sz w:val="20"/>
                <w:szCs w:val="20"/>
              </w:rPr>
              <w:t>max on 16 February 2015</w:t>
            </w:r>
            <w:r w:rsidR="00A3396B" w:rsidRPr="00331CFC">
              <w:rPr>
                <w:sz w:val="20"/>
                <w:szCs w:val="20"/>
              </w:rPr>
              <w:t>.</w:t>
            </w:r>
            <w:bookmarkStart w:id="129" w:name="_Ref477270526"/>
            <w:r w:rsidR="00A3396B" w:rsidRPr="00331CFC">
              <w:rPr>
                <w:rStyle w:val="FootnoteReference"/>
                <w:rFonts w:asciiTheme="minorHAnsi" w:hAnsiTheme="minorHAnsi"/>
                <w:sz w:val="20"/>
                <w:szCs w:val="20"/>
              </w:rPr>
              <w:footnoteReference w:id="36"/>
            </w:r>
            <w:bookmarkEnd w:id="129"/>
          </w:p>
          <w:p w14:paraId="3ED686E5" w14:textId="77777777" w:rsidR="00B02F24" w:rsidRPr="00331CFC" w:rsidRDefault="00B02F24" w:rsidP="00331CFC">
            <w:pPr>
              <w:ind w:left="0" w:right="0"/>
              <w:rPr>
                <w:sz w:val="20"/>
                <w:szCs w:val="20"/>
              </w:rPr>
            </w:pPr>
            <w:r w:rsidRPr="00331CFC">
              <w:rPr>
                <w:sz w:val="20"/>
                <w:szCs w:val="20"/>
              </w:rPr>
              <w:t xml:space="preserve">This update confirmed the issue of potential failure of the delivery system </w:t>
            </w:r>
            <w:proofErr w:type="gramStart"/>
            <w:r w:rsidRPr="00331CFC">
              <w:rPr>
                <w:sz w:val="20"/>
                <w:szCs w:val="20"/>
              </w:rPr>
              <w:t>raised</w:t>
            </w:r>
            <w:proofErr w:type="gramEnd"/>
            <w:r w:rsidRPr="00331CFC">
              <w:rPr>
                <w:sz w:val="20"/>
                <w:szCs w:val="20"/>
              </w:rPr>
              <w:t xml:space="preserve"> in the RMP evaluation report and provided warning against the risk of ‘valve defect stopping gas delivery early in some cylinders’. Users were reminded to ‘</w:t>
            </w:r>
            <w:r w:rsidRPr="00331CFC">
              <w:rPr>
                <w:i/>
                <w:sz w:val="20"/>
                <w:szCs w:val="20"/>
              </w:rPr>
              <w:t>always have a full spare cylinder loaded on the delivery device so the cylinders can be switched without delay</w:t>
            </w:r>
            <w:r w:rsidR="001F2F15" w:rsidRPr="00331CFC">
              <w:rPr>
                <w:sz w:val="20"/>
                <w:szCs w:val="20"/>
              </w:rPr>
              <w:t>’.</w:t>
            </w:r>
          </w:p>
          <w:p w14:paraId="4701DB94" w14:textId="77777777" w:rsidR="00B02F24" w:rsidRPr="00331CFC" w:rsidRDefault="00B02F24" w:rsidP="00331CFC">
            <w:pPr>
              <w:ind w:left="0" w:right="0"/>
              <w:rPr>
                <w:sz w:val="20"/>
                <w:szCs w:val="20"/>
              </w:rPr>
            </w:pPr>
            <w:r w:rsidRPr="00331CFC">
              <w:rPr>
                <w:sz w:val="20"/>
                <w:szCs w:val="20"/>
              </w:rPr>
              <w:t xml:space="preserve">It is recommended that the Delegate considers the adequacy of PI in the context of the recommendations made by the RMP evaluator and the MHRA drug safety </w:t>
            </w:r>
            <w:r w:rsidRPr="00331CFC">
              <w:rPr>
                <w:sz w:val="20"/>
                <w:szCs w:val="20"/>
              </w:rPr>
              <w:lastRenderedPageBreak/>
              <w:t>update.</w:t>
            </w:r>
          </w:p>
          <w:p w14:paraId="2D51952F" w14:textId="699AEF4A" w:rsidR="00B02F24" w:rsidRPr="00331CFC" w:rsidRDefault="00B02F24" w:rsidP="00331CFC">
            <w:pPr>
              <w:ind w:left="0" w:right="0"/>
              <w:rPr>
                <w:sz w:val="20"/>
                <w:szCs w:val="20"/>
              </w:rPr>
            </w:pPr>
            <w:r w:rsidRPr="00331CFC">
              <w:rPr>
                <w:sz w:val="20"/>
                <w:szCs w:val="20"/>
              </w:rPr>
              <w:t xml:space="preserve">The sponsor’s response regarding ‘dose errors associated with the </w:t>
            </w:r>
            <w:r w:rsidR="00A54259" w:rsidRPr="00331CFC">
              <w:rPr>
                <w:sz w:val="20"/>
                <w:szCs w:val="20"/>
              </w:rPr>
              <w:t>delivery system’ is acceptable.</w:t>
            </w:r>
          </w:p>
        </w:tc>
      </w:tr>
      <w:tr w:rsidR="00B02F24" w:rsidRPr="00331CFC" w14:paraId="15413F48" w14:textId="77777777" w:rsidTr="00B02F24">
        <w:tc>
          <w:tcPr>
            <w:tcW w:w="1525" w:type="pct"/>
            <w:noWrap/>
          </w:tcPr>
          <w:p w14:paraId="5C7F5FA6" w14:textId="77777777" w:rsidR="00B02F24" w:rsidRPr="00331CFC" w:rsidRDefault="005E343C" w:rsidP="00331CFC">
            <w:pPr>
              <w:ind w:left="0" w:right="0"/>
              <w:rPr>
                <w:sz w:val="20"/>
                <w:szCs w:val="20"/>
              </w:rPr>
            </w:pPr>
            <w:r w:rsidRPr="00331CFC">
              <w:rPr>
                <w:sz w:val="20"/>
                <w:szCs w:val="20"/>
              </w:rPr>
              <w:lastRenderedPageBreak/>
              <w:t xml:space="preserve">7. </w:t>
            </w:r>
            <w:r w:rsidR="00B02F24" w:rsidRPr="00331CFC">
              <w:rPr>
                <w:sz w:val="20"/>
                <w:szCs w:val="20"/>
              </w:rPr>
              <w:t>The pharmacovigilance and risk minimisation sections should be updated accordingly to provide plans fo</w:t>
            </w:r>
            <w:r w:rsidR="001F2F15" w:rsidRPr="00331CFC">
              <w:rPr>
                <w:sz w:val="20"/>
                <w:szCs w:val="20"/>
              </w:rPr>
              <w:t>r managing these safety issues.</w:t>
            </w:r>
          </w:p>
        </w:tc>
        <w:tc>
          <w:tcPr>
            <w:tcW w:w="2358" w:type="pct"/>
            <w:noWrap/>
          </w:tcPr>
          <w:p w14:paraId="1D8550C7" w14:textId="77777777" w:rsidR="00B02F24" w:rsidRPr="00331CFC" w:rsidRDefault="00B02F24" w:rsidP="00331CFC">
            <w:pPr>
              <w:ind w:left="0" w:right="0"/>
              <w:rPr>
                <w:sz w:val="20"/>
                <w:szCs w:val="20"/>
              </w:rPr>
            </w:pPr>
            <w:r w:rsidRPr="00331CFC">
              <w:rPr>
                <w:sz w:val="20"/>
                <w:szCs w:val="20"/>
              </w:rPr>
              <w:t xml:space="preserve">Please refer to the revised </w:t>
            </w:r>
            <w:r w:rsidR="001F2F15" w:rsidRPr="00331CFC">
              <w:rPr>
                <w:sz w:val="20"/>
                <w:szCs w:val="20"/>
              </w:rPr>
              <w:t>ASA</w:t>
            </w:r>
            <w:r w:rsidRPr="00331CFC">
              <w:rPr>
                <w:sz w:val="20"/>
                <w:szCs w:val="20"/>
              </w:rPr>
              <w:t xml:space="preserve"> (Version 2 dated 06 March 2015), clean and annotated versions) attached to this response.</w:t>
            </w:r>
          </w:p>
        </w:tc>
        <w:tc>
          <w:tcPr>
            <w:tcW w:w="1118" w:type="pct"/>
            <w:noWrap/>
          </w:tcPr>
          <w:p w14:paraId="1E78A43B" w14:textId="77777777" w:rsidR="00B02F24" w:rsidRPr="00331CFC" w:rsidRDefault="00B02F24" w:rsidP="00331CFC">
            <w:pPr>
              <w:ind w:left="0" w:right="0"/>
              <w:rPr>
                <w:sz w:val="20"/>
                <w:szCs w:val="20"/>
              </w:rPr>
            </w:pPr>
            <w:r w:rsidRPr="00331CFC">
              <w:rPr>
                <w:sz w:val="20"/>
                <w:szCs w:val="20"/>
              </w:rPr>
              <w:t>The sp</w:t>
            </w:r>
            <w:r w:rsidR="001F2F15" w:rsidRPr="00331CFC">
              <w:rPr>
                <w:sz w:val="20"/>
                <w:szCs w:val="20"/>
              </w:rPr>
              <w:t>onsor’s response is acceptable.</w:t>
            </w:r>
          </w:p>
        </w:tc>
      </w:tr>
      <w:tr w:rsidR="00B02F24" w:rsidRPr="00331CFC" w14:paraId="06F9D055" w14:textId="77777777" w:rsidTr="00B02F24">
        <w:tc>
          <w:tcPr>
            <w:tcW w:w="1525" w:type="pct"/>
            <w:noWrap/>
          </w:tcPr>
          <w:p w14:paraId="03256A74" w14:textId="77777777" w:rsidR="00B02F24" w:rsidRPr="00331CFC" w:rsidRDefault="005E343C" w:rsidP="00331CFC">
            <w:pPr>
              <w:ind w:left="0" w:right="0"/>
              <w:rPr>
                <w:sz w:val="20"/>
                <w:szCs w:val="20"/>
              </w:rPr>
            </w:pPr>
            <w:r w:rsidRPr="00331CFC">
              <w:rPr>
                <w:sz w:val="20"/>
                <w:szCs w:val="20"/>
              </w:rPr>
              <w:t xml:space="preserve">8. </w:t>
            </w:r>
            <w:r w:rsidR="00B02F24" w:rsidRPr="00331CFC">
              <w:rPr>
                <w:sz w:val="20"/>
                <w:szCs w:val="20"/>
              </w:rPr>
              <w:t xml:space="preserve">The sponsor should clarify whether the additional education materials are provided to the healthcare professionals for the </w:t>
            </w:r>
            <w:r w:rsidR="001F2F15" w:rsidRPr="00331CFC">
              <w:rPr>
                <w:sz w:val="20"/>
                <w:szCs w:val="20"/>
              </w:rPr>
              <w:t>treatment of PPHN.</w:t>
            </w:r>
          </w:p>
        </w:tc>
        <w:tc>
          <w:tcPr>
            <w:tcW w:w="2358" w:type="pct"/>
            <w:noWrap/>
          </w:tcPr>
          <w:p w14:paraId="4D718795" w14:textId="77777777" w:rsidR="00B02F24" w:rsidRPr="00331CFC" w:rsidRDefault="00B02F24" w:rsidP="00331CFC">
            <w:pPr>
              <w:ind w:left="0" w:right="0"/>
              <w:rPr>
                <w:sz w:val="20"/>
                <w:szCs w:val="20"/>
              </w:rPr>
            </w:pPr>
            <w:r w:rsidRPr="00331CFC">
              <w:rPr>
                <w:sz w:val="20"/>
                <w:szCs w:val="20"/>
              </w:rPr>
              <w:t>The healthcare professionals who will receive the educational pack are cardiothoracic surgeons and other health care professionals such as anaesthetists, and paediatric intensivists who work with the paediatric cardiac surgery team and who manage patients who are planned to have surgery for congenital heart disease.</w:t>
            </w:r>
          </w:p>
        </w:tc>
        <w:tc>
          <w:tcPr>
            <w:tcW w:w="1118" w:type="pct"/>
            <w:noWrap/>
          </w:tcPr>
          <w:p w14:paraId="176B35C0" w14:textId="77777777" w:rsidR="00B02F24" w:rsidRPr="00331CFC" w:rsidRDefault="00B02F24" w:rsidP="00331CFC">
            <w:pPr>
              <w:ind w:left="0" w:right="0"/>
              <w:rPr>
                <w:sz w:val="20"/>
                <w:szCs w:val="20"/>
              </w:rPr>
            </w:pPr>
            <w:r w:rsidRPr="00331CFC">
              <w:rPr>
                <w:sz w:val="20"/>
                <w:szCs w:val="20"/>
              </w:rPr>
              <w:t>The spon</w:t>
            </w:r>
            <w:r w:rsidR="001F2F15" w:rsidRPr="00331CFC">
              <w:rPr>
                <w:sz w:val="20"/>
                <w:szCs w:val="20"/>
              </w:rPr>
              <w:t>sor’s response is satisfactory.</w:t>
            </w:r>
          </w:p>
        </w:tc>
      </w:tr>
      <w:tr w:rsidR="00B02F24" w:rsidRPr="00331CFC" w14:paraId="62F49E7A" w14:textId="77777777" w:rsidTr="00B02F24">
        <w:tc>
          <w:tcPr>
            <w:tcW w:w="1525" w:type="pct"/>
            <w:noWrap/>
          </w:tcPr>
          <w:p w14:paraId="38BA0E97" w14:textId="77777777" w:rsidR="00B02F24" w:rsidRPr="00331CFC" w:rsidRDefault="005E343C" w:rsidP="00331CFC">
            <w:pPr>
              <w:ind w:left="0" w:right="0"/>
              <w:rPr>
                <w:sz w:val="20"/>
                <w:szCs w:val="20"/>
              </w:rPr>
            </w:pPr>
            <w:r w:rsidRPr="00331CFC">
              <w:rPr>
                <w:sz w:val="20"/>
                <w:szCs w:val="20"/>
              </w:rPr>
              <w:t xml:space="preserve">9. </w:t>
            </w:r>
            <w:r w:rsidR="00B02F24" w:rsidRPr="00331CFC">
              <w:rPr>
                <w:sz w:val="20"/>
                <w:szCs w:val="20"/>
              </w:rPr>
              <w:t xml:space="preserve">The sponsor should explain the difference between a test gas cylinder and a treatment gas cylinder; and the safety issues related to using a test gas cylinder for treatment purpose. The sponsor should clarify whether test </w:t>
            </w:r>
            <w:r w:rsidR="00B02F24" w:rsidRPr="00331CFC">
              <w:rPr>
                <w:sz w:val="20"/>
                <w:szCs w:val="20"/>
              </w:rPr>
              <w:lastRenderedPageBreak/>
              <w:t>gas cylinders are available in Australia. If so, how it plans to mitigate the risk of using test gas cylinders for treatment purpose and the risk of accidental exposure of health staff to INOm</w:t>
            </w:r>
            <w:r w:rsidR="001F2F15" w:rsidRPr="00331CFC">
              <w:rPr>
                <w:sz w:val="20"/>
                <w:szCs w:val="20"/>
              </w:rPr>
              <w:t>ax during the training process.</w:t>
            </w:r>
          </w:p>
        </w:tc>
        <w:tc>
          <w:tcPr>
            <w:tcW w:w="2358" w:type="pct"/>
            <w:noWrap/>
          </w:tcPr>
          <w:p w14:paraId="54CE9C28" w14:textId="77777777" w:rsidR="00B02F24" w:rsidRPr="00331CFC" w:rsidRDefault="00B02F24" w:rsidP="00331CFC">
            <w:pPr>
              <w:ind w:left="0" w:right="0"/>
              <w:rPr>
                <w:sz w:val="20"/>
                <w:szCs w:val="20"/>
              </w:rPr>
            </w:pPr>
            <w:r w:rsidRPr="00331CFC">
              <w:rPr>
                <w:sz w:val="20"/>
                <w:szCs w:val="20"/>
              </w:rPr>
              <w:lastRenderedPageBreak/>
              <w:t>Test gas cylinders are available in Australia but there is no risk of using test gas cylinders for treatment purposes or accidental exposure of health staff to INOmax during the training process, for the reasons outlined below:</w:t>
            </w:r>
          </w:p>
          <w:p w14:paraId="15499A8D" w14:textId="77777777" w:rsidR="00B02F24" w:rsidRPr="00331CFC" w:rsidRDefault="00B02F24" w:rsidP="00331CFC">
            <w:pPr>
              <w:ind w:left="0" w:right="0"/>
              <w:rPr>
                <w:sz w:val="20"/>
                <w:szCs w:val="20"/>
              </w:rPr>
            </w:pPr>
            <w:r w:rsidRPr="00331CFC">
              <w:rPr>
                <w:sz w:val="20"/>
                <w:szCs w:val="20"/>
              </w:rPr>
              <w:t xml:space="preserve">Test gas cylinders are used to calibrate the delivery device (INOmax DSIR). It is not possible to connect these cylinders to the </w:t>
            </w:r>
            <w:r w:rsidRPr="00331CFC">
              <w:rPr>
                <w:sz w:val="20"/>
                <w:szCs w:val="20"/>
              </w:rPr>
              <w:lastRenderedPageBreak/>
              <w:t>delivery device in any way that gas could be delivered to a patient. When the device is in calibration mode and test gas is connected, delivery to a patient is not possible. Test gas cylinders are kept outside of the intensive care unit.</w:t>
            </w:r>
          </w:p>
          <w:p w14:paraId="43BADBE7" w14:textId="77777777" w:rsidR="00B02F24" w:rsidRPr="00331CFC" w:rsidRDefault="00B02F24" w:rsidP="00331CFC">
            <w:pPr>
              <w:ind w:left="0" w:right="0"/>
              <w:rPr>
                <w:sz w:val="20"/>
                <w:szCs w:val="20"/>
              </w:rPr>
            </w:pPr>
            <w:r w:rsidRPr="00331CFC">
              <w:rPr>
                <w:sz w:val="20"/>
                <w:szCs w:val="20"/>
              </w:rPr>
              <w:t>The size of test gas cylinder is 39 litres. The size of treatment cylinder is 1963 litres for “88” cylinder and 353 litres for “D” size cylinder. The monitoring CPU acts completely independently to the delivery CPU – there is no crossover of gas between these two systems in the delivery device. The test gas is connected to the monitoring CPU only through a luer lock sample port.</w:t>
            </w:r>
          </w:p>
          <w:p w14:paraId="72930E19" w14:textId="77777777" w:rsidR="00B02F24" w:rsidRPr="00331CFC" w:rsidRDefault="00B02F24" w:rsidP="00331CFC">
            <w:pPr>
              <w:ind w:left="0" w:right="0"/>
              <w:rPr>
                <w:sz w:val="20"/>
                <w:szCs w:val="20"/>
              </w:rPr>
            </w:pPr>
            <w:r w:rsidRPr="00331CFC">
              <w:rPr>
                <w:sz w:val="20"/>
                <w:szCs w:val="20"/>
              </w:rPr>
              <w:t>The test gas cylinders have a reverse (left hand) thread on them so the regulators from the DSIR are unable to connect to them. The infra-red capability of the DSIR recognises whether the treatment cylinder is INOmax and will not deliver any other gas.</w:t>
            </w:r>
          </w:p>
        </w:tc>
        <w:tc>
          <w:tcPr>
            <w:tcW w:w="1118" w:type="pct"/>
            <w:noWrap/>
          </w:tcPr>
          <w:p w14:paraId="0E90C57A" w14:textId="77777777" w:rsidR="00B02F24" w:rsidRPr="00331CFC" w:rsidRDefault="00B02F24" w:rsidP="00331CFC">
            <w:pPr>
              <w:ind w:left="0" w:right="0"/>
              <w:rPr>
                <w:sz w:val="20"/>
                <w:szCs w:val="20"/>
              </w:rPr>
            </w:pPr>
            <w:r w:rsidRPr="00331CFC">
              <w:rPr>
                <w:sz w:val="20"/>
                <w:szCs w:val="20"/>
              </w:rPr>
              <w:lastRenderedPageBreak/>
              <w:t>The spon</w:t>
            </w:r>
            <w:r w:rsidR="001F2F15" w:rsidRPr="00331CFC">
              <w:rPr>
                <w:sz w:val="20"/>
                <w:szCs w:val="20"/>
              </w:rPr>
              <w:t>sor’s response is satisfactory.</w:t>
            </w:r>
          </w:p>
        </w:tc>
      </w:tr>
      <w:tr w:rsidR="00B02F24" w:rsidRPr="00331CFC" w14:paraId="5A258BDA" w14:textId="77777777" w:rsidTr="00B02F24">
        <w:tc>
          <w:tcPr>
            <w:tcW w:w="1525" w:type="pct"/>
            <w:noWrap/>
          </w:tcPr>
          <w:p w14:paraId="5D70A142" w14:textId="77777777" w:rsidR="00B02F24" w:rsidRPr="00331CFC" w:rsidRDefault="005E343C" w:rsidP="00331CFC">
            <w:pPr>
              <w:ind w:left="0" w:right="0"/>
              <w:rPr>
                <w:sz w:val="20"/>
                <w:szCs w:val="20"/>
              </w:rPr>
            </w:pPr>
            <w:r w:rsidRPr="00331CFC">
              <w:rPr>
                <w:sz w:val="20"/>
                <w:szCs w:val="20"/>
              </w:rPr>
              <w:lastRenderedPageBreak/>
              <w:t xml:space="preserve">10. </w:t>
            </w:r>
            <w:r w:rsidR="00B02F24" w:rsidRPr="00331CFC">
              <w:rPr>
                <w:sz w:val="20"/>
                <w:szCs w:val="20"/>
              </w:rPr>
              <w:t>The sponsor has stated in the EU-RMP that the additional ed</w:t>
            </w:r>
            <w:r w:rsidR="00083CDE" w:rsidRPr="00331CFC">
              <w:rPr>
                <w:sz w:val="20"/>
                <w:szCs w:val="20"/>
              </w:rPr>
              <w:t>ucation includes the following:</w:t>
            </w:r>
          </w:p>
          <w:p w14:paraId="44E7533E" w14:textId="77777777" w:rsidR="00B02F24" w:rsidRPr="00331CFC" w:rsidRDefault="00B02F24" w:rsidP="00331CFC">
            <w:pPr>
              <w:ind w:left="0" w:right="0"/>
              <w:rPr>
                <w:sz w:val="20"/>
                <w:szCs w:val="20"/>
              </w:rPr>
            </w:pPr>
            <w:r w:rsidRPr="00331CFC">
              <w:rPr>
                <w:sz w:val="20"/>
                <w:szCs w:val="20"/>
              </w:rPr>
              <w:t>A continuous, documented training program for both INOmax and devices</w:t>
            </w:r>
          </w:p>
          <w:p w14:paraId="79714B6F" w14:textId="77777777" w:rsidR="00B02F24" w:rsidRPr="00331CFC" w:rsidRDefault="00B02F24" w:rsidP="00331CFC">
            <w:pPr>
              <w:ind w:left="0" w:right="0"/>
              <w:rPr>
                <w:sz w:val="20"/>
                <w:szCs w:val="20"/>
              </w:rPr>
            </w:pPr>
            <w:r w:rsidRPr="00331CFC">
              <w:rPr>
                <w:sz w:val="20"/>
                <w:szCs w:val="20"/>
              </w:rPr>
              <w:t>An instruction for use manual</w:t>
            </w:r>
          </w:p>
          <w:p w14:paraId="0A67E055" w14:textId="77777777" w:rsidR="00B02F24" w:rsidRPr="00331CFC" w:rsidRDefault="00B02F24" w:rsidP="00331CFC">
            <w:pPr>
              <w:ind w:left="0" w:right="0"/>
              <w:rPr>
                <w:sz w:val="20"/>
                <w:szCs w:val="20"/>
              </w:rPr>
            </w:pPr>
            <w:r w:rsidRPr="00331CFC">
              <w:rPr>
                <w:sz w:val="20"/>
                <w:szCs w:val="20"/>
              </w:rPr>
              <w:t>An ope</w:t>
            </w:r>
            <w:r w:rsidR="00083CDE" w:rsidRPr="00331CFC">
              <w:rPr>
                <w:sz w:val="20"/>
                <w:szCs w:val="20"/>
              </w:rPr>
              <w:t>rations manual for the device</w:t>
            </w:r>
          </w:p>
          <w:p w14:paraId="4E15CBDC" w14:textId="77777777" w:rsidR="00B02F24" w:rsidRPr="00331CFC" w:rsidRDefault="00B02F24" w:rsidP="00331CFC">
            <w:pPr>
              <w:ind w:left="0" w:right="0"/>
              <w:rPr>
                <w:sz w:val="20"/>
                <w:szCs w:val="20"/>
              </w:rPr>
            </w:pPr>
            <w:r w:rsidRPr="00331CFC">
              <w:rPr>
                <w:sz w:val="20"/>
                <w:szCs w:val="20"/>
              </w:rPr>
              <w:t>A technical operations manual including customer-specific detailed medical device training.</w:t>
            </w:r>
          </w:p>
          <w:p w14:paraId="353A8C7E" w14:textId="77777777" w:rsidR="00B02F24" w:rsidRPr="00331CFC" w:rsidRDefault="00B02F24" w:rsidP="00331CFC">
            <w:pPr>
              <w:ind w:left="0" w:right="0"/>
              <w:rPr>
                <w:color w:val="000000"/>
                <w:sz w:val="20"/>
                <w:szCs w:val="20"/>
              </w:rPr>
            </w:pPr>
            <w:r w:rsidRPr="00331CFC">
              <w:rPr>
                <w:color w:val="000000"/>
                <w:sz w:val="20"/>
                <w:szCs w:val="20"/>
              </w:rPr>
              <w:t>The sponsor should clarify whether the Australian educational program contains the same elements. If not, the sponsor should provide justification to the differences.</w:t>
            </w:r>
          </w:p>
        </w:tc>
        <w:tc>
          <w:tcPr>
            <w:tcW w:w="2358" w:type="pct"/>
            <w:noWrap/>
          </w:tcPr>
          <w:p w14:paraId="222C81E3" w14:textId="77777777" w:rsidR="00B02F24" w:rsidRPr="00331CFC" w:rsidRDefault="00B02F24" w:rsidP="00331CFC">
            <w:pPr>
              <w:ind w:left="0" w:right="0"/>
              <w:rPr>
                <w:sz w:val="20"/>
                <w:szCs w:val="20"/>
              </w:rPr>
            </w:pPr>
            <w:r w:rsidRPr="00331CFC">
              <w:rPr>
                <w:sz w:val="20"/>
                <w:szCs w:val="20"/>
              </w:rPr>
              <w:t xml:space="preserve">The </w:t>
            </w:r>
            <w:r w:rsidR="000B5B6A" w:rsidRPr="00331CFC">
              <w:rPr>
                <w:sz w:val="20"/>
                <w:szCs w:val="20"/>
              </w:rPr>
              <w:t>sponsor</w:t>
            </w:r>
            <w:r w:rsidRPr="00331CFC">
              <w:rPr>
                <w:sz w:val="20"/>
                <w:szCs w:val="20"/>
              </w:rPr>
              <w:t xml:space="preserve"> confirms that the additional education package supplied in Australia contains the above elements as described in the EU-RMP.</w:t>
            </w:r>
          </w:p>
        </w:tc>
        <w:tc>
          <w:tcPr>
            <w:tcW w:w="1118" w:type="pct"/>
            <w:noWrap/>
          </w:tcPr>
          <w:p w14:paraId="207F9937" w14:textId="77777777" w:rsidR="00B02F24" w:rsidRPr="00331CFC" w:rsidRDefault="00B02F24" w:rsidP="00331CFC">
            <w:pPr>
              <w:ind w:left="0" w:right="0"/>
              <w:rPr>
                <w:sz w:val="20"/>
                <w:szCs w:val="20"/>
              </w:rPr>
            </w:pPr>
            <w:r w:rsidRPr="00331CFC">
              <w:rPr>
                <w:sz w:val="20"/>
                <w:szCs w:val="20"/>
              </w:rPr>
              <w:t>The sponsor’s response is satisfactory. The evaluator has noted the changes made in</w:t>
            </w:r>
            <w:r w:rsidR="00083CDE" w:rsidRPr="00331CFC">
              <w:rPr>
                <w:sz w:val="20"/>
                <w:szCs w:val="20"/>
              </w:rPr>
              <w:t xml:space="preserve"> the updated draft PI document.</w:t>
            </w:r>
          </w:p>
        </w:tc>
      </w:tr>
      <w:tr w:rsidR="00B02F24" w:rsidRPr="00331CFC" w14:paraId="306F99BB" w14:textId="77777777" w:rsidTr="00B02F24">
        <w:tc>
          <w:tcPr>
            <w:tcW w:w="1525" w:type="pct"/>
            <w:noWrap/>
          </w:tcPr>
          <w:p w14:paraId="6D72FEDD" w14:textId="77777777" w:rsidR="00B02F24" w:rsidRPr="00331CFC" w:rsidRDefault="00E576BA" w:rsidP="00331CFC">
            <w:pPr>
              <w:ind w:left="0" w:right="0"/>
              <w:rPr>
                <w:color w:val="000000"/>
                <w:sz w:val="20"/>
                <w:szCs w:val="20"/>
              </w:rPr>
            </w:pPr>
            <w:r w:rsidRPr="00331CFC">
              <w:rPr>
                <w:sz w:val="20"/>
                <w:szCs w:val="20"/>
              </w:rPr>
              <w:t xml:space="preserve">11. </w:t>
            </w:r>
            <w:r w:rsidR="00B02F24" w:rsidRPr="00331CFC">
              <w:rPr>
                <w:sz w:val="20"/>
                <w:szCs w:val="20"/>
              </w:rPr>
              <w:t xml:space="preserve">The sponsor has advised that the risk of ‘combined use with other vasodilators that act on cGMP or </w:t>
            </w:r>
            <w:r w:rsidR="00356B53" w:rsidRPr="00331CFC">
              <w:rPr>
                <w:sz w:val="20"/>
                <w:szCs w:val="20"/>
              </w:rPr>
              <w:t>cyclic adenosine monophosphate (</w:t>
            </w:r>
            <w:proofErr w:type="spellStart"/>
            <w:r w:rsidR="00B02F24" w:rsidRPr="00331CFC">
              <w:rPr>
                <w:sz w:val="20"/>
                <w:szCs w:val="20"/>
              </w:rPr>
              <w:t>cAMP</w:t>
            </w:r>
            <w:proofErr w:type="spellEnd"/>
            <w:r w:rsidR="00356B53" w:rsidRPr="00331CFC">
              <w:rPr>
                <w:sz w:val="20"/>
                <w:szCs w:val="20"/>
              </w:rPr>
              <w:t>)</w:t>
            </w:r>
            <w:r w:rsidR="00B02F24" w:rsidRPr="00331CFC">
              <w:rPr>
                <w:sz w:val="20"/>
                <w:szCs w:val="20"/>
              </w:rPr>
              <w:t xml:space="preserve">’ is not incorporated </w:t>
            </w:r>
            <w:r w:rsidR="00B02F24" w:rsidRPr="00331CFC">
              <w:rPr>
                <w:sz w:val="20"/>
                <w:szCs w:val="20"/>
              </w:rPr>
              <w:lastRenderedPageBreak/>
              <w:t>in the Australian PI. However, this risk is relevant to the use of the product in Australia settings and is listed as missing information in the RMP. It is recommended to the Delegate that the following information about the risk is provided in the PI: ‘The combined used with other vasodilators (</w:t>
            </w:r>
            <w:r w:rsidR="008A6123" w:rsidRPr="00331CFC">
              <w:rPr>
                <w:sz w:val="20"/>
                <w:szCs w:val="20"/>
              </w:rPr>
              <w:t>for example</w:t>
            </w:r>
            <w:r w:rsidR="00083CDE" w:rsidRPr="00331CFC">
              <w:rPr>
                <w:sz w:val="20"/>
                <w:szCs w:val="20"/>
              </w:rPr>
              <w:t xml:space="preserve"> </w:t>
            </w:r>
            <w:r w:rsidR="00B02F24" w:rsidRPr="00331CFC">
              <w:rPr>
                <w:sz w:val="20"/>
                <w:szCs w:val="20"/>
              </w:rPr>
              <w:t xml:space="preserve">sildenafil) is not extensively studied. Available data suggest additive effects on central circulation, pulmonary artery pressure and right ventricular performance. Inhaled nitric oxide combination with other vasodilators acting by the cGMP or </w:t>
            </w:r>
            <w:proofErr w:type="spellStart"/>
            <w:r w:rsidR="00B02F24" w:rsidRPr="00331CFC">
              <w:rPr>
                <w:sz w:val="20"/>
                <w:szCs w:val="20"/>
              </w:rPr>
              <w:t>cAMP</w:t>
            </w:r>
            <w:proofErr w:type="spellEnd"/>
            <w:r w:rsidR="00B02F24" w:rsidRPr="00331CFC">
              <w:rPr>
                <w:sz w:val="20"/>
                <w:szCs w:val="20"/>
              </w:rPr>
              <w:t xml:space="preserve"> systems should be done with caution.’ (</w:t>
            </w:r>
            <w:proofErr w:type="gramStart"/>
            <w:r w:rsidR="00B02F24" w:rsidRPr="00331CFC">
              <w:rPr>
                <w:sz w:val="20"/>
                <w:szCs w:val="20"/>
              </w:rPr>
              <w:t>as</w:t>
            </w:r>
            <w:proofErr w:type="gramEnd"/>
            <w:r w:rsidR="00B02F24" w:rsidRPr="00331CFC">
              <w:rPr>
                <w:sz w:val="20"/>
                <w:szCs w:val="20"/>
              </w:rPr>
              <w:t xml:space="preserve"> in the </w:t>
            </w:r>
            <w:proofErr w:type="spellStart"/>
            <w:r w:rsidR="00B02F24" w:rsidRPr="00331CFC">
              <w:rPr>
                <w:sz w:val="20"/>
                <w:szCs w:val="20"/>
              </w:rPr>
              <w:t>SmPC</w:t>
            </w:r>
            <w:proofErr w:type="spellEnd"/>
            <w:r w:rsidR="00B02F24" w:rsidRPr="00331CFC">
              <w:rPr>
                <w:sz w:val="20"/>
                <w:szCs w:val="20"/>
              </w:rPr>
              <w:t>)</w:t>
            </w:r>
            <w:r w:rsidR="004607B6" w:rsidRPr="00331CFC">
              <w:rPr>
                <w:sz w:val="20"/>
                <w:szCs w:val="20"/>
              </w:rPr>
              <w:t>.</w:t>
            </w:r>
          </w:p>
        </w:tc>
        <w:tc>
          <w:tcPr>
            <w:tcW w:w="2358" w:type="pct"/>
            <w:noWrap/>
          </w:tcPr>
          <w:p w14:paraId="6FA847DD" w14:textId="77777777" w:rsidR="00B02F24" w:rsidRPr="00331CFC" w:rsidRDefault="00B02F24" w:rsidP="00331CFC">
            <w:pPr>
              <w:ind w:left="0" w:right="0"/>
              <w:rPr>
                <w:sz w:val="20"/>
                <w:szCs w:val="20"/>
              </w:rPr>
            </w:pPr>
            <w:r w:rsidRPr="00331CFC">
              <w:rPr>
                <w:sz w:val="20"/>
                <w:szCs w:val="20"/>
              </w:rPr>
              <w:lastRenderedPageBreak/>
              <w:t xml:space="preserve">Based on the recommendation of the RMP evaluator, the </w:t>
            </w:r>
            <w:r w:rsidR="000B5B6A" w:rsidRPr="00331CFC">
              <w:rPr>
                <w:sz w:val="20"/>
                <w:szCs w:val="20"/>
              </w:rPr>
              <w:t>sponsor</w:t>
            </w:r>
            <w:r w:rsidRPr="00331CFC">
              <w:rPr>
                <w:sz w:val="20"/>
                <w:szCs w:val="20"/>
              </w:rPr>
              <w:t xml:space="preserve"> has incorporated the text regarding “combined use with other vasodilators” into the section of the revised </w:t>
            </w:r>
            <w:r w:rsidR="004607B6" w:rsidRPr="00331CFC">
              <w:rPr>
                <w:sz w:val="20"/>
                <w:szCs w:val="20"/>
              </w:rPr>
              <w:t>PI</w:t>
            </w:r>
            <w:r w:rsidRPr="00331CFC">
              <w:rPr>
                <w:sz w:val="20"/>
                <w:szCs w:val="20"/>
              </w:rPr>
              <w:t xml:space="preserve"> supplied with this response.</w:t>
            </w:r>
          </w:p>
        </w:tc>
        <w:tc>
          <w:tcPr>
            <w:tcW w:w="1118" w:type="pct"/>
            <w:noWrap/>
          </w:tcPr>
          <w:p w14:paraId="25D9D290" w14:textId="77777777" w:rsidR="00B02F24" w:rsidRPr="00331CFC" w:rsidRDefault="00B02F24" w:rsidP="00331CFC">
            <w:pPr>
              <w:ind w:left="0" w:right="0"/>
              <w:rPr>
                <w:sz w:val="20"/>
                <w:szCs w:val="20"/>
              </w:rPr>
            </w:pPr>
            <w:r w:rsidRPr="00331CFC">
              <w:rPr>
                <w:sz w:val="20"/>
                <w:szCs w:val="20"/>
              </w:rPr>
              <w:t>The sponsor’s response is satis</w:t>
            </w:r>
            <w:r w:rsidR="00083CDE" w:rsidRPr="00331CFC">
              <w:rPr>
                <w:sz w:val="20"/>
                <w:szCs w:val="20"/>
              </w:rPr>
              <w:t>factory.</w:t>
            </w:r>
          </w:p>
        </w:tc>
      </w:tr>
    </w:tbl>
    <w:p w14:paraId="1CEDFEE3" w14:textId="77777777" w:rsidR="008E7846" w:rsidRDefault="008E7846" w:rsidP="008E7846">
      <w:pPr>
        <w:pStyle w:val="Heading4"/>
        <w:rPr>
          <w:lang w:eastAsia="en-AU"/>
        </w:rPr>
      </w:pPr>
      <w:r>
        <w:rPr>
          <w:lang w:eastAsia="en-AU"/>
        </w:rPr>
        <w:lastRenderedPageBreak/>
        <w:t xml:space="preserve">Summary of </w:t>
      </w:r>
      <w:r w:rsidR="003A7F6C">
        <w:rPr>
          <w:lang w:eastAsia="en-AU"/>
        </w:rPr>
        <w:t>r</w:t>
      </w:r>
      <w:r>
        <w:rPr>
          <w:lang w:eastAsia="en-AU"/>
        </w:rPr>
        <w:t>ecommendations</w:t>
      </w:r>
    </w:p>
    <w:p w14:paraId="71581A09" w14:textId="77777777" w:rsidR="00D23FA2" w:rsidRDefault="00D23FA2" w:rsidP="00D23FA2">
      <w:r w:rsidRPr="00D23FA2">
        <w:t xml:space="preserve">It is considered that the sponsor’s response to the TGA </w:t>
      </w:r>
      <w:r>
        <w:t>r</w:t>
      </w:r>
      <w:r w:rsidRPr="00D23FA2">
        <w:t xml:space="preserve">equest </w:t>
      </w:r>
      <w:r>
        <w:t xml:space="preserve">for information </w:t>
      </w:r>
      <w:r w:rsidRPr="00D23FA2">
        <w:t xml:space="preserve">has adequately addressed most of the issues identified in the RMP evaluation report. </w:t>
      </w:r>
      <w:r>
        <w:t>An outstanding issue</w:t>
      </w:r>
      <w:r w:rsidRPr="00D23FA2">
        <w:t xml:space="preserve"> </w:t>
      </w:r>
      <w:r>
        <w:t>is discussed below.</w:t>
      </w:r>
    </w:p>
    <w:p w14:paraId="5BEBC7B9" w14:textId="77777777" w:rsidR="00D23FA2" w:rsidRDefault="00D23FA2" w:rsidP="00D23FA2">
      <w:pPr>
        <w:pStyle w:val="Heading6"/>
      </w:pPr>
      <w:r w:rsidRPr="00D23FA2">
        <w:t>Recommendat</w:t>
      </w:r>
      <w:r w:rsidR="004607B6">
        <w:t>ion 6:</w:t>
      </w:r>
    </w:p>
    <w:p w14:paraId="7F59F92B" w14:textId="77777777" w:rsidR="00D23FA2" w:rsidRPr="00D23FA2" w:rsidRDefault="00D23FA2" w:rsidP="00D23FA2">
      <w:r w:rsidRPr="00D23FA2">
        <w:t xml:space="preserve">The sponsor’s approach in amending the PI document to provide warning against the risk of ‘abrupt discontinuation of INOmax therapy in the event of critical failure of the </w:t>
      </w:r>
      <w:r w:rsidR="004607B6">
        <w:t>delivery system’ is acceptable.</w:t>
      </w:r>
    </w:p>
    <w:p w14:paraId="39B8D537" w14:textId="1F5CB527" w:rsidR="00D23FA2" w:rsidRPr="00D23FA2" w:rsidRDefault="00D23FA2" w:rsidP="00D23FA2">
      <w:r w:rsidRPr="00D23FA2">
        <w:t>However, it should be noted that following the first round RMP evaluation report (dated 18 December 2014) in which the relevant recommendations were made, the UK regulator MHRA published a drug safety update for INOmax on 16 February 2015</w:t>
      </w:r>
      <w:r>
        <w:t>.</w:t>
      </w:r>
      <w:r w:rsidR="004607B6" w:rsidRPr="004607B6">
        <w:rPr>
          <w:vertAlign w:val="superscript"/>
        </w:rPr>
        <w:fldChar w:fldCharType="begin"/>
      </w:r>
      <w:r w:rsidR="004607B6" w:rsidRPr="004607B6">
        <w:rPr>
          <w:vertAlign w:val="superscript"/>
        </w:rPr>
        <w:instrText xml:space="preserve"> NOTEREF _Ref477270526 \h  \* MERGEFORMAT </w:instrText>
      </w:r>
      <w:r w:rsidR="004607B6" w:rsidRPr="004607B6">
        <w:rPr>
          <w:vertAlign w:val="superscript"/>
        </w:rPr>
      </w:r>
      <w:r w:rsidR="004607B6" w:rsidRPr="004607B6">
        <w:rPr>
          <w:vertAlign w:val="superscript"/>
        </w:rPr>
        <w:fldChar w:fldCharType="separate"/>
      </w:r>
      <w:r w:rsidR="006D3007">
        <w:rPr>
          <w:vertAlign w:val="superscript"/>
        </w:rPr>
        <w:t>34</w:t>
      </w:r>
      <w:r w:rsidR="004607B6" w:rsidRPr="004607B6">
        <w:rPr>
          <w:vertAlign w:val="superscript"/>
        </w:rPr>
        <w:fldChar w:fldCharType="end"/>
      </w:r>
    </w:p>
    <w:p w14:paraId="02D87CB8" w14:textId="77777777" w:rsidR="00D23FA2" w:rsidRPr="00D23FA2" w:rsidRDefault="00D23FA2" w:rsidP="00D23FA2">
      <w:r w:rsidRPr="00D23FA2">
        <w:t>This update confirmed the issue of potential failure of the delivery system</w:t>
      </w:r>
      <w:r>
        <w:t>,</w:t>
      </w:r>
      <w:r w:rsidRPr="00D23FA2">
        <w:t xml:space="preserve"> </w:t>
      </w:r>
      <w:proofErr w:type="gramStart"/>
      <w:r w:rsidRPr="00D23FA2">
        <w:t>raised</w:t>
      </w:r>
      <w:proofErr w:type="gramEnd"/>
      <w:r w:rsidRPr="00D23FA2">
        <w:t xml:space="preserve"> in the RMP evaluation report and provided warning against the risk of ‘valve defect stopping gas delivery early in some cylinders’. Users were reminded to ‘always have a full spare cylinder loaded on the delivery device so the cylinders </w:t>
      </w:r>
      <w:r w:rsidR="004607B6">
        <w:t>can be switched without delay’.</w:t>
      </w:r>
    </w:p>
    <w:p w14:paraId="46355B3C" w14:textId="0036B85C" w:rsidR="00D23FA2" w:rsidRDefault="00D23FA2" w:rsidP="00D23FA2">
      <w:r w:rsidRPr="00D23FA2">
        <w:t>It is recommended that the Delegate considers the adequacy of PI in the context of the recommendations made by the RMP evaluator a</w:t>
      </w:r>
      <w:r w:rsidR="004607B6">
        <w:t>nd the MHRA drug safety update.</w:t>
      </w:r>
      <w:r w:rsidR="00931496">
        <w:t xml:space="preserve"> </w:t>
      </w:r>
      <w:r w:rsidRPr="00D23FA2">
        <w:t xml:space="preserve">The sponsor’s response regarding ‘dose errors associated with the </w:t>
      </w:r>
      <w:r w:rsidR="004607B6">
        <w:t>delivery system’ is acceptable.</w:t>
      </w:r>
    </w:p>
    <w:p w14:paraId="07F9F614" w14:textId="429E5197" w:rsidR="00D23FA2" w:rsidRPr="00D23FA2" w:rsidRDefault="00D23FA2" w:rsidP="00D026F6">
      <w:pPr>
        <w:pStyle w:val="Heading5"/>
        <w:pageBreakBefore/>
      </w:pPr>
      <w:r w:rsidRPr="00D23FA2">
        <w:lastRenderedPageBreak/>
        <w:t>Suggested wording for conditions of registration</w:t>
      </w:r>
    </w:p>
    <w:p w14:paraId="1B620940" w14:textId="77777777" w:rsidR="00D23FA2" w:rsidRPr="00D23FA2" w:rsidRDefault="00D23FA2" w:rsidP="00D23FA2">
      <w:r w:rsidRPr="00D23FA2">
        <w:t>RMP</w:t>
      </w:r>
    </w:p>
    <w:p w14:paraId="1B09A7A1" w14:textId="77777777" w:rsidR="00D23FA2" w:rsidRPr="00D23FA2" w:rsidRDefault="00D23FA2" w:rsidP="00D23FA2">
      <w:r w:rsidRPr="00D23FA2">
        <w:t>Any changes to which the sponsor agreed become part of the risk management system, whether they are included in the currently available version of the RMP document, or not included, inadvertently or otherwise.</w:t>
      </w:r>
    </w:p>
    <w:p w14:paraId="5C709AFC" w14:textId="77777777" w:rsidR="00D23FA2" w:rsidRPr="00D23FA2" w:rsidRDefault="00D23FA2" w:rsidP="00D23FA2">
      <w:r w:rsidRPr="00D23FA2">
        <w:t>The suggested wording is:</w:t>
      </w:r>
    </w:p>
    <w:p w14:paraId="66F6AB08" w14:textId="77777777" w:rsidR="00D23FA2" w:rsidRPr="00D23FA2" w:rsidRDefault="00D23FA2" w:rsidP="00D23FA2">
      <w:r w:rsidRPr="00D23FA2">
        <w:t xml:space="preserve">Implement EU-RMP version 2.0, dated 31 March 2014 (data lock point 31 March 2014) with Australian Specific Annex version 2, dated 6 March </w:t>
      </w:r>
      <w:r w:rsidR="00DD0689">
        <w:t xml:space="preserve">2015 </w:t>
      </w:r>
      <w:r w:rsidRPr="00D23FA2">
        <w:t>and any future updates as a condition of registration.</w:t>
      </w:r>
    </w:p>
    <w:p w14:paraId="200C4AEB" w14:textId="77777777" w:rsidR="008E7846" w:rsidRPr="00792A32" w:rsidRDefault="008E7846" w:rsidP="008E7846">
      <w:pPr>
        <w:pStyle w:val="Heading2"/>
      </w:pPr>
      <w:bookmarkStart w:id="130" w:name="_Toc314842510"/>
      <w:bookmarkStart w:id="131" w:name="_Toc483899426"/>
      <w:r>
        <w:t xml:space="preserve">VI. </w:t>
      </w:r>
      <w:r w:rsidRPr="00792A32">
        <w:t xml:space="preserve">Overall </w:t>
      </w:r>
      <w:r>
        <w:t>c</w:t>
      </w:r>
      <w:r w:rsidRPr="00792A32">
        <w:t xml:space="preserve">onclusion and </w:t>
      </w:r>
      <w:r>
        <w:t>r</w:t>
      </w:r>
      <w:r w:rsidRPr="00792A32">
        <w:t>isk/</w:t>
      </w:r>
      <w:r>
        <w:t>b</w:t>
      </w:r>
      <w:r w:rsidRPr="00792A32">
        <w:t xml:space="preserve">enefit </w:t>
      </w:r>
      <w:r>
        <w:t>a</w:t>
      </w:r>
      <w:r w:rsidRPr="00792A32">
        <w:t>ssessment</w:t>
      </w:r>
      <w:bookmarkEnd w:id="106"/>
      <w:bookmarkEnd w:id="128"/>
      <w:bookmarkEnd w:id="130"/>
      <w:bookmarkEnd w:id="131"/>
    </w:p>
    <w:p w14:paraId="12A2DA43" w14:textId="77777777" w:rsidR="008E7846" w:rsidRDefault="008E7846" w:rsidP="008E7846">
      <w:bookmarkStart w:id="132" w:name="_Toc247691528"/>
      <w:r>
        <w:t xml:space="preserve">The submission was summarised in the following </w:t>
      </w:r>
      <w:r w:rsidRPr="00EF5C48">
        <w:t xml:space="preserve">Delegate’s </w:t>
      </w:r>
      <w:r>
        <w:t>overview</w:t>
      </w:r>
      <w:r w:rsidRPr="00EF5C48">
        <w:t xml:space="preserve"> and recommendation</w:t>
      </w:r>
      <w:r>
        <w:t>s:</w:t>
      </w:r>
    </w:p>
    <w:p w14:paraId="0C9BFB5C" w14:textId="77777777" w:rsidR="008E7846" w:rsidRDefault="008E7846" w:rsidP="008E7846">
      <w:pPr>
        <w:pStyle w:val="Heading3"/>
      </w:pPr>
      <w:bookmarkStart w:id="133" w:name="_Toc314842511"/>
      <w:bookmarkStart w:id="134" w:name="_Toc483899427"/>
      <w:r>
        <w:t>Quality</w:t>
      </w:r>
      <w:bookmarkEnd w:id="132"/>
      <w:bookmarkEnd w:id="133"/>
      <w:bookmarkEnd w:id="134"/>
    </w:p>
    <w:p w14:paraId="5706A2AE" w14:textId="77777777" w:rsidR="00E45619" w:rsidRDefault="008E7846" w:rsidP="003A7F6C">
      <w:r>
        <w:t>There was no requirement for a quality evaluation in a submission of this type.</w:t>
      </w:r>
    </w:p>
    <w:p w14:paraId="349BD822" w14:textId="77777777" w:rsidR="008E7846" w:rsidRDefault="008E7846" w:rsidP="008E7846">
      <w:pPr>
        <w:pStyle w:val="Heading3"/>
      </w:pPr>
      <w:bookmarkStart w:id="135" w:name="_Toc314842512"/>
      <w:bookmarkStart w:id="136" w:name="_Toc483899428"/>
      <w:r>
        <w:t>Nonclinical</w:t>
      </w:r>
      <w:bookmarkEnd w:id="135"/>
      <w:bookmarkEnd w:id="136"/>
    </w:p>
    <w:p w14:paraId="59BF71E8" w14:textId="77777777" w:rsidR="00247A92" w:rsidRPr="00247A92" w:rsidRDefault="00247A92" w:rsidP="00247A92">
      <w:r w:rsidRPr="00247A92">
        <w:t xml:space="preserve">The nonclinical evaluation had no objections to the extension of indications for INOmax on nonclinical grounds. The evaluator noted that </w:t>
      </w:r>
      <w:proofErr w:type="spellStart"/>
      <w:r w:rsidRPr="00247A92">
        <w:t>methhaemoglobinaemia</w:t>
      </w:r>
      <w:proofErr w:type="spellEnd"/>
      <w:r w:rsidRPr="00247A92">
        <w:t xml:space="preserve"> was the primary adverse effect of inhaled nitric oxide (iNO) in a sheep repeat dose toxicity study. The evaluator was concerned that the highest levels, 12%, may not be well tolerated in individuals with compromised oxygenation and/or oxygen carrying capacity. The nonclinical evaluator has made recommendations that the potential for nitric oxide to modulate platelet function via the guanylate cyclase signalling pathway should be added to the PI and that there should be modification of the section describing interactions with medicines that cause </w:t>
      </w:r>
      <w:proofErr w:type="spellStart"/>
      <w:r w:rsidRPr="00247A92">
        <w:t>methhaemoglobinaemia</w:t>
      </w:r>
      <w:proofErr w:type="spellEnd"/>
      <w:r w:rsidRPr="00247A92">
        <w:t>.</w:t>
      </w:r>
    </w:p>
    <w:p w14:paraId="2081BE28" w14:textId="77777777" w:rsidR="008E7846" w:rsidRDefault="008E7846" w:rsidP="008E7846">
      <w:pPr>
        <w:pStyle w:val="Heading3"/>
      </w:pPr>
      <w:bookmarkStart w:id="137" w:name="_Toc247691530"/>
      <w:bookmarkStart w:id="138" w:name="_Toc314842513"/>
      <w:bookmarkStart w:id="139" w:name="_Toc483899429"/>
      <w:r>
        <w:t>Clinical</w:t>
      </w:r>
      <w:bookmarkEnd w:id="137"/>
      <w:bookmarkEnd w:id="138"/>
      <w:bookmarkEnd w:id="139"/>
    </w:p>
    <w:p w14:paraId="2C68B516" w14:textId="77777777" w:rsidR="00247A92" w:rsidRPr="00247A92" w:rsidRDefault="00247A92" w:rsidP="00247A92">
      <w:pPr>
        <w:pStyle w:val="Heading4"/>
      </w:pPr>
      <w:bookmarkStart w:id="140" w:name="_Toc314842514"/>
      <w:r w:rsidRPr="00247A92">
        <w:t>Pharmacology</w:t>
      </w:r>
    </w:p>
    <w:p w14:paraId="47F7DB71" w14:textId="77777777" w:rsidR="00247A92" w:rsidRPr="00247A92" w:rsidRDefault="00247A92" w:rsidP="00247A92">
      <w:r w:rsidRPr="00247A92">
        <w:t>The following is a summary of the known pharmacokinetics of iNO.</w:t>
      </w:r>
    </w:p>
    <w:p w14:paraId="0AAA5EB6" w14:textId="64811870" w:rsidR="00247A92" w:rsidRPr="00247A92" w:rsidRDefault="00247A92" w:rsidP="00247A92">
      <w:pPr>
        <w:pStyle w:val="ListBullet"/>
      </w:pPr>
      <w:r w:rsidRPr="00247A92">
        <w:t>NO is inhaled, absorption occurs in aerated alveoli by diffusion into alveolar capillaries and is taken up rapidly into haemoglobin (</w:t>
      </w:r>
      <w:proofErr w:type="spellStart"/>
      <w:r w:rsidRPr="00247A92">
        <w:t>Hb</w:t>
      </w:r>
      <w:proofErr w:type="spellEnd"/>
      <w:r w:rsidRPr="00247A92">
        <w:t>) (velocity constant 2</w:t>
      </w:r>
      <w:r w:rsidR="004607B6">
        <w:t xml:space="preserve">80 </w:t>
      </w:r>
      <w:r w:rsidRPr="00247A92">
        <w:t>fold greater than oxygen)</w:t>
      </w:r>
      <w:r w:rsidR="00331CFC">
        <w:t>.</w:t>
      </w:r>
    </w:p>
    <w:p w14:paraId="45002BBB" w14:textId="47937DE4" w:rsidR="00247A92" w:rsidRPr="00247A92" w:rsidRDefault="004607B6" w:rsidP="00247A92">
      <w:pPr>
        <w:pStyle w:val="ListBullet"/>
      </w:pPr>
      <w:r>
        <w:t xml:space="preserve">When </w:t>
      </w:r>
      <w:proofErr w:type="spellStart"/>
      <w:r>
        <w:t>Hb</w:t>
      </w:r>
      <w:proofErr w:type="spellEnd"/>
      <w:r>
        <w:t xml:space="preserve"> is 60 to </w:t>
      </w:r>
      <w:r w:rsidR="00247A92" w:rsidRPr="00247A92">
        <w:t xml:space="preserve">100% saturated </w:t>
      </w:r>
      <w:proofErr w:type="spellStart"/>
      <w:r w:rsidR="00247A92" w:rsidRPr="00247A92">
        <w:t>iNO</w:t>
      </w:r>
      <w:proofErr w:type="spellEnd"/>
      <w:r w:rsidR="00247A92" w:rsidRPr="00247A92">
        <w:t xml:space="preserve"> combines with </w:t>
      </w:r>
      <w:proofErr w:type="spellStart"/>
      <w:r w:rsidR="00247A92" w:rsidRPr="00247A92">
        <w:t>oxyHb</w:t>
      </w:r>
      <w:proofErr w:type="spellEnd"/>
      <w:r w:rsidR="00247A92" w:rsidRPr="00247A92">
        <w:t xml:space="preserve"> to produce </w:t>
      </w:r>
      <w:proofErr w:type="spellStart"/>
      <w:r w:rsidR="00E3550D">
        <w:t>metHb</w:t>
      </w:r>
      <w:proofErr w:type="spellEnd"/>
      <w:r w:rsidR="00247A92" w:rsidRPr="00247A92">
        <w:t xml:space="preserve"> and nitrate. At low oxygen saturations it can combine with </w:t>
      </w:r>
      <w:proofErr w:type="spellStart"/>
      <w:r w:rsidR="00247A92" w:rsidRPr="00247A92">
        <w:t>deoxyHb</w:t>
      </w:r>
      <w:proofErr w:type="spellEnd"/>
      <w:r w:rsidR="00247A92" w:rsidRPr="00247A92">
        <w:t xml:space="preserve"> to form nitrosyl haemoglobin which converts to nitrogen dioxide and </w:t>
      </w:r>
      <w:proofErr w:type="spellStart"/>
      <w:r w:rsidR="00247A92" w:rsidRPr="00247A92">
        <w:t>metHb</w:t>
      </w:r>
      <w:proofErr w:type="spellEnd"/>
      <w:r w:rsidR="00247A92" w:rsidRPr="00247A92">
        <w:t xml:space="preserve"> on exposure to oxygen</w:t>
      </w:r>
      <w:r w:rsidR="00331CFC">
        <w:t>.</w:t>
      </w:r>
    </w:p>
    <w:p w14:paraId="329A86F1" w14:textId="005181AD" w:rsidR="00247A92" w:rsidRPr="00247A92" w:rsidRDefault="00247A92" w:rsidP="00247A92">
      <w:pPr>
        <w:pStyle w:val="ListBullet"/>
      </w:pPr>
      <w:r w:rsidRPr="00247A92">
        <w:t xml:space="preserve">Half-life </w:t>
      </w:r>
      <w:r w:rsidR="004607B6">
        <w:t>of 0.46 sec to a ‘few seconds’</w:t>
      </w:r>
      <w:r w:rsidR="00331CFC">
        <w:t>.</w:t>
      </w:r>
    </w:p>
    <w:p w14:paraId="6D379581" w14:textId="51E88843" w:rsidR="00247A92" w:rsidRPr="00247A92" w:rsidRDefault="00247A92" w:rsidP="00247A92">
      <w:pPr>
        <w:pStyle w:val="ListBullet"/>
      </w:pPr>
      <w:r w:rsidRPr="00247A92">
        <w:t>Predominant metabolite is nitrate, which is excreted in urine</w:t>
      </w:r>
      <w:r w:rsidR="00331CFC">
        <w:t>.</w:t>
      </w:r>
    </w:p>
    <w:p w14:paraId="086F5A6C" w14:textId="77777777" w:rsidR="00247A92" w:rsidRPr="00247A92" w:rsidRDefault="00247A92" w:rsidP="00247A92">
      <w:pPr>
        <w:pStyle w:val="ListBullet"/>
      </w:pPr>
      <w:r w:rsidRPr="00247A92">
        <w:t>Uptake and metabolism is not affected by gender or genetics but may decrease with age. No major differences were expected in the paediatric surgical population compared with other populations.</w:t>
      </w:r>
    </w:p>
    <w:p w14:paraId="32EC8BB8" w14:textId="77777777" w:rsidR="00247A92" w:rsidRPr="00247A92" w:rsidRDefault="00247A92" w:rsidP="00247A92">
      <w:pPr>
        <w:pStyle w:val="ListBullet"/>
      </w:pPr>
      <w:r w:rsidRPr="00247A92">
        <w:lastRenderedPageBreak/>
        <w:t>Concentration of iNO in the lung depends on the administered dose (in ppm), and absorption from the alveolus depends on the minute ventilation.</w:t>
      </w:r>
    </w:p>
    <w:p w14:paraId="37B8EB4F" w14:textId="77777777" w:rsidR="00247A92" w:rsidRPr="00247A92" w:rsidRDefault="00247A92" w:rsidP="00247A92">
      <w:r w:rsidRPr="00247A92">
        <w:t>New pharmacodynamic data were submitted including literature and</w:t>
      </w:r>
      <w:r w:rsidR="009A0B07">
        <w:t xml:space="preserve"> </w:t>
      </w:r>
      <w:r w:rsidRPr="00247A92">
        <w:t>a sponsor-led study (INOT22) and showed:</w:t>
      </w:r>
    </w:p>
    <w:p w14:paraId="4C280AE4" w14:textId="77777777" w:rsidR="004607B6" w:rsidRDefault="00247A92" w:rsidP="00247A92">
      <w:pPr>
        <w:pStyle w:val="ListBullet"/>
      </w:pPr>
      <w:r w:rsidRPr="00247A92">
        <w:t>Inhaled nitric oxide, via activation of guanylate cyclase resulting in the formation of cGMP, causes smooth muscle relaxation and vasodilation</w:t>
      </w:r>
      <w:r w:rsidR="004607B6">
        <w:t>.</w:t>
      </w:r>
    </w:p>
    <w:p w14:paraId="3736BAD3" w14:textId="77777777" w:rsidR="00247A92" w:rsidRPr="00247A92" w:rsidRDefault="00247A92" w:rsidP="00247A92">
      <w:pPr>
        <w:pStyle w:val="ListBullet"/>
      </w:pPr>
      <w:r w:rsidRPr="00247A92">
        <w:t>Inhaled nitric oxide causes pulmonary vasodilation, a reduction of pulmonary artery pressure and unloading of the right ventricle.</w:t>
      </w:r>
    </w:p>
    <w:p w14:paraId="49A9FD01" w14:textId="77777777" w:rsidR="00247A92" w:rsidRPr="00247A92" w:rsidRDefault="00247A92" w:rsidP="00247A92">
      <w:pPr>
        <w:pStyle w:val="ListBullet"/>
      </w:pPr>
      <w:r w:rsidRPr="00247A92">
        <w:t>The effect is expected to be greater in areas of ventila</w:t>
      </w:r>
      <w:r w:rsidR="004607B6">
        <w:t xml:space="preserve">ted lung, improving ventilation </w:t>
      </w:r>
      <w:r w:rsidRPr="00247A92">
        <w:t>perfusion mismatch.</w:t>
      </w:r>
    </w:p>
    <w:p w14:paraId="195BECBA" w14:textId="77777777" w:rsidR="00247A92" w:rsidRPr="00247A92" w:rsidRDefault="00247A92" w:rsidP="00247A92">
      <w:pPr>
        <w:pStyle w:val="ListBullet"/>
      </w:pPr>
      <w:r w:rsidRPr="00247A92">
        <w:t>The onset of action is rapid, and within several minutes.</w:t>
      </w:r>
    </w:p>
    <w:p w14:paraId="76955B7B" w14:textId="77777777" w:rsidR="00247A92" w:rsidRPr="00247A92" w:rsidRDefault="00247A92" w:rsidP="00247A92">
      <w:pPr>
        <w:pStyle w:val="ListBullet"/>
      </w:pPr>
      <w:r w:rsidRPr="00247A92">
        <w:t>A secondary PD effect makes patient at risk of</w:t>
      </w:r>
      <w:r w:rsidR="009A0B07">
        <w:t xml:space="preserve"> </w:t>
      </w:r>
      <w:r w:rsidRPr="00247A92">
        <w:t>rebound pulmonary hypertension and this can last for hours after cessation of therapy, therefore a slow weaning process is recommended.</w:t>
      </w:r>
    </w:p>
    <w:p w14:paraId="5AE37B90" w14:textId="77777777" w:rsidR="00247A92" w:rsidRPr="00247A92" w:rsidRDefault="004607B6" w:rsidP="00247A92">
      <w:pPr>
        <w:pStyle w:val="ListBullet"/>
      </w:pPr>
      <w:r>
        <w:t xml:space="preserve">There is no clear dose </w:t>
      </w:r>
      <w:r w:rsidR="00247A92" w:rsidRPr="00247A92">
        <w:t>response relationship, and it is likely that other factors such as the degree of deficiency in endogenous NO and other patient factors are likely to be important. The lowest effective dose was not well demonstrated in the studies, but there was limited evidence that incremental improvement is not achieved with doses greater than 40 ppm.</w:t>
      </w:r>
    </w:p>
    <w:p w14:paraId="64082325" w14:textId="69159F23" w:rsidR="00247A92" w:rsidRPr="00247A92" w:rsidRDefault="00247A92" w:rsidP="00247A92">
      <w:pPr>
        <w:pStyle w:val="Heading4"/>
      </w:pPr>
      <w:r w:rsidRPr="00247A92">
        <w:t>Efficacy</w:t>
      </w:r>
      <w:r w:rsidR="00390B84">
        <w:rPr>
          <w:rStyle w:val="FootnoteReference"/>
        </w:rPr>
        <w:footnoteReference w:id="37"/>
      </w:r>
    </w:p>
    <w:p w14:paraId="2739287F" w14:textId="77777777" w:rsidR="00247A92" w:rsidRPr="00247A92" w:rsidRDefault="00247A92" w:rsidP="00247A92">
      <w:r w:rsidRPr="00247A92">
        <w:t>Published literature was presented in support of the efficacy of iNO in management of pulmonary hypertension in the peri- and post-operative setting in patients undergoing cardiac surgery. The clinical evaluator considered that although there were flaws in the individual studies included in the submission, but that multiple studies from multiple institutions using both clinical and haemodynamic endpoints have provided essentially concordant results. The evaluator concluded that the balance of evidence falls narrowly in favour of registration.</w:t>
      </w:r>
    </w:p>
    <w:p w14:paraId="56D352BF" w14:textId="77777777" w:rsidR="00247A92" w:rsidRPr="00247A92" w:rsidRDefault="00247A92" w:rsidP="00247A92">
      <w:r w:rsidRPr="00247A92">
        <w:t xml:space="preserve">Nine </w:t>
      </w:r>
      <w:r w:rsidR="00B47086">
        <w:t>randomised controlled trials</w:t>
      </w:r>
      <w:r w:rsidR="00B47086" w:rsidRPr="00247A92">
        <w:t xml:space="preserve"> </w:t>
      </w:r>
      <w:r w:rsidR="00B47086">
        <w:t>(</w:t>
      </w:r>
      <w:r w:rsidRPr="00247A92">
        <w:t>RCTs</w:t>
      </w:r>
      <w:r w:rsidR="00B47086">
        <w:t>)</w:t>
      </w:r>
      <w:r w:rsidRPr="00247A92">
        <w:t xml:space="preserve"> evaluating the effects of iNO in treating pulmonary hypertension in children undergoing cardiac surgery </w:t>
      </w:r>
      <w:proofErr w:type="gramStart"/>
      <w:r w:rsidRPr="00247A92">
        <w:t>were</w:t>
      </w:r>
      <w:proofErr w:type="gramEnd"/>
      <w:r w:rsidRPr="00247A92">
        <w:t xml:space="preserve"> included. Four studies (two </w:t>
      </w:r>
      <w:r w:rsidR="004607B6">
        <w:t>placebo controlled</w:t>
      </w:r>
      <w:r w:rsidRPr="00247A92">
        <w:t xml:space="preserve"> and two with conventional therapy as controls) evaluated clinical endpoints as well as haemodynamic endpoints and the remaining 5 further studies had active controls and were considered directly supportive. Four of 9 efficacy studies in children were designated as “pivotal”, because the control group received placebo or standard care in a randomised prospective design, but the studies by Day et a</w:t>
      </w:r>
      <w:r w:rsidR="004607B6">
        <w:t xml:space="preserve">l and Morris et al used an open </w:t>
      </w:r>
      <w:r w:rsidRPr="00247A92">
        <w:t>label design.</w:t>
      </w:r>
      <w:r w:rsidR="004607B6" w:rsidRPr="004607B6">
        <w:rPr>
          <w:vertAlign w:val="superscript"/>
        </w:rPr>
        <w:fldChar w:fldCharType="begin"/>
      </w:r>
      <w:r w:rsidR="004607B6" w:rsidRPr="004607B6">
        <w:rPr>
          <w:vertAlign w:val="superscript"/>
        </w:rPr>
        <w:instrText xml:space="preserve"> NOTEREF _Ref477536516 \h </w:instrText>
      </w:r>
      <w:r w:rsidR="004607B6">
        <w:rPr>
          <w:vertAlign w:val="superscript"/>
        </w:rPr>
        <w:instrText xml:space="preserve"> \* MERGEFORMAT </w:instrText>
      </w:r>
      <w:r w:rsidR="004607B6" w:rsidRPr="004607B6">
        <w:rPr>
          <w:vertAlign w:val="superscript"/>
        </w:rPr>
      </w:r>
      <w:r w:rsidR="004607B6" w:rsidRPr="004607B6">
        <w:rPr>
          <w:vertAlign w:val="superscript"/>
        </w:rPr>
        <w:fldChar w:fldCharType="separate"/>
      </w:r>
      <w:r w:rsidR="006D3007">
        <w:rPr>
          <w:vertAlign w:val="superscript"/>
        </w:rPr>
        <w:t>13</w:t>
      </w:r>
      <w:r w:rsidR="004607B6" w:rsidRPr="004607B6">
        <w:rPr>
          <w:vertAlign w:val="superscript"/>
        </w:rPr>
        <w:fldChar w:fldCharType="end"/>
      </w:r>
      <w:r w:rsidR="004607B6" w:rsidRPr="004607B6">
        <w:rPr>
          <w:vertAlign w:val="superscript"/>
        </w:rPr>
        <w:t xml:space="preserve">, </w:t>
      </w:r>
      <w:r w:rsidR="004607B6" w:rsidRPr="004607B6">
        <w:rPr>
          <w:vertAlign w:val="superscript"/>
        </w:rPr>
        <w:fldChar w:fldCharType="begin"/>
      </w:r>
      <w:r w:rsidR="004607B6" w:rsidRPr="004607B6">
        <w:rPr>
          <w:vertAlign w:val="superscript"/>
        </w:rPr>
        <w:instrText xml:space="preserve"> NOTEREF _Ref477536530 \h </w:instrText>
      </w:r>
      <w:r w:rsidR="004607B6" w:rsidRPr="004607B6">
        <w:rPr>
          <w:vertAlign w:val="superscript"/>
        </w:rPr>
      </w:r>
      <w:r w:rsidR="004607B6" w:rsidRPr="004607B6">
        <w:rPr>
          <w:vertAlign w:val="superscript"/>
        </w:rPr>
        <w:fldChar w:fldCharType="separate"/>
      </w:r>
      <w:r w:rsidR="006D3007">
        <w:rPr>
          <w:vertAlign w:val="superscript"/>
        </w:rPr>
        <w:t>14</w:t>
      </w:r>
      <w:r w:rsidR="004607B6" w:rsidRPr="004607B6">
        <w:rPr>
          <w:vertAlign w:val="superscript"/>
        </w:rPr>
        <w:fldChar w:fldCharType="end"/>
      </w:r>
      <w:r w:rsidRPr="00247A92">
        <w:t xml:space="preserve"> Additional supportive studies were provided in adult populations. Many of the studies listed as efficacy studies were small and used iNO for only s</w:t>
      </w:r>
      <w:r w:rsidR="004607B6">
        <w:t xml:space="preserve">hort periods to gauge the short </w:t>
      </w:r>
      <w:r w:rsidRPr="00247A92">
        <w:t>term haemodynamic response.</w:t>
      </w:r>
    </w:p>
    <w:p w14:paraId="041A5596" w14:textId="77777777" w:rsidR="00247A92" w:rsidRPr="00247A92" w:rsidRDefault="00247A92" w:rsidP="00247A92">
      <w:r w:rsidRPr="00247A92">
        <w:t>Miller et al (2000)</w:t>
      </w:r>
      <w:r w:rsidR="004607B6" w:rsidRPr="004607B6">
        <w:rPr>
          <w:vertAlign w:val="superscript"/>
        </w:rPr>
        <w:fldChar w:fldCharType="begin"/>
      </w:r>
      <w:r w:rsidR="004607B6" w:rsidRPr="004607B6">
        <w:rPr>
          <w:vertAlign w:val="superscript"/>
        </w:rPr>
        <w:instrText xml:space="preserve"> NOTEREF _Ref477535524 \h </w:instrText>
      </w:r>
      <w:r w:rsidR="004607B6">
        <w:rPr>
          <w:vertAlign w:val="superscript"/>
        </w:rPr>
        <w:instrText xml:space="preserve"> \* MERGEFORMAT </w:instrText>
      </w:r>
      <w:r w:rsidR="004607B6" w:rsidRPr="004607B6">
        <w:rPr>
          <w:vertAlign w:val="superscript"/>
        </w:rPr>
      </w:r>
      <w:r w:rsidR="004607B6" w:rsidRPr="004607B6">
        <w:rPr>
          <w:vertAlign w:val="superscript"/>
        </w:rPr>
        <w:fldChar w:fldCharType="separate"/>
      </w:r>
      <w:r w:rsidR="006D3007">
        <w:rPr>
          <w:vertAlign w:val="superscript"/>
        </w:rPr>
        <w:t>11</w:t>
      </w:r>
      <w:r w:rsidR="004607B6" w:rsidRPr="004607B6">
        <w:rPr>
          <w:vertAlign w:val="superscript"/>
        </w:rPr>
        <w:fldChar w:fldCharType="end"/>
      </w:r>
      <w:r w:rsidRPr="00247A92">
        <w:t xml:space="preserve"> reported a prospective, randomised, </w:t>
      </w:r>
      <w:r w:rsidR="004607B6">
        <w:t>double blind</w:t>
      </w:r>
      <w:r w:rsidRPr="00247A92">
        <w:t xml:space="preserve"> study of the efficacy of iNO 10 ppm versus placebo in 124 infants (median age 3 months [</w:t>
      </w:r>
      <w:r w:rsidR="009C010A">
        <w:t>i</w:t>
      </w:r>
      <w:r w:rsidR="009C010A" w:rsidRPr="0099058E">
        <w:t>nterquartile range</w:t>
      </w:r>
      <w:r w:rsidR="009C010A" w:rsidRPr="004607B6">
        <w:rPr>
          <w:highlight w:val="yellow"/>
        </w:rPr>
        <w:t xml:space="preserve"> </w:t>
      </w:r>
      <w:r w:rsidR="009C010A" w:rsidRPr="009C010A">
        <w:t>(</w:t>
      </w:r>
      <w:r w:rsidRPr="009C010A">
        <w:t>IQR</w:t>
      </w:r>
      <w:r w:rsidR="009C010A" w:rsidRPr="009C010A">
        <w:t>)</w:t>
      </w:r>
      <w:r w:rsidR="004607B6">
        <w:t xml:space="preserve"> 1 to</w:t>
      </w:r>
      <w:r w:rsidRPr="00247A92">
        <w:t xml:space="preserve"> 5 months]) with large ventricular, atrioventricular septal defects, truncus arteriosus or total anomalous pulmonary venous drainage with high pulmonary flow, pressure or both, undergoing corrective surgery for congenital heart disease administered iNO or nitrogen (placebo) for up to 7 days. Randomisation was stratified by diagnosed </w:t>
      </w:r>
      <w:r w:rsidRPr="00247A92">
        <w:lastRenderedPageBreak/>
        <w:t xml:space="preserve">Down’s syndrome and occurred prior to surgery. A sample size of 136 patients was required to provide 80% power to detect a 50% reduction in the </w:t>
      </w:r>
      <w:r w:rsidRPr="009273A2">
        <w:t>numbe</w:t>
      </w:r>
      <w:r w:rsidR="004607B6" w:rsidRPr="009273A2">
        <w:t>r of PHTC events</w:t>
      </w:r>
      <w:r w:rsidR="004607B6">
        <w:t xml:space="preserve"> with a two </w:t>
      </w:r>
      <w:r w:rsidRPr="00247A92">
        <w:t xml:space="preserve">sided significance level of 0.05. Clinically important pulmonary </w:t>
      </w:r>
      <w:r w:rsidRPr="004536B4">
        <w:t xml:space="preserve">hypertension (PAP/SAP </w:t>
      </w:r>
      <w:r w:rsidR="004607B6" w:rsidRPr="004536B4">
        <w:t>&gt; 0</w:t>
      </w:r>
      <w:r w:rsidRPr="004536B4">
        <w:t>.5</w:t>
      </w:r>
      <w:r w:rsidRPr="00247A92">
        <w:t xml:space="preserve"> with haemodynamic instability or </w:t>
      </w:r>
      <w:r w:rsidR="004607B6">
        <w:t>&gt; 0</w:t>
      </w:r>
      <w:r w:rsidRPr="00247A92">
        <w:t>.75 at any time) was managed by a standardised protocol of sedation and muscle relaxation</w:t>
      </w:r>
      <w:r w:rsidRPr="009C010A">
        <w:t xml:space="preserve">, </w:t>
      </w:r>
      <w:r w:rsidR="009C010A" w:rsidRPr="009C010A">
        <w:rPr>
          <w:lang w:val="en"/>
        </w:rPr>
        <w:t>intermittent</w:t>
      </w:r>
      <w:r w:rsidR="009C010A">
        <w:rPr>
          <w:lang w:val="en"/>
        </w:rPr>
        <w:t xml:space="preserve"> positive pressure </w:t>
      </w:r>
      <w:r w:rsidR="009C010A" w:rsidRPr="009C010A">
        <w:rPr>
          <w:lang w:val="en"/>
        </w:rPr>
        <w:t>ventilation</w:t>
      </w:r>
      <w:r w:rsidR="009C010A" w:rsidRPr="009C010A">
        <w:t xml:space="preserve"> (</w:t>
      </w:r>
      <w:r w:rsidRPr="009C010A">
        <w:t>IPPV</w:t>
      </w:r>
      <w:r w:rsidR="009C010A" w:rsidRPr="009C010A">
        <w:t>)</w:t>
      </w:r>
      <w:r w:rsidRPr="009C010A">
        <w:t>, vasopressors, and</w:t>
      </w:r>
      <w:r w:rsidRPr="00247A92">
        <w:t xml:space="preserve"> vasodilators, and additional open label iNO if required. Patients were well matched for demographic characteristics type of cardiac lesion and baseline haemodynamics. There were no withdrawals during the study. The study was discontinued prematurely because of logistical reasons (both the principal research fellow and the principal investigator were due to leave the country in which the study was conducted) and a blinded evaluation of the data by the data safety monitoring committee that determined there was a statistically significant difference of the primary endpoint with the lower number of subjects.</w:t>
      </w:r>
    </w:p>
    <w:p w14:paraId="01521A10" w14:textId="77777777" w:rsidR="004607B6" w:rsidRDefault="00247A92" w:rsidP="00247A92">
      <w:r w:rsidRPr="00247A92">
        <w:t xml:space="preserve">The primary endpoint was the number </w:t>
      </w:r>
      <w:r w:rsidRPr="009273A2">
        <w:t>of</w:t>
      </w:r>
      <w:r w:rsidR="009273A2" w:rsidRPr="009273A2">
        <w:t xml:space="preserve"> </w:t>
      </w:r>
      <w:r w:rsidRPr="009273A2">
        <w:t>PHTCs in the treatment</w:t>
      </w:r>
      <w:r w:rsidRPr="00247A92">
        <w:t xml:space="preserve"> period, which lasted for up to 7 days. Infants who received iNO had significantly fewe</w:t>
      </w:r>
      <w:r w:rsidR="00815C3D">
        <w:t xml:space="preserve">r PHTCs (median 4 events [IQR 0 to </w:t>
      </w:r>
      <w:r w:rsidRPr="00247A92">
        <w:t>12]) than infants receiving nitrogen placeb</w:t>
      </w:r>
      <w:r w:rsidR="00815C3D">
        <w:t xml:space="preserve">o (median 7 events PHTCs [IQR 1 to </w:t>
      </w:r>
      <w:r w:rsidRPr="00247A92">
        <w:t>19]; unadjusted</w:t>
      </w:r>
      <w:r w:rsidR="00815C3D">
        <w:t xml:space="preserve"> relative risk 0·66 [95%CI 0·59 to </w:t>
      </w:r>
      <w:r w:rsidRPr="00247A92">
        <w:t xml:space="preserve">0·74] </w:t>
      </w:r>
      <w:r w:rsidR="00815C3D">
        <w:t>p &lt; 0</w:t>
      </w:r>
      <w:r w:rsidRPr="00247A92">
        <w:t>·001; adj</w:t>
      </w:r>
      <w:r w:rsidR="00815C3D">
        <w:t xml:space="preserve">usted for dispersion 0·65 [0·43 to </w:t>
      </w:r>
      <w:r w:rsidRPr="00247A92">
        <w:t>0·99], p</w:t>
      </w:r>
      <w:r w:rsidR="00815C3D">
        <w:t xml:space="preserve"> </w:t>
      </w:r>
      <w:r w:rsidRPr="00247A92">
        <w:t>=</w:t>
      </w:r>
      <w:r w:rsidR="00815C3D">
        <w:t xml:space="preserve"> </w:t>
      </w:r>
      <w:r w:rsidRPr="00247A92">
        <w:t>0·045)</w:t>
      </w:r>
      <w:r w:rsidR="004607B6">
        <w:t>.</w:t>
      </w:r>
    </w:p>
    <w:p w14:paraId="45BE7EA0" w14:textId="77777777" w:rsidR="004607B6" w:rsidRDefault="00247A92" w:rsidP="00247A92">
      <w:r w:rsidRPr="00247A92">
        <w:t>The iNO patients reached extubation criteria sig</w:t>
      </w:r>
      <w:r w:rsidR="00815C3D">
        <w:t xml:space="preserve">nificantly sooner (80 h [IQR 38 to </w:t>
      </w:r>
      <w:r w:rsidRPr="00247A92">
        <w:t xml:space="preserve">121] </w:t>
      </w:r>
      <w:r w:rsidR="00815C3D">
        <w:t>versus</w:t>
      </w:r>
      <w:r w:rsidRPr="00247A92">
        <w:t xml:space="preserve"> 122</w:t>
      </w:r>
      <w:r w:rsidR="00815C3D">
        <w:t xml:space="preserve"> h [63 to </w:t>
      </w:r>
      <w:r w:rsidRPr="00247A92">
        <w:t>164], p</w:t>
      </w:r>
      <w:r w:rsidR="00815C3D">
        <w:t xml:space="preserve"> </w:t>
      </w:r>
      <w:r w:rsidRPr="00247A92">
        <w:t>=</w:t>
      </w:r>
      <w:r w:rsidR="00815C3D">
        <w:t xml:space="preserve"> </w:t>
      </w:r>
      <w:r w:rsidRPr="00247A92">
        <w:t>0.019). Most (82%) of the infants in the study weaned off the study gas in &lt; 7 days, and the remainder (6 in the iNO group and 15 in the placebo group) weaned at 7 days per protocol. The iNO patients spent less time overall on study gas (87</w:t>
      </w:r>
      <w:r w:rsidR="004607B6">
        <w:t xml:space="preserve"> </w:t>
      </w:r>
      <w:r w:rsidRPr="00247A92">
        <w:t xml:space="preserve">h [IQR43-125] </w:t>
      </w:r>
      <w:r w:rsidR="00815C3D">
        <w:t>versus</w:t>
      </w:r>
      <w:r w:rsidRPr="00247A92">
        <w:t xml:space="preserve"> 117</w:t>
      </w:r>
      <w:r w:rsidR="00815C3D">
        <w:t xml:space="preserve"> h [67 to </w:t>
      </w:r>
      <w:r w:rsidRPr="00247A92">
        <w:t>168], p</w:t>
      </w:r>
      <w:r w:rsidR="00815C3D">
        <w:t xml:space="preserve"> </w:t>
      </w:r>
      <w:r w:rsidRPr="00247A92">
        <w:t>=</w:t>
      </w:r>
      <w:r w:rsidR="00815C3D">
        <w:t xml:space="preserve"> </w:t>
      </w:r>
      <w:r w:rsidRPr="00247A92">
        <w:t xml:space="preserve">0.023). The </w:t>
      </w:r>
      <w:r w:rsidR="00C0382B">
        <w:t>PVRI</w:t>
      </w:r>
      <w:r w:rsidRPr="00247A92">
        <w:t xml:space="preserve"> measu</w:t>
      </w:r>
      <w:r w:rsidR="00815C3D">
        <w:t xml:space="preserve">red every 12 hours during study </w:t>
      </w:r>
      <w:r w:rsidRPr="00247A92">
        <w:t>gas administration was also significantly lower in the iNO group (</w:t>
      </w:r>
      <w:r w:rsidR="00815C3D">
        <w:t>p &lt; 0</w:t>
      </w:r>
      <w:r w:rsidRPr="00247A92">
        <w:t>·001)</w:t>
      </w:r>
      <w:r w:rsidR="004607B6">
        <w:t>.</w:t>
      </w:r>
    </w:p>
    <w:p w14:paraId="380C9D6A" w14:textId="77777777" w:rsidR="00247A92" w:rsidRPr="00247A92" w:rsidRDefault="00247A92" w:rsidP="00247A92">
      <w:r w:rsidRPr="00247A92">
        <w:t>The studies by Russell et al (1998)</w:t>
      </w:r>
      <w:r w:rsidR="00815C3D" w:rsidRPr="00815C3D">
        <w:rPr>
          <w:vertAlign w:val="superscript"/>
        </w:rPr>
        <w:fldChar w:fldCharType="begin"/>
      </w:r>
      <w:r w:rsidR="00815C3D" w:rsidRPr="00815C3D">
        <w:rPr>
          <w:vertAlign w:val="superscript"/>
        </w:rPr>
        <w:instrText xml:space="preserve"> NOTEREF _Ref477536594 \h </w:instrText>
      </w:r>
      <w:r w:rsidR="00815C3D">
        <w:rPr>
          <w:vertAlign w:val="superscript"/>
        </w:rPr>
        <w:instrText xml:space="preserve"> \* MERGEFORMAT </w:instrText>
      </w:r>
      <w:r w:rsidR="00815C3D" w:rsidRPr="00815C3D">
        <w:rPr>
          <w:vertAlign w:val="superscript"/>
        </w:rPr>
      </w:r>
      <w:r w:rsidR="00815C3D" w:rsidRPr="00815C3D">
        <w:rPr>
          <w:vertAlign w:val="superscript"/>
        </w:rPr>
        <w:fldChar w:fldCharType="separate"/>
      </w:r>
      <w:r w:rsidR="006D3007">
        <w:rPr>
          <w:vertAlign w:val="superscript"/>
        </w:rPr>
        <w:t>12</w:t>
      </w:r>
      <w:r w:rsidR="00815C3D" w:rsidRPr="00815C3D">
        <w:rPr>
          <w:vertAlign w:val="superscript"/>
        </w:rPr>
        <w:fldChar w:fldCharType="end"/>
      </w:r>
      <w:r w:rsidRPr="00247A92">
        <w:t xml:space="preserve"> and Morris et al (2000)</w:t>
      </w:r>
      <w:r w:rsidR="00815C3D" w:rsidRPr="00815C3D">
        <w:rPr>
          <w:vertAlign w:val="superscript"/>
        </w:rPr>
        <w:fldChar w:fldCharType="begin"/>
      </w:r>
      <w:r w:rsidR="00815C3D" w:rsidRPr="00815C3D">
        <w:rPr>
          <w:vertAlign w:val="superscript"/>
        </w:rPr>
        <w:instrText xml:space="preserve"> NOTEREF _Ref477536530 \h </w:instrText>
      </w:r>
      <w:r w:rsidR="00815C3D">
        <w:rPr>
          <w:vertAlign w:val="superscript"/>
        </w:rPr>
        <w:instrText xml:space="preserve"> \* MERGEFORMAT </w:instrText>
      </w:r>
      <w:r w:rsidR="00815C3D" w:rsidRPr="00815C3D">
        <w:rPr>
          <w:vertAlign w:val="superscript"/>
        </w:rPr>
      </w:r>
      <w:r w:rsidR="00815C3D" w:rsidRPr="00815C3D">
        <w:rPr>
          <w:vertAlign w:val="superscript"/>
        </w:rPr>
        <w:fldChar w:fldCharType="separate"/>
      </w:r>
      <w:r w:rsidR="006D3007">
        <w:rPr>
          <w:vertAlign w:val="superscript"/>
        </w:rPr>
        <w:t>14</w:t>
      </w:r>
      <w:r w:rsidR="00815C3D" w:rsidRPr="00815C3D">
        <w:rPr>
          <w:vertAlign w:val="superscript"/>
        </w:rPr>
        <w:fldChar w:fldCharType="end"/>
      </w:r>
      <w:r w:rsidRPr="00247A92">
        <w:t xml:space="preserve"> were listed as pivotal but they used haemodynamic endpoints rather than clinical endpoints, and the iNO treatment duration was brief (≤ 30 min). Russell et al (n</w:t>
      </w:r>
      <w:r w:rsidR="00815C3D">
        <w:t xml:space="preserve"> </w:t>
      </w:r>
      <w:r w:rsidRPr="00247A92">
        <w:t>=</w:t>
      </w:r>
      <w:r w:rsidR="00815C3D">
        <w:t xml:space="preserve"> </w:t>
      </w:r>
      <w:r w:rsidRPr="00247A92">
        <w:t xml:space="preserve">40 studies in 39 children, 3 sets of measurements excluded) conducted a </w:t>
      </w:r>
      <w:r w:rsidR="004607B6">
        <w:t>double blind</w:t>
      </w:r>
      <w:r w:rsidRPr="00247A92">
        <w:t xml:space="preserve"> </w:t>
      </w:r>
      <w:r w:rsidR="004607B6">
        <w:t>placebo controlled</w:t>
      </w:r>
      <w:r w:rsidRPr="00247A92">
        <w:t xml:space="preserve"> study of the measurements of </w:t>
      </w:r>
      <w:proofErr w:type="spellStart"/>
      <w:r w:rsidR="00E3550D">
        <w:t>mPAP</w:t>
      </w:r>
      <w:proofErr w:type="spellEnd"/>
      <w:r w:rsidRPr="00247A92">
        <w:t xml:space="preserve"> in children undergoing cardiac surgery for co</w:t>
      </w:r>
      <w:r w:rsidR="00815C3D">
        <w:t>ngenital heart defects with pre</w:t>
      </w:r>
      <w:r w:rsidRPr="00247A92">
        <w:t>operative pulmonary hypertension given inhaled iNO 80 ppm</w:t>
      </w:r>
      <w:r w:rsidR="009A0B07">
        <w:t xml:space="preserve"> </w:t>
      </w:r>
      <w:r w:rsidRPr="00247A92">
        <w:t xml:space="preserve">or placebo at </w:t>
      </w:r>
      <w:r w:rsidR="00356B53">
        <w:t>fraction of inspired oxygen</w:t>
      </w:r>
      <w:r w:rsidR="00356B53" w:rsidRPr="00247A92">
        <w:t xml:space="preserve"> FiO</w:t>
      </w:r>
      <w:r w:rsidR="00356B53" w:rsidRPr="00356B53">
        <w:rPr>
          <w:vertAlign w:val="subscript"/>
        </w:rPr>
        <w:t>2</w:t>
      </w:r>
      <w:r w:rsidRPr="00247A92">
        <w:t xml:space="preserve"> of 0.9. Measurements were taken at baseline, after 1, 10 and 20 minutes of study gas and 1 minute after the discontinuation of study gas. A significant haemodynamic effect for iNO over 20 min compared to placebo, was seen in the subset of the study population consisting of 13 subjects with elevated PAP, (5 received iNO).</w:t>
      </w:r>
      <w:r w:rsidR="009A0B07">
        <w:t xml:space="preserve"> </w:t>
      </w:r>
      <w:proofErr w:type="spellStart"/>
      <w:proofErr w:type="gramStart"/>
      <w:r w:rsidR="00E3550D">
        <w:t>mPAP</w:t>
      </w:r>
      <w:proofErr w:type="spellEnd"/>
      <w:proofErr w:type="gramEnd"/>
      <w:r w:rsidR="00815C3D">
        <w:t xml:space="preserve"> was reduced by 19% (range 80 to </w:t>
      </w:r>
      <w:r w:rsidRPr="00247A92">
        <w:t>35% at 20 minutes) with iNO (p = 0.008) and increased by 9% with placebo.</w:t>
      </w:r>
      <w:r w:rsidR="009A0B07">
        <w:t xml:space="preserve"> </w:t>
      </w:r>
      <w:r w:rsidRPr="00247A92">
        <w:t>Oxygenation was not changed during the study period.</w:t>
      </w:r>
    </w:p>
    <w:p w14:paraId="56FFAFEB" w14:textId="77777777" w:rsidR="00247A92" w:rsidRPr="00247A92" w:rsidRDefault="00247A92" w:rsidP="00247A92">
      <w:r w:rsidRPr="00247A92">
        <w:t>Morris et al (2000)</w:t>
      </w:r>
      <w:r w:rsidR="00815C3D" w:rsidRPr="00815C3D">
        <w:rPr>
          <w:vertAlign w:val="superscript"/>
        </w:rPr>
        <w:fldChar w:fldCharType="begin"/>
      </w:r>
      <w:r w:rsidR="00815C3D" w:rsidRPr="00815C3D">
        <w:rPr>
          <w:vertAlign w:val="superscript"/>
        </w:rPr>
        <w:instrText xml:space="preserve"> NOTEREF _Ref477536530 \h </w:instrText>
      </w:r>
      <w:r w:rsidR="00815C3D">
        <w:rPr>
          <w:vertAlign w:val="superscript"/>
        </w:rPr>
        <w:instrText xml:space="preserve"> \* MERGEFORMAT </w:instrText>
      </w:r>
      <w:r w:rsidR="00815C3D" w:rsidRPr="00815C3D">
        <w:rPr>
          <w:vertAlign w:val="superscript"/>
        </w:rPr>
      </w:r>
      <w:r w:rsidR="00815C3D" w:rsidRPr="00815C3D">
        <w:rPr>
          <w:vertAlign w:val="superscript"/>
        </w:rPr>
        <w:fldChar w:fldCharType="separate"/>
      </w:r>
      <w:r w:rsidR="006D3007">
        <w:rPr>
          <w:vertAlign w:val="superscript"/>
        </w:rPr>
        <w:t>14</w:t>
      </w:r>
      <w:r w:rsidR="00815C3D" w:rsidRPr="00815C3D">
        <w:rPr>
          <w:vertAlign w:val="superscript"/>
        </w:rPr>
        <w:fldChar w:fldCharType="end"/>
      </w:r>
      <w:r w:rsidRPr="00247A92">
        <w:t>conducted a sma</w:t>
      </w:r>
      <w:r w:rsidR="00815C3D">
        <w:t xml:space="preserve">ll randomised, controlled, open </w:t>
      </w:r>
      <w:r w:rsidRPr="00247A92">
        <w:t>label crossover study (n</w:t>
      </w:r>
      <w:r w:rsidR="00815C3D">
        <w:t xml:space="preserve"> </w:t>
      </w:r>
      <w:r w:rsidRPr="00247A92">
        <w:t>=</w:t>
      </w:r>
      <w:r w:rsidR="00815C3D">
        <w:t xml:space="preserve"> 12) of children aged 0.1 to</w:t>
      </w:r>
      <w:r w:rsidRPr="00247A92">
        <w:t xml:space="preserve"> 17.7 years to compare the</w:t>
      </w:r>
      <w:r w:rsidR="00815C3D">
        <w:t xml:space="preserve"> haemodynamic effects of iNO (5 </w:t>
      </w:r>
      <w:r w:rsidRPr="00247A92">
        <w:t>ppm for 15 minutes then 40 ppm for 15</w:t>
      </w:r>
      <w:r w:rsidR="00815C3D">
        <w:t xml:space="preserve"> minutes) with hyperventilation </w:t>
      </w:r>
      <w:r w:rsidRPr="00247A92">
        <w:t>induced alkalosis (HV) to a pH of 7.5</w:t>
      </w:r>
      <w:r w:rsidR="009A0B07">
        <w:t xml:space="preserve"> </w:t>
      </w:r>
      <w:r w:rsidRPr="00247A92">
        <w:t xml:space="preserve">in children recovering from biventricular repair and CPB. After the randomised treatment each group received a combination of iNO and HV. Subjects received treatments for 30 minutes in random order with a 30 minutes washout between treatments. All children received sedation and muscle relaxation, inotropes and other medications as indicated. Eight of the 12 patients received sodium nitroprusside at baseline. No significant changes were observed in PVRI </w:t>
      </w:r>
      <w:r w:rsidRPr="004536B4">
        <w:t xml:space="preserve">and </w:t>
      </w:r>
      <w:proofErr w:type="spellStart"/>
      <w:r w:rsidR="00E3550D" w:rsidRPr="004536B4">
        <w:t>mPAP</w:t>
      </w:r>
      <w:proofErr w:type="spellEnd"/>
      <w:r w:rsidRPr="004536B4">
        <w:t xml:space="preserve"> with both</w:t>
      </w:r>
      <w:r w:rsidRPr="00247A92">
        <w:t xml:space="preserve"> treatments, relative to baseline, but some improvement could have been due to recovery from CPB with time. There was a decrease in PAP/SAP with iNO compared with baseline but this was not different from HV.</w:t>
      </w:r>
    </w:p>
    <w:p w14:paraId="2A0C9DFE" w14:textId="77777777" w:rsidR="004607B6" w:rsidRDefault="00815C3D" w:rsidP="00247A92">
      <w:r>
        <w:t xml:space="preserve">The open </w:t>
      </w:r>
      <w:r w:rsidR="00247A92" w:rsidRPr="00247A92">
        <w:t>label study by Day et al</w:t>
      </w:r>
      <w:r w:rsidRPr="00815C3D">
        <w:rPr>
          <w:vertAlign w:val="superscript"/>
        </w:rPr>
        <w:fldChar w:fldCharType="begin"/>
      </w:r>
      <w:r w:rsidRPr="00815C3D">
        <w:rPr>
          <w:vertAlign w:val="superscript"/>
        </w:rPr>
        <w:instrText xml:space="preserve"> NOTEREF _Ref477536516 \h </w:instrText>
      </w:r>
      <w:r>
        <w:rPr>
          <w:vertAlign w:val="superscript"/>
        </w:rPr>
        <w:instrText xml:space="preserve"> \* MERGEFORMAT </w:instrText>
      </w:r>
      <w:r w:rsidRPr="00815C3D">
        <w:rPr>
          <w:vertAlign w:val="superscript"/>
        </w:rPr>
      </w:r>
      <w:r w:rsidRPr="00815C3D">
        <w:rPr>
          <w:vertAlign w:val="superscript"/>
        </w:rPr>
        <w:fldChar w:fldCharType="separate"/>
      </w:r>
      <w:r w:rsidR="006D3007">
        <w:rPr>
          <w:vertAlign w:val="superscript"/>
        </w:rPr>
        <w:t>13</w:t>
      </w:r>
      <w:r w:rsidRPr="00815C3D">
        <w:rPr>
          <w:vertAlign w:val="superscript"/>
        </w:rPr>
        <w:fldChar w:fldCharType="end"/>
      </w:r>
      <w:r w:rsidR="00247A92" w:rsidRPr="00247A92">
        <w:t xml:space="preserve"> of patients after biventricular repair or heart transplantation with a PAP &gt; 50% of SAP after successful removal from CPB (n</w:t>
      </w:r>
      <w:r>
        <w:t xml:space="preserve"> </w:t>
      </w:r>
      <w:r w:rsidR="00247A92" w:rsidRPr="00247A92">
        <w:t>=</w:t>
      </w:r>
      <w:r>
        <w:t xml:space="preserve"> </w:t>
      </w:r>
      <w:r w:rsidR="00247A92" w:rsidRPr="00247A92">
        <w:t xml:space="preserve">40 samples from 38 patients) compared the efficacy of iNO 20 ppm with conventional therapy (determined by the treating clinician, using a variety of regimens). The median age in </w:t>
      </w:r>
      <w:r w:rsidR="00247A92" w:rsidRPr="00247A92">
        <w:lastRenderedPageBreak/>
        <w:t>control subjects was 6 months (range 1 day to 3 years) and in the iNO subjects 7 months (range 1 day to 20 years). The baseline PAP was 47 ±</w:t>
      </w:r>
      <w:r>
        <w:t xml:space="preserve"> </w:t>
      </w:r>
      <w:r w:rsidR="00247A92" w:rsidRPr="00247A92">
        <w:t xml:space="preserve">2 </w:t>
      </w:r>
      <w:r w:rsidR="00E3550D">
        <w:t>mm of Mercury</w:t>
      </w:r>
      <w:r w:rsidR="00E3550D" w:rsidRPr="00247A92">
        <w:t xml:space="preserve"> </w:t>
      </w:r>
      <w:r w:rsidR="00E3550D">
        <w:t>(</w:t>
      </w:r>
      <w:r w:rsidR="00247A92" w:rsidRPr="00247A92">
        <w:t>mmHg</w:t>
      </w:r>
      <w:r w:rsidR="00E3550D">
        <w:t>)</w:t>
      </w:r>
      <w:r w:rsidR="00247A92" w:rsidRPr="00247A92">
        <w:t xml:space="preserve"> and in the iNO group 52</w:t>
      </w:r>
      <w:r>
        <w:t> </w:t>
      </w:r>
      <w:r w:rsidR="00247A92" w:rsidRPr="00247A92">
        <w:t>±</w:t>
      </w:r>
      <w:r>
        <w:t> 3 </w:t>
      </w:r>
      <w:r w:rsidR="00247A92" w:rsidRPr="00247A92">
        <w:t xml:space="preserve">mmHg. The difference did not reach statistical significance but equalled the size of the treatment effect in the iNO group. The primary endpoint, PHTC, occurred in 4 control patients and in 3 iNO patients, a difference that was not statistically significant. There were no statistical differences between treatments for the major secondary endpoints of changes in haemodynamic parameters, but the trends were favourable. Systolic pulmonary arterial pressure (SPAP) in the control group started relatively low and increased after an hour, whereas SPAP in the iNO group started relatively high and decreased by </w:t>
      </w:r>
      <w:r>
        <w:t xml:space="preserve">approximately </w:t>
      </w:r>
      <w:r w:rsidR="00247A92" w:rsidRPr="00247A92">
        <w:t>10%. The changes in ratio of systolic pulmonary and systemic arterial pressures were greater with iNO than with conventional therapy, and this comparison approached statistical significance (p</w:t>
      </w:r>
      <w:r>
        <w:t xml:space="preserve"> </w:t>
      </w:r>
      <w:r w:rsidR="00247A92" w:rsidRPr="00247A92">
        <w:t>=</w:t>
      </w:r>
      <w:r>
        <w:t xml:space="preserve"> </w:t>
      </w:r>
      <w:r w:rsidR="00247A92" w:rsidRPr="00247A92">
        <w:t>0.066)</w:t>
      </w:r>
      <w:r w:rsidR="004607B6">
        <w:t>.</w:t>
      </w:r>
    </w:p>
    <w:p w14:paraId="4115E806" w14:textId="77777777" w:rsidR="004607B6" w:rsidRDefault="00247A92" w:rsidP="00247A92">
      <w:r w:rsidRPr="00247A92">
        <w:t>The remaining 5 efficacy studies in children compared iNO to active alternatives. These studies were not specifically powered to demonstrate differences between iNO compared to the active alternative</w:t>
      </w:r>
      <w:r w:rsidR="004607B6">
        <w:t>.</w:t>
      </w:r>
    </w:p>
    <w:p w14:paraId="0073045A" w14:textId="77777777" w:rsidR="00247A92" w:rsidRPr="00247A92" w:rsidRDefault="00247A92" w:rsidP="00247A92">
      <w:pPr>
        <w:pStyle w:val="ListBullet"/>
      </w:pPr>
      <w:proofErr w:type="spellStart"/>
      <w:r w:rsidRPr="00247A92">
        <w:t>Cai</w:t>
      </w:r>
      <w:proofErr w:type="spellEnd"/>
      <w:r w:rsidRPr="00247A92">
        <w:t xml:space="preserve"> et al, 2008 (n</w:t>
      </w:r>
      <w:r w:rsidR="00815C3D">
        <w:t xml:space="preserve"> = </w:t>
      </w:r>
      <w:r w:rsidRPr="00247A92">
        <w:t>46)</w:t>
      </w:r>
      <w:r w:rsidR="00815C3D" w:rsidRPr="00815C3D">
        <w:rPr>
          <w:vertAlign w:val="superscript"/>
        </w:rPr>
        <w:fldChar w:fldCharType="begin"/>
      </w:r>
      <w:r w:rsidR="00815C3D" w:rsidRPr="00815C3D">
        <w:rPr>
          <w:vertAlign w:val="superscript"/>
        </w:rPr>
        <w:instrText xml:space="preserve"> NOTEREF _Ref477536870 \h </w:instrText>
      </w:r>
      <w:r w:rsidR="00815C3D">
        <w:rPr>
          <w:vertAlign w:val="superscript"/>
        </w:rPr>
        <w:instrText xml:space="preserve"> \* MERGEFORMAT </w:instrText>
      </w:r>
      <w:r w:rsidR="00815C3D" w:rsidRPr="00815C3D">
        <w:rPr>
          <w:vertAlign w:val="superscript"/>
        </w:rPr>
      </w:r>
      <w:r w:rsidR="00815C3D" w:rsidRPr="00815C3D">
        <w:rPr>
          <w:vertAlign w:val="superscript"/>
        </w:rPr>
        <w:fldChar w:fldCharType="separate"/>
      </w:r>
      <w:r w:rsidR="006D3007">
        <w:rPr>
          <w:vertAlign w:val="superscript"/>
        </w:rPr>
        <w:t>15</w:t>
      </w:r>
      <w:r w:rsidR="00815C3D" w:rsidRPr="00815C3D">
        <w:rPr>
          <w:vertAlign w:val="superscript"/>
        </w:rPr>
        <w:fldChar w:fldCharType="end"/>
      </w:r>
      <w:r w:rsidRPr="00247A92">
        <w:t xml:space="preserve">, was an </w:t>
      </w:r>
      <w:r w:rsidR="00815C3D">
        <w:t>open label</w:t>
      </w:r>
      <w:r w:rsidRPr="00247A92">
        <w:t>, parallel group study in which</w:t>
      </w:r>
      <w:r w:rsidR="009A0B07">
        <w:t xml:space="preserve"> </w:t>
      </w:r>
      <w:r w:rsidRPr="00247A92">
        <w:t>iNO at a starting dose of 10 ppm and continued for at least 24 hours was compared to</w:t>
      </w:r>
      <w:r w:rsidR="00815C3D">
        <w:t xml:space="preserve"> intravenous milrinone 0.5 mcg.</w:t>
      </w:r>
      <w:r w:rsidRPr="00247A92">
        <w:t>kg</w:t>
      </w:r>
      <w:r w:rsidRPr="00815C3D">
        <w:rPr>
          <w:vertAlign w:val="superscript"/>
        </w:rPr>
        <w:t>-1</w:t>
      </w:r>
      <w:r w:rsidR="00815C3D">
        <w:t>.</w:t>
      </w:r>
      <w:r w:rsidRPr="00247A92">
        <w:t>min</w:t>
      </w:r>
      <w:r w:rsidRPr="00815C3D">
        <w:rPr>
          <w:vertAlign w:val="superscript"/>
        </w:rPr>
        <w:t>-1</w:t>
      </w:r>
      <w:r w:rsidR="009A0B07">
        <w:t xml:space="preserve"> </w:t>
      </w:r>
      <w:r w:rsidRPr="00247A92">
        <w:t>and a combination of the two treatments in children with pulmonary hypertension a</w:t>
      </w:r>
      <w:r w:rsidR="00815C3D">
        <w:t xml:space="preserve">fter a Fontan procedure. In a 3 group, open </w:t>
      </w:r>
      <w:r w:rsidRPr="00247A92">
        <w:t>label design, each agent was compared to the other agent and to the combination of both agents. Inhaled NO was significantly superior to milrinone for the study’s main measure of PVR, and transpulmonary gradient (TPG). An improvement in oxygenation was shown in all groups, but greatest in the groups using iNO.</w:t>
      </w:r>
    </w:p>
    <w:p w14:paraId="577A9FD3" w14:textId="77777777" w:rsidR="00247A92" w:rsidRPr="00247A92" w:rsidRDefault="00247A92" w:rsidP="00247A92">
      <w:pPr>
        <w:pStyle w:val="ListBullet"/>
      </w:pPr>
      <w:r w:rsidRPr="00247A92">
        <w:t>Goldman et al, 1995 (n</w:t>
      </w:r>
      <w:r w:rsidR="00815C3D">
        <w:t xml:space="preserve"> </w:t>
      </w:r>
      <w:r w:rsidRPr="00247A92">
        <w:t>=</w:t>
      </w:r>
      <w:r w:rsidR="00815C3D">
        <w:t xml:space="preserve"> </w:t>
      </w:r>
      <w:r w:rsidRPr="00247A92">
        <w:t>13)</w:t>
      </w:r>
      <w:r w:rsidR="00815C3D" w:rsidRPr="00815C3D">
        <w:rPr>
          <w:vertAlign w:val="superscript"/>
        </w:rPr>
        <w:fldChar w:fldCharType="begin"/>
      </w:r>
      <w:r w:rsidR="00815C3D" w:rsidRPr="00815C3D">
        <w:rPr>
          <w:vertAlign w:val="superscript"/>
        </w:rPr>
        <w:instrText xml:space="preserve"> NOTEREF _Ref477536886 \h </w:instrText>
      </w:r>
      <w:r w:rsidR="00815C3D">
        <w:rPr>
          <w:vertAlign w:val="superscript"/>
        </w:rPr>
        <w:instrText xml:space="preserve"> \* MERGEFORMAT </w:instrText>
      </w:r>
      <w:r w:rsidR="00815C3D" w:rsidRPr="00815C3D">
        <w:rPr>
          <w:vertAlign w:val="superscript"/>
        </w:rPr>
      </w:r>
      <w:r w:rsidR="00815C3D" w:rsidRPr="00815C3D">
        <w:rPr>
          <w:vertAlign w:val="superscript"/>
        </w:rPr>
        <w:fldChar w:fldCharType="separate"/>
      </w:r>
      <w:r w:rsidR="006D3007">
        <w:rPr>
          <w:vertAlign w:val="superscript"/>
        </w:rPr>
        <w:t>16</w:t>
      </w:r>
      <w:r w:rsidR="00815C3D" w:rsidRPr="00815C3D">
        <w:rPr>
          <w:vertAlign w:val="superscript"/>
        </w:rPr>
        <w:fldChar w:fldCharType="end"/>
      </w:r>
      <w:r w:rsidRPr="00247A92">
        <w:t xml:space="preserve">, was a small, brief, </w:t>
      </w:r>
      <w:r w:rsidR="00815C3D">
        <w:t>open label</w:t>
      </w:r>
      <w:r w:rsidRPr="00247A92">
        <w:t xml:space="preserve"> crossover study, which showed that iNO 20 ppm was significantly superior to intravenous prostacyclin 20 ng</w:t>
      </w:r>
      <w:r w:rsidR="00815C3D">
        <w:t xml:space="preserve"> per kg per minute in the short term (10 </w:t>
      </w:r>
      <w:r w:rsidRPr="00247A92">
        <w:t xml:space="preserve">minute) treatment of severe pulmonary hypertension in paediatric subjects after cardiac surgery. </w:t>
      </w:r>
      <w:proofErr w:type="spellStart"/>
      <w:proofErr w:type="gramStart"/>
      <w:r w:rsidR="00E3550D">
        <w:t>mPAP</w:t>
      </w:r>
      <w:proofErr w:type="spellEnd"/>
      <w:proofErr w:type="gramEnd"/>
      <w:r w:rsidRPr="00247A92">
        <w:t xml:space="preserve"> was reduced by 33% during iNO treatment (95%CI, -24% to -51%), compared to a reduction of 15% during prostacyclin treatment (95%Cl, -4% to -38%; </w:t>
      </w:r>
      <w:r w:rsidR="00815C3D">
        <w:t>p &lt; 0</w:t>
      </w:r>
      <w:r w:rsidRPr="00247A92">
        <w:t>.01).</w:t>
      </w:r>
    </w:p>
    <w:p w14:paraId="16524529" w14:textId="77777777" w:rsidR="00247A92" w:rsidRPr="00247A92" w:rsidRDefault="00247A92" w:rsidP="00247A92">
      <w:pPr>
        <w:pStyle w:val="ListBullet"/>
      </w:pPr>
      <w:proofErr w:type="spellStart"/>
      <w:r w:rsidRPr="00247A92">
        <w:t>Kirbas</w:t>
      </w:r>
      <w:proofErr w:type="spellEnd"/>
      <w:r w:rsidRPr="00247A92">
        <w:t xml:space="preserve"> et al, 2012 (n</w:t>
      </w:r>
      <w:r w:rsidR="00815C3D">
        <w:t xml:space="preserve"> </w:t>
      </w:r>
      <w:r w:rsidRPr="00247A92">
        <w:t>=</w:t>
      </w:r>
      <w:r w:rsidR="00815C3D">
        <w:t xml:space="preserve"> </w:t>
      </w:r>
      <w:r w:rsidRPr="00247A92">
        <w:t>16)</w:t>
      </w:r>
      <w:r w:rsidR="00815C3D" w:rsidRPr="00815C3D">
        <w:rPr>
          <w:vertAlign w:val="superscript"/>
        </w:rPr>
        <w:fldChar w:fldCharType="begin"/>
      </w:r>
      <w:r w:rsidR="00815C3D" w:rsidRPr="00815C3D">
        <w:rPr>
          <w:vertAlign w:val="superscript"/>
        </w:rPr>
        <w:instrText xml:space="preserve"> NOTEREF _Ref477535765 \h </w:instrText>
      </w:r>
      <w:r w:rsidR="00815C3D">
        <w:rPr>
          <w:vertAlign w:val="superscript"/>
        </w:rPr>
        <w:instrText xml:space="preserve"> \* MERGEFORMAT </w:instrText>
      </w:r>
      <w:r w:rsidR="00815C3D" w:rsidRPr="00815C3D">
        <w:rPr>
          <w:vertAlign w:val="superscript"/>
        </w:rPr>
      </w:r>
      <w:r w:rsidR="00815C3D" w:rsidRPr="00815C3D">
        <w:rPr>
          <w:vertAlign w:val="superscript"/>
        </w:rPr>
        <w:fldChar w:fldCharType="separate"/>
      </w:r>
      <w:r w:rsidR="006D3007">
        <w:rPr>
          <w:vertAlign w:val="superscript"/>
        </w:rPr>
        <w:t>4</w:t>
      </w:r>
      <w:r w:rsidR="00815C3D" w:rsidRPr="00815C3D">
        <w:rPr>
          <w:vertAlign w:val="superscript"/>
        </w:rPr>
        <w:fldChar w:fldCharType="end"/>
      </w:r>
      <w:r w:rsidRPr="00247A92">
        <w:t xml:space="preserve">, was a small, </w:t>
      </w:r>
      <w:r w:rsidR="00815C3D">
        <w:t>open label</w:t>
      </w:r>
      <w:r w:rsidRPr="00247A92">
        <w:t xml:space="preserve"> study in paediatric cardiac surgery patients found no difference between the efficacy of iNO 20 ppm (n</w:t>
      </w:r>
      <w:r w:rsidR="00815C3D">
        <w:t xml:space="preserve"> </w:t>
      </w:r>
      <w:r w:rsidRPr="00247A92">
        <w:t>=</w:t>
      </w:r>
      <w:r w:rsidR="00815C3D">
        <w:t xml:space="preserve"> </w:t>
      </w:r>
      <w:r w:rsidRPr="00247A92">
        <w:t>8) and aerosolised iloprost (n</w:t>
      </w:r>
      <w:r w:rsidR="00815C3D">
        <w:t xml:space="preserve"> = </w:t>
      </w:r>
      <w:r w:rsidRPr="00247A92">
        <w:t>8) in the treatment of pulmonary hypertension.</w:t>
      </w:r>
      <w:r w:rsidR="009A0B07">
        <w:t xml:space="preserve"> </w:t>
      </w:r>
      <w:r w:rsidRPr="00247A92">
        <w:t>Favourable reductions in PAP and in PAP/SAP ratio were observed in both groups.</w:t>
      </w:r>
    </w:p>
    <w:p w14:paraId="6D33FD39" w14:textId="77777777" w:rsidR="004607B6" w:rsidRDefault="00247A92" w:rsidP="00247A92">
      <w:pPr>
        <w:pStyle w:val="ListBullet"/>
      </w:pPr>
      <w:proofErr w:type="spellStart"/>
      <w:r w:rsidRPr="00247A92">
        <w:t>Loukanov</w:t>
      </w:r>
      <w:proofErr w:type="spellEnd"/>
      <w:r w:rsidRPr="00247A92">
        <w:t xml:space="preserve"> et al, 2011 (n</w:t>
      </w:r>
      <w:r w:rsidR="00815C3D">
        <w:t xml:space="preserve"> = </w:t>
      </w:r>
      <w:r w:rsidRPr="00247A92">
        <w:t>15)</w:t>
      </w:r>
      <w:r w:rsidR="00815C3D" w:rsidRPr="00815C3D">
        <w:rPr>
          <w:vertAlign w:val="superscript"/>
        </w:rPr>
        <w:fldChar w:fldCharType="begin"/>
      </w:r>
      <w:r w:rsidR="00815C3D" w:rsidRPr="00815C3D">
        <w:rPr>
          <w:vertAlign w:val="superscript"/>
        </w:rPr>
        <w:instrText xml:space="preserve"> NOTEREF _Ref477535779 \h </w:instrText>
      </w:r>
      <w:r w:rsidR="00815C3D">
        <w:rPr>
          <w:vertAlign w:val="superscript"/>
        </w:rPr>
        <w:instrText xml:space="preserve"> \* MERGEFORMAT </w:instrText>
      </w:r>
      <w:r w:rsidR="00815C3D" w:rsidRPr="00815C3D">
        <w:rPr>
          <w:vertAlign w:val="superscript"/>
        </w:rPr>
      </w:r>
      <w:r w:rsidR="00815C3D" w:rsidRPr="00815C3D">
        <w:rPr>
          <w:vertAlign w:val="superscript"/>
        </w:rPr>
        <w:fldChar w:fldCharType="separate"/>
      </w:r>
      <w:r w:rsidR="006D3007">
        <w:rPr>
          <w:vertAlign w:val="superscript"/>
        </w:rPr>
        <w:t>5</w:t>
      </w:r>
      <w:r w:rsidR="00815C3D" w:rsidRPr="00815C3D">
        <w:rPr>
          <w:vertAlign w:val="superscript"/>
        </w:rPr>
        <w:fldChar w:fldCharType="end"/>
      </w:r>
      <w:r w:rsidRPr="00247A92">
        <w:t xml:space="preserve">, was a small, </w:t>
      </w:r>
      <w:r w:rsidR="00815C3D">
        <w:t>open label</w:t>
      </w:r>
      <w:r w:rsidRPr="00247A92">
        <w:t xml:space="preserve"> pilot study comparing iNO 10 ppm and aerosolised </w:t>
      </w:r>
      <w:proofErr w:type="spellStart"/>
      <w:r w:rsidRPr="00247A92">
        <w:t>iloprost</w:t>
      </w:r>
      <w:proofErr w:type="spellEnd"/>
      <w:r w:rsidRPr="00247A92">
        <w:t xml:space="preserve"> 0.5 </w:t>
      </w:r>
      <w:proofErr w:type="spellStart"/>
      <w:r w:rsidRPr="00247A92">
        <w:t>μg</w:t>
      </w:r>
      <w:proofErr w:type="spellEnd"/>
      <w:r w:rsidRPr="00247A92">
        <w:t xml:space="preserve">/kg every 2 h in infants aged 77 to 257 days, 73% of whom had trisomy 21. Similar efficacy between iNO and iloprost to prevent PHTCs was suggested but the study was not adequately powered to demonstrate equivalence. Trends in </w:t>
      </w:r>
      <w:proofErr w:type="spellStart"/>
      <w:r w:rsidR="00E3550D">
        <w:t>mPAP</w:t>
      </w:r>
      <w:proofErr w:type="spellEnd"/>
      <w:r w:rsidRPr="00247A92">
        <w:t xml:space="preserve"> were weakly in favour of iNO</w:t>
      </w:r>
      <w:r w:rsidR="004607B6">
        <w:t>.</w:t>
      </w:r>
    </w:p>
    <w:p w14:paraId="7E8670E9" w14:textId="77777777" w:rsidR="00247A92" w:rsidRPr="00247A92" w:rsidRDefault="00247A92" w:rsidP="00247A92">
      <w:pPr>
        <w:pStyle w:val="ListBullet"/>
      </w:pPr>
      <w:r w:rsidRPr="00247A92">
        <w:t>Stocker et al, 2003 (evaluable n</w:t>
      </w:r>
      <w:r w:rsidR="00815C3D">
        <w:t xml:space="preserve"> = </w:t>
      </w:r>
      <w:r w:rsidRPr="00247A92">
        <w:t>15)</w:t>
      </w:r>
      <w:r w:rsidR="00815C3D" w:rsidRPr="00815C3D">
        <w:rPr>
          <w:vertAlign w:val="superscript"/>
        </w:rPr>
        <w:fldChar w:fldCharType="begin"/>
      </w:r>
      <w:r w:rsidR="00815C3D" w:rsidRPr="00815C3D">
        <w:rPr>
          <w:vertAlign w:val="superscript"/>
        </w:rPr>
        <w:instrText xml:space="preserve"> NOTEREF _Ref477536958 \h </w:instrText>
      </w:r>
      <w:r w:rsidR="00815C3D">
        <w:rPr>
          <w:vertAlign w:val="superscript"/>
        </w:rPr>
        <w:instrText xml:space="preserve"> \* MERGEFORMAT </w:instrText>
      </w:r>
      <w:r w:rsidR="00815C3D" w:rsidRPr="00815C3D">
        <w:rPr>
          <w:vertAlign w:val="superscript"/>
        </w:rPr>
      </w:r>
      <w:r w:rsidR="00815C3D" w:rsidRPr="00815C3D">
        <w:rPr>
          <w:vertAlign w:val="superscript"/>
        </w:rPr>
        <w:fldChar w:fldCharType="separate"/>
      </w:r>
      <w:r w:rsidR="006D3007">
        <w:rPr>
          <w:vertAlign w:val="superscript"/>
        </w:rPr>
        <w:t>17</w:t>
      </w:r>
      <w:r w:rsidR="00815C3D" w:rsidRPr="00815C3D">
        <w:rPr>
          <w:vertAlign w:val="superscript"/>
        </w:rPr>
        <w:fldChar w:fldCharType="end"/>
      </w:r>
      <w:r w:rsidRPr="00247A92">
        <w:t xml:space="preserve">, compared </w:t>
      </w:r>
      <w:proofErr w:type="spellStart"/>
      <w:r w:rsidRPr="00247A92">
        <w:t>iNO</w:t>
      </w:r>
      <w:proofErr w:type="spellEnd"/>
      <w:r w:rsidRPr="00247A92">
        <w:t xml:space="preserve"> 20 ppm and intravenous sildenafil 0.35 mg/kg in a small, </w:t>
      </w:r>
      <w:r w:rsidR="00815C3D">
        <w:t>open label</w:t>
      </w:r>
      <w:r w:rsidRPr="00247A92">
        <w:t xml:space="preserve"> crossover study in infant cardiac surgery patients, showing that the two drugs were similar in their ability to lower </w:t>
      </w:r>
      <w:proofErr w:type="spellStart"/>
      <w:r w:rsidR="00E3550D">
        <w:t>mPAP</w:t>
      </w:r>
      <w:proofErr w:type="spellEnd"/>
      <w:r w:rsidRPr="00247A92">
        <w:t xml:space="preserve"> and </w:t>
      </w:r>
      <w:r w:rsidRPr="00C0382B">
        <w:t xml:space="preserve">PVRI. In the </w:t>
      </w:r>
      <w:proofErr w:type="spellStart"/>
      <w:r w:rsidRPr="00C0382B">
        <w:t>iNO</w:t>
      </w:r>
      <w:proofErr w:type="spellEnd"/>
      <w:r w:rsidRPr="00247A92">
        <w:t xml:space="preserve">-first group, </w:t>
      </w:r>
      <w:proofErr w:type="spellStart"/>
      <w:r w:rsidR="00E3550D">
        <w:t>mPAP</w:t>
      </w:r>
      <w:proofErr w:type="spellEnd"/>
      <w:r w:rsidRPr="00247A92">
        <w:t xml:space="preserve"> had fallen after 20 min of therapy, reducing by 1.4</w:t>
      </w:r>
      <w:r w:rsidR="00815C3D">
        <w:t> </w:t>
      </w:r>
      <w:r w:rsidRPr="00247A92">
        <w:t>±</w:t>
      </w:r>
      <w:r w:rsidR="00815C3D">
        <w:t> </w:t>
      </w:r>
      <w:r w:rsidRPr="00247A92">
        <w:t>0.4 mmHg (by 7.8</w:t>
      </w:r>
      <w:r w:rsidR="00815C3D">
        <w:t xml:space="preserve"> </w:t>
      </w:r>
      <w:r w:rsidRPr="00247A92">
        <w:t>±</w:t>
      </w:r>
      <w:r w:rsidR="00815C3D">
        <w:t xml:space="preserve"> </w:t>
      </w:r>
      <w:r w:rsidRPr="00247A92">
        <w:t>2.1%; p</w:t>
      </w:r>
      <w:r w:rsidR="00815C3D">
        <w:t xml:space="preserve"> = </w:t>
      </w:r>
      <w:r w:rsidRPr="00247A92">
        <w:t>0.008). The subsequent addition of sildenafil did not further lower PA pressure. In the sildenafil-first gr</w:t>
      </w:r>
      <w:r w:rsidR="00815C3D">
        <w:t xml:space="preserve">oup, </w:t>
      </w:r>
      <w:proofErr w:type="spellStart"/>
      <w:r w:rsidR="00E3550D">
        <w:t>mPAP</w:t>
      </w:r>
      <w:proofErr w:type="spellEnd"/>
      <w:r w:rsidR="00815C3D">
        <w:t xml:space="preserve"> had also fallen by 20 </w:t>
      </w:r>
      <w:r w:rsidRPr="00247A92">
        <w:t>min</w:t>
      </w:r>
      <w:r w:rsidR="00815C3D">
        <w:t>utes</w:t>
      </w:r>
      <w:r w:rsidRPr="00247A92">
        <w:t>; the reduction seen with sildenafil was numerically greater than that seen in the iNO-first group when expressed as a percentage of baseline, but the fall was not statistically significant (reduction of 10</w:t>
      </w:r>
      <w:r w:rsidR="00815C3D">
        <w:t xml:space="preserve"> </w:t>
      </w:r>
      <w:r w:rsidRPr="00247A92">
        <w:t>±</w:t>
      </w:r>
      <w:r w:rsidR="00815C3D">
        <w:t xml:space="preserve"> </w:t>
      </w:r>
      <w:r w:rsidRPr="00247A92">
        <w:t>4.1%; p</w:t>
      </w:r>
      <w:r w:rsidR="00815C3D">
        <w:t xml:space="preserve"> = </w:t>
      </w:r>
      <w:r w:rsidRPr="00247A92">
        <w:t xml:space="preserve">0.055). The subsequent addition of iNO produced a further fall in </w:t>
      </w:r>
      <w:proofErr w:type="spellStart"/>
      <w:r w:rsidR="00E3550D">
        <w:t>mPAP</w:t>
      </w:r>
      <w:proofErr w:type="spellEnd"/>
      <w:r w:rsidRPr="00247A92">
        <w:t>. The authors noted that iNO had greater pulmonary selectivity.</w:t>
      </w:r>
    </w:p>
    <w:p w14:paraId="06A68891" w14:textId="77777777" w:rsidR="00247A92" w:rsidRPr="00247A92" w:rsidRDefault="00247A92" w:rsidP="00247A92">
      <w:r w:rsidRPr="00247A92">
        <w:t>The remaining 13 efficacy studies were performed in adults.</w:t>
      </w:r>
      <w:r w:rsidR="009A0B07">
        <w:t xml:space="preserve"> </w:t>
      </w:r>
      <w:r w:rsidR="00815C3D">
        <w:t xml:space="preserve">The studies included a sponsor </w:t>
      </w:r>
      <w:r w:rsidRPr="00247A92">
        <w:t xml:space="preserve">led study of 150 adults (study INOT41) undergoing LVAD placement given iNO at </w:t>
      </w:r>
      <w:r w:rsidRPr="00247A92">
        <w:lastRenderedPageBreak/>
        <w:t>a dose of 40 ppm or placebo for up to 48 hours. These studies showed similar haemodynamic changes to those observed in children. Many were small and had issues with sample size and/or methodology but were overall supportive of the efficacy of iNO in adult with cardiac abnormalities and pulmonary hypertension.</w:t>
      </w:r>
    </w:p>
    <w:p w14:paraId="3DD1E823" w14:textId="77777777" w:rsidR="00247A92" w:rsidRPr="00247A92" w:rsidRDefault="00247A92" w:rsidP="00247A92">
      <w:pPr>
        <w:pStyle w:val="Heading4"/>
      </w:pPr>
      <w:r w:rsidRPr="00247A92">
        <w:t>Safety</w:t>
      </w:r>
    </w:p>
    <w:p w14:paraId="38C348CD" w14:textId="58F6D835" w:rsidR="00247A92" w:rsidRPr="00247A92" w:rsidRDefault="00247A92" w:rsidP="00247A92">
      <w:r w:rsidRPr="00247A92">
        <w:t>In the studies submitted in support this application 288 children were exposed to iNO and 134 were exposed to</w:t>
      </w:r>
      <w:r w:rsidR="00815C3D">
        <w:t xml:space="preserve"> the proposed dose range of 10 to</w:t>
      </w:r>
      <w:r w:rsidRPr="00247A92">
        <w:t xml:space="preserve"> 20 ppm. An additional 155 adults were also exposed with an additional 123 exposed to the p</w:t>
      </w:r>
      <w:r w:rsidR="00815C3D">
        <w:t>roposed dose range. In the post</w:t>
      </w:r>
      <w:r w:rsidR="00815C3D">
        <w:noBreakHyphen/>
      </w:r>
      <w:r w:rsidRPr="00247A92">
        <w:t>market setting an estimated 603,449 patients has been exposed since 1999, with the majority o</w:t>
      </w:r>
      <w:r w:rsidR="00815C3D">
        <w:t xml:space="preserve">f those in the USA. One sponsor </w:t>
      </w:r>
      <w:r w:rsidRPr="00247A92">
        <w:t>led PD study and one of the supportive adult studies were sponsor led had comprehensive safety monitoring, however the majority were investigator led, and many published more than a decade ago. There was no systematic reporting of adverse events in the published literature. Deaths were reported by Miller et al (1 patient: PHTC associated with a pneumothorax)</w:t>
      </w:r>
      <w:proofErr w:type="gramStart"/>
      <w:r w:rsidR="009B308E">
        <w:t>,</w:t>
      </w:r>
      <w:proofErr w:type="gramEnd"/>
      <w:r w:rsidR="002633EC" w:rsidRPr="002633EC">
        <w:rPr>
          <w:vertAlign w:val="superscript"/>
        </w:rPr>
        <w:fldChar w:fldCharType="begin"/>
      </w:r>
      <w:r w:rsidR="002633EC" w:rsidRPr="002633EC">
        <w:rPr>
          <w:vertAlign w:val="superscript"/>
        </w:rPr>
        <w:instrText xml:space="preserve"> NOTEREF _Ref477535524 \h </w:instrText>
      </w:r>
      <w:r w:rsidR="002633EC">
        <w:rPr>
          <w:vertAlign w:val="superscript"/>
        </w:rPr>
        <w:instrText xml:space="preserve"> \* MERGEFORMAT </w:instrText>
      </w:r>
      <w:r w:rsidR="002633EC" w:rsidRPr="002633EC">
        <w:rPr>
          <w:vertAlign w:val="superscript"/>
        </w:rPr>
      </w:r>
      <w:r w:rsidR="002633EC" w:rsidRPr="002633EC">
        <w:rPr>
          <w:vertAlign w:val="superscript"/>
        </w:rPr>
        <w:fldChar w:fldCharType="separate"/>
      </w:r>
      <w:r w:rsidR="006D3007">
        <w:rPr>
          <w:vertAlign w:val="superscript"/>
        </w:rPr>
        <w:t>11</w:t>
      </w:r>
      <w:r w:rsidR="002633EC" w:rsidRPr="002633EC">
        <w:rPr>
          <w:vertAlign w:val="superscript"/>
        </w:rPr>
        <w:fldChar w:fldCharType="end"/>
      </w:r>
      <w:r w:rsidRPr="00247A92">
        <w:t xml:space="preserve"> Goldman et al (3</w:t>
      </w:r>
      <w:r w:rsidR="009B308E">
        <w:t> </w:t>
      </w:r>
      <w:r w:rsidRPr="00247A92">
        <w:t>deaths: 1 delayed PHTC 2 days after cessation of iNO, 1 multiple organ failure, 1 from underlying lung disease)</w:t>
      </w:r>
      <w:r w:rsidR="002633EC" w:rsidRPr="002633EC">
        <w:rPr>
          <w:vertAlign w:val="superscript"/>
        </w:rPr>
        <w:fldChar w:fldCharType="begin"/>
      </w:r>
      <w:r w:rsidR="002633EC" w:rsidRPr="002633EC">
        <w:rPr>
          <w:vertAlign w:val="superscript"/>
        </w:rPr>
        <w:instrText xml:space="preserve"> NOTEREF _Ref477536886 \h </w:instrText>
      </w:r>
      <w:r w:rsidR="002633EC">
        <w:rPr>
          <w:vertAlign w:val="superscript"/>
        </w:rPr>
        <w:instrText xml:space="preserve"> \* MERGEFORMAT </w:instrText>
      </w:r>
      <w:r w:rsidR="002633EC" w:rsidRPr="002633EC">
        <w:rPr>
          <w:vertAlign w:val="superscript"/>
        </w:rPr>
      </w:r>
      <w:r w:rsidR="002633EC" w:rsidRPr="002633EC">
        <w:rPr>
          <w:vertAlign w:val="superscript"/>
        </w:rPr>
        <w:fldChar w:fldCharType="separate"/>
      </w:r>
      <w:r w:rsidR="006D3007">
        <w:rPr>
          <w:vertAlign w:val="superscript"/>
        </w:rPr>
        <w:t>16</w:t>
      </w:r>
      <w:r w:rsidR="002633EC" w:rsidRPr="002633EC">
        <w:rPr>
          <w:vertAlign w:val="superscript"/>
        </w:rPr>
        <w:fldChar w:fldCharType="end"/>
      </w:r>
      <w:r w:rsidRPr="002633EC">
        <w:rPr>
          <w:vertAlign w:val="superscript"/>
        </w:rPr>
        <w:t xml:space="preserve"> </w:t>
      </w:r>
      <w:r w:rsidRPr="00247A92">
        <w:t xml:space="preserve">and </w:t>
      </w:r>
      <w:proofErr w:type="spellStart"/>
      <w:r w:rsidRPr="00247A92">
        <w:t>Kirbas</w:t>
      </w:r>
      <w:proofErr w:type="spellEnd"/>
      <w:r w:rsidRPr="00247A92">
        <w:t xml:space="preserve"> et al (1 patient from chronic respiratory failure).</w:t>
      </w:r>
      <w:r w:rsidR="002633EC" w:rsidRPr="002633EC">
        <w:rPr>
          <w:vertAlign w:val="superscript"/>
        </w:rPr>
        <w:fldChar w:fldCharType="begin"/>
      </w:r>
      <w:r w:rsidR="002633EC" w:rsidRPr="002633EC">
        <w:rPr>
          <w:vertAlign w:val="superscript"/>
        </w:rPr>
        <w:instrText xml:space="preserve"> NOTEREF _Ref477535765 \h </w:instrText>
      </w:r>
      <w:r w:rsidR="002633EC">
        <w:rPr>
          <w:vertAlign w:val="superscript"/>
        </w:rPr>
        <w:instrText xml:space="preserve"> \* MERGEFORMAT </w:instrText>
      </w:r>
      <w:r w:rsidR="002633EC" w:rsidRPr="002633EC">
        <w:rPr>
          <w:vertAlign w:val="superscript"/>
        </w:rPr>
      </w:r>
      <w:r w:rsidR="002633EC" w:rsidRPr="002633EC">
        <w:rPr>
          <w:vertAlign w:val="superscript"/>
        </w:rPr>
        <w:fldChar w:fldCharType="separate"/>
      </w:r>
      <w:r w:rsidR="006D3007">
        <w:rPr>
          <w:vertAlign w:val="superscript"/>
        </w:rPr>
        <w:t>4</w:t>
      </w:r>
      <w:r w:rsidR="002633EC" w:rsidRPr="002633EC">
        <w:rPr>
          <w:vertAlign w:val="superscript"/>
        </w:rPr>
        <w:fldChar w:fldCharType="end"/>
      </w:r>
      <w:r w:rsidR="002633EC">
        <w:t xml:space="preserve"> In the sponsor </w:t>
      </w:r>
      <w:r w:rsidRPr="00247A92">
        <w:t xml:space="preserve">led PD study (INOT22) 3 deaths were reported; 1 after accidental extubation with resultant severe hypotension, hypoxia and bradycardia, and subsequent refractory pulmonary hypertension and right ventricular failure, 1 due to accidental perforation of the aortic valve during catheterisation, and 1 from refractory pulmonary hypertension that commenced 30 minutes after withdrawal of the study </w:t>
      </w:r>
      <w:r w:rsidR="002633EC">
        <w:t>drug. He had received iNO at 80 </w:t>
      </w:r>
      <w:r w:rsidRPr="00247A92">
        <w:t>ppm for 79 minutes. Two of the 6 adult deaths from the adult literature occurred within 30 days of cessation of the study drug. Another 2 adult patients with cardiomyopathy undergoing LVAD (study INOT41) died of right ventricular failure and a further 2 died from multiple organ failure. SAEs or permanent discontinuations were reported in 3 of the 10 patients in study INOT22 in patients with elevated PCWP at baseline compared with 6.5% of the full study cohort.</w:t>
      </w:r>
    </w:p>
    <w:p w14:paraId="36CCC241" w14:textId="77777777" w:rsidR="00247A92" w:rsidRPr="00247A92" w:rsidRDefault="00247A92" w:rsidP="00247A92">
      <w:r w:rsidRPr="00247A92">
        <w:t>The following is a summary from safety issues for iNO the current and previous submissions:</w:t>
      </w:r>
    </w:p>
    <w:p w14:paraId="68451306" w14:textId="77777777" w:rsidR="00247A92" w:rsidRPr="00247A92" w:rsidRDefault="00247A92" w:rsidP="00304F18">
      <w:pPr>
        <w:pStyle w:val="ListBullet"/>
      </w:pPr>
      <w:r w:rsidRPr="00247A92">
        <w:t>Nitrogen dioxide production: This is produced at low levels when iNO and O</w:t>
      </w:r>
      <w:r w:rsidRPr="002633EC">
        <w:rPr>
          <w:vertAlign w:val="subscript"/>
        </w:rPr>
        <w:t>2</w:t>
      </w:r>
      <w:r w:rsidRPr="00247A92">
        <w:t xml:space="preserve"> are combined, and can cause airway irritation, chemical pneumonitis, and asthma in susceptible individuals. The highest reported level in a child in the submitted literature was 2.1 ppm. The sponsor has recommended dose reduction if NO</w:t>
      </w:r>
      <w:r w:rsidRPr="002633EC">
        <w:rPr>
          <w:vertAlign w:val="subscript"/>
        </w:rPr>
        <w:t>2</w:t>
      </w:r>
      <w:r w:rsidRPr="00247A92">
        <w:t xml:space="preserve"> is detected at </w:t>
      </w:r>
      <w:r w:rsidR="004607B6">
        <w:t>&gt; 0</w:t>
      </w:r>
      <w:r w:rsidRPr="00247A92">
        <w:t>.5 ppm.</w:t>
      </w:r>
    </w:p>
    <w:p w14:paraId="3CF7BE19" w14:textId="77777777" w:rsidR="00247A92" w:rsidRPr="00247A92" w:rsidRDefault="00247A92" w:rsidP="00304F18">
      <w:pPr>
        <w:pStyle w:val="ListBullet"/>
      </w:pPr>
      <w:r w:rsidRPr="00247A92">
        <w:t xml:space="preserve">Methaemoglobinaemia is a recognised risk with iNO for which monitoring was mentioned in most of the submitted studies. The highest reported </w:t>
      </w:r>
      <w:proofErr w:type="spellStart"/>
      <w:r w:rsidRPr="00247A92">
        <w:t>metHb</w:t>
      </w:r>
      <w:proofErr w:type="spellEnd"/>
      <w:r w:rsidRPr="00247A92">
        <w:t xml:space="preserve"> % was 8% (Goldman et al 1995)</w:t>
      </w:r>
      <w:r w:rsidR="002633EC" w:rsidRPr="002633EC">
        <w:rPr>
          <w:vertAlign w:val="superscript"/>
        </w:rPr>
        <w:fldChar w:fldCharType="begin"/>
      </w:r>
      <w:r w:rsidR="002633EC" w:rsidRPr="002633EC">
        <w:rPr>
          <w:vertAlign w:val="superscript"/>
        </w:rPr>
        <w:instrText xml:space="preserve"> NOTEREF _Ref477536886 \h </w:instrText>
      </w:r>
      <w:r w:rsidR="002633EC">
        <w:rPr>
          <w:vertAlign w:val="superscript"/>
        </w:rPr>
        <w:instrText xml:space="preserve"> \* MERGEFORMAT </w:instrText>
      </w:r>
      <w:r w:rsidR="002633EC" w:rsidRPr="002633EC">
        <w:rPr>
          <w:vertAlign w:val="superscript"/>
        </w:rPr>
      </w:r>
      <w:r w:rsidR="002633EC" w:rsidRPr="002633EC">
        <w:rPr>
          <w:vertAlign w:val="superscript"/>
        </w:rPr>
        <w:fldChar w:fldCharType="separate"/>
      </w:r>
      <w:r w:rsidR="006D3007">
        <w:rPr>
          <w:vertAlign w:val="superscript"/>
        </w:rPr>
        <w:t>16</w:t>
      </w:r>
      <w:r w:rsidR="002633EC" w:rsidRPr="002633EC">
        <w:rPr>
          <w:vertAlign w:val="superscript"/>
        </w:rPr>
        <w:fldChar w:fldCharType="end"/>
      </w:r>
      <w:r w:rsidR="002633EC">
        <w:t xml:space="preserve"> </w:t>
      </w:r>
      <w:r w:rsidRPr="00247A92">
        <w:t>with a 20 ppm dose, and decreased to 4% when the iNO dose was reduced to 15 ppm. The sponsor has recommende</w:t>
      </w:r>
      <w:r w:rsidR="002633EC">
        <w:t xml:space="preserve">d dose adjustment if </w:t>
      </w:r>
      <w:proofErr w:type="spellStart"/>
      <w:r w:rsidR="002633EC">
        <w:t>metHb</w:t>
      </w:r>
      <w:proofErr w:type="spellEnd"/>
      <w:r w:rsidR="002633EC">
        <w:t xml:space="preserve"> is &gt; </w:t>
      </w:r>
      <w:r w:rsidRPr="00247A92">
        <w:t>2.5%.</w:t>
      </w:r>
    </w:p>
    <w:p w14:paraId="074494A9" w14:textId="77777777" w:rsidR="004607B6" w:rsidRDefault="00247A92" w:rsidP="00304F18">
      <w:pPr>
        <w:pStyle w:val="ListBullet"/>
      </w:pPr>
      <w:r w:rsidRPr="00247A92">
        <w:t>Rebound pulmonary hypertension is a well described phenomenon with abrupt withdrawal of iNO. It can result in bradycardia and circulatory collapse</w:t>
      </w:r>
      <w:r w:rsidR="004607B6">
        <w:t>.</w:t>
      </w:r>
    </w:p>
    <w:p w14:paraId="6D07C71F" w14:textId="77777777" w:rsidR="00247A92" w:rsidRPr="00247A92" w:rsidRDefault="00247A92" w:rsidP="00304F18">
      <w:pPr>
        <w:pStyle w:val="ListBullet"/>
      </w:pPr>
      <w:r w:rsidRPr="00247A92">
        <w:t>Other cardiovascular effects can result from increased blood flow through the lungs to the left atrium, increasing left atrial filling and left ventricular pre-load. In a setting of left ventricular dysfunction pulmonary oedema can result and was seen in study INOT22. Changes produced by iNO in the relative pressures in the right and left sides of the heart could also reverse or worsen shunting in patients with cardiac malformations, with negative haemodynamic consequences.</w:t>
      </w:r>
    </w:p>
    <w:p w14:paraId="5E6EE526" w14:textId="77777777" w:rsidR="00247A92" w:rsidRPr="00247A92" w:rsidRDefault="00247A92" w:rsidP="00304F18">
      <w:pPr>
        <w:pStyle w:val="ListBullet"/>
      </w:pPr>
      <w:r w:rsidRPr="00247A92">
        <w:t xml:space="preserve">Drug-drug interactions: The risk of methaemoglobinaemia can be increased by </w:t>
      </w:r>
      <w:r w:rsidR="002633EC">
        <w:t>co</w:t>
      </w:r>
      <w:r w:rsidR="002633EC">
        <w:noBreakHyphen/>
      </w:r>
      <w:r w:rsidRPr="00247A92">
        <w:t xml:space="preserve">administration of iNO and other drugs, particularly NO donors such as </w:t>
      </w:r>
      <w:r w:rsidRPr="00247A92">
        <w:lastRenderedPageBreak/>
        <w:t xml:space="preserve">nitroprusside, and some local anaesthetic agents. Synergistic </w:t>
      </w:r>
      <w:r w:rsidR="002633EC" w:rsidRPr="00247A92">
        <w:t>vasodilatory</w:t>
      </w:r>
      <w:r w:rsidRPr="00247A92">
        <w:t xml:space="preserve"> effects with other agents may result in amplification of the pharmacodynamic effects of iNO.</w:t>
      </w:r>
    </w:p>
    <w:p w14:paraId="5F59CA6E" w14:textId="77777777" w:rsidR="00247A92" w:rsidRPr="00247A92" w:rsidRDefault="00247A92" w:rsidP="00304F18">
      <w:pPr>
        <w:pStyle w:val="ListBullet"/>
      </w:pPr>
      <w:r w:rsidRPr="00247A92">
        <w:t>Possible mechan</w:t>
      </w:r>
      <w:r w:rsidR="002633EC">
        <w:t>ism for reduced</w:t>
      </w:r>
      <w:r w:rsidRPr="00247A92">
        <w:t xml:space="preserve"> platelet function because of the action of iNO on guanylate cyclase this did not emerge as a safety signal from the studies. Increased bleeding risk did not emerge as a safety signal in the submission, but may not have been specifically sought as an outcome.</w:t>
      </w:r>
    </w:p>
    <w:p w14:paraId="12B7BFD2" w14:textId="77777777" w:rsidR="00247A92" w:rsidRPr="00247A92" w:rsidRDefault="00247A92" w:rsidP="00247A92">
      <w:pPr>
        <w:pStyle w:val="ListBullet"/>
      </w:pPr>
      <w:r w:rsidRPr="00247A92">
        <w:t>The impact of iNO on immune function is unknown.</w:t>
      </w:r>
    </w:p>
    <w:p w14:paraId="2E46974F" w14:textId="77777777" w:rsidR="00247A92" w:rsidRPr="00247A92" w:rsidRDefault="00247A92" w:rsidP="00247A92">
      <w:r w:rsidRPr="00247A92">
        <w:t>A review of the post-market did not reveal any new safety signals. A possible signal for retinopathy of prematurity associated with iNO was investigated and not supported by the sponsor’s analysis.</w:t>
      </w:r>
    </w:p>
    <w:p w14:paraId="65277821" w14:textId="77777777" w:rsidR="008E7846" w:rsidRDefault="00386150" w:rsidP="007B6132">
      <w:pPr>
        <w:pStyle w:val="Heading3"/>
        <w:rPr>
          <w:lang w:eastAsia="en-AU"/>
        </w:rPr>
      </w:pPr>
      <w:bookmarkStart w:id="141" w:name="_Toc483899430"/>
      <w:r>
        <w:rPr>
          <w:lang w:eastAsia="en-AU"/>
        </w:rPr>
        <w:t>Risk m</w:t>
      </w:r>
      <w:r w:rsidR="008E7846">
        <w:rPr>
          <w:lang w:eastAsia="en-AU"/>
        </w:rPr>
        <w:t xml:space="preserve">anagement </w:t>
      </w:r>
      <w:r>
        <w:rPr>
          <w:lang w:eastAsia="en-AU"/>
        </w:rPr>
        <w:t>p</w:t>
      </w:r>
      <w:r w:rsidR="008E7846">
        <w:rPr>
          <w:lang w:eastAsia="en-AU"/>
        </w:rPr>
        <w:t>lan</w:t>
      </w:r>
      <w:bookmarkEnd w:id="140"/>
      <w:bookmarkEnd w:id="141"/>
    </w:p>
    <w:p w14:paraId="3638804D" w14:textId="10D15035" w:rsidR="00304F18" w:rsidRPr="00304F18" w:rsidRDefault="00304F18" w:rsidP="00304F18">
      <w:bookmarkStart w:id="142" w:name="_Toc247691531"/>
      <w:bookmarkStart w:id="143" w:name="_Toc314842515"/>
      <w:bookmarkStart w:id="144" w:name="_Toc196046505"/>
      <w:bookmarkStart w:id="145" w:name="_Toc196046949"/>
      <w:r w:rsidRPr="00304F18">
        <w:t xml:space="preserve">The </w:t>
      </w:r>
      <w:r w:rsidR="009C010A">
        <w:t xml:space="preserve">RMP </w:t>
      </w:r>
      <w:r w:rsidR="009B308E">
        <w:t>evaluator</w:t>
      </w:r>
      <w:r w:rsidRPr="00304F18">
        <w:t xml:space="preserve"> has accepted EU-RMP version 2.0, dated 31 March 2014 (data lock point 31 March 2014) with Australian Sp</w:t>
      </w:r>
      <w:r w:rsidR="002633EC">
        <w:t>ecific Ann</w:t>
      </w:r>
      <w:r w:rsidR="009C010A">
        <w:t>ex version 2 dated</w:t>
      </w:r>
      <w:r w:rsidR="002633EC">
        <w:t xml:space="preserve"> 6 </w:t>
      </w:r>
      <w:r w:rsidRPr="00304F18">
        <w:t>March</w:t>
      </w:r>
      <w:r w:rsidR="00DD0689">
        <w:t xml:space="preserve"> 2015</w:t>
      </w:r>
      <w:r w:rsidRPr="00304F18">
        <w:t>. There are no outstanding matters for consideration.</w:t>
      </w:r>
    </w:p>
    <w:p w14:paraId="309EDC8B" w14:textId="77777777" w:rsidR="008E7846" w:rsidRDefault="00AA0ED0" w:rsidP="008E7846">
      <w:pPr>
        <w:pStyle w:val="Heading3"/>
      </w:pPr>
      <w:bookmarkStart w:id="146" w:name="_Toc483899431"/>
      <w:r>
        <w:t>Risk-benefit a</w:t>
      </w:r>
      <w:r w:rsidR="008E7846">
        <w:t>nalysis</w:t>
      </w:r>
      <w:bookmarkEnd w:id="142"/>
      <w:bookmarkEnd w:id="143"/>
      <w:bookmarkEnd w:id="146"/>
    </w:p>
    <w:p w14:paraId="597FA0C7" w14:textId="77777777" w:rsidR="00D23139" w:rsidRDefault="00D23139" w:rsidP="00D23139">
      <w:pPr>
        <w:pStyle w:val="Heading4"/>
      </w:pPr>
      <w:r w:rsidRPr="00D23139">
        <w:t xml:space="preserve">Delegate’s considerations </w:t>
      </w:r>
    </w:p>
    <w:p w14:paraId="1047DBCC" w14:textId="77777777" w:rsidR="00304F18" w:rsidRPr="00304F18" w:rsidRDefault="00304F18" w:rsidP="00304F18">
      <w:pPr>
        <w:pStyle w:val="Heading5"/>
      </w:pPr>
      <w:r w:rsidRPr="00304F18">
        <w:t>Efficacy</w:t>
      </w:r>
    </w:p>
    <w:p w14:paraId="2FC7CAFF" w14:textId="77777777" w:rsidR="004607B6" w:rsidRDefault="00304F18" w:rsidP="00304F18">
      <w:r w:rsidRPr="00304F18">
        <w:t>The sponsor has provided a hybrid submission of clinical studies and literature in support of the extension of i</w:t>
      </w:r>
      <w:r w:rsidR="008432DF">
        <w:t xml:space="preserve">ndication. Of the two </w:t>
      </w:r>
      <w:proofErr w:type="gramStart"/>
      <w:r w:rsidR="008432DF">
        <w:t>sponsor</w:t>
      </w:r>
      <w:proofErr w:type="gramEnd"/>
      <w:r w:rsidR="008432DF">
        <w:t xml:space="preserve"> </w:t>
      </w:r>
      <w:r w:rsidRPr="00304F18">
        <w:t>led studies one was of relevance for the pharmacodynamics of nitric oxide and the other was not of direct relevance to the requested indication. The study by Miller et al was considered a pivotal study and included both clinical (PHTCs) and haemodynamic endpoints.</w:t>
      </w:r>
      <w:r w:rsidR="008432DF" w:rsidRPr="008432DF">
        <w:rPr>
          <w:vertAlign w:val="superscript"/>
        </w:rPr>
        <w:fldChar w:fldCharType="begin"/>
      </w:r>
      <w:r w:rsidR="008432DF" w:rsidRPr="008432DF">
        <w:rPr>
          <w:vertAlign w:val="superscript"/>
        </w:rPr>
        <w:instrText xml:space="preserve"> NOTEREF _Ref477535524 \h </w:instrText>
      </w:r>
      <w:r w:rsidR="008432DF">
        <w:rPr>
          <w:vertAlign w:val="superscript"/>
        </w:rPr>
        <w:instrText xml:space="preserve"> \* MERGEFORMAT </w:instrText>
      </w:r>
      <w:r w:rsidR="008432DF" w:rsidRPr="008432DF">
        <w:rPr>
          <w:vertAlign w:val="superscript"/>
        </w:rPr>
      </w:r>
      <w:r w:rsidR="008432DF" w:rsidRPr="008432DF">
        <w:rPr>
          <w:vertAlign w:val="superscript"/>
        </w:rPr>
        <w:fldChar w:fldCharType="separate"/>
      </w:r>
      <w:r w:rsidR="006D3007">
        <w:rPr>
          <w:vertAlign w:val="superscript"/>
        </w:rPr>
        <w:t>11</w:t>
      </w:r>
      <w:r w:rsidR="008432DF" w:rsidRPr="008432DF">
        <w:rPr>
          <w:vertAlign w:val="superscript"/>
        </w:rPr>
        <w:fldChar w:fldCharType="end"/>
      </w:r>
      <w:r w:rsidRPr="00304F18">
        <w:t xml:space="preserve"> The outcomes of the study should be interpreted in the context of the reasons for its premature discontinuation. The majority of the remainder of the efficacy studies are small, and have differences in dose, duration of therapy and the type of comparator (active or placebo). There are also methodological concerns with a number of the studies. However, the effect of iNO on haemodynamic parameters was well demonstrated, and some studies demonstrated clinical endpoints such as a reduction in the number of PHTCs. Additional support for the efficacy of iNO was derived from studies of iNO in adult cardiac surgery patients in the pre- and immediate post-operative setting. Considered as a whole, the efficacy evidence is considered just sufficient to support the extension of indication for use in children undergoing cardiac surgery to manage pulmonary hypertension</w:t>
      </w:r>
      <w:r w:rsidR="004607B6">
        <w:t>.</w:t>
      </w:r>
    </w:p>
    <w:p w14:paraId="1EC360B8" w14:textId="77777777" w:rsidR="00304F18" w:rsidRPr="00304F18" w:rsidRDefault="00304F18" w:rsidP="00304F18">
      <w:pPr>
        <w:pStyle w:val="Heading5"/>
      </w:pPr>
      <w:r w:rsidRPr="00304F18">
        <w:t>Safety and RMP</w:t>
      </w:r>
    </w:p>
    <w:p w14:paraId="486242A4" w14:textId="77777777" w:rsidR="004607B6" w:rsidRDefault="00304F18" w:rsidP="00304F18">
      <w:r w:rsidRPr="00304F18">
        <w:t>The safety information in this submission is viewed in the context of international experience with the proposed indication, off-label use for the proposed indication, the relevance of the safety data from the initial registration of INOmax for the proposed population.</w:t>
      </w:r>
      <w:r w:rsidR="009A0B07">
        <w:t xml:space="preserve"> </w:t>
      </w:r>
      <w:r w:rsidRPr="00304F18">
        <w:t>Although the safety data are limited, reported adverse effects were consistent with the known risk profile for iNO for children for the approved population. None of the studies was of sufficient size to detect uncommon or rare events. The majority of the reported safety experience is with infants, young children and adults, but there is very limited experience in the adolescents. Given the likely mechanisms of toxicity it is reasonable to extrapolate the safety data to this population. The impact of repeated use in children has not</w:t>
      </w:r>
      <w:r w:rsidR="008432DF">
        <w:t xml:space="preserve"> been investigated and the long </w:t>
      </w:r>
      <w:r w:rsidRPr="00304F18">
        <w:t xml:space="preserve">term consequences for pulmonary and neurodevelopment outcomes were not addressed in this submission. The sponsor has </w:t>
      </w:r>
      <w:r w:rsidRPr="00304F18">
        <w:lastRenderedPageBreak/>
        <w:t>proposed the use by cardiothoracic anaesthetists and intensivists. This restriction is appropriate given the likely clinical scenarios for its use and its risks</w:t>
      </w:r>
      <w:r w:rsidR="004607B6">
        <w:t>.</w:t>
      </w:r>
    </w:p>
    <w:p w14:paraId="7CA37893" w14:textId="77777777" w:rsidR="00304F18" w:rsidRPr="00304F18" w:rsidRDefault="00304F18" w:rsidP="00304F18">
      <w:pPr>
        <w:pStyle w:val="Heading5"/>
      </w:pPr>
      <w:r w:rsidRPr="00304F18">
        <w:t>Dose</w:t>
      </w:r>
    </w:p>
    <w:p w14:paraId="265587EE" w14:textId="77777777" w:rsidR="00304F18" w:rsidRPr="00304F18" w:rsidRDefault="00304F18" w:rsidP="00304F18">
      <w:r w:rsidRPr="00304F18">
        <w:t xml:space="preserve">The starting dose is 10 ppm, and titrating up to 20 ppm if necessary and 20 ppm is the maximum dose recommended. Although higher doses were used in some studies the proposed doses were equated with acceptable efficacy and a lower risk of </w:t>
      </w:r>
      <w:r w:rsidR="008432DF" w:rsidRPr="00304F18">
        <w:t>methaemoglobinaemia</w:t>
      </w:r>
      <w:r w:rsidRPr="00304F18">
        <w:t>. The sponsor is requested to comment on the safety margins and other safeguards in its delivery system to ensure the selected dose is not exceeded.</w:t>
      </w:r>
    </w:p>
    <w:p w14:paraId="3A4C77EC" w14:textId="77777777" w:rsidR="00304F18" w:rsidRPr="00304F18" w:rsidRDefault="00304F18" w:rsidP="00304F18">
      <w:pPr>
        <w:pStyle w:val="Heading5"/>
      </w:pPr>
      <w:r w:rsidRPr="00304F18">
        <w:t>Indication</w:t>
      </w:r>
    </w:p>
    <w:p w14:paraId="22A176FF" w14:textId="77777777" w:rsidR="00304F18" w:rsidRPr="00304F18" w:rsidRDefault="00304F18" w:rsidP="00304F18">
      <w:r w:rsidRPr="00304F18">
        <w:t>No change to the wording of the indication is recommended at this time; however the ACPM is requested to provide a comment.</w:t>
      </w:r>
    </w:p>
    <w:p w14:paraId="275EDB72" w14:textId="77777777" w:rsidR="00304F18" w:rsidRPr="00304F18" w:rsidRDefault="00304F18" w:rsidP="00304F18">
      <w:pPr>
        <w:pStyle w:val="Heading5"/>
      </w:pPr>
      <w:r w:rsidRPr="00304F18">
        <w:t>Data deficiencies</w:t>
      </w:r>
    </w:p>
    <w:p w14:paraId="7D1570D6" w14:textId="77777777" w:rsidR="004607B6" w:rsidRDefault="00304F18" w:rsidP="00304F18">
      <w:r w:rsidRPr="00304F18">
        <w:t>This was predominantly a literature based submission. Data submitted were of variable quality and although requested, additional information was not available for all studies to address the questions posed by the clinical evaluator. Limited data were submitted for the use in children aged 12 to 17 years. The individual studies were not of sufficient size to detect uncommon or rare adverse effects. No safety data with repeated or prolonged use were provided and any potential impact of such exposure on the growth and development of children is unknown</w:t>
      </w:r>
      <w:r w:rsidR="004607B6">
        <w:t>.</w:t>
      </w:r>
    </w:p>
    <w:p w14:paraId="3A96CC6F" w14:textId="22D7B0BD" w:rsidR="00304F18" w:rsidRPr="00304F18" w:rsidRDefault="00304F18" w:rsidP="00304F18">
      <w:pPr>
        <w:pStyle w:val="Heading5"/>
      </w:pPr>
      <w:r w:rsidRPr="00304F18">
        <w:t xml:space="preserve">Conditions of </w:t>
      </w:r>
      <w:r w:rsidR="00A54259">
        <w:t>r</w:t>
      </w:r>
      <w:r w:rsidRPr="00304F18">
        <w:t>egistration</w:t>
      </w:r>
    </w:p>
    <w:p w14:paraId="462DA08E" w14:textId="77777777" w:rsidR="00304F18" w:rsidRPr="00304F18" w:rsidRDefault="00304F18" w:rsidP="00304F18">
      <w:r w:rsidRPr="00304F18">
        <w:t>The following are proposed as conditions of registration:</w:t>
      </w:r>
    </w:p>
    <w:p w14:paraId="5F754672" w14:textId="77777777" w:rsidR="00304F18" w:rsidRDefault="00304F18" w:rsidP="00304F18">
      <w:r w:rsidRPr="00304F18">
        <w:t xml:space="preserve">Implement EU-RMP version 2.0, dated 31 March 2014 (data lock point 31 March 2014) with Australian Specific Annex version 2, dated 6 March </w:t>
      </w:r>
      <w:r w:rsidR="008432DF">
        <w:t xml:space="preserve">2015 </w:t>
      </w:r>
      <w:r w:rsidRPr="00304F18">
        <w:t>and any future updates as a condition of registration.</w:t>
      </w:r>
    </w:p>
    <w:p w14:paraId="311C5B9B" w14:textId="77777777" w:rsidR="00304F18" w:rsidRPr="00304F18" w:rsidRDefault="00304F18" w:rsidP="00304F18">
      <w:pPr>
        <w:pStyle w:val="Heading5"/>
      </w:pPr>
      <w:r w:rsidRPr="00304F18">
        <w:t>Questions</w:t>
      </w:r>
    </w:p>
    <w:p w14:paraId="27F31B22" w14:textId="77777777" w:rsidR="00304F18" w:rsidRPr="00304F18" w:rsidRDefault="00304F18" w:rsidP="008432DF">
      <w:pPr>
        <w:pStyle w:val="Numberbullet0"/>
        <w:numPr>
          <w:ilvl w:val="0"/>
          <w:numId w:val="19"/>
        </w:numPr>
      </w:pPr>
      <w:r w:rsidRPr="00304F18">
        <w:t>Please indicate whether INOmax cylinders can only be used with the delivery system provided by the sponsor or if other nitric oxide delivery systems can be used. If not, is the technical support mentioned in the PI available to all prescribers of INOmax?</w:t>
      </w:r>
    </w:p>
    <w:p w14:paraId="3464A851" w14:textId="77777777" w:rsidR="00304F18" w:rsidRPr="00304F18" w:rsidRDefault="00304F18" w:rsidP="008432DF">
      <w:pPr>
        <w:pStyle w:val="Numberbullet0"/>
        <w:numPr>
          <w:ilvl w:val="0"/>
          <w:numId w:val="19"/>
        </w:numPr>
      </w:pPr>
      <w:r w:rsidRPr="00304F18">
        <w:t>Does the delivery system allow manual ventilation while maintaining the same dose of iNO? Can iNO be delivered via BVM ventilation using the delivery system?</w:t>
      </w:r>
    </w:p>
    <w:p w14:paraId="1499F169" w14:textId="77777777" w:rsidR="00304F18" w:rsidRDefault="00304F18" w:rsidP="008432DF">
      <w:pPr>
        <w:pStyle w:val="Numberbullet0"/>
        <w:numPr>
          <w:ilvl w:val="0"/>
          <w:numId w:val="19"/>
        </w:numPr>
      </w:pPr>
      <w:r w:rsidRPr="00304F18">
        <w:t>Other international regulators issued warnings in early 2015 about device failures with delivery systems for INOmax.</w:t>
      </w:r>
      <w:r w:rsidR="009A0B07">
        <w:t xml:space="preserve"> </w:t>
      </w:r>
      <w:r w:rsidRPr="00304F18">
        <w:t>Although the INOmax delivery system is not the subject of this submission reliable delivery is an important safety and efficacy consideration. Please provide an update on the sponsor’s activities to ensure the identified failure mode of these devices is not applicable to the delivery system devices supplied to the Australian market.</w:t>
      </w:r>
    </w:p>
    <w:p w14:paraId="70CF15A5" w14:textId="77777777" w:rsidR="00486A39" w:rsidRDefault="008432DF" w:rsidP="00486A39">
      <w:pPr>
        <w:pStyle w:val="Heading4"/>
      </w:pPr>
      <w:r>
        <w:t>Summary of Issue</w:t>
      </w:r>
      <w:r w:rsidR="00486A39" w:rsidRPr="00486A39">
        <w:t>s</w:t>
      </w:r>
    </w:p>
    <w:p w14:paraId="537E463D" w14:textId="77777777" w:rsidR="00486A39" w:rsidRPr="00486A39" w:rsidRDefault="00486A39" w:rsidP="009C010A">
      <w:pPr>
        <w:pStyle w:val="ListBullet"/>
      </w:pPr>
      <w:r w:rsidRPr="00486A39">
        <w:t>Whether the evidence from this literature based submission is sufficient to support the requested extension of indication.</w:t>
      </w:r>
    </w:p>
    <w:p w14:paraId="2E597032" w14:textId="77777777" w:rsidR="00486A39" w:rsidRPr="00486A39" w:rsidRDefault="00486A39" w:rsidP="009C010A">
      <w:pPr>
        <w:pStyle w:val="ListBullet"/>
      </w:pPr>
      <w:r w:rsidRPr="00486A39">
        <w:t>Whether all the efficacy claims included in the indication can be supported by the evidence.</w:t>
      </w:r>
    </w:p>
    <w:p w14:paraId="3832066E" w14:textId="77777777" w:rsidR="00D23139" w:rsidRDefault="00D23139" w:rsidP="00D23139">
      <w:pPr>
        <w:pStyle w:val="Heading4"/>
      </w:pPr>
      <w:r w:rsidRPr="00D23139">
        <w:t>Proposed action</w:t>
      </w:r>
    </w:p>
    <w:p w14:paraId="722D82C0" w14:textId="77777777" w:rsidR="00486A39" w:rsidRPr="00486A39" w:rsidRDefault="00E51A8A" w:rsidP="00486A39">
      <w:r>
        <w:t>The Delegate had</w:t>
      </w:r>
      <w:r w:rsidR="00486A39" w:rsidRPr="00486A39">
        <w:t xml:space="preserve"> no reason to say, at this time, that the application for INOmax should not be approved for registration.</w:t>
      </w:r>
    </w:p>
    <w:p w14:paraId="56FDE2F4" w14:textId="77777777" w:rsidR="00D23139" w:rsidRDefault="00D23139" w:rsidP="00D23139">
      <w:pPr>
        <w:pStyle w:val="Heading4"/>
      </w:pPr>
      <w:r w:rsidRPr="00D23139">
        <w:lastRenderedPageBreak/>
        <w:t>Request for ACPM advice</w:t>
      </w:r>
    </w:p>
    <w:p w14:paraId="64F8975C" w14:textId="77777777" w:rsidR="00486A39" w:rsidRPr="00486A39" w:rsidRDefault="00486A39" w:rsidP="00486A39">
      <w:r w:rsidRPr="00486A39">
        <w:t>The committee is requested to provide advice on the following specific issues:</w:t>
      </w:r>
    </w:p>
    <w:p w14:paraId="2FD393C4" w14:textId="77777777" w:rsidR="00486A39" w:rsidRPr="00486A39" w:rsidRDefault="00486A39" w:rsidP="00633576">
      <w:pPr>
        <w:pStyle w:val="Numberbullet0"/>
        <w:numPr>
          <w:ilvl w:val="0"/>
          <w:numId w:val="6"/>
        </w:numPr>
      </w:pPr>
      <w:r w:rsidRPr="00486A39">
        <w:t>Does the committee consider that the sponsor has satisfactorily demonstrated the efficacy and safety of inhaled nitric oxide to support the proposed indication? If so, is there sufficient evidence to include the efficacy claims in the wording of the indication?</w:t>
      </w:r>
    </w:p>
    <w:p w14:paraId="62D89CE5" w14:textId="77777777" w:rsidR="00486A39" w:rsidRPr="00486A39" w:rsidRDefault="00486A39" w:rsidP="00633576">
      <w:pPr>
        <w:pStyle w:val="Numberbullet0"/>
        <w:numPr>
          <w:ilvl w:val="0"/>
          <w:numId w:val="6"/>
        </w:numPr>
      </w:pPr>
      <w:r w:rsidRPr="00486A39">
        <w:t>Are the recommendations for monitoring for methaemoglobin and nitrogen dioxide consistent with current clinical practice? If not, what amendments should be</w:t>
      </w:r>
      <w:r>
        <w:t xml:space="preserve"> made to these recommendations?</w:t>
      </w:r>
    </w:p>
    <w:p w14:paraId="2B07DD1A" w14:textId="47A3FC94" w:rsidR="00486A39" w:rsidRPr="00486A39" w:rsidRDefault="00486A39" w:rsidP="00486A39">
      <w:r w:rsidRPr="00486A39">
        <w:t>The committee is (also) requested to provide advice on any other issues that it thinks may be relevant to a decision on whether or not to approve this application</w:t>
      </w:r>
      <w:r w:rsidR="00A54259">
        <w:t>.</w:t>
      </w:r>
    </w:p>
    <w:p w14:paraId="67B9F51A" w14:textId="77777777" w:rsidR="00D23139" w:rsidRDefault="004D3C3B" w:rsidP="00D23139">
      <w:pPr>
        <w:pStyle w:val="Heading4"/>
      </w:pPr>
      <w:r>
        <w:t xml:space="preserve">Response from </w:t>
      </w:r>
      <w:r w:rsidR="000B5B6A">
        <w:t>sponsor</w:t>
      </w:r>
    </w:p>
    <w:p w14:paraId="63FCCB4C" w14:textId="77777777" w:rsidR="00F15B78" w:rsidRPr="00F15B78" w:rsidRDefault="00F15B78" w:rsidP="00F15B78">
      <w:pPr>
        <w:pStyle w:val="Heading5"/>
      </w:pPr>
      <w:r w:rsidRPr="00F15B78">
        <w:rPr>
          <w:rFonts w:eastAsiaTheme="minorHAnsi"/>
        </w:rPr>
        <w:t xml:space="preserve">TGA </w:t>
      </w:r>
      <w:r>
        <w:rPr>
          <w:rFonts w:eastAsiaTheme="minorHAnsi"/>
        </w:rPr>
        <w:t>D</w:t>
      </w:r>
      <w:r w:rsidRPr="00F15B78">
        <w:rPr>
          <w:rFonts w:eastAsiaTheme="minorHAnsi"/>
        </w:rPr>
        <w:t>elegate’s overview – advice sought from ACPM</w:t>
      </w:r>
    </w:p>
    <w:p w14:paraId="74100F2D" w14:textId="77777777" w:rsidR="008432DF" w:rsidRPr="008432DF" w:rsidRDefault="00E51A8A" w:rsidP="00E51A8A">
      <w:pPr>
        <w:pStyle w:val="Numberbullet0"/>
        <w:numPr>
          <w:ilvl w:val="0"/>
          <w:numId w:val="7"/>
        </w:numPr>
        <w:rPr>
          <w:i/>
        </w:rPr>
      </w:pPr>
      <w:r w:rsidRPr="00E51A8A">
        <w:rPr>
          <w:i/>
        </w:rPr>
        <w:t>Does the committee consider the sponsor has satisfactorily demonstrated the efficacy and safety of iNO to support proposed indication? If so, is there sufficient evidence to support the efficacy claims in</w:t>
      </w:r>
      <w:r w:rsidR="008432DF">
        <w:rPr>
          <w:i/>
        </w:rPr>
        <w:t xml:space="preserve"> the wording of the indication?</w:t>
      </w:r>
    </w:p>
    <w:p w14:paraId="2723391F" w14:textId="77777777" w:rsidR="00E51A8A" w:rsidRPr="00E51A8A" w:rsidRDefault="00E51A8A" w:rsidP="00E51A8A">
      <w:r w:rsidRPr="00E51A8A">
        <w:t xml:space="preserve">The </w:t>
      </w:r>
      <w:r w:rsidR="000B5B6A">
        <w:t>sponsor</w:t>
      </w:r>
      <w:r w:rsidRPr="00E51A8A">
        <w:t xml:space="preserve"> believes that sufficient evidence has been provi</w:t>
      </w:r>
      <w:r>
        <w:t xml:space="preserve">ded to demonstrate efficacy and </w:t>
      </w:r>
      <w:r w:rsidRPr="00E51A8A">
        <w:t>safety in a rare paediatric indication that was granted Orphan</w:t>
      </w:r>
      <w:r>
        <w:t xml:space="preserve"> Drug Designation by the TGA in </w:t>
      </w:r>
      <w:r w:rsidRPr="00E51A8A">
        <w:t>September 2013. The proposed wording is identical to the appro</w:t>
      </w:r>
      <w:r>
        <w:t xml:space="preserve">ved </w:t>
      </w:r>
      <w:r w:rsidR="008432DF">
        <w:t>orphan drug</w:t>
      </w:r>
      <w:r>
        <w:t xml:space="preserve"> indication. Furthermore, </w:t>
      </w:r>
      <w:r w:rsidRPr="00E51A8A">
        <w:t xml:space="preserve">in pre-submission discussions with the </w:t>
      </w:r>
      <w:r w:rsidR="000B5B6A">
        <w:t>sponsor</w:t>
      </w:r>
      <w:r w:rsidRPr="00E51A8A">
        <w:t>, the TGA</w:t>
      </w:r>
      <w:r w:rsidR="008432DF">
        <w:t xml:space="preserve"> agreed that a literature </w:t>
      </w:r>
      <w:r>
        <w:t xml:space="preserve">based </w:t>
      </w:r>
      <w:r w:rsidRPr="00E51A8A">
        <w:t xml:space="preserve">submission was a suitable registration strategy for this </w:t>
      </w:r>
      <w:r w:rsidR="008432DF">
        <w:t>orphan drug</w:t>
      </w:r>
      <w:r w:rsidRPr="00E51A8A">
        <w:t xml:space="preserve"> indication in a paediatr</w:t>
      </w:r>
      <w:r>
        <w:t xml:space="preserve">ic population. </w:t>
      </w:r>
      <w:r w:rsidRPr="00E51A8A">
        <w:t>This agreement indicates a recognition by the TGA of the establish</w:t>
      </w:r>
      <w:r>
        <w:t xml:space="preserve">ed safety profile of inhaled NO </w:t>
      </w:r>
      <w:r w:rsidRPr="00E51A8A">
        <w:t xml:space="preserve">over several decades of clinical </w:t>
      </w:r>
      <w:r w:rsidR="008432DF">
        <w:t xml:space="preserve">use and the fact that a sponsor </w:t>
      </w:r>
      <w:r w:rsidRPr="00E51A8A">
        <w:t>co</w:t>
      </w:r>
      <w:r>
        <w:t xml:space="preserve">nducted complete clinical trial </w:t>
      </w:r>
      <w:r w:rsidRPr="00E51A8A">
        <w:t>program of randomised, controlled studies would never be conducte</w:t>
      </w:r>
      <w:r>
        <w:t xml:space="preserve">d, either on ethical grounds or </w:t>
      </w:r>
      <w:r w:rsidRPr="00E51A8A">
        <w:t>patient availability, based on the supportive clinical data which a</w:t>
      </w:r>
      <w:r>
        <w:t xml:space="preserve">lready existed in the published </w:t>
      </w:r>
      <w:r w:rsidRPr="00E51A8A">
        <w:t>literatu</w:t>
      </w:r>
      <w:r>
        <w:t>re. In this current application;</w:t>
      </w:r>
      <w:r w:rsidRPr="00E51A8A">
        <w:t xml:space="preserve"> 288 children were expos</w:t>
      </w:r>
      <w:r>
        <w:t xml:space="preserve">ed to </w:t>
      </w:r>
      <w:proofErr w:type="gramStart"/>
      <w:r>
        <w:t>inhaled</w:t>
      </w:r>
      <w:proofErr w:type="gramEnd"/>
      <w:r>
        <w:t xml:space="preserve"> NO and 134 to the </w:t>
      </w:r>
      <w:r w:rsidRPr="00E51A8A">
        <w:t>propose</w:t>
      </w:r>
      <w:r>
        <w:t xml:space="preserve">d dose range of 10 to </w:t>
      </w:r>
      <w:r w:rsidRPr="00E51A8A">
        <w:t>20 ppm. These are significant numb</w:t>
      </w:r>
      <w:r>
        <w:t xml:space="preserve">ers in an </w:t>
      </w:r>
      <w:r w:rsidR="008432DF">
        <w:t>orphan drug</w:t>
      </w:r>
      <w:r>
        <w:t xml:space="preserve"> indication and the </w:t>
      </w:r>
      <w:r w:rsidRPr="00E51A8A">
        <w:t>published results are in line with current clinical practice.</w:t>
      </w:r>
    </w:p>
    <w:p w14:paraId="0D5312D6" w14:textId="77777777" w:rsidR="00E51A8A" w:rsidRPr="00E51A8A" w:rsidRDefault="00E51A8A" w:rsidP="00E51A8A">
      <w:r w:rsidRPr="00E51A8A">
        <w:t xml:space="preserve">The </w:t>
      </w:r>
      <w:r w:rsidR="000B5B6A">
        <w:t>sponsor</w:t>
      </w:r>
      <w:r w:rsidRPr="00E51A8A">
        <w:t xml:space="preserve"> also brings to the attention of the ACPM that a similar registration package</w:t>
      </w:r>
      <w:r>
        <w:t xml:space="preserve"> </w:t>
      </w:r>
      <w:r w:rsidRPr="00E51A8A">
        <w:t>supporting the registration of INOmax for the same indication w</w:t>
      </w:r>
      <w:r>
        <w:t xml:space="preserve">as approved by the EMA in 2011. </w:t>
      </w:r>
      <w:r w:rsidRPr="00E51A8A">
        <w:t>Annual Periodic Safety Update Reports (PSUR) produced by t</w:t>
      </w:r>
      <w:r>
        <w:t xml:space="preserve">he </w:t>
      </w:r>
      <w:r w:rsidR="000B5B6A">
        <w:t>sponsor</w:t>
      </w:r>
      <w:r>
        <w:t xml:space="preserve"> </w:t>
      </w:r>
      <w:r w:rsidR="008432DF">
        <w:t>confirms</w:t>
      </w:r>
      <w:r>
        <w:t xml:space="preserve"> the on-going </w:t>
      </w:r>
      <w:r w:rsidRPr="00E51A8A">
        <w:t>safety profile of INOmax in all approved indications world</w:t>
      </w:r>
      <w:r>
        <w:t xml:space="preserve">wide. </w:t>
      </w:r>
      <w:r w:rsidR="008432DF">
        <w:t>The clinical overview</w:t>
      </w:r>
      <w:r>
        <w:t xml:space="preserve"> of the current </w:t>
      </w:r>
      <w:r w:rsidRPr="00E51A8A">
        <w:t xml:space="preserve">application indicated that an estimated over 603,000 subjects (of </w:t>
      </w:r>
      <w:r>
        <w:t xml:space="preserve">all ages) over all time periods </w:t>
      </w:r>
      <w:r w:rsidRPr="00E51A8A">
        <w:t>were exposed to iNO; some of these patients were administered the</w:t>
      </w:r>
      <w:r>
        <w:t xml:space="preserve"> medicinal product off-label in </w:t>
      </w:r>
      <w:r w:rsidRPr="00E51A8A">
        <w:t xml:space="preserve">relation to cardiac surgery (PSUR reports for the total period of 24 December 2005 </w:t>
      </w:r>
      <w:r w:rsidR="008432DF">
        <w:t>to</w:t>
      </w:r>
      <w:r>
        <w:t xml:space="preserve"> 23 </w:t>
      </w:r>
      <w:r w:rsidRPr="00E51A8A">
        <w:t>December 2013).</w:t>
      </w:r>
    </w:p>
    <w:p w14:paraId="4706548A" w14:textId="77777777" w:rsidR="00E51A8A" w:rsidRPr="00E51A8A" w:rsidRDefault="00E51A8A" w:rsidP="00E51A8A">
      <w:r w:rsidRPr="00E51A8A">
        <w:t xml:space="preserve">The </w:t>
      </w:r>
      <w:r w:rsidR="000B5B6A">
        <w:t>sponsor</w:t>
      </w:r>
      <w:r w:rsidRPr="00E51A8A">
        <w:t xml:space="preserve"> believes that INOmax is used off-label in Austra</w:t>
      </w:r>
      <w:r>
        <w:t xml:space="preserve">lia for the proposed paediatric </w:t>
      </w:r>
      <w:r w:rsidRPr="00E51A8A">
        <w:t>cardiac surgery indication and wishes to bring any such use under the control of a TGA a</w:t>
      </w:r>
      <w:r>
        <w:t xml:space="preserve">pproved </w:t>
      </w:r>
      <w:r w:rsidRPr="00E51A8A">
        <w:t>indication so that appropriate dosage regimen and safety m</w:t>
      </w:r>
      <w:r>
        <w:t xml:space="preserve">onitoring can be implemented by </w:t>
      </w:r>
      <w:r w:rsidR="000B5B6A">
        <w:t>sponsor</w:t>
      </w:r>
      <w:r w:rsidRPr="00E51A8A">
        <w:t>.</w:t>
      </w:r>
    </w:p>
    <w:p w14:paraId="58E5FFD5" w14:textId="77777777" w:rsidR="00F15B78" w:rsidRPr="00F15B78" w:rsidRDefault="00F15B78" w:rsidP="00F15B78">
      <w:pPr>
        <w:pStyle w:val="Numberbullet0"/>
        <w:rPr>
          <w:i/>
        </w:rPr>
      </w:pPr>
      <w:r w:rsidRPr="00F15B78">
        <w:rPr>
          <w:i/>
        </w:rPr>
        <w:t>Are the recommendations for monitoring for methaemoglobin and Nitrogen dioxide consistent with current clinical practice – if not what amendments should be made to these recommendations?</w:t>
      </w:r>
    </w:p>
    <w:p w14:paraId="0A947615" w14:textId="77777777" w:rsidR="00E51A8A" w:rsidRPr="00F15B78" w:rsidRDefault="00F15B78" w:rsidP="00F15B78">
      <w:r w:rsidRPr="00F15B78">
        <w:t xml:space="preserve">The </w:t>
      </w:r>
      <w:r w:rsidR="000B5B6A">
        <w:t>sponsor</w:t>
      </w:r>
      <w:r w:rsidRPr="00F15B78">
        <w:t xml:space="preserve"> believes that the recommendations for monitoring for MetHb and NO</w:t>
      </w:r>
      <w:r w:rsidRPr="008432DF">
        <w:rPr>
          <w:vertAlign w:val="subscript"/>
        </w:rPr>
        <w:t>2</w:t>
      </w:r>
      <w:r w:rsidRPr="00F15B78">
        <w:t xml:space="preserve"> </w:t>
      </w:r>
      <w:r>
        <w:t xml:space="preserve">are consistent </w:t>
      </w:r>
      <w:r w:rsidRPr="00F15B78">
        <w:t>with current clinical practice. An extensive monitoring guideline a</w:t>
      </w:r>
      <w:r>
        <w:t xml:space="preserve">lready </w:t>
      </w:r>
      <w:r w:rsidR="008432DF">
        <w:t>exists</w:t>
      </w:r>
      <w:r>
        <w:t xml:space="preserve"> in the current TGA </w:t>
      </w:r>
      <w:r w:rsidRPr="00F15B78">
        <w:t>approved PI for INOmax for the existing indication (pulmonary</w:t>
      </w:r>
      <w:r>
        <w:t xml:space="preserve"> hypertension in neonates). The </w:t>
      </w:r>
      <w:r w:rsidRPr="00F15B78">
        <w:t xml:space="preserve">monitoring guidelines are strongly enforced by the </w:t>
      </w:r>
      <w:r w:rsidR="000B5B6A">
        <w:lastRenderedPageBreak/>
        <w:t>sponsor</w:t>
      </w:r>
      <w:r w:rsidRPr="00F15B78">
        <w:t xml:space="preserve"> and</w:t>
      </w:r>
      <w:r>
        <w:t xml:space="preserve"> there have been no significant </w:t>
      </w:r>
      <w:r w:rsidRPr="00F15B78">
        <w:t>safety issues since first Australian registration of INOmax in</w:t>
      </w:r>
      <w:r>
        <w:t xml:space="preserve"> 2007. As mentioned previously, </w:t>
      </w:r>
      <w:r w:rsidRPr="00F15B78">
        <w:t>approval of the paediatric cardiac surgery indication would allow t</w:t>
      </w:r>
      <w:r>
        <w:t xml:space="preserve">he </w:t>
      </w:r>
      <w:r w:rsidR="000B5B6A">
        <w:t>sponsor</w:t>
      </w:r>
      <w:r>
        <w:t xml:space="preserve"> to bring any current </w:t>
      </w:r>
      <w:r w:rsidRPr="00F15B78">
        <w:t xml:space="preserve">off-label use in this indication under the monitoring controls </w:t>
      </w:r>
      <w:r>
        <w:t xml:space="preserve">specified in the INOmax </w:t>
      </w:r>
      <w:r w:rsidR="008432DF">
        <w:t>PI</w:t>
      </w:r>
      <w:r w:rsidRPr="00F15B78">
        <w:t xml:space="preserve">. Specific product training, as outlined in the </w:t>
      </w:r>
      <w:r w:rsidR="008432DF">
        <w:t>ASA</w:t>
      </w:r>
      <w:r>
        <w:t xml:space="preserve"> to the </w:t>
      </w:r>
      <w:r w:rsidRPr="00F15B78">
        <w:t xml:space="preserve">EU </w:t>
      </w:r>
      <w:r w:rsidR="008432DF">
        <w:t>RMP</w:t>
      </w:r>
      <w:r w:rsidRPr="00F15B78">
        <w:t>, would be implemented for cardi</w:t>
      </w:r>
      <w:r>
        <w:t xml:space="preserve">ac anaesthetists/ intensivists. </w:t>
      </w:r>
      <w:r w:rsidRPr="00F15B78">
        <w:t xml:space="preserve">The ASA also outlines the </w:t>
      </w:r>
      <w:r w:rsidR="000B5B6A">
        <w:t>sponsor</w:t>
      </w:r>
      <w:r w:rsidR="008432DF">
        <w:t>’</w:t>
      </w:r>
      <w:r w:rsidRPr="00F15B78">
        <w:t>s comprehe</w:t>
      </w:r>
      <w:r>
        <w:t xml:space="preserve">nsive safety monitoring system. </w:t>
      </w:r>
      <w:r w:rsidRPr="00F15B78">
        <w:t>The wording of the proposed PI provides further control over safe use by stating:</w:t>
      </w:r>
    </w:p>
    <w:p w14:paraId="7C82C616" w14:textId="77777777" w:rsidR="00F15B78" w:rsidRPr="00F15B78" w:rsidRDefault="008432DF" w:rsidP="00F15B78">
      <w:pPr>
        <w:ind w:left="720"/>
        <w:rPr>
          <w:i/>
        </w:rPr>
      </w:pPr>
      <w:r>
        <w:rPr>
          <w:i/>
        </w:rPr>
        <w:t>“</w:t>
      </w:r>
      <w:r w:rsidR="00F15B78" w:rsidRPr="00F15B78">
        <w:rPr>
          <w:i/>
        </w:rPr>
        <w:t xml:space="preserve">Prescription of nitric oxide should be supervised by a physician experienced in cardiothoracic </w:t>
      </w:r>
      <w:r w:rsidRPr="00F15B78">
        <w:rPr>
          <w:i/>
        </w:rPr>
        <w:t>anaesthesia</w:t>
      </w:r>
      <w:r w:rsidR="00F15B78" w:rsidRPr="00F15B78">
        <w:rPr>
          <w:i/>
        </w:rPr>
        <w:t xml:space="preserve"> </w:t>
      </w:r>
      <w:r>
        <w:rPr>
          <w:i/>
        </w:rPr>
        <w:t>and</w:t>
      </w:r>
      <w:r w:rsidR="00F15B78" w:rsidRPr="00F15B78">
        <w:rPr>
          <w:i/>
        </w:rPr>
        <w:t xml:space="preserve"> intensive care. Prescription should be limited to those </w:t>
      </w:r>
      <w:r w:rsidRPr="00F15B78">
        <w:rPr>
          <w:i/>
        </w:rPr>
        <w:t>anaesthetic</w:t>
      </w:r>
      <w:r w:rsidR="00F15B78" w:rsidRPr="00F15B78">
        <w:rPr>
          <w:i/>
        </w:rPr>
        <w:t xml:space="preserve"> and intensive care units that have received adequate training in the use of a nitric oxide delivery system. INOmax should only be delivered according to a specialist’s prescription…. INOmax should be administered under close monitoring of haemodynamics and oxygenation.”</w:t>
      </w:r>
    </w:p>
    <w:p w14:paraId="3FF63E9E" w14:textId="77777777" w:rsidR="00F15B78" w:rsidRPr="00F15B78" w:rsidRDefault="00F15B78" w:rsidP="00F15B78">
      <w:pPr>
        <w:pStyle w:val="Heading5"/>
        <w:rPr>
          <w:rFonts w:eastAsiaTheme="minorHAnsi"/>
        </w:rPr>
      </w:pPr>
      <w:r w:rsidRPr="00F15B78">
        <w:t>Conditions of registration</w:t>
      </w:r>
    </w:p>
    <w:p w14:paraId="64CCFA5B" w14:textId="77777777" w:rsidR="00F15B78" w:rsidRPr="00F15B78" w:rsidRDefault="00F15B78" w:rsidP="00633576">
      <w:pPr>
        <w:pStyle w:val="Numberbullet0"/>
        <w:numPr>
          <w:ilvl w:val="0"/>
          <w:numId w:val="8"/>
        </w:numPr>
        <w:rPr>
          <w:i/>
        </w:rPr>
      </w:pPr>
      <w:r w:rsidRPr="00F15B78">
        <w:rPr>
          <w:i/>
        </w:rPr>
        <w:t>Implement EU-RMP version 2.0, dated 31 March 2014 (data lock point 31 March 2014) with Australian Specific Annex version 2, dated 6 March and any future updates as a condition of registration</w:t>
      </w:r>
    </w:p>
    <w:p w14:paraId="26AD4F6D" w14:textId="77777777" w:rsidR="00F15B78" w:rsidRPr="00F15B78" w:rsidRDefault="00F15B78" w:rsidP="00F15B78">
      <w:r w:rsidRPr="00F15B78">
        <w:t xml:space="preserve">The </w:t>
      </w:r>
      <w:r w:rsidR="000B5B6A">
        <w:t>sponsor</w:t>
      </w:r>
      <w:r w:rsidRPr="00F15B78">
        <w:t xml:space="preserve"> provides an assurance that the EU-RMP V2.0 (dated 31</w:t>
      </w:r>
      <w:r w:rsidR="008432DF">
        <w:t xml:space="preserve"> March 20</w:t>
      </w:r>
      <w:r>
        <w:t xml:space="preserve">14) with Australian </w:t>
      </w:r>
      <w:r w:rsidR="008432DF">
        <w:t>Specific Annex V2 (6 March 20</w:t>
      </w:r>
      <w:r w:rsidRPr="00F15B78">
        <w:t>15) and any future updates, will be implemented post-approval.</w:t>
      </w:r>
    </w:p>
    <w:p w14:paraId="61CCBE52" w14:textId="77777777" w:rsidR="00F15B78" w:rsidRPr="00F15B78" w:rsidRDefault="00F15B78" w:rsidP="00F15B78">
      <w:pPr>
        <w:pStyle w:val="Heading5"/>
        <w:rPr>
          <w:rFonts w:eastAsiaTheme="minorHAnsi"/>
        </w:rPr>
      </w:pPr>
      <w:r w:rsidRPr="00F15B78">
        <w:t>Specific questions</w:t>
      </w:r>
    </w:p>
    <w:p w14:paraId="06AE32B3" w14:textId="77777777" w:rsidR="00F15B78" w:rsidRPr="00F15B78" w:rsidRDefault="00F15B78" w:rsidP="00633576">
      <w:pPr>
        <w:pStyle w:val="Numberbullet0"/>
        <w:numPr>
          <w:ilvl w:val="0"/>
          <w:numId w:val="9"/>
        </w:numPr>
        <w:rPr>
          <w:i/>
        </w:rPr>
      </w:pPr>
      <w:r w:rsidRPr="00F15B78">
        <w:rPr>
          <w:i/>
        </w:rPr>
        <w:t xml:space="preserve">Please indicate whether INOmax cylinders can only be used with the delivery system provided by the </w:t>
      </w:r>
      <w:r w:rsidR="000B5B6A">
        <w:rPr>
          <w:i/>
        </w:rPr>
        <w:t>sponsor</w:t>
      </w:r>
      <w:r w:rsidRPr="00F15B78">
        <w:rPr>
          <w:i/>
        </w:rPr>
        <w:t xml:space="preserve"> or if other nitric oxide delivery systems can be used. If not, is the technical support mentioned in the PI available to all prescribers of INOmax?</w:t>
      </w:r>
    </w:p>
    <w:p w14:paraId="63DBA783" w14:textId="77777777" w:rsidR="00F15B78" w:rsidRPr="00F15B78" w:rsidRDefault="00F15B78" w:rsidP="00F15B78">
      <w:r w:rsidRPr="00F15B78">
        <w:t>Technically the INOmax cylinder could be used with another nitric oxide delivery device if that</w:t>
      </w:r>
      <w:r>
        <w:t xml:space="preserve"> </w:t>
      </w:r>
      <w:r w:rsidRPr="00F15B78">
        <w:t>device could interface with a CGA 626 valve outlet. However, th</w:t>
      </w:r>
      <w:r>
        <w:t xml:space="preserve">e CGA 626 valve outlet is not a </w:t>
      </w:r>
      <w:r w:rsidRPr="00F15B78">
        <w:t>standard Australian valve outlet per AS 2473 Valves for compress</w:t>
      </w:r>
      <w:r>
        <w:t xml:space="preserve">ed gas cylinders Part 3: Outlet </w:t>
      </w:r>
      <w:r w:rsidRPr="00F15B78">
        <w:t>connections for medical gases; therefore, the likelihood of encou</w:t>
      </w:r>
      <w:r>
        <w:t xml:space="preserve">ntering a nitric oxide delivery </w:t>
      </w:r>
      <w:r w:rsidRPr="00F15B78">
        <w:t>device that would interface with the INOmax CGA 626 fitting i</w:t>
      </w:r>
      <w:r>
        <w:t xml:space="preserve">n Australia is highly unlikely. </w:t>
      </w:r>
      <w:r w:rsidRPr="00F15B78">
        <w:t xml:space="preserve">Regardless, the </w:t>
      </w:r>
      <w:r w:rsidR="000B5B6A">
        <w:t>sponsor</w:t>
      </w:r>
      <w:r w:rsidRPr="00F15B78">
        <w:t xml:space="preserve"> agrees that the delivery device is extreme</w:t>
      </w:r>
      <w:r>
        <w:t xml:space="preserve">ly important to the safe use of </w:t>
      </w:r>
      <w:r w:rsidRPr="00F15B78">
        <w:t>INOmax; therefore, Ikaria provides the delivery device, all t</w:t>
      </w:r>
      <w:r>
        <w:t xml:space="preserve">he associated disposable parts, </w:t>
      </w:r>
      <w:r w:rsidRPr="00F15B78">
        <w:t>calibration gas, ongoing training, etc. as part of a complete package</w:t>
      </w:r>
      <w:r>
        <w:t xml:space="preserve"> with the purchase of the drug, </w:t>
      </w:r>
      <w:r w:rsidRPr="00F15B78">
        <w:t>INOmax. With this unique product offering, all INOmax customers are p</w:t>
      </w:r>
      <w:r>
        <w:t xml:space="preserve">rovided a fleet of </w:t>
      </w:r>
      <w:r w:rsidRPr="00F15B78">
        <w:t>INOmax DS</w:t>
      </w:r>
      <w:r>
        <w:t>IR</w:t>
      </w:r>
      <w:r w:rsidR="009A0B07">
        <w:t xml:space="preserve"> </w:t>
      </w:r>
      <w:r w:rsidRPr="00F15B78">
        <w:t>systems to accommodate their INOmax usag</w:t>
      </w:r>
      <w:r>
        <w:t xml:space="preserve">e and maintain a backup device. </w:t>
      </w:r>
      <w:r w:rsidRPr="00F15B78">
        <w:t>This drug, device, service, support model is in place to assure</w:t>
      </w:r>
      <w:r>
        <w:t xml:space="preserve"> that INOmax cylinders are used </w:t>
      </w:r>
      <w:r w:rsidRPr="00F15B78">
        <w:t>with INOmax DS</w:t>
      </w:r>
      <w:r>
        <w:t>IR</w:t>
      </w:r>
      <w:r w:rsidR="009A0B07">
        <w:t xml:space="preserve"> </w:t>
      </w:r>
      <w:r w:rsidRPr="00F15B78">
        <w:t>delivery systems.</w:t>
      </w:r>
    </w:p>
    <w:p w14:paraId="7CB6260D" w14:textId="77777777" w:rsidR="00F15B78" w:rsidRPr="00F15B78" w:rsidRDefault="00F15B78" w:rsidP="00F15B78">
      <w:r w:rsidRPr="00F15B78">
        <w:t xml:space="preserve">If an INOmax cylinder is used with another NO delivery system, </w:t>
      </w:r>
      <w:r>
        <w:t xml:space="preserve">our technical support would not </w:t>
      </w:r>
      <w:r w:rsidRPr="00F15B78">
        <w:t>be able to provide assistance for another company</w:t>
      </w:r>
      <w:r w:rsidR="00DD0689">
        <w:t>’</w:t>
      </w:r>
      <w:r w:rsidRPr="00F15B78">
        <w:t>s NO deliv</w:t>
      </w:r>
      <w:r>
        <w:t xml:space="preserve">ery system. However, because we </w:t>
      </w:r>
      <w:r w:rsidRPr="00F15B78">
        <w:t>provide the INOmax DS</w:t>
      </w:r>
      <w:r>
        <w:t>IR</w:t>
      </w:r>
      <w:r w:rsidR="009A0B07">
        <w:t xml:space="preserve"> </w:t>
      </w:r>
      <w:r w:rsidRPr="00F15B78">
        <w:t>system as part of a complete product offering, there is no rea</w:t>
      </w:r>
      <w:r>
        <w:t xml:space="preserve">son for </w:t>
      </w:r>
      <w:r w:rsidRPr="00F15B78">
        <w:t>our customers to purchase, maintain or use other nitric oxide delivery systems.</w:t>
      </w:r>
    </w:p>
    <w:p w14:paraId="72DEBC47" w14:textId="77777777" w:rsidR="00F15B78" w:rsidRPr="00C11294" w:rsidRDefault="00F15B78" w:rsidP="00C11294">
      <w:pPr>
        <w:pStyle w:val="Numberbullet0"/>
        <w:rPr>
          <w:i/>
        </w:rPr>
      </w:pPr>
      <w:r w:rsidRPr="00C11294">
        <w:rPr>
          <w:i/>
        </w:rPr>
        <w:t>Does the delivery system allow manual ventilation while maintaining the same dose of iNO? Can iNO be delivered via BVM ventilation using the delivery system?</w:t>
      </w:r>
    </w:p>
    <w:p w14:paraId="65E9DDDC" w14:textId="77777777" w:rsidR="00F15B78" w:rsidRPr="00F15B78" w:rsidRDefault="00F15B78" w:rsidP="00F15B78">
      <w:r w:rsidRPr="00F15B78">
        <w:t>The INOmax DS</w:t>
      </w:r>
      <w:r w:rsidR="00C11294">
        <w:t>IR</w:t>
      </w:r>
      <w:r w:rsidR="009A0B07">
        <w:t xml:space="preserve"> </w:t>
      </w:r>
      <w:r w:rsidRPr="00F15B78">
        <w:t>does allow for manual ventilation at the same dose. The INOmax DS</w:t>
      </w:r>
      <w:r w:rsidR="00C11294">
        <w:t>IR</w:t>
      </w:r>
      <w:r w:rsidR="009A0B07">
        <w:t xml:space="preserve"> </w:t>
      </w:r>
      <w:r w:rsidRPr="00F15B78">
        <w:t xml:space="preserve">delivery system includes an </w:t>
      </w:r>
      <w:proofErr w:type="spellStart"/>
      <w:r w:rsidRPr="00F15B78">
        <w:t>INOblender</w:t>
      </w:r>
      <w:proofErr w:type="spellEnd"/>
      <w:r w:rsidRPr="00F15B78">
        <w:t>, for delivery of INOmax, spec</w:t>
      </w:r>
      <w:r w:rsidR="00C11294">
        <w:t>ifically designed for short</w:t>
      </w:r>
      <w:r w:rsidR="00DD0689">
        <w:t xml:space="preserve"> </w:t>
      </w:r>
      <w:r w:rsidR="00C11294">
        <w:t xml:space="preserve">term </w:t>
      </w:r>
      <w:r w:rsidRPr="00F15B78">
        <w:t xml:space="preserve">attended use with a BVM. The </w:t>
      </w:r>
      <w:proofErr w:type="spellStart"/>
      <w:r w:rsidRPr="00F15B78">
        <w:t>INOb</w:t>
      </w:r>
      <w:r w:rsidR="00DD0689">
        <w:t>lender</w:t>
      </w:r>
      <w:proofErr w:type="spellEnd"/>
      <w:r w:rsidR="00DD0689">
        <w:t xml:space="preserve"> delivers NO doses from 5 to 80 ppm at 5 to </w:t>
      </w:r>
      <w:r w:rsidRPr="00F15B78">
        <w:t>1</w:t>
      </w:r>
      <w:r w:rsidR="00C11294">
        <w:t xml:space="preserve">4 litres </w:t>
      </w:r>
      <w:r w:rsidRPr="00F15B78">
        <w:t xml:space="preserve">per minute and can be ready for use in less than 1 minute. The </w:t>
      </w:r>
      <w:r w:rsidR="00C11294">
        <w:t xml:space="preserve">blender is completely pneumatic </w:t>
      </w:r>
      <w:r w:rsidRPr="00F15B78">
        <w:t xml:space="preserve">and does not require power to operate. While it is possible to </w:t>
      </w:r>
      <w:r w:rsidR="00C11294">
        <w:t xml:space="preserve">use </w:t>
      </w:r>
      <w:r w:rsidR="00C11294">
        <w:lastRenderedPageBreak/>
        <w:t xml:space="preserve">the main delivery system by </w:t>
      </w:r>
      <w:r w:rsidRPr="00F15B78">
        <w:t>attaching the BVM to the systems injector module, almost all cl</w:t>
      </w:r>
      <w:r w:rsidR="00C11294">
        <w:t xml:space="preserve">inicians use the </w:t>
      </w:r>
      <w:proofErr w:type="spellStart"/>
      <w:r w:rsidR="00C11294">
        <w:t>INOblender</w:t>
      </w:r>
      <w:proofErr w:type="spellEnd"/>
      <w:r w:rsidR="00C11294">
        <w:t xml:space="preserve"> for </w:t>
      </w:r>
      <w:r w:rsidRPr="00F15B78">
        <w:t>this purpose.</w:t>
      </w:r>
    </w:p>
    <w:p w14:paraId="57F13AAE" w14:textId="77777777" w:rsidR="00C11294" w:rsidRPr="00C11294" w:rsidRDefault="00C11294" w:rsidP="00C11294">
      <w:pPr>
        <w:pStyle w:val="Numberbullet0"/>
        <w:rPr>
          <w:i/>
        </w:rPr>
      </w:pPr>
      <w:r w:rsidRPr="00C11294">
        <w:rPr>
          <w:i/>
        </w:rPr>
        <w:t xml:space="preserve">Other international regulators issued warnings in early 2015 about device failures with delivery systems for INOmax. Although the INOmax delivery system is not the subject of this submission, reliable delivery is an important safety and efficacy consideration. Please provide an update on the </w:t>
      </w:r>
      <w:r w:rsidR="000B5B6A">
        <w:rPr>
          <w:i/>
        </w:rPr>
        <w:t>sponsor</w:t>
      </w:r>
      <w:r w:rsidRPr="00C11294">
        <w:rPr>
          <w:i/>
        </w:rPr>
        <w:t>’s activities to ensure the identified failure mode of these devices is not applicable to the delivery system devices supplied to the Australian market.</w:t>
      </w:r>
    </w:p>
    <w:p w14:paraId="5C65056B" w14:textId="77777777" w:rsidR="00C11294" w:rsidRPr="00C11294" w:rsidRDefault="00C11294" w:rsidP="00C11294">
      <w:r w:rsidRPr="00C11294">
        <w:t>The field action reported to the US FDA involved a software version incompatibility with a new</w:t>
      </w:r>
      <w:r>
        <w:t xml:space="preserve"> </w:t>
      </w:r>
      <w:r w:rsidRPr="00C11294">
        <w:t xml:space="preserve">display assembly sourced by Ikaria </w:t>
      </w:r>
      <w:proofErr w:type="spellStart"/>
      <w:r w:rsidRPr="00C11294">
        <w:t>Inc</w:t>
      </w:r>
      <w:proofErr w:type="spellEnd"/>
      <w:r w:rsidRPr="00C11294">
        <w:t xml:space="preserve"> USA when the originally specified display was made</w:t>
      </w:r>
      <w:r>
        <w:t xml:space="preserve"> </w:t>
      </w:r>
      <w:r w:rsidRPr="00C11294">
        <w:t xml:space="preserve">obsolete and no longer available from our vendor. This issue resulted from the </w:t>
      </w:r>
      <w:r>
        <w:t xml:space="preserve">difference in </w:t>
      </w:r>
      <w:r w:rsidRPr="00C11294">
        <w:t>current required to operate the display, which was significantly lo</w:t>
      </w:r>
      <w:r>
        <w:t xml:space="preserve">wer than that required with the </w:t>
      </w:r>
      <w:r w:rsidRPr="00C11294">
        <w:t>original display. The issue was detected soon after release of</w:t>
      </w:r>
      <w:r>
        <w:t xml:space="preserve"> the new display as a result of </w:t>
      </w:r>
      <w:r w:rsidRPr="00C11294">
        <w:t>tracking and trending mechanisms put in place by Ikaria. None o</w:t>
      </w:r>
      <w:r>
        <w:t xml:space="preserve">f the new displays were sent to </w:t>
      </w:r>
      <w:r w:rsidRPr="00C11294">
        <w:t>Australia, however a courtesy notification was provided to TGA a</w:t>
      </w:r>
      <w:r>
        <w:t xml:space="preserve">t the time the field action was </w:t>
      </w:r>
      <w:r w:rsidRPr="00C11294">
        <w:t>reported to the US FDA.</w:t>
      </w:r>
    </w:p>
    <w:p w14:paraId="2A8DBC67" w14:textId="77777777" w:rsidR="00C11294" w:rsidRPr="00C11294" w:rsidRDefault="00C11294" w:rsidP="00C11294">
      <w:r w:rsidRPr="00C11294">
        <w:t>Since the anomaly can only occur when a specific display is installed in an INOmax DS</w:t>
      </w:r>
      <w:r>
        <w:t>IR</w:t>
      </w:r>
      <w:r w:rsidRPr="00C11294">
        <w:t xml:space="preserve"> </w:t>
      </w:r>
      <w:r>
        <w:t xml:space="preserve">with a </w:t>
      </w:r>
      <w:r w:rsidRPr="00C11294">
        <w:t>specific software version, this configuration has not been, and wil</w:t>
      </w:r>
      <w:r>
        <w:t xml:space="preserve">l not be, possible with devices </w:t>
      </w:r>
      <w:r w:rsidRPr="00C11294">
        <w:t>made available to the Australian market.</w:t>
      </w:r>
    </w:p>
    <w:p w14:paraId="1A818FCA" w14:textId="77777777" w:rsidR="00F15B78" w:rsidRPr="00C11294" w:rsidRDefault="00C11294" w:rsidP="00C11294">
      <w:pPr>
        <w:pStyle w:val="Numberbullet0"/>
        <w:rPr>
          <w:i/>
        </w:rPr>
      </w:pPr>
      <w:r w:rsidRPr="00C11294">
        <w:rPr>
          <w:i/>
        </w:rPr>
        <w:t>The sponsor is requested to comment on safety margins and other safeguards in its delivery system to ensure the selected dose is not exceeded.</w:t>
      </w:r>
    </w:p>
    <w:p w14:paraId="77760016" w14:textId="77777777" w:rsidR="00C11294" w:rsidRPr="00C11294" w:rsidRDefault="00DD0689" w:rsidP="00C11294">
      <w:r>
        <w:t xml:space="preserve">The INOmax DSIR uses a "dual </w:t>
      </w:r>
      <w:r w:rsidR="00C11294" w:rsidRPr="00C11294">
        <w:t>channel" design to ensure t</w:t>
      </w:r>
      <w:r w:rsidR="00C11294">
        <w:t xml:space="preserve">he safe delivery of INOmax. The </w:t>
      </w:r>
      <w:r w:rsidR="00C11294" w:rsidRPr="00C11294">
        <w:t>first channel has the delivery CPU, the flow controller and th</w:t>
      </w:r>
      <w:r w:rsidR="00C11294">
        <w:t xml:space="preserve">e injector module to ensure the </w:t>
      </w:r>
      <w:r w:rsidR="00C11294" w:rsidRPr="00C11294">
        <w:t>accurate delivery of NO. The second channel is the monitoring sy</w:t>
      </w:r>
      <w:r w:rsidR="00C11294">
        <w:t xml:space="preserve">stem, which includes a separate </w:t>
      </w:r>
      <w:r w:rsidR="00C11294" w:rsidRPr="00C11294">
        <w:t>monitor CPU, the gas cells (NO, NO</w:t>
      </w:r>
      <w:r w:rsidR="00C11294" w:rsidRPr="00DD0689">
        <w:rPr>
          <w:vertAlign w:val="subscript"/>
        </w:rPr>
        <w:t>2</w:t>
      </w:r>
      <w:r w:rsidR="00C11294" w:rsidRPr="00C11294">
        <w:t xml:space="preserve"> and O</w:t>
      </w:r>
      <w:r w:rsidR="00C11294" w:rsidRPr="00DD0689">
        <w:rPr>
          <w:vertAlign w:val="subscript"/>
        </w:rPr>
        <w:t>2</w:t>
      </w:r>
      <w:r w:rsidR="00C11294" w:rsidRPr="00C11294">
        <w:t xml:space="preserve"> cells) and the user </w:t>
      </w:r>
      <w:r w:rsidR="00C11294">
        <w:t xml:space="preserve">interface including the display </w:t>
      </w:r>
      <w:r w:rsidR="00C11294" w:rsidRPr="00C11294">
        <w:t>and alarms. The dual-channel approach to delivery and mon</w:t>
      </w:r>
      <w:r w:rsidR="00C11294">
        <w:t xml:space="preserve">itoring permits INOmax delivery </w:t>
      </w:r>
      <w:r w:rsidR="00C11294" w:rsidRPr="00C11294">
        <w:t>independent of monitoring but also allows the monitoring sys</w:t>
      </w:r>
      <w:r w:rsidR="00C11294">
        <w:t xml:space="preserve">tem to shutdown INOmax delivery </w:t>
      </w:r>
      <w:r w:rsidR="00C11294" w:rsidRPr="00C11294">
        <w:t>if it detects a fault in the delivery system such that the NO con</w:t>
      </w:r>
      <w:r w:rsidR="00C11294">
        <w:t xml:space="preserve">centration could become greater </w:t>
      </w:r>
      <w:r w:rsidR="00C11294" w:rsidRPr="00C11294">
        <w:t>than 100 ppm for 12 consecutive seconds. The delivery system can also shut down</w:t>
      </w:r>
      <w:r w:rsidR="00C11294">
        <w:t xml:space="preserve"> delivery if it </w:t>
      </w:r>
      <w:r w:rsidR="00C11294" w:rsidRPr="00C11294">
        <w:t xml:space="preserve">detects certain serious problems with the monitoring system. </w:t>
      </w:r>
      <w:r w:rsidR="00C11294">
        <w:t xml:space="preserve">The primary NO control is based </w:t>
      </w:r>
      <w:r w:rsidR="00C11294" w:rsidRPr="00C11294">
        <w:t xml:space="preserve">on a volumetric calculation of the breathing circuit flow and </w:t>
      </w:r>
      <w:r w:rsidR="00C11294">
        <w:t xml:space="preserve">the NO flow. If the calculation </w:t>
      </w:r>
      <w:r w:rsidR="00C11294" w:rsidRPr="00C11294">
        <w:t>shows that delivery is not within the acceptable range, the device will alarm and/or shut down.</w:t>
      </w:r>
    </w:p>
    <w:p w14:paraId="04EE45AE" w14:textId="77777777" w:rsidR="00C11294" w:rsidRPr="00C11294" w:rsidRDefault="00C11294" w:rsidP="00C11294">
      <w:r w:rsidRPr="00C11294">
        <w:t>The resulting NO concentration is also monitored with th</w:t>
      </w:r>
      <w:r>
        <w:t xml:space="preserve">e independent NO gas monitoring </w:t>
      </w:r>
      <w:r w:rsidRPr="00C11294">
        <w:t>sensor. The NO concentration alarms are user settable an</w:t>
      </w:r>
      <w:r>
        <w:t xml:space="preserve">d will alarm if the measured NO </w:t>
      </w:r>
      <w:r w:rsidRPr="00C11294">
        <w:t>concentration in the patient circuit goes out of range.</w:t>
      </w:r>
    </w:p>
    <w:p w14:paraId="43F3D716" w14:textId="77777777" w:rsidR="00F15B78" w:rsidRPr="00C11294" w:rsidRDefault="00C11294" w:rsidP="00C11294">
      <w:r w:rsidRPr="00C11294">
        <w:t>The INOmax DS</w:t>
      </w:r>
      <w:r>
        <w:t>IR</w:t>
      </w:r>
      <w:r w:rsidRPr="00C11294">
        <w:t xml:space="preserve"> Hazard and Risk Analyses are conducte</w:t>
      </w:r>
      <w:r>
        <w:t>d in accorda</w:t>
      </w:r>
      <w:r w:rsidR="00DD0689">
        <w:t>nce with ISO 14971: </w:t>
      </w:r>
      <w:r w:rsidRPr="00C11294">
        <w:t xml:space="preserve">2012. As such, risks associated with the use of the device are </w:t>
      </w:r>
      <w:r>
        <w:t xml:space="preserve">brought to acceptable levels as </w:t>
      </w:r>
      <w:r w:rsidRPr="00C11294">
        <w:t xml:space="preserve">established in the </w:t>
      </w:r>
      <w:r w:rsidR="00DD0689">
        <w:t>RMP</w:t>
      </w:r>
      <w:r w:rsidRPr="00C11294">
        <w:t>. The user is pro</w:t>
      </w:r>
      <w:r>
        <w:t xml:space="preserve">vided with relevant information </w:t>
      </w:r>
      <w:r w:rsidRPr="00C11294">
        <w:t xml:space="preserve">regarding mechanisms employed to reduce risk in product </w:t>
      </w:r>
      <w:r>
        <w:t xml:space="preserve">labelling. High Priority Alarms </w:t>
      </w:r>
      <w:r w:rsidRPr="00C11294">
        <w:t xml:space="preserve">associated with over-delivery, and under-delivery, conditions are </w:t>
      </w:r>
      <w:r>
        <w:t xml:space="preserve">described in some detail in the </w:t>
      </w:r>
      <w:r w:rsidRPr="00C11294">
        <w:t>device Operator</w:t>
      </w:r>
      <w:r>
        <w:t>’</w:t>
      </w:r>
      <w:r w:rsidR="00DD0689">
        <w:t xml:space="preserve">s Manual. Included in the alarm </w:t>
      </w:r>
      <w:r w:rsidRPr="00C11294">
        <w:t>handling str</w:t>
      </w:r>
      <w:r>
        <w:t xml:space="preserve">ategies are mechanisms by which </w:t>
      </w:r>
      <w:r w:rsidRPr="00C11294">
        <w:t>drug delivery may be interrupted if the delivered dose exce</w:t>
      </w:r>
      <w:r>
        <w:t xml:space="preserve">eds the set dose. Labelling and </w:t>
      </w:r>
      <w:r w:rsidRPr="00C11294">
        <w:t>training instruct the user in addressing and resolving over- and</w:t>
      </w:r>
      <w:r>
        <w:t xml:space="preserve"> under-delivery conditions. The </w:t>
      </w:r>
      <w:r w:rsidRPr="00C11294">
        <w:t>labelling includes instructions for use of backup drug delivery mechanisms.</w:t>
      </w:r>
    </w:p>
    <w:p w14:paraId="7C8F4DA4" w14:textId="77777777" w:rsidR="00F15B78" w:rsidRPr="003F7D1D" w:rsidRDefault="00C11294" w:rsidP="003F7D1D">
      <w:pPr>
        <w:pStyle w:val="Numberbullet0"/>
        <w:rPr>
          <w:i/>
        </w:rPr>
      </w:pPr>
      <w:r w:rsidRPr="003F7D1D">
        <w:rPr>
          <w:i/>
        </w:rPr>
        <w:t xml:space="preserve">Clinical Evaluation Report 2nd Round Evaluation. </w:t>
      </w:r>
      <w:r w:rsidRPr="00FD6E67">
        <w:t>After assessing the</w:t>
      </w:r>
      <w:r w:rsidR="003F7D1D" w:rsidRPr="00FD6E67">
        <w:t xml:space="preserve"> </w:t>
      </w:r>
      <w:r w:rsidR="000B5B6A">
        <w:t>sponsor</w:t>
      </w:r>
      <w:r w:rsidRPr="00FD6E67">
        <w:t xml:space="preserve">’s response to the original question </w:t>
      </w:r>
      <w:r w:rsidRPr="003F7D1D">
        <w:rPr>
          <w:i/>
        </w:rPr>
        <w:t>“What eff</w:t>
      </w:r>
      <w:r w:rsidR="003F7D1D" w:rsidRPr="003F7D1D">
        <w:rPr>
          <w:i/>
        </w:rPr>
        <w:t xml:space="preserve">ect does iNO have on the immune </w:t>
      </w:r>
      <w:r w:rsidRPr="003F7D1D">
        <w:rPr>
          <w:i/>
        </w:rPr>
        <w:t>system and are these effects likely to be clinically relevant</w:t>
      </w:r>
      <w:r w:rsidR="003F7D1D" w:rsidRPr="003F7D1D">
        <w:rPr>
          <w:i/>
        </w:rPr>
        <w:t xml:space="preserve">?’, </w:t>
      </w:r>
      <w:r w:rsidR="003F7D1D" w:rsidRPr="00FD6E67">
        <w:t xml:space="preserve">the Clinical Evaluator </w:t>
      </w:r>
      <w:r w:rsidRPr="00FD6E67">
        <w:t>makes the following comment</w:t>
      </w:r>
      <w:r w:rsidRPr="003F7D1D">
        <w:rPr>
          <w:i/>
        </w:rPr>
        <w:t>:</w:t>
      </w:r>
      <w:r w:rsidR="003F7D1D" w:rsidRPr="003F7D1D">
        <w:rPr>
          <w:i/>
        </w:rPr>
        <w:t xml:space="preserve"> </w:t>
      </w:r>
      <w:r w:rsidRPr="003F7D1D">
        <w:rPr>
          <w:i/>
        </w:rPr>
        <w:t xml:space="preserve">In conclusion, the </w:t>
      </w:r>
      <w:r w:rsidR="000B5B6A">
        <w:rPr>
          <w:i/>
        </w:rPr>
        <w:t>sponsor</w:t>
      </w:r>
      <w:r w:rsidRPr="003F7D1D">
        <w:rPr>
          <w:i/>
        </w:rPr>
        <w:t xml:space="preserve">’s response on this issue was acceptable, </w:t>
      </w:r>
      <w:r w:rsidRPr="003F7D1D">
        <w:rPr>
          <w:i/>
        </w:rPr>
        <w:lastRenderedPageBreak/>
        <w:t>and this theoretical</w:t>
      </w:r>
      <w:r w:rsidR="003F7D1D" w:rsidRPr="003F7D1D">
        <w:rPr>
          <w:i/>
        </w:rPr>
        <w:t xml:space="preserve"> </w:t>
      </w:r>
      <w:r w:rsidRPr="003F7D1D">
        <w:rPr>
          <w:i/>
        </w:rPr>
        <w:t>safety concern should not be a barrier to registrat</w:t>
      </w:r>
      <w:r w:rsidR="003F7D1D" w:rsidRPr="003F7D1D">
        <w:rPr>
          <w:i/>
        </w:rPr>
        <w:t xml:space="preserve">ion, provided the Pre-clinical </w:t>
      </w:r>
      <w:r w:rsidRPr="003F7D1D">
        <w:rPr>
          <w:i/>
        </w:rPr>
        <w:t xml:space="preserve">Evaluator agrees with the </w:t>
      </w:r>
      <w:r w:rsidR="000B5B6A">
        <w:rPr>
          <w:i/>
        </w:rPr>
        <w:t>sponsor</w:t>
      </w:r>
      <w:r w:rsidRPr="003F7D1D">
        <w:rPr>
          <w:i/>
        </w:rPr>
        <w:t>’s assessme</w:t>
      </w:r>
      <w:r w:rsidR="003F7D1D" w:rsidRPr="003F7D1D">
        <w:rPr>
          <w:i/>
        </w:rPr>
        <w:t xml:space="preserve">nt of the animal data. It would </w:t>
      </w:r>
      <w:r w:rsidRPr="003F7D1D">
        <w:rPr>
          <w:i/>
        </w:rPr>
        <w:t>nonetheless be appropriate to continue to monit</w:t>
      </w:r>
      <w:r w:rsidR="003F7D1D" w:rsidRPr="003F7D1D">
        <w:rPr>
          <w:i/>
        </w:rPr>
        <w:t xml:space="preserve">or this issue in post-marketing </w:t>
      </w:r>
      <w:r w:rsidRPr="003F7D1D">
        <w:rPr>
          <w:i/>
        </w:rPr>
        <w:t>surveillance programs, and to mention the issue in the RMP. Such a men</w:t>
      </w:r>
      <w:r w:rsidR="003F7D1D" w:rsidRPr="003F7D1D">
        <w:rPr>
          <w:i/>
        </w:rPr>
        <w:t xml:space="preserve">tion would not </w:t>
      </w:r>
      <w:r w:rsidRPr="003F7D1D">
        <w:rPr>
          <w:i/>
        </w:rPr>
        <w:t xml:space="preserve">have to describe the risk in strong terms, and the </w:t>
      </w:r>
      <w:r w:rsidR="000B5B6A">
        <w:rPr>
          <w:i/>
        </w:rPr>
        <w:t>sponsor</w:t>
      </w:r>
      <w:r w:rsidR="003F7D1D" w:rsidRPr="003F7D1D">
        <w:rPr>
          <w:i/>
        </w:rPr>
        <w:t xml:space="preserve"> would be justified in stating </w:t>
      </w:r>
      <w:r w:rsidRPr="003F7D1D">
        <w:rPr>
          <w:i/>
        </w:rPr>
        <w:t>that there is no positive clinical evidence of risk. They would not be justified in stating</w:t>
      </w:r>
      <w:r w:rsidR="003F7D1D" w:rsidRPr="003F7D1D">
        <w:rPr>
          <w:i/>
        </w:rPr>
        <w:t xml:space="preserve"> </w:t>
      </w:r>
      <w:r w:rsidRPr="003F7D1D">
        <w:rPr>
          <w:i/>
        </w:rPr>
        <w:t>that there is sufficient clinical data to dismiss this theoretical risk.</w:t>
      </w:r>
    </w:p>
    <w:p w14:paraId="20A286F0" w14:textId="77777777" w:rsidR="00C11294" w:rsidRPr="00C11294" w:rsidRDefault="00C11294" w:rsidP="00C11294">
      <w:r w:rsidRPr="00C11294">
        <w:t xml:space="preserve">The </w:t>
      </w:r>
      <w:r w:rsidR="000B5B6A">
        <w:t>sponsor</w:t>
      </w:r>
      <w:r w:rsidRPr="00C11294">
        <w:t xml:space="preserve"> provides the following response:</w:t>
      </w:r>
    </w:p>
    <w:p w14:paraId="161F707E" w14:textId="77777777" w:rsidR="00C11294" w:rsidRPr="00C11294" w:rsidRDefault="00C11294" w:rsidP="00C11294">
      <w:r w:rsidRPr="00C11294">
        <w:t>A theoretical risk describes an event could happen in theory but</w:t>
      </w:r>
      <w:r w:rsidR="003F7D1D">
        <w:t xml:space="preserve"> has never occurred in reality. “</w:t>
      </w:r>
      <w:r w:rsidRPr="00C11294">
        <w:t>Theoretical risks can never be disproved. It is not possible to</w:t>
      </w:r>
      <w:r w:rsidR="003F7D1D">
        <w:t xml:space="preserve"> prove that something can never </w:t>
      </w:r>
      <w:r w:rsidRPr="00C11294">
        <w:t>happen (HIV testing and risks of se</w:t>
      </w:r>
      <w:r w:rsidR="00DD0689">
        <w:t xml:space="preserve">xual transmission February 2013 </w:t>
      </w:r>
      <w:r w:rsidRPr="00C11294">
        <w:t>Appendix 2, page 59)</w:t>
      </w:r>
      <w:r w:rsidR="003F7D1D">
        <w:t xml:space="preserve">”. In </w:t>
      </w:r>
      <w:r w:rsidRPr="00C11294">
        <w:t xml:space="preserve">this context, </w:t>
      </w:r>
      <w:r w:rsidR="003F7D1D">
        <w:t>“</w:t>
      </w:r>
      <w:r w:rsidRPr="00C11294">
        <w:t>mentioning</w:t>
      </w:r>
      <w:r w:rsidR="003F7D1D">
        <w:t>”</w:t>
      </w:r>
      <w:r w:rsidRPr="00C11294">
        <w:t xml:space="preserve"> a theoretical risk of inhaled nit</w:t>
      </w:r>
      <w:r w:rsidR="003F7D1D">
        <w:t xml:space="preserve">ric oxide therapy on the immune </w:t>
      </w:r>
      <w:r w:rsidRPr="00C11294">
        <w:t>systems/functions and continuing to monitor this issue in post-market surveill</w:t>
      </w:r>
      <w:r w:rsidR="003F7D1D">
        <w:t xml:space="preserve">ance program would </w:t>
      </w:r>
      <w:r w:rsidRPr="00C11294">
        <w:t xml:space="preserve">be a reasonable advice; and </w:t>
      </w:r>
      <w:r w:rsidR="00DD0689">
        <w:t>“</w:t>
      </w:r>
      <w:r w:rsidRPr="00C11294">
        <w:t>the sponsor would not be justified that th</w:t>
      </w:r>
      <w:r w:rsidR="003F7D1D">
        <w:t xml:space="preserve">ere is sufficient clinical data </w:t>
      </w:r>
      <w:r w:rsidRPr="00C11294">
        <w:t>to dismiss this theoretical risk</w:t>
      </w:r>
      <w:r w:rsidR="00DD0689">
        <w:t>”</w:t>
      </w:r>
      <w:r w:rsidRPr="00C11294">
        <w:t xml:space="preserve">. While the </w:t>
      </w:r>
      <w:r w:rsidR="000B5B6A">
        <w:t>sponsor</w:t>
      </w:r>
      <w:r w:rsidRPr="00C11294">
        <w:t xml:space="preserve"> has no intention</w:t>
      </w:r>
      <w:r w:rsidR="003F7D1D">
        <w:t xml:space="preserve"> to dismiss a theoretical risk, </w:t>
      </w:r>
      <w:r w:rsidRPr="00C11294">
        <w:t xml:space="preserve">we do not believe that a theoretical risk for inhaled nitric oxide </w:t>
      </w:r>
      <w:r w:rsidR="003F7D1D">
        <w:t xml:space="preserve">therapy on the human immune </w:t>
      </w:r>
      <w:r w:rsidRPr="00C11294">
        <w:t>system/function exists, after careful review the available scientif</w:t>
      </w:r>
      <w:r w:rsidR="003F7D1D">
        <w:t xml:space="preserve">ic data, including the clinical </w:t>
      </w:r>
      <w:r w:rsidRPr="00C11294">
        <w:t>data, and after careful consideration of the evaluator</w:t>
      </w:r>
      <w:r w:rsidR="003F7D1D">
        <w:t>’</w:t>
      </w:r>
      <w:r w:rsidRPr="00C11294">
        <w:t>s comments, concerns and the conclusion.</w:t>
      </w:r>
    </w:p>
    <w:p w14:paraId="4F2B5A4E" w14:textId="77777777" w:rsidR="00C11294" w:rsidRPr="00C11294" w:rsidRDefault="00C11294" w:rsidP="00C11294">
      <w:r w:rsidRPr="00C11294">
        <w:t>The belief that a theoretical risk for inhaled nitric oxide on the i</w:t>
      </w:r>
      <w:r w:rsidR="003F7D1D">
        <w:t xml:space="preserve">mmunity possibly stems from the </w:t>
      </w:r>
      <w:r w:rsidRPr="00C11294">
        <w:t>interchangeable use of the following two sets of concepts, as reflected in the evaluator</w:t>
      </w:r>
      <w:r w:rsidR="003F7D1D">
        <w:t xml:space="preserve">’s concern </w:t>
      </w:r>
      <w:r w:rsidRPr="00C11294">
        <w:t xml:space="preserve">and conclusion. Inhaled nitric oxide versus endogenous nitric </w:t>
      </w:r>
      <w:proofErr w:type="gramStart"/>
      <w:r w:rsidRPr="00C11294">
        <w:t>oxide,</w:t>
      </w:r>
      <w:proofErr w:type="gramEnd"/>
      <w:r w:rsidRPr="00C11294">
        <w:t xml:space="preserve"> and immune </w:t>
      </w:r>
      <w:r w:rsidR="003F7D1D">
        <w:t xml:space="preserve">regulation </w:t>
      </w:r>
      <w:r w:rsidRPr="00C11294">
        <w:t>versus immune modulation have been discussed without distinctio</w:t>
      </w:r>
      <w:r w:rsidR="003F7D1D">
        <w:t xml:space="preserve">n in many scientific especially </w:t>
      </w:r>
      <w:r w:rsidRPr="00C11294">
        <w:t>cl</w:t>
      </w:r>
      <w:r w:rsidR="00DD0689">
        <w:t xml:space="preserve">inical reports. In several well </w:t>
      </w:r>
      <w:r w:rsidRPr="00C11294">
        <w:t>cited reports, the authors</w:t>
      </w:r>
      <w:r w:rsidR="003F7D1D">
        <w:t xml:space="preserve">, after comprehensive review of </w:t>
      </w:r>
      <w:r w:rsidRPr="00C11294">
        <w:t>endogenous nitric oxide production, distribution and its bio</w:t>
      </w:r>
      <w:r w:rsidR="003F7D1D">
        <w:t xml:space="preserve">logical effects in humans, have </w:t>
      </w:r>
      <w:r w:rsidRPr="00C11294">
        <w:t>attempted to leap to the assumption that the internally produced n</w:t>
      </w:r>
      <w:r w:rsidR="003F7D1D">
        <w:t xml:space="preserve">itric oxide redox potential and </w:t>
      </w:r>
      <w:r w:rsidRPr="00C11294">
        <w:t>immune modulatory effect in specific in vivo micro/macro milie</w:t>
      </w:r>
      <w:r w:rsidR="003F7D1D">
        <w:t xml:space="preserve">u would apply to inhaled nitric </w:t>
      </w:r>
      <w:r w:rsidRPr="00C11294">
        <w:t>oxide.</w:t>
      </w:r>
    </w:p>
    <w:p w14:paraId="4D343595" w14:textId="77777777" w:rsidR="00C11294" w:rsidRPr="00C11294" w:rsidRDefault="00C11294" w:rsidP="00C11294">
      <w:r w:rsidRPr="00C11294">
        <w:t xml:space="preserve">Endogenous nitric oxide mostly serves as intermediary </w:t>
      </w:r>
      <w:r w:rsidR="00DD0689">
        <w:t>signalling</w:t>
      </w:r>
      <w:r w:rsidR="003F7D1D">
        <w:t xml:space="preserve"> molecules to modulate </w:t>
      </w:r>
      <w:r w:rsidRPr="00C11294">
        <w:t>immunity, depending on its cellular origin and location of d</w:t>
      </w:r>
      <w:r w:rsidR="003F7D1D">
        <w:t xml:space="preserve">istribution, when environmental </w:t>
      </w:r>
      <w:r w:rsidRPr="00C11294">
        <w:t xml:space="preserve">factors activate or suppress immune system </w:t>
      </w:r>
      <w:r w:rsidR="00DD0689" w:rsidRPr="00C11294">
        <w:t>signalling</w:t>
      </w:r>
      <w:r w:rsidRPr="00C11294">
        <w:t xml:space="preserve"> cascades. Nitric oxide per se does not</w:t>
      </w:r>
      <w:r w:rsidR="003F7D1D">
        <w:t xml:space="preserve"> </w:t>
      </w:r>
      <w:r w:rsidRPr="00C11294">
        <w:t>initiate the activation or suppression of the innate/acquired immuni</w:t>
      </w:r>
      <w:r w:rsidR="003F7D1D">
        <w:t xml:space="preserve">ty. Nitric oxide is synthesized </w:t>
      </w:r>
      <w:r w:rsidRPr="00C11294">
        <w:t>in most nucleated cells, particularly in macrophages. As part of th</w:t>
      </w:r>
      <w:r w:rsidR="00DD0689">
        <w:t>e innate immune defence</w:t>
      </w:r>
      <w:r w:rsidR="003F7D1D">
        <w:t xml:space="preserve">, nitric </w:t>
      </w:r>
      <w:r w:rsidRPr="00C11294">
        <w:t>oxide suppresses viral replication and is bactericidal. According to the evaluator</w:t>
      </w:r>
      <w:r w:rsidR="003F7D1D">
        <w:t>’s concern, “</w:t>
      </w:r>
      <w:r w:rsidRPr="00C11294">
        <w:t>expression of inducible NO synthetase has been linked with acute solid organ rejection</w:t>
      </w:r>
      <w:r w:rsidR="003F7D1D">
        <w:t xml:space="preserve">”. Such </w:t>
      </w:r>
      <w:r w:rsidRPr="00C11294">
        <w:t>link is not based on any detrimental effect of endogenous nitr</w:t>
      </w:r>
      <w:r w:rsidR="003F7D1D">
        <w:t xml:space="preserve">ic oxide on suppression of host </w:t>
      </w:r>
      <w:r w:rsidRPr="00C11294">
        <w:t>immune tolerance to the graft organ. Rather, reperfusion of the</w:t>
      </w:r>
      <w:r w:rsidR="003F7D1D">
        <w:t xml:space="preserve"> graft organ could activate the </w:t>
      </w:r>
      <w:r w:rsidRPr="00C11294">
        <w:t>inducible nitric oxide synthase and increase the endogenous nitri</w:t>
      </w:r>
      <w:r w:rsidR="003F7D1D">
        <w:t xml:space="preserve">c oxide level especially at the </w:t>
      </w:r>
      <w:r w:rsidRPr="00C11294">
        <w:t xml:space="preserve">endothelium of the host-graft vascular anastomoses thus affect the graft organ </w:t>
      </w:r>
      <w:r w:rsidR="003F7D1D">
        <w:t xml:space="preserve">blood supply and </w:t>
      </w:r>
      <w:r w:rsidRPr="00C11294">
        <w:t>viability.</w:t>
      </w:r>
    </w:p>
    <w:p w14:paraId="66F86766" w14:textId="77777777" w:rsidR="00C11294" w:rsidRPr="00C11294" w:rsidRDefault="00C11294" w:rsidP="00C11294">
      <w:r w:rsidRPr="00C11294">
        <w:t>By entering the systemic circulation, inhaled nitric oxide has</w:t>
      </w:r>
      <w:r w:rsidR="003F7D1D">
        <w:t xml:space="preserve"> been found to reduce parasitic </w:t>
      </w:r>
      <w:r w:rsidRPr="00C11294">
        <w:t>accumulation and reduce inflammation in mice and in child</w:t>
      </w:r>
      <w:r w:rsidR="003F7D1D">
        <w:t xml:space="preserve">ren with cerebral malaria. This </w:t>
      </w:r>
      <w:r w:rsidRPr="00C11294">
        <w:t>demonstrates the protective, immune modulatory effect of inh</w:t>
      </w:r>
      <w:r w:rsidR="003F7D1D">
        <w:t xml:space="preserve">aled nitric oxide on the immune </w:t>
      </w:r>
      <w:r w:rsidRPr="00C11294">
        <w:t>systems/functions. Inhaled nitric oxide, as characterized under th</w:t>
      </w:r>
      <w:r w:rsidR="003F7D1D">
        <w:t xml:space="preserve">e response to question 1, has a </w:t>
      </w:r>
      <w:r w:rsidRPr="00C11294">
        <w:t>transient and focused effect on pulmonary vasculature. Im</w:t>
      </w:r>
      <w:r w:rsidR="003F7D1D">
        <w:t xml:space="preserve">mune cells within the pulmonary </w:t>
      </w:r>
      <w:r w:rsidRPr="00C11294">
        <w:t>circulation and in the systemic circulation have very little exposure to inhaled nitric oxide because</w:t>
      </w:r>
      <w:r w:rsidR="003F7D1D">
        <w:t xml:space="preserve"> </w:t>
      </w:r>
      <w:r w:rsidRPr="00C11294">
        <w:t>it would be metabolized in the vascular endothelial cells. R</w:t>
      </w:r>
      <w:r w:rsidR="003F7D1D">
        <w:t xml:space="preserve">esident immune cells within the </w:t>
      </w:r>
      <w:r w:rsidRPr="00C11294">
        <w:t xml:space="preserve">parenchyma and the </w:t>
      </w:r>
      <w:proofErr w:type="spellStart"/>
      <w:r w:rsidRPr="00C11294">
        <w:t>interstitium</w:t>
      </w:r>
      <w:proofErr w:type="spellEnd"/>
      <w:r w:rsidRPr="00C11294">
        <w:t xml:space="preserve"> of the lungs may be exposed to inhaled nitric oxide. </w:t>
      </w:r>
      <w:r w:rsidR="003F7D1D">
        <w:t xml:space="preserve">Any </w:t>
      </w:r>
      <w:r w:rsidRPr="00C11294">
        <w:t xml:space="preserve">modulatory effect of inhaled nitric oxide on </w:t>
      </w:r>
      <w:proofErr w:type="spellStart"/>
      <w:r w:rsidRPr="00C11294">
        <w:t>extravasate</w:t>
      </w:r>
      <w:proofErr w:type="spellEnd"/>
      <w:r w:rsidRPr="00C11294">
        <w:t xml:space="preserve"> immune </w:t>
      </w:r>
      <w:r w:rsidR="003F7D1D">
        <w:t xml:space="preserve">cells would depend on the state </w:t>
      </w:r>
      <w:r w:rsidRPr="00C11294">
        <w:t>of the local immune system at the host lungs, and the redo</w:t>
      </w:r>
      <w:r w:rsidR="003F7D1D">
        <w:t xml:space="preserve">x environment at the time of NO </w:t>
      </w:r>
      <w:r w:rsidRPr="00C11294">
        <w:t xml:space="preserve">inhalation. Nitric oxide, </w:t>
      </w:r>
      <w:r w:rsidRPr="00C11294">
        <w:lastRenderedPageBreak/>
        <w:t xml:space="preserve">regardless of its origins, achieves its </w:t>
      </w:r>
      <w:r w:rsidR="003F7D1D">
        <w:t xml:space="preserve">biological effects through </w:t>
      </w:r>
      <w:r w:rsidRPr="00C11294">
        <w:t xml:space="preserve">interactions with numerous </w:t>
      </w:r>
      <w:r w:rsidR="00DD0689" w:rsidRPr="00C11294">
        <w:t>signalling</w:t>
      </w:r>
      <w:r w:rsidRPr="00C11294">
        <w:t xml:space="preserve"> pathways and tran</w:t>
      </w:r>
      <w:r w:rsidR="003F7D1D">
        <w:t xml:space="preserve">scription factors. Although the </w:t>
      </w:r>
      <w:r w:rsidR="00DD0689" w:rsidRPr="00C11294">
        <w:t>signalling</w:t>
      </w:r>
      <w:r w:rsidRPr="00C11294">
        <w:t>/transcription networks at cellular and molecular levels</w:t>
      </w:r>
      <w:r w:rsidR="003F7D1D">
        <w:t xml:space="preserve"> have been extensively studied, </w:t>
      </w:r>
      <w:r w:rsidRPr="00C11294">
        <w:t>the exact effects of nitric oxide at the systems and organic lev</w:t>
      </w:r>
      <w:r w:rsidR="003F7D1D">
        <w:t xml:space="preserve">els (on immunity and the immune </w:t>
      </w:r>
      <w:r w:rsidRPr="00C11294">
        <w:t>system in particular) are the functions of the environment, the do</w:t>
      </w:r>
      <w:r w:rsidR="003F7D1D">
        <w:t xml:space="preserve">se/duration of the nitric oxide </w:t>
      </w:r>
      <w:r w:rsidRPr="00C11294">
        <w:t>exposure and the disease state.</w:t>
      </w:r>
    </w:p>
    <w:p w14:paraId="62A39ED3" w14:textId="77777777" w:rsidR="00C11294" w:rsidRPr="00C11294" w:rsidRDefault="00C11294" w:rsidP="00C11294">
      <w:r w:rsidRPr="00C11294">
        <w:t xml:space="preserve">To date, we have not identified any scientific or clinical information that </w:t>
      </w:r>
      <w:r w:rsidR="003F7D1D">
        <w:t xml:space="preserve">would imply any </w:t>
      </w:r>
      <w:r w:rsidRPr="00C11294">
        <w:t>theoretical risk of detrimental/harmful effect of inhaled nitri</w:t>
      </w:r>
      <w:r w:rsidR="003F7D1D">
        <w:t xml:space="preserve">c oxide on human immune systems </w:t>
      </w:r>
      <w:r w:rsidRPr="00C11294">
        <w:t>and functions. On the contrary, inhaled NO has been demo</w:t>
      </w:r>
      <w:r w:rsidR="003F7D1D">
        <w:t xml:space="preserve">nstrated to, in addition to its </w:t>
      </w:r>
      <w:r w:rsidRPr="00C11294">
        <w:t>established therapeutic effects, reduce malaria parasitic accumu</w:t>
      </w:r>
      <w:r w:rsidR="003F7D1D">
        <w:t xml:space="preserve">lation and not to contribute to </w:t>
      </w:r>
      <w:r w:rsidRPr="00C11294">
        <w:t>disease pathogeneses</w:t>
      </w:r>
      <w:r w:rsidR="0011771F">
        <w:t>.</w:t>
      </w:r>
      <w:r w:rsidR="0011771F">
        <w:rPr>
          <w:rStyle w:val="FootnoteReference"/>
        </w:rPr>
        <w:footnoteReference w:id="38"/>
      </w:r>
      <w:r w:rsidRPr="00C11294">
        <w:t xml:space="preserve"> Therefore, a</w:t>
      </w:r>
      <w:r w:rsidR="003F7D1D">
        <w:t xml:space="preserve">ny risk of inhaled nitric oxide </w:t>
      </w:r>
      <w:r w:rsidRPr="00C11294">
        <w:t>exerting deleterious effect on human immune systems and fu</w:t>
      </w:r>
      <w:r w:rsidR="003F7D1D">
        <w:t xml:space="preserve">nctions, even in theory, is not </w:t>
      </w:r>
      <w:r w:rsidRPr="00C11294">
        <w:t xml:space="preserve">founded. Mentioning </w:t>
      </w:r>
      <w:r w:rsidR="0011771F">
        <w:t>“</w:t>
      </w:r>
      <w:r w:rsidRPr="00C11294">
        <w:t>a theoretical [safety] risk</w:t>
      </w:r>
      <w:r w:rsidR="0011771F">
        <w:t xml:space="preserve">” </w:t>
      </w:r>
      <w:r w:rsidRPr="00C11294">
        <w:t>for inhaled nitric oxide therapy on immune</w:t>
      </w:r>
      <w:r w:rsidR="003F7D1D">
        <w:t xml:space="preserve"> </w:t>
      </w:r>
      <w:r w:rsidRPr="00C11294">
        <w:t xml:space="preserve">systems and functions in the </w:t>
      </w:r>
      <w:r w:rsidR="0011771F">
        <w:t>RMP</w:t>
      </w:r>
      <w:r w:rsidRPr="00C11294">
        <w:t xml:space="preserve"> is therefore not warranted at the current time.</w:t>
      </w:r>
    </w:p>
    <w:p w14:paraId="3A10FEA3" w14:textId="77777777" w:rsidR="00C11294" w:rsidRPr="00C11294" w:rsidRDefault="003F7D1D" w:rsidP="003F7D1D">
      <w:pPr>
        <w:pStyle w:val="Heading5"/>
        <w:rPr>
          <w:rFonts w:eastAsiaTheme="minorHAnsi"/>
        </w:rPr>
      </w:pPr>
      <w:r w:rsidRPr="00C11294">
        <w:t>Data deficiencies</w:t>
      </w:r>
    </w:p>
    <w:p w14:paraId="390581F7" w14:textId="77777777" w:rsidR="00C11294" w:rsidRPr="003F7D1D" w:rsidRDefault="00C11294" w:rsidP="00C11294">
      <w:pPr>
        <w:rPr>
          <w:i/>
        </w:rPr>
      </w:pPr>
      <w:r w:rsidRPr="00C11294">
        <w:t>The TGA De</w:t>
      </w:r>
      <w:r w:rsidR="003F7D1D">
        <w:t>legate makes the comment that “</w:t>
      </w:r>
      <w:r w:rsidRPr="003F7D1D">
        <w:rPr>
          <w:i/>
        </w:rPr>
        <w:t xml:space="preserve">This was </w:t>
      </w:r>
      <w:r w:rsidR="003F7D1D" w:rsidRPr="003F7D1D">
        <w:rPr>
          <w:i/>
        </w:rPr>
        <w:t xml:space="preserve">predominantly a literature based </w:t>
      </w:r>
      <w:r w:rsidRPr="003F7D1D">
        <w:rPr>
          <w:i/>
        </w:rPr>
        <w:t xml:space="preserve">submission. Data submitted were of variable </w:t>
      </w:r>
      <w:r w:rsidR="003F7D1D" w:rsidRPr="003F7D1D">
        <w:rPr>
          <w:i/>
        </w:rPr>
        <w:t xml:space="preserve">quality and although requested, </w:t>
      </w:r>
      <w:r w:rsidRPr="003F7D1D">
        <w:rPr>
          <w:i/>
        </w:rPr>
        <w:t>additional information was not available for all studies</w:t>
      </w:r>
      <w:r w:rsidR="003F7D1D" w:rsidRPr="003F7D1D">
        <w:rPr>
          <w:i/>
        </w:rPr>
        <w:t xml:space="preserve"> to address the questions posed </w:t>
      </w:r>
      <w:r w:rsidRPr="003F7D1D">
        <w:rPr>
          <w:i/>
        </w:rPr>
        <w:t>by the clinical evaluator. Limited data were submitted for</w:t>
      </w:r>
      <w:r w:rsidR="003F7D1D" w:rsidRPr="003F7D1D">
        <w:rPr>
          <w:i/>
        </w:rPr>
        <w:t xml:space="preserve"> the use in children aged 12 to </w:t>
      </w:r>
      <w:r w:rsidRPr="003F7D1D">
        <w:rPr>
          <w:i/>
        </w:rPr>
        <w:t xml:space="preserve">17 years. The individual studies were not of sufficient </w:t>
      </w:r>
      <w:r w:rsidR="003F7D1D" w:rsidRPr="003F7D1D">
        <w:rPr>
          <w:i/>
        </w:rPr>
        <w:t xml:space="preserve">size to detect uncommon or rare </w:t>
      </w:r>
      <w:r w:rsidRPr="003F7D1D">
        <w:rPr>
          <w:i/>
        </w:rPr>
        <w:t xml:space="preserve">adverse effects. No safety data with repeated or prolonged use were provided and </w:t>
      </w:r>
      <w:r w:rsidR="003F7D1D" w:rsidRPr="003F7D1D">
        <w:rPr>
          <w:i/>
        </w:rPr>
        <w:t xml:space="preserve">any </w:t>
      </w:r>
      <w:r w:rsidRPr="003F7D1D">
        <w:rPr>
          <w:i/>
        </w:rPr>
        <w:t>potential effect of such exposure on the growth</w:t>
      </w:r>
      <w:r w:rsidR="003F7D1D" w:rsidRPr="003F7D1D">
        <w:rPr>
          <w:i/>
        </w:rPr>
        <w:t xml:space="preserve"> and development of children is </w:t>
      </w:r>
      <w:r w:rsidRPr="003F7D1D">
        <w:rPr>
          <w:i/>
        </w:rPr>
        <w:t>unknown.”</w:t>
      </w:r>
    </w:p>
    <w:p w14:paraId="2357B6E6" w14:textId="77777777" w:rsidR="00C11294" w:rsidRPr="00C11294" w:rsidRDefault="00C11294" w:rsidP="00C11294">
      <w:r w:rsidRPr="00C11294">
        <w:t xml:space="preserve">The </w:t>
      </w:r>
      <w:r w:rsidR="000B5B6A">
        <w:t>sponsor</w:t>
      </w:r>
      <w:r w:rsidRPr="00C11294">
        <w:t xml:space="preserve"> believes that the</w:t>
      </w:r>
      <w:r w:rsidR="0011771F">
        <w:t xml:space="preserve"> TGA approval for a literature </w:t>
      </w:r>
      <w:r w:rsidRPr="00C11294">
        <w:t>base</w:t>
      </w:r>
      <w:r w:rsidR="003F7D1D">
        <w:t xml:space="preserve">d submission strategy was based </w:t>
      </w:r>
      <w:r w:rsidRPr="00C11294">
        <w:t xml:space="preserve">on the fact that the proposed application was for an </w:t>
      </w:r>
      <w:r w:rsidR="0011771F">
        <w:t>orphan drug</w:t>
      </w:r>
      <w:r w:rsidRPr="00C11294">
        <w:t xml:space="preserve"> indication, in</w:t>
      </w:r>
      <w:r w:rsidR="003F7D1D">
        <w:t xml:space="preserve"> a paediatric indication, for a </w:t>
      </w:r>
      <w:r w:rsidRPr="00C11294">
        <w:t>product that has been registered in Australia since 2007 for a n</w:t>
      </w:r>
      <w:r w:rsidR="003F7D1D">
        <w:t xml:space="preserve">eonatal indication. The company </w:t>
      </w:r>
      <w:r w:rsidRPr="00C11294">
        <w:t xml:space="preserve">did provide supportive safety data from two large RCTs </w:t>
      </w:r>
      <w:r w:rsidR="003F7D1D">
        <w:t xml:space="preserve">conducted in another paediatric </w:t>
      </w:r>
      <w:r w:rsidRPr="00C11294">
        <w:t>indication and the adult cardiac surgery indication respec</w:t>
      </w:r>
      <w:r w:rsidR="003F7D1D">
        <w:t xml:space="preserve">tively. Data from the published </w:t>
      </w:r>
      <w:r w:rsidRPr="00C11294">
        <w:t xml:space="preserve">literature will always represent a lower level of medical evidence </w:t>
      </w:r>
      <w:r w:rsidR="003F7D1D">
        <w:t xml:space="preserve">than the randomized, controlled </w:t>
      </w:r>
      <w:r w:rsidRPr="00C11294">
        <w:t>clinical study programs conducted by sponsors for non-</w:t>
      </w:r>
      <w:r w:rsidR="0011771F">
        <w:t>orphan drug</w:t>
      </w:r>
      <w:r w:rsidR="003F7D1D">
        <w:t xml:space="preserve"> indications in large patient </w:t>
      </w:r>
      <w:r w:rsidRPr="00C11294">
        <w:t xml:space="preserve">populations. The </w:t>
      </w:r>
      <w:r w:rsidR="003F7D1D">
        <w:t xml:space="preserve">(sponsor’s) </w:t>
      </w:r>
      <w:r w:rsidR="0011771F" w:rsidRPr="00C11294">
        <w:t>clinical exp</w:t>
      </w:r>
      <w:r w:rsidRPr="00C11294">
        <w:t>ert stated that:</w:t>
      </w:r>
    </w:p>
    <w:p w14:paraId="77106B0B" w14:textId="77777777" w:rsidR="00C11294" w:rsidRPr="003F7D1D" w:rsidRDefault="00C11294" w:rsidP="003F7D1D">
      <w:pPr>
        <w:ind w:left="720"/>
        <w:rPr>
          <w:i/>
        </w:rPr>
      </w:pPr>
      <w:r w:rsidRPr="00C11294">
        <w:t>“</w:t>
      </w:r>
      <w:r w:rsidRPr="003F7D1D">
        <w:rPr>
          <w:i/>
        </w:rPr>
        <w:t>The clinical documentation consists of two company sponsored c</w:t>
      </w:r>
      <w:r w:rsidR="003F7D1D" w:rsidRPr="003F7D1D">
        <w:rPr>
          <w:i/>
        </w:rPr>
        <w:t xml:space="preserve">linical trials conducted by INO </w:t>
      </w:r>
      <w:r w:rsidRPr="003F7D1D">
        <w:rPr>
          <w:i/>
        </w:rPr>
        <w:t>Therapeutics LLC, USA, and a number of published RCT. Sinc</w:t>
      </w:r>
      <w:r w:rsidR="003F7D1D" w:rsidRPr="003F7D1D">
        <w:rPr>
          <w:i/>
        </w:rPr>
        <w:t xml:space="preserve">e the majority or RCT submitted </w:t>
      </w:r>
      <w:r w:rsidRPr="003F7D1D">
        <w:rPr>
          <w:i/>
        </w:rPr>
        <w:t>have been conducted as independent clinical trials in academic settings, the studies are</w:t>
      </w:r>
      <w:r w:rsidR="003F7D1D" w:rsidRPr="003F7D1D">
        <w:rPr>
          <w:i/>
        </w:rPr>
        <w:t xml:space="preserve"> </w:t>
      </w:r>
      <w:r w:rsidRPr="003F7D1D">
        <w:rPr>
          <w:i/>
        </w:rPr>
        <w:t xml:space="preserve">heterogeneous with regard to the studied populations, endpoints, </w:t>
      </w:r>
      <w:r w:rsidR="003F7D1D" w:rsidRPr="003F7D1D">
        <w:rPr>
          <w:i/>
        </w:rPr>
        <w:t xml:space="preserve">control treatments, and when in </w:t>
      </w:r>
      <w:r w:rsidRPr="003F7D1D">
        <w:rPr>
          <w:i/>
        </w:rPr>
        <w:t>the peri-operative course treatment has been implem</w:t>
      </w:r>
      <w:r w:rsidR="003F7D1D" w:rsidRPr="003F7D1D">
        <w:rPr>
          <w:i/>
        </w:rPr>
        <w:t xml:space="preserve">ented. Also the duration of iNO </w:t>
      </w:r>
      <w:r w:rsidRPr="003F7D1D">
        <w:rPr>
          <w:i/>
        </w:rPr>
        <w:t>administration varies considerably from short term exposures t</w:t>
      </w:r>
      <w:r w:rsidR="003F7D1D" w:rsidRPr="003F7D1D">
        <w:rPr>
          <w:i/>
        </w:rPr>
        <w:t xml:space="preserve">o treatment lasting for several </w:t>
      </w:r>
      <w:r w:rsidRPr="003F7D1D">
        <w:rPr>
          <w:i/>
        </w:rPr>
        <w:t>days.</w:t>
      </w:r>
    </w:p>
    <w:p w14:paraId="4BE78EDD" w14:textId="77777777" w:rsidR="00C11294" w:rsidRPr="003F7D1D" w:rsidRDefault="00C11294" w:rsidP="003F7D1D">
      <w:pPr>
        <w:ind w:left="720"/>
        <w:rPr>
          <w:i/>
        </w:rPr>
      </w:pPr>
      <w:r w:rsidRPr="003F7D1D">
        <w:rPr>
          <w:i/>
        </w:rPr>
        <w:t>Pulmonary hypertension is a severe condition and in many studies the control group has received</w:t>
      </w:r>
      <w:r w:rsidR="003F7D1D" w:rsidRPr="003F7D1D">
        <w:rPr>
          <w:i/>
        </w:rPr>
        <w:t xml:space="preserve"> </w:t>
      </w:r>
      <w:r w:rsidRPr="003F7D1D">
        <w:rPr>
          <w:i/>
        </w:rPr>
        <w:t>an active treatment. This active control treatment has frequently been anothe</w:t>
      </w:r>
      <w:r w:rsidR="003F7D1D" w:rsidRPr="003F7D1D">
        <w:rPr>
          <w:i/>
        </w:rPr>
        <w:t xml:space="preserve">r off-label drug for </w:t>
      </w:r>
      <w:r w:rsidRPr="003F7D1D">
        <w:rPr>
          <w:i/>
        </w:rPr>
        <w:t>treatment of pulmonary hypertension. A formal regulatory assessment of iNO in treatment of</w:t>
      </w:r>
      <w:r w:rsidR="003F7D1D" w:rsidRPr="003F7D1D">
        <w:rPr>
          <w:i/>
        </w:rPr>
        <w:t xml:space="preserve"> </w:t>
      </w:r>
      <w:r w:rsidRPr="003F7D1D">
        <w:rPr>
          <w:i/>
        </w:rPr>
        <w:t xml:space="preserve">pulmonary hypertension is therefore difficult to conduct. </w:t>
      </w:r>
      <w:r w:rsidR="003F7D1D" w:rsidRPr="003F7D1D">
        <w:rPr>
          <w:i/>
        </w:rPr>
        <w:t xml:space="preserve">On the other hand, the range of </w:t>
      </w:r>
      <w:r w:rsidRPr="003F7D1D">
        <w:rPr>
          <w:i/>
        </w:rPr>
        <w:t>corroborative studies provides a good basis for external validity.”</w:t>
      </w:r>
    </w:p>
    <w:p w14:paraId="0D609685" w14:textId="77777777" w:rsidR="00C11294" w:rsidRPr="00C11294" w:rsidRDefault="00C11294" w:rsidP="00C11294">
      <w:r w:rsidRPr="00C11294">
        <w:t xml:space="preserve">The TGA Delegate has expressed a similar opinion in the </w:t>
      </w:r>
      <w:r w:rsidR="0011771F">
        <w:t>o</w:t>
      </w:r>
      <w:r w:rsidRPr="00C11294">
        <w:t>verview to ACPM as follows:</w:t>
      </w:r>
    </w:p>
    <w:p w14:paraId="4D7B24D0" w14:textId="77777777" w:rsidR="00C11294" w:rsidRPr="00C11294" w:rsidRDefault="00C11294" w:rsidP="003F7D1D">
      <w:pPr>
        <w:pStyle w:val="ListBullet"/>
      </w:pPr>
      <w:r w:rsidRPr="00C11294">
        <w:lastRenderedPageBreak/>
        <w:t>Considered as a whole, the efficacy evidence is considered</w:t>
      </w:r>
      <w:r>
        <w:t xml:space="preserve"> just sufficient to support the </w:t>
      </w:r>
      <w:r w:rsidRPr="00C11294">
        <w:t>extension of indication for use in children undergoing cardiac sur</w:t>
      </w:r>
      <w:r>
        <w:t xml:space="preserve">gery to manage </w:t>
      </w:r>
      <w:r w:rsidR="0011771F">
        <w:t>pulmonary hypertension</w:t>
      </w:r>
      <w:r w:rsidRPr="00C11294">
        <w:t>.</w:t>
      </w:r>
    </w:p>
    <w:p w14:paraId="084017C2" w14:textId="77777777" w:rsidR="00C11294" w:rsidRPr="00F15B78" w:rsidRDefault="00C11294" w:rsidP="00F15B78">
      <w:pPr>
        <w:pStyle w:val="ListBullet"/>
      </w:pPr>
      <w:r w:rsidRPr="00C11294">
        <w:t>Although the safety data are limited, reported adverse e</w:t>
      </w:r>
      <w:r>
        <w:t xml:space="preserve">ffects were consistent with the </w:t>
      </w:r>
      <w:r w:rsidRPr="00C11294">
        <w:t>known risk profile for iNO for children for the approv</w:t>
      </w:r>
      <w:r>
        <w:t xml:space="preserve">ed population. Given the likely </w:t>
      </w:r>
      <w:r w:rsidRPr="00C11294">
        <w:t>mechanisms of toxicity, it is reasonable to extrapolate th</w:t>
      </w:r>
      <w:r>
        <w:t xml:space="preserve">e safety data to this (proposed </w:t>
      </w:r>
      <w:r w:rsidRPr="00C11294">
        <w:t>adolesce</w:t>
      </w:r>
      <w:r w:rsidR="0011771F">
        <w:t>nt) population.</w:t>
      </w:r>
    </w:p>
    <w:p w14:paraId="1DDC18F0" w14:textId="453160A1" w:rsidR="008E7846" w:rsidRDefault="008E7846" w:rsidP="00E51A8A">
      <w:pPr>
        <w:pStyle w:val="Heading4"/>
      </w:pPr>
      <w:r>
        <w:t xml:space="preserve">Advisory </w:t>
      </w:r>
      <w:r w:rsidR="00730006">
        <w:t>committee considerations</w:t>
      </w:r>
    </w:p>
    <w:p w14:paraId="1FB57027" w14:textId="77777777" w:rsidR="008E7846" w:rsidRPr="00B52CEE" w:rsidRDefault="00D23139" w:rsidP="00B52CEE">
      <w:r w:rsidRPr="00B52CEE">
        <w:t>The Advisory Committee on Prescription Medicines (ACPM), having considered the evaluations and the Delegate’s overview, as well as the sponsor’s response to these documents, advised the following:</w:t>
      </w:r>
    </w:p>
    <w:p w14:paraId="0E9C4E28" w14:textId="77777777" w:rsidR="00B52CEE" w:rsidRPr="00B52CEE" w:rsidRDefault="00B52CEE" w:rsidP="00B52CEE">
      <w:r w:rsidRPr="00B52CEE">
        <w:t>The ACPM, taking into account the submitted evidence of efficacy and safety, agr</w:t>
      </w:r>
      <w:r>
        <w:t>eed with the D</w:t>
      </w:r>
      <w:r w:rsidRPr="00B52CEE">
        <w:t>elegate and considered INOmax Gas in Cylinders containing NO 800 ppm of nitric oxide to have an overall positive benefit–risk profile for the proposed indication and dosage</w:t>
      </w:r>
      <w:r>
        <w:t>;</w:t>
      </w:r>
    </w:p>
    <w:p w14:paraId="1D6EFAAC" w14:textId="77777777" w:rsidR="00B52CEE" w:rsidRPr="00B52CEE" w:rsidRDefault="00B52CEE" w:rsidP="00B52CEE">
      <w:pPr>
        <w:ind w:left="720"/>
        <w:rPr>
          <w:i/>
        </w:rPr>
      </w:pPr>
      <w:r w:rsidRPr="00B52CEE">
        <w:rPr>
          <w:i/>
        </w:rPr>
        <w:t>INOmax, in conjunction with ventilatory support and other appropriate agents, is indicated as part of the treatment of peri- and post-operative pulmonary hypertension in newborn infants, infants and toddlers, c</w:t>
      </w:r>
      <w:r w:rsidR="0011771F">
        <w:rPr>
          <w:i/>
        </w:rPr>
        <w:t xml:space="preserve">hildren and adolescents, ages 0 to </w:t>
      </w:r>
      <w:r w:rsidRPr="00B52CEE">
        <w:rPr>
          <w:i/>
        </w:rPr>
        <w:t>17 years in conjunction with heart surgery, in order to selectively decrease pulmonary arterial pressure and improve right ventricular function and oxygenation.</w:t>
      </w:r>
    </w:p>
    <w:p w14:paraId="45935D6B" w14:textId="77777777" w:rsidR="00B52CEE" w:rsidRPr="00B52CEE" w:rsidRDefault="00B52CEE" w:rsidP="00B52CEE">
      <w:pPr>
        <w:ind w:left="720"/>
        <w:rPr>
          <w:i/>
        </w:rPr>
      </w:pPr>
      <w:r w:rsidRPr="00B52CEE">
        <w:rPr>
          <w:i/>
        </w:rPr>
        <w:t xml:space="preserve">The starting dose of inhaled nitric oxide is 10 ppm of inhaled gas. The dose may be increased up to 20 ppm if the lower dose has not provided sufficient </w:t>
      </w:r>
      <w:r w:rsidR="0011771F" w:rsidRPr="00B52CEE">
        <w:rPr>
          <w:i/>
        </w:rPr>
        <w:t>clinical</w:t>
      </w:r>
      <w:r w:rsidRPr="00B52CEE">
        <w:rPr>
          <w:i/>
        </w:rPr>
        <w:t xml:space="preserve"> effects. The lowest effective dose should be administered and the dose should be weaned down to 5 ppm provided that the pulmonary artery pressure and systemic arterial oxygenation rema</w:t>
      </w:r>
      <w:r>
        <w:rPr>
          <w:i/>
        </w:rPr>
        <w:t>in adequate at this lower dose.</w:t>
      </w:r>
    </w:p>
    <w:p w14:paraId="4173AFE8" w14:textId="77777777" w:rsidR="00B52CEE" w:rsidRPr="00B52CEE" w:rsidRDefault="00B52CEE" w:rsidP="00B52CEE">
      <w:pPr>
        <w:pStyle w:val="Heading5"/>
        <w:rPr>
          <w:rFonts w:eastAsia="MS Mincho"/>
        </w:rPr>
      </w:pPr>
      <w:r w:rsidRPr="00B52CEE">
        <w:rPr>
          <w:rFonts w:eastAsia="MS Mincho"/>
        </w:rPr>
        <w:t>Proposed conditions of registration</w:t>
      </w:r>
    </w:p>
    <w:p w14:paraId="0E302F8D" w14:textId="77777777" w:rsidR="00B52CEE" w:rsidRPr="00B52CEE" w:rsidRDefault="00B52CEE" w:rsidP="00B52CEE">
      <w:r>
        <w:t>The ACPM agreed with the D</w:t>
      </w:r>
      <w:r w:rsidRPr="00B52CEE">
        <w:t>elegate on the propo</w:t>
      </w:r>
      <w:r>
        <w:t>sed conditions of registration.</w:t>
      </w:r>
    </w:p>
    <w:p w14:paraId="699CE6A6" w14:textId="77777777" w:rsidR="00B52CEE" w:rsidRPr="00B52CEE" w:rsidRDefault="00B52CEE" w:rsidP="00B52CEE">
      <w:pPr>
        <w:pStyle w:val="Heading5"/>
        <w:rPr>
          <w:rFonts w:eastAsia="MS Mincho"/>
        </w:rPr>
      </w:pPr>
      <w:r w:rsidRPr="00B52CEE">
        <w:rPr>
          <w:rFonts w:eastAsia="MS Mincho"/>
        </w:rPr>
        <w:t>Proposed Product Information (PI)/Consumer Medicine Information (CMI) amendments</w:t>
      </w:r>
    </w:p>
    <w:p w14:paraId="43495183" w14:textId="77777777" w:rsidR="00B52CEE" w:rsidRPr="00B52CEE" w:rsidRDefault="00B52CEE" w:rsidP="00B52CEE">
      <w:r>
        <w:t>The ACPM agreed with the D</w:t>
      </w:r>
      <w:r w:rsidRPr="00B52CEE">
        <w:t>elegate to the proposed amendments to the Product Information (PI) and Consumer Medicine Information (CMI).</w:t>
      </w:r>
    </w:p>
    <w:p w14:paraId="6EC8D4F2" w14:textId="77777777" w:rsidR="00B52CEE" w:rsidRPr="00B52CEE" w:rsidRDefault="00B52CEE" w:rsidP="00B52CEE">
      <w:pPr>
        <w:pStyle w:val="Heading5"/>
        <w:rPr>
          <w:rFonts w:eastAsia="MS Mincho"/>
          <w:highlight w:val="yellow"/>
        </w:rPr>
      </w:pPr>
      <w:r w:rsidRPr="00B52CEE">
        <w:rPr>
          <w:rFonts w:eastAsia="MS Mincho"/>
        </w:rPr>
        <w:t>Specific Advice</w:t>
      </w:r>
    </w:p>
    <w:p w14:paraId="299E3742" w14:textId="77777777" w:rsidR="00B52CEE" w:rsidRPr="00B52CEE" w:rsidRDefault="00B52CEE" w:rsidP="00B52CEE">
      <w:pPr>
        <w:rPr>
          <w:highlight w:val="yellow"/>
        </w:rPr>
      </w:pPr>
      <w:r w:rsidRPr="00B52CEE">
        <w:t>The ACPM advised the following in response to the delegate’s specific questions on this submission:</w:t>
      </w:r>
    </w:p>
    <w:p w14:paraId="35BAB5D2" w14:textId="77777777" w:rsidR="00B52CEE" w:rsidRPr="00B52CEE" w:rsidRDefault="00B52CEE" w:rsidP="00633576">
      <w:pPr>
        <w:pStyle w:val="Numberbullet0"/>
        <w:numPr>
          <w:ilvl w:val="0"/>
          <w:numId w:val="10"/>
        </w:numPr>
        <w:rPr>
          <w:i/>
        </w:rPr>
      </w:pPr>
      <w:r w:rsidRPr="00B52CEE">
        <w:rPr>
          <w:i/>
        </w:rPr>
        <w:t>Does the committee consider that the sponsor has satisfactorily demonstrated the efficacy and safety of inhaled nitric oxide to support the proposed indication? If so, is there sufficient evidence to include the efficacy claims in the wording of the indication?</w:t>
      </w:r>
    </w:p>
    <w:p w14:paraId="56DE00C5" w14:textId="77777777" w:rsidR="00B52CEE" w:rsidRPr="00B52CEE" w:rsidRDefault="00B52CEE" w:rsidP="00B52CEE">
      <w:r w:rsidRPr="00B52CEE">
        <w:t>The ACPM considered that the efficacy and safety data were adequate to support the requested indication and dosage.</w:t>
      </w:r>
    </w:p>
    <w:p w14:paraId="1DD06A59" w14:textId="77777777" w:rsidR="00B52CEE" w:rsidRPr="00B52CEE" w:rsidRDefault="00B52CEE" w:rsidP="00B52CEE">
      <w:pPr>
        <w:pStyle w:val="Numberbullet0"/>
        <w:rPr>
          <w:i/>
        </w:rPr>
      </w:pPr>
      <w:r w:rsidRPr="00B52CEE">
        <w:rPr>
          <w:i/>
        </w:rPr>
        <w:t>Are the recommendations for monitoring for methaemoglobin and nitrogen dioxide consistent with current clinical practice? If not, what amendments should be ma</w:t>
      </w:r>
      <w:r>
        <w:rPr>
          <w:i/>
        </w:rPr>
        <w:t>de to these recommendations?</w:t>
      </w:r>
    </w:p>
    <w:p w14:paraId="5F8C9792" w14:textId="77777777" w:rsidR="00B52CEE" w:rsidRPr="00B52CEE" w:rsidRDefault="00B52CEE" w:rsidP="00B52CEE">
      <w:r w:rsidRPr="00B52CEE">
        <w:t xml:space="preserve">The ACPM was of the view that the recommendations for monitoring methaemoglobin and nitrogen dioxide were appropriate and consistent with current clinical practice, noting that inhaled nitric oxide had a history </w:t>
      </w:r>
      <w:r>
        <w:t>of two decades of clinical use.</w:t>
      </w:r>
    </w:p>
    <w:p w14:paraId="2F9FA191" w14:textId="77777777" w:rsidR="00B52CEE" w:rsidRPr="00A322B3" w:rsidRDefault="00B52CEE" w:rsidP="008E7846">
      <w:r w:rsidRPr="00B52CEE">
        <w:lastRenderedPageBreak/>
        <w:t>The ACPM advised that implementation by the sponsor of the recommendations outlined above to the satisfaction of the TGA, in addition to the evidence of efficacy and safety provided would support the safe and</w:t>
      </w:r>
      <w:r>
        <w:t xml:space="preserve"> effective use of this product.</w:t>
      </w:r>
    </w:p>
    <w:p w14:paraId="1A06163D" w14:textId="77777777" w:rsidR="008E7846" w:rsidRPr="002E238E" w:rsidRDefault="008E7846" w:rsidP="008E7846">
      <w:pPr>
        <w:pStyle w:val="Heading3"/>
      </w:pPr>
      <w:bookmarkStart w:id="147" w:name="_Toc247691532"/>
      <w:bookmarkStart w:id="148" w:name="_Toc314842516"/>
      <w:bookmarkStart w:id="149" w:name="_Toc483899432"/>
      <w:bookmarkEnd w:id="107"/>
      <w:bookmarkEnd w:id="144"/>
      <w:bookmarkEnd w:id="145"/>
      <w:r>
        <w:t>Outcome</w:t>
      </w:r>
      <w:bookmarkEnd w:id="147"/>
      <w:bookmarkEnd w:id="148"/>
      <w:bookmarkEnd w:id="149"/>
    </w:p>
    <w:p w14:paraId="768FDE79" w14:textId="77777777" w:rsidR="00D23139" w:rsidRPr="00D23139" w:rsidRDefault="00D23139" w:rsidP="00D23139">
      <w:bookmarkStart w:id="150" w:name="_Toc247691533"/>
      <w:bookmarkStart w:id="151" w:name="_Toc314842517"/>
      <w:r w:rsidRPr="00D23139">
        <w:t xml:space="preserve">Based on a review of quality, safety and efficacy, TGA approved the registration of </w:t>
      </w:r>
      <w:r w:rsidR="00573BE2">
        <w:t>INOmax nitric oxide 800 ppm medicinal gas for inhalation cylinder</w:t>
      </w:r>
      <w:r w:rsidRPr="00D23139">
        <w:t xml:space="preserve"> indicated for:</w:t>
      </w:r>
    </w:p>
    <w:p w14:paraId="0856D0A1" w14:textId="77777777" w:rsidR="00D016F2" w:rsidRPr="00CD2044" w:rsidRDefault="00D016F2" w:rsidP="00D016F2">
      <w:pPr>
        <w:rPr>
          <w:i/>
        </w:rPr>
      </w:pPr>
      <w:r>
        <w:rPr>
          <w:i/>
        </w:rPr>
        <w:t>INOma</w:t>
      </w:r>
      <w:r w:rsidRPr="00CD2044">
        <w:rPr>
          <w:i/>
        </w:rPr>
        <w:t>x, in conjunction with ventilatory support and other appropriate agents, is indicated</w:t>
      </w:r>
    </w:p>
    <w:p w14:paraId="058E6FF5" w14:textId="77777777" w:rsidR="00D016F2" w:rsidRPr="00D016F2" w:rsidRDefault="00D016F2" w:rsidP="00633576">
      <w:pPr>
        <w:pStyle w:val="ListParagraph"/>
        <w:numPr>
          <w:ilvl w:val="0"/>
          <w:numId w:val="5"/>
        </w:numPr>
      </w:pPr>
      <w:proofErr w:type="gramStart"/>
      <w:r w:rsidRPr="00D016F2">
        <w:rPr>
          <w:i/>
        </w:rPr>
        <w:t>as</w:t>
      </w:r>
      <w:proofErr w:type="gramEnd"/>
      <w:r w:rsidRPr="00D016F2">
        <w:rPr>
          <w:i/>
        </w:rPr>
        <w:t xml:space="preserve"> part of the treatment of peri- and post-operative pulmonary hypertension in newborn infants, infants and toddlers, children and adolescents, ages 0-17 years in conjunction with heart surgery, in order to selectively decrease pulmonary arterial pressure and improve right ventricular function and oxygenation.</w:t>
      </w:r>
    </w:p>
    <w:p w14:paraId="4469B7B6" w14:textId="77777777" w:rsidR="00D23139" w:rsidRPr="00D23139" w:rsidRDefault="00D23139" w:rsidP="00D23139">
      <w:pPr>
        <w:pStyle w:val="Heading4"/>
      </w:pPr>
      <w:r w:rsidRPr="00D23139">
        <w:t>Specific conditions of registration applying to these goods</w:t>
      </w:r>
    </w:p>
    <w:p w14:paraId="26B99351" w14:textId="77777777" w:rsidR="00D23139" w:rsidRPr="00D016F2" w:rsidRDefault="00D016F2" w:rsidP="00D016F2">
      <w:r w:rsidRPr="00D016F2">
        <w:t>The INOmax EU-Risk Management Plan (EU-RMP), version 2.0, dated 31 March 2014</w:t>
      </w:r>
      <w:r>
        <w:t xml:space="preserve"> </w:t>
      </w:r>
      <w:r w:rsidRPr="00D016F2">
        <w:t>(data lock point 31 March 2014) with Australian Sp</w:t>
      </w:r>
      <w:r>
        <w:t xml:space="preserve">ecific Annex version 2, dated 6 </w:t>
      </w:r>
      <w:r w:rsidRPr="00D016F2">
        <w:t>March 2015, included with submission PM-201</w:t>
      </w:r>
      <w:r>
        <w:t xml:space="preserve">4-01399-1-3, and any subsequent </w:t>
      </w:r>
      <w:r w:rsidRPr="00D016F2">
        <w:t>revisions, as agreed with the TGA will be implemented in Australia.</w:t>
      </w:r>
    </w:p>
    <w:p w14:paraId="385547DE" w14:textId="77777777" w:rsidR="008E7846" w:rsidRDefault="00A80B5B" w:rsidP="00D23139">
      <w:pPr>
        <w:pStyle w:val="Heading2"/>
      </w:pPr>
      <w:bookmarkStart w:id="152" w:name="_Toc483899433"/>
      <w:proofErr w:type="gramStart"/>
      <w:r>
        <w:t>Attachment 1.</w:t>
      </w:r>
      <w:proofErr w:type="gramEnd"/>
      <w:r>
        <w:t xml:space="preserve"> </w:t>
      </w:r>
      <w:r w:rsidR="008E7846">
        <w:t xml:space="preserve">Product </w:t>
      </w:r>
      <w:r w:rsidR="00AA0ED0">
        <w:t>I</w:t>
      </w:r>
      <w:r w:rsidR="008E7846">
        <w:t>nformation</w:t>
      </w:r>
      <w:bookmarkEnd w:id="150"/>
      <w:bookmarkEnd w:id="151"/>
      <w:bookmarkEnd w:id="152"/>
    </w:p>
    <w:p w14:paraId="3AB2E764" w14:textId="77777777" w:rsidR="00C80137" w:rsidRDefault="006136D7" w:rsidP="00C80137">
      <w:pPr>
        <w:rPr>
          <w:color w:val="000000"/>
          <w:lang w:eastAsia="en-AU"/>
        </w:rPr>
      </w:pPr>
      <w:r w:rsidRPr="002B3624">
        <w:t xml:space="preserve">The </w:t>
      </w:r>
      <w:r>
        <w:t>PI</w:t>
      </w:r>
      <w:r w:rsidRPr="002B3624">
        <w:t xml:space="preserve"> for </w:t>
      </w:r>
      <w:r w:rsidR="00D016F2">
        <w:t>INOmax</w:t>
      </w:r>
      <w:r w:rsidRPr="002B3624">
        <w:t xml:space="preserve"> </w:t>
      </w:r>
      <w:r>
        <w:t xml:space="preserve">approved with the submission which is described in </w:t>
      </w:r>
      <w:r w:rsidRPr="002B3624">
        <w:t xml:space="preserve">this AusPAR is at Attachment 1. For the most recent </w:t>
      </w:r>
      <w:r>
        <w:t>PI,</w:t>
      </w:r>
      <w:r w:rsidRPr="002B3624">
        <w:t xml:space="preserve"> please refer to the </w:t>
      </w:r>
      <w:r w:rsidRPr="007C6B9B">
        <w:t xml:space="preserve">TGA website at </w:t>
      </w:r>
      <w:r w:rsidR="007C6B9B" w:rsidRPr="007C6B9B">
        <w:t>&lt;</w:t>
      </w:r>
      <w:hyperlink r:id="rId18" w:history="1">
        <w:r w:rsidR="007C6B9B" w:rsidRPr="007C6B9B">
          <w:rPr>
            <w:rStyle w:val="Hyperlink"/>
          </w:rPr>
          <w:t>https://www.tga.gov.au/product-information-pi</w:t>
        </w:r>
      </w:hyperlink>
      <w:r w:rsidR="00420471">
        <w:t>&gt;.</w:t>
      </w:r>
    </w:p>
    <w:p w14:paraId="7C63B5B3" w14:textId="77777777" w:rsidR="00770CAC" w:rsidRDefault="00C80137" w:rsidP="00420471">
      <w:pPr>
        <w:pStyle w:val="Heading2"/>
        <w:rPr>
          <w:lang w:eastAsia="en-AU"/>
        </w:rPr>
      </w:pPr>
      <w:bookmarkStart w:id="153" w:name="_Toc483899434"/>
      <w:proofErr w:type="gramStart"/>
      <w:r>
        <w:rPr>
          <w:lang w:eastAsia="en-AU"/>
        </w:rPr>
        <w:t>Attachment 2.</w:t>
      </w:r>
      <w:proofErr w:type="gramEnd"/>
      <w:r w:rsidR="00A80B5B">
        <w:rPr>
          <w:lang w:eastAsia="en-AU"/>
        </w:rPr>
        <w:t xml:space="preserve"> </w:t>
      </w:r>
      <w:r>
        <w:rPr>
          <w:lang w:eastAsia="en-AU"/>
        </w:rPr>
        <w:t>Extract from the Clinical Evaluation Report</w:t>
      </w:r>
      <w:bookmarkEnd w:id="153"/>
    </w:p>
    <w:p w14:paraId="183E9415" w14:textId="77777777" w:rsidR="00291957" w:rsidRDefault="00291957" w:rsidP="00291957">
      <w:pPr>
        <w:rPr>
          <w:lang w:eastAsia="ja-JP"/>
        </w:rPr>
      </w:pPr>
    </w:p>
    <w:p w14:paraId="33C3AD71" w14:textId="77777777" w:rsidR="00C80137" w:rsidRPr="001D043B" w:rsidRDefault="00C80137" w:rsidP="003A7F6C">
      <w:pPr>
        <w:pStyle w:val="TableTitle"/>
        <w:sectPr w:rsidR="00C80137" w:rsidRPr="001D043B" w:rsidSect="00B452CE">
          <w:headerReference w:type="even" r:id="rId19"/>
          <w:headerReference w:type="default" r:id="rId20"/>
          <w:headerReference w:type="first" r:id="rId21"/>
          <w:footerReference w:type="first" r:id="rId22"/>
          <w:pgSz w:w="11906" w:h="16838" w:code="9"/>
          <w:pgMar w:top="834" w:right="1701" w:bottom="1191" w:left="1701" w:header="907" w:footer="216" w:gutter="0"/>
          <w:cols w:space="708"/>
          <w:docGrid w:linePitch="360"/>
        </w:sectPr>
      </w:pP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1C32CD" w:rsidRPr="00487162" w14:paraId="0B83023E" w14:textId="77777777" w:rsidTr="00A05FA4">
        <w:trPr>
          <w:trHeight w:hRule="exact" w:val="704"/>
        </w:trPr>
        <w:tc>
          <w:tcPr>
            <w:tcW w:w="9175" w:type="dxa"/>
          </w:tcPr>
          <w:p w14:paraId="74E18A49" w14:textId="77777777" w:rsidR="001C32CD" w:rsidRPr="00487162" w:rsidRDefault="001C32CD" w:rsidP="00A05FA4">
            <w:pPr>
              <w:pStyle w:val="TGASignoff"/>
            </w:pPr>
            <w:r w:rsidRPr="00487162">
              <w:lastRenderedPageBreak/>
              <w:t>Therapeutic Goods Administration</w:t>
            </w:r>
          </w:p>
        </w:tc>
      </w:tr>
      <w:tr w:rsidR="001C32CD" w:rsidRPr="004C239D" w14:paraId="1F9241D5" w14:textId="77777777" w:rsidTr="00A05FA4">
        <w:trPr>
          <w:trHeight w:val="1221"/>
        </w:trPr>
        <w:tc>
          <w:tcPr>
            <w:tcW w:w="9175" w:type="dxa"/>
            <w:tcMar>
              <w:top w:w="28" w:type="dxa"/>
            </w:tcMar>
          </w:tcPr>
          <w:p w14:paraId="3BF9B168" w14:textId="77777777" w:rsidR="001C32CD" w:rsidRPr="00487162" w:rsidRDefault="001C32CD" w:rsidP="00A05FA4">
            <w:pPr>
              <w:pStyle w:val="Address"/>
            </w:pPr>
            <w:r w:rsidRPr="00487162">
              <w:t>PO Box 100 Woden ACT 2606 Australia</w:t>
            </w:r>
          </w:p>
          <w:p w14:paraId="7517B50D" w14:textId="77777777" w:rsidR="001C32CD" w:rsidRPr="00487162" w:rsidRDefault="001C32CD" w:rsidP="00A05FA4">
            <w:pPr>
              <w:pStyle w:val="Address"/>
            </w:pPr>
            <w:r w:rsidRPr="00487162">
              <w:t xml:space="preserve">Email: </w:t>
            </w:r>
            <w:hyperlink r:id="rId23" w:history="1">
              <w:r w:rsidRPr="004C239D">
                <w:rPr>
                  <w:rStyle w:val="Hyperlink"/>
                </w:rPr>
                <w:t>info@tga.gov.au</w:t>
              </w:r>
            </w:hyperlink>
            <w:r w:rsidR="009A0B07">
              <w:t xml:space="preserve"> </w:t>
            </w:r>
            <w:r w:rsidRPr="00487162">
              <w:t>Phone: 1800 020 653</w:t>
            </w:r>
            <w:r w:rsidR="009A0B07">
              <w:t xml:space="preserve"> </w:t>
            </w:r>
            <w:r w:rsidRPr="00487162">
              <w:t>Fax: 02 6232 8605</w:t>
            </w:r>
          </w:p>
          <w:p w14:paraId="29899E7F" w14:textId="77777777" w:rsidR="001C32CD" w:rsidRPr="004C239D" w:rsidRDefault="00820A98" w:rsidP="00A05FA4">
            <w:pPr>
              <w:pStyle w:val="Address"/>
              <w:spacing w:line="260" w:lineRule="atLeast"/>
              <w:rPr>
                <w:b/>
                <w:color w:val="0000FF"/>
                <w:u w:val="single"/>
              </w:rPr>
            </w:pPr>
            <w:hyperlink r:id="rId24" w:history="1">
              <w:r w:rsidR="007C6B9B" w:rsidRPr="007C6B9B">
                <w:rPr>
                  <w:rStyle w:val="Hyperlink"/>
                  <w:b/>
                </w:rPr>
                <w:t>https://www.tga.gov.au</w:t>
              </w:r>
            </w:hyperlink>
          </w:p>
        </w:tc>
      </w:tr>
    </w:tbl>
    <w:p w14:paraId="48F45E19" w14:textId="77777777" w:rsidR="00774E1D" w:rsidRPr="008A5E0B" w:rsidRDefault="00774E1D" w:rsidP="004C239D"/>
    <w:sectPr w:rsidR="00774E1D" w:rsidRPr="008A5E0B" w:rsidSect="001C32CD">
      <w:headerReference w:type="even" r:id="rId25"/>
      <w:headerReference w:type="default" r:id="rId26"/>
      <w:footerReference w:type="default" r:id="rId27"/>
      <w:headerReference w:type="first" r:id="rId28"/>
      <w:footerReference w:type="first" r:id="rId29"/>
      <w:pgSz w:w="11906" w:h="16838" w:code="9"/>
      <w:pgMar w:top="13467" w:right="1701" w:bottom="426" w:left="1701" w:header="90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4974FF" w14:textId="77777777" w:rsidR="00C313C9" w:rsidRDefault="00C313C9" w:rsidP="00C40A36">
      <w:pPr>
        <w:spacing w:after="0"/>
      </w:pPr>
      <w:r>
        <w:separator/>
      </w:r>
    </w:p>
  </w:endnote>
  <w:endnote w:type="continuationSeparator" w:id="0">
    <w:p w14:paraId="5642762D" w14:textId="77777777" w:rsidR="00C313C9" w:rsidRDefault="00C313C9"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371"/>
      <w:gridCol w:w="1490"/>
    </w:tblGrid>
    <w:tr w:rsidR="00C313C9" w:rsidRPr="00487162" w14:paraId="34D4D0CB" w14:textId="77777777" w:rsidTr="00DB750B">
      <w:trPr>
        <w:trHeight w:val="269"/>
      </w:trPr>
      <w:tc>
        <w:tcPr>
          <w:tcW w:w="7371" w:type="dxa"/>
          <w:tcMar>
            <w:top w:w="142" w:type="dxa"/>
            <w:bottom w:w="0" w:type="dxa"/>
          </w:tcMar>
        </w:tcPr>
        <w:p w14:paraId="46614272" w14:textId="152FF499" w:rsidR="00C313C9" w:rsidRPr="00487162" w:rsidRDefault="00C313C9" w:rsidP="00EE137F">
          <w:pPr>
            <w:pStyle w:val="Footer"/>
          </w:pPr>
          <w:r w:rsidRPr="00487162">
            <w:t>AusPA</w:t>
          </w:r>
          <w:r>
            <w:t xml:space="preserve">R - </w:t>
          </w:r>
          <w:proofErr w:type="spellStart"/>
          <w:r w:rsidR="00820A98">
            <w:t>INOmax</w:t>
          </w:r>
          <w:proofErr w:type="spellEnd"/>
          <w:r w:rsidR="00820A98">
            <w:t xml:space="preserve"> - Nitric o</w:t>
          </w:r>
          <w:r w:rsidRPr="00366516">
            <w:t>xide - Ikaria Australi</w:t>
          </w:r>
          <w:r>
            <w:t>a Pty Ltd - PM-2014-01399-1-3 – Final 15 May 2017</w:t>
          </w:r>
        </w:p>
      </w:tc>
      <w:tc>
        <w:tcPr>
          <w:tcW w:w="1490" w:type="dxa"/>
          <w:tcMar>
            <w:top w:w="142" w:type="dxa"/>
            <w:bottom w:w="0" w:type="dxa"/>
          </w:tcMar>
        </w:tcPr>
        <w:p w14:paraId="1C3EEB47" w14:textId="77777777" w:rsidR="00C313C9" w:rsidRPr="00487162" w:rsidRDefault="00C313C9" w:rsidP="00DB750B">
          <w:pPr>
            <w:pStyle w:val="Footer"/>
            <w:jc w:val="right"/>
          </w:pPr>
          <w:r w:rsidRPr="00487162">
            <w:t xml:space="preserve">Page </w:t>
          </w:r>
          <w:r>
            <w:fldChar w:fldCharType="begin"/>
          </w:r>
          <w:r>
            <w:instrText xml:space="preserve"> PAGE  \* Arabic </w:instrText>
          </w:r>
          <w:r>
            <w:fldChar w:fldCharType="separate"/>
          </w:r>
          <w:r w:rsidR="00820A98">
            <w:rPr>
              <w:noProof/>
            </w:rPr>
            <w:t>58</w:t>
          </w:r>
          <w:r>
            <w:fldChar w:fldCharType="end"/>
          </w:r>
          <w:r w:rsidRPr="00487162">
            <w:t xml:space="preserve"> of </w:t>
          </w:r>
          <w:r w:rsidR="00820A98">
            <w:fldChar w:fldCharType="begin"/>
          </w:r>
          <w:r w:rsidR="00820A98">
            <w:instrText xml:space="preserve"> NUMPAGES  \* Arabic </w:instrText>
          </w:r>
          <w:r w:rsidR="00820A98">
            <w:fldChar w:fldCharType="separate"/>
          </w:r>
          <w:r w:rsidR="00820A98">
            <w:rPr>
              <w:noProof/>
            </w:rPr>
            <w:t>59</w:t>
          </w:r>
          <w:r w:rsidR="00820A98">
            <w:rPr>
              <w:noProof/>
            </w:rPr>
            <w:fldChar w:fldCharType="end"/>
          </w:r>
        </w:p>
      </w:tc>
    </w:tr>
  </w:tbl>
  <w:p w14:paraId="635AD8F4" w14:textId="77777777" w:rsidR="00C313C9" w:rsidRDefault="00C313C9" w:rsidP="003D1E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C313C9" w:rsidRPr="00487162" w14:paraId="126A2096" w14:textId="77777777" w:rsidTr="00E45619">
      <w:trPr>
        <w:trHeight w:val="269"/>
      </w:trPr>
      <w:tc>
        <w:tcPr>
          <w:tcW w:w="4519" w:type="dxa"/>
          <w:tcBorders>
            <w:top w:val="single" w:sz="4" w:space="0" w:color="auto"/>
          </w:tcBorders>
          <w:tcMar>
            <w:top w:w="142" w:type="dxa"/>
            <w:bottom w:w="0" w:type="dxa"/>
          </w:tcMar>
        </w:tcPr>
        <w:p w14:paraId="40724A8D" w14:textId="77777777" w:rsidR="00C313C9" w:rsidRPr="00487162" w:rsidRDefault="00C313C9" w:rsidP="00FE1DEE">
          <w:pPr>
            <w:pStyle w:val="Footer"/>
          </w:pPr>
          <w:r w:rsidRPr="00487162">
            <w:t>Document title, Part #, Section # - Section title</w:t>
          </w:r>
        </w:p>
        <w:p w14:paraId="7BA2D20B" w14:textId="77777777" w:rsidR="00C313C9" w:rsidRPr="00487162" w:rsidRDefault="00C313C9" w:rsidP="00FE1DEE">
          <w:pPr>
            <w:pStyle w:val="Footer"/>
          </w:pPr>
          <w:r w:rsidRPr="00487162">
            <w:t>V1.0 October 2010</w:t>
          </w:r>
        </w:p>
      </w:tc>
      <w:tc>
        <w:tcPr>
          <w:tcW w:w="4342" w:type="dxa"/>
          <w:tcBorders>
            <w:top w:val="single" w:sz="4" w:space="0" w:color="auto"/>
          </w:tcBorders>
          <w:tcMar>
            <w:top w:w="142" w:type="dxa"/>
            <w:bottom w:w="0" w:type="dxa"/>
          </w:tcMar>
        </w:tcPr>
        <w:p w14:paraId="3060F37F" w14:textId="05D29C20" w:rsidR="00C313C9" w:rsidRPr="00487162" w:rsidRDefault="00C313C9"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r w:rsidR="00820A98">
            <w:fldChar w:fldCharType="begin"/>
          </w:r>
          <w:r w:rsidR="00820A98">
            <w:instrText xml:space="preserve"> NUMPAGES  </w:instrText>
          </w:r>
          <w:r w:rsidR="00820A98">
            <w:fldChar w:fldCharType="separate"/>
          </w:r>
          <w:r>
            <w:rPr>
              <w:noProof/>
            </w:rPr>
            <w:t>62</w:t>
          </w:r>
          <w:r w:rsidR="00820A98">
            <w:rPr>
              <w:noProof/>
            </w:rPr>
            <w:fldChar w:fldCharType="end"/>
          </w:r>
        </w:p>
      </w:tc>
    </w:tr>
  </w:tbl>
  <w:p w14:paraId="0C70DEFB" w14:textId="77777777" w:rsidR="00C313C9" w:rsidRDefault="00C313C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6F0887" w14:textId="77777777" w:rsidR="00C313C9" w:rsidRPr="001C32CD" w:rsidRDefault="00C313C9" w:rsidP="001C32C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C313C9" w14:paraId="0EB14757" w14:textId="77777777" w:rsidTr="0010601F">
      <w:trPr>
        <w:trHeight w:val="108"/>
      </w:trPr>
      <w:tc>
        <w:tcPr>
          <w:tcW w:w="8875" w:type="dxa"/>
          <w:gridSpan w:val="2"/>
          <w:tcBorders>
            <w:bottom w:val="single" w:sz="4" w:space="0" w:color="auto"/>
          </w:tcBorders>
          <w:tcMar>
            <w:right w:w="284" w:type="dxa"/>
          </w:tcMar>
        </w:tcPr>
        <w:p w14:paraId="59A72EFF" w14:textId="77777777" w:rsidR="00C313C9" w:rsidRDefault="00C313C9" w:rsidP="006E08B3">
          <w:pPr>
            <w:pStyle w:val="Heading3"/>
          </w:pPr>
          <w:r>
            <w:t>Copyright</w:t>
          </w:r>
        </w:p>
        <w:p w14:paraId="7DC2C25A" w14:textId="77777777" w:rsidR="00C313C9" w:rsidRDefault="00C313C9" w:rsidP="006E08B3">
          <w:r>
            <w:rPr>
              <w:rFonts w:cs="Arial"/>
            </w:rPr>
            <w:t>©</w:t>
          </w:r>
          <w:r>
            <w:t xml:space="preserve"> Commonwealth of Australia [add year]</w:t>
          </w:r>
        </w:p>
        <w:p w14:paraId="33A6EF1B" w14:textId="77777777" w:rsidR="00C313C9" w:rsidRDefault="00C313C9" w:rsidP="006E08B3"/>
        <w:p w14:paraId="262FB4C1" w14:textId="77777777" w:rsidR="00C313C9" w:rsidRDefault="00C313C9"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14:paraId="0F3610B4" w14:textId="77777777" w:rsidR="00C313C9" w:rsidRDefault="00C313C9" w:rsidP="006E08B3"/>
        <w:p w14:paraId="282B92E6" w14:textId="77777777" w:rsidR="00C313C9" w:rsidRDefault="00C313C9" w:rsidP="006E08B3">
          <w:pPr>
            <w:pStyle w:val="Heading3"/>
          </w:pPr>
          <w:r>
            <w:t>Confidentiality</w:t>
          </w:r>
        </w:p>
        <w:p w14:paraId="2AAF3C4D" w14:textId="77777777" w:rsidR="00C313C9" w:rsidRDefault="00C313C9"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14:paraId="1FA91909" w14:textId="77777777" w:rsidR="00C313C9" w:rsidRDefault="00C313C9" w:rsidP="006E08B3"/>
        <w:p w14:paraId="3532378D" w14:textId="77777777" w:rsidR="00C313C9" w:rsidRDefault="00C313C9" w:rsidP="006E08B3">
          <w:r>
            <w:t>For submission made by individuals, all personal details, other than your name, will be removed from your submission before it is published on the TGA’s Internet site.</w:t>
          </w:r>
        </w:p>
        <w:p w14:paraId="6289E86C" w14:textId="77777777" w:rsidR="00C313C9" w:rsidRDefault="00C313C9" w:rsidP="006E08B3"/>
        <w:p w14:paraId="5FA66D05" w14:textId="77777777" w:rsidR="00C313C9" w:rsidRDefault="00C313C9" w:rsidP="006E08B3">
          <w:r>
            <w:t xml:space="preserve">In addition, a list of parties making submissions will be published. If you do not wish to be identified with your submission you must specifically request this in the space provided </w:t>
          </w:r>
          <w:proofErr w:type="spellStart"/>
          <w:r>
            <w:t>ib</w:t>
          </w:r>
          <w:proofErr w:type="spellEnd"/>
          <w:r>
            <w:t xml:space="preserve"> the submission coversheet.</w:t>
          </w:r>
        </w:p>
      </w:tc>
    </w:tr>
    <w:tr w:rsidR="00C313C9" w14:paraId="78C873B2" w14:textId="77777777" w:rsidTr="0010601F">
      <w:trPr>
        <w:trHeight w:val="417"/>
      </w:trPr>
      <w:tc>
        <w:tcPr>
          <w:tcW w:w="4519" w:type="dxa"/>
          <w:tcBorders>
            <w:top w:val="single" w:sz="4" w:space="0" w:color="auto"/>
          </w:tcBorders>
          <w:tcMar>
            <w:top w:w="142" w:type="dxa"/>
            <w:bottom w:w="0" w:type="dxa"/>
          </w:tcMar>
        </w:tcPr>
        <w:p w14:paraId="420A8502" w14:textId="77777777" w:rsidR="00C313C9" w:rsidRDefault="00C313C9" w:rsidP="006E08B3">
          <w:r>
            <w:t>Document title, Part #, Section # - Section title</w:t>
          </w:r>
        </w:p>
        <w:p w14:paraId="289D849B" w14:textId="77777777" w:rsidR="00C313C9" w:rsidRDefault="00C313C9" w:rsidP="006E08B3">
          <w:r>
            <w:t>V1.0 October 2010</w:t>
          </w:r>
        </w:p>
      </w:tc>
      <w:tc>
        <w:tcPr>
          <w:tcW w:w="4356" w:type="dxa"/>
          <w:tcBorders>
            <w:top w:val="single" w:sz="4" w:space="0" w:color="auto"/>
          </w:tcBorders>
          <w:tcMar>
            <w:top w:w="142" w:type="dxa"/>
            <w:bottom w:w="0" w:type="dxa"/>
          </w:tcMar>
        </w:tcPr>
        <w:p w14:paraId="3DF4F0D8" w14:textId="7BBC2481" w:rsidR="00C313C9" w:rsidRDefault="00C313C9"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r w:rsidR="00820A98">
            <w:fldChar w:fldCharType="begin"/>
          </w:r>
          <w:r w:rsidR="00820A98">
            <w:instrText xml:space="preserve"> NUMPAGES  \* Arabic </w:instrText>
          </w:r>
          <w:r w:rsidR="00820A98">
            <w:fldChar w:fldCharType="separate"/>
          </w:r>
          <w:r>
            <w:rPr>
              <w:noProof/>
            </w:rPr>
            <w:t>62</w:t>
          </w:r>
          <w:r w:rsidR="00820A98">
            <w:rPr>
              <w:noProof/>
            </w:rPr>
            <w:fldChar w:fldCharType="end"/>
          </w:r>
          <w:r>
            <w:t xml:space="preserve"> </w:t>
          </w:r>
        </w:p>
      </w:tc>
    </w:tr>
  </w:tbl>
  <w:p w14:paraId="3D0B5CB7" w14:textId="77777777" w:rsidR="00C313C9" w:rsidRDefault="00C313C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ED5D3B" w14:textId="77777777" w:rsidR="00C313C9" w:rsidRDefault="00C313C9" w:rsidP="00C40A36">
      <w:pPr>
        <w:spacing w:after="0"/>
      </w:pPr>
      <w:r>
        <w:separator/>
      </w:r>
    </w:p>
  </w:footnote>
  <w:footnote w:type="continuationSeparator" w:id="0">
    <w:p w14:paraId="0DF29BE0" w14:textId="77777777" w:rsidR="00C313C9" w:rsidRDefault="00C313C9" w:rsidP="00C40A36">
      <w:pPr>
        <w:spacing w:after="0"/>
      </w:pPr>
      <w:r>
        <w:continuationSeparator/>
      </w:r>
    </w:p>
  </w:footnote>
  <w:footnote w:id="1">
    <w:p w14:paraId="4B21A66D" w14:textId="77777777" w:rsidR="00C313C9" w:rsidRPr="008A6123" w:rsidRDefault="00C313C9" w:rsidP="00CE6FBE">
      <w:pPr>
        <w:pStyle w:val="FootnoteText"/>
        <w:rPr>
          <w:rStyle w:val="FootnoteTextChar"/>
        </w:rPr>
      </w:pPr>
      <w:r>
        <w:rPr>
          <w:rStyle w:val="FootnoteReference"/>
        </w:rPr>
        <w:footnoteRef/>
      </w:r>
      <w:r>
        <w:t xml:space="preserve"> </w:t>
      </w:r>
      <w:proofErr w:type="spellStart"/>
      <w:r w:rsidRPr="008A6123">
        <w:rPr>
          <w:rStyle w:val="FootnoteTextChar"/>
        </w:rPr>
        <w:t>Barst</w:t>
      </w:r>
      <w:proofErr w:type="spellEnd"/>
      <w:r w:rsidRPr="008A6123">
        <w:rPr>
          <w:rStyle w:val="FootnoteTextChar"/>
        </w:rPr>
        <w:t xml:space="preserve"> RJ, </w:t>
      </w:r>
      <w:r>
        <w:rPr>
          <w:rStyle w:val="FootnoteTextChar"/>
        </w:rPr>
        <w:t>et al</w:t>
      </w:r>
      <w:r w:rsidRPr="008A6123">
        <w:rPr>
          <w:rStyle w:val="FootnoteTextChar"/>
        </w:rPr>
        <w:t xml:space="preserve"> Pulmonary arterial hypertension: a comparison between children and adults </w:t>
      </w:r>
      <w:proofErr w:type="spellStart"/>
      <w:r w:rsidRPr="008F1362">
        <w:rPr>
          <w:rStyle w:val="FootnoteTextChar"/>
          <w:i/>
        </w:rPr>
        <w:t>Eur</w:t>
      </w:r>
      <w:proofErr w:type="spellEnd"/>
      <w:r w:rsidRPr="008F1362">
        <w:rPr>
          <w:rStyle w:val="FootnoteTextChar"/>
          <w:i/>
        </w:rPr>
        <w:t xml:space="preserve"> </w:t>
      </w:r>
      <w:proofErr w:type="spellStart"/>
      <w:r w:rsidRPr="008F1362">
        <w:rPr>
          <w:rStyle w:val="FootnoteTextChar"/>
          <w:i/>
        </w:rPr>
        <w:t>Respi</w:t>
      </w:r>
      <w:proofErr w:type="spellEnd"/>
      <w:r w:rsidRPr="008F1362">
        <w:rPr>
          <w:rStyle w:val="FootnoteTextChar"/>
          <w:i/>
        </w:rPr>
        <w:t xml:space="preserve"> R</w:t>
      </w:r>
      <w:r>
        <w:rPr>
          <w:rStyle w:val="FootnoteTextChar"/>
          <w:i/>
        </w:rPr>
        <w:t>.</w:t>
      </w:r>
      <w:r w:rsidRPr="008A6123">
        <w:rPr>
          <w:rStyle w:val="FootnoteTextChar"/>
        </w:rPr>
        <w:t xml:space="preserve"> 2011</w:t>
      </w:r>
      <w:r>
        <w:rPr>
          <w:rStyle w:val="FootnoteTextChar"/>
        </w:rPr>
        <w:t>; 37</w:t>
      </w:r>
      <w:r w:rsidRPr="008A6123">
        <w:rPr>
          <w:rStyle w:val="FootnoteTextChar"/>
        </w:rPr>
        <w:t>:665-677</w:t>
      </w:r>
    </w:p>
  </w:footnote>
  <w:footnote w:id="2">
    <w:p w14:paraId="64FA732B" w14:textId="0673BFA5" w:rsidR="00C313C9" w:rsidRPr="000B338D" w:rsidRDefault="00C313C9" w:rsidP="00426B22">
      <w:pPr>
        <w:pStyle w:val="FootnoteText"/>
      </w:pPr>
      <w:r>
        <w:rPr>
          <w:rStyle w:val="FootnoteReference"/>
        </w:rPr>
        <w:footnoteRef/>
      </w:r>
      <w:r>
        <w:t xml:space="preserve"> </w:t>
      </w:r>
      <w:r w:rsidRPr="000B338D">
        <w:t xml:space="preserve">Bide RW, </w:t>
      </w:r>
      <w:r>
        <w:t>et al.</w:t>
      </w:r>
      <w:r w:rsidRPr="000B338D">
        <w:t xml:space="preserve"> </w:t>
      </w:r>
      <w:proofErr w:type="spellStart"/>
      <w:r w:rsidRPr="00426B22">
        <w:t>Allometric</w:t>
      </w:r>
      <w:proofErr w:type="spellEnd"/>
      <w:r w:rsidRPr="000B338D">
        <w:t xml:space="preserve"> respiration/body mass data for animals</w:t>
      </w:r>
      <w:r>
        <w:t xml:space="preserve"> </w:t>
      </w:r>
      <w:r w:rsidRPr="000B338D">
        <w:t xml:space="preserve">to be used for estimates of inhalation toxicity to young adult humans. </w:t>
      </w:r>
      <w:proofErr w:type="gramStart"/>
      <w:r w:rsidRPr="000B338D">
        <w:rPr>
          <w:i/>
        </w:rPr>
        <w:t xml:space="preserve">J </w:t>
      </w:r>
      <w:proofErr w:type="spellStart"/>
      <w:r w:rsidRPr="000B338D">
        <w:rPr>
          <w:i/>
        </w:rPr>
        <w:t>Appl</w:t>
      </w:r>
      <w:proofErr w:type="spellEnd"/>
      <w:r w:rsidRPr="000B338D">
        <w:rPr>
          <w:i/>
        </w:rPr>
        <w:t xml:space="preserve"> </w:t>
      </w:r>
      <w:proofErr w:type="spellStart"/>
      <w:r w:rsidRPr="000B338D">
        <w:rPr>
          <w:i/>
        </w:rPr>
        <w:t>Toxicol</w:t>
      </w:r>
      <w:proofErr w:type="spellEnd"/>
      <w:r>
        <w:t>.</w:t>
      </w:r>
      <w:proofErr w:type="gramEnd"/>
      <w:r>
        <w:t xml:space="preserve"> 2000; 20</w:t>
      </w:r>
      <w:r w:rsidRPr="000B338D">
        <w:t>:</w:t>
      </w:r>
      <w:r>
        <w:t xml:space="preserve"> </w:t>
      </w:r>
      <w:r w:rsidRPr="000B338D">
        <w:t>273-</w:t>
      </w:r>
      <w:r>
        <w:t>2</w:t>
      </w:r>
      <w:r w:rsidRPr="000B338D">
        <w:t>90</w:t>
      </w:r>
    </w:p>
  </w:footnote>
  <w:footnote w:id="3">
    <w:p w14:paraId="77213513" w14:textId="218BC7E1" w:rsidR="00C313C9" w:rsidRPr="000B338D" w:rsidRDefault="00C313C9" w:rsidP="00426B22">
      <w:pPr>
        <w:pStyle w:val="FootnoteText"/>
      </w:pPr>
      <w:r>
        <w:rPr>
          <w:rStyle w:val="FootnoteReference"/>
        </w:rPr>
        <w:footnoteRef/>
      </w:r>
      <w:r>
        <w:t xml:space="preserve"> </w:t>
      </w:r>
      <w:r w:rsidRPr="000B338D">
        <w:rPr>
          <w:rStyle w:val="FootnoteTextChar"/>
        </w:rPr>
        <w:t xml:space="preserve">De </w:t>
      </w:r>
      <w:proofErr w:type="spellStart"/>
      <w:r w:rsidRPr="000B338D">
        <w:rPr>
          <w:rStyle w:val="FootnoteTextChar"/>
        </w:rPr>
        <w:t>Paepe</w:t>
      </w:r>
      <w:proofErr w:type="spellEnd"/>
      <w:r w:rsidRPr="000B338D">
        <w:rPr>
          <w:rStyle w:val="FootnoteTextChar"/>
        </w:rPr>
        <w:t xml:space="preserve"> ME, </w:t>
      </w:r>
      <w:r>
        <w:rPr>
          <w:rStyle w:val="FootnoteTextChar"/>
        </w:rPr>
        <w:t>et al</w:t>
      </w:r>
      <w:r w:rsidRPr="000B338D">
        <w:rPr>
          <w:rStyle w:val="FootnoteTextChar"/>
        </w:rPr>
        <w:t xml:space="preserve">. Post-mortem lung weight/body weight standards for term and preterm infants. </w:t>
      </w:r>
      <w:proofErr w:type="spellStart"/>
      <w:r w:rsidRPr="000B338D">
        <w:rPr>
          <w:rStyle w:val="FootnoteTextChar"/>
          <w:i/>
        </w:rPr>
        <w:t>Pediatr</w:t>
      </w:r>
      <w:proofErr w:type="spellEnd"/>
      <w:r w:rsidRPr="000B338D">
        <w:rPr>
          <w:rStyle w:val="FootnoteTextChar"/>
          <w:i/>
        </w:rPr>
        <w:t xml:space="preserve"> </w:t>
      </w:r>
      <w:proofErr w:type="spellStart"/>
      <w:r w:rsidRPr="000B338D">
        <w:rPr>
          <w:rStyle w:val="FootnoteTextChar"/>
          <w:i/>
        </w:rPr>
        <w:t>Pulmonol</w:t>
      </w:r>
      <w:proofErr w:type="spellEnd"/>
      <w:r w:rsidRPr="000B338D">
        <w:rPr>
          <w:rStyle w:val="FootnoteTextChar"/>
        </w:rPr>
        <w:t xml:space="preserve">. </w:t>
      </w:r>
      <w:proofErr w:type="gramStart"/>
      <w:r w:rsidRPr="000B338D">
        <w:rPr>
          <w:rStyle w:val="FootnoteTextChar"/>
        </w:rPr>
        <w:t>2005</w:t>
      </w:r>
      <w:r>
        <w:rPr>
          <w:rStyle w:val="FootnoteTextChar"/>
        </w:rPr>
        <w:t>; 40</w:t>
      </w:r>
      <w:r w:rsidRPr="000B338D">
        <w:rPr>
          <w:rStyle w:val="FootnoteTextChar"/>
        </w:rPr>
        <w:t>:</w:t>
      </w:r>
      <w:r>
        <w:rPr>
          <w:rStyle w:val="FootnoteTextChar"/>
        </w:rPr>
        <w:t xml:space="preserve"> </w:t>
      </w:r>
      <w:r w:rsidRPr="000B338D">
        <w:rPr>
          <w:rStyle w:val="FootnoteTextChar"/>
        </w:rPr>
        <w:t>445-</w:t>
      </w:r>
      <w:r>
        <w:rPr>
          <w:rStyle w:val="FootnoteTextChar"/>
        </w:rPr>
        <w:t>44</w:t>
      </w:r>
      <w:r w:rsidRPr="000B338D">
        <w:rPr>
          <w:rStyle w:val="FootnoteTextChar"/>
        </w:rPr>
        <w:t>8.</w:t>
      </w:r>
      <w:proofErr w:type="gramEnd"/>
    </w:p>
  </w:footnote>
  <w:footnote w:id="4">
    <w:p w14:paraId="4FFE0ECA" w14:textId="60F40859" w:rsidR="00C313C9" w:rsidRPr="002C73DA" w:rsidRDefault="00C313C9" w:rsidP="00426B22">
      <w:pPr>
        <w:pStyle w:val="FootnoteText"/>
      </w:pPr>
      <w:r>
        <w:rPr>
          <w:rStyle w:val="FootnoteReference"/>
        </w:rPr>
        <w:footnoteRef/>
      </w:r>
      <w:r>
        <w:t xml:space="preserve"> </w:t>
      </w:r>
      <w:proofErr w:type="spellStart"/>
      <w:r>
        <w:rPr>
          <w:rStyle w:val="FootnoteTextChar"/>
        </w:rPr>
        <w:t>Kirbas</w:t>
      </w:r>
      <w:proofErr w:type="spellEnd"/>
      <w:r>
        <w:rPr>
          <w:rStyle w:val="FootnoteTextChar"/>
        </w:rPr>
        <w:t xml:space="preserve">, A. et al. </w:t>
      </w:r>
      <w:r w:rsidRPr="002C73DA">
        <w:rPr>
          <w:rStyle w:val="FootnoteTextChar"/>
        </w:rPr>
        <w:t xml:space="preserve">Comparison of inhaled nitric oxide and aerosolized iloprost in pulmonary hypertension in children with </w:t>
      </w:r>
      <w:r w:rsidRPr="00426B22">
        <w:rPr>
          <w:rStyle w:val="FootnoteTextChar"/>
        </w:rPr>
        <w:t>congenital</w:t>
      </w:r>
      <w:r w:rsidRPr="002C73DA">
        <w:rPr>
          <w:rStyle w:val="FootnoteTextChar"/>
        </w:rPr>
        <w:t xml:space="preserve"> heart surgery. </w:t>
      </w:r>
      <w:proofErr w:type="spellStart"/>
      <w:proofErr w:type="gramStart"/>
      <w:r w:rsidRPr="002C73DA">
        <w:rPr>
          <w:rStyle w:val="FootnoteTextChar"/>
          <w:i/>
        </w:rPr>
        <w:t>Cardiol</w:t>
      </w:r>
      <w:proofErr w:type="spellEnd"/>
      <w:r w:rsidRPr="002C73DA">
        <w:rPr>
          <w:rStyle w:val="FootnoteTextChar"/>
          <w:i/>
        </w:rPr>
        <w:t xml:space="preserve"> J</w:t>
      </w:r>
      <w:r>
        <w:rPr>
          <w:rStyle w:val="FootnoteTextChar"/>
          <w:i/>
        </w:rPr>
        <w:t xml:space="preserve">. </w:t>
      </w:r>
      <w:r>
        <w:rPr>
          <w:rStyle w:val="FootnoteTextChar"/>
        </w:rPr>
        <w:t xml:space="preserve">2012; 19: </w:t>
      </w:r>
      <w:r w:rsidRPr="002C73DA">
        <w:rPr>
          <w:rStyle w:val="FootnoteTextChar"/>
        </w:rPr>
        <w:t>387-</w:t>
      </w:r>
      <w:r>
        <w:rPr>
          <w:rStyle w:val="FootnoteTextChar"/>
        </w:rPr>
        <w:t>3</w:t>
      </w:r>
      <w:r w:rsidRPr="002C73DA">
        <w:rPr>
          <w:rStyle w:val="FootnoteTextChar"/>
        </w:rPr>
        <w:t>94</w:t>
      </w:r>
      <w:r w:rsidRPr="001B1C55">
        <w:t>.</w:t>
      </w:r>
      <w:proofErr w:type="gramEnd"/>
    </w:p>
  </w:footnote>
  <w:footnote w:id="5">
    <w:p w14:paraId="608A4302" w14:textId="2494BB21" w:rsidR="00C313C9" w:rsidRPr="002C73DA" w:rsidRDefault="00C313C9" w:rsidP="006B6C70">
      <w:pPr>
        <w:pStyle w:val="FootnoteText"/>
      </w:pPr>
      <w:r>
        <w:rPr>
          <w:rStyle w:val="FootnoteReference"/>
        </w:rPr>
        <w:footnoteRef/>
      </w:r>
      <w:r>
        <w:t xml:space="preserve"> </w:t>
      </w:r>
      <w:proofErr w:type="spellStart"/>
      <w:r>
        <w:rPr>
          <w:rStyle w:val="FootnoteTextChar"/>
        </w:rPr>
        <w:t>Loukanov</w:t>
      </w:r>
      <w:proofErr w:type="spellEnd"/>
      <w:r>
        <w:rPr>
          <w:rStyle w:val="FootnoteTextChar"/>
        </w:rPr>
        <w:t>, T. et al</w:t>
      </w:r>
      <w:r w:rsidRPr="002C73DA">
        <w:rPr>
          <w:rStyle w:val="FootnoteTextChar"/>
        </w:rPr>
        <w:t xml:space="preserve">. </w:t>
      </w:r>
      <w:r w:rsidRPr="006B6C70">
        <w:rPr>
          <w:rStyle w:val="FootnoteTextChar"/>
        </w:rPr>
        <w:t>Comparison</w:t>
      </w:r>
      <w:r w:rsidRPr="002C73DA">
        <w:rPr>
          <w:rStyle w:val="FootnoteTextChar"/>
        </w:rPr>
        <w:t xml:space="preserve"> of inhaled nitric oxide with aerosolized iloprost for treatment of pulmonary hypertension in children after cardiopulmonary bypass surgery</w:t>
      </w:r>
      <w:r w:rsidRPr="002C73DA">
        <w:rPr>
          <w:rStyle w:val="FootnoteTextChar"/>
          <w:i/>
        </w:rPr>
        <w:t xml:space="preserve">. </w:t>
      </w:r>
      <w:proofErr w:type="spellStart"/>
      <w:r w:rsidRPr="002C73DA">
        <w:rPr>
          <w:rStyle w:val="FootnoteTextChar"/>
          <w:i/>
        </w:rPr>
        <w:t>Clin</w:t>
      </w:r>
      <w:proofErr w:type="spellEnd"/>
      <w:r w:rsidRPr="002C73DA">
        <w:rPr>
          <w:rStyle w:val="FootnoteTextChar"/>
          <w:i/>
        </w:rPr>
        <w:t xml:space="preserve"> Res </w:t>
      </w:r>
      <w:proofErr w:type="spellStart"/>
      <w:r w:rsidRPr="002C73DA">
        <w:rPr>
          <w:rStyle w:val="FootnoteTextChar"/>
          <w:i/>
        </w:rPr>
        <w:t>Cardiol</w:t>
      </w:r>
      <w:proofErr w:type="spellEnd"/>
      <w:r w:rsidRPr="002C73DA">
        <w:rPr>
          <w:rStyle w:val="FootnoteTextChar"/>
        </w:rPr>
        <w:t xml:space="preserve">, </w:t>
      </w:r>
      <w:r>
        <w:rPr>
          <w:rStyle w:val="FootnoteTextChar"/>
        </w:rPr>
        <w:t xml:space="preserve">2011; 100: </w:t>
      </w:r>
      <w:r w:rsidRPr="002C73DA">
        <w:rPr>
          <w:rStyle w:val="FootnoteTextChar"/>
        </w:rPr>
        <w:t>595-602.</w:t>
      </w:r>
    </w:p>
  </w:footnote>
  <w:footnote w:id="6">
    <w:p w14:paraId="33398596" w14:textId="77777777" w:rsidR="00C313C9" w:rsidRPr="002D68AA" w:rsidRDefault="00C313C9" w:rsidP="00426B22">
      <w:pPr>
        <w:pStyle w:val="FootnoteText"/>
        <w:rPr>
          <w:lang w:val="en-US"/>
        </w:rPr>
      </w:pPr>
      <w:r>
        <w:rPr>
          <w:rStyle w:val="FootnoteReference"/>
        </w:rPr>
        <w:footnoteRef/>
      </w:r>
      <w:r>
        <w:t xml:space="preserve"> </w:t>
      </w:r>
      <w:r>
        <w:rPr>
          <w:lang w:val="en-US"/>
        </w:rPr>
        <w:t>For the full citation of these references please see the list of references in Attachment 2.</w:t>
      </w:r>
    </w:p>
  </w:footnote>
  <w:footnote w:id="7">
    <w:p w14:paraId="40C68783" w14:textId="77777777" w:rsidR="00C313C9" w:rsidRPr="00ED67DA" w:rsidRDefault="00C313C9" w:rsidP="00426B22">
      <w:pPr>
        <w:pStyle w:val="FootnoteText"/>
        <w:rPr>
          <w:lang w:val="en-US"/>
        </w:rPr>
      </w:pPr>
      <w:r>
        <w:rPr>
          <w:rStyle w:val="FootnoteReference"/>
        </w:rPr>
        <w:footnoteRef/>
      </w:r>
      <w:r>
        <w:t xml:space="preserve"> Wessel, D. et al.</w:t>
      </w:r>
      <w:r w:rsidRPr="001B1C55">
        <w:t xml:space="preserve"> Use </w:t>
      </w:r>
      <w:r w:rsidRPr="006B6C70">
        <w:t>of</w:t>
      </w:r>
      <w:r w:rsidRPr="001B1C55">
        <w:t xml:space="preserve"> inhaled </w:t>
      </w:r>
      <w:r w:rsidRPr="00426B22">
        <w:t>nitric</w:t>
      </w:r>
      <w:r w:rsidRPr="001B1C55">
        <w:t xml:space="preserve"> oxide and ace</w:t>
      </w:r>
      <w:r>
        <w:t xml:space="preserve">tylcholine in the evaluation of </w:t>
      </w:r>
      <w:r w:rsidRPr="001B1C55">
        <w:t>pulmonary hypertension and endothelial functio</w:t>
      </w:r>
      <w:r>
        <w:t xml:space="preserve">n after cardiopulmonary bypass. </w:t>
      </w:r>
      <w:r w:rsidRPr="00BB4248">
        <w:rPr>
          <w:i/>
        </w:rPr>
        <w:t>Circulation</w:t>
      </w:r>
      <w:r w:rsidRPr="001B1C55">
        <w:t xml:space="preserve"> 1993</w:t>
      </w:r>
      <w:r>
        <w:t xml:space="preserve">; 88: </w:t>
      </w:r>
      <w:r w:rsidRPr="001B1C55">
        <w:t>2128-</w:t>
      </w:r>
      <w:r>
        <w:t>2138</w:t>
      </w:r>
    </w:p>
  </w:footnote>
  <w:footnote w:id="8">
    <w:p w14:paraId="1B497306" w14:textId="77777777" w:rsidR="00C313C9" w:rsidRPr="00ED67DA" w:rsidRDefault="00C313C9" w:rsidP="006B6C70">
      <w:pPr>
        <w:pStyle w:val="FootnoteText"/>
        <w:rPr>
          <w:lang w:val="en-US"/>
        </w:rPr>
      </w:pPr>
      <w:r>
        <w:rPr>
          <w:rStyle w:val="FootnoteReference"/>
        </w:rPr>
        <w:footnoteRef/>
      </w:r>
      <w:r>
        <w:t xml:space="preserve"> </w:t>
      </w:r>
      <w:proofErr w:type="spellStart"/>
      <w:r>
        <w:t>Beghetti</w:t>
      </w:r>
      <w:proofErr w:type="spellEnd"/>
      <w:r>
        <w:t xml:space="preserve">, M. et al. </w:t>
      </w:r>
      <w:r w:rsidRPr="006B6C70">
        <w:t>Decreased</w:t>
      </w:r>
      <w:r w:rsidRPr="00CB46C8">
        <w:t xml:space="preserve"> exhaled nitric oxide may be a marker of</w:t>
      </w:r>
      <w:r>
        <w:t xml:space="preserve"> </w:t>
      </w:r>
      <w:r w:rsidRPr="00CB46C8">
        <w:t>cardiopulmonary bypass-</w:t>
      </w:r>
      <w:r>
        <w:t xml:space="preserve">induced injury. </w:t>
      </w:r>
      <w:r w:rsidRPr="00040D18">
        <w:rPr>
          <w:i/>
        </w:rPr>
        <w:t xml:space="preserve">Ann </w:t>
      </w:r>
      <w:proofErr w:type="spellStart"/>
      <w:r w:rsidRPr="00040D18">
        <w:rPr>
          <w:i/>
        </w:rPr>
        <w:t>Thorac</w:t>
      </w:r>
      <w:proofErr w:type="spellEnd"/>
      <w:r w:rsidRPr="00040D18">
        <w:rPr>
          <w:i/>
        </w:rPr>
        <w:t xml:space="preserve"> </w:t>
      </w:r>
      <w:proofErr w:type="spellStart"/>
      <w:r w:rsidRPr="00040D18">
        <w:rPr>
          <w:i/>
        </w:rPr>
        <w:t>Surg</w:t>
      </w:r>
      <w:proofErr w:type="spellEnd"/>
      <w:r w:rsidRPr="00040D18">
        <w:t xml:space="preserve"> </w:t>
      </w:r>
      <w:r w:rsidRPr="00CB46C8">
        <w:t>1998</w:t>
      </w:r>
      <w:r>
        <w:t xml:space="preserve">; 66: </w:t>
      </w:r>
      <w:r w:rsidRPr="00CB46C8">
        <w:t>532-</w:t>
      </w:r>
      <w:r>
        <w:t>534</w:t>
      </w:r>
    </w:p>
  </w:footnote>
  <w:footnote w:id="9">
    <w:p w14:paraId="6BCE7D20" w14:textId="77777777" w:rsidR="00C313C9" w:rsidRPr="00ED67DA" w:rsidRDefault="00C313C9" w:rsidP="00426B22">
      <w:pPr>
        <w:pStyle w:val="FootnoteText"/>
        <w:rPr>
          <w:rStyle w:val="FootnoteTextChar"/>
        </w:rPr>
      </w:pPr>
      <w:r>
        <w:rPr>
          <w:rStyle w:val="FootnoteReference"/>
        </w:rPr>
        <w:footnoteRef/>
      </w:r>
      <w:r>
        <w:t xml:space="preserve"> </w:t>
      </w:r>
      <w:proofErr w:type="spellStart"/>
      <w:r w:rsidRPr="00ED67DA">
        <w:rPr>
          <w:rStyle w:val="FootnoteTextChar"/>
        </w:rPr>
        <w:t>Lepore</w:t>
      </w:r>
      <w:proofErr w:type="spellEnd"/>
      <w:r w:rsidRPr="00ED67DA">
        <w:rPr>
          <w:rStyle w:val="FootnoteTextChar"/>
        </w:rPr>
        <w:t xml:space="preserve">, J. et al., Combined administration of intravenous </w:t>
      </w:r>
      <w:proofErr w:type="spellStart"/>
      <w:r w:rsidRPr="00ED67DA">
        <w:rPr>
          <w:rStyle w:val="FootnoteTextChar"/>
        </w:rPr>
        <w:t>dipyridamole</w:t>
      </w:r>
      <w:proofErr w:type="spellEnd"/>
      <w:r w:rsidRPr="00ED67DA">
        <w:rPr>
          <w:rStyle w:val="FootnoteTextChar"/>
        </w:rPr>
        <w:t xml:space="preserve"> and inhaled nitric oxide to assess reversibility of </w:t>
      </w:r>
      <w:r w:rsidRPr="006B6C70">
        <w:rPr>
          <w:rStyle w:val="FootnoteTextChar"/>
        </w:rPr>
        <w:t>pulmonary</w:t>
      </w:r>
      <w:r w:rsidRPr="00ED67DA">
        <w:rPr>
          <w:rStyle w:val="FootnoteTextChar"/>
        </w:rPr>
        <w:t xml:space="preserve"> arterial </w:t>
      </w:r>
      <w:r w:rsidRPr="00426B22">
        <w:rPr>
          <w:rStyle w:val="FootnoteTextChar"/>
        </w:rPr>
        <w:t>hypertension</w:t>
      </w:r>
      <w:r w:rsidRPr="00ED67DA">
        <w:rPr>
          <w:rStyle w:val="FootnoteTextChar"/>
        </w:rPr>
        <w:t xml:space="preserve"> in potential cardiac transplant recipients. </w:t>
      </w:r>
      <w:r w:rsidRPr="00ED67DA">
        <w:rPr>
          <w:rStyle w:val="FootnoteTextChar"/>
          <w:i/>
        </w:rPr>
        <w:t>J Heart Lung Transplant</w:t>
      </w:r>
      <w:r w:rsidRPr="00ED67DA">
        <w:rPr>
          <w:rStyle w:val="FootnoteTextChar"/>
        </w:rPr>
        <w:t xml:space="preserve"> 2005; 24: 1950-1956</w:t>
      </w:r>
    </w:p>
  </w:footnote>
  <w:footnote w:id="10">
    <w:p w14:paraId="6BA32D8F" w14:textId="77777777" w:rsidR="00C313C9" w:rsidRPr="006A7861" w:rsidRDefault="00C313C9" w:rsidP="006B6C70">
      <w:pPr>
        <w:pStyle w:val="FootnoteText"/>
        <w:rPr>
          <w:lang w:val="en-US"/>
        </w:rPr>
      </w:pPr>
      <w:r>
        <w:rPr>
          <w:rStyle w:val="FootnoteReference"/>
        </w:rPr>
        <w:footnoteRef/>
      </w:r>
      <w:r>
        <w:t xml:space="preserve"> </w:t>
      </w:r>
      <w:proofErr w:type="spellStart"/>
      <w:proofErr w:type="gramStart"/>
      <w:r>
        <w:t>Kieler</w:t>
      </w:r>
      <w:proofErr w:type="spellEnd"/>
      <w:r>
        <w:t>-Jensen, N. et al</w:t>
      </w:r>
      <w:r w:rsidRPr="001B1C55">
        <w:t>. Inhaled nitric oxide in the</w:t>
      </w:r>
      <w:r>
        <w:t xml:space="preserve"> evaluation of heart transplant </w:t>
      </w:r>
      <w:r w:rsidRPr="001B1C55">
        <w:t xml:space="preserve">candidates with elevated pulmonary vascular </w:t>
      </w:r>
      <w:r w:rsidRPr="006B6C70">
        <w:t>resistance</w:t>
      </w:r>
      <w:r w:rsidRPr="00F01061">
        <w:rPr>
          <w:i/>
        </w:rPr>
        <w:t>.</w:t>
      </w:r>
      <w:proofErr w:type="gramEnd"/>
      <w:r w:rsidRPr="00F01061">
        <w:rPr>
          <w:i/>
        </w:rPr>
        <w:t xml:space="preserve"> J Heart Lung Transplant</w:t>
      </w:r>
      <w:r>
        <w:t xml:space="preserve"> </w:t>
      </w:r>
      <w:r w:rsidRPr="001B1C55">
        <w:t>1994</w:t>
      </w:r>
      <w:r>
        <w:t xml:space="preserve">; 13: </w:t>
      </w:r>
      <w:r w:rsidRPr="001B1C55">
        <w:t>366-</w:t>
      </w:r>
      <w:r>
        <w:t>375</w:t>
      </w:r>
    </w:p>
  </w:footnote>
  <w:footnote w:id="11">
    <w:p w14:paraId="6E17A761" w14:textId="77777777" w:rsidR="00C313C9" w:rsidRPr="006A7861" w:rsidRDefault="00C313C9" w:rsidP="006B6C70">
      <w:pPr>
        <w:pStyle w:val="FootnoteText"/>
        <w:rPr>
          <w:lang w:val="en-US"/>
        </w:rPr>
      </w:pPr>
      <w:r>
        <w:rPr>
          <w:rStyle w:val="FootnoteReference"/>
        </w:rPr>
        <w:footnoteRef/>
      </w:r>
      <w:r>
        <w:t xml:space="preserve"> Miller, O. et al</w:t>
      </w:r>
      <w:r w:rsidRPr="001B1C55">
        <w:t>. Inhaled nitric oxide and prevention of</w:t>
      </w:r>
      <w:r>
        <w:t xml:space="preserve"> pulmonary hypertension </w:t>
      </w:r>
      <w:r w:rsidRPr="001B1C55">
        <w:t xml:space="preserve">after congenital heart surgery: a randomised </w:t>
      </w:r>
      <w:r>
        <w:t xml:space="preserve">double blind study. </w:t>
      </w:r>
      <w:r w:rsidRPr="006A7861">
        <w:rPr>
          <w:i/>
        </w:rPr>
        <w:t>Lancet</w:t>
      </w:r>
      <w:r>
        <w:t xml:space="preserve"> </w:t>
      </w:r>
      <w:r w:rsidRPr="001B1C55">
        <w:t>2000</w:t>
      </w:r>
      <w:r>
        <w:t xml:space="preserve">; 356: </w:t>
      </w:r>
      <w:r w:rsidRPr="001B1C55">
        <w:t>1464-</w:t>
      </w:r>
      <w:r>
        <w:t>1469</w:t>
      </w:r>
    </w:p>
  </w:footnote>
  <w:footnote w:id="12">
    <w:p w14:paraId="1C7D2BC0" w14:textId="77777777" w:rsidR="00C313C9" w:rsidRPr="006A7861" w:rsidRDefault="00C313C9">
      <w:pPr>
        <w:pStyle w:val="FootnoteText"/>
        <w:rPr>
          <w:lang w:val="en-US"/>
        </w:rPr>
      </w:pPr>
      <w:r>
        <w:rPr>
          <w:rStyle w:val="FootnoteReference"/>
        </w:rPr>
        <w:footnoteRef/>
      </w:r>
      <w:r>
        <w:t xml:space="preserve"> </w:t>
      </w:r>
      <w:proofErr w:type="gramStart"/>
      <w:r>
        <w:t>Russell, I. et al.</w:t>
      </w:r>
      <w:proofErr w:type="gramEnd"/>
      <w:r w:rsidRPr="001B1C55">
        <w:t xml:space="preserve"> </w:t>
      </w:r>
      <w:proofErr w:type="gramStart"/>
      <w:r w:rsidRPr="001B1C55">
        <w:t>The effects of inhaled nitric oxide on post-op</w:t>
      </w:r>
      <w:r>
        <w:t xml:space="preserve">erative pulmonary </w:t>
      </w:r>
      <w:r w:rsidRPr="001B1C55">
        <w:t>hypertension in infants and children undergoing surg</w:t>
      </w:r>
      <w:r>
        <w:t>ical repair of congenital heart disease.</w:t>
      </w:r>
      <w:proofErr w:type="gramEnd"/>
      <w:r>
        <w:t xml:space="preserve"> </w:t>
      </w:r>
      <w:proofErr w:type="spellStart"/>
      <w:r w:rsidRPr="00123A62">
        <w:rPr>
          <w:i/>
        </w:rPr>
        <w:t>Anesth</w:t>
      </w:r>
      <w:proofErr w:type="spellEnd"/>
      <w:r w:rsidRPr="00123A62">
        <w:rPr>
          <w:i/>
        </w:rPr>
        <w:t xml:space="preserve"> </w:t>
      </w:r>
      <w:proofErr w:type="spellStart"/>
      <w:r w:rsidRPr="00123A62">
        <w:rPr>
          <w:i/>
        </w:rPr>
        <w:t>Analg</w:t>
      </w:r>
      <w:proofErr w:type="spellEnd"/>
      <w:r w:rsidRPr="001B1C55">
        <w:t xml:space="preserve"> 1998</w:t>
      </w:r>
      <w:r>
        <w:t xml:space="preserve">; 87: </w:t>
      </w:r>
      <w:r w:rsidRPr="001B1C55">
        <w:t>46-51</w:t>
      </w:r>
    </w:p>
  </w:footnote>
  <w:footnote w:id="13">
    <w:p w14:paraId="090433CE" w14:textId="77777777" w:rsidR="00C313C9" w:rsidRPr="006A7861" w:rsidRDefault="00C313C9">
      <w:pPr>
        <w:pStyle w:val="FootnoteText"/>
        <w:rPr>
          <w:lang w:val="en-US"/>
        </w:rPr>
      </w:pPr>
      <w:r>
        <w:rPr>
          <w:rStyle w:val="FootnoteReference"/>
        </w:rPr>
        <w:footnoteRef/>
      </w:r>
      <w:r>
        <w:t xml:space="preserve"> </w:t>
      </w:r>
      <w:proofErr w:type="gramStart"/>
      <w:r>
        <w:t>Day, R. et al.</w:t>
      </w:r>
      <w:r w:rsidRPr="001B1C55">
        <w:t xml:space="preserve"> Randomized controlled study of inhal</w:t>
      </w:r>
      <w:r>
        <w:t xml:space="preserve">ed nitric oxide after operation </w:t>
      </w:r>
      <w:r w:rsidRPr="001B1C55">
        <w:t>for congenital heart disease.</w:t>
      </w:r>
      <w:proofErr w:type="gramEnd"/>
      <w:r w:rsidRPr="001B1C55">
        <w:t xml:space="preserve"> </w:t>
      </w:r>
      <w:r w:rsidRPr="00040D18">
        <w:rPr>
          <w:i/>
        </w:rPr>
        <w:t xml:space="preserve">Ann </w:t>
      </w:r>
      <w:proofErr w:type="spellStart"/>
      <w:r w:rsidRPr="00040D18">
        <w:rPr>
          <w:i/>
        </w:rPr>
        <w:t>Thorac</w:t>
      </w:r>
      <w:proofErr w:type="spellEnd"/>
      <w:r w:rsidRPr="00040D18">
        <w:rPr>
          <w:i/>
        </w:rPr>
        <w:t xml:space="preserve"> </w:t>
      </w:r>
      <w:proofErr w:type="spellStart"/>
      <w:r w:rsidRPr="00040D18">
        <w:rPr>
          <w:i/>
        </w:rPr>
        <w:t>Surg</w:t>
      </w:r>
      <w:proofErr w:type="spellEnd"/>
      <w:r w:rsidRPr="001B1C55">
        <w:t xml:space="preserve"> 2000</w:t>
      </w:r>
      <w:r>
        <w:t xml:space="preserve">; 69: </w:t>
      </w:r>
      <w:r w:rsidRPr="001B1C55">
        <w:t>1907-</w:t>
      </w:r>
      <w:r>
        <w:t>1913</w:t>
      </w:r>
    </w:p>
  </w:footnote>
  <w:footnote w:id="14">
    <w:p w14:paraId="01440B28" w14:textId="77777777" w:rsidR="00C313C9" w:rsidRPr="006A7861" w:rsidRDefault="00C313C9">
      <w:pPr>
        <w:pStyle w:val="FootnoteText"/>
        <w:rPr>
          <w:lang w:val="en-US"/>
        </w:rPr>
      </w:pPr>
      <w:r>
        <w:rPr>
          <w:rStyle w:val="FootnoteReference"/>
        </w:rPr>
        <w:footnoteRef/>
      </w:r>
      <w:r>
        <w:t xml:space="preserve"> Morris, K. et al.</w:t>
      </w:r>
      <w:r w:rsidRPr="001B1C55">
        <w:t xml:space="preserve"> Comparison of hyperventilati</w:t>
      </w:r>
      <w:r>
        <w:t>on and inhaled nitric oxide for pulmonary hyp</w:t>
      </w:r>
      <w:r w:rsidRPr="001B1C55">
        <w:t>ertension after repair of congenital heart</w:t>
      </w:r>
      <w:r>
        <w:t xml:space="preserve"> disease. </w:t>
      </w:r>
      <w:proofErr w:type="spellStart"/>
      <w:r w:rsidRPr="00F01061">
        <w:rPr>
          <w:i/>
        </w:rPr>
        <w:t>Crit</w:t>
      </w:r>
      <w:proofErr w:type="spellEnd"/>
      <w:r w:rsidRPr="00F01061">
        <w:rPr>
          <w:i/>
        </w:rPr>
        <w:t xml:space="preserve"> Care Med</w:t>
      </w:r>
      <w:r>
        <w:t xml:space="preserve"> </w:t>
      </w:r>
      <w:r w:rsidRPr="001B1C55">
        <w:t>2000</w:t>
      </w:r>
      <w:r>
        <w:t xml:space="preserve">; 28: </w:t>
      </w:r>
      <w:r w:rsidRPr="001B1C55">
        <w:t>2974-</w:t>
      </w:r>
      <w:r>
        <w:t>297</w:t>
      </w:r>
      <w:r w:rsidRPr="001B1C55">
        <w:t>8</w:t>
      </w:r>
    </w:p>
  </w:footnote>
  <w:footnote w:id="15">
    <w:p w14:paraId="2A6C9C2E" w14:textId="77777777" w:rsidR="00C313C9" w:rsidRPr="006A7861" w:rsidRDefault="00C313C9">
      <w:pPr>
        <w:pStyle w:val="FootnoteText"/>
        <w:rPr>
          <w:lang w:val="en-US"/>
        </w:rPr>
      </w:pPr>
      <w:r>
        <w:rPr>
          <w:rStyle w:val="FootnoteReference"/>
        </w:rPr>
        <w:footnoteRef/>
      </w:r>
      <w:r>
        <w:t xml:space="preserve"> </w:t>
      </w:r>
      <w:proofErr w:type="spellStart"/>
      <w:proofErr w:type="gramStart"/>
      <w:r>
        <w:t>Cai</w:t>
      </w:r>
      <w:proofErr w:type="spellEnd"/>
      <w:proofErr w:type="gramEnd"/>
      <w:r>
        <w:t>, J. et al.</w:t>
      </w:r>
      <w:r w:rsidRPr="001B1C55">
        <w:t xml:space="preserve"> Nitric oxide and milrinone: combined </w:t>
      </w:r>
      <w:r>
        <w:t xml:space="preserve">effect on pulmonary circulation </w:t>
      </w:r>
      <w:r w:rsidRPr="001B1C55">
        <w:t>after Fontan-type procedure: a prospective, randomized</w:t>
      </w:r>
      <w:r>
        <w:t xml:space="preserve"> study. </w:t>
      </w:r>
      <w:r w:rsidRPr="00040D18">
        <w:rPr>
          <w:i/>
        </w:rPr>
        <w:t xml:space="preserve">Ann </w:t>
      </w:r>
      <w:proofErr w:type="spellStart"/>
      <w:r w:rsidRPr="00040D18">
        <w:rPr>
          <w:i/>
        </w:rPr>
        <w:t>Thorac</w:t>
      </w:r>
      <w:proofErr w:type="spellEnd"/>
      <w:r w:rsidRPr="00040D18">
        <w:rPr>
          <w:i/>
        </w:rPr>
        <w:t xml:space="preserve"> </w:t>
      </w:r>
      <w:proofErr w:type="spellStart"/>
      <w:r w:rsidRPr="00040D18">
        <w:rPr>
          <w:i/>
        </w:rPr>
        <w:t>Surg</w:t>
      </w:r>
      <w:proofErr w:type="spellEnd"/>
      <w:r>
        <w:t xml:space="preserve"> </w:t>
      </w:r>
      <w:r w:rsidRPr="001B1C55">
        <w:t>2008</w:t>
      </w:r>
      <w:r>
        <w:t xml:space="preserve">; 86: </w:t>
      </w:r>
      <w:r w:rsidRPr="001B1C55">
        <w:t>882-</w:t>
      </w:r>
      <w:r>
        <w:t>88</w:t>
      </w:r>
      <w:r w:rsidRPr="001B1C55">
        <w:t>8</w:t>
      </w:r>
    </w:p>
  </w:footnote>
  <w:footnote w:id="16">
    <w:p w14:paraId="23B04F5B" w14:textId="77777777" w:rsidR="00C313C9" w:rsidRPr="006A7861" w:rsidRDefault="00C313C9">
      <w:pPr>
        <w:pStyle w:val="FootnoteText"/>
        <w:rPr>
          <w:lang w:val="en-US"/>
        </w:rPr>
      </w:pPr>
      <w:r>
        <w:rPr>
          <w:rStyle w:val="FootnoteReference"/>
        </w:rPr>
        <w:footnoteRef/>
      </w:r>
      <w:r>
        <w:t xml:space="preserve"> </w:t>
      </w:r>
      <w:r w:rsidRPr="001B1C55">
        <w:t xml:space="preserve">Goldman, A., </w:t>
      </w:r>
      <w:r>
        <w:t xml:space="preserve">et al. Nitric oxide is superior to </w:t>
      </w:r>
      <w:r w:rsidRPr="001B1C55">
        <w:t xml:space="preserve">prostacyclin for pulmonary hypertension after cardiac operations. </w:t>
      </w:r>
      <w:r w:rsidRPr="00212EC6">
        <w:rPr>
          <w:i/>
        </w:rPr>
        <w:t xml:space="preserve">Ann </w:t>
      </w:r>
      <w:proofErr w:type="spellStart"/>
      <w:r w:rsidRPr="00212EC6">
        <w:rPr>
          <w:i/>
        </w:rPr>
        <w:t>Thorac</w:t>
      </w:r>
      <w:proofErr w:type="spellEnd"/>
      <w:r w:rsidRPr="00212EC6">
        <w:rPr>
          <w:i/>
        </w:rPr>
        <w:t xml:space="preserve"> </w:t>
      </w:r>
      <w:proofErr w:type="spellStart"/>
      <w:r w:rsidRPr="00212EC6">
        <w:rPr>
          <w:i/>
        </w:rPr>
        <w:t>Surg</w:t>
      </w:r>
      <w:proofErr w:type="spellEnd"/>
      <w:r>
        <w:t xml:space="preserve"> </w:t>
      </w:r>
      <w:r w:rsidRPr="001B1C55">
        <w:t>19</w:t>
      </w:r>
      <w:r>
        <w:t>95</w:t>
      </w:r>
    </w:p>
  </w:footnote>
  <w:footnote w:id="17">
    <w:p w14:paraId="3DE10F57" w14:textId="77777777" w:rsidR="00C313C9" w:rsidRPr="006A7861" w:rsidRDefault="00C313C9">
      <w:pPr>
        <w:pStyle w:val="FootnoteText"/>
        <w:rPr>
          <w:lang w:val="en-US"/>
        </w:rPr>
      </w:pPr>
      <w:r>
        <w:rPr>
          <w:rStyle w:val="FootnoteReference"/>
        </w:rPr>
        <w:footnoteRef/>
      </w:r>
      <w:r>
        <w:t xml:space="preserve"> Stocker, C. et al.</w:t>
      </w:r>
      <w:r w:rsidRPr="001B1C55">
        <w:t xml:space="preserve"> Intravenous sildenafil and inhaled n</w:t>
      </w:r>
      <w:r>
        <w:t xml:space="preserve">itric oxide: a randomised trial </w:t>
      </w:r>
      <w:r w:rsidRPr="001B1C55">
        <w:t>in infants after card</w:t>
      </w:r>
      <w:r>
        <w:t xml:space="preserve">iac surgery. </w:t>
      </w:r>
      <w:r w:rsidRPr="00123A62">
        <w:rPr>
          <w:i/>
        </w:rPr>
        <w:t>Intensive Care Med</w:t>
      </w:r>
      <w:r w:rsidRPr="001B1C55">
        <w:t xml:space="preserve"> </w:t>
      </w:r>
      <w:r>
        <w:t>2003; 29: 1996-2003</w:t>
      </w:r>
    </w:p>
  </w:footnote>
  <w:footnote w:id="18">
    <w:p w14:paraId="2C31E0BF" w14:textId="08808AC1" w:rsidR="00C313C9" w:rsidRPr="009B308E" w:rsidRDefault="00C313C9">
      <w:pPr>
        <w:pStyle w:val="FootnoteText"/>
        <w:rPr>
          <w:lang w:val="en-US"/>
        </w:rPr>
      </w:pPr>
      <w:r>
        <w:rPr>
          <w:rStyle w:val="FootnoteReference"/>
        </w:rPr>
        <w:footnoteRef/>
      </w:r>
      <w:r>
        <w:t xml:space="preserve"> </w:t>
      </w:r>
      <w:r>
        <w:rPr>
          <w:lang w:val="en-US"/>
        </w:rPr>
        <w:t>Corrections to table made during the evaluation</w:t>
      </w:r>
    </w:p>
  </w:footnote>
  <w:footnote w:id="19">
    <w:p w14:paraId="7E16646A" w14:textId="77777777" w:rsidR="00C313C9" w:rsidRPr="006A7861" w:rsidRDefault="00C313C9">
      <w:pPr>
        <w:pStyle w:val="FootnoteText"/>
        <w:rPr>
          <w:lang w:val="en-US"/>
        </w:rPr>
      </w:pPr>
      <w:r>
        <w:rPr>
          <w:rStyle w:val="FootnoteReference"/>
        </w:rPr>
        <w:footnoteRef/>
      </w:r>
      <w:r>
        <w:t xml:space="preserve"> </w:t>
      </w:r>
      <w:proofErr w:type="spellStart"/>
      <w:proofErr w:type="gramStart"/>
      <w:r>
        <w:t>Fattouch</w:t>
      </w:r>
      <w:proofErr w:type="spellEnd"/>
      <w:r>
        <w:t>, K. et al</w:t>
      </w:r>
      <w:r w:rsidRPr="001B1C55">
        <w:t>. Inhaled prostacyclin, nit</w:t>
      </w:r>
      <w:r>
        <w:t xml:space="preserve">ric oxide, and nitroprusside in </w:t>
      </w:r>
      <w:r w:rsidRPr="001B1C55">
        <w:t>pulmonary hypertension after mitral</w:t>
      </w:r>
      <w:r>
        <w:t xml:space="preserve"> valve replacement.</w:t>
      </w:r>
      <w:proofErr w:type="gramEnd"/>
      <w:r>
        <w:t xml:space="preserve"> </w:t>
      </w:r>
      <w:r w:rsidRPr="00212EC6">
        <w:rPr>
          <w:i/>
        </w:rPr>
        <w:t xml:space="preserve">J Card </w:t>
      </w:r>
      <w:proofErr w:type="spellStart"/>
      <w:r w:rsidRPr="00212EC6">
        <w:rPr>
          <w:i/>
        </w:rPr>
        <w:t>Surg</w:t>
      </w:r>
      <w:proofErr w:type="spellEnd"/>
      <w:r>
        <w:t xml:space="preserve"> </w:t>
      </w:r>
      <w:r w:rsidRPr="001B1C55">
        <w:t>2005</w:t>
      </w:r>
      <w:r>
        <w:t xml:space="preserve">; 20: </w:t>
      </w:r>
      <w:r w:rsidRPr="001B1C55">
        <w:t>171-</w:t>
      </w:r>
      <w:r>
        <w:t>176</w:t>
      </w:r>
    </w:p>
  </w:footnote>
  <w:footnote w:id="20">
    <w:p w14:paraId="3C173CEE" w14:textId="77777777" w:rsidR="00C313C9" w:rsidRPr="006A7861" w:rsidRDefault="00C313C9">
      <w:pPr>
        <w:pStyle w:val="FootnoteText"/>
        <w:rPr>
          <w:lang w:val="en-US"/>
        </w:rPr>
      </w:pPr>
      <w:r>
        <w:rPr>
          <w:rStyle w:val="FootnoteReference"/>
        </w:rPr>
        <w:footnoteRef/>
      </w:r>
      <w:r>
        <w:t xml:space="preserve"> </w:t>
      </w:r>
      <w:proofErr w:type="spellStart"/>
      <w:r>
        <w:t>Fattouch</w:t>
      </w:r>
      <w:proofErr w:type="spellEnd"/>
      <w:r>
        <w:t>, K. et al.</w:t>
      </w:r>
      <w:r w:rsidRPr="001B1C55">
        <w:t xml:space="preserve"> Treatment of pulmonary hype</w:t>
      </w:r>
      <w:r>
        <w:t xml:space="preserve">rtension in patients undergoing </w:t>
      </w:r>
      <w:r w:rsidRPr="001B1C55">
        <w:t>cardiac surgery with cardiopulmonary bypass: a random</w:t>
      </w:r>
      <w:r>
        <w:t xml:space="preserve">ized, prospective, double blind </w:t>
      </w:r>
      <w:r w:rsidRPr="001B1C55">
        <w:t>study</w:t>
      </w:r>
      <w:r w:rsidRPr="00212EC6">
        <w:rPr>
          <w:i/>
        </w:rPr>
        <w:t xml:space="preserve">. J </w:t>
      </w:r>
      <w:proofErr w:type="spellStart"/>
      <w:r w:rsidRPr="00212EC6">
        <w:rPr>
          <w:i/>
        </w:rPr>
        <w:t>Cardiovasc</w:t>
      </w:r>
      <w:proofErr w:type="spellEnd"/>
      <w:r w:rsidRPr="00212EC6">
        <w:rPr>
          <w:i/>
        </w:rPr>
        <w:t xml:space="preserve"> Med (Hagerstown ) </w:t>
      </w:r>
      <w:r w:rsidRPr="001B1C55">
        <w:t>2006</w:t>
      </w:r>
      <w:r>
        <w:t xml:space="preserve">; 7: </w:t>
      </w:r>
      <w:r w:rsidRPr="001B1C55">
        <w:t>119-</w:t>
      </w:r>
      <w:r>
        <w:t>123</w:t>
      </w:r>
    </w:p>
  </w:footnote>
  <w:footnote w:id="21">
    <w:p w14:paraId="62894B34" w14:textId="77777777" w:rsidR="00C313C9" w:rsidRPr="006A7861" w:rsidRDefault="00C313C9">
      <w:pPr>
        <w:pStyle w:val="FootnoteText"/>
        <w:rPr>
          <w:lang w:val="en-US"/>
        </w:rPr>
      </w:pPr>
      <w:r>
        <w:rPr>
          <w:rStyle w:val="FootnoteReference"/>
        </w:rPr>
        <w:footnoteRef/>
      </w:r>
      <w:r>
        <w:t xml:space="preserve"> </w:t>
      </w:r>
      <w:proofErr w:type="spellStart"/>
      <w:proofErr w:type="gramStart"/>
      <w:r>
        <w:t>Gianetti</w:t>
      </w:r>
      <w:proofErr w:type="spellEnd"/>
      <w:r>
        <w:t>, J. et al</w:t>
      </w:r>
      <w:r w:rsidRPr="001B1C55">
        <w:t xml:space="preserve">. Supplemental nitric oxide and its </w:t>
      </w:r>
      <w:r>
        <w:t xml:space="preserve">effect on myocardial injury and </w:t>
      </w:r>
      <w:r w:rsidRPr="001B1C55">
        <w:t>function in patients undergoing cardiac surgery with extra</w:t>
      </w:r>
      <w:r>
        <w:t>corporeal circulation.</w:t>
      </w:r>
      <w:proofErr w:type="gramEnd"/>
      <w:r>
        <w:t xml:space="preserve"> </w:t>
      </w:r>
      <w:r w:rsidRPr="00212EC6">
        <w:rPr>
          <w:i/>
        </w:rPr>
        <w:t xml:space="preserve">J </w:t>
      </w:r>
      <w:proofErr w:type="spellStart"/>
      <w:r w:rsidRPr="00212EC6">
        <w:rPr>
          <w:i/>
        </w:rPr>
        <w:t>Thorac</w:t>
      </w:r>
      <w:proofErr w:type="spellEnd"/>
      <w:r w:rsidRPr="00212EC6">
        <w:rPr>
          <w:i/>
        </w:rPr>
        <w:t xml:space="preserve"> </w:t>
      </w:r>
      <w:proofErr w:type="spellStart"/>
      <w:r w:rsidRPr="00212EC6">
        <w:rPr>
          <w:i/>
        </w:rPr>
        <w:t>Cardiovasc</w:t>
      </w:r>
      <w:proofErr w:type="spellEnd"/>
      <w:r w:rsidRPr="00212EC6">
        <w:rPr>
          <w:i/>
        </w:rPr>
        <w:t xml:space="preserve"> </w:t>
      </w:r>
      <w:proofErr w:type="spellStart"/>
      <w:r w:rsidRPr="00212EC6">
        <w:rPr>
          <w:i/>
        </w:rPr>
        <w:t>Surg</w:t>
      </w:r>
      <w:proofErr w:type="spellEnd"/>
      <w:r w:rsidRPr="001B1C55">
        <w:t xml:space="preserve"> 2004</w:t>
      </w:r>
      <w:r>
        <w:t>;127: 44-50</w:t>
      </w:r>
    </w:p>
  </w:footnote>
  <w:footnote w:id="22">
    <w:p w14:paraId="4816F470" w14:textId="77777777" w:rsidR="00C313C9" w:rsidRPr="006A7861" w:rsidRDefault="00C313C9" w:rsidP="006B6C70">
      <w:pPr>
        <w:pStyle w:val="FootnoteText"/>
        <w:rPr>
          <w:lang w:val="en-US"/>
        </w:rPr>
      </w:pPr>
      <w:r>
        <w:rPr>
          <w:rStyle w:val="FootnoteReference"/>
        </w:rPr>
        <w:footnoteRef/>
      </w:r>
      <w:r>
        <w:t xml:space="preserve"> </w:t>
      </w:r>
      <w:proofErr w:type="spellStart"/>
      <w:proofErr w:type="gramStart"/>
      <w:r>
        <w:t>Schmid</w:t>
      </w:r>
      <w:proofErr w:type="spellEnd"/>
      <w:r>
        <w:t>, E. et al.</w:t>
      </w:r>
      <w:r w:rsidRPr="001B1C55">
        <w:t xml:space="preserve"> Inhaled nitric oxide versus intravenous vasodilators </w:t>
      </w:r>
      <w:r>
        <w:t xml:space="preserve">in severe </w:t>
      </w:r>
      <w:r w:rsidRPr="001B1C55">
        <w:t>pulmonary hypertension afte</w:t>
      </w:r>
      <w:r>
        <w:t>r cardiac surgery.</w:t>
      </w:r>
      <w:proofErr w:type="gramEnd"/>
      <w:r>
        <w:t xml:space="preserve"> </w:t>
      </w:r>
      <w:proofErr w:type="spellStart"/>
      <w:r w:rsidRPr="00123A62">
        <w:rPr>
          <w:i/>
        </w:rPr>
        <w:t>Anesth</w:t>
      </w:r>
      <w:proofErr w:type="spellEnd"/>
      <w:r w:rsidRPr="00123A62">
        <w:rPr>
          <w:i/>
        </w:rPr>
        <w:t xml:space="preserve"> </w:t>
      </w:r>
      <w:proofErr w:type="spellStart"/>
      <w:r w:rsidRPr="00123A62">
        <w:rPr>
          <w:i/>
        </w:rPr>
        <w:t>Analg</w:t>
      </w:r>
      <w:proofErr w:type="spellEnd"/>
      <w:r w:rsidRPr="00123A62">
        <w:t xml:space="preserve"> </w:t>
      </w:r>
      <w:r w:rsidRPr="001B1C55">
        <w:t>1999</w:t>
      </w:r>
      <w:r>
        <w:t>; 89: 1108-1115</w:t>
      </w:r>
    </w:p>
  </w:footnote>
  <w:footnote w:id="23">
    <w:p w14:paraId="33AC51C4" w14:textId="77777777" w:rsidR="00C313C9" w:rsidRPr="006A7861" w:rsidRDefault="00C313C9">
      <w:pPr>
        <w:pStyle w:val="FootnoteText"/>
        <w:rPr>
          <w:lang w:val="en-US"/>
        </w:rPr>
      </w:pPr>
      <w:r>
        <w:rPr>
          <w:rStyle w:val="FootnoteReference"/>
        </w:rPr>
        <w:footnoteRef/>
      </w:r>
      <w:r>
        <w:t xml:space="preserve"> </w:t>
      </w:r>
      <w:proofErr w:type="spellStart"/>
      <w:r>
        <w:t>Winterhalter</w:t>
      </w:r>
      <w:proofErr w:type="spellEnd"/>
      <w:r>
        <w:t>, M. et al.</w:t>
      </w:r>
      <w:r w:rsidRPr="001B1C55">
        <w:t xml:space="preserve"> Comparison of inhaled ilopro</w:t>
      </w:r>
      <w:r>
        <w:t xml:space="preserve">st and nitric oxide in patients </w:t>
      </w:r>
      <w:r w:rsidRPr="001B1C55">
        <w:t>with pulmonary hypertension during weaning from ca</w:t>
      </w:r>
      <w:r>
        <w:t xml:space="preserve">rdiopulmonary bypass in cardiac </w:t>
      </w:r>
      <w:r w:rsidRPr="001B1C55">
        <w:t>surgery: a prospective randomized tr</w:t>
      </w:r>
      <w:r>
        <w:t xml:space="preserve">ial. </w:t>
      </w:r>
      <w:r w:rsidRPr="00BB4248">
        <w:rPr>
          <w:i/>
        </w:rPr>
        <w:t xml:space="preserve">J </w:t>
      </w:r>
      <w:proofErr w:type="spellStart"/>
      <w:r w:rsidRPr="00BB4248">
        <w:rPr>
          <w:i/>
        </w:rPr>
        <w:t>Cardiothorac</w:t>
      </w:r>
      <w:proofErr w:type="spellEnd"/>
      <w:r w:rsidRPr="00BB4248">
        <w:rPr>
          <w:i/>
        </w:rPr>
        <w:t xml:space="preserve"> </w:t>
      </w:r>
      <w:proofErr w:type="spellStart"/>
      <w:r w:rsidRPr="00BB4248">
        <w:rPr>
          <w:i/>
        </w:rPr>
        <w:t>Vasc</w:t>
      </w:r>
      <w:proofErr w:type="spellEnd"/>
      <w:r w:rsidRPr="00BB4248">
        <w:rPr>
          <w:i/>
        </w:rPr>
        <w:t xml:space="preserve"> </w:t>
      </w:r>
      <w:proofErr w:type="spellStart"/>
      <w:r w:rsidRPr="00BB4248">
        <w:rPr>
          <w:i/>
        </w:rPr>
        <w:t>Anesth</w:t>
      </w:r>
      <w:proofErr w:type="spellEnd"/>
      <w:r w:rsidRPr="00BB4248">
        <w:t xml:space="preserve"> </w:t>
      </w:r>
      <w:r w:rsidRPr="001B1C55">
        <w:t>2008</w:t>
      </w:r>
      <w:r>
        <w:t xml:space="preserve">; 22: </w:t>
      </w:r>
      <w:r w:rsidRPr="001B1C55">
        <w:t>406-</w:t>
      </w:r>
      <w:r>
        <w:t>413</w:t>
      </w:r>
    </w:p>
  </w:footnote>
  <w:footnote w:id="24">
    <w:p w14:paraId="74C9A750" w14:textId="77777777" w:rsidR="00C313C9" w:rsidRPr="006A7861" w:rsidRDefault="00C313C9">
      <w:pPr>
        <w:pStyle w:val="FootnoteText"/>
        <w:rPr>
          <w:lang w:val="en-US"/>
        </w:rPr>
      </w:pPr>
      <w:r>
        <w:rPr>
          <w:rStyle w:val="FootnoteReference"/>
        </w:rPr>
        <w:footnoteRef/>
      </w:r>
      <w:r>
        <w:t xml:space="preserve"> </w:t>
      </w:r>
      <w:proofErr w:type="spellStart"/>
      <w:r>
        <w:t>Solina</w:t>
      </w:r>
      <w:proofErr w:type="spellEnd"/>
      <w:r>
        <w:t>, A. et al.</w:t>
      </w:r>
      <w:r w:rsidRPr="001B1C55">
        <w:t xml:space="preserve"> </w:t>
      </w:r>
      <w:proofErr w:type="gramStart"/>
      <w:r w:rsidRPr="001B1C55">
        <w:t>A comparison of inhaled nit</w:t>
      </w:r>
      <w:r>
        <w:t xml:space="preserve">ric oxide and milrinone for the </w:t>
      </w:r>
      <w:r w:rsidRPr="001B1C55">
        <w:t>treatment of pulmonary hypertension in adult cardiac surgery patients.</w:t>
      </w:r>
      <w:proofErr w:type="gramEnd"/>
      <w:r w:rsidRPr="001B1C55">
        <w:t xml:space="preserve"> </w:t>
      </w:r>
      <w:r w:rsidRPr="00123A62">
        <w:rPr>
          <w:i/>
        </w:rPr>
        <w:t xml:space="preserve">J </w:t>
      </w:r>
      <w:proofErr w:type="spellStart"/>
      <w:r w:rsidRPr="00123A62">
        <w:rPr>
          <w:i/>
        </w:rPr>
        <w:t>Cardiothorac</w:t>
      </w:r>
      <w:proofErr w:type="spellEnd"/>
      <w:r w:rsidRPr="00123A62">
        <w:rPr>
          <w:i/>
        </w:rPr>
        <w:t xml:space="preserve"> </w:t>
      </w:r>
      <w:proofErr w:type="spellStart"/>
      <w:r w:rsidRPr="00123A62">
        <w:rPr>
          <w:i/>
        </w:rPr>
        <w:t>Vasc</w:t>
      </w:r>
      <w:proofErr w:type="spellEnd"/>
      <w:r w:rsidRPr="00123A62">
        <w:rPr>
          <w:i/>
        </w:rPr>
        <w:t xml:space="preserve"> </w:t>
      </w:r>
      <w:proofErr w:type="spellStart"/>
      <w:r w:rsidRPr="00123A62">
        <w:rPr>
          <w:i/>
        </w:rPr>
        <w:t>Anesth</w:t>
      </w:r>
      <w:proofErr w:type="spellEnd"/>
      <w:r>
        <w:t xml:space="preserve"> </w:t>
      </w:r>
      <w:r w:rsidRPr="001B1C55">
        <w:t>2000</w:t>
      </w:r>
      <w:r>
        <w:t xml:space="preserve">; 14: </w:t>
      </w:r>
      <w:r w:rsidRPr="001B1C55">
        <w:t>12-</w:t>
      </w:r>
      <w:r>
        <w:t>17</w:t>
      </w:r>
    </w:p>
  </w:footnote>
  <w:footnote w:id="25">
    <w:p w14:paraId="7724A377" w14:textId="77777777" w:rsidR="00C313C9" w:rsidRPr="006A7861" w:rsidRDefault="00C313C9">
      <w:pPr>
        <w:pStyle w:val="FootnoteText"/>
        <w:rPr>
          <w:lang w:val="en-US"/>
        </w:rPr>
      </w:pPr>
      <w:r>
        <w:rPr>
          <w:rStyle w:val="FootnoteReference"/>
        </w:rPr>
        <w:footnoteRef/>
      </w:r>
      <w:r>
        <w:t xml:space="preserve"> </w:t>
      </w:r>
      <w:proofErr w:type="spellStart"/>
      <w:proofErr w:type="gramStart"/>
      <w:r>
        <w:t>Solina</w:t>
      </w:r>
      <w:proofErr w:type="spellEnd"/>
      <w:r>
        <w:t>, A. et al.</w:t>
      </w:r>
      <w:r w:rsidRPr="001B1C55">
        <w:t xml:space="preserve"> Dose response to nitric oxide in ad</w:t>
      </w:r>
      <w:r>
        <w:t>ult cardiac surgery patients.</w:t>
      </w:r>
      <w:proofErr w:type="gramEnd"/>
      <w:r>
        <w:t xml:space="preserve"> </w:t>
      </w:r>
      <w:r w:rsidRPr="00123A62">
        <w:rPr>
          <w:i/>
        </w:rPr>
        <w:t xml:space="preserve">J </w:t>
      </w:r>
      <w:proofErr w:type="spellStart"/>
      <w:r w:rsidRPr="00123A62">
        <w:rPr>
          <w:i/>
        </w:rPr>
        <w:t>Clin</w:t>
      </w:r>
      <w:proofErr w:type="spellEnd"/>
      <w:r w:rsidRPr="00123A62">
        <w:rPr>
          <w:i/>
        </w:rPr>
        <w:t xml:space="preserve"> </w:t>
      </w:r>
      <w:proofErr w:type="spellStart"/>
      <w:r w:rsidRPr="00123A62">
        <w:rPr>
          <w:i/>
        </w:rPr>
        <w:t>Anesth</w:t>
      </w:r>
      <w:proofErr w:type="spellEnd"/>
      <w:r w:rsidRPr="001B1C55">
        <w:t xml:space="preserve"> 2001</w:t>
      </w:r>
      <w:r>
        <w:t xml:space="preserve">; 13: </w:t>
      </w:r>
      <w:r w:rsidRPr="001B1C55">
        <w:t>281-</w:t>
      </w:r>
      <w:r>
        <w:t>286</w:t>
      </w:r>
    </w:p>
  </w:footnote>
  <w:footnote w:id="26">
    <w:p w14:paraId="40B9E68F" w14:textId="12A42103" w:rsidR="00C313C9" w:rsidRPr="009B308E" w:rsidRDefault="00C313C9">
      <w:pPr>
        <w:pStyle w:val="FootnoteText"/>
        <w:rPr>
          <w:lang w:val="en-US"/>
        </w:rPr>
      </w:pPr>
      <w:r>
        <w:rPr>
          <w:rStyle w:val="FootnoteReference"/>
        </w:rPr>
        <w:footnoteRef/>
      </w:r>
      <w:r>
        <w:t xml:space="preserve"> </w:t>
      </w:r>
      <w:r>
        <w:rPr>
          <w:lang w:val="en-US"/>
        </w:rPr>
        <w:t xml:space="preserve">Clarification; the text should read “the two </w:t>
      </w:r>
      <w:proofErr w:type="spellStart"/>
      <w:r>
        <w:rPr>
          <w:lang w:val="en-US"/>
        </w:rPr>
        <w:t>Fattouch</w:t>
      </w:r>
      <w:proofErr w:type="spellEnd"/>
      <w:r>
        <w:rPr>
          <w:lang w:val="en-US"/>
        </w:rPr>
        <w:t xml:space="preserve"> studies were described by the authors’ as double blind”</w:t>
      </w:r>
    </w:p>
  </w:footnote>
  <w:footnote w:id="27">
    <w:p w14:paraId="53A012BA" w14:textId="77777777" w:rsidR="00C313C9" w:rsidRPr="006A7861" w:rsidRDefault="00C313C9">
      <w:pPr>
        <w:pStyle w:val="FootnoteText"/>
        <w:rPr>
          <w:lang w:val="en-US"/>
        </w:rPr>
      </w:pPr>
      <w:r>
        <w:rPr>
          <w:rStyle w:val="FootnoteReference"/>
        </w:rPr>
        <w:footnoteRef/>
      </w:r>
      <w:r>
        <w:t xml:space="preserve"> </w:t>
      </w:r>
      <w:proofErr w:type="spellStart"/>
      <w:proofErr w:type="gramStart"/>
      <w:r>
        <w:t>Ardehali</w:t>
      </w:r>
      <w:proofErr w:type="spellEnd"/>
      <w:r>
        <w:t>, A. et al</w:t>
      </w:r>
      <w:r w:rsidRPr="001B1C55">
        <w:t>. Inhaled nitric oxide for pul</w:t>
      </w:r>
      <w:r>
        <w:t xml:space="preserve">monary hypertension after heart </w:t>
      </w:r>
      <w:r w:rsidRPr="001B1C55">
        <w:t>transplantation.</w:t>
      </w:r>
      <w:proofErr w:type="gramEnd"/>
      <w:r w:rsidRPr="001B1C55">
        <w:t xml:space="preserve"> </w:t>
      </w:r>
      <w:r w:rsidRPr="00EB0554">
        <w:rPr>
          <w:i/>
        </w:rPr>
        <w:t>Transplantation</w:t>
      </w:r>
      <w:r w:rsidRPr="001B1C55">
        <w:t>, 2001</w:t>
      </w:r>
      <w:r>
        <w:t xml:space="preserve">; 72:, </w:t>
      </w:r>
      <w:r w:rsidRPr="001B1C55">
        <w:t>638-</w:t>
      </w:r>
      <w:r>
        <w:t>6</w:t>
      </w:r>
      <w:r w:rsidRPr="001B1C55">
        <w:t>41</w:t>
      </w:r>
    </w:p>
  </w:footnote>
  <w:footnote w:id="28">
    <w:p w14:paraId="3EFB4535" w14:textId="77777777" w:rsidR="00C313C9" w:rsidRPr="006A7861" w:rsidRDefault="00C313C9">
      <w:pPr>
        <w:pStyle w:val="FootnoteText"/>
        <w:rPr>
          <w:lang w:val="en-US"/>
        </w:rPr>
      </w:pPr>
      <w:r>
        <w:rPr>
          <w:rStyle w:val="FootnoteReference"/>
        </w:rPr>
        <w:footnoteRef/>
      </w:r>
      <w:r>
        <w:t xml:space="preserve"> </w:t>
      </w:r>
      <w:proofErr w:type="spellStart"/>
      <w:r>
        <w:t>Rajek</w:t>
      </w:r>
      <w:proofErr w:type="spellEnd"/>
      <w:r>
        <w:t>, A. et al</w:t>
      </w:r>
      <w:r w:rsidRPr="001B1C55">
        <w:t>. Inhaled nitric oxide reduces pulmonary vas</w:t>
      </w:r>
      <w:r>
        <w:t xml:space="preserve">cular resistance more </w:t>
      </w:r>
      <w:r w:rsidRPr="001B1C55">
        <w:t xml:space="preserve">than prostaglandin </w:t>
      </w:r>
      <w:proofErr w:type="gramStart"/>
      <w:r w:rsidRPr="001B1C55">
        <w:t>E(</w:t>
      </w:r>
      <w:proofErr w:type="gramEnd"/>
      <w:r w:rsidRPr="001B1C55">
        <w:t xml:space="preserve">1) during heart transplantation. </w:t>
      </w:r>
      <w:proofErr w:type="spellStart"/>
      <w:r w:rsidRPr="00123A62">
        <w:rPr>
          <w:i/>
        </w:rPr>
        <w:t>Anesth</w:t>
      </w:r>
      <w:proofErr w:type="spellEnd"/>
      <w:r w:rsidRPr="00123A62">
        <w:rPr>
          <w:i/>
        </w:rPr>
        <w:t xml:space="preserve"> </w:t>
      </w:r>
      <w:proofErr w:type="spellStart"/>
      <w:r w:rsidRPr="00123A62">
        <w:rPr>
          <w:i/>
        </w:rPr>
        <w:t>Analg</w:t>
      </w:r>
      <w:proofErr w:type="spellEnd"/>
      <w:r>
        <w:t xml:space="preserve"> </w:t>
      </w:r>
      <w:r w:rsidRPr="001B1C55">
        <w:t>2000</w:t>
      </w:r>
      <w:r>
        <w:t>; 90: 523-530</w:t>
      </w:r>
    </w:p>
  </w:footnote>
  <w:footnote w:id="29">
    <w:p w14:paraId="489AE1B6" w14:textId="77777777" w:rsidR="00C313C9" w:rsidRPr="006A7861" w:rsidRDefault="00C313C9">
      <w:pPr>
        <w:pStyle w:val="FootnoteText"/>
        <w:rPr>
          <w:lang w:val="en-US"/>
        </w:rPr>
      </w:pPr>
      <w:r>
        <w:rPr>
          <w:rStyle w:val="FootnoteReference"/>
        </w:rPr>
        <w:footnoteRef/>
      </w:r>
      <w:r>
        <w:t xml:space="preserve"> </w:t>
      </w:r>
      <w:proofErr w:type="spellStart"/>
      <w:proofErr w:type="gramStart"/>
      <w:r>
        <w:t>Radovancevic</w:t>
      </w:r>
      <w:proofErr w:type="spellEnd"/>
      <w:r>
        <w:t>, B. et al.</w:t>
      </w:r>
      <w:r w:rsidRPr="001B1C55">
        <w:t xml:space="preserve"> Nitric oxide versus pr</w:t>
      </w:r>
      <w:r>
        <w:t xml:space="preserve">ostaglandin E1 for reduction of </w:t>
      </w:r>
      <w:r w:rsidRPr="001B1C55">
        <w:t>pulmonary hypertension in heart transplant candidates.</w:t>
      </w:r>
      <w:proofErr w:type="gramEnd"/>
      <w:r w:rsidRPr="001B1C55">
        <w:t xml:space="preserve"> </w:t>
      </w:r>
      <w:r w:rsidRPr="00123A62">
        <w:rPr>
          <w:i/>
        </w:rPr>
        <w:t>J Heart Lung Transplant</w:t>
      </w:r>
      <w:r>
        <w:t xml:space="preserve"> </w:t>
      </w:r>
      <w:r w:rsidRPr="001B1C55">
        <w:t>2005</w:t>
      </w:r>
      <w:r>
        <w:t xml:space="preserve">; 24: </w:t>
      </w:r>
      <w:r w:rsidRPr="001B1C55">
        <w:t>690-</w:t>
      </w:r>
      <w:r>
        <w:t>695</w:t>
      </w:r>
    </w:p>
  </w:footnote>
  <w:footnote w:id="30">
    <w:p w14:paraId="78D1ECB0" w14:textId="77777777" w:rsidR="00C313C9" w:rsidRPr="006A7861" w:rsidRDefault="00C313C9">
      <w:pPr>
        <w:pStyle w:val="FootnoteText"/>
        <w:rPr>
          <w:lang w:val="en-US"/>
        </w:rPr>
      </w:pPr>
      <w:r>
        <w:rPr>
          <w:rStyle w:val="FootnoteReference"/>
        </w:rPr>
        <w:footnoteRef/>
      </w:r>
      <w:r>
        <w:t xml:space="preserve"> </w:t>
      </w:r>
      <w:proofErr w:type="spellStart"/>
      <w:r>
        <w:t>Argenziano</w:t>
      </w:r>
      <w:proofErr w:type="spellEnd"/>
      <w:r>
        <w:t>, M. et al.</w:t>
      </w:r>
      <w:r w:rsidRPr="001B1C55">
        <w:t xml:space="preserve"> Randomized, </w:t>
      </w:r>
      <w:r>
        <w:t>double blind</w:t>
      </w:r>
      <w:r w:rsidRPr="001B1C55">
        <w:t xml:space="preserve"> trial of inhaled nitric ox</w:t>
      </w:r>
      <w:r>
        <w:t xml:space="preserve">ide in </w:t>
      </w:r>
      <w:r w:rsidRPr="001B1C55">
        <w:t xml:space="preserve">LVAD recipients with pulmonary hypertension. </w:t>
      </w:r>
      <w:r w:rsidRPr="00EB0554">
        <w:rPr>
          <w:i/>
        </w:rPr>
        <w:t xml:space="preserve">Ann </w:t>
      </w:r>
      <w:proofErr w:type="spellStart"/>
      <w:r w:rsidRPr="00EB0554">
        <w:rPr>
          <w:i/>
        </w:rPr>
        <w:t>Thorac</w:t>
      </w:r>
      <w:proofErr w:type="spellEnd"/>
      <w:r w:rsidRPr="00EB0554">
        <w:rPr>
          <w:i/>
        </w:rPr>
        <w:t xml:space="preserve"> </w:t>
      </w:r>
      <w:proofErr w:type="spellStart"/>
      <w:r w:rsidRPr="00EB0554">
        <w:rPr>
          <w:i/>
        </w:rPr>
        <w:t>Surg</w:t>
      </w:r>
      <w:proofErr w:type="spellEnd"/>
      <w:r w:rsidRPr="001B1C55">
        <w:t xml:space="preserve"> 1998</w:t>
      </w:r>
      <w:r>
        <w:t xml:space="preserve">; 65: </w:t>
      </w:r>
      <w:r w:rsidRPr="001B1C55">
        <w:t>340-</w:t>
      </w:r>
      <w:r>
        <w:t>34</w:t>
      </w:r>
      <w:r w:rsidRPr="001B1C55">
        <w:t>5</w:t>
      </w:r>
    </w:p>
  </w:footnote>
  <w:footnote w:id="31">
    <w:p w14:paraId="15802170" w14:textId="682F4E13" w:rsidR="00C313C9" w:rsidRPr="009B308E" w:rsidRDefault="00C313C9">
      <w:pPr>
        <w:pStyle w:val="FootnoteText"/>
        <w:rPr>
          <w:lang w:val="en-US"/>
        </w:rPr>
      </w:pPr>
      <w:r>
        <w:rPr>
          <w:rStyle w:val="FootnoteReference"/>
        </w:rPr>
        <w:footnoteRef/>
      </w:r>
      <w:r>
        <w:t xml:space="preserve"> </w:t>
      </w:r>
      <w:r>
        <w:rPr>
          <w:lang w:val="en-US"/>
        </w:rPr>
        <w:t xml:space="preserve">Clarification: </w:t>
      </w:r>
      <w:r>
        <w:t>Sponsor use of term ‘pivotal’ was related to the fact that these were key studies in this orphan indication – not that they were comparative, randomised and controlled in design.</w:t>
      </w:r>
    </w:p>
  </w:footnote>
  <w:footnote w:id="32">
    <w:p w14:paraId="28721985" w14:textId="2B3E49F3" w:rsidR="00C313C9" w:rsidRPr="00FB0181" w:rsidRDefault="00C313C9" w:rsidP="00331CFC">
      <w:pPr>
        <w:pStyle w:val="FootnoteText"/>
        <w:rPr>
          <w:lang w:val="en-US"/>
        </w:rPr>
      </w:pPr>
      <w:r>
        <w:rPr>
          <w:rStyle w:val="FootnoteReference"/>
        </w:rPr>
        <w:footnoteRef/>
      </w:r>
      <w:r>
        <w:t xml:space="preserve"> </w:t>
      </w:r>
      <w:proofErr w:type="spellStart"/>
      <w:r w:rsidRPr="001B1C55">
        <w:t>Bocchi</w:t>
      </w:r>
      <w:proofErr w:type="spellEnd"/>
      <w:r w:rsidRPr="001B1C55">
        <w:t xml:space="preserve"> EA, et al. Inhaled nitric oxide leading to pulmonary </w:t>
      </w:r>
      <w:proofErr w:type="spellStart"/>
      <w:r w:rsidRPr="001B1C55">
        <w:t>edema</w:t>
      </w:r>
      <w:proofErr w:type="spellEnd"/>
      <w:r w:rsidRPr="001B1C55">
        <w:t xml:space="preserve"> in stable severe left heart failu</w:t>
      </w:r>
      <w:r>
        <w:t xml:space="preserve">re. </w:t>
      </w:r>
      <w:r w:rsidRPr="00040D18">
        <w:rPr>
          <w:i/>
        </w:rPr>
        <w:t xml:space="preserve">Am J </w:t>
      </w:r>
      <w:proofErr w:type="spellStart"/>
      <w:r w:rsidRPr="00040D18">
        <w:rPr>
          <w:i/>
        </w:rPr>
        <w:t>Cardiol</w:t>
      </w:r>
      <w:proofErr w:type="spellEnd"/>
      <w:r>
        <w:t xml:space="preserve"> 1994; 74: 70-72</w:t>
      </w:r>
    </w:p>
  </w:footnote>
  <w:footnote w:id="33">
    <w:p w14:paraId="3C49C747" w14:textId="77777777" w:rsidR="00C313C9" w:rsidRPr="00FB0181" w:rsidRDefault="00C313C9">
      <w:pPr>
        <w:pStyle w:val="FootnoteText"/>
        <w:rPr>
          <w:lang w:val="en-US"/>
        </w:rPr>
      </w:pPr>
      <w:r>
        <w:rPr>
          <w:rStyle w:val="FootnoteReference"/>
        </w:rPr>
        <w:footnoteRef/>
      </w:r>
      <w:r>
        <w:t xml:space="preserve"> </w:t>
      </w:r>
      <w:proofErr w:type="spellStart"/>
      <w:r w:rsidRPr="001B1C55">
        <w:t>Semigran</w:t>
      </w:r>
      <w:proofErr w:type="spellEnd"/>
      <w:r w:rsidRPr="001B1C55">
        <w:t xml:space="preserve"> MJ, et al. Hemodynamic effects of inhaled nitric oxide in heart failure. </w:t>
      </w:r>
      <w:r w:rsidRPr="00123A62">
        <w:rPr>
          <w:i/>
        </w:rPr>
        <w:t xml:space="preserve">J Am </w:t>
      </w:r>
      <w:proofErr w:type="spellStart"/>
      <w:r w:rsidRPr="00123A62">
        <w:rPr>
          <w:i/>
        </w:rPr>
        <w:t>Coll</w:t>
      </w:r>
      <w:proofErr w:type="spellEnd"/>
      <w:r w:rsidRPr="00123A62">
        <w:rPr>
          <w:i/>
        </w:rPr>
        <w:t xml:space="preserve"> </w:t>
      </w:r>
      <w:proofErr w:type="spellStart"/>
      <w:r w:rsidRPr="00123A62">
        <w:rPr>
          <w:i/>
        </w:rPr>
        <w:t>Cardiol</w:t>
      </w:r>
      <w:proofErr w:type="spellEnd"/>
      <w:r>
        <w:t xml:space="preserve"> 1994; 24: 982</w:t>
      </w:r>
    </w:p>
  </w:footnote>
  <w:footnote w:id="34">
    <w:p w14:paraId="756EBEF7" w14:textId="77777777" w:rsidR="00C313C9" w:rsidRDefault="00C313C9" w:rsidP="00BA132A">
      <w:pPr>
        <w:pStyle w:val="FootnoteText"/>
      </w:pPr>
      <w:r>
        <w:rPr>
          <w:rStyle w:val="FootnoteReference"/>
        </w:rPr>
        <w:footnoteRef/>
      </w:r>
      <w:r>
        <w:t xml:space="preserve"> </w:t>
      </w:r>
      <w:proofErr w:type="spellStart"/>
      <w:r>
        <w:t>Efron</w:t>
      </w:r>
      <w:proofErr w:type="spellEnd"/>
      <w:r>
        <w:t xml:space="preserve"> DT, Kirk SJ, Regan MC, et al. Nitric oxide generation from </w:t>
      </w:r>
      <w:proofErr w:type="spellStart"/>
      <w:r>
        <w:t>LArginine</w:t>
      </w:r>
      <w:proofErr w:type="spellEnd"/>
      <w:r>
        <w:t xml:space="preserve"> is required for optimal human peripheral blood lymphocyte DNA synthesis. Surgery 1991; 110: 327.</w:t>
      </w:r>
    </w:p>
    <w:p w14:paraId="34A0F135" w14:textId="77777777" w:rsidR="00C313C9" w:rsidRDefault="00C313C9" w:rsidP="00BA132A">
      <w:pPr>
        <w:pStyle w:val="FootnoteText"/>
      </w:pPr>
      <w:r w:rsidRPr="00A16CCE">
        <w:rPr>
          <w:lang w:val="de-DE"/>
        </w:rPr>
        <w:t xml:space="preserve">Kuo PC, Alfrey EJ, Krieger NR, et al. </w:t>
      </w:r>
      <w:r>
        <w:t>Differential localization of allograft nitric oxide synthesis: comparison of liver and heart transplantation in the rat model. Immunology 1996; 87: 647.</w:t>
      </w:r>
    </w:p>
    <w:p w14:paraId="1D525240" w14:textId="77777777" w:rsidR="00C313C9" w:rsidRPr="00402A7A" w:rsidRDefault="00C313C9" w:rsidP="00BA132A">
      <w:pPr>
        <w:pStyle w:val="FootnoteText"/>
      </w:pPr>
      <w:proofErr w:type="spellStart"/>
      <w:r>
        <w:t>Albin</w:t>
      </w:r>
      <w:proofErr w:type="spellEnd"/>
      <w:r>
        <w:t xml:space="preserve"> JE, Abate JA, Henry WL. Nitric oxide production is required for murine resident peritoneal macrophage to suppress mitogen stimulated </w:t>
      </w:r>
      <w:r w:rsidRPr="005C1C1F">
        <w:t xml:space="preserve">T-cell proliferation. </w:t>
      </w:r>
      <w:r>
        <w:t xml:space="preserve">J </w:t>
      </w:r>
      <w:proofErr w:type="spellStart"/>
      <w:r>
        <w:t>Immunol</w:t>
      </w:r>
      <w:proofErr w:type="spellEnd"/>
      <w:r>
        <w:t xml:space="preserve"> 1991; 147: 144.</w:t>
      </w:r>
    </w:p>
    <w:p w14:paraId="7A2A2C7A" w14:textId="77777777" w:rsidR="00C313C9" w:rsidRPr="0047320D" w:rsidRDefault="00C313C9" w:rsidP="00BA132A">
      <w:pPr>
        <w:pStyle w:val="FootnoteText"/>
        <w:rPr>
          <w:lang w:val="en-US"/>
        </w:rPr>
      </w:pPr>
      <w:proofErr w:type="spellStart"/>
      <w:r w:rsidRPr="00402A7A">
        <w:t>Sichel</w:t>
      </w:r>
      <w:proofErr w:type="spellEnd"/>
      <w:r w:rsidRPr="00402A7A">
        <w:t xml:space="preserve"> SC, Vasquez MA, Lu CY. </w:t>
      </w:r>
      <w:r>
        <w:t>Inhibition of macrophage I-</w:t>
      </w:r>
      <w:proofErr w:type="gramStart"/>
      <w:r>
        <w:t>A</w:t>
      </w:r>
      <w:proofErr w:type="gramEnd"/>
      <w:r>
        <w:t xml:space="preserve"> expression by nitric oxide. J </w:t>
      </w:r>
      <w:proofErr w:type="spellStart"/>
      <w:r>
        <w:t>Immunol</w:t>
      </w:r>
      <w:proofErr w:type="spellEnd"/>
      <w:r>
        <w:t xml:space="preserve"> 1994; 163: 1293.</w:t>
      </w:r>
    </w:p>
  </w:footnote>
  <w:footnote w:id="35">
    <w:p w14:paraId="7F38DA52" w14:textId="042E2551" w:rsidR="00C313C9" w:rsidRPr="004507BC" w:rsidRDefault="00C313C9" w:rsidP="009B308E">
      <w:pPr>
        <w:pStyle w:val="CommentText"/>
      </w:pPr>
      <w:r>
        <w:rPr>
          <w:rStyle w:val="FootnoteReference"/>
        </w:rPr>
        <w:footnoteRef/>
      </w:r>
      <w:r>
        <w:t xml:space="preserve"> </w:t>
      </w:r>
      <w:r>
        <w:rPr>
          <w:lang w:val="en-US"/>
        </w:rPr>
        <w:t xml:space="preserve">Clarification: </w:t>
      </w:r>
      <w:r>
        <w:t>This was agreed and implemented by Sponsor</w:t>
      </w:r>
    </w:p>
  </w:footnote>
  <w:footnote w:id="36">
    <w:p w14:paraId="3EF92C3F" w14:textId="77777777" w:rsidR="00C313C9" w:rsidRPr="00A3396B" w:rsidRDefault="00C313C9">
      <w:pPr>
        <w:pStyle w:val="FootnoteText"/>
        <w:rPr>
          <w:lang w:val="en-US"/>
        </w:rPr>
      </w:pPr>
      <w:r>
        <w:rPr>
          <w:rStyle w:val="FootnoteReference"/>
        </w:rPr>
        <w:footnoteRef/>
      </w:r>
      <w:r>
        <w:t xml:space="preserve"> </w:t>
      </w:r>
      <w:r w:rsidRPr="00A3396B">
        <w:rPr>
          <w:rFonts w:asciiTheme="minorHAnsi" w:hAnsiTheme="minorHAnsi"/>
          <w:szCs w:val="23"/>
        </w:rPr>
        <w:t>https://www.gov.uk/drug-safety-update/inomax-nitric-oxide-cylinders-valve-defect-might-stop-gas-delivery-early-in-some-cylinders</w:t>
      </w:r>
    </w:p>
  </w:footnote>
  <w:footnote w:id="37">
    <w:p w14:paraId="7D86E956" w14:textId="3011F589" w:rsidR="00C313C9" w:rsidRPr="009B308E" w:rsidRDefault="00C313C9" w:rsidP="0092006A">
      <w:pPr>
        <w:pStyle w:val="FootnoteText"/>
        <w:rPr>
          <w:lang w:val="en-US"/>
        </w:rPr>
      </w:pPr>
      <w:r>
        <w:rPr>
          <w:rStyle w:val="FootnoteReference"/>
        </w:rPr>
        <w:footnoteRef/>
      </w:r>
      <w:r>
        <w:t xml:space="preserve"> </w:t>
      </w:r>
      <w:r>
        <w:rPr>
          <w:lang w:val="en-US"/>
        </w:rPr>
        <w:t xml:space="preserve">Clarification: </w:t>
      </w:r>
      <w:r>
        <w:t xml:space="preserve">Regarding this dossier, the use of INOmax in this orphan indication has been primarily supported by published literature. As such, a literature based submission does not usually have the same coordination of </w:t>
      </w:r>
      <w:r w:rsidRPr="00331CFC">
        <w:t>study</w:t>
      </w:r>
      <w:r>
        <w:t xml:space="preserve"> design and endpoints as a sponsor executed development plan. The following comments should be interpreted with this information in mind.</w:t>
      </w:r>
    </w:p>
  </w:footnote>
  <w:footnote w:id="38">
    <w:p w14:paraId="78234453" w14:textId="7BD1617F" w:rsidR="00C313C9" w:rsidRPr="00730006" w:rsidRDefault="00C313C9" w:rsidP="00730006">
      <w:pPr>
        <w:pStyle w:val="FootnoteText"/>
      </w:pPr>
      <w:r>
        <w:rPr>
          <w:rStyle w:val="FootnoteReference"/>
        </w:rPr>
        <w:footnoteRef/>
      </w:r>
      <w:r>
        <w:t xml:space="preserve"> , J. </w:t>
      </w:r>
      <w:proofErr w:type="spellStart"/>
      <w:r w:rsidRPr="00C11294">
        <w:t>Mannick</w:t>
      </w:r>
      <w:proofErr w:type="spellEnd"/>
      <w:r>
        <w:t xml:space="preserve">. </w:t>
      </w:r>
      <w:proofErr w:type="gramStart"/>
      <w:r w:rsidRPr="00C11294">
        <w:t>Immuno-regulatory and antimicrobial</w:t>
      </w:r>
      <w:r>
        <w:t xml:space="preserve"> effects of nitrogen oxides.</w:t>
      </w:r>
      <w:proofErr w:type="gramEnd"/>
      <w:r w:rsidRPr="00C11294">
        <w:t xml:space="preserve"> </w:t>
      </w:r>
      <w:proofErr w:type="spellStart"/>
      <w:r w:rsidRPr="0011771F">
        <w:rPr>
          <w:i/>
        </w:rPr>
        <w:t>Proc</w:t>
      </w:r>
      <w:proofErr w:type="spellEnd"/>
      <w:r w:rsidRPr="0011771F">
        <w:rPr>
          <w:i/>
        </w:rPr>
        <w:t xml:space="preserve"> Am </w:t>
      </w:r>
      <w:proofErr w:type="spellStart"/>
      <w:r w:rsidRPr="0011771F">
        <w:rPr>
          <w:i/>
        </w:rPr>
        <w:t>Thorac</w:t>
      </w:r>
      <w:proofErr w:type="spellEnd"/>
      <w:r w:rsidRPr="0011771F">
        <w:rPr>
          <w:i/>
        </w:rPr>
        <w:t xml:space="preserve"> </w:t>
      </w:r>
      <w:proofErr w:type="spellStart"/>
      <w:r w:rsidRPr="0011771F">
        <w:rPr>
          <w:i/>
        </w:rPr>
        <w:t>Soc</w:t>
      </w:r>
      <w:proofErr w:type="spellEnd"/>
      <w:r>
        <w:t>, 2006;</w:t>
      </w:r>
      <w:r w:rsidRPr="00C11294">
        <w:t xml:space="preserve"> 3: 161</w:t>
      </w:r>
      <w:r>
        <w:t>-</w:t>
      </w:r>
      <w:r w:rsidRPr="00C11294">
        <w:t>165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7EFC11" w14:textId="77777777" w:rsidR="00C313C9" w:rsidRDefault="00C313C9" w:rsidP="00E45619">
    <w:pPr>
      <w:pStyle w:val="Header"/>
    </w:pPr>
    <w:r>
      <w:t>Therapeutic Goods Administration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209ABB" w14:textId="77777777" w:rsidR="00C313C9" w:rsidRDefault="00C313C9">
    <w:pPr>
      <w:rPr>
        <w:noProof/>
        <w:lang w:eastAsia="en-AU"/>
      </w:rPr>
    </w:pPr>
    <w:r w:rsidRPr="00347824">
      <w:rPr>
        <w:noProof/>
        <w:lang w:eastAsia="en-AU"/>
      </w:rPr>
      <w:drawing>
        <wp:anchor distT="0" distB="0" distL="114300" distR="114300" simplePos="0" relativeHeight="251659264" behindDoc="1" locked="0" layoutInCell="1" allowOverlap="1" wp14:anchorId="4355F436" wp14:editId="5386A411">
          <wp:simplePos x="0" y="0"/>
          <wp:positionH relativeFrom="column">
            <wp:posOffset>-1089660</wp:posOffset>
          </wp:positionH>
          <wp:positionV relativeFrom="paragraph">
            <wp:posOffset>-585470</wp:posOffset>
          </wp:positionV>
          <wp:extent cx="7572375" cy="10706100"/>
          <wp:effectExtent l="19050" t="0" r="0" b="0"/>
          <wp:wrapNone/>
          <wp:docPr id="21"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p w14:paraId="64DCB0A7" w14:textId="77777777" w:rsidR="00C313C9" w:rsidRDefault="00C313C9" w:rsidP="00593AD1">
    <w:pPr>
      <w:pStyle w:val="HeaderNoLine"/>
    </w:pPr>
    <w:r>
      <w:rPr>
        <w:noProof/>
        <w:lang w:eastAsia="en-AU"/>
      </w:rPr>
      <w:drawing>
        <wp:inline distT="0" distB="0" distL="0" distR="0" wp14:anchorId="6F5101F4" wp14:editId="11C4EF6B">
          <wp:extent cx="5400675" cy="7639050"/>
          <wp:effectExtent l="0" t="0" r="9525" b="0"/>
          <wp:docPr id="22" name="Picture 22" descr="Light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ghtblu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00675" cy="763905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3B9BAA" w14:textId="77777777" w:rsidR="00C313C9" w:rsidRDefault="00C313C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0E6DC1" w14:textId="77777777" w:rsidR="00C313C9" w:rsidRDefault="00C313C9">
    <w:pPr>
      <w:pStyle w:val="Header"/>
    </w:pPr>
    <w:r>
      <w:t>Therapeutic Goods Administration</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188E76" w14:textId="77777777" w:rsidR="00C313C9" w:rsidRDefault="00C313C9">
    <w:pPr>
      <w:pStyle w:val="Header"/>
    </w:pPr>
    <w:r>
      <w:t>Therapeutic Goods Administration</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EE41C6" w14:textId="77777777" w:rsidR="00C313C9" w:rsidRDefault="00C313C9">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EA36EF" w14:textId="77777777" w:rsidR="00C313C9" w:rsidRDefault="00C313C9" w:rsidP="004C239D">
    <w:pPr>
      <w:pStyle w:val="HeaderNoLin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5D5180" w14:textId="77777777" w:rsidR="00C313C9" w:rsidRDefault="00C313C9" w:rsidP="006E08B3">
    <w:r>
      <w:t>Therapeutic Goods Administration</w:t>
    </w:r>
  </w:p>
  <w:p w14:paraId="130C76D7" w14:textId="77777777" w:rsidR="00C313C9" w:rsidRDefault="00C313C9" w:rsidP="006D03E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
    <w:nsid w:val="20DF315C"/>
    <w:multiLevelType w:val="hybridMultilevel"/>
    <w:tmpl w:val="B96854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BCF57AC"/>
    <w:multiLevelType w:val="hybridMultilevel"/>
    <w:tmpl w:val="132025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58483C12">
      <w:numFmt w:val="bullet"/>
      <w:lvlText w:val="•"/>
      <w:lvlJc w:val="left"/>
      <w:pPr>
        <w:ind w:left="2160" w:hanging="360"/>
      </w:pPr>
      <w:rPr>
        <w:rFonts w:ascii="Cambria" w:eastAsia="Cambria" w:hAnsi="Cambria" w:cs="Arial"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
  </w:num>
  <w:num w:numId="4">
    <w:abstractNumId w:val="0"/>
  </w:num>
  <w:num w:numId="5">
    <w:abstractNumId w:val="2"/>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0"/>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17">
    <w:abstractNumId w:val="0"/>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18">
    <w:abstractNumId w:val="0"/>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F2E"/>
    <w:rsid w:val="00002031"/>
    <w:rsid w:val="00004734"/>
    <w:rsid w:val="00006B22"/>
    <w:rsid w:val="0001276A"/>
    <w:rsid w:val="000246AE"/>
    <w:rsid w:val="00025C67"/>
    <w:rsid w:val="00044772"/>
    <w:rsid w:val="0005559E"/>
    <w:rsid w:val="000604D6"/>
    <w:rsid w:val="000734D8"/>
    <w:rsid w:val="000772B0"/>
    <w:rsid w:val="00077775"/>
    <w:rsid w:val="00080384"/>
    <w:rsid w:val="00083CDE"/>
    <w:rsid w:val="00084A3F"/>
    <w:rsid w:val="00090471"/>
    <w:rsid w:val="00096AA7"/>
    <w:rsid w:val="000A3AED"/>
    <w:rsid w:val="000B338D"/>
    <w:rsid w:val="000B3532"/>
    <w:rsid w:val="000B3A75"/>
    <w:rsid w:val="000B5B6A"/>
    <w:rsid w:val="000B6CAD"/>
    <w:rsid w:val="000C00C2"/>
    <w:rsid w:val="000C690F"/>
    <w:rsid w:val="000D1295"/>
    <w:rsid w:val="000D391B"/>
    <w:rsid w:val="000D3D6D"/>
    <w:rsid w:val="000D4FC7"/>
    <w:rsid w:val="000E6196"/>
    <w:rsid w:val="000F4869"/>
    <w:rsid w:val="000F5B42"/>
    <w:rsid w:val="000F6520"/>
    <w:rsid w:val="000F6E6F"/>
    <w:rsid w:val="0010601F"/>
    <w:rsid w:val="0010788A"/>
    <w:rsid w:val="00107A31"/>
    <w:rsid w:val="00110EA5"/>
    <w:rsid w:val="00112F56"/>
    <w:rsid w:val="0011771F"/>
    <w:rsid w:val="00125318"/>
    <w:rsid w:val="001305A2"/>
    <w:rsid w:val="00133238"/>
    <w:rsid w:val="00133A1B"/>
    <w:rsid w:val="0014197B"/>
    <w:rsid w:val="001447CD"/>
    <w:rsid w:val="001516B1"/>
    <w:rsid w:val="00154EBB"/>
    <w:rsid w:val="00156316"/>
    <w:rsid w:val="00157981"/>
    <w:rsid w:val="00161181"/>
    <w:rsid w:val="00162D14"/>
    <w:rsid w:val="00165389"/>
    <w:rsid w:val="0017693F"/>
    <w:rsid w:val="0018110E"/>
    <w:rsid w:val="00181684"/>
    <w:rsid w:val="001843C6"/>
    <w:rsid w:val="001850E0"/>
    <w:rsid w:val="001A2158"/>
    <w:rsid w:val="001A525F"/>
    <w:rsid w:val="001B09F9"/>
    <w:rsid w:val="001B5C90"/>
    <w:rsid w:val="001B6448"/>
    <w:rsid w:val="001C32CD"/>
    <w:rsid w:val="001D2984"/>
    <w:rsid w:val="001E07CF"/>
    <w:rsid w:val="001E59F1"/>
    <w:rsid w:val="001F2CEE"/>
    <w:rsid w:val="001F2F15"/>
    <w:rsid w:val="001F49EB"/>
    <w:rsid w:val="001F6CBA"/>
    <w:rsid w:val="00201D4E"/>
    <w:rsid w:val="00203B58"/>
    <w:rsid w:val="002076C9"/>
    <w:rsid w:val="00220B8A"/>
    <w:rsid w:val="002257F3"/>
    <w:rsid w:val="00233456"/>
    <w:rsid w:val="002339A5"/>
    <w:rsid w:val="00247A92"/>
    <w:rsid w:val="00255582"/>
    <w:rsid w:val="00257848"/>
    <w:rsid w:val="002633EC"/>
    <w:rsid w:val="0027084A"/>
    <w:rsid w:val="00271CF2"/>
    <w:rsid w:val="00286434"/>
    <w:rsid w:val="00286C59"/>
    <w:rsid w:val="0029110C"/>
    <w:rsid w:val="00291957"/>
    <w:rsid w:val="002942D1"/>
    <w:rsid w:val="0029501A"/>
    <w:rsid w:val="002A33F1"/>
    <w:rsid w:val="002A3721"/>
    <w:rsid w:val="002B1638"/>
    <w:rsid w:val="002B3624"/>
    <w:rsid w:val="002C73DA"/>
    <w:rsid w:val="002C7BCF"/>
    <w:rsid w:val="002D0952"/>
    <w:rsid w:val="002D68AA"/>
    <w:rsid w:val="002E40B3"/>
    <w:rsid w:val="002E4C9A"/>
    <w:rsid w:val="002F11F8"/>
    <w:rsid w:val="002F3F56"/>
    <w:rsid w:val="002F44B5"/>
    <w:rsid w:val="00300485"/>
    <w:rsid w:val="00304F18"/>
    <w:rsid w:val="00311AC0"/>
    <w:rsid w:val="003176FC"/>
    <w:rsid w:val="00320589"/>
    <w:rsid w:val="0032583B"/>
    <w:rsid w:val="00327883"/>
    <w:rsid w:val="00331CFC"/>
    <w:rsid w:val="00335504"/>
    <w:rsid w:val="00340C18"/>
    <w:rsid w:val="003442FD"/>
    <w:rsid w:val="00347824"/>
    <w:rsid w:val="00350099"/>
    <w:rsid w:val="00350567"/>
    <w:rsid w:val="003521E8"/>
    <w:rsid w:val="00352986"/>
    <w:rsid w:val="00356B53"/>
    <w:rsid w:val="003612EF"/>
    <w:rsid w:val="00365E0C"/>
    <w:rsid w:val="00366516"/>
    <w:rsid w:val="00370CE3"/>
    <w:rsid w:val="003728F3"/>
    <w:rsid w:val="0037496E"/>
    <w:rsid w:val="00383221"/>
    <w:rsid w:val="00386150"/>
    <w:rsid w:val="003874CE"/>
    <w:rsid w:val="00390900"/>
    <w:rsid w:val="00390B84"/>
    <w:rsid w:val="003A7F6C"/>
    <w:rsid w:val="003B4D60"/>
    <w:rsid w:val="003B7E39"/>
    <w:rsid w:val="003C58DC"/>
    <w:rsid w:val="003D1E62"/>
    <w:rsid w:val="003E0B99"/>
    <w:rsid w:val="003E2486"/>
    <w:rsid w:val="003E3208"/>
    <w:rsid w:val="003E41A3"/>
    <w:rsid w:val="003F0B04"/>
    <w:rsid w:val="003F7D1D"/>
    <w:rsid w:val="0040134E"/>
    <w:rsid w:val="00411E95"/>
    <w:rsid w:val="00420471"/>
    <w:rsid w:val="00420762"/>
    <w:rsid w:val="00426B22"/>
    <w:rsid w:val="004334C7"/>
    <w:rsid w:val="00440A2D"/>
    <w:rsid w:val="00441C3F"/>
    <w:rsid w:val="004507BC"/>
    <w:rsid w:val="004536B4"/>
    <w:rsid w:val="004564A7"/>
    <w:rsid w:val="004607B6"/>
    <w:rsid w:val="004617BF"/>
    <w:rsid w:val="00463658"/>
    <w:rsid w:val="004637A0"/>
    <w:rsid w:val="00470304"/>
    <w:rsid w:val="004722CC"/>
    <w:rsid w:val="00486A39"/>
    <w:rsid w:val="004936E4"/>
    <w:rsid w:val="00494E60"/>
    <w:rsid w:val="00497487"/>
    <w:rsid w:val="004A6189"/>
    <w:rsid w:val="004A7390"/>
    <w:rsid w:val="004B7B76"/>
    <w:rsid w:val="004C239D"/>
    <w:rsid w:val="004C2DCA"/>
    <w:rsid w:val="004C61D2"/>
    <w:rsid w:val="004D3C3B"/>
    <w:rsid w:val="004F0C4A"/>
    <w:rsid w:val="004F0F38"/>
    <w:rsid w:val="004F47D6"/>
    <w:rsid w:val="00501921"/>
    <w:rsid w:val="00520226"/>
    <w:rsid w:val="00530354"/>
    <w:rsid w:val="0053625B"/>
    <w:rsid w:val="005434C6"/>
    <w:rsid w:val="00543B39"/>
    <w:rsid w:val="00546154"/>
    <w:rsid w:val="0054722C"/>
    <w:rsid w:val="00550096"/>
    <w:rsid w:val="00555280"/>
    <w:rsid w:val="00556998"/>
    <w:rsid w:val="00557FF9"/>
    <w:rsid w:val="00562327"/>
    <w:rsid w:val="005711D5"/>
    <w:rsid w:val="00573BE2"/>
    <w:rsid w:val="00576378"/>
    <w:rsid w:val="00577130"/>
    <w:rsid w:val="00577945"/>
    <w:rsid w:val="00577E38"/>
    <w:rsid w:val="00585322"/>
    <w:rsid w:val="005857C6"/>
    <w:rsid w:val="00592F6E"/>
    <w:rsid w:val="00593AD1"/>
    <w:rsid w:val="005A68B6"/>
    <w:rsid w:val="005C13F0"/>
    <w:rsid w:val="005C5570"/>
    <w:rsid w:val="005C79A4"/>
    <w:rsid w:val="005D5442"/>
    <w:rsid w:val="005E343C"/>
    <w:rsid w:val="005E41D7"/>
    <w:rsid w:val="00603F32"/>
    <w:rsid w:val="00605AD4"/>
    <w:rsid w:val="006136D7"/>
    <w:rsid w:val="00625A6E"/>
    <w:rsid w:val="00632398"/>
    <w:rsid w:val="00633576"/>
    <w:rsid w:val="006374AD"/>
    <w:rsid w:val="00640FC3"/>
    <w:rsid w:val="00642020"/>
    <w:rsid w:val="0065337B"/>
    <w:rsid w:val="0065419D"/>
    <w:rsid w:val="006604D8"/>
    <w:rsid w:val="00664A5B"/>
    <w:rsid w:val="0066735C"/>
    <w:rsid w:val="006763D2"/>
    <w:rsid w:val="00680C08"/>
    <w:rsid w:val="006916A0"/>
    <w:rsid w:val="006931B1"/>
    <w:rsid w:val="00695DBB"/>
    <w:rsid w:val="006A15C0"/>
    <w:rsid w:val="006A7861"/>
    <w:rsid w:val="006B6C70"/>
    <w:rsid w:val="006C3E2A"/>
    <w:rsid w:val="006C642F"/>
    <w:rsid w:val="006D03E5"/>
    <w:rsid w:val="006D3007"/>
    <w:rsid w:val="006D5D3E"/>
    <w:rsid w:val="006E08B3"/>
    <w:rsid w:val="006F17AC"/>
    <w:rsid w:val="006F25B8"/>
    <w:rsid w:val="006F572E"/>
    <w:rsid w:val="007046D6"/>
    <w:rsid w:val="00705DB0"/>
    <w:rsid w:val="00722B57"/>
    <w:rsid w:val="00730006"/>
    <w:rsid w:val="00730F8A"/>
    <w:rsid w:val="00735A8C"/>
    <w:rsid w:val="0074253D"/>
    <w:rsid w:val="0074429B"/>
    <w:rsid w:val="0075783A"/>
    <w:rsid w:val="007615BC"/>
    <w:rsid w:val="00762F05"/>
    <w:rsid w:val="007652FF"/>
    <w:rsid w:val="00770CAC"/>
    <w:rsid w:val="00770EF1"/>
    <w:rsid w:val="00772617"/>
    <w:rsid w:val="00773EF7"/>
    <w:rsid w:val="00774E1D"/>
    <w:rsid w:val="00775873"/>
    <w:rsid w:val="007765D8"/>
    <w:rsid w:val="0077675A"/>
    <w:rsid w:val="007801FA"/>
    <w:rsid w:val="00780355"/>
    <w:rsid w:val="007819FD"/>
    <w:rsid w:val="00785717"/>
    <w:rsid w:val="00785721"/>
    <w:rsid w:val="00793A59"/>
    <w:rsid w:val="007B2DDC"/>
    <w:rsid w:val="007B6132"/>
    <w:rsid w:val="007B6E9F"/>
    <w:rsid w:val="007C1216"/>
    <w:rsid w:val="007C1AF7"/>
    <w:rsid w:val="007C5947"/>
    <w:rsid w:val="007C6B9B"/>
    <w:rsid w:val="00804824"/>
    <w:rsid w:val="00805D27"/>
    <w:rsid w:val="00806DCB"/>
    <w:rsid w:val="00815C3D"/>
    <w:rsid w:val="00820A98"/>
    <w:rsid w:val="00821776"/>
    <w:rsid w:val="008321F5"/>
    <w:rsid w:val="00832369"/>
    <w:rsid w:val="00834660"/>
    <w:rsid w:val="00836BC2"/>
    <w:rsid w:val="008432DF"/>
    <w:rsid w:val="0085156D"/>
    <w:rsid w:val="0085641B"/>
    <w:rsid w:val="00857136"/>
    <w:rsid w:val="00875A6B"/>
    <w:rsid w:val="00885B11"/>
    <w:rsid w:val="00886D15"/>
    <w:rsid w:val="00887DD8"/>
    <w:rsid w:val="00891BA9"/>
    <w:rsid w:val="00896018"/>
    <w:rsid w:val="008960DD"/>
    <w:rsid w:val="0089635C"/>
    <w:rsid w:val="008A2B9D"/>
    <w:rsid w:val="008A3D9F"/>
    <w:rsid w:val="008A5E0B"/>
    <w:rsid w:val="008A6123"/>
    <w:rsid w:val="008A6D59"/>
    <w:rsid w:val="008B4B03"/>
    <w:rsid w:val="008B596F"/>
    <w:rsid w:val="008C1180"/>
    <w:rsid w:val="008C159F"/>
    <w:rsid w:val="008C1623"/>
    <w:rsid w:val="008C1850"/>
    <w:rsid w:val="008C51A9"/>
    <w:rsid w:val="008C670F"/>
    <w:rsid w:val="008E7846"/>
    <w:rsid w:val="008F02E5"/>
    <w:rsid w:val="008F1362"/>
    <w:rsid w:val="008F1CCC"/>
    <w:rsid w:val="008F2967"/>
    <w:rsid w:val="008F6943"/>
    <w:rsid w:val="00902A21"/>
    <w:rsid w:val="00916414"/>
    <w:rsid w:val="0092006A"/>
    <w:rsid w:val="00920330"/>
    <w:rsid w:val="009219D7"/>
    <w:rsid w:val="00922D53"/>
    <w:rsid w:val="00923B70"/>
    <w:rsid w:val="00924482"/>
    <w:rsid w:val="009273A2"/>
    <w:rsid w:val="00930237"/>
    <w:rsid w:val="00931496"/>
    <w:rsid w:val="00937C17"/>
    <w:rsid w:val="00940A89"/>
    <w:rsid w:val="00946EA5"/>
    <w:rsid w:val="00953C28"/>
    <w:rsid w:val="00963C08"/>
    <w:rsid w:val="009752A5"/>
    <w:rsid w:val="0098585A"/>
    <w:rsid w:val="009A0B07"/>
    <w:rsid w:val="009A4CED"/>
    <w:rsid w:val="009A690D"/>
    <w:rsid w:val="009B1D12"/>
    <w:rsid w:val="009B308E"/>
    <w:rsid w:val="009B416B"/>
    <w:rsid w:val="009C010A"/>
    <w:rsid w:val="009C4BD5"/>
    <w:rsid w:val="009D7B77"/>
    <w:rsid w:val="009E0BB0"/>
    <w:rsid w:val="009E3FBB"/>
    <w:rsid w:val="009F7353"/>
    <w:rsid w:val="00A04F85"/>
    <w:rsid w:val="00A05FA4"/>
    <w:rsid w:val="00A102E4"/>
    <w:rsid w:val="00A11E05"/>
    <w:rsid w:val="00A12C42"/>
    <w:rsid w:val="00A14DF7"/>
    <w:rsid w:val="00A31697"/>
    <w:rsid w:val="00A3246D"/>
    <w:rsid w:val="00A3396B"/>
    <w:rsid w:val="00A36FA7"/>
    <w:rsid w:val="00A42F2E"/>
    <w:rsid w:val="00A44DDB"/>
    <w:rsid w:val="00A475B7"/>
    <w:rsid w:val="00A47AF7"/>
    <w:rsid w:val="00A47C3E"/>
    <w:rsid w:val="00A50226"/>
    <w:rsid w:val="00A54259"/>
    <w:rsid w:val="00A60BAD"/>
    <w:rsid w:val="00A715BB"/>
    <w:rsid w:val="00A80B5B"/>
    <w:rsid w:val="00A84E36"/>
    <w:rsid w:val="00A92C54"/>
    <w:rsid w:val="00A95A4A"/>
    <w:rsid w:val="00A964D1"/>
    <w:rsid w:val="00AA0ED0"/>
    <w:rsid w:val="00AC2690"/>
    <w:rsid w:val="00AC2B40"/>
    <w:rsid w:val="00AC2BB2"/>
    <w:rsid w:val="00AC2C3C"/>
    <w:rsid w:val="00AC512D"/>
    <w:rsid w:val="00AD0083"/>
    <w:rsid w:val="00AD3935"/>
    <w:rsid w:val="00AE65EB"/>
    <w:rsid w:val="00AE67A7"/>
    <w:rsid w:val="00AF1D94"/>
    <w:rsid w:val="00AF60C5"/>
    <w:rsid w:val="00B009C6"/>
    <w:rsid w:val="00B01548"/>
    <w:rsid w:val="00B02F24"/>
    <w:rsid w:val="00B10AF1"/>
    <w:rsid w:val="00B13EBD"/>
    <w:rsid w:val="00B2168B"/>
    <w:rsid w:val="00B21D29"/>
    <w:rsid w:val="00B25034"/>
    <w:rsid w:val="00B33588"/>
    <w:rsid w:val="00B33863"/>
    <w:rsid w:val="00B368CE"/>
    <w:rsid w:val="00B37D17"/>
    <w:rsid w:val="00B4175E"/>
    <w:rsid w:val="00B43086"/>
    <w:rsid w:val="00B452CE"/>
    <w:rsid w:val="00B47086"/>
    <w:rsid w:val="00B52CEE"/>
    <w:rsid w:val="00B54C25"/>
    <w:rsid w:val="00B76B91"/>
    <w:rsid w:val="00B77EB1"/>
    <w:rsid w:val="00B811C6"/>
    <w:rsid w:val="00B855B0"/>
    <w:rsid w:val="00B92E08"/>
    <w:rsid w:val="00BA132A"/>
    <w:rsid w:val="00BB4CE5"/>
    <w:rsid w:val="00BC622A"/>
    <w:rsid w:val="00BE0A78"/>
    <w:rsid w:val="00BE79F0"/>
    <w:rsid w:val="00BF046D"/>
    <w:rsid w:val="00BF1190"/>
    <w:rsid w:val="00BF1632"/>
    <w:rsid w:val="00BF5D04"/>
    <w:rsid w:val="00C009AA"/>
    <w:rsid w:val="00C0382B"/>
    <w:rsid w:val="00C11294"/>
    <w:rsid w:val="00C1164D"/>
    <w:rsid w:val="00C13611"/>
    <w:rsid w:val="00C16861"/>
    <w:rsid w:val="00C313C9"/>
    <w:rsid w:val="00C346AB"/>
    <w:rsid w:val="00C404A6"/>
    <w:rsid w:val="00C40A36"/>
    <w:rsid w:val="00C44419"/>
    <w:rsid w:val="00C45E7B"/>
    <w:rsid w:val="00C471B1"/>
    <w:rsid w:val="00C60A39"/>
    <w:rsid w:val="00C6316B"/>
    <w:rsid w:val="00C634A9"/>
    <w:rsid w:val="00C64586"/>
    <w:rsid w:val="00C70D53"/>
    <w:rsid w:val="00C73D0B"/>
    <w:rsid w:val="00C772FF"/>
    <w:rsid w:val="00C80137"/>
    <w:rsid w:val="00C801AF"/>
    <w:rsid w:val="00C80256"/>
    <w:rsid w:val="00C94CD4"/>
    <w:rsid w:val="00C9747E"/>
    <w:rsid w:val="00CA4A05"/>
    <w:rsid w:val="00CB3356"/>
    <w:rsid w:val="00CB6BC0"/>
    <w:rsid w:val="00CC135A"/>
    <w:rsid w:val="00CC1B7C"/>
    <w:rsid w:val="00CC727F"/>
    <w:rsid w:val="00CD2044"/>
    <w:rsid w:val="00CE6FBE"/>
    <w:rsid w:val="00CF15C3"/>
    <w:rsid w:val="00CF2B6F"/>
    <w:rsid w:val="00CF2F3E"/>
    <w:rsid w:val="00CF58B6"/>
    <w:rsid w:val="00D0062D"/>
    <w:rsid w:val="00D016F2"/>
    <w:rsid w:val="00D017ED"/>
    <w:rsid w:val="00D026F6"/>
    <w:rsid w:val="00D040D3"/>
    <w:rsid w:val="00D04C65"/>
    <w:rsid w:val="00D201D2"/>
    <w:rsid w:val="00D224FE"/>
    <w:rsid w:val="00D23139"/>
    <w:rsid w:val="00D23FA2"/>
    <w:rsid w:val="00D425BB"/>
    <w:rsid w:val="00D5099A"/>
    <w:rsid w:val="00D515E1"/>
    <w:rsid w:val="00D6493E"/>
    <w:rsid w:val="00D7195D"/>
    <w:rsid w:val="00D7301E"/>
    <w:rsid w:val="00D76BCC"/>
    <w:rsid w:val="00D802FF"/>
    <w:rsid w:val="00D83AE1"/>
    <w:rsid w:val="00D855D4"/>
    <w:rsid w:val="00D902C9"/>
    <w:rsid w:val="00D93466"/>
    <w:rsid w:val="00DA1124"/>
    <w:rsid w:val="00DA656C"/>
    <w:rsid w:val="00DB205A"/>
    <w:rsid w:val="00DB6124"/>
    <w:rsid w:val="00DB750B"/>
    <w:rsid w:val="00DB75B7"/>
    <w:rsid w:val="00DC6E02"/>
    <w:rsid w:val="00DD0689"/>
    <w:rsid w:val="00DD28CD"/>
    <w:rsid w:val="00DE02AE"/>
    <w:rsid w:val="00DE3B03"/>
    <w:rsid w:val="00DE4DE4"/>
    <w:rsid w:val="00DF1877"/>
    <w:rsid w:val="00DF1D7F"/>
    <w:rsid w:val="00DF4BE4"/>
    <w:rsid w:val="00E02FB4"/>
    <w:rsid w:val="00E13FC7"/>
    <w:rsid w:val="00E20571"/>
    <w:rsid w:val="00E235F7"/>
    <w:rsid w:val="00E23659"/>
    <w:rsid w:val="00E239D4"/>
    <w:rsid w:val="00E26130"/>
    <w:rsid w:val="00E3550D"/>
    <w:rsid w:val="00E40B22"/>
    <w:rsid w:val="00E44ED1"/>
    <w:rsid w:val="00E45619"/>
    <w:rsid w:val="00E4588F"/>
    <w:rsid w:val="00E46DA3"/>
    <w:rsid w:val="00E51A8A"/>
    <w:rsid w:val="00E51BB1"/>
    <w:rsid w:val="00E576BA"/>
    <w:rsid w:val="00E624A5"/>
    <w:rsid w:val="00E64BA4"/>
    <w:rsid w:val="00E7344E"/>
    <w:rsid w:val="00E82665"/>
    <w:rsid w:val="00E9436D"/>
    <w:rsid w:val="00EA3657"/>
    <w:rsid w:val="00EB0798"/>
    <w:rsid w:val="00EB40AD"/>
    <w:rsid w:val="00EB586E"/>
    <w:rsid w:val="00EB5FC8"/>
    <w:rsid w:val="00EB7308"/>
    <w:rsid w:val="00EC463D"/>
    <w:rsid w:val="00EC7A85"/>
    <w:rsid w:val="00ED2922"/>
    <w:rsid w:val="00ED3CAD"/>
    <w:rsid w:val="00ED5A41"/>
    <w:rsid w:val="00ED67DA"/>
    <w:rsid w:val="00EE137F"/>
    <w:rsid w:val="00EE1DE8"/>
    <w:rsid w:val="00EE27C2"/>
    <w:rsid w:val="00EF4BAD"/>
    <w:rsid w:val="00EF59DC"/>
    <w:rsid w:val="00F033EC"/>
    <w:rsid w:val="00F04F68"/>
    <w:rsid w:val="00F12670"/>
    <w:rsid w:val="00F14B27"/>
    <w:rsid w:val="00F15B78"/>
    <w:rsid w:val="00F3148D"/>
    <w:rsid w:val="00F325C5"/>
    <w:rsid w:val="00F32FE0"/>
    <w:rsid w:val="00F35298"/>
    <w:rsid w:val="00F47333"/>
    <w:rsid w:val="00F47E37"/>
    <w:rsid w:val="00F53C07"/>
    <w:rsid w:val="00F54198"/>
    <w:rsid w:val="00F54B65"/>
    <w:rsid w:val="00F640B6"/>
    <w:rsid w:val="00F66DF2"/>
    <w:rsid w:val="00F80E40"/>
    <w:rsid w:val="00F8476D"/>
    <w:rsid w:val="00F848D9"/>
    <w:rsid w:val="00F861F0"/>
    <w:rsid w:val="00FA3832"/>
    <w:rsid w:val="00FA5B82"/>
    <w:rsid w:val="00FA639E"/>
    <w:rsid w:val="00FB0181"/>
    <w:rsid w:val="00FC1FCA"/>
    <w:rsid w:val="00FC25E4"/>
    <w:rsid w:val="00FC4EF7"/>
    <w:rsid w:val="00FD0824"/>
    <w:rsid w:val="00FD119B"/>
    <w:rsid w:val="00FD1EDC"/>
    <w:rsid w:val="00FD6E67"/>
    <w:rsid w:val="00FE1DEE"/>
    <w:rsid w:val="00FF2126"/>
    <w:rsid w:val="00FF5755"/>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57E8A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semiHidden="0" w:unhideWhenUsed="0"/>
    <w:lsdException w:name="footer" w:semiHidden="0" w:unhideWhenUsed="0"/>
    <w:lsdException w:name="caption" w:semiHidden="0" w:uiPriority="35" w:unhideWhenUsed="0"/>
    <w:lsdException w:name="footnote reference" w:uiPriority="0"/>
    <w:lsdException w:name="List Bullet" w:semiHidden="0" w:uiPriority="2" w:unhideWhenUsed="0" w:qFormat="1"/>
    <w:lsdException w:name="List Bullet 2" w:semiHidden="0" w:uiPriority="2" w:unhideWhenUsed="0" w:qFormat="1"/>
    <w:lsdException w:name="List Bullet 3" w:uiPriority="2"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8A6123"/>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EF59DC"/>
    <w:pPr>
      <w:keepNext/>
      <w:keepLines/>
      <w:spacing w:before="480" w:after="0" w:line="220" w:lineRule="atLeast"/>
      <w:outlineLvl w:val="2"/>
    </w:pPr>
    <w:rPr>
      <w:rFonts w:ascii="Arial" w:eastAsia="Times New Roman" w:hAnsi="Arial"/>
      <w:b/>
      <w:bCs/>
      <w:sz w:val="26"/>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770CAC"/>
    <w:pPr>
      <w:keepNext/>
      <w:spacing w:after="60" w:line="180" w:lineRule="atLeast"/>
      <w:outlineLvl w:val="6"/>
    </w:pPr>
    <w:rPr>
      <w:rFonts w:eastAsia="Times New Roman"/>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EF59DC"/>
    <w:rPr>
      <w:rFonts w:ascii="Arial" w:eastAsia="Times New Roman" w:hAnsi="Arial" w:cs="Times New Roman"/>
      <w:b/>
      <w:bCs/>
      <w:sz w:val="26"/>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D026F6"/>
    <w:pPr>
      <w:keepNext/>
      <w:keepLines/>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4C2DCA"/>
    <w:pPr>
      <w:numPr>
        <w:numId w:val="3"/>
      </w:numPr>
    </w:pPr>
  </w:style>
  <w:style w:type="paragraph" w:styleId="ListBullet2">
    <w:name w:val="List Bullet 2"/>
    <w:basedOn w:val="Normal"/>
    <w:uiPriority w:val="2"/>
    <w:qFormat/>
    <w:rsid w:val="004C2DCA"/>
    <w:pPr>
      <w:numPr>
        <w:ilvl w:val="1"/>
        <w:numId w:val="3"/>
      </w:numPr>
    </w:pPr>
  </w:style>
  <w:style w:type="paragraph" w:styleId="ListBullet3">
    <w:name w:val="List Bullet 3"/>
    <w:basedOn w:val="Normal"/>
    <w:uiPriority w:val="2"/>
    <w:qFormat/>
    <w:rsid w:val="004C2DCA"/>
    <w:pPr>
      <w:numPr>
        <w:ilvl w:val="2"/>
        <w:numId w:val="3"/>
      </w:numPr>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4"/>
      </w:numPr>
    </w:pPr>
  </w:style>
  <w:style w:type="paragraph" w:customStyle="1" w:styleId="Numberbullet2">
    <w:name w:val="Number bullet 2"/>
    <w:basedOn w:val="ListBullet2"/>
    <w:qFormat/>
    <w:rsid w:val="004C2DCA"/>
    <w:pPr>
      <w:numPr>
        <w:numId w:val="4"/>
      </w:numPr>
    </w:pPr>
  </w:style>
  <w:style w:type="paragraph" w:customStyle="1" w:styleId="Numberbullet3">
    <w:name w:val="Number bullet 3"/>
    <w:basedOn w:val="ListBullet3"/>
    <w:qFormat/>
    <w:rsid w:val="004C2DCA"/>
    <w:pPr>
      <w:numPr>
        <w:numId w:val="4"/>
      </w:numPr>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1B5C90"/>
    <w:pPr>
      <w:spacing w:before="0"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rsid w:val="001B5C90"/>
    <w:rPr>
      <w:rFonts w:ascii="Cambria" w:eastAsia="Cambria" w:hAnsi="Cambria" w:cs="Times New Roman"/>
      <w:sz w:val="18"/>
      <w:szCs w:val="20"/>
    </w:rPr>
  </w:style>
  <w:style w:type="character" w:styleId="FootnoteReference">
    <w:name w:val="footnote reference"/>
    <w:basedOn w:val="DefaultParagraphFont"/>
    <w:semiHidden/>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uiPriority w:val="99"/>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character" w:styleId="CommentReference">
    <w:name w:val="annotation reference"/>
    <w:basedOn w:val="DefaultParagraphFont"/>
    <w:uiPriority w:val="99"/>
    <w:semiHidden/>
    <w:unhideWhenUsed/>
    <w:rsid w:val="00EC463D"/>
    <w:rPr>
      <w:sz w:val="16"/>
      <w:szCs w:val="16"/>
    </w:rPr>
  </w:style>
  <w:style w:type="paragraph" w:styleId="CommentText">
    <w:name w:val="annotation text"/>
    <w:basedOn w:val="Normal"/>
    <w:link w:val="CommentTextChar"/>
    <w:uiPriority w:val="99"/>
    <w:unhideWhenUsed/>
    <w:rsid w:val="00EC463D"/>
    <w:pPr>
      <w:spacing w:line="240" w:lineRule="auto"/>
    </w:pPr>
    <w:rPr>
      <w:sz w:val="20"/>
      <w:szCs w:val="20"/>
    </w:rPr>
  </w:style>
  <w:style w:type="character" w:customStyle="1" w:styleId="CommentTextChar">
    <w:name w:val="Comment Text Char"/>
    <w:basedOn w:val="DefaultParagraphFont"/>
    <w:link w:val="CommentText"/>
    <w:uiPriority w:val="99"/>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paragraph" w:styleId="ListParagraph">
    <w:name w:val="List Paragraph"/>
    <w:basedOn w:val="Normal"/>
    <w:uiPriority w:val="34"/>
    <w:qFormat/>
    <w:rsid w:val="00D016F2"/>
    <w:pPr>
      <w:ind w:left="720"/>
      <w:contextualSpacing/>
    </w:pPr>
  </w:style>
  <w:style w:type="paragraph" w:customStyle="1" w:styleId="Default">
    <w:name w:val="Default"/>
    <w:rsid w:val="00247A92"/>
    <w:pPr>
      <w:autoSpaceDE w:val="0"/>
      <w:autoSpaceDN w:val="0"/>
      <w:adjustRightInd w:val="0"/>
      <w:spacing w:after="0" w:line="240" w:lineRule="auto"/>
    </w:pPr>
    <w:rPr>
      <w:rFonts w:ascii="Verdana" w:hAnsi="Verdana" w:cs="Verdana"/>
      <w:color w:val="000000"/>
      <w:sz w:val="24"/>
      <w:szCs w:val="24"/>
    </w:rPr>
  </w:style>
  <w:style w:type="paragraph" w:customStyle="1" w:styleId="Standard">
    <w:name w:val="Standard"/>
    <w:basedOn w:val="Normal"/>
    <w:link w:val="StandardChar"/>
    <w:rsid w:val="00CC135A"/>
    <w:pPr>
      <w:spacing w:before="0" w:after="220" w:line="252" w:lineRule="auto"/>
    </w:pPr>
    <w:rPr>
      <w:rFonts w:eastAsia="Times New Roman"/>
      <w:snapToGrid w:val="0"/>
      <w:kern w:val="16"/>
      <w:szCs w:val="24"/>
    </w:rPr>
  </w:style>
  <w:style w:type="character" w:customStyle="1" w:styleId="StandardChar">
    <w:name w:val="Standard Char"/>
    <w:basedOn w:val="DefaultParagraphFont"/>
    <w:link w:val="Standard"/>
    <w:rsid w:val="00CC135A"/>
    <w:rPr>
      <w:rFonts w:ascii="Cambria" w:eastAsia="Times New Roman" w:hAnsi="Cambria" w:cs="Times New Roman"/>
      <w:snapToGrid w:val="0"/>
      <w:kern w:val="16"/>
      <w:szCs w:val="24"/>
    </w:rPr>
  </w:style>
  <w:style w:type="paragraph" w:customStyle="1" w:styleId="Tabletitle0">
    <w:name w:val="Table title"/>
    <w:basedOn w:val="Normal"/>
    <w:next w:val="Normal"/>
    <w:rsid w:val="00084A3F"/>
    <w:pPr>
      <w:keepNext/>
      <w:spacing w:after="180"/>
      <w:outlineLvl w:val="4"/>
    </w:pPr>
    <w:rPr>
      <w:rFonts w:cstheme="minorBidi"/>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semiHidden="0" w:unhideWhenUsed="0"/>
    <w:lsdException w:name="footer" w:semiHidden="0" w:unhideWhenUsed="0"/>
    <w:lsdException w:name="caption" w:semiHidden="0" w:uiPriority="35" w:unhideWhenUsed="0"/>
    <w:lsdException w:name="footnote reference" w:uiPriority="0"/>
    <w:lsdException w:name="List Bullet" w:semiHidden="0" w:uiPriority="2" w:unhideWhenUsed="0" w:qFormat="1"/>
    <w:lsdException w:name="List Bullet 2" w:semiHidden="0" w:uiPriority="2" w:unhideWhenUsed="0" w:qFormat="1"/>
    <w:lsdException w:name="List Bullet 3" w:uiPriority="2"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8A6123"/>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EF59DC"/>
    <w:pPr>
      <w:keepNext/>
      <w:keepLines/>
      <w:spacing w:before="480" w:after="0" w:line="220" w:lineRule="atLeast"/>
      <w:outlineLvl w:val="2"/>
    </w:pPr>
    <w:rPr>
      <w:rFonts w:ascii="Arial" w:eastAsia="Times New Roman" w:hAnsi="Arial"/>
      <w:b/>
      <w:bCs/>
      <w:sz w:val="26"/>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770CAC"/>
    <w:pPr>
      <w:keepNext/>
      <w:spacing w:after="60" w:line="180" w:lineRule="atLeast"/>
      <w:outlineLvl w:val="6"/>
    </w:pPr>
    <w:rPr>
      <w:rFonts w:eastAsia="Times New Roman"/>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EF59DC"/>
    <w:rPr>
      <w:rFonts w:ascii="Arial" w:eastAsia="Times New Roman" w:hAnsi="Arial" w:cs="Times New Roman"/>
      <w:b/>
      <w:bCs/>
      <w:sz w:val="26"/>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D026F6"/>
    <w:pPr>
      <w:keepNext/>
      <w:keepLines/>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4C2DCA"/>
    <w:pPr>
      <w:numPr>
        <w:numId w:val="3"/>
      </w:numPr>
    </w:pPr>
  </w:style>
  <w:style w:type="paragraph" w:styleId="ListBullet2">
    <w:name w:val="List Bullet 2"/>
    <w:basedOn w:val="Normal"/>
    <w:uiPriority w:val="2"/>
    <w:qFormat/>
    <w:rsid w:val="004C2DCA"/>
    <w:pPr>
      <w:numPr>
        <w:ilvl w:val="1"/>
        <w:numId w:val="3"/>
      </w:numPr>
    </w:pPr>
  </w:style>
  <w:style w:type="paragraph" w:styleId="ListBullet3">
    <w:name w:val="List Bullet 3"/>
    <w:basedOn w:val="Normal"/>
    <w:uiPriority w:val="2"/>
    <w:qFormat/>
    <w:rsid w:val="004C2DCA"/>
    <w:pPr>
      <w:numPr>
        <w:ilvl w:val="2"/>
        <w:numId w:val="3"/>
      </w:numPr>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4"/>
      </w:numPr>
    </w:pPr>
  </w:style>
  <w:style w:type="paragraph" w:customStyle="1" w:styleId="Numberbullet2">
    <w:name w:val="Number bullet 2"/>
    <w:basedOn w:val="ListBullet2"/>
    <w:qFormat/>
    <w:rsid w:val="004C2DCA"/>
    <w:pPr>
      <w:numPr>
        <w:numId w:val="4"/>
      </w:numPr>
    </w:pPr>
  </w:style>
  <w:style w:type="paragraph" w:customStyle="1" w:styleId="Numberbullet3">
    <w:name w:val="Number bullet 3"/>
    <w:basedOn w:val="ListBullet3"/>
    <w:qFormat/>
    <w:rsid w:val="004C2DCA"/>
    <w:pPr>
      <w:numPr>
        <w:numId w:val="4"/>
      </w:numPr>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1B5C90"/>
    <w:pPr>
      <w:spacing w:before="0"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rsid w:val="001B5C90"/>
    <w:rPr>
      <w:rFonts w:ascii="Cambria" w:eastAsia="Cambria" w:hAnsi="Cambria" w:cs="Times New Roman"/>
      <w:sz w:val="18"/>
      <w:szCs w:val="20"/>
    </w:rPr>
  </w:style>
  <w:style w:type="character" w:styleId="FootnoteReference">
    <w:name w:val="footnote reference"/>
    <w:basedOn w:val="DefaultParagraphFont"/>
    <w:semiHidden/>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uiPriority w:val="99"/>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character" w:styleId="CommentReference">
    <w:name w:val="annotation reference"/>
    <w:basedOn w:val="DefaultParagraphFont"/>
    <w:uiPriority w:val="99"/>
    <w:semiHidden/>
    <w:unhideWhenUsed/>
    <w:rsid w:val="00EC463D"/>
    <w:rPr>
      <w:sz w:val="16"/>
      <w:szCs w:val="16"/>
    </w:rPr>
  </w:style>
  <w:style w:type="paragraph" w:styleId="CommentText">
    <w:name w:val="annotation text"/>
    <w:basedOn w:val="Normal"/>
    <w:link w:val="CommentTextChar"/>
    <w:uiPriority w:val="99"/>
    <w:unhideWhenUsed/>
    <w:rsid w:val="00EC463D"/>
    <w:pPr>
      <w:spacing w:line="240" w:lineRule="auto"/>
    </w:pPr>
    <w:rPr>
      <w:sz w:val="20"/>
      <w:szCs w:val="20"/>
    </w:rPr>
  </w:style>
  <w:style w:type="character" w:customStyle="1" w:styleId="CommentTextChar">
    <w:name w:val="Comment Text Char"/>
    <w:basedOn w:val="DefaultParagraphFont"/>
    <w:link w:val="CommentText"/>
    <w:uiPriority w:val="99"/>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paragraph" w:styleId="ListParagraph">
    <w:name w:val="List Paragraph"/>
    <w:basedOn w:val="Normal"/>
    <w:uiPriority w:val="34"/>
    <w:qFormat/>
    <w:rsid w:val="00D016F2"/>
    <w:pPr>
      <w:ind w:left="720"/>
      <w:contextualSpacing/>
    </w:pPr>
  </w:style>
  <w:style w:type="paragraph" w:customStyle="1" w:styleId="Default">
    <w:name w:val="Default"/>
    <w:rsid w:val="00247A92"/>
    <w:pPr>
      <w:autoSpaceDE w:val="0"/>
      <w:autoSpaceDN w:val="0"/>
      <w:adjustRightInd w:val="0"/>
      <w:spacing w:after="0" w:line="240" w:lineRule="auto"/>
    </w:pPr>
    <w:rPr>
      <w:rFonts w:ascii="Verdana" w:hAnsi="Verdana" w:cs="Verdana"/>
      <w:color w:val="000000"/>
      <w:sz w:val="24"/>
      <w:szCs w:val="24"/>
    </w:rPr>
  </w:style>
  <w:style w:type="paragraph" w:customStyle="1" w:styleId="Standard">
    <w:name w:val="Standard"/>
    <w:basedOn w:val="Normal"/>
    <w:link w:val="StandardChar"/>
    <w:rsid w:val="00CC135A"/>
    <w:pPr>
      <w:spacing w:before="0" w:after="220" w:line="252" w:lineRule="auto"/>
    </w:pPr>
    <w:rPr>
      <w:rFonts w:eastAsia="Times New Roman"/>
      <w:snapToGrid w:val="0"/>
      <w:kern w:val="16"/>
      <w:szCs w:val="24"/>
    </w:rPr>
  </w:style>
  <w:style w:type="character" w:customStyle="1" w:styleId="StandardChar">
    <w:name w:val="Standard Char"/>
    <w:basedOn w:val="DefaultParagraphFont"/>
    <w:link w:val="Standard"/>
    <w:rsid w:val="00CC135A"/>
    <w:rPr>
      <w:rFonts w:ascii="Cambria" w:eastAsia="Times New Roman" w:hAnsi="Cambria" w:cs="Times New Roman"/>
      <w:snapToGrid w:val="0"/>
      <w:kern w:val="16"/>
      <w:szCs w:val="24"/>
    </w:rPr>
  </w:style>
  <w:style w:type="paragraph" w:customStyle="1" w:styleId="Tabletitle0">
    <w:name w:val="Table title"/>
    <w:basedOn w:val="Normal"/>
    <w:next w:val="Normal"/>
    <w:rsid w:val="00084A3F"/>
    <w:pPr>
      <w:keepNext/>
      <w:spacing w:after="180"/>
      <w:outlineLvl w:val="4"/>
    </w:pPr>
    <w:rPr>
      <w:rFonts w:cstheme="minorBid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024297">
      <w:bodyDiv w:val="1"/>
      <w:marLeft w:val="0"/>
      <w:marRight w:val="0"/>
      <w:marTop w:val="0"/>
      <w:marBottom w:val="0"/>
      <w:divBdr>
        <w:top w:val="none" w:sz="0" w:space="0" w:color="auto"/>
        <w:left w:val="none" w:sz="0" w:space="0" w:color="auto"/>
        <w:bottom w:val="none" w:sz="0" w:space="0" w:color="auto"/>
        <w:right w:val="none" w:sz="0" w:space="0" w:color="auto"/>
      </w:divBdr>
    </w:div>
    <w:div w:id="986127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s://www.tga.gov.au/product-information-pi" TargetMode="Externa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5.png"/><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eader" Target="header4.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s://www.tga.gov.au" TargetMode="Externa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hyperlink" Target="mailto:info@tga.gov.au" TargetMode="External"/><Relationship Id="rId28" Type="http://schemas.openxmlformats.org/officeDocument/2006/relationships/header" Target="header8.xml"/><Relationship Id="rId10" Type="http://schemas.openxmlformats.org/officeDocument/2006/relationships/hyperlink" Target="mailto:tga.copyright@tga.gov.au" TargetMode="External"/><Relationship Id="rId19" Type="http://schemas.openxmlformats.org/officeDocument/2006/relationships/header" Target="header3.xm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www.tga.gov.au" TargetMode="External"/><Relationship Id="rId14" Type="http://schemas.openxmlformats.org/officeDocument/2006/relationships/hyperlink" Target="https://www.tga.gov.au/product-information-pi" TargetMode="External"/><Relationship Id="rId22" Type="http://schemas.openxmlformats.org/officeDocument/2006/relationships/footer" Target="footer2.xml"/><Relationship Id="rId27" Type="http://schemas.openxmlformats.org/officeDocument/2006/relationships/footer" Target="footer3.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hilel\AppData\Local\Hewlett-Packard\HP%20TRIM\TEMP\HPTRIM.5672\R12%20926607%20%20AusPAR%20-%20template.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96DA5D-6933-4AF6-9EB2-747732C96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 926607  AusPAR - template.DOTX</Template>
  <TotalTime>122</TotalTime>
  <Pages>59</Pages>
  <Words>23624</Words>
  <Characters>134660</Characters>
  <Application>Microsoft Office Word</Application>
  <DocSecurity>0</DocSecurity>
  <Lines>1122</Lines>
  <Paragraphs>315</Paragraphs>
  <ScaleCrop>false</ScaleCrop>
  <HeadingPairs>
    <vt:vector size="2" baseType="variant">
      <vt:variant>
        <vt:lpstr>Title</vt:lpstr>
      </vt:variant>
      <vt:variant>
        <vt:i4>1</vt:i4>
      </vt:variant>
    </vt:vector>
  </HeadingPairs>
  <TitlesOfParts>
    <vt:vector size="1" baseType="lpstr">
      <vt:lpstr>Australian Public Assessment Report for Nitric Oxide</vt:lpstr>
    </vt:vector>
  </TitlesOfParts>
  <Company/>
  <LinksUpToDate>false</LinksUpToDate>
  <CharactersWithSpaces>157969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Nitric Oxide</dc:title>
  <dc:subject>Prescription medicines</dc:subject>
  <dc:creator>Therapeutic Goods Administration</dc:creator>
  <cp:keywords>AusPARs</cp:keywords>
  <cp:lastModifiedBy>MORENO, David</cp:lastModifiedBy>
  <cp:revision>10</cp:revision>
  <cp:lastPrinted>2017-04-20T06:52:00Z</cp:lastPrinted>
  <dcterms:created xsi:type="dcterms:W3CDTF">2017-05-15T01:31:00Z</dcterms:created>
  <dcterms:modified xsi:type="dcterms:W3CDTF">2017-05-30T01:45:00Z</dcterms:modified>
  <cp:category/>
</cp:coreProperties>
</file>