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46EB6" w14:textId="77777777" w:rsidR="00CD0209" w:rsidRPr="00886742" w:rsidRDefault="00CD0209" w:rsidP="00CD0209">
      <w:pPr>
        <w:tabs>
          <w:tab w:val="left" w:pos="284"/>
        </w:tabs>
        <w:spacing w:after="120"/>
      </w:pPr>
      <w:r>
        <w:rPr>
          <w:noProof/>
          <w:lang w:eastAsia="en-AU"/>
        </w:rPr>
        <mc:AlternateContent>
          <mc:Choice Requires="wps">
            <w:drawing>
              <wp:inline distT="0" distB="0" distL="0" distR="0" wp14:anchorId="46FC9E2B" wp14:editId="644CA82B">
                <wp:extent cx="252095" cy="25209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F7C3A" w14:textId="77777777" w:rsidR="00083939" w:rsidRPr="00BE2A26" w:rsidRDefault="00083939" w:rsidP="00CD0209">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6FC9E2B" id="_x0000_t202" coordsize="21600,21600" o:spt="202" path="m,l,21600r21600,l21600,xe">
                <v:stroke joinstyle="miter"/>
                <v:path gradientshapeok="t" o:connecttype="rect"/>
              </v:shapetype>
              <v:shape id="Text Box 7"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k4xe1dQIAAP4EAAAOAAAAAAAAAAAA&#10;AAAAAC4CAABkcnMvZTJvRG9jLnhtbFBLAQItABQABgAIAAAAIQBj9U4M2QAAAAMBAAAPAAAAAAAA&#10;AAAAAAAAAM8EAABkcnMvZG93bnJldi54bWxQSwUGAAAAAAQABADzAAAA1QUAAAAA&#10;" stroked="f">
                <v:textbox inset="0,0,0,0">
                  <w:txbxContent>
                    <w:p w14:paraId="7A6F7C3A" w14:textId="77777777" w:rsidR="00083939" w:rsidRPr="00BE2A26" w:rsidRDefault="00083939" w:rsidP="00CD0209">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886742">
        <w:t xml:space="preserve">This </w:t>
      </w:r>
      <w:bookmarkStart w:id="0" w:name="_GoBack"/>
      <w:bookmarkEnd w:id="0"/>
      <w:r w:rsidRPr="00886742">
        <w:t xml:space="preserve">medicinal product is subject to additional monitoring in Australia. This will allow quick identification of new safety information. Healthcare professionals are asked to report any suspected adverse events at </w:t>
      </w:r>
      <w:hyperlink r:id="rId8" w:history="1">
        <w:r w:rsidRPr="00886742">
          <w:t>www.tga.gov.au/reporting-problems</w:t>
        </w:r>
      </w:hyperlink>
      <w:r w:rsidRPr="00886742">
        <w:t>.</w:t>
      </w:r>
    </w:p>
    <w:p w14:paraId="28B8343B" w14:textId="77777777" w:rsidR="00F52CE5" w:rsidRDefault="003301BE" w:rsidP="003301BE">
      <w:pPr>
        <w:pStyle w:val="Title"/>
      </w:pPr>
      <w:r w:rsidRPr="003301BE">
        <w:t>AUSTRALIAN PRODUCT INFORMATION</w:t>
      </w:r>
      <w:r w:rsidR="000B24C9">
        <w:t xml:space="preserve"> </w:t>
      </w:r>
    </w:p>
    <w:p w14:paraId="3DB87581" w14:textId="727B33CF" w:rsidR="00B541CE" w:rsidRDefault="00723C6C" w:rsidP="003301BE">
      <w:pPr>
        <w:pStyle w:val="Title"/>
      </w:pPr>
      <w:r>
        <w:t>ZEJULA</w:t>
      </w:r>
      <w:r w:rsidR="003301BE" w:rsidRPr="001F1BA2">
        <w:rPr>
          <w:vertAlign w:val="superscript"/>
        </w:rPr>
        <w:t>®</w:t>
      </w:r>
      <w:r w:rsidR="00F52CE5">
        <w:rPr>
          <w:vertAlign w:val="superscript"/>
        </w:rPr>
        <w:t xml:space="preserve"> </w:t>
      </w:r>
      <w:r w:rsidR="003301BE" w:rsidRPr="001F1BA2">
        <w:t>(</w:t>
      </w:r>
      <w:r w:rsidR="000B24C9">
        <w:rPr>
          <w:caps w:val="0"/>
        </w:rPr>
        <w:t>NIRAPARIB</w:t>
      </w:r>
      <w:r w:rsidR="003301BE" w:rsidRPr="003301BE">
        <w:t>)</w:t>
      </w:r>
    </w:p>
    <w:p w14:paraId="6880A6EF" w14:textId="77777777" w:rsidR="00B541CE" w:rsidRDefault="00B541CE" w:rsidP="00217334">
      <w:pPr>
        <w:pStyle w:val="Heading1"/>
        <w:numPr>
          <w:ilvl w:val="0"/>
          <w:numId w:val="33"/>
        </w:numPr>
        <w:tabs>
          <w:tab w:val="left" w:pos="567"/>
        </w:tabs>
        <w:ind w:left="567" w:hanging="567"/>
      </w:pPr>
      <w:r>
        <w:t>NAME OF THE MEDICINE</w:t>
      </w:r>
    </w:p>
    <w:p w14:paraId="2A910D32" w14:textId="77777777" w:rsidR="001F1BA2" w:rsidRDefault="00985B60" w:rsidP="00105E46">
      <w:r>
        <w:t>ZEJULA</w:t>
      </w:r>
      <w:r w:rsidR="001F1BA2">
        <w:t xml:space="preserve"> (niraparib)</w:t>
      </w:r>
    </w:p>
    <w:p w14:paraId="19B3FFFF" w14:textId="77777777" w:rsidR="003301BE" w:rsidRDefault="003301BE" w:rsidP="00217334">
      <w:pPr>
        <w:pStyle w:val="Heading1"/>
        <w:numPr>
          <w:ilvl w:val="0"/>
          <w:numId w:val="33"/>
        </w:numPr>
        <w:tabs>
          <w:tab w:val="left" w:pos="567"/>
        </w:tabs>
        <w:ind w:left="567" w:hanging="567"/>
      </w:pPr>
      <w:r>
        <w:t xml:space="preserve">QUALITATIVE AND QUANTITATIVE COMPOSITION </w:t>
      </w:r>
    </w:p>
    <w:p w14:paraId="2970A265" w14:textId="77777777" w:rsidR="00DC0AE9" w:rsidRPr="00DC0AE9" w:rsidRDefault="00DC0AE9" w:rsidP="003301BE">
      <w:r w:rsidRPr="00DC0AE9">
        <w:t>Each capsule contains niraparib tos</w:t>
      </w:r>
      <w:r w:rsidR="00985B60">
        <w:t>i</w:t>
      </w:r>
      <w:r w:rsidRPr="00DC0AE9">
        <w:t>late monohydrate equivalent to 100 mg niraparib</w:t>
      </w:r>
      <w:r>
        <w:t>.</w:t>
      </w:r>
      <w:r w:rsidRPr="00DC0AE9">
        <w:t xml:space="preserve"> Excipients with known effect</w:t>
      </w:r>
      <w:r>
        <w:t>: E</w:t>
      </w:r>
      <w:r w:rsidRPr="00DC0AE9">
        <w:t>ach capsule contains lactose monohydrate</w:t>
      </w:r>
      <w:r>
        <w:t>.</w:t>
      </w:r>
      <w:r w:rsidRPr="00DC0AE9">
        <w:t xml:space="preserve"> Each capsule shell also contains the colouring agent tartrazine</w:t>
      </w:r>
      <w:r>
        <w:t>.</w:t>
      </w:r>
    </w:p>
    <w:p w14:paraId="6112BE7A" w14:textId="77777777" w:rsidR="003301BE" w:rsidRPr="00DC0AE9" w:rsidRDefault="003301BE" w:rsidP="003301BE">
      <w:r w:rsidRPr="00DC0AE9">
        <w:t>For the full list of excipients, see S</w:t>
      </w:r>
      <w:r w:rsidR="00DC0AE9" w:rsidRPr="00DC0AE9">
        <w:t>ection 6.1 List of excipients.</w:t>
      </w:r>
    </w:p>
    <w:p w14:paraId="27223A98" w14:textId="77777777" w:rsidR="003301BE" w:rsidRDefault="003301BE" w:rsidP="00217334">
      <w:pPr>
        <w:pStyle w:val="Heading1"/>
        <w:numPr>
          <w:ilvl w:val="0"/>
          <w:numId w:val="33"/>
        </w:numPr>
        <w:tabs>
          <w:tab w:val="left" w:pos="567"/>
        </w:tabs>
        <w:ind w:left="567" w:hanging="567"/>
      </w:pPr>
      <w:r>
        <w:t xml:space="preserve">PHARMACEUTICAL FORM </w:t>
      </w:r>
    </w:p>
    <w:p w14:paraId="672E9EC0" w14:textId="77777777" w:rsidR="002B3808" w:rsidRDefault="00057F8A" w:rsidP="002B3808">
      <w:pPr>
        <w:rPr>
          <w:highlight w:val="yellow"/>
        </w:rPr>
      </w:pPr>
      <w:r>
        <w:t>C</w:t>
      </w:r>
      <w:r w:rsidR="002B3808">
        <w:t>apsule</w:t>
      </w:r>
      <w:r w:rsidR="00F940E6">
        <w:t xml:space="preserve"> with a</w:t>
      </w:r>
      <w:r w:rsidR="002B3808">
        <w:t xml:space="preserve"> white body with “100 mg” printed in black ink and purple cap with “Niraparib” printed in white ink.</w:t>
      </w:r>
    </w:p>
    <w:p w14:paraId="028D1B2C" w14:textId="192765AB" w:rsidR="003301BE" w:rsidRDefault="003301BE" w:rsidP="00217334">
      <w:pPr>
        <w:pStyle w:val="Heading1"/>
        <w:numPr>
          <w:ilvl w:val="0"/>
          <w:numId w:val="33"/>
        </w:numPr>
        <w:tabs>
          <w:tab w:val="left" w:pos="567"/>
        </w:tabs>
        <w:ind w:left="567" w:hanging="567"/>
      </w:pPr>
      <w:r>
        <w:t xml:space="preserve">CLINICAL PARTICULARS </w:t>
      </w:r>
    </w:p>
    <w:p w14:paraId="7A581E47" w14:textId="77777777" w:rsidR="003301BE" w:rsidRDefault="003301BE" w:rsidP="00217334">
      <w:pPr>
        <w:pStyle w:val="Heading1"/>
        <w:numPr>
          <w:ilvl w:val="1"/>
          <w:numId w:val="33"/>
        </w:numPr>
        <w:tabs>
          <w:tab w:val="left" w:pos="567"/>
        </w:tabs>
        <w:ind w:left="567" w:hanging="567"/>
      </w:pPr>
      <w:r>
        <w:t xml:space="preserve">THERAPEUTIC INDICATIONS </w:t>
      </w:r>
    </w:p>
    <w:p w14:paraId="218E8BF3" w14:textId="6325C4E5" w:rsidR="00213A3D" w:rsidRPr="00217334" w:rsidRDefault="00723C6C" w:rsidP="00213A3D">
      <w:pPr>
        <w:rPr>
          <w:highlight w:val="yellow"/>
        </w:rPr>
      </w:pPr>
      <w:r>
        <w:t>ZEJULA</w:t>
      </w:r>
      <w:r w:rsidR="00213A3D">
        <w:t xml:space="preserve"> is indicated as monotherapy for the maintenance treatment of adult patients with platinum-sensitive relapsed high grade serous epithelial ovarian, fallopian tube, or primary peritoneal cancer who are in response (complete or partial) to platinum-based chemotherapy.</w:t>
      </w:r>
    </w:p>
    <w:p w14:paraId="749BA0F2" w14:textId="77777777" w:rsidR="003301BE" w:rsidRDefault="003301BE" w:rsidP="00217334">
      <w:pPr>
        <w:pStyle w:val="Heading1"/>
        <w:numPr>
          <w:ilvl w:val="1"/>
          <w:numId w:val="33"/>
        </w:numPr>
        <w:tabs>
          <w:tab w:val="left" w:pos="567"/>
        </w:tabs>
        <w:ind w:left="567" w:hanging="567"/>
      </w:pPr>
      <w:r>
        <w:t xml:space="preserve">DOSE AND METHOD OF ADMINISTRATION </w:t>
      </w:r>
    </w:p>
    <w:p w14:paraId="117A628C" w14:textId="77777777" w:rsidR="00B22DF7" w:rsidRDefault="00B22DF7" w:rsidP="00D44BAB">
      <w:pPr>
        <w:spacing w:after="120"/>
      </w:pPr>
      <w:r>
        <w:t xml:space="preserve">Treatment with </w:t>
      </w:r>
      <w:r w:rsidR="00723C6C">
        <w:t>ZEJULA</w:t>
      </w:r>
      <w:r>
        <w:t xml:space="preserve"> should be initiated and supervised by a physician experienced in the use of anticancer medicinal products.</w:t>
      </w:r>
    </w:p>
    <w:p w14:paraId="1F234770" w14:textId="2FEDBB7B" w:rsidR="002449CD" w:rsidRDefault="0031504F" w:rsidP="00D44BAB">
      <w:pPr>
        <w:spacing w:after="120"/>
      </w:pPr>
      <w:r>
        <w:t>T</w:t>
      </w:r>
      <w:r w:rsidR="002449CD" w:rsidRPr="002449CD">
        <w:t>he recommended starting dose is 300 mg (three 100 mg capsules)</w:t>
      </w:r>
      <w:r w:rsidR="00CA2058" w:rsidRPr="00CA2058">
        <w:t xml:space="preserve"> </w:t>
      </w:r>
      <w:r w:rsidRPr="002449CD">
        <w:t>taken orally once daily</w:t>
      </w:r>
      <w:r w:rsidR="00B712EF">
        <w:t>.</w:t>
      </w:r>
      <w:r>
        <w:t xml:space="preserve"> </w:t>
      </w:r>
    </w:p>
    <w:p w14:paraId="27785E78" w14:textId="77777777" w:rsidR="00B22DF7" w:rsidRDefault="00B22DF7" w:rsidP="00D44BAB">
      <w:pPr>
        <w:spacing w:after="120"/>
      </w:pPr>
      <w:r>
        <w:t>Patients should be encouraged to take their dose at approximately the same time each day. Bedtime administration may be a potential method for managing nausea.</w:t>
      </w:r>
    </w:p>
    <w:p w14:paraId="4FCCDFB5" w14:textId="77777777" w:rsidR="007F263A" w:rsidRDefault="007F263A" w:rsidP="00D44BAB">
      <w:pPr>
        <w:spacing w:after="120"/>
      </w:pPr>
      <w:r>
        <w:t>The capsules should be swallowed whole with water. The capsules should not be chewed or crushed.</w:t>
      </w:r>
      <w:r w:rsidRPr="007F263A">
        <w:t xml:space="preserve"> </w:t>
      </w:r>
      <w:r w:rsidR="00723C6C">
        <w:t>ZEJULA</w:t>
      </w:r>
      <w:r w:rsidRPr="007F263A">
        <w:t xml:space="preserve"> can be taken without regard to meals.</w:t>
      </w:r>
    </w:p>
    <w:p w14:paraId="01AF12DA" w14:textId="77777777" w:rsidR="00B22DF7" w:rsidRDefault="00B22DF7" w:rsidP="00B22DF7">
      <w:r>
        <w:t>It is recommended that treatment should be continued until dise</w:t>
      </w:r>
      <w:r w:rsidR="008D4A95">
        <w:t xml:space="preserve">ase progression or unacceptable </w:t>
      </w:r>
      <w:r>
        <w:t>toxicity.</w:t>
      </w:r>
    </w:p>
    <w:p w14:paraId="3472DE7B" w14:textId="77777777" w:rsidR="008D4A95" w:rsidRPr="009A0E02" w:rsidRDefault="008D4A95" w:rsidP="00E5496F">
      <w:pPr>
        <w:pStyle w:val="Heading2"/>
      </w:pPr>
      <w:r w:rsidRPr="009A0E02">
        <w:lastRenderedPageBreak/>
        <w:t>Missing dose</w:t>
      </w:r>
    </w:p>
    <w:p w14:paraId="35CDF1BF" w14:textId="77777777" w:rsidR="008D4A95" w:rsidRDefault="008D4A95" w:rsidP="003301BE">
      <w:pPr>
        <w:rPr>
          <w:highlight w:val="yellow"/>
        </w:rPr>
      </w:pPr>
      <w:r w:rsidRPr="008D4A95">
        <w:t>If patients miss a dose, they should take their next dose at its regularly scheduled time.</w:t>
      </w:r>
    </w:p>
    <w:p w14:paraId="38C00DCB" w14:textId="77777777" w:rsidR="008D4A95" w:rsidRPr="00561A49" w:rsidRDefault="008D4A95" w:rsidP="00E5496F">
      <w:pPr>
        <w:pStyle w:val="Heading2"/>
        <w:rPr>
          <w:lang w:val="en-GB" w:eastAsia="en-GB"/>
        </w:rPr>
      </w:pPr>
      <w:r w:rsidRPr="00561A49">
        <w:rPr>
          <w:lang w:val="en-GB" w:eastAsia="en-GB"/>
        </w:rPr>
        <w:t>Dose adjustments for adverse reactions</w:t>
      </w:r>
    </w:p>
    <w:p w14:paraId="3ADE03AE" w14:textId="20D3355D" w:rsidR="009D3045" w:rsidRDefault="009D3045" w:rsidP="00B37523">
      <w:pPr>
        <w:spacing w:after="0"/>
        <w:rPr>
          <w:highlight w:val="yellow"/>
        </w:rPr>
      </w:pPr>
      <w:r w:rsidRPr="009D3045">
        <w:t xml:space="preserve">To manage adverse reactions, consider interruption of treatment, dose reduction, or dose discontinuation. The recommended dose modifications for adverse reactions are listed in </w:t>
      </w:r>
      <w:r w:rsidR="00B37523" w:rsidRPr="00300B95">
        <w:fldChar w:fldCharType="begin"/>
      </w:r>
      <w:r w:rsidR="00B37523" w:rsidRPr="00300B95">
        <w:instrText xml:space="preserve"> REF _Ref514390197 \h </w:instrText>
      </w:r>
      <w:r w:rsidR="00300B95" w:rsidRPr="00300B95">
        <w:instrText xml:space="preserve"> \* MERGEFORMAT </w:instrText>
      </w:r>
      <w:r w:rsidR="00B37523" w:rsidRPr="00300B95">
        <w:fldChar w:fldCharType="separate"/>
      </w:r>
      <w:r w:rsidR="00673008" w:rsidRPr="00446545">
        <w:t xml:space="preserve">Table </w:t>
      </w:r>
      <w:r w:rsidR="00673008" w:rsidRPr="00446545">
        <w:rPr>
          <w:noProof/>
        </w:rPr>
        <w:t>1</w:t>
      </w:r>
      <w:r w:rsidR="00B37523" w:rsidRPr="00300B95">
        <w:fldChar w:fldCharType="end"/>
      </w:r>
      <w:r w:rsidRPr="00300B95">
        <w:t xml:space="preserve">, </w:t>
      </w:r>
      <w:r w:rsidR="00300B95" w:rsidRPr="00300B95">
        <w:fldChar w:fldCharType="begin"/>
      </w:r>
      <w:r w:rsidR="00300B95" w:rsidRPr="00300B95">
        <w:instrText xml:space="preserve"> REF _Ref514390268 \h  \* MERGEFORMAT </w:instrText>
      </w:r>
      <w:r w:rsidR="00300B95" w:rsidRPr="00300B95">
        <w:fldChar w:fldCharType="separate"/>
      </w:r>
      <w:r w:rsidR="00673008" w:rsidRPr="00446545">
        <w:t xml:space="preserve">Table </w:t>
      </w:r>
      <w:r w:rsidR="00673008" w:rsidRPr="00446545">
        <w:rPr>
          <w:noProof/>
        </w:rPr>
        <w:t>2</w:t>
      </w:r>
      <w:r w:rsidR="00300B95" w:rsidRPr="00300B95">
        <w:fldChar w:fldCharType="end"/>
      </w:r>
      <w:r w:rsidRPr="00300B95">
        <w:t xml:space="preserve"> and</w:t>
      </w:r>
      <w:r w:rsidR="00B37523" w:rsidRPr="00300B95">
        <w:t xml:space="preserve"> </w:t>
      </w:r>
      <w:r w:rsidR="00300B95" w:rsidRPr="00300B95">
        <w:fldChar w:fldCharType="begin"/>
      </w:r>
      <w:r w:rsidR="00300B95" w:rsidRPr="00300B95">
        <w:instrText xml:space="preserve"> REF _Ref514390411 \h  \* MERGEFORMAT </w:instrText>
      </w:r>
      <w:r w:rsidR="00300B95" w:rsidRPr="00300B95">
        <w:fldChar w:fldCharType="separate"/>
      </w:r>
      <w:r w:rsidR="00673008" w:rsidRPr="00446545">
        <w:t xml:space="preserve">Table </w:t>
      </w:r>
      <w:r w:rsidR="00673008" w:rsidRPr="00446545">
        <w:rPr>
          <w:noProof/>
        </w:rPr>
        <w:t>3</w:t>
      </w:r>
      <w:r w:rsidR="00300B95" w:rsidRPr="00300B95">
        <w:fldChar w:fldCharType="end"/>
      </w:r>
      <w:r w:rsidRPr="00300B95">
        <w:t>.</w:t>
      </w:r>
      <w:r w:rsidRPr="00300B95">
        <w:rPr>
          <w:highlight w:val="yellow"/>
        </w:rPr>
        <w:t xml:space="preserve"> </w:t>
      </w:r>
    </w:p>
    <w:p w14:paraId="61B302AE" w14:textId="77777777" w:rsidR="00446545" w:rsidRDefault="00446545" w:rsidP="00B37523">
      <w:pPr>
        <w:spacing w:after="0"/>
        <w:rPr>
          <w:highlight w:val="yellow"/>
        </w:rPr>
      </w:pPr>
    </w:p>
    <w:tbl>
      <w:tblPr>
        <w:tblStyle w:val="TableGrid"/>
        <w:tblW w:w="0" w:type="auto"/>
        <w:tblLook w:val="04A0" w:firstRow="1" w:lastRow="0" w:firstColumn="1" w:lastColumn="0" w:noHBand="0" w:noVBand="1"/>
      </w:tblPr>
      <w:tblGrid>
        <w:gridCol w:w="2582"/>
        <w:gridCol w:w="6740"/>
      </w:tblGrid>
      <w:tr w:rsidR="00CF358A" w14:paraId="1DB44F37" w14:textId="77777777" w:rsidTr="00555191">
        <w:tc>
          <w:tcPr>
            <w:tcW w:w="9322" w:type="dxa"/>
            <w:gridSpan w:val="2"/>
            <w:tcBorders>
              <w:bottom w:val="single" w:sz="4" w:space="0" w:color="auto"/>
            </w:tcBorders>
          </w:tcPr>
          <w:p w14:paraId="7240095E" w14:textId="3C46F40E" w:rsidR="00CF358A" w:rsidRPr="00B37523" w:rsidRDefault="00B37523" w:rsidP="00B37523">
            <w:pPr>
              <w:spacing w:after="0"/>
              <w:rPr>
                <w:b/>
              </w:rPr>
            </w:pPr>
            <w:bookmarkStart w:id="1" w:name="_Ref514390197"/>
            <w:r w:rsidRPr="00B37523">
              <w:rPr>
                <w:b/>
              </w:rPr>
              <w:t xml:space="preserve">Table </w:t>
            </w:r>
            <w:r w:rsidRPr="00B37523">
              <w:rPr>
                <w:b/>
              </w:rPr>
              <w:fldChar w:fldCharType="begin"/>
            </w:r>
            <w:r w:rsidRPr="00B37523">
              <w:rPr>
                <w:b/>
              </w:rPr>
              <w:instrText xml:space="preserve"> SEQ Table \* ARABIC </w:instrText>
            </w:r>
            <w:r w:rsidRPr="00B37523">
              <w:rPr>
                <w:b/>
              </w:rPr>
              <w:fldChar w:fldCharType="separate"/>
            </w:r>
            <w:r w:rsidR="00673008">
              <w:rPr>
                <w:b/>
                <w:noProof/>
              </w:rPr>
              <w:t>1</w:t>
            </w:r>
            <w:r w:rsidRPr="00B37523">
              <w:rPr>
                <w:b/>
              </w:rPr>
              <w:fldChar w:fldCharType="end"/>
            </w:r>
            <w:bookmarkEnd w:id="1"/>
            <w:r w:rsidRPr="00B37523">
              <w:rPr>
                <w:b/>
              </w:rPr>
              <w:t xml:space="preserve">: </w:t>
            </w:r>
            <w:r w:rsidR="00855298" w:rsidRPr="00B37523">
              <w:rPr>
                <w:b/>
              </w:rPr>
              <w:t>Recommended dose modifications for adverse reactions</w:t>
            </w:r>
          </w:p>
        </w:tc>
      </w:tr>
      <w:tr w:rsidR="00555191" w14:paraId="3324A065" w14:textId="77777777" w:rsidTr="00555191">
        <w:tc>
          <w:tcPr>
            <w:tcW w:w="2582" w:type="dxa"/>
            <w:shd w:val="clear" w:color="auto" w:fill="auto"/>
          </w:tcPr>
          <w:p w14:paraId="6C364338" w14:textId="7EB45895" w:rsidR="00555191" w:rsidRPr="009B33D0" w:rsidRDefault="00555191" w:rsidP="009D3045">
            <w:pPr>
              <w:rPr>
                <w:b/>
              </w:rPr>
            </w:pPr>
            <w:r w:rsidRPr="009B33D0">
              <w:rPr>
                <w:b/>
              </w:rPr>
              <w:t>Dose level</w:t>
            </w:r>
          </w:p>
        </w:tc>
        <w:tc>
          <w:tcPr>
            <w:tcW w:w="6740" w:type="dxa"/>
            <w:shd w:val="clear" w:color="auto" w:fill="auto"/>
          </w:tcPr>
          <w:p w14:paraId="1DA08BEC" w14:textId="60BF4448" w:rsidR="00555191" w:rsidRPr="009B33D0" w:rsidRDefault="00555191" w:rsidP="009D3045">
            <w:pPr>
              <w:rPr>
                <w:b/>
              </w:rPr>
            </w:pPr>
            <w:r w:rsidRPr="009B33D0">
              <w:rPr>
                <w:b/>
              </w:rPr>
              <w:t>Dose</w:t>
            </w:r>
          </w:p>
        </w:tc>
      </w:tr>
      <w:tr w:rsidR="00555191" w14:paraId="4B181FAD" w14:textId="77777777" w:rsidTr="00555191">
        <w:tc>
          <w:tcPr>
            <w:tcW w:w="2582" w:type="dxa"/>
          </w:tcPr>
          <w:p w14:paraId="294FB265" w14:textId="77777777" w:rsidR="00555191" w:rsidRDefault="00555191" w:rsidP="009D3045">
            <w:pPr>
              <w:rPr>
                <w:highlight w:val="yellow"/>
              </w:rPr>
            </w:pPr>
            <w:r w:rsidRPr="009D3045">
              <w:t>Starting dose</w:t>
            </w:r>
          </w:p>
        </w:tc>
        <w:tc>
          <w:tcPr>
            <w:tcW w:w="6740" w:type="dxa"/>
          </w:tcPr>
          <w:p w14:paraId="2D3AFD67" w14:textId="77777777" w:rsidR="00555191" w:rsidRPr="009D3045" w:rsidRDefault="00555191" w:rsidP="009D3045">
            <w:r w:rsidRPr="00CF358A">
              <w:t>300 mg/day (three 100 mg capsules)</w:t>
            </w:r>
          </w:p>
        </w:tc>
      </w:tr>
      <w:tr w:rsidR="00555191" w14:paraId="58C020F0" w14:textId="77777777" w:rsidTr="00555191">
        <w:tc>
          <w:tcPr>
            <w:tcW w:w="2582" w:type="dxa"/>
          </w:tcPr>
          <w:p w14:paraId="7783FFB8" w14:textId="77777777" w:rsidR="00555191" w:rsidRDefault="00555191" w:rsidP="009D3045">
            <w:pPr>
              <w:rPr>
                <w:highlight w:val="yellow"/>
              </w:rPr>
            </w:pPr>
            <w:r w:rsidRPr="009D3045">
              <w:t>First dose reduction</w:t>
            </w:r>
          </w:p>
        </w:tc>
        <w:tc>
          <w:tcPr>
            <w:tcW w:w="6740" w:type="dxa"/>
          </w:tcPr>
          <w:p w14:paraId="076214AF" w14:textId="77777777" w:rsidR="00555191" w:rsidRPr="009D3045" w:rsidRDefault="00555191" w:rsidP="009D3045">
            <w:r w:rsidRPr="00CF358A">
              <w:t>200 mg/day (two 100 mg capsules)</w:t>
            </w:r>
          </w:p>
        </w:tc>
      </w:tr>
      <w:tr w:rsidR="00555191" w14:paraId="3803B4FA" w14:textId="77777777" w:rsidTr="00555191">
        <w:tc>
          <w:tcPr>
            <w:tcW w:w="2582" w:type="dxa"/>
          </w:tcPr>
          <w:p w14:paraId="5DBC8D33" w14:textId="77777777" w:rsidR="00555191" w:rsidRPr="009D3045" w:rsidRDefault="00555191" w:rsidP="009D3045">
            <w:r w:rsidRPr="009D3045">
              <w:t>Second dose reduction</w:t>
            </w:r>
          </w:p>
        </w:tc>
        <w:tc>
          <w:tcPr>
            <w:tcW w:w="6740" w:type="dxa"/>
          </w:tcPr>
          <w:p w14:paraId="7CDFFD42" w14:textId="77777777" w:rsidR="00555191" w:rsidRPr="009D3045" w:rsidRDefault="00555191" w:rsidP="009D3045">
            <w:r w:rsidRPr="00CF358A">
              <w:t>100 mg/day* (one 100 mg capsule)</w:t>
            </w:r>
          </w:p>
        </w:tc>
      </w:tr>
    </w:tbl>
    <w:p w14:paraId="0142B929" w14:textId="77777777" w:rsidR="009D3045" w:rsidRDefault="00CF358A" w:rsidP="009D3045">
      <w:pPr>
        <w:rPr>
          <w:highlight w:val="yellow"/>
        </w:rPr>
      </w:pPr>
      <w:r w:rsidRPr="00CF358A">
        <w:t>*If further dose reduction below 100 mg/day is required, discontinue ZEJULA.</w:t>
      </w:r>
    </w:p>
    <w:tbl>
      <w:tblPr>
        <w:tblStyle w:val="TableGrid"/>
        <w:tblW w:w="0" w:type="auto"/>
        <w:tblLook w:val="04A0" w:firstRow="1" w:lastRow="0" w:firstColumn="1" w:lastColumn="0" w:noHBand="0" w:noVBand="1"/>
      </w:tblPr>
      <w:tblGrid>
        <w:gridCol w:w="3510"/>
        <w:gridCol w:w="5812"/>
      </w:tblGrid>
      <w:tr w:rsidR="00337C02" w:rsidRPr="009D3045" w14:paraId="022CFC03" w14:textId="77777777" w:rsidTr="00627815">
        <w:tc>
          <w:tcPr>
            <w:tcW w:w="9322" w:type="dxa"/>
            <w:gridSpan w:val="2"/>
          </w:tcPr>
          <w:p w14:paraId="77C6014E" w14:textId="7B8D9E19" w:rsidR="00337C02" w:rsidRPr="00300B95" w:rsidRDefault="00B37523" w:rsidP="00300B95">
            <w:pPr>
              <w:spacing w:after="0"/>
              <w:rPr>
                <w:b/>
              </w:rPr>
            </w:pPr>
            <w:bookmarkStart w:id="2" w:name="_Ref514390268"/>
            <w:r w:rsidRPr="00300B95">
              <w:rPr>
                <w:b/>
              </w:rPr>
              <w:t xml:space="preserve">Table </w:t>
            </w:r>
            <w:r w:rsidRPr="00300B95">
              <w:rPr>
                <w:b/>
              </w:rPr>
              <w:fldChar w:fldCharType="begin"/>
            </w:r>
            <w:r w:rsidRPr="00300B95">
              <w:rPr>
                <w:b/>
              </w:rPr>
              <w:instrText xml:space="preserve"> SEQ Table \* ARABIC </w:instrText>
            </w:r>
            <w:r w:rsidRPr="00300B95">
              <w:rPr>
                <w:b/>
              </w:rPr>
              <w:fldChar w:fldCharType="separate"/>
            </w:r>
            <w:r w:rsidR="00673008">
              <w:rPr>
                <w:b/>
                <w:noProof/>
              </w:rPr>
              <w:t>2</w:t>
            </w:r>
            <w:r w:rsidRPr="00300B95">
              <w:rPr>
                <w:b/>
              </w:rPr>
              <w:fldChar w:fldCharType="end"/>
            </w:r>
            <w:bookmarkEnd w:id="2"/>
            <w:r w:rsidRPr="00300B95">
              <w:rPr>
                <w:b/>
              </w:rPr>
              <w:t xml:space="preserve">: </w:t>
            </w:r>
            <w:r w:rsidR="00855298" w:rsidRPr="00300B95">
              <w:rPr>
                <w:b/>
              </w:rPr>
              <w:t>Dose modifications for non-haematologic adverse reactions</w:t>
            </w:r>
          </w:p>
        </w:tc>
      </w:tr>
      <w:tr w:rsidR="00337C02" w14:paraId="61710DBE" w14:textId="77777777" w:rsidTr="00627815">
        <w:tc>
          <w:tcPr>
            <w:tcW w:w="3510" w:type="dxa"/>
          </w:tcPr>
          <w:p w14:paraId="12CCA2AF" w14:textId="77777777" w:rsidR="00337C02" w:rsidRPr="00337C02" w:rsidRDefault="00337C02" w:rsidP="00337C02">
            <w:pPr>
              <w:jc w:val="left"/>
            </w:pPr>
            <w:r w:rsidRPr="00337C02">
              <w:t>Non-h</w:t>
            </w:r>
            <w:r w:rsidR="00C07728">
              <w:t>a</w:t>
            </w:r>
            <w:r w:rsidRPr="00337C02">
              <w:t>ematologic CTCAE* ≥ Grade 3 adverse reaction where prophylaxis is not considered feasible or adverse reaction persists despite treatment</w:t>
            </w:r>
          </w:p>
        </w:tc>
        <w:tc>
          <w:tcPr>
            <w:tcW w:w="5812" w:type="dxa"/>
          </w:tcPr>
          <w:p w14:paraId="4F89D1C4" w14:textId="77777777" w:rsidR="00337C02" w:rsidRPr="00337C02" w:rsidRDefault="00337C02" w:rsidP="006C4131">
            <w:pPr>
              <w:pStyle w:val="ListParagraph"/>
              <w:numPr>
                <w:ilvl w:val="0"/>
                <w:numId w:val="38"/>
              </w:numPr>
              <w:spacing w:after="0"/>
            </w:pPr>
            <w:r w:rsidRPr="00337C02">
              <w:t>Withhold ZEJULA for a maximum of 28 days or until resolution of adverse reaction.</w:t>
            </w:r>
          </w:p>
          <w:p w14:paraId="754133E7" w14:textId="1F7C246F" w:rsidR="00337C02" w:rsidRPr="00337C02" w:rsidRDefault="00337C02" w:rsidP="006710BB">
            <w:pPr>
              <w:pStyle w:val="ListParagraph"/>
              <w:numPr>
                <w:ilvl w:val="0"/>
                <w:numId w:val="38"/>
              </w:numPr>
              <w:spacing w:after="0"/>
            </w:pPr>
            <w:r w:rsidRPr="00337C02">
              <w:t xml:space="preserve">Resume ZEJULA at a reduced dose per </w:t>
            </w:r>
            <w:r w:rsidR="00267C1D" w:rsidRPr="00267C1D">
              <w:fldChar w:fldCharType="begin"/>
            </w:r>
            <w:r w:rsidR="00267C1D" w:rsidRPr="00267C1D">
              <w:instrText xml:space="preserve"> REF _Ref514390197 \h  \* MERGEFORMAT </w:instrText>
            </w:r>
            <w:r w:rsidR="00267C1D" w:rsidRPr="00267C1D">
              <w:fldChar w:fldCharType="separate"/>
            </w:r>
            <w:r w:rsidR="00673008" w:rsidRPr="003273E4">
              <w:t xml:space="preserve">Table </w:t>
            </w:r>
            <w:r w:rsidR="00673008" w:rsidRPr="003273E4">
              <w:rPr>
                <w:noProof/>
              </w:rPr>
              <w:t>1</w:t>
            </w:r>
            <w:r w:rsidR="00267C1D" w:rsidRPr="00267C1D">
              <w:fldChar w:fldCharType="end"/>
            </w:r>
            <w:r w:rsidRPr="00337C02">
              <w:t>. Up to 2 dose reductions are permitted</w:t>
            </w:r>
            <w:r w:rsidRPr="000133ED">
              <w:t>.</w:t>
            </w:r>
          </w:p>
        </w:tc>
      </w:tr>
      <w:tr w:rsidR="00337C02" w14:paraId="1834D7D6" w14:textId="77777777" w:rsidTr="00627815">
        <w:tc>
          <w:tcPr>
            <w:tcW w:w="3510" w:type="dxa"/>
          </w:tcPr>
          <w:p w14:paraId="4929105C" w14:textId="77777777" w:rsidR="00337C02" w:rsidRPr="003C5F1C" w:rsidRDefault="00337C02" w:rsidP="00AC5846">
            <w:pPr>
              <w:spacing w:after="0"/>
            </w:pPr>
            <w:r w:rsidRPr="003C5F1C">
              <w:t>CTCAE ≥ Grade 3 treatment-related adverse reaction lasting more than 28 days while patient is administered ZEJULA 100 mg/day</w:t>
            </w:r>
          </w:p>
        </w:tc>
        <w:tc>
          <w:tcPr>
            <w:tcW w:w="5812" w:type="dxa"/>
          </w:tcPr>
          <w:p w14:paraId="47656733" w14:textId="26A59647" w:rsidR="00337C02" w:rsidRPr="003C5F1C" w:rsidRDefault="00337C02" w:rsidP="00CC38C0">
            <w:pPr>
              <w:pStyle w:val="ListParagraph"/>
              <w:numPr>
                <w:ilvl w:val="0"/>
                <w:numId w:val="41"/>
              </w:numPr>
            </w:pPr>
            <w:r w:rsidRPr="003C5F1C">
              <w:t xml:space="preserve">Discontinue </w:t>
            </w:r>
            <w:r w:rsidR="00CC38C0">
              <w:t>ZEJULA.</w:t>
            </w:r>
          </w:p>
        </w:tc>
      </w:tr>
    </w:tbl>
    <w:p w14:paraId="3E48EB15" w14:textId="77777777" w:rsidR="00337C02" w:rsidRDefault="00337C02" w:rsidP="009D3045">
      <w:pPr>
        <w:rPr>
          <w:highlight w:val="yellow"/>
        </w:rPr>
      </w:pPr>
      <w:r w:rsidRPr="00337C02">
        <w:t>*CTCAE=Common Terminology Criteria for Adverse Events</w:t>
      </w:r>
    </w:p>
    <w:tbl>
      <w:tblPr>
        <w:tblStyle w:val="TableGrid"/>
        <w:tblW w:w="0" w:type="auto"/>
        <w:tblLook w:val="04A0" w:firstRow="1" w:lastRow="0" w:firstColumn="1" w:lastColumn="0" w:noHBand="0" w:noVBand="1"/>
      </w:tblPr>
      <w:tblGrid>
        <w:gridCol w:w="3510"/>
        <w:gridCol w:w="5670"/>
      </w:tblGrid>
      <w:tr w:rsidR="00337C02" w:rsidRPr="009D3045" w14:paraId="623FEAFD" w14:textId="77777777" w:rsidTr="00922D1B">
        <w:trPr>
          <w:tblHeader/>
        </w:trPr>
        <w:tc>
          <w:tcPr>
            <w:tcW w:w="9180" w:type="dxa"/>
            <w:gridSpan w:val="2"/>
          </w:tcPr>
          <w:p w14:paraId="0E6F6344" w14:textId="6834555A" w:rsidR="00337C02" w:rsidRPr="00300B95" w:rsidRDefault="00300B95" w:rsidP="00300B95">
            <w:pPr>
              <w:spacing w:after="0"/>
              <w:rPr>
                <w:b/>
              </w:rPr>
            </w:pPr>
            <w:bookmarkStart w:id="3" w:name="_Ref514390411"/>
            <w:bookmarkStart w:id="4" w:name="_Ref514389965"/>
            <w:r w:rsidRPr="00300B95">
              <w:rPr>
                <w:b/>
              </w:rPr>
              <w:t xml:space="preserve">Table </w:t>
            </w:r>
            <w:r w:rsidRPr="00300B95">
              <w:rPr>
                <w:b/>
              </w:rPr>
              <w:fldChar w:fldCharType="begin"/>
            </w:r>
            <w:r w:rsidRPr="00300B95">
              <w:rPr>
                <w:b/>
              </w:rPr>
              <w:instrText xml:space="preserve"> SEQ Table \* ARABIC </w:instrText>
            </w:r>
            <w:r w:rsidRPr="00300B95">
              <w:rPr>
                <w:b/>
              </w:rPr>
              <w:fldChar w:fldCharType="separate"/>
            </w:r>
            <w:r w:rsidR="00673008">
              <w:rPr>
                <w:b/>
                <w:noProof/>
              </w:rPr>
              <w:t>3</w:t>
            </w:r>
            <w:r w:rsidRPr="00300B95">
              <w:rPr>
                <w:b/>
              </w:rPr>
              <w:fldChar w:fldCharType="end"/>
            </w:r>
            <w:bookmarkEnd w:id="3"/>
            <w:r w:rsidRPr="00300B95">
              <w:rPr>
                <w:b/>
              </w:rPr>
              <w:t xml:space="preserve">: </w:t>
            </w:r>
            <w:r w:rsidR="00B37523" w:rsidRPr="00300B95">
              <w:rPr>
                <w:b/>
              </w:rPr>
              <w:t>Dose modifications for haematologic adverse reactions</w:t>
            </w:r>
            <w:bookmarkEnd w:id="4"/>
          </w:p>
        </w:tc>
      </w:tr>
      <w:tr w:rsidR="00337C02" w:rsidRPr="009D3045" w14:paraId="7023E0EB" w14:textId="77777777" w:rsidTr="00AC5846">
        <w:tc>
          <w:tcPr>
            <w:tcW w:w="9180" w:type="dxa"/>
            <w:gridSpan w:val="2"/>
          </w:tcPr>
          <w:p w14:paraId="4926CA18" w14:textId="77777777" w:rsidR="00337C02" w:rsidRPr="00337C02" w:rsidRDefault="00AC5846" w:rsidP="004A7936">
            <w:pPr>
              <w:spacing w:after="120"/>
            </w:pPr>
            <w:r>
              <w:t>Haematologic adverse reactions have been observed during treatment with Zejula especially during the initial phase of the treatment. It is therefore recommended to monitor complete blood counts (CBCs) weekly during the first month of treatment and modify the dose as needed. After the first month, it is recommended to monitor CBCs monthly and periodically after this time (see Section 4.4 Special Warnings and Precautions for Use). Based on individual laboratory values, weekly monitoring for the second month may be warranted.</w:t>
            </w:r>
          </w:p>
        </w:tc>
      </w:tr>
      <w:tr w:rsidR="00AC5846" w:rsidRPr="006C4131" w14:paraId="0D6B9A39" w14:textId="77777777" w:rsidTr="00AC5846">
        <w:tc>
          <w:tcPr>
            <w:tcW w:w="3510" w:type="dxa"/>
          </w:tcPr>
          <w:p w14:paraId="2B788E49" w14:textId="77777777" w:rsidR="00AC5846" w:rsidRPr="006C4131" w:rsidRDefault="00AC5846" w:rsidP="00AC5846">
            <w:pPr>
              <w:jc w:val="left"/>
            </w:pPr>
            <w:r>
              <w:t>Haematologic adverse reaction requiring transfusion or haematopoietic growth factor support</w:t>
            </w:r>
          </w:p>
        </w:tc>
        <w:tc>
          <w:tcPr>
            <w:tcW w:w="5670" w:type="dxa"/>
          </w:tcPr>
          <w:p w14:paraId="4AF7442F" w14:textId="77777777" w:rsidR="00AC5846" w:rsidRDefault="00AC5846" w:rsidP="00AC5846">
            <w:pPr>
              <w:pStyle w:val="ListParagraph"/>
              <w:numPr>
                <w:ilvl w:val="0"/>
                <w:numId w:val="39"/>
              </w:numPr>
              <w:spacing w:after="0"/>
            </w:pPr>
            <w:r>
              <w:t>For patients with platelet count ≤</w:t>
            </w:r>
            <w:r w:rsidR="00674961">
              <w:t xml:space="preserve"> 10 x </w:t>
            </w:r>
            <w:r w:rsidR="00674961" w:rsidRPr="0046134E">
              <w:t>10</w:t>
            </w:r>
            <w:r w:rsidR="00674961" w:rsidRPr="0046134E">
              <w:rPr>
                <w:vertAlign w:val="superscript"/>
              </w:rPr>
              <w:t>9</w:t>
            </w:r>
            <w:r w:rsidR="00674961" w:rsidRPr="0046134E">
              <w:t>/L</w:t>
            </w:r>
            <w:r>
              <w:t xml:space="preserve">, platelet transfusion should be considered. If there are other risk factors for bleeding such as co-administration of anticoagulation or antiplatelet medicinal products, consider interrupting these </w:t>
            </w:r>
            <w:r w:rsidR="00974761">
              <w:lastRenderedPageBreak/>
              <w:t xml:space="preserve">products </w:t>
            </w:r>
            <w:r>
              <w:t>and/or transfusion at a higher platelet count.</w:t>
            </w:r>
          </w:p>
          <w:p w14:paraId="0AFFABB9" w14:textId="1733BE1A" w:rsidR="00AC5846" w:rsidRPr="006C4131" w:rsidRDefault="00AC5846" w:rsidP="00300B95">
            <w:pPr>
              <w:pStyle w:val="ListParagraph"/>
              <w:numPr>
                <w:ilvl w:val="0"/>
                <w:numId w:val="39"/>
              </w:numPr>
              <w:spacing w:after="0"/>
            </w:pPr>
            <w:r>
              <w:t>Resume ZEJULA at a reduced dose per</w:t>
            </w:r>
            <w:r w:rsidR="00300B95">
              <w:t xml:space="preserve"> </w:t>
            </w:r>
            <w:r w:rsidR="00300B95" w:rsidRPr="00300B95">
              <w:fldChar w:fldCharType="begin"/>
            </w:r>
            <w:r w:rsidR="00300B95" w:rsidRPr="00300B95">
              <w:instrText xml:space="preserve"> REF _Ref514390197 \h  \* MERGEFORMAT </w:instrText>
            </w:r>
            <w:r w:rsidR="00300B95" w:rsidRPr="00300B95">
              <w:fldChar w:fldCharType="separate"/>
            </w:r>
            <w:r w:rsidR="00673008" w:rsidRPr="004371AC">
              <w:rPr>
                <w:noProof/>
              </w:rPr>
              <w:t>Table</w:t>
            </w:r>
            <w:r w:rsidR="00673008" w:rsidRPr="004371AC">
              <w:t xml:space="preserve"> 1</w:t>
            </w:r>
            <w:r w:rsidR="00300B95" w:rsidRPr="00300B95">
              <w:fldChar w:fldCharType="end"/>
            </w:r>
            <w:r w:rsidRPr="00300B95">
              <w:t>.</w:t>
            </w:r>
            <w:r w:rsidR="00300B95" w:rsidRPr="00300B95">
              <w:t xml:space="preserve"> </w:t>
            </w:r>
          </w:p>
        </w:tc>
      </w:tr>
      <w:tr w:rsidR="00374B02" w:rsidRPr="006C4131" w14:paraId="1A0C1444" w14:textId="77777777" w:rsidTr="00AC5846">
        <w:tc>
          <w:tcPr>
            <w:tcW w:w="3510" w:type="dxa"/>
            <w:vMerge w:val="restart"/>
          </w:tcPr>
          <w:p w14:paraId="74083127" w14:textId="77777777" w:rsidR="00374B02" w:rsidRDefault="00374B02" w:rsidP="003F1892">
            <w:pPr>
              <w:jc w:val="left"/>
            </w:pPr>
            <w:r w:rsidRPr="006C4131">
              <w:lastRenderedPageBreak/>
              <w:t>Platelet count &lt;</w:t>
            </w:r>
            <w:r w:rsidR="003F1892">
              <w:t>10</w:t>
            </w:r>
            <w:r w:rsidR="00644D97">
              <w:t>0</w:t>
            </w:r>
            <w:r w:rsidR="003F1892">
              <w:t xml:space="preserve"> x </w:t>
            </w:r>
            <w:r w:rsidR="003F1892" w:rsidRPr="0046134E">
              <w:t>10</w:t>
            </w:r>
            <w:r w:rsidR="003F1892" w:rsidRPr="0046134E">
              <w:rPr>
                <w:vertAlign w:val="superscript"/>
              </w:rPr>
              <w:t>9</w:t>
            </w:r>
            <w:r w:rsidR="003F1892" w:rsidRPr="0046134E">
              <w:t>/L</w:t>
            </w:r>
          </w:p>
        </w:tc>
        <w:tc>
          <w:tcPr>
            <w:tcW w:w="5670" w:type="dxa"/>
          </w:tcPr>
          <w:p w14:paraId="7952AB10" w14:textId="77777777" w:rsidR="00374B02" w:rsidRDefault="00374B02" w:rsidP="00AC5846">
            <w:pPr>
              <w:spacing w:after="0"/>
            </w:pPr>
            <w:r>
              <w:t xml:space="preserve">First occurrence: </w:t>
            </w:r>
          </w:p>
          <w:p w14:paraId="7379756D" w14:textId="77777777" w:rsidR="00374B02" w:rsidRDefault="00374B02" w:rsidP="00AC5846">
            <w:pPr>
              <w:pStyle w:val="ListParagraph"/>
              <w:numPr>
                <w:ilvl w:val="0"/>
                <w:numId w:val="39"/>
              </w:numPr>
              <w:spacing w:after="0"/>
            </w:pPr>
            <w:r>
              <w:t>Withhold ZEJULA for a maximum of 28 days and monitor blood counts weekly until platelet counts return to ≥</w:t>
            </w:r>
            <w:r w:rsidR="003F1892">
              <w:t>10</w:t>
            </w:r>
            <w:r w:rsidR="00644D97">
              <w:t>0</w:t>
            </w:r>
            <w:r w:rsidR="003F1892">
              <w:t xml:space="preserve"> x </w:t>
            </w:r>
            <w:r w:rsidR="003F1892" w:rsidRPr="0046134E">
              <w:t>10</w:t>
            </w:r>
            <w:r w:rsidR="003F1892" w:rsidRPr="0046134E">
              <w:rPr>
                <w:vertAlign w:val="superscript"/>
              </w:rPr>
              <w:t>9</w:t>
            </w:r>
            <w:r w:rsidR="003F1892" w:rsidRPr="0046134E">
              <w:t>/L</w:t>
            </w:r>
            <w:r>
              <w:t>.</w:t>
            </w:r>
          </w:p>
          <w:p w14:paraId="159AD71A" w14:textId="77777777" w:rsidR="00374B02" w:rsidRDefault="00374B02" w:rsidP="00AC5846">
            <w:pPr>
              <w:pStyle w:val="ListParagraph"/>
              <w:numPr>
                <w:ilvl w:val="0"/>
                <w:numId w:val="39"/>
              </w:numPr>
              <w:spacing w:after="0"/>
            </w:pPr>
            <w:r>
              <w:t>Resume Zejula at same or reduced dose based on clinical evaluation.</w:t>
            </w:r>
          </w:p>
          <w:p w14:paraId="703AC7B3" w14:textId="36C2EF8B" w:rsidR="00374B02" w:rsidRDefault="00374B02" w:rsidP="003F1892">
            <w:pPr>
              <w:pStyle w:val="ListParagraph"/>
              <w:numPr>
                <w:ilvl w:val="0"/>
                <w:numId w:val="39"/>
              </w:numPr>
              <w:spacing w:after="0"/>
            </w:pPr>
            <w:r>
              <w:t xml:space="preserve">If platelet count is &lt; </w:t>
            </w:r>
            <w:r w:rsidR="003F1892">
              <w:t xml:space="preserve">75 x </w:t>
            </w:r>
            <w:r w:rsidR="003F1892" w:rsidRPr="0046134E">
              <w:t>10</w:t>
            </w:r>
            <w:r w:rsidR="003F1892" w:rsidRPr="0046134E">
              <w:rPr>
                <w:vertAlign w:val="superscript"/>
              </w:rPr>
              <w:t>9</w:t>
            </w:r>
            <w:r w:rsidR="003F1892" w:rsidRPr="0046134E">
              <w:t>/L</w:t>
            </w:r>
            <w:r w:rsidR="003F1892">
              <w:t xml:space="preserve"> </w:t>
            </w:r>
            <w:r>
              <w:t xml:space="preserve">at any time, resume at a reduced dose per </w:t>
            </w:r>
            <w:r w:rsidR="00300B95" w:rsidRPr="00300B95">
              <w:fldChar w:fldCharType="begin"/>
            </w:r>
            <w:r w:rsidR="00300B95" w:rsidRPr="00300B95">
              <w:instrText xml:space="preserve"> REF _Ref514390197 \h  \* MERGEFORMAT </w:instrText>
            </w:r>
            <w:r w:rsidR="00300B95" w:rsidRPr="00300B95">
              <w:fldChar w:fldCharType="separate"/>
            </w:r>
            <w:r w:rsidR="00673008" w:rsidRPr="00BD2276">
              <w:t xml:space="preserve">Table </w:t>
            </w:r>
            <w:r w:rsidR="00673008" w:rsidRPr="00BD2276">
              <w:rPr>
                <w:noProof/>
              </w:rPr>
              <w:t>1</w:t>
            </w:r>
            <w:r w:rsidR="00300B95" w:rsidRPr="00300B95">
              <w:fldChar w:fldCharType="end"/>
            </w:r>
            <w:r>
              <w:t>.</w:t>
            </w:r>
          </w:p>
        </w:tc>
      </w:tr>
      <w:tr w:rsidR="00374B02" w:rsidRPr="006C4131" w14:paraId="673D9D46" w14:textId="77777777" w:rsidTr="00AC5846">
        <w:tc>
          <w:tcPr>
            <w:tcW w:w="3510" w:type="dxa"/>
            <w:vMerge/>
          </w:tcPr>
          <w:p w14:paraId="5C724074" w14:textId="77777777" w:rsidR="00374B02" w:rsidRPr="006C4131" w:rsidRDefault="00374B02" w:rsidP="00AC5846">
            <w:pPr>
              <w:jc w:val="left"/>
            </w:pPr>
          </w:p>
        </w:tc>
        <w:tc>
          <w:tcPr>
            <w:tcW w:w="5670" w:type="dxa"/>
          </w:tcPr>
          <w:p w14:paraId="261F947C" w14:textId="77777777" w:rsidR="00374B02" w:rsidRPr="006C4131" w:rsidRDefault="00374B02" w:rsidP="00374B02">
            <w:pPr>
              <w:spacing w:after="0"/>
            </w:pPr>
            <w:r w:rsidRPr="006C4131">
              <w:t>Second occurrence:</w:t>
            </w:r>
          </w:p>
          <w:p w14:paraId="24901391" w14:textId="77777777" w:rsidR="00374B02" w:rsidRPr="006C4131" w:rsidRDefault="00374B02" w:rsidP="00374B02">
            <w:pPr>
              <w:pStyle w:val="ListParagraph"/>
              <w:numPr>
                <w:ilvl w:val="0"/>
                <w:numId w:val="39"/>
              </w:numPr>
              <w:spacing w:after="0"/>
            </w:pPr>
            <w:r w:rsidRPr="006C4131">
              <w:t>Withhold ZEJULA for a maximum of 28 days and monitor blood counts weekly until platelet counts return to ≥</w:t>
            </w:r>
            <w:r w:rsidR="00644D97">
              <w:t xml:space="preserve">100 x </w:t>
            </w:r>
            <w:r w:rsidR="00644D97" w:rsidRPr="0046134E">
              <w:t>10</w:t>
            </w:r>
            <w:r w:rsidR="00644D97" w:rsidRPr="0046134E">
              <w:rPr>
                <w:vertAlign w:val="superscript"/>
              </w:rPr>
              <w:t>9</w:t>
            </w:r>
            <w:r w:rsidR="00644D97" w:rsidRPr="0046134E">
              <w:t>/L</w:t>
            </w:r>
            <w:r w:rsidRPr="006C4131">
              <w:t>.</w:t>
            </w:r>
          </w:p>
          <w:p w14:paraId="464B7632" w14:textId="2F6B8045" w:rsidR="00374B02" w:rsidRDefault="00374B02" w:rsidP="00374B02">
            <w:pPr>
              <w:pStyle w:val="ListParagraph"/>
              <w:numPr>
                <w:ilvl w:val="0"/>
                <w:numId w:val="39"/>
              </w:numPr>
              <w:spacing w:after="0"/>
            </w:pPr>
            <w:r w:rsidRPr="006C4131">
              <w:t xml:space="preserve">Resume ZEJULA at a reduced dose per </w:t>
            </w:r>
            <w:r w:rsidR="00300B95" w:rsidRPr="00300B95">
              <w:fldChar w:fldCharType="begin"/>
            </w:r>
            <w:r w:rsidR="00300B95" w:rsidRPr="00300B95">
              <w:instrText xml:space="preserve"> REF _Ref514390197 \h  \* MERGEFORMAT </w:instrText>
            </w:r>
            <w:r w:rsidR="00300B95" w:rsidRPr="00300B95">
              <w:fldChar w:fldCharType="separate"/>
            </w:r>
            <w:r w:rsidR="00673008" w:rsidRPr="00BD2276">
              <w:t xml:space="preserve">Table </w:t>
            </w:r>
            <w:r w:rsidR="00673008" w:rsidRPr="00BD2276">
              <w:rPr>
                <w:noProof/>
              </w:rPr>
              <w:t>1</w:t>
            </w:r>
            <w:r w:rsidR="00300B95" w:rsidRPr="00300B95">
              <w:fldChar w:fldCharType="end"/>
            </w:r>
            <w:r w:rsidRPr="006C4131">
              <w:t>.</w:t>
            </w:r>
          </w:p>
          <w:p w14:paraId="580231CE" w14:textId="77777777" w:rsidR="00374B02" w:rsidRDefault="00374B02" w:rsidP="00374B02">
            <w:pPr>
              <w:pStyle w:val="ListParagraph"/>
              <w:numPr>
                <w:ilvl w:val="0"/>
                <w:numId w:val="39"/>
              </w:numPr>
              <w:spacing w:after="0"/>
            </w:pPr>
            <w:r w:rsidRPr="006C4131">
              <w:t>Discontinue ZEJULA if the platelet count has not returned to acceptable levels within 28 days of the dose interruption period, or if the patient has already undergone dose reduction to 100 mg once daily</w:t>
            </w:r>
            <w:r>
              <w:t>.</w:t>
            </w:r>
          </w:p>
        </w:tc>
      </w:tr>
      <w:tr w:rsidR="006C4131" w:rsidRPr="006C4131" w14:paraId="7DE615B1" w14:textId="77777777" w:rsidTr="00AC5846">
        <w:tc>
          <w:tcPr>
            <w:tcW w:w="3510" w:type="dxa"/>
          </w:tcPr>
          <w:p w14:paraId="41C786C8" w14:textId="77777777" w:rsidR="006C4131" w:rsidRPr="006C4131" w:rsidRDefault="006C4131" w:rsidP="003F3ACE">
            <w:pPr>
              <w:jc w:val="left"/>
            </w:pPr>
            <w:r w:rsidRPr="006C4131">
              <w:t xml:space="preserve">Neutrophil </w:t>
            </w:r>
            <w:r w:rsidR="00644D97" w:rsidRPr="006C4131">
              <w:t>&lt;</w:t>
            </w:r>
            <w:r w:rsidR="00644D97">
              <w:t xml:space="preserve">1 x </w:t>
            </w:r>
            <w:r w:rsidR="00644D97" w:rsidRPr="0046134E">
              <w:t>10</w:t>
            </w:r>
            <w:r w:rsidR="00644D97" w:rsidRPr="0046134E">
              <w:rPr>
                <w:vertAlign w:val="superscript"/>
              </w:rPr>
              <w:t>9</w:t>
            </w:r>
            <w:r w:rsidR="00644D97" w:rsidRPr="0046134E">
              <w:t>/L</w:t>
            </w:r>
            <w:r w:rsidR="00644D97" w:rsidRPr="006C4131" w:rsidDel="00644D97">
              <w:t xml:space="preserve"> </w:t>
            </w:r>
            <w:r w:rsidRPr="006C4131">
              <w:t xml:space="preserve"> or </w:t>
            </w:r>
            <w:r w:rsidRPr="00F3189C">
              <w:t>H</w:t>
            </w:r>
            <w:r w:rsidR="00C07728" w:rsidRPr="00F3189C">
              <w:t>a</w:t>
            </w:r>
            <w:r w:rsidRPr="00F3189C">
              <w:t>emoglobin &lt;8</w:t>
            </w:r>
            <w:r w:rsidR="003F3ACE">
              <w:t>0</w:t>
            </w:r>
            <w:r w:rsidRPr="00F3189C">
              <w:t xml:space="preserve"> g/</w:t>
            </w:r>
            <w:r w:rsidRPr="006C4131">
              <w:t>L</w:t>
            </w:r>
          </w:p>
        </w:tc>
        <w:tc>
          <w:tcPr>
            <w:tcW w:w="5670" w:type="dxa"/>
          </w:tcPr>
          <w:p w14:paraId="1E8A8644" w14:textId="77777777" w:rsidR="006C4131" w:rsidRPr="00F3189C" w:rsidRDefault="006C4131" w:rsidP="006C4131">
            <w:pPr>
              <w:pStyle w:val="ListParagraph"/>
              <w:numPr>
                <w:ilvl w:val="0"/>
                <w:numId w:val="40"/>
              </w:numPr>
            </w:pPr>
            <w:r>
              <w:t>Withhold ZEJULA for a maximum of 28 days and monitor blood counts weekly until neutrophil counts ret</w:t>
            </w:r>
            <w:r w:rsidRPr="00F3189C">
              <w:t>urn to ≥</w:t>
            </w:r>
            <w:r w:rsidR="00644D97">
              <w:t xml:space="preserve">1.5 x </w:t>
            </w:r>
            <w:r w:rsidR="00644D97" w:rsidRPr="0046134E">
              <w:t>10</w:t>
            </w:r>
            <w:r w:rsidR="00644D97" w:rsidRPr="0046134E">
              <w:rPr>
                <w:vertAlign w:val="superscript"/>
              </w:rPr>
              <w:t>9</w:t>
            </w:r>
            <w:r w:rsidR="00644D97" w:rsidRPr="0046134E">
              <w:t>/L</w:t>
            </w:r>
            <w:r w:rsidRPr="00F3189C">
              <w:t xml:space="preserve"> or h</w:t>
            </w:r>
            <w:r w:rsidR="00C07728" w:rsidRPr="00F3189C">
              <w:t>a</w:t>
            </w:r>
            <w:r w:rsidRPr="00F3189C">
              <w:t>emoglobin returns to ≥9</w:t>
            </w:r>
            <w:r w:rsidR="003F3ACE">
              <w:t>0</w:t>
            </w:r>
            <w:r w:rsidRPr="00F3189C">
              <w:t xml:space="preserve"> g/L.</w:t>
            </w:r>
          </w:p>
          <w:p w14:paraId="434DAFDA" w14:textId="7C250BA4" w:rsidR="006C4131" w:rsidRPr="00F3189C" w:rsidRDefault="006C4131" w:rsidP="006C4131">
            <w:pPr>
              <w:pStyle w:val="ListParagraph"/>
              <w:numPr>
                <w:ilvl w:val="0"/>
                <w:numId w:val="40"/>
              </w:numPr>
              <w:spacing w:after="0"/>
              <w:ind w:left="714" w:hanging="357"/>
            </w:pPr>
            <w:r w:rsidRPr="00F3189C">
              <w:t xml:space="preserve">Resume ZEJULA at a reduced dose per </w:t>
            </w:r>
            <w:r w:rsidR="00300B95" w:rsidRPr="00300B95">
              <w:fldChar w:fldCharType="begin"/>
            </w:r>
            <w:r w:rsidR="00300B95" w:rsidRPr="00300B95">
              <w:instrText xml:space="preserve"> REF _Ref514390197 \h  \* MERGEFORMAT </w:instrText>
            </w:r>
            <w:r w:rsidR="00300B95" w:rsidRPr="00300B95">
              <w:fldChar w:fldCharType="separate"/>
            </w:r>
            <w:r w:rsidR="00673008" w:rsidRPr="00BD2276">
              <w:t xml:space="preserve">Table </w:t>
            </w:r>
            <w:r w:rsidR="00673008" w:rsidRPr="00BD2276">
              <w:rPr>
                <w:noProof/>
              </w:rPr>
              <w:t>1</w:t>
            </w:r>
            <w:r w:rsidR="00300B95" w:rsidRPr="00300B95">
              <w:fldChar w:fldCharType="end"/>
            </w:r>
            <w:r w:rsidRPr="00F3189C">
              <w:t>.</w:t>
            </w:r>
          </w:p>
          <w:p w14:paraId="16600D2C" w14:textId="77777777" w:rsidR="006C4131" w:rsidRPr="006C4131" w:rsidRDefault="006C4131" w:rsidP="006C4131">
            <w:pPr>
              <w:pStyle w:val="ListParagraph"/>
              <w:numPr>
                <w:ilvl w:val="0"/>
                <w:numId w:val="40"/>
              </w:numPr>
              <w:spacing w:after="0"/>
              <w:ind w:left="714" w:hanging="357"/>
            </w:pPr>
            <w:r w:rsidRPr="00F3189C">
              <w:t>Discontinue ZEJULA if neutrophils and/or h</w:t>
            </w:r>
            <w:r w:rsidR="00C07728" w:rsidRPr="00F3189C">
              <w:t>a</w:t>
            </w:r>
            <w:r w:rsidRPr="00F3189C">
              <w:t>emoglobin have not returned to acceptable levels within</w:t>
            </w:r>
            <w:r>
              <w:t xml:space="preserve"> 28 days of the dose interruption period, or if the patient has already undergone dose </w:t>
            </w:r>
            <w:r w:rsidR="00374B02">
              <w:t>reduction to 100 mg once daily.</w:t>
            </w:r>
            <w:r>
              <w:tab/>
            </w:r>
          </w:p>
        </w:tc>
      </w:tr>
      <w:tr w:rsidR="003C5F1C" w:rsidRPr="006C4131" w14:paraId="2AF9909E" w14:textId="77777777" w:rsidTr="00AC5846">
        <w:tc>
          <w:tcPr>
            <w:tcW w:w="3510" w:type="dxa"/>
          </w:tcPr>
          <w:p w14:paraId="7EDB16CA" w14:textId="77777777" w:rsidR="003C5F1C" w:rsidRPr="006C4131" w:rsidRDefault="003C5F1C" w:rsidP="00374B02">
            <w:pPr>
              <w:spacing w:after="0"/>
              <w:jc w:val="left"/>
            </w:pPr>
            <w:r>
              <w:t>Confirmed diagnosis of myelodysplastic syndrome (MDS) or acute myeloid leukaemia (AML)</w:t>
            </w:r>
          </w:p>
        </w:tc>
        <w:tc>
          <w:tcPr>
            <w:tcW w:w="5670" w:type="dxa"/>
          </w:tcPr>
          <w:p w14:paraId="36064E60" w14:textId="3982E59B" w:rsidR="003C5F1C" w:rsidRPr="006C4131" w:rsidRDefault="003C5F1C" w:rsidP="0031504F">
            <w:pPr>
              <w:pStyle w:val="ListParagraph"/>
              <w:numPr>
                <w:ilvl w:val="0"/>
                <w:numId w:val="40"/>
              </w:numPr>
              <w:spacing w:after="0"/>
            </w:pPr>
            <w:r w:rsidRPr="003C5F1C">
              <w:t>Discontinue</w:t>
            </w:r>
            <w:r w:rsidR="003D0489">
              <w:t xml:space="preserve"> </w:t>
            </w:r>
            <w:r w:rsidR="0031504F">
              <w:t>ZEJULA</w:t>
            </w:r>
            <w:r w:rsidR="00794E5A">
              <w:t>.</w:t>
            </w:r>
          </w:p>
        </w:tc>
      </w:tr>
    </w:tbl>
    <w:p w14:paraId="6E86272C" w14:textId="77777777" w:rsidR="00150155" w:rsidRDefault="00150155" w:rsidP="00150155">
      <w:pPr>
        <w:widowControl w:val="0"/>
        <w:rPr>
          <w:i/>
          <w:noProof/>
          <w:szCs w:val="22"/>
        </w:rPr>
      </w:pPr>
    </w:p>
    <w:p w14:paraId="4C284B7F" w14:textId="52B35583" w:rsidR="00294D68" w:rsidRPr="00561A49" w:rsidRDefault="00294D68" w:rsidP="00AF6AF0">
      <w:pPr>
        <w:pStyle w:val="Heading2"/>
      </w:pPr>
      <w:r w:rsidRPr="00561A49">
        <w:t>Elderly</w:t>
      </w:r>
    </w:p>
    <w:p w14:paraId="40E528C5" w14:textId="77777777" w:rsidR="00294D68" w:rsidRDefault="00294D68" w:rsidP="00AF6AF0">
      <w:r>
        <w:t>No dose adjustment is necessary for elderly patients (≥ 65 years). There are limited clinical data in</w:t>
      </w:r>
      <w:r w:rsidR="00BF11FD">
        <w:t xml:space="preserve"> </w:t>
      </w:r>
      <w:r>
        <w:t>patients aged 75 or over.</w:t>
      </w:r>
    </w:p>
    <w:p w14:paraId="3259DB0B" w14:textId="77777777" w:rsidR="00294D68" w:rsidRPr="00561A49" w:rsidRDefault="00294D68" w:rsidP="00E5496F">
      <w:pPr>
        <w:pStyle w:val="Heading2"/>
      </w:pPr>
      <w:r w:rsidRPr="00561A49">
        <w:t>Renal impairment</w:t>
      </w:r>
    </w:p>
    <w:p w14:paraId="3C3507CB" w14:textId="77777777" w:rsidR="00294D68" w:rsidRDefault="00294D68" w:rsidP="00294D68">
      <w:r>
        <w:t>No dose adjustment is necessary for patients with mild to moderate renal impairment. There are no data in patients with severe renal impairment or end stage renal disease undergoing haemodialysis; use with caution in these patients, see Section 5.2 Pharmacokinetic Properties.</w:t>
      </w:r>
    </w:p>
    <w:p w14:paraId="5978C592" w14:textId="77777777" w:rsidR="00294D68" w:rsidRPr="00561A49" w:rsidRDefault="00294D68" w:rsidP="00E5496F">
      <w:pPr>
        <w:pStyle w:val="Heading2"/>
      </w:pPr>
      <w:r w:rsidRPr="00561A49">
        <w:lastRenderedPageBreak/>
        <w:t>Hepatic impairment</w:t>
      </w:r>
    </w:p>
    <w:p w14:paraId="09404F2E" w14:textId="77777777" w:rsidR="00294D68" w:rsidRDefault="00294D68" w:rsidP="00294D68">
      <w:r>
        <w:t>No dose adjustment is needed in patients with mild to moderate hepatic impairment. There are no data in patients with severe hepatic impairment; use with caution in these patients</w:t>
      </w:r>
      <w:r w:rsidR="007F263A">
        <w:t>, see Section 5.2 Pharmacokinetic Properties.</w:t>
      </w:r>
    </w:p>
    <w:p w14:paraId="032A42B9" w14:textId="77777777" w:rsidR="007F263A" w:rsidRPr="00561A49" w:rsidRDefault="007F263A" w:rsidP="00E5496F">
      <w:pPr>
        <w:pStyle w:val="Heading2"/>
      </w:pPr>
      <w:r w:rsidRPr="00561A49">
        <w:t>Patients with ECOG performance status 2 to 4</w:t>
      </w:r>
    </w:p>
    <w:p w14:paraId="074E70BA" w14:textId="77777777" w:rsidR="007F263A" w:rsidRDefault="007F263A" w:rsidP="007F263A">
      <w:r>
        <w:t>Clinical data are not available in patients with ECOG performance status 2 to 4.</w:t>
      </w:r>
    </w:p>
    <w:p w14:paraId="674747EB" w14:textId="77777777" w:rsidR="007F263A" w:rsidRPr="00561A49" w:rsidRDefault="007F263A" w:rsidP="00E5496F">
      <w:pPr>
        <w:pStyle w:val="Heading2"/>
      </w:pPr>
      <w:r w:rsidRPr="00561A49">
        <w:t>Paediatric population</w:t>
      </w:r>
    </w:p>
    <w:p w14:paraId="349EE39F" w14:textId="77777777" w:rsidR="007F263A" w:rsidRDefault="007F263A" w:rsidP="007F263A">
      <w:r>
        <w:t xml:space="preserve">The safety and efficacy of </w:t>
      </w:r>
      <w:r w:rsidR="00985B60">
        <w:t>ZEJULA</w:t>
      </w:r>
      <w:r>
        <w:t xml:space="preserve"> in children and adolescents below 18 years of age have not yet been established. No data are available.</w:t>
      </w:r>
    </w:p>
    <w:p w14:paraId="4E8F0C79" w14:textId="77777777" w:rsidR="003301BE" w:rsidRDefault="003301BE" w:rsidP="00217334">
      <w:pPr>
        <w:pStyle w:val="Heading1"/>
        <w:numPr>
          <w:ilvl w:val="1"/>
          <w:numId w:val="33"/>
        </w:numPr>
        <w:tabs>
          <w:tab w:val="left" w:pos="567"/>
        </w:tabs>
        <w:ind w:left="567" w:hanging="567"/>
      </w:pPr>
      <w:r>
        <w:t xml:space="preserve">CONTRAINDICATIONS </w:t>
      </w:r>
    </w:p>
    <w:p w14:paraId="60DE6342" w14:textId="77777777" w:rsidR="00CD1299" w:rsidRDefault="00CD1299" w:rsidP="00CD1299">
      <w:r>
        <w:t xml:space="preserve">Hypersensitivity to the active substance or to any of the excipients listed in </w:t>
      </w:r>
      <w:r w:rsidR="0052477B">
        <w:t>S</w:t>
      </w:r>
      <w:r w:rsidRPr="0052477B">
        <w:t>ection 6.1</w:t>
      </w:r>
      <w:r w:rsidR="0052477B">
        <w:t xml:space="preserve"> List of Excipients</w:t>
      </w:r>
      <w:r w:rsidRPr="0052477B">
        <w:t>.</w:t>
      </w:r>
      <w:r>
        <w:t xml:space="preserve"> </w:t>
      </w:r>
    </w:p>
    <w:p w14:paraId="4E92CAFE" w14:textId="77777777" w:rsidR="00CD1299" w:rsidRPr="00217334" w:rsidRDefault="00CD1299" w:rsidP="00CD1299">
      <w:pPr>
        <w:rPr>
          <w:highlight w:val="yellow"/>
        </w:rPr>
      </w:pPr>
      <w:r>
        <w:t>Breast-feeding</w:t>
      </w:r>
      <w:r w:rsidR="0052477B">
        <w:t xml:space="preserve"> (</w:t>
      </w:r>
      <w:r w:rsidRPr="0052477B">
        <w:t xml:space="preserve">see </w:t>
      </w:r>
      <w:r w:rsidR="0052477B" w:rsidRPr="0052477B">
        <w:t>S</w:t>
      </w:r>
      <w:r w:rsidRPr="0052477B">
        <w:t>ection 4.6</w:t>
      </w:r>
      <w:r w:rsidR="0052477B" w:rsidRPr="0052477B">
        <w:t xml:space="preserve"> Fertility, Pregnancy and Lactation</w:t>
      </w:r>
      <w:r w:rsidR="0052477B">
        <w:t>)</w:t>
      </w:r>
      <w:r w:rsidRPr="0052477B">
        <w:t>.</w:t>
      </w:r>
    </w:p>
    <w:p w14:paraId="70826151" w14:textId="77777777" w:rsidR="00217334" w:rsidRDefault="003301BE" w:rsidP="00217334">
      <w:pPr>
        <w:pStyle w:val="Heading1"/>
        <w:numPr>
          <w:ilvl w:val="1"/>
          <w:numId w:val="33"/>
        </w:numPr>
        <w:tabs>
          <w:tab w:val="left" w:pos="567"/>
        </w:tabs>
        <w:ind w:left="567" w:hanging="567"/>
      </w:pPr>
      <w:r>
        <w:t xml:space="preserve">SPECIAL WARNINGS AND PRECAUTIONS FOR USE </w:t>
      </w:r>
    </w:p>
    <w:p w14:paraId="54DC419B" w14:textId="77777777" w:rsidR="00856A5A" w:rsidRDefault="00856A5A" w:rsidP="00856A5A">
      <w:pPr>
        <w:pStyle w:val="Heading2"/>
      </w:pPr>
      <w:r>
        <w:t>Haematologic adverse reactions</w:t>
      </w:r>
    </w:p>
    <w:p w14:paraId="20CDC7C7" w14:textId="77777777" w:rsidR="00856A5A" w:rsidRDefault="00856A5A" w:rsidP="00BF0D6B">
      <w:pPr>
        <w:spacing w:after="120"/>
      </w:pPr>
      <w:r>
        <w:t>In the</w:t>
      </w:r>
      <w:r w:rsidR="00325959">
        <w:t xml:space="preserve"> </w:t>
      </w:r>
      <w:r>
        <w:t xml:space="preserve">NOVA study, patients eligible for </w:t>
      </w:r>
      <w:r w:rsidR="00723C6C">
        <w:t>ZEJULA</w:t>
      </w:r>
      <w:r>
        <w:t xml:space="preserve"> therapy had the following baseline haematologic parameters: absolute neutrophil count (ANC) ≥ </w:t>
      </w:r>
      <w:r w:rsidR="00325959">
        <w:t xml:space="preserve">1.5 x </w:t>
      </w:r>
      <w:r w:rsidR="00325959" w:rsidRPr="0046134E">
        <w:t>10</w:t>
      </w:r>
      <w:r w:rsidR="00325959" w:rsidRPr="0046134E">
        <w:rPr>
          <w:vertAlign w:val="superscript"/>
        </w:rPr>
        <w:t>9</w:t>
      </w:r>
      <w:r w:rsidR="00325959" w:rsidRPr="0046134E">
        <w:t>/L</w:t>
      </w:r>
      <w:r>
        <w:t xml:space="preserve">; platelets ≥ </w:t>
      </w:r>
      <w:r w:rsidR="00325959">
        <w:t xml:space="preserve">100 x </w:t>
      </w:r>
      <w:r w:rsidR="00325959" w:rsidRPr="0046134E">
        <w:t>10</w:t>
      </w:r>
      <w:r w:rsidR="00325959" w:rsidRPr="0046134E">
        <w:rPr>
          <w:vertAlign w:val="superscript"/>
        </w:rPr>
        <w:t>9</w:t>
      </w:r>
      <w:r w:rsidR="00325959" w:rsidRPr="0046134E">
        <w:t>/L</w:t>
      </w:r>
      <w:r w:rsidR="00325959">
        <w:t xml:space="preserve"> </w:t>
      </w:r>
      <w:r>
        <w:t>and haemoglobin ≥</w:t>
      </w:r>
      <w:r w:rsidR="001D2958">
        <w:t> </w:t>
      </w:r>
      <w:r>
        <w:t>9</w:t>
      </w:r>
      <w:r w:rsidR="003F3ACE">
        <w:t>0</w:t>
      </w:r>
      <w:r w:rsidR="001D2958">
        <w:t> </w:t>
      </w:r>
      <w:r>
        <w:t xml:space="preserve">g/L prior to therapy. Haematologic adverse reactions (thrombocytopenia, anaemia, neutropenia) have been reported in patients treated with </w:t>
      </w:r>
      <w:r w:rsidR="00723C6C">
        <w:t>ZEJULA</w:t>
      </w:r>
      <w:r>
        <w:t xml:space="preserve">. </w:t>
      </w:r>
      <w:r w:rsidRPr="000B24C9">
        <w:t>In the NOVA study, 48 of 367 (13</w:t>
      </w:r>
      <w:r w:rsidR="00534F76">
        <w:t>%</w:t>
      </w:r>
      <w:r w:rsidRPr="000B24C9">
        <w:t>) of patients experienced bleeding with concurrent thrombocytopenia; all bleeding events concurrent with thrombocytopenia were Grade 1 or 2 in severity except for one event of Grade 3 petechiae and haematoma observed concurrently with a serious adverse event of pancytopenia. Thrombocytopenia occurred more commonly in patients whose baseline platelet count was less than 180 × 10</w:t>
      </w:r>
      <w:r w:rsidRPr="00325959">
        <w:rPr>
          <w:vertAlign w:val="superscript"/>
        </w:rPr>
        <w:t>9</w:t>
      </w:r>
      <w:r w:rsidRPr="000B24C9">
        <w:t>/L. Approximately 76</w:t>
      </w:r>
      <w:r w:rsidR="00534F76">
        <w:t>%</w:t>
      </w:r>
      <w:r w:rsidRPr="000B24C9">
        <w:t xml:space="preserve"> of patients with lower baseline platelets </w:t>
      </w:r>
      <w:r w:rsidR="003C6273" w:rsidRPr="000B24C9">
        <w:t>(&lt;</w:t>
      </w:r>
      <w:r w:rsidR="003C6273">
        <w:t> </w:t>
      </w:r>
      <w:r w:rsidRPr="000B24C9">
        <w:t>180 × 10</w:t>
      </w:r>
      <w:r w:rsidRPr="00325959">
        <w:rPr>
          <w:vertAlign w:val="superscript"/>
        </w:rPr>
        <w:t>9</w:t>
      </w:r>
      <w:r w:rsidRPr="000B24C9">
        <w:t xml:space="preserve">/L) who received </w:t>
      </w:r>
      <w:r w:rsidR="00723C6C">
        <w:t>ZEJULA</w:t>
      </w:r>
      <w:r w:rsidRPr="000B24C9">
        <w:t xml:space="preserve"> experienced thrombocytopenia of any grade, and 45</w:t>
      </w:r>
      <w:r w:rsidR="00534F76">
        <w:t>%</w:t>
      </w:r>
      <w:r w:rsidRPr="000B24C9">
        <w:t xml:space="preserve"> of the patients experienced Grade 3/4 thrombocytopenia.</w:t>
      </w:r>
      <w:r>
        <w:t xml:space="preserve"> Pancytopenia has been observed in &lt; 1</w:t>
      </w:r>
      <w:r w:rsidR="00534F76">
        <w:t>%</w:t>
      </w:r>
      <w:r>
        <w:t xml:space="preserve"> of patients receiving </w:t>
      </w:r>
      <w:r w:rsidR="00985B60">
        <w:t>ZEJULA</w:t>
      </w:r>
      <w:r>
        <w:t xml:space="preserve">. If a patient develops severe persistent haematologic toxicity including pancytopenia that does not resolve within 28 days following interruption, </w:t>
      </w:r>
      <w:r w:rsidR="00723C6C">
        <w:t>ZEJULA</w:t>
      </w:r>
      <w:r>
        <w:t xml:space="preserve"> should be discontinued.</w:t>
      </w:r>
    </w:p>
    <w:p w14:paraId="1175E96C" w14:textId="77777777" w:rsidR="00856A5A" w:rsidRDefault="00856A5A" w:rsidP="00BF0D6B">
      <w:pPr>
        <w:spacing w:after="120"/>
      </w:pPr>
      <w:r>
        <w:t>Grade ≥3 thrombocytopenia, an</w:t>
      </w:r>
      <w:r w:rsidR="001A018C">
        <w:t>a</w:t>
      </w:r>
      <w:r>
        <w:t xml:space="preserve">emia and neutropenia were reported, respectively, in 29%, 25%, and 20% of patients receiving </w:t>
      </w:r>
      <w:r w:rsidR="00723C6C">
        <w:t>ZEJULA</w:t>
      </w:r>
      <w:r>
        <w:t xml:space="preserve">. Discontinuation due to thrombocytopenia, </w:t>
      </w:r>
      <w:r w:rsidR="004C67A3">
        <w:t>anaemia</w:t>
      </w:r>
      <w:r>
        <w:t>, and neutropenia occurred, respectively, in 3%, 1%, and 2% of patients.</w:t>
      </w:r>
    </w:p>
    <w:p w14:paraId="5AEFFE94" w14:textId="77777777" w:rsidR="00482259" w:rsidRDefault="00482259" w:rsidP="00BF0D6B">
      <w:pPr>
        <w:spacing w:after="120"/>
      </w:pPr>
      <w:r>
        <w:t>Testing complete blood counts weekly for the first month, followed by monthly monitoring for the next 10 months of treatment and periodically after this time is recommended to monitor for clinically significant changes in any haematologic parameter during treatment, see Section 4.2 Dose and Method of Administration.</w:t>
      </w:r>
    </w:p>
    <w:p w14:paraId="44064A4F" w14:textId="77777777" w:rsidR="00482259" w:rsidRDefault="00482259" w:rsidP="00482259">
      <w:r>
        <w:t>Due to the risk of thrombocytopenia, anticoagulants and medicinal products known to reduce the thrombocyte count should be used with caution</w:t>
      </w:r>
      <w:r w:rsidR="00EB1C06">
        <w:t xml:space="preserve">, </w:t>
      </w:r>
      <w:r>
        <w:t xml:space="preserve">see </w:t>
      </w:r>
      <w:r w:rsidR="00EB1C06">
        <w:t>S</w:t>
      </w:r>
      <w:r>
        <w:t>ection 4.8</w:t>
      </w:r>
      <w:r w:rsidR="00EB1C06">
        <w:t xml:space="preserve"> Adverse Effects (Undesirable Effects</w:t>
      </w:r>
      <w:r>
        <w:t>).</w:t>
      </w:r>
    </w:p>
    <w:p w14:paraId="405D8AAC" w14:textId="77777777" w:rsidR="005E69BF" w:rsidRDefault="005E69BF" w:rsidP="005E69BF">
      <w:pPr>
        <w:pStyle w:val="Heading2"/>
      </w:pPr>
      <w:r>
        <w:lastRenderedPageBreak/>
        <w:t>Myelodysplastic syndrome/acute myeloid leukaemia</w:t>
      </w:r>
    </w:p>
    <w:p w14:paraId="5F9DB762" w14:textId="77777777" w:rsidR="005E69BF" w:rsidRDefault="005E69BF" w:rsidP="00BF0D6B">
      <w:pPr>
        <w:spacing w:after="120"/>
      </w:pPr>
      <w:r>
        <w:t xml:space="preserve">Myelodysplastic syndrome/acute myeloid leukaemia (MDS/AML), including cases with fatal outcome, have been reported in a small number of patients who received </w:t>
      </w:r>
      <w:r w:rsidR="00723C6C">
        <w:t>ZEJULA</w:t>
      </w:r>
      <w:r>
        <w:t xml:space="preserve"> or placebo. In the </w:t>
      </w:r>
      <w:r w:rsidR="002F7F5B">
        <w:t>NOVA</w:t>
      </w:r>
      <w:r w:rsidR="00F56A3D">
        <w:t xml:space="preserve"> trial</w:t>
      </w:r>
      <w:r>
        <w:t xml:space="preserve">, the incidence of MDS/AML in patients who received </w:t>
      </w:r>
      <w:r w:rsidR="00985B60">
        <w:t>ZEJULA</w:t>
      </w:r>
      <w:r>
        <w:t xml:space="preserve"> (1.4</w:t>
      </w:r>
      <w:r w:rsidR="00534F76">
        <w:t>%</w:t>
      </w:r>
      <w:r>
        <w:t>) was similar to that in patients who received placebo (1.1</w:t>
      </w:r>
      <w:r w:rsidR="00534F76">
        <w:t>%</w:t>
      </w:r>
      <w:r>
        <w:t>). Overall, MDS/AML has been reported in 7 out of 751 (0.9</w:t>
      </w:r>
      <w:r w:rsidR="00534F76">
        <w:t>%</w:t>
      </w:r>
      <w:r>
        <w:t xml:space="preserve">) patients treated with </w:t>
      </w:r>
      <w:r w:rsidR="00723C6C">
        <w:t>ZEJULA</w:t>
      </w:r>
      <w:r>
        <w:t xml:space="preserve"> in clinical studies.</w:t>
      </w:r>
    </w:p>
    <w:p w14:paraId="40910EB5" w14:textId="77777777" w:rsidR="005E69BF" w:rsidRDefault="005E69BF" w:rsidP="005E69BF">
      <w:r>
        <w:t xml:space="preserve">The duration of </w:t>
      </w:r>
      <w:r w:rsidR="00723C6C">
        <w:t>ZEJULA</w:t>
      </w:r>
      <w:r>
        <w:t xml:space="preserve"> treatment in patients prior to developing MDS/AML varied from 1 month to &gt; 2 years. The cases were typical of secondary, cancer therapy-related MDS/AML. All patients had received multiple platinum-containing chemotherapy regimens and many had also received other DNA damaging agents and radiotherapy. Some of the patients had a history of bone marrow dysplasia.</w:t>
      </w:r>
    </w:p>
    <w:p w14:paraId="17EE0302" w14:textId="77777777" w:rsidR="005E69BF" w:rsidRDefault="005E69BF" w:rsidP="005E69BF">
      <w:r>
        <w:t xml:space="preserve">If MDS and/or AML are confirmed while on treatment with </w:t>
      </w:r>
      <w:r w:rsidR="00723C6C">
        <w:t>ZEJULA</w:t>
      </w:r>
      <w:r>
        <w:t>, treatment should be discontinued and the patient treated appropriately.</w:t>
      </w:r>
    </w:p>
    <w:p w14:paraId="20F6219F" w14:textId="77777777" w:rsidR="00A0136D" w:rsidRDefault="00A0136D" w:rsidP="00A0136D">
      <w:pPr>
        <w:pStyle w:val="Heading2"/>
      </w:pPr>
      <w:r>
        <w:t>Hypertension, including hypertensive crisis</w:t>
      </w:r>
    </w:p>
    <w:p w14:paraId="1D748597" w14:textId="77777777" w:rsidR="00A0136D" w:rsidRDefault="00A0136D" w:rsidP="00BF0D6B">
      <w:pPr>
        <w:spacing w:after="120"/>
      </w:pPr>
      <w:r>
        <w:t xml:space="preserve">Hypertension, including hypertensive crisis, has been reported with the use of </w:t>
      </w:r>
      <w:r w:rsidR="00723C6C">
        <w:t>ZEJULA</w:t>
      </w:r>
      <w:r>
        <w:t>. Pre</w:t>
      </w:r>
      <w:r w:rsidR="003558C4">
        <w:noBreakHyphen/>
      </w:r>
      <w:r>
        <w:t xml:space="preserve">existing hypertension should be adequately controlled before starting </w:t>
      </w:r>
      <w:r w:rsidR="00723C6C">
        <w:t>ZEJULA</w:t>
      </w:r>
      <w:r>
        <w:t xml:space="preserve"> treatment. Blood pressure should be monitored monthly for the first year and periodically thereafter during treatment with </w:t>
      </w:r>
      <w:r w:rsidR="00723C6C">
        <w:t>ZEJULA</w:t>
      </w:r>
      <w:r>
        <w:t>.</w:t>
      </w:r>
    </w:p>
    <w:p w14:paraId="1A35A782" w14:textId="77777777" w:rsidR="00A0136D" w:rsidRDefault="00A0136D" w:rsidP="00A0136D">
      <w:r>
        <w:t xml:space="preserve">Hypertension should be medically managed with antihypertensive medicinal products as well as adjustment of the </w:t>
      </w:r>
      <w:r w:rsidR="00723C6C">
        <w:t>ZEJULA</w:t>
      </w:r>
      <w:r>
        <w:t xml:space="preserve"> dose (see Section 4.2 Dose and Method of Administration), if necessary. In the clinical programme, blood pressure measurements were obtained on Day 1 of each 28-day cycle while the patient remained on </w:t>
      </w:r>
      <w:r w:rsidR="00723C6C">
        <w:t>ZEJULA</w:t>
      </w:r>
      <w:r>
        <w:t>. In most cases, hypertension was controlled adequately using standard antihypertensive treatment with or</w:t>
      </w:r>
      <w:r w:rsidR="001B4A88">
        <w:t xml:space="preserve"> without </w:t>
      </w:r>
      <w:r w:rsidR="00723C6C">
        <w:t>ZEJULA</w:t>
      </w:r>
      <w:r w:rsidR="001B4A88">
        <w:t xml:space="preserve"> dose adjustment,</w:t>
      </w:r>
      <w:r w:rsidR="00DB6BCD">
        <w:t xml:space="preserve"> </w:t>
      </w:r>
      <w:r>
        <w:t xml:space="preserve">see Section 4.2 Dose and Method of Administration. </w:t>
      </w:r>
      <w:r w:rsidR="00723C6C">
        <w:t>ZEJULA</w:t>
      </w:r>
      <w:r>
        <w:t xml:space="preserve"> should be discontinued in case of hypertensive crisis or if medically significant hypertension cannot be adequately controlled with antihypertensive therapy.</w:t>
      </w:r>
    </w:p>
    <w:p w14:paraId="1767DBCE" w14:textId="77777777" w:rsidR="001B4A88" w:rsidRDefault="001B4A88" w:rsidP="001B4A88">
      <w:pPr>
        <w:pStyle w:val="Heading2"/>
      </w:pPr>
      <w:r>
        <w:t>Pregnancy/contraception</w:t>
      </w:r>
    </w:p>
    <w:p w14:paraId="06681C72" w14:textId="77777777" w:rsidR="001B4A88" w:rsidRDefault="00723C6C" w:rsidP="001B4A88">
      <w:r>
        <w:t>ZEJULA</w:t>
      </w:r>
      <w:r w:rsidR="001B4A88">
        <w:t xml:space="preserve"> should not be used during pregnancy or in women of childbearing potential not willing to use reliable contraception during therapy and for 1 month after receiving the last dose of </w:t>
      </w:r>
      <w:r>
        <w:t>ZEJULA</w:t>
      </w:r>
      <w:r w:rsidR="001B4A88">
        <w:t xml:space="preserve"> </w:t>
      </w:r>
      <w:r w:rsidR="00C25CC6">
        <w:t>(see S</w:t>
      </w:r>
      <w:r w:rsidR="001B4A88">
        <w:t>ection 4.6</w:t>
      </w:r>
      <w:r w:rsidR="00C25CC6">
        <w:t xml:space="preserve"> Fertility, Pregnancy and Lactation</w:t>
      </w:r>
      <w:r w:rsidR="001B4A88">
        <w:t>). A pregnancy test should be performed on all women of childbearing potential prior to treatment.</w:t>
      </w:r>
    </w:p>
    <w:p w14:paraId="6317F424" w14:textId="77777777" w:rsidR="001B4A88" w:rsidRPr="00F0743D" w:rsidRDefault="001B4A88" w:rsidP="001B4A88">
      <w:pPr>
        <w:pStyle w:val="Heading2"/>
      </w:pPr>
      <w:r w:rsidRPr="00F0743D">
        <w:t>Lactose</w:t>
      </w:r>
    </w:p>
    <w:p w14:paraId="28FDE1CC" w14:textId="77777777" w:rsidR="001B4A88" w:rsidRPr="00F0743D" w:rsidRDefault="00723C6C" w:rsidP="001B4A88">
      <w:r>
        <w:t>ZEJULA</w:t>
      </w:r>
      <w:r w:rsidR="001B4A88" w:rsidRPr="00F0743D">
        <w:t xml:space="preserve"> capsules contain lactose monohydrate. Patients with rare hereditary problems of galactose intolerance, the Lapp lactase deficiency or glucose-galactose malabsorption should not take this medicine.</w:t>
      </w:r>
    </w:p>
    <w:p w14:paraId="2ECC04FC" w14:textId="77777777" w:rsidR="001B4A88" w:rsidRPr="00F0743D" w:rsidRDefault="00F0743D" w:rsidP="001B4A88">
      <w:pPr>
        <w:pStyle w:val="Heading2"/>
      </w:pPr>
      <w:r>
        <w:t>Tartrazine</w:t>
      </w:r>
    </w:p>
    <w:p w14:paraId="63E80206" w14:textId="77777777" w:rsidR="001B4A88" w:rsidRPr="00F0743D" w:rsidRDefault="001B4A88" w:rsidP="001B4A88">
      <w:r w:rsidRPr="00F0743D">
        <w:t>This medicinal product contains tartrazine, which may cause allergic reactions.</w:t>
      </w:r>
    </w:p>
    <w:p w14:paraId="56A28F26" w14:textId="77777777" w:rsidR="00217334" w:rsidRDefault="00217334" w:rsidP="00105E46">
      <w:pPr>
        <w:pStyle w:val="Heading2"/>
      </w:pPr>
      <w:r>
        <w:t xml:space="preserve">Use in the elderly </w:t>
      </w:r>
    </w:p>
    <w:p w14:paraId="355A7F05" w14:textId="77777777" w:rsidR="00DC075B" w:rsidRDefault="00DC075B" w:rsidP="00217334">
      <w:pPr>
        <w:rPr>
          <w:highlight w:val="yellow"/>
        </w:rPr>
      </w:pPr>
      <w:r>
        <w:t>S</w:t>
      </w:r>
      <w:r w:rsidRPr="00DC075B">
        <w:t>ee Section 4.2 Dose and Method of Administration.</w:t>
      </w:r>
    </w:p>
    <w:p w14:paraId="6BC7B0F7" w14:textId="77777777" w:rsidR="00217334" w:rsidRDefault="00217334" w:rsidP="00105E46">
      <w:pPr>
        <w:pStyle w:val="Heading2"/>
      </w:pPr>
      <w:r>
        <w:lastRenderedPageBreak/>
        <w:t xml:space="preserve">Paediatric use </w:t>
      </w:r>
    </w:p>
    <w:p w14:paraId="66DCDEE0" w14:textId="77777777" w:rsidR="00914E7F" w:rsidRDefault="00914E7F" w:rsidP="00914E7F">
      <w:pPr>
        <w:rPr>
          <w:highlight w:val="yellow"/>
        </w:rPr>
      </w:pPr>
      <w:r>
        <w:t>S</w:t>
      </w:r>
      <w:r w:rsidRPr="00DC075B">
        <w:t>ee Section 4.2 Dose and Method of Administration.</w:t>
      </w:r>
    </w:p>
    <w:p w14:paraId="425F2DFD" w14:textId="77777777" w:rsidR="003301BE" w:rsidRPr="00217334" w:rsidRDefault="00217334" w:rsidP="00105E46">
      <w:pPr>
        <w:pStyle w:val="Heading2"/>
      </w:pPr>
      <w:r>
        <w:t>Effects on laboratory tests</w:t>
      </w:r>
    </w:p>
    <w:p w14:paraId="58740AFD" w14:textId="77777777" w:rsidR="00CC2E2A" w:rsidRDefault="00CC2E2A" w:rsidP="00CC2E2A">
      <w:r>
        <w:t>No data available</w:t>
      </w:r>
      <w:r w:rsidRPr="00DC075B">
        <w:t>.</w:t>
      </w:r>
    </w:p>
    <w:p w14:paraId="76D68212" w14:textId="77777777" w:rsidR="00217334" w:rsidRDefault="00217334" w:rsidP="00217334">
      <w:pPr>
        <w:pStyle w:val="Heading1"/>
        <w:numPr>
          <w:ilvl w:val="1"/>
          <w:numId w:val="33"/>
        </w:numPr>
        <w:tabs>
          <w:tab w:val="left" w:pos="567"/>
        </w:tabs>
        <w:ind w:left="567" w:hanging="567"/>
      </w:pPr>
      <w:r>
        <w:t xml:space="preserve">INTERACTIONS WITH OTHER MEDICINES AND OTHER FORMS OF INTERACTIONS </w:t>
      </w:r>
    </w:p>
    <w:p w14:paraId="1E48D78A" w14:textId="77777777" w:rsidR="0097691D" w:rsidRDefault="0097691D" w:rsidP="0097691D">
      <w:pPr>
        <w:pStyle w:val="Heading2"/>
      </w:pPr>
      <w:r w:rsidRPr="0097691D">
        <w:t>Pharmacodynamic interactions</w:t>
      </w:r>
    </w:p>
    <w:p w14:paraId="6B818B4B" w14:textId="77777777" w:rsidR="004102FD" w:rsidRDefault="004102FD" w:rsidP="00BF0D6B">
      <w:pPr>
        <w:spacing w:after="120"/>
      </w:pPr>
      <w:r>
        <w:t xml:space="preserve">The combination of </w:t>
      </w:r>
      <w:r w:rsidR="00985B60">
        <w:t>ZEJULA</w:t>
      </w:r>
      <w:r>
        <w:t xml:space="preserve"> with vaccines or immunosuppressant agents has not been studied.</w:t>
      </w:r>
    </w:p>
    <w:p w14:paraId="63C9A4FE" w14:textId="77777777" w:rsidR="004102FD" w:rsidRDefault="004102FD" w:rsidP="004102FD">
      <w:r>
        <w:t xml:space="preserve">The data on </w:t>
      </w:r>
      <w:r w:rsidR="00985B60">
        <w:t>ZEJULA</w:t>
      </w:r>
      <w:r>
        <w:t xml:space="preserve"> in combination with cytotoxic medicinal products are limited. Therefore, caution should be taken if </w:t>
      </w:r>
      <w:r w:rsidR="00985B60">
        <w:t>ZEJULA</w:t>
      </w:r>
      <w:r>
        <w:t xml:space="preserve"> is used in combination with vaccines, immunosuppressant agents or with other cytotoxic medicinal products.</w:t>
      </w:r>
    </w:p>
    <w:p w14:paraId="49CBA214" w14:textId="77777777" w:rsidR="004102FD" w:rsidRDefault="004102FD" w:rsidP="004102FD">
      <w:pPr>
        <w:pStyle w:val="Heading2"/>
      </w:pPr>
      <w:r w:rsidRPr="0097691D">
        <w:t>Pharmaco</w:t>
      </w:r>
      <w:r w:rsidR="00536BC9">
        <w:t>kineti</w:t>
      </w:r>
      <w:r w:rsidRPr="0097691D">
        <w:t>c interactions</w:t>
      </w:r>
    </w:p>
    <w:p w14:paraId="2415B222" w14:textId="77777777" w:rsidR="0097691D" w:rsidRPr="0097691D" w:rsidRDefault="0097691D" w:rsidP="00E5496F">
      <w:pPr>
        <w:pStyle w:val="Heading3"/>
      </w:pPr>
      <w:r w:rsidRPr="0097691D">
        <w:t>Effect of other medicinal products on niraparib</w:t>
      </w:r>
    </w:p>
    <w:p w14:paraId="6F5F8629" w14:textId="77777777" w:rsidR="0097691D" w:rsidRDefault="0097691D" w:rsidP="00E5496F">
      <w:pPr>
        <w:pStyle w:val="Heading4"/>
      </w:pPr>
      <w:r w:rsidRPr="0097691D">
        <w:t>Niraparib as a substrate of CYPs (CYP1A2 and CYP3A4</w:t>
      </w:r>
      <w:r>
        <w:t>)</w:t>
      </w:r>
    </w:p>
    <w:p w14:paraId="3EAABB7F" w14:textId="77777777" w:rsidR="0097691D" w:rsidRDefault="0097691D" w:rsidP="0097691D">
      <w:r>
        <w:t xml:space="preserve">Niraparib is a substrate of carboxylesterases (CEs) and UDP-glucuronosyltransferases (UGTs) </w:t>
      </w:r>
      <w:r w:rsidR="00C25CC6" w:rsidRPr="00C25CC6">
        <w:rPr>
          <w:i/>
        </w:rPr>
        <w:t>in vivo</w:t>
      </w:r>
      <w:r>
        <w:t>. Oxidative metabolism of niraparib is minimal</w:t>
      </w:r>
      <w:r w:rsidRPr="00C25CC6">
        <w:rPr>
          <w:i/>
        </w:rPr>
        <w:t xml:space="preserve"> </w:t>
      </w:r>
      <w:r w:rsidR="00C25CC6" w:rsidRPr="00C25CC6">
        <w:rPr>
          <w:i/>
        </w:rPr>
        <w:t>in vivo</w:t>
      </w:r>
      <w:r>
        <w:t xml:space="preserve">. No dose adjustment for </w:t>
      </w:r>
      <w:r w:rsidR="00723C6C">
        <w:t>ZEJULA</w:t>
      </w:r>
      <w:r>
        <w:t xml:space="preserve"> is required when administered concomitantly with medicinal products known to inhibit (e.g. itraconazole, ritonavir, and clarithromycin) or induce CYP enzymes (e.g. </w:t>
      </w:r>
      <w:proofErr w:type="spellStart"/>
      <w:r>
        <w:t>rifampin</w:t>
      </w:r>
      <w:proofErr w:type="spellEnd"/>
      <w:r>
        <w:t>, carbamazepine, and phenytoin).</w:t>
      </w:r>
    </w:p>
    <w:p w14:paraId="36E7C07E" w14:textId="77777777" w:rsidR="004102FD" w:rsidRPr="004102FD" w:rsidRDefault="004102FD" w:rsidP="00E5496F">
      <w:pPr>
        <w:pStyle w:val="Heading4"/>
      </w:pPr>
      <w:r w:rsidRPr="004102FD">
        <w:t>Niraparib as a substrate of efflux transporters (P-</w:t>
      </w:r>
      <w:proofErr w:type="spellStart"/>
      <w:r w:rsidRPr="004102FD">
        <w:t>gp</w:t>
      </w:r>
      <w:proofErr w:type="spellEnd"/>
      <w:r w:rsidRPr="004102FD">
        <w:t>, BCRP, and MATE1/2)</w:t>
      </w:r>
    </w:p>
    <w:p w14:paraId="73D074F1" w14:textId="77777777" w:rsidR="0097691D" w:rsidRDefault="004102FD" w:rsidP="00BF0D6B">
      <w:pPr>
        <w:spacing w:after="120"/>
      </w:pPr>
      <w:r>
        <w:t>Niraparib is a substrate of P-glycoprotein (P-</w:t>
      </w:r>
      <w:proofErr w:type="spellStart"/>
      <w:r>
        <w:t>gp</w:t>
      </w:r>
      <w:proofErr w:type="spellEnd"/>
      <w:r>
        <w:t>) and Breast Cancer Resistance Protein (BCRP). However, due to its high permeability and bioavailability, the risk of clinically relevant interactions</w:t>
      </w:r>
      <w:r w:rsidR="009E2D5B">
        <w:t xml:space="preserve"> </w:t>
      </w:r>
      <w:r>
        <w:t xml:space="preserve">with medicinal products that inhibit these transporters is unlikely. Therefore, no dose adjustment for </w:t>
      </w:r>
      <w:r w:rsidR="00723C6C">
        <w:t>ZEJULA</w:t>
      </w:r>
      <w:r>
        <w:t xml:space="preserve"> is required when administered concomitantly with medicinal products known to inhibit P</w:t>
      </w:r>
      <w:r w:rsidR="003558C4">
        <w:noBreakHyphen/>
      </w:r>
      <w:proofErr w:type="spellStart"/>
      <w:r>
        <w:t>gp</w:t>
      </w:r>
      <w:proofErr w:type="spellEnd"/>
      <w:r>
        <w:t xml:space="preserve"> (e.g. amiodarone, verapamil) or BCRP (e.g. </w:t>
      </w:r>
      <w:proofErr w:type="spellStart"/>
      <w:r>
        <w:t>osimertinib</w:t>
      </w:r>
      <w:proofErr w:type="spellEnd"/>
      <w:r>
        <w:t xml:space="preserve">, </w:t>
      </w:r>
      <w:proofErr w:type="spellStart"/>
      <w:r>
        <w:t>velpatasvir</w:t>
      </w:r>
      <w:proofErr w:type="spellEnd"/>
      <w:r>
        <w:t xml:space="preserve">, and </w:t>
      </w:r>
      <w:proofErr w:type="spellStart"/>
      <w:r>
        <w:t>eltrombopag</w:t>
      </w:r>
      <w:proofErr w:type="spellEnd"/>
      <w:r>
        <w:t>).</w:t>
      </w:r>
    </w:p>
    <w:p w14:paraId="1F233338" w14:textId="77777777" w:rsidR="004102FD" w:rsidRDefault="004102FD" w:rsidP="004102FD">
      <w:r>
        <w:t>Niraparib is not a substrate of bile salt export pump (BSEP). The major primary metabolite M1 is not a substrate of P-</w:t>
      </w:r>
      <w:proofErr w:type="spellStart"/>
      <w:r>
        <w:t>gp</w:t>
      </w:r>
      <w:proofErr w:type="spellEnd"/>
      <w:r>
        <w:t>, BCRP, or BSEP. Niraparib is not a substrate of MATE 1 or 2, while M1 is a substrate of both.</w:t>
      </w:r>
    </w:p>
    <w:p w14:paraId="2470B3F4" w14:textId="77777777" w:rsidR="004102FD" w:rsidRPr="004102FD" w:rsidRDefault="004102FD" w:rsidP="00E5496F">
      <w:pPr>
        <w:pStyle w:val="Heading4"/>
      </w:pPr>
      <w:r w:rsidRPr="004102FD">
        <w:t>Niraparib as a substrate of hepatic uptake transporters (OATP1B1, OATP1B3, and OCT1)</w:t>
      </w:r>
    </w:p>
    <w:p w14:paraId="12B44B7E" w14:textId="77777777" w:rsidR="004102FD" w:rsidRDefault="004102FD" w:rsidP="004102FD">
      <w:r>
        <w:t xml:space="preserve">Neither niraparib nor M1 is a substrate of organic anion transport polypeptide 1B1 (OATP1B1), 1B3 (OATP1B3), or organic cation transporter 1 (OCT1). No dose adjustment for </w:t>
      </w:r>
      <w:r w:rsidR="00723C6C">
        <w:t>ZEJULA</w:t>
      </w:r>
      <w:r>
        <w:t xml:space="preserve"> is required when administered concomitantly with medicinal products known to inhibit OATP1B1 or 1B3 (e.g. gemfibrozil, ritonavir), or OCT1 (e.g. dolutegravir) uptake transporters.</w:t>
      </w:r>
    </w:p>
    <w:p w14:paraId="29C0EEED" w14:textId="77777777" w:rsidR="004102FD" w:rsidRDefault="004102FD" w:rsidP="00E5496F">
      <w:pPr>
        <w:pStyle w:val="Heading4"/>
      </w:pPr>
      <w:r w:rsidRPr="004102FD">
        <w:t>Niraparib as a substrate of renal uptake transporters (OAT1, OAT3, and OCT2)</w:t>
      </w:r>
    </w:p>
    <w:p w14:paraId="699ABEE1" w14:textId="77777777" w:rsidR="004E0EE2" w:rsidRDefault="004102FD" w:rsidP="004102FD">
      <w:r>
        <w:t xml:space="preserve">Neither niraparib nor M1 is a substrate of organic anion transporter 1 (OAT1), 3 (OAT3), and organic cation transporter 2 (OCT2). No dose adjustment for </w:t>
      </w:r>
      <w:r w:rsidR="00723C6C">
        <w:t>ZEJULA</w:t>
      </w:r>
      <w:r>
        <w:t xml:space="preserve"> is required when administered </w:t>
      </w:r>
      <w:r>
        <w:lastRenderedPageBreak/>
        <w:t>concomitantly with medicinal products known to inhibit OAT1 (e.g. probenecid) or OAT3 (e.g. probenecid, diclofenac), or OCT2 (e.g. cimetidine, quinidine) uptake transporters.</w:t>
      </w:r>
    </w:p>
    <w:p w14:paraId="7099B433" w14:textId="77777777" w:rsidR="004102FD" w:rsidRPr="004E0EE2" w:rsidRDefault="004E0EE2" w:rsidP="00E5496F">
      <w:pPr>
        <w:pStyle w:val="Heading3"/>
      </w:pPr>
      <w:r w:rsidRPr="004E0EE2">
        <w:t>Effect of niraparib on other medicinal products</w:t>
      </w:r>
    </w:p>
    <w:p w14:paraId="53A2E909" w14:textId="77777777" w:rsidR="004E0EE2" w:rsidRPr="004E0EE2" w:rsidRDefault="004E0EE2" w:rsidP="00E5496F">
      <w:pPr>
        <w:pStyle w:val="Heading4"/>
      </w:pPr>
      <w:r w:rsidRPr="004E0EE2">
        <w:t>Inhibition of CYPs (CYP1A2, CYP2B6, CYP2C8, CYP2C9, CYP2C19, CYP2D6, and CYP3A4)</w:t>
      </w:r>
    </w:p>
    <w:p w14:paraId="2BD2D650" w14:textId="77777777" w:rsidR="004E0EE2" w:rsidRDefault="004E0EE2" w:rsidP="00BF0D6B">
      <w:pPr>
        <w:spacing w:after="120"/>
      </w:pPr>
      <w:r w:rsidRPr="004E0EE2">
        <w:t>Neither niraparib nor M1 is an inhibitor of any active substance-metabolising CYP enzymes, namely CYP1A1/2, CYP2B6, CYP2C8, CYP2C9, CYP2C19, CYP2D6, and CYP3A4/5.</w:t>
      </w:r>
    </w:p>
    <w:p w14:paraId="52747EF2" w14:textId="77777777" w:rsidR="004E0EE2" w:rsidRDefault="004E0EE2" w:rsidP="004E0EE2">
      <w:r>
        <w:t xml:space="preserve">Even though inhibition of CYP3A4 in the liver is not expected, the potential to inhibit CYP3A4 at the intestinal level has not been established at relevant niraparib concentrations. Therefore, caution is recommended when niraparib is combined with active substances the metabolism of which is CYP3A4-dependent and, notably, those having a narrow therapeutic range (e.g. ciclosporin, tacrolimus, alfentanil, ergotamine, pimozide, </w:t>
      </w:r>
      <w:r w:rsidR="007F537D">
        <w:t>quetiapine, and halofantrine).</w:t>
      </w:r>
    </w:p>
    <w:p w14:paraId="5A36F97B" w14:textId="77777777" w:rsidR="007F537D" w:rsidRPr="007F537D" w:rsidRDefault="007F537D" w:rsidP="00E5496F">
      <w:pPr>
        <w:pStyle w:val="Heading4"/>
      </w:pPr>
      <w:r w:rsidRPr="007F537D">
        <w:t>Induction of CYPs (CYP1A2 and CYP3A4)</w:t>
      </w:r>
    </w:p>
    <w:p w14:paraId="0A0DCF49" w14:textId="77777777" w:rsidR="007F537D" w:rsidRDefault="007F537D" w:rsidP="007F537D">
      <w:r>
        <w:t>Neither niraparib nor M1 is a CYP3A4 inducer i</w:t>
      </w:r>
      <w:r w:rsidRPr="009E2D5B">
        <w:rPr>
          <w:i/>
        </w:rPr>
        <w:t>n vitro</w:t>
      </w:r>
      <w:r>
        <w:t xml:space="preserve">. </w:t>
      </w:r>
      <w:r w:rsidRPr="009E2D5B">
        <w:rPr>
          <w:i/>
        </w:rPr>
        <w:t>In vitro</w:t>
      </w:r>
      <w:r>
        <w:t xml:space="preserve">, niraparib weakly induces CYP1A2 at high concentrations and the clinical relevance of this effect </w:t>
      </w:r>
      <w:r w:rsidR="00135719">
        <w:t>can</w:t>
      </w:r>
      <w:r>
        <w:t>not be completely ruled out. M1 is not a CYP1A2 inducer. Therefore, caution is recommended when niraparib is combined with active substances the metabolism of which is CYP1A2-dependent and, notably, those having a narrow therapeutic range (e.g. clozapine, theophylline, and ropinirole).</w:t>
      </w:r>
    </w:p>
    <w:p w14:paraId="4ED5D0B3" w14:textId="77777777" w:rsidR="007F537D" w:rsidRPr="007F537D" w:rsidRDefault="007F537D" w:rsidP="00E5496F">
      <w:pPr>
        <w:pStyle w:val="Heading4"/>
      </w:pPr>
      <w:r w:rsidRPr="007F537D">
        <w:t>Inhibition of efflux transporters (P-</w:t>
      </w:r>
      <w:proofErr w:type="spellStart"/>
      <w:r w:rsidRPr="007F537D">
        <w:t>gp</w:t>
      </w:r>
      <w:proofErr w:type="spellEnd"/>
      <w:r w:rsidRPr="007F537D">
        <w:t>, BCRP, BSEP, and MATE1/2)</w:t>
      </w:r>
    </w:p>
    <w:p w14:paraId="7BB4512B" w14:textId="77777777" w:rsidR="007F537D" w:rsidRDefault="007F537D" w:rsidP="00BF0D6B">
      <w:pPr>
        <w:spacing w:after="120"/>
      </w:pPr>
      <w:r>
        <w:t xml:space="preserve">Niraparib is not an inhibitor of BSEP. </w:t>
      </w:r>
      <w:r w:rsidRPr="009E2D5B">
        <w:rPr>
          <w:i/>
        </w:rPr>
        <w:t>In vitro</w:t>
      </w:r>
      <w:r>
        <w:t xml:space="preserve">, </w:t>
      </w:r>
      <w:proofErr w:type="spellStart"/>
      <w:r>
        <w:t>niraparib</w:t>
      </w:r>
      <w:proofErr w:type="spellEnd"/>
      <w:r>
        <w:t xml:space="preserve"> inhibits P-</w:t>
      </w:r>
      <w:proofErr w:type="spellStart"/>
      <w:r>
        <w:t>gp</w:t>
      </w:r>
      <w:proofErr w:type="spellEnd"/>
      <w:r>
        <w:t xml:space="preserve"> very weakly and BCRP with an IC</w:t>
      </w:r>
      <w:r w:rsidRPr="009E2D5B">
        <w:rPr>
          <w:vertAlign w:val="subscript"/>
        </w:rPr>
        <w:t>50</w:t>
      </w:r>
      <w:r>
        <w:t xml:space="preserve"> = 161 </w:t>
      </w:r>
      <w:proofErr w:type="spellStart"/>
      <w:r>
        <w:t>μM</w:t>
      </w:r>
      <w:proofErr w:type="spellEnd"/>
      <w:r>
        <w:t xml:space="preserve"> and 5.8 </w:t>
      </w:r>
      <w:proofErr w:type="spellStart"/>
      <w:r>
        <w:t>μM</w:t>
      </w:r>
      <w:proofErr w:type="spellEnd"/>
      <w:r>
        <w:t xml:space="preserve">, respectively. Therefore, a clinically meaningful interaction related to an inhibition of these efflux transporters although unlikely, cannot be excluded. Caution is </w:t>
      </w:r>
      <w:r w:rsidR="00135719">
        <w:t xml:space="preserve">thus </w:t>
      </w:r>
      <w:r>
        <w:t>recommended when niraparib is combined with substrates of BCRP (irinotecan, rosuvastatin, simvastatin, atorvastatin, and methotrexate).</w:t>
      </w:r>
    </w:p>
    <w:p w14:paraId="4F9ADF46" w14:textId="77777777" w:rsidR="007F537D" w:rsidRDefault="007F537D" w:rsidP="00BF0D6B">
      <w:pPr>
        <w:spacing w:after="120"/>
      </w:pPr>
      <w:r>
        <w:t>Niraparib is an inhibitor of MATE1 and -2 with IC</w:t>
      </w:r>
      <w:r w:rsidRPr="007F537D">
        <w:rPr>
          <w:vertAlign w:val="subscript"/>
        </w:rPr>
        <w:t>50</w:t>
      </w:r>
      <w:r>
        <w:t xml:space="preserve"> of 0.18 </w:t>
      </w:r>
      <w:proofErr w:type="spellStart"/>
      <w:r>
        <w:t>μM</w:t>
      </w:r>
      <w:proofErr w:type="spellEnd"/>
      <w:r>
        <w:t xml:space="preserve"> and </w:t>
      </w:r>
      <w:r>
        <w:rPr>
          <w:rFonts w:cs="Arial"/>
        </w:rPr>
        <w:t>≤</w:t>
      </w:r>
      <w:r>
        <w:t xml:space="preserve">0.14 </w:t>
      </w:r>
      <w:proofErr w:type="spellStart"/>
      <w:r>
        <w:t>μM</w:t>
      </w:r>
      <w:proofErr w:type="spellEnd"/>
      <w:r>
        <w:t>, respectively. Increased plasma concentrations of co-administered medicinal products that are substrates of these transporters (e.g. metformin) cannot be excluded.</w:t>
      </w:r>
    </w:p>
    <w:p w14:paraId="037455A1" w14:textId="77777777" w:rsidR="007F537D" w:rsidRDefault="007F537D" w:rsidP="007F537D">
      <w:r>
        <w:t>The major primary metabolite M1 does not appear to be an inhibitor of P-</w:t>
      </w:r>
      <w:proofErr w:type="spellStart"/>
      <w:r>
        <w:t>gp</w:t>
      </w:r>
      <w:proofErr w:type="spellEnd"/>
      <w:r>
        <w:t>, BCRP, BSEP, or MATE1/2.</w:t>
      </w:r>
    </w:p>
    <w:p w14:paraId="2105A2C2" w14:textId="77777777" w:rsidR="007F537D" w:rsidRPr="007F537D" w:rsidRDefault="007F537D" w:rsidP="00E5496F">
      <w:pPr>
        <w:pStyle w:val="Heading4"/>
      </w:pPr>
      <w:r w:rsidRPr="007F537D">
        <w:t xml:space="preserve">Inhibition of hepatic uptake transporters (OATP1B1, OATP1B3, and OCT1) </w:t>
      </w:r>
    </w:p>
    <w:p w14:paraId="7041B8D3" w14:textId="77777777" w:rsidR="007F537D" w:rsidRDefault="007F537D" w:rsidP="00BF0D6B">
      <w:pPr>
        <w:spacing w:after="120"/>
      </w:pPr>
      <w:r>
        <w:t>Neither niraparib nor M1 is an inhibitor of organic anion transport polypeptide 1B1 (OATP1B1) or 1B3 (OATP1B3).</w:t>
      </w:r>
    </w:p>
    <w:p w14:paraId="245C7A61" w14:textId="77777777" w:rsidR="007F537D" w:rsidRDefault="007F537D" w:rsidP="007F537D">
      <w:r w:rsidRPr="007F537D">
        <w:rPr>
          <w:i/>
        </w:rPr>
        <w:t>In vitro</w:t>
      </w:r>
      <w:r>
        <w:t>, niraparib weakly inhibits the organic cation transporter 1 (OCT1) with an IC</w:t>
      </w:r>
      <w:r w:rsidRPr="007F537D">
        <w:rPr>
          <w:vertAlign w:val="subscript"/>
        </w:rPr>
        <w:t>50</w:t>
      </w:r>
      <w:r>
        <w:t xml:space="preserve"> = 34.4 </w:t>
      </w:r>
      <w:proofErr w:type="spellStart"/>
      <w:r>
        <w:t>μM</w:t>
      </w:r>
      <w:proofErr w:type="spellEnd"/>
      <w:r>
        <w:t>.</w:t>
      </w:r>
      <w:r w:rsidR="00AC3CF6">
        <w:t xml:space="preserve"> </w:t>
      </w:r>
      <w:r>
        <w:t>Caution is recommended when niraparib is combined with active substances that undergo an uptake transport by OCT1 such as metformin.</w:t>
      </w:r>
    </w:p>
    <w:p w14:paraId="0ACF9B4E" w14:textId="77777777" w:rsidR="007F537D" w:rsidRPr="007F537D" w:rsidRDefault="007F537D" w:rsidP="00E5496F">
      <w:pPr>
        <w:pStyle w:val="Heading4"/>
      </w:pPr>
      <w:r w:rsidRPr="007F537D">
        <w:t>Inhibition of renal uptake transporters (OAT1, OAT3, and OCT2)</w:t>
      </w:r>
    </w:p>
    <w:p w14:paraId="5985BE6D" w14:textId="77777777" w:rsidR="007F537D" w:rsidRDefault="007F537D" w:rsidP="00BF0D6B">
      <w:pPr>
        <w:spacing w:after="120"/>
      </w:pPr>
      <w:r>
        <w:t>Neither niraparib nor M1 inhibits organic anion transporter 1 (OAT1), 3 (OAT3), and organic cation transporter 2 (OCT2).</w:t>
      </w:r>
    </w:p>
    <w:p w14:paraId="7AE73330" w14:textId="77777777" w:rsidR="007F537D" w:rsidRPr="004E0EE2" w:rsidRDefault="007F537D" w:rsidP="007F537D">
      <w:r w:rsidRPr="007F537D">
        <w:t>All clinical studies have only been performed in adults.</w:t>
      </w:r>
    </w:p>
    <w:p w14:paraId="12A39F3E" w14:textId="77777777" w:rsidR="00217334" w:rsidRDefault="00217334" w:rsidP="00217334">
      <w:pPr>
        <w:pStyle w:val="Heading1"/>
        <w:numPr>
          <w:ilvl w:val="1"/>
          <w:numId w:val="33"/>
        </w:numPr>
        <w:tabs>
          <w:tab w:val="left" w:pos="567"/>
        </w:tabs>
        <w:ind w:left="567" w:hanging="567"/>
      </w:pPr>
      <w:r>
        <w:lastRenderedPageBreak/>
        <w:t xml:space="preserve">FERTILITY, PREGNANCY AND LACTATION </w:t>
      </w:r>
    </w:p>
    <w:p w14:paraId="2A20C918" w14:textId="77777777" w:rsidR="00217334" w:rsidRDefault="00217334" w:rsidP="00105E46">
      <w:pPr>
        <w:pStyle w:val="Heading2"/>
      </w:pPr>
      <w:r w:rsidRPr="00217334">
        <w:t xml:space="preserve">Effects on fertility </w:t>
      </w:r>
    </w:p>
    <w:p w14:paraId="46CF60B4" w14:textId="07750D35" w:rsidR="00595A49" w:rsidRDefault="00595A49" w:rsidP="00595A49">
      <w:r>
        <w:t xml:space="preserve">There are no clinical data on fertility. </w:t>
      </w:r>
      <w:r w:rsidR="004C4EE8" w:rsidRPr="004C4EE8">
        <w:t>While no direct fertility studies were conducted in animals, repeat</w:t>
      </w:r>
      <w:r w:rsidR="00D849B1">
        <w:t>-</w:t>
      </w:r>
      <w:r w:rsidR="004C4EE8" w:rsidRPr="004C4EE8">
        <w:t xml:space="preserve">dose toxicity studies in rats and dogs showed </w:t>
      </w:r>
      <w:r w:rsidR="00116466">
        <w:t>decreased spermatogenesis</w:t>
      </w:r>
      <w:r w:rsidR="00AF4987">
        <w:t xml:space="preserve">, </w:t>
      </w:r>
      <w:r w:rsidR="00AF4987" w:rsidRPr="00AF4987">
        <w:t>small testes and</w:t>
      </w:r>
      <w:r w:rsidR="00AF4987">
        <w:t xml:space="preserve"> </w:t>
      </w:r>
      <w:r w:rsidR="00AF4987" w:rsidRPr="00AF4987">
        <w:t xml:space="preserve">germ cell depletion in the testes and </w:t>
      </w:r>
      <w:proofErr w:type="spellStart"/>
      <w:r w:rsidR="00AF4987" w:rsidRPr="00AF4987">
        <w:t>epididymides</w:t>
      </w:r>
      <w:proofErr w:type="spellEnd"/>
      <w:r w:rsidR="00116466">
        <w:t xml:space="preserve"> </w:t>
      </w:r>
      <w:r w:rsidR="004C4EE8" w:rsidRPr="004C4EE8">
        <w:t xml:space="preserve">at </w:t>
      </w:r>
      <w:proofErr w:type="spellStart"/>
      <w:r w:rsidR="004C4EE8" w:rsidRPr="004C4EE8">
        <w:t>niraparib</w:t>
      </w:r>
      <w:proofErr w:type="spellEnd"/>
      <w:r w:rsidR="004C4EE8" w:rsidRPr="004C4EE8">
        <w:t xml:space="preserve"> doses of </w:t>
      </w:r>
      <w:r w:rsidR="00216FC9">
        <w:t>2</w:t>
      </w:r>
      <w:r w:rsidR="004C4EE8" w:rsidRPr="004C4EE8">
        <w:t xml:space="preserve">0 mg/kg/day and </w:t>
      </w:r>
      <w:r w:rsidR="00216FC9">
        <w:t>6</w:t>
      </w:r>
      <w:r w:rsidR="004C4EE8" w:rsidRPr="004C4EE8">
        <w:t xml:space="preserve"> mg/kg/day (0.</w:t>
      </w:r>
      <w:r w:rsidR="00216FC9">
        <w:t>74</w:t>
      </w:r>
      <w:r w:rsidR="004C4EE8" w:rsidRPr="004C4EE8">
        <w:t>- and 0.</w:t>
      </w:r>
      <w:r w:rsidR="00216FC9">
        <w:t>05</w:t>
      </w:r>
      <w:r w:rsidR="004C4EE8" w:rsidRPr="004C4EE8">
        <w:t xml:space="preserve">-times clinical exposure based on AUC, respectively). </w:t>
      </w:r>
      <w:r w:rsidR="004C4EE8" w:rsidRPr="00C43F7F">
        <w:t xml:space="preserve">There was a trend towards reversibility of these findings </w:t>
      </w:r>
      <w:r w:rsidR="00216FC9">
        <w:t>2-</w:t>
      </w:r>
      <w:r w:rsidR="004C4EE8" w:rsidRPr="00C43F7F">
        <w:t>4 weeks after dosing was stopped.</w:t>
      </w:r>
      <w:r w:rsidR="004C4EE8">
        <w:t xml:space="preserve"> </w:t>
      </w:r>
    </w:p>
    <w:p w14:paraId="1CBDC211" w14:textId="77777777" w:rsidR="00217334" w:rsidRDefault="00217334" w:rsidP="00105E46">
      <w:pPr>
        <w:pStyle w:val="Heading2"/>
      </w:pPr>
      <w:r w:rsidRPr="00A94D8F">
        <w:t>Use in pregnancy</w:t>
      </w:r>
      <w:r w:rsidR="00386008" w:rsidRPr="00A94D8F">
        <w:t xml:space="preserve"> (Category </w:t>
      </w:r>
      <w:r w:rsidR="00595A49" w:rsidRPr="00A94D8F">
        <w:t>D</w:t>
      </w:r>
      <w:r w:rsidR="00386008" w:rsidRPr="00A94D8F">
        <w:t>)</w:t>
      </w:r>
    </w:p>
    <w:p w14:paraId="36CAD680" w14:textId="619F10E1" w:rsidR="00595A49" w:rsidRDefault="00595A49" w:rsidP="00BF0D6B">
      <w:pPr>
        <w:spacing w:after="120"/>
      </w:pPr>
      <w:r>
        <w:t xml:space="preserve">There are no or limited amount of data from the use of </w:t>
      </w:r>
      <w:r w:rsidR="00985B60">
        <w:t>ZEJULA</w:t>
      </w:r>
      <w:r>
        <w:t xml:space="preserve"> in pregnant women. Animal reproductive and developmental toxicity studies have not been conducted. However, based on its mechanism of action, </w:t>
      </w:r>
      <w:r w:rsidR="004C4EE8">
        <w:t xml:space="preserve">niraparib </w:t>
      </w:r>
      <w:r>
        <w:t xml:space="preserve">could cause embryonic or </w:t>
      </w:r>
      <w:proofErr w:type="spellStart"/>
      <w:r>
        <w:t>fetal</w:t>
      </w:r>
      <w:proofErr w:type="spellEnd"/>
      <w:r>
        <w:t xml:space="preserve"> harm, including embryo-lethal and teratogenic effects, when administered to a pregnant woman. </w:t>
      </w:r>
      <w:r w:rsidR="00723C6C">
        <w:t>ZEJULA</w:t>
      </w:r>
      <w:r>
        <w:t xml:space="preserve"> should not be used during pregnancy.</w:t>
      </w:r>
    </w:p>
    <w:p w14:paraId="1E93BB8D" w14:textId="77777777" w:rsidR="00AE6CCD" w:rsidRDefault="00AE6CCD" w:rsidP="00AE6CCD">
      <w:r>
        <w:t xml:space="preserve">Women of childbearing potential should not become pregnant while on treatment and should not be pregnant at the beginning of treatment. A pregnancy test should be performed on all women of childbearing potential prior to treatment. Women of childbearing potential must use effective contraception during therapy and for 1 month after receiving the last dose of </w:t>
      </w:r>
      <w:r w:rsidR="00723C6C">
        <w:t>ZEJULA</w:t>
      </w:r>
      <w:r>
        <w:t>.</w:t>
      </w:r>
    </w:p>
    <w:p w14:paraId="248EDBE7" w14:textId="77777777" w:rsidR="003301BE" w:rsidRPr="00217334" w:rsidRDefault="00217334" w:rsidP="00105E46">
      <w:pPr>
        <w:pStyle w:val="Heading2"/>
      </w:pPr>
      <w:r w:rsidRPr="00217334">
        <w:t>Use in lactation</w:t>
      </w:r>
    </w:p>
    <w:p w14:paraId="1796F1EE" w14:textId="6BEABE0B" w:rsidR="00595A49" w:rsidRDefault="00595A49" w:rsidP="00595A49">
      <w:r>
        <w:t xml:space="preserve">It is unknown whether </w:t>
      </w:r>
      <w:r w:rsidR="004C4EE8">
        <w:t xml:space="preserve">niraparib </w:t>
      </w:r>
      <w:r>
        <w:t xml:space="preserve">or its metabolites are excreted in human milk. Breast-feeding is contraindicated during administration of </w:t>
      </w:r>
      <w:r w:rsidR="00723C6C">
        <w:t>ZEJULA</w:t>
      </w:r>
      <w:r>
        <w:t xml:space="preserve"> and for 1 month after receiving the last dose (see Section 4.3 Contraindications).</w:t>
      </w:r>
    </w:p>
    <w:p w14:paraId="14CBF61B" w14:textId="77777777" w:rsidR="002F0774" w:rsidRDefault="00151AE1" w:rsidP="002F0774">
      <w:pPr>
        <w:pStyle w:val="Heading1"/>
        <w:numPr>
          <w:ilvl w:val="1"/>
          <w:numId w:val="33"/>
        </w:numPr>
        <w:tabs>
          <w:tab w:val="left" w:pos="567"/>
        </w:tabs>
        <w:ind w:left="567" w:hanging="567"/>
      </w:pPr>
      <w:r>
        <w:t xml:space="preserve">EFFECTS ON ABILITY TO DRIVE AND USE MACHINES </w:t>
      </w:r>
    </w:p>
    <w:p w14:paraId="6FAD1796" w14:textId="77777777" w:rsidR="00B57190" w:rsidRPr="002F0774" w:rsidRDefault="00723C6C" w:rsidP="00B57190">
      <w:pPr>
        <w:rPr>
          <w:highlight w:val="yellow"/>
        </w:rPr>
      </w:pPr>
      <w:r>
        <w:t>ZEJULA</w:t>
      </w:r>
      <w:r w:rsidR="00B57190">
        <w:t xml:space="preserve"> has moderate influence on the ability to drive or use machines. Patients who take </w:t>
      </w:r>
      <w:r>
        <w:t>ZEJULA</w:t>
      </w:r>
      <w:r w:rsidR="00B57190">
        <w:t xml:space="preserve"> may experience asthenia, fatigue and dizziness. Patients who experience these symptoms should observe caution when driving or using machines.</w:t>
      </w:r>
    </w:p>
    <w:p w14:paraId="5E6ED505" w14:textId="77777777" w:rsidR="002F0774" w:rsidRDefault="00151AE1" w:rsidP="002F0774">
      <w:pPr>
        <w:pStyle w:val="Heading1"/>
        <w:numPr>
          <w:ilvl w:val="1"/>
          <w:numId w:val="33"/>
        </w:numPr>
        <w:tabs>
          <w:tab w:val="left" w:pos="567"/>
        </w:tabs>
        <w:ind w:left="567" w:hanging="567"/>
      </w:pPr>
      <w:r>
        <w:t xml:space="preserve">ADVERSE EFFECTS (UNDESIRABLE EFFECTS) </w:t>
      </w:r>
    </w:p>
    <w:p w14:paraId="5CEF00A6" w14:textId="77777777" w:rsidR="00B57190" w:rsidRPr="008C2B04" w:rsidRDefault="00B57190" w:rsidP="00E5496F">
      <w:pPr>
        <w:pStyle w:val="Heading2"/>
      </w:pPr>
      <w:r w:rsidRPr="008C2B04">
        <w:t>Summary of the safety profile</w:t>
      </w:r>
    </w:p>
    <w:p w14:paraId="57F8C65B" w14:textId="77777777" w:rsidR="00B57190" w:rsidRDefault="00B57190" w:rsidP="00BF0D6B">
      <w:pPr>
        <w:spacing w:after="120"/>
      </w:pPr>
      <w:r>
        <w:t xml:space="preserve">In the pivotal </w:t>
      </w:r>
      <w:r w:rsidR="002F7F5B">
        <w:t>NOVA</w:t>
      </w:r>
      <w:r>
        <w:t xml:space="preserve"> study, adverse reactions (ADRs) occurring </w:t>
      </w:r>
      <w:r w:rsidR="00BB6EDB">
        <w:rPr>
          <w:rFonts w:cs="Arial"/>
        </w:rPr>
        <w:t>≥</w:t>
      </w:r>
      <w:r>
        <w:t>10</w:t>
      </w:r>
      <w:r w:rsidR="00534F76">
        <w:t>%</w:t>
      </w:r>
      <w:r>
        <w:t xml:space="preserve"> of patients receiving </w:t>
      </w:r>
      <w:r w:rsidR="00723C6C">
        <w:t>ZEJULA</w:t>
      </w:r>
      <w:r>
        <w:t xml:space="preserve"> monotherapy were nausea, thrombocytopenia, fatigue/asthenia, anaemia, constipation, vomiting, abdominal pain, neutropenia, insomnia, headache, decreased appetite, </w:t>
      </w:r>
      <w:proofErr w:type="spellStart"/>
      <w:r>
        <w:t>nasopharyngitis</w:t>
      </w:r>
      <w:proofErr w:type="spellEnd"/>
      <w:r>
        <w:t xml:space="preserve">, diarrhoea, </w:t>
      </w:r>
      <w:proofErr w:type="spellStart"/>
      <w:r>
        <w:t>dyspnea</w:t>
      </w:r>
      <w:proofErr w:type="spellEnd"/>
      <w:r>
        <w:t>, hypertension, dyspepsia, back pain, dizziness, cough, urinary tract infection, arthralgia, palpitations, and dysgeusia.</w:t>
      </w:r>
    </w:p>
    <w:p w14:paraId="7DDE7A08" w14:textId="77777777" w:rsidR="00B57190" w:rsidRDefault="00B57190" w:rsidP="00B57190">
      <w:r>
        <w:t>The most common serious adverse reactions &gt; 1</w:t>
      </w:r>
      <w:r w:rsidR="00534F76">
        <w:t>%</w:t>
      </w:r>
      <w:r>
        <w:t xml:space="preserve"> (treatment-emergent frequencies) were thrombocytopenia and anaemia.</w:t>
      </w:r>
    </w:p>
    <w:p w14:paraId="5AFC711A" w14:textId="77777777" w:rsidR="00B57190" w:rsidRPr="00561A49" w:rsidRDefault="00B57190" w:rsidP="00E5496F">
      <w:pPr>
        <w:pStyle w:val="Heading2"/>
      </w:pPr>
      <w:r w:rsidRPr="00561A49">
        <w:t>Tabulated list of adverse reactions</w:t>
      </w:r>
    </w:p>
    <w:p w14:paraId="218BD760" w14:textId="4F1A61DE" w:rsidR="00B57190" w:rsidRDefault="00B57190" w:rsidP="00BF0D6B">
      <w:pPr>
        <w:spacing w:after="120"/>
      </w:pPr>
      <w:r>
        <w:t xml:space="preserve">The following adverse reactions have been identified in the </w:t>
      </w:r>
      <w:r w:rsidR="002F7F5B">
        <w:t>NOVA</w:t>
      </w:r>
      <w:r>
        <w:t xml:space="preserve"> study in patients receiving </w:t>
      </w:r>
      <w:r w:rsidR="00723C6C">
        <w:t>ZEJULA</w:t>
      </w:r>
      <w:r>
        <w:t xml:space="preserve"> monotherapy (see </w:t>
      </w:r>
      <w:r w:rsidR="00300B95" w:rsidRPr="00300B95">
        <w:fldChar w:fldCharType="begin"/>
      </w:r>
      <w:r w:rsidR="00300B95" w:rsidRPr="00300B95">
        <w:instrText xml:space="preserve"> REF _Ref514390832 \h  \* MERGEFORMAT </w:instrText>
      </w:r>
      <w:r w:rsidR="00300B95" w:rsidRPr="00300B95">
        <w:fldChar w:fldCharType="separate"/>
      </w:r>
      <w:r w:rsidR="00673008" w:rsidRPr="00E5117C">
        <w:t xml:space="preserve">Table </w:t>
      </w:r>
      <w:r w:rsidR="00673008" w:rsidRPr="00E5117C">
        <w:rPr>
          <w:noProof/>
        </w:rPr>
        <w:t>4</w:t>
      </w:r>
      <w:r w:rsidR="00300B95" w:rsidRPr="00300B95">
        <w:fldChar w:fldCharType="end"/>
      </w:r>
      <w:r>
        <w:t>).</w:t>
      </w:r>
    </w:p>
    <w:p w14:paraId="0CD24B0E" w14:textId="35DA1DF6" w:rsidR="00BE440E" w:rsidRDefault="00B57190" w:rsidP="00B57190">
      <w:r>
        <w:lastRenderedPageBreak/>
        <w:t xml:space="preserve">Frequencies of occurrence of undesirable effects are defined as: very </w:t>
      </w:r>
      <w:r w:rsidR="003558C4">
        <w:t>common </w:t>
      </w:r>
      <w:r>
        <w:rPr>
          <w:rFonts w:cs="Arial"/>
        </w:rPr>
        <w:t>≥</w:t>
      </w:r>
      <w:r>
        <w:t xml:space="preserve">1/10); </w:t>
      </w:r>
      <w:r w:rsidR="003558C4">
        <w:t>common </w:t>
      </w:r>
      <w:r w:rsidR="003558C4">
        <w:rPr>
          <w:rFonts w:cs="Arial"/>
        </w:rPr>
        <w:t>≥</w:t>
      </w:r>
      <w:r w:rsidR="003558C4">
        <w:t> </w:t>
      </w:r>
      <w:r>
        <w:t>1/</w:t>
      </w:r>
      <w:r w:rsidR="003558C4">
        <w:t>100 to </w:t>
      </w:r>
      <w:r>
        <w:t>&lt;1/10); uncommon (</w:t>
      </w:r>
      <w:r>
        <w:rPr>
          <w:rFonts w:cs="Arial"/>
        </w:rPr>
        <w:t>≥</w:t>
      </w:r>
      <w:r>
        <w:t xml:space="preserve"> 1/1,000 to &lt; 1/100); rare (</w:t>
      </w:r>
      <w:r>
        <w:rPr>
          <w:rFonts w:cs="Arial"/>
        </w:rPr>
        <w:t>≥</w:t>
      </w:r>
      <w:r>
        <w:t>1/10,000 to &lt; 1/1,000); very rare (&lt; 1/10,000). Within each frequency grouping, undesirable effects are presented in order of decreasing seriousness.</w:t>
      </w:r>
      <w:r w:rsidR="00BE440E">
        <w:br w:type="page"/>
      </w:r>
    </w:p>
    <w:p w14:paraId="7A960F01" w14:textId="04B95D54" w:rsidR="003758C3" w:rsidRPr="00300B95" w:rsidRDefault="00300B95" w:rsidP="00300B95">
      <w:pPr>
        <w:spacing w:after="0"/>
        <w:rPr>
          <w:b/>
        </w:rPr>
      </w:pPr>
      <w:bookmarkStart w:id="5" w:name="_Ref514390832"/>
      <w:r w:rsidRPr="00300B95">
        <w:rPr>
          <w:b/>
        </w:rPr>
        <w:lastRenderedPageBreak/>
        <w:t xml:space="preserve">Table </w:t>
      </w:r>
      <w:r w:rsidRPr="00300B95">
        <w:rPr>
          <w:b/>
        </w:rPr>
        <w:fldChar w:fldCharType="begin"/>
      </w:r>
      <w:r w:rsidRPr="00300B95">
        <w:rPr>
          <w:b/>
        </w:rPr>
        <w:instrText xml:space="preserve"> SEQ Table \* ARABIC </w:instrText>
      </w:r>
      <w:r w:rsidRPr="00300B95">
        <w:rPr>
          <w:b/>
        </w:rPr>
        <w:fldChar w:fldCharType="separate"/>
      </w:r>
      <w:r w:rsidR="00673008">
        <w:rPr>
          <w:b/>
          <w:noProof/>
        </w:rPr>
        <w:t>4</w:t>
      </w:r>
      <w:r w:rsidRPr="00300B95">
        <w:rPr>
          <w:b/>
        </w:rPr>
        <w:fldChar w:fldCharType="end"/>
      </w:r>
      <w:bookmarkEnd w:id="5"/>
      <w:r w:rsidRPr="00300B95">
        <w:rPr>
          <w:b/>
        </w:rPr>
        <w:t xml:space="preserve">: </w:t>
      </w:r>
      <w:r w:rsidR="00AE6CCD" w:rsidRPr="00300B95">
        <w:rPr>
          <w:b/>
        </w:rPr>
        <w:t>Adverse drug reactions: frequencies based on all-causality adverse events*</w:t>
      </w:r>
    </w:p>
    <w:tbl>
      <w:tblPr>
        <w:tblStyle w:val="TableGrid"/>
        <w:tblW w:w="0" w:type="auto"/>
        <w:tblLook w:val="04A0" w:firstRow="1" w:lastRow="0" w:firstColumn="1" w:lastColumn="0" w:noHBand="0" w:noVBand="1"/>
      </w:tblPr>
      <w:tblGrid>
        <w:gridCol w:w="3284"/>
        <w:gridCol w:w="3285"/>
        <w:gridCol w:w="3285"/>
      </w:tblGrid>
      <w:tr w:rsidR="003758C3" w:rsidRPr="00AE6CCD" w14:paraId="7E61623B" w14:textId="77777777" w:rsidTr="00914E7F">
        <w:trPr>
          <w:tblHeader/>
        </w:trPr>
        <w:tc>
          <w:tcPr>
            <w:tcW w:w="3284" w:type="dxa"/>
          </w:tcPr>
          <w:p w14:paraId="69CA9F08" w14:textId="77777777" w:rsidR="003758C3" w:rsidRPr="00AE6CCD" w:rsidRDefault="00AE6CCD" w:rsidP="00AE6CCD">
            <w:pPr>
              <w:jc w:val="left"/>
              <w:rPr>
                <w:b/>
                <w:highlight w:val="yellow"/>
              </w:rPr>
            </w:pPr>
            <w:r w:rsidRPr="00AE6CCD">
              <w:rPr>
                <w:b/>
              </w:rPr>
              <w:t>System Organ Class</w:t>
            </w:r>
          </w:p>
        </w:tc>
        <w:tc>
          <w:tcPr>
            <w:tcW w:w="3285" w:type="dxa"/>
          </w:tcPr>
          <w:p w14:paraId="1D43F7E9" w14:textId="77777777" w:rsidR="003758C3" w:rsidRPr="00AE6CCD" w:rsidRDefault="00AE6CCD" w:rsidP="00AE6CCD">
            <w:pPr>
              <w:jc w:val="left"/>
              <w:rPr>
                <w:b/>
                <w:highlight w:val="yellow"/>
              </w:rPr>
            </w:pPr>
            <w:r w:rsidRPr="00AE6CCD">
              <w:rPr>
                <w:b/>
              </w:rPr>
              <w:t>Frequency of all CTCAE grades</w:t>
            </w:r>
          </w:p>
        </w:tc>
        <w:tc>
          <w:tcPr>
            <w:tcW w:w="3285" w:type="dxa"/>
          </w:tcPr>
          <w:p w14:paraId="538A5EBD" w14:textId="77777777" w:rsidR="003758C3" w:rsidRPr="00AE6CCD" w:rsidRDefault="00AE6CCD" w:rsidP="00AE6CCD">
            <w:pPr>
              <w:jc w:val="left"/>
              <w:rPr>
                <w:b/>
                <w:highlight w:val="yellow"/>
              </w:rPr>
            </w:pPr>
            <w:r w:rsidRPr="00AE6CCD">
              <w:rPr>
                <w:b/>
              </w:rPr>
              <w:t>Frequency of CTCAE grade 3 or 4</w:t>
            </w:r>
          </w:p>
        </w:tc>
      </w:tr>
      <w:tr w:rsidR="003758C3" w14:paraId="5D241686" w14:textId="77777777" w:rsidTr="003758C3">
        <w:tc>
          <w:tcPr>
            <w:tcW w:w="3284" w:type="dxa"/>
          </w:tcPr>
          <w:p w14:paraId="79026F03" w14:textId="77777777" w:rsidR="003758C3" w:rsidRDefault="00AE6CCD" w:rsidP="00AE6CCD">
            <w:pPr>
              <w:jc w:val="left"/>
              <w:rPr>
                <w:highlight w:val="yellow"/>
              </w:rPr>
            </w:pPr>
            <w:r w:rsidRPr="00AE6CCD">
              <w:t>Infections and infestations</w:t>
            </w:r>
          </w:p>
        </w:tc>
        <w:tc>
          <w:tcPr>
            <w:tcW w:w="3285" w:type="dxa"/>
          </w:tcPr>
          <w:p w14:paraId="6D69B069" w14:textId="77777777" w:rsidR="00AE6CCD" w:rsidRPr="00627815" w:rsidRDefault="00AE6CCD" w:rsidP="00627815">
            <w:pPr>
              <w:spacing w:after="0"/>
              <w:jc w:val="left"/>
              <w:rPr>
                <w:b/>
              </w:rPr>
            </w:pPr>
            <w:r w:rsidRPr="00627815">
              <w:rPr>
                <w:b/>
              </w:rPr>
              <w:t>Very common</w:t>
            </w:r>
          </w:p>
          <w:p w14:paraId="0AA1A2C2" w14:textId="77777777" w:rsidR="00627815" w:rsidRPr="00627815" w:rsidRDefault="00627815" w:rsidP="00627815">
            <w:pPr>
              <w:spacing w:after="0"/>
              <w:jc w:val="left"/>
            </w:pPr>
            <w:r w:rsidRPr="00627815">
              <w:t>Urinary tract infection</w:t>
            </w:r>
          </w:p>
          <w:p w14:paraId="75EDB4A1" w14:textId="77777777" w:rsidR="00AE6CCD" w:rsidRPr="00627815" w:rsidRDefault="00AE6CCD" w:rsidP="00627815">
            <w:pPr>
              <w:spacing w:after="0"/>
              <w:jc w:val="left"/>
              <w:rPr>
                <w:b/>
              </w:rPr>
            </w:pPr>
            <w:r w:rsidRPr="00627815">
              <w:rPr>
                <w:b/>
              </w:rPr>
              <w:t>Common</w:t>
            </w:r>
          </w:p>
          <w:p w14:paraId="3B37819F" w14:textId="77777777" w:rsidR="003758C3" w:rsidRDefault="00627815" w:rsidP="00AE6CCD">
            <w:pPr>
              <w:jc w:val="left"/>
              <w:rPr>
                <w:highlight w:val="yellow"/>
              </w:rPr>
            </w:pPr>
            <w:r w:rsidRPr="00627815">
              <w:t>Bronchitis, conjunctivitis</w:t>
            </w:r>
          </w:p>
        </w:tc>
        <w:tc>
          <w:tcPr>
            <w:tcW w:w="3285" w:type="dxa"/>
          </w:tcPr>
          <w:p w14:paraId="5B74716C" w14:textId="77777777" w:rsidR="003758C3" w:rsidRDefault="00627815" w:rsidP="00627815">
            <w:pPr>
              <w:spacing w:after="0"/>
              <w:jc w:val="left"/>
              <w:rPr>
                <w:b/>
              </w:rPr>
            </w:pPr>
            <w:r w:rsidRPr="00627815">
              <w:rPr>
                <w:b/>
              </w:rPr>
              <w:t>Uncommon</w:t>
            </w:r>
          </w:p>
          <w:p w14:paraId="1D303313" w14:textId="77777777" w:rsidR="00627815" w:rsidRDefault="00627815" w:rsidP="00627815">
            <w:pPr>
              <w:jc w:val="left"/>
              <w:rPr>
                <w:highlight w:val="yellow"/>
              </w:rPr>
            </w:pPr>
            <w:r>
              <w:t>Urinary tract infection, bronchitis</w:t>
            </w:r>
          </w:p>
        </w:tc>
      </w:tr>
      <w:tr w:rsidR="00AE6CCD" w:rsidRPr="00CD43F7" w14:paraId="47B95A06" w14:textId="77777777" w:rsidTr="00C43F86">
        <w:trPr>
          <w:trHeight w:val="1468"/>
        </w:trPr>
        <w:tc>
          <w:tcPr>
            <w:tcW w:w="3284" w:type="dxa"/>
          </w:tcPr>
          <w:p w14:paraId="4C80FC7A" w14:textId="77777777" w:rsidR="00AE6CCD" w:rsidRPr="00AE6CCD" w:rsidRDefault="00AE6CCD" w:rsidP="00AE6CCD">
            <w:pPr>
              <w:jc w:val="left"/>
            </w:pPr>
            <w:r>
              <w:t>Blood and lymphatic system disorders</w:t>
            </w:r>
          </w:p>
        </w:tc>
        <w:tc>
          <w:tcPr>
            <w:tcW w:w="3285" w:type="dxa"/>
          </w:tcPr>
          <w:p w14:paraId="0B62C072" w14:textId="77777777" w:rsidR="00627815" w:rsidRPr="00627815" w:rsidRDefault="00627815" w:rsidP="00627815">
            <w:pPr>
              <w:spacing w:after="0"/>
              <w:jc w:val="left"/>
              <w:rPr>
                <w:b/>
              </w:rPr>
            </w:pPr>
            <w:r w:rsidRPr="00627815">
              <w:rPr>
                <w:b/>
              </w:rPr>
              <w:t>Very common</w:t>
            </w:r>
          </w:p>
          <w:p w14:paraId="667D8D02" w14:textId="77777777" w:rsidR="00627815" w:rsidRDefault="00627815" w:rsidP="00627815">
            <w:pPr>
              <w:spacing w:after="0"/>
              <w:jc w:val="left"/>
            </w:pPr>
            <w:r>
              <w:t>Thrombocytopenia, anaemia,</w:t>
            </w:r>
          </w:p>
          <w:p w14:paraId="79977D62" w14:textId="07741FE3" w:rsidR="00627815" w:rsidRDefault="00BB6EDB" w:rsidP="00627815">
            <w:pPr>
              <w:spacing w:after="0"/>
              <w:jc w:val="left"/>
            </w:pPr>
            <w:r>
              <w:t>n</w:t>
            </w:r>
            <w:r w:rsidR="00627815">
              <w:t>eutropenia</w:t>
            </w:r>
          </w:p>
          <w:p w14:paraId="43B21BE0" w14:textId="77777777" w:rsidR="00627815" w:rsidRPr="00E3371F" w:rsidRDefault="00627815" w:rsidP="00627815">
            <w:pPr>
              <w:spacing w:after="0"/>
              <w:jc w:val="left"/>
              <w:rPr>
                <w:b/>
                <w:lang w:val="it-IT"/>
              </w:rPr>
            </w:pPr>
            <w:r w:rsidRPr="00E3371F">
              <w:rPr>
                <w:b/>
                <w:lang w:val="it-IT"/>
              </w:rPr>
              <w:t>Common</w:t>
            </w:r>
          </w:p>
          <w:p w14:paraId="47361D49" w14:textId="77777777" w:rsidR="00627815" w:rsidRPr="00E3371F" w:rsidRDefault="00627815" w:rsidP="00060AAC">
            <w:pPr>
              <w:spacing w:after="0"/>
              <w:jc w:val="left"/>
              <w:rPr>
                <w:lang w:val="it-IT"/>
              </w:rPr>
            </w:pPr>
            <w:r w:rsidRPr="00E3371F">
              <w:rPr>
                <w:lang w:val="it-IT"/>
              </w:rPr>
              <w:t>Leukopenia</w:t>
            </w:r>
          </w:p>
          <w:p w14:paraId="020E63D9" w14:textId="77777777" w:rsidR="00BE440E" w:rsidRPr="00E3371F" w:rsidRDefault="00BE440E" w:rsidP="00060AAC">
            <w:pPr>
              <w:spacing w:after="0"/>
              <w:jc w:val="left"/>
              <w:rPr>
                <w:b/>
                <w:lang w:val="it-IT"/>
              </w:rPr>
            </w:pPr>
            <w:r w:rsidRPr="00E3371F">
              <w:rPr>
                <w:b/>
                <w:lang w:val="it-IT"/>
              </w:rPr>
              <w:t>Uncommon</w:t>
            </w:r>
          </w:p>
          <w:p w14:paraId="22E44335" w14:textId="7C9241E9" w:rsidR="00BE440E" w:rsidRPr="00E3371F" w:rsidRDefault="00BE440E" w:rsidP="00060AAC">
            <w:pPr>
              <w:spacing w:after="0"/>
              <w:jc w:val="left"/>
              <w:rPr>
                <w:lang w:val="it-IT"/>
              </w:rPr>
            </w:pPr>
            <w:r w:rsidRPr="00E3371F">
              <w:rPr>
                <w:lang w:val="it-IT"/>
              </w:rPr>
              <w:t>Pancytopenia</w:t>
            </w:r>
            <w:r w:rsidR="00E3371F" w:rsidRPr="00E3371F">
              <w:rPr>
                <w:lang w:val="it-IT"/>
              </w:rPr>
              <w:t xml:space="preserve">, </w:t>
            </w:r>
            <w:r w:rsidR="00E3371F" w:rsidRPr="00AD1DA5">
              <w:rPr>
                <w:lang w:val="it-IT"/>
              </w:rPr>
              <w:t>febrile neutropenia</w:t>
            </w:r>
          </w:p>
        </w:tc>
        <w:tc>
          <w:tcPr>
            <w:tcW w:w="3285" w:type="dxa"/>
          </w:tcPr>
          <w:p w14:paraId="29F31223" w14:textId="77777777" w:rsidR="00627815" w:rsidRPr="00627815" w:rsidRDefault="00627815" w:rsidP="00627815">
            <w:pPr>
              <w:spacing w:after="0"/>
              <w:jc w:val="left"/>
              <w:rPr>
                <w:b/>
              </w:rPr>
            </w:pPr>
            <w:r w:rsidRPr="00627815">
              <w:rPr>
                <w:b/>
              </w:rPr>
              <w:t>Very common</w:t>
            </w:r>
          </w:p>
          <w:p w14:paraId="6D0B7FEF" w14:textId="77777777" w:rsidR="00627815" w:rsidRDefault="00627815" w:rsidP="00627815">
            <w:pPr>
              <w:spacing w:after="0"/>
              <w:jc w:val="left"/>
            </w:pPr>
            <w:r>
              <w:t>Thrombocytopenia, anaemia,</w:t>
            </w:r>
          </w:p>
          <w:p w14:paraId="6D37EF01" w14:textId="0CF7F912" w:rsidR="00627815" w:rsidRDefault="00BB6EDB" w:rsidP="00627815">
            <w:pPr>
              <w:spacing w:after="0"/>
              <w:jc w:val="left"/>
            </w:pPr>
            <w:r>
              <w:t>n</w:t>
            </w:r>
            <w:r w:rsidR="00627815">
              <w:t>eutropenia</w:t>
            </w:r>
          </w:p>
          <w:p w14:paraId="15D8EAE2" w14:textId="77777777" w:rsidR="00627815" w:rsidRPr="00E3371F" w:rsidRDefault="00627815" w:rsidP="00627815">
            <w:pPr>
              <w:spacing w:after="0"/>
              <w:jc w:val="left"/>
              <w:rPr>
                <w:b/>
                <w:lang w:val="it-IT"/>
              </w:rPr>
            </w:pPr>
            <w:r w:rsidRPr="00E3371F">
              <w:rPr>
                <w:b/>
                <w:lang w:val="it-IT"/>
              </w:rPr>
              <w:t>Common</w:t>
            </w:r>
          </w:p>
          <w:p w14:paraId="33412D8A" w14:textId="77777777" w:rsidR="00AE6CCD" w:rsidRPr="00E3371F" w:rsidRDefault="00627815" w:rsidP="00060AAC">
            <w:pPr>
              <w:spacing w:after="0"/>
              <w:jc w:val="left"/>
              <w:rPr>
                <w:b/>
                <w:lang w:val="it-IT"/>
              </w:rPr>
            </w:pPr>
            <w:r w:rsidRPr="00E3371F">
              <w:rPr>
                <w:lang w:val="it-IT"/>
              </w:rPr>
              <w:t>Leukopenia</w:t>
            </w:r>
            <w:r w:rsidRPr="00E3371F">
              <w:rPr>
                <w:b/>
                <w:lang w:val="it-IT"/>
              </w:rPr>
              <w:t xml:space="preserve"> </w:t>
            </w:r>
          </w:p>
          <w:p w14:paraId="667CE431" w14:textId="77777777" w:rsidR="00BE440E" w:rsidRPr="00E3371F" w:rsidRDefault="00BE440E" w:rsidP="00BE440E">
            <w:pPr>
              <w:spacing w:after="0"/>
              <w:jc w:val="left"/>
              <w:rPr>
                <w:b/>
                <w:lang w:val="it-IT"/>
              </w:rPr>
            </w:pPr>
            <w:r w:rsidRPr="00E3371F">
              <w:rPr>
                <w:b/>
                <w:lang w:val="it-IT"/>
              </w:rPr>
              <w:t>Uncommon</w:t>
            </w:r>
          </w:p>
          <w:p w14:paraId="3DB79AC5" w14:textId="2ECDC07A" w:rsidR="00BE440E" w:rsidRPr="00E3371F" w:rsidRDefault="00BE440E" w:rsidP="00BE440E">
            <w:pPr>
              <w:spacing w:after="0"/>
              <w:jc w:val="left"/>
              <w:rPr>
                <w:b/>
                <w:lang w:val="it-IT"/>
              </w:rPr>
            </w:pPr>
            <w:r w:rsidRPr="00E3371F">
              <w:rPr>
                <w:lang w:val="it-IT"/>
              </w:rPr>
              <w:t>Pancytopenia</w:t>
            </w:r>
            <w:r w:rsidR="00E3371F" w:rsidRPr="00E3371F">
              <w:rPr>
                <w:lang w:val="it-IT"/>
              </w:rPr>
              <w:t xml:space="preserve">, </w:t>
            </w:r>
            <w:r w:rsidR="00E3371F" w:rsidRPr="00AD1DA5">
              <w:rPr>
                <w:lang w:val="it-IT"/>
              </w:rPr>
              <w:t>febrile neutropenia</w:t>
            </w:r>
          </w:p>
        </w:tc>
      </w:tr>
      <w:tr w:rsidR="00AE6CCD" w14:paraId="0A88E804" w14:textId="77777777" w:rsidTr="003758C3">
        <w:tc>
          <w:tcPr>
            <w:tcW w:w="3284" w:type="dxa"/>
          </w:tcPr>
          <w:p w14:paraId="2CBF6595" w14:textId="7D1925A3" w:rsidR="00AE6CCD" w:rsidRDefault="00AE6CCD" w:rsidP="00AE6CCD">
            <w:pPr>
              <w:jc w:val="left"/>
            </w:pPr>
            <w:r>
              <w:t>Metabolism and nutrition disorders</w:t>
            </w:r>
          </w:p>
        </w:tc>
        <w:tc>
          <w:tcPr>
            <w:tcW w:w="3285" w:type="dxa"/>
          </w:tcPr>
          <w:p w14:paraId="45A8D0F5" w14:textId="77777777" w:rsidR="00627815" w:rsidRPr="00627815" w:rsidRDefault="00627815" w:rsidP="00627815">
            <w:pPr>
              <w:spacing w:after="0"/>
              <w:jc w:val="left"/>
              <w:rPr>
                <w:b/>
              </w:rPr>
            </w:pPr>
            <w:r w:rsidRPr="00627815">
              <w:rPr>
                <w:b/>
              </w:rPr>
              <w:t>Very common</w:t>
            </w:r>
          </w:p>
          <w:p w14:paraId="786519F2" w14:textId="77777777" w:rsidR="00627815" w:rsidRDefault="00627815" w:rsidP="00627815">
            <w:pPr>
              <w:spacing w:after="0"/>
              <w:jc w:val="left"/>
            </w:pPr>
            <w:r w:rsidRPr="00627815">
              <w:t xml:space="preserve">Decreased appetite </w:t>
            </w:r>
          </w:p>
          <w:p w14:paraId="59A15C0A" w14:textId="77777777" w:rsidR="00627815" w:rsidRPr="00627815" w:rsidRDefault="00627815" w:rsidP="00627815">
            <w:pPr>
              <w:spacing w:after="0"/>
              <w:jc w:val="left"/>
              <w:rPr>
                <w:b/>
              </w:rPr>
            </w:pPr>
            <w:r w:rsidRPr="00627815">
              <w:rPr>
                <w:b/>
              </w:rPr>
              <w:t>Common</w:t>
            </w:r>
          </w:p>
          <w:p w14:paraId="1E54C0AE" w14:textId="77777777" w:rsidR="00AE6CCD" w:rsidRDefault="00627815" w:rsidP="00627815">
            <w:pPr>
              <w:jc w:val="left"/>
              <w:rPr>
                <w:highlight w:val="yellow"/>
              </w:rPr>
            </w:pPr>
            <w:proofErr w:type="spellStart"/>
            <w:r w:rsidRPr="00627815">
              <w:t>Hypokalemia</w:t>
            </w:r>
            <w:proofErr w:type="spellEnd"/>
          </w:p>
        </w:tc>
        <w:tc>
          <w:tcPr>
            <w:tcW w:w="3285" w:type="dxa"/>
          </w:tcPr>
          <w:p w14:paraId="34708CE8" w14:textId="77777777" w:rsidR="00627815" w:rsidRPr="00627815" w:rsidRDefault="00627815" w:rsidP="00627815">
            <w:pPr>
              <w:spacing w:after="0"/>
              <w:jc w:val="left"/>
              <w:rPr>
                <w:b/>
              </w:rPr>
            </w:pPr>
            <w:r w:rsidRPr="00627815">
              <w:rPr>
                <w:b/>
              </w:rPr>
              <w:t>Common</w:t>
            </w:r>
          </w:p>
          <w:p w14:paraId="5CDA74E0" w14:textId="77777777" w:rsidR="00AE6CCD" w:rsidRDefault="00627815" w:rsidP="00627815">
            <w:pPr>
              <w:spacing w:after="0"/>
              <w:jc w:val="left"/>
            </w:pPr>
            <w:proofErr w:type="spellStart"/>
            <w:r w:rsidRPr="00627815">
              <w:t>Hypokalemia</w:t>
            </w:r>
            <w:proofErr w:type="spellEnd"/>
          </w:p>
          <w:p w14:paraId="43C291FD" w14:textId="77777777" w:rsidR="00627815" w:rsidRPr="00627815" w:rsidRDefault="00627815" w:rsidP="00627815">
            <w:pPr>
              <w:spacing w:after="0"/>
              <w:jc w:val="left"/>
              <w:rPr>
                <w:b/>
              </w:rPr>
            </w:pPr>
            <w:r w:rsidRPr="00627815">
              <w:rPr>
                <w:b/>
              </w:rPr>
              <w:t xml:space="preserve">Uncommon </w:t>
            </w:r>
          </w:p>
          <w:p w14:paraId="1A675DDF" w14:textId="77777777" w:rsidR="00627815" w:rsidRPr="00627815" w:rsidRDefault="00627815" w:rsidP="00627815">
            <w:pPr>
              <w:jc w:val="left"/>
            </w:pPr>
            <w:r w:rsidRPr="00627815">
              <w:t>Decreased appetite</w:t>
            </w:r>
          </w:p>
        </w:tc>
      </w:tr>
      <w:tr w:rsidR="00AE6CCD" w14:paraId="59751A9F" w14:textId="77777777" w:rsidTr="003758C3">
        <w:tc>
          <w:tcPr>
            <w:tcW w:w="3284" w:type="dxa"/>
          </w:tcPr>
          <w:p w14:paraId="4139972D" w14:textId="77777777" w:rsidR="00AE6CCD" w:rsidRDefault="00AE6CCD" w:rsidP="00AE6CCD">
            <w:pPr>
              <w:jc w:val="left"/>
            </w:pPr>
            <w:r w:rsidRPr="00AE6CCD">
              <w:t>Psychiatric disorders</w:t>
            </w:r>
          </w:p>
        </w:tc>
        <w:tc>
          <w:tcPr>
            <w:tcW w:w="3285" w:type="dxa"/>
          </w:tcPr>
          <w:p w14:paraId="59697C40" w14:textId="77777777" w:rsidR="00627815" w:rsidRPr="00627815" w:rsidRDefault="00627815" w:rsidP="00627815">
            <w:pPr>
              <w:spacing w:after="0"/>
              <w:jc w:val="left"/>
              <w:rPr>
                <w:b/>
              </w:rPr>
            </w:pPr>
            <w:r w:rsidRPr="00627815">
              <w:rPr>
                <w:b/>
              </w:rPr>
              <w:t>Very common</w:t>
            </w:r>
          </w:p>
          <w:p w14:paraId="3ED09A76" w14:textId="77777777" w:rsidR="00627815" w:rsidRDefault="00627815" w:rsidP="00627815">
            <w:pPr>
              <w:spacing w:after="0"/>
              <w:jc w:val="left"/>
            </w:pPr>
            <w:r w:rsidRPr="00627815">
              <w:t xml:space="preserve">Insomnia </w:t>
            </w:r>
          </w:p>
          <w:p w14:paraId="63C27A54" w14:textId="77777777" w:rsidR="00627815" w:rsidRPr="00627815" w:rsidRDefault="00627815" w:rsidP="00627815">
            <w:pPr>
              <w:spacing w:after="0"/>
              <w:jc w:val="left"/>
              <w:rPr>
                <w:b/>
              </w:rPr>
            </w:pPr>
            <w:r w:rsidRPr="00627815">
              <w:rPr>
                <w:b/>
              </w:rPr>
              <w:t>Common</w:t>
            </w:r>
          </w:p>
          <w:p w14:paraId="36DBE413" w14:textId="77777777" w:rsidR="00AE6CCD" w:rsidRDefault="00627815" w:rsidP="00627815">
            <w:pPr>
              <w:jc w:val="left"/>
              <w:rPr>
                <w:highlight w:val="yellow"/>
              </w:rPr>
            </w:pPr>
            <w:r w:rsidRPr="00627815">
              <w:t>Anxiety, depression</w:t>
            </w:r>
          </w:p>
        </w:tc>
        <w:tc>
          <w:tcPr>
            <w:tcW w:w="3285" w:type="dxa"/>
          </w:tcPr>
          <w:p w14:paraId="2CC97489" w14:textId="77777777" w:rsidR="00627815" w:rsidRPr="00627815" w:rsidRDefault="00627815" w:rsidP="00627815">
            <w:pPr>
              <w:spacing w:after="0"/>
              <w:jc w:val="left"/>
              <w:rPr>
                <w:b/>
              </w:rPr>
            </w:pPr>
            <w:r w:rsidRPr="00627815">
              <w:rPr>
                <w:b/>
              </w:rPr>
              <w:t xml:space="preserve">Uncommon </w:t>
            </w:r>
          </w:p>
          <w:p w14:paraId="4788781F" w14:textId="77777777" w:rsidR="00AE6CCD" w:rsidRDefault="00627815" w:rsidP="00627815">
            <w:pPr>
              <w:jc w:val="left"/>
              <w:rPr>
                <w:highlight w:val="yellow"/>
              </w:rPr>
            </w:pPr>
            <w:r w:rsidRPr="00627815">
              <w:t>Insomnia, anxiety, depression</w:t>
            </w:r>
          </w:p>
        </w:tc>
      </w:tr>
      <w:tr w:rsidR="00AE6CCD" w14:paraId="5FCE0936" w14:textId="77777777" w:rsidTr="003758C3">
        <w:tc>
          <w:tcPr>
            <w:tcW w:w="3284" w:type="dxa"/>
          </w:tcPr>
          <w:p w14:paraId="7C8B2C09" w14:textId="77777777" w:rsidR="00AE6CCD" w:rsidRDefault="00AE6CCD" w:rsidP="00AE6CCD">
            <w:pPr>
              <w:jc w:val="left"/>
            </w:pPr>
            <w:r w:rsidRPr="00AE6CCD">
              <w:t>Nervous system disorders</w:t>
            </w:r>
          </w:p>
        </w:tc>
        <w:tc>
          <w:tcPr>
            <w:tcW w:w="3285" w:type="dxa"/>
          </w:tcPr>
          <w:p w14:paraId="02255327" w14:textId="77777777" w:rsidR="00CE2B95" w:rsidRPr="00627815" w:rsidRDefault="00CE2B95" w:rsidP="00CE2B95">
            <w:pPr>
              <w:spacing w:after="0"/>
              <w:jc w:val="left"/>
              <w:rPr>
                <w:b/>
              </w:rPr>
            </w:pPr>
            <w:r w:rsidRPr="00627815">
              <w:rPr>
                <w:b/>
              </w:rPr>
              <w:t>Very common</w:t>
            </w:r>
          </w:p>
          <w:p w14:paraId="6CF3B8A3" w14:textId="77777777" w:rsidR="00AE6CCD" w:rsidRDefault="00CE2B95" w:rsidP="00CE2B95">
            <w:pPr>
              <w:jc w:val="left"/>
              <w:rPr>
                <w:highlight w:val="yellow"/>
              </w:rPr>
            </w:pPr>
            <w:r w:rsidRPr="00CE2B95">
              <w:t>Headache, dizziness, dysgeusia</w:t>
            </w:r>
          </w:p>
        </w:tc>
        <w:tc>
          <w:tcPr>
            <w:tcW w:w="3285" w:type="dxa"/>
          </w:tcPr>
          <w:p w14:paraId="5CFF2B45" w14:textId="77777777" w:rsidR="00CE2B95" w:rsidRPr="00627815" w:rsidRDefault="00CE2B95" w:rsidP="00CE2B95">
            <w:pPr>
              <w:spacing w:after="0"/>
              <w:jc w:val="left"/>
              <w:rPr>
                <w:b/>
              </w:rPr>
            </w:pPr>
            <w:r w:rsidRPr="00627815">
              <w:rPr>
                <w:b/>
              </w:rPr>
              <w:t xml:space="preserve">Uncommon </w:t>
            </w:r>
          </w:p>
          <w:p w14:paraId="442BCFC1" w14:textId="77777777" w:rsidR="00AE6CCD" w:rsidRDefault="00CE2B95" w:rsidP="00CE2B95">
            <w:pPr>
              <w:jc w:val="left"/>
              <w:rPr>
                <w:highlight w:val="yellow"/>
              </w:rPr>
            </w:pPr>
            <w:r w:rsidRPr="00CE2B95">
              <w:t>Headache</w:t>
            </w:r>
          </w:p>
        </w:tc>
      </w:tr>
      <w:tr w:rsidR="00AE6CCD" w14:paraId="0134287A" w14:textId="77777777" w:rsidTr="003758C3">
        <w:tc>
          <w:tcPr>
            <w:tcW w:w="3284" w:type="dxa"/>
          </w:tcPr>
          <w:p w14:paraId="7E443E3F" w14:textId="77777777" w:rsidR="00AE6CCD" w:rsidRDefault="00AE6CCD" w:rsidP="00AE6CCD">
            <w:pPr>
              <w:jc w:val="left"/>
            </w:pPr>
            <w:r w:rsidRPr="00AE6CCD">
              <w:t>Cardiac disorders</w:t>
            </w:r>
          </w:p>
        </w:tc>
        <w:tc>
          <w:tcPr>
            <w:tcW w:w="3285" w:type="dxa"/>
          </w:tcPr>
          <w:p w14:paraId="1B14EABA" w14:textId="77777777" w:rsidR="00CE2B95" w:rsidRPr="00627815" w:rsidRDefault="00CE2B95" w:rsidP="00CE2B95">
            <w:pPr>
              <w:spacing w:after="0"/>
              <w:jc w:val="left"/>
              <w:rPr>
                <w:b/>
              </w:rPr>
            </w:pPr>
            <w:r w:rsidRPr="00627815">
              <w:rPr>
                <w:b/>
              </w:rPr>
              <w:t>Very common</w:t>
            </w:r>
          </w:p>
          <w:p w14:paraId="0C7DB485" w14:textId="77777777" w:rsidR="00AE6CCD" w:rsidRDefault="00CE2B95" w:rsidP="00CE2B95">
            <w:pPr>
              <w:spacing w:after="0"/>
              <w:jc w:val="left"/>
            </w:pPr>
            <w:r w:rsidRPr="00CE2B95">
              <w:t>Palpitations</w:t>
            </w:r>
          </w:p>
          <w:p w14:paraId="4D8308B7" w14:textId="77777777" w:rsidR="00CE2B95" w:rsidRPr="00627815" w:rsidRDefault="00CE2B95" w:rsidP="00CE2B95">
            <w:pPr>
              <w:spacing w:after="0"/>
              <w:jc w:val="left"/>
              <w:rPr>
                <w:b/>
              </w:rPr>
            </w:pPr>
            <w:r w:rsidRPr="00627815">
              <w:rPr>
                <w:b/>
              </w:rPr>
              <w:t>Common</w:t>
            </w:r>
          </w:p>
          <w:p w14:paraId="36F22960" w14:textId="77777777" w:rsidR="00CE2B95" w:rsidRDefault="00CE2B95" w:rsidP="00CE2B95">
            <w:pPr>
              <w:jc w:val="left"/>
              <w:rPr>
                <w:highlight w:val="yellow"/>
              </w:rPr>
            </w:pPr>
            <w:r w:rsidRPr="00CE2B95">
              <w:t>Tachycardia</w:t>
            </w:r>
          </w:p>
        </w:tc>
        <w:tc>
          <w:tcPr>
            <w:tcW w:w="3285" w:type="dxa"/>
          </w:tcPr>
          <w:p w14:paraId="032A1A00" w14:textId="77777777" w:rsidR="00AE6CCD" w:rsidRDefault="00AE6CCD" w:rsidP="00AE6CCD">
            <w:pPr>
              <w:jc w:val="left"/>
              <w:rPr>
                <w:highlight w:val="yellow"/>
              </w:rPr>
            </w:pPr>
          </w:p>
        </w:tc>
      </w:tr>
      <w:tr w:rsidR="00AE6CCD" w14:paraId="253BD21A" w14:textId="77777777" w:rsidTr="003758C3">
        <w:tc>
          <w:tcPr>
            <w:tcW w:w="3284" w:type="dxa"/>
          </w:tcPr>
          <w:p w14:paraId="490185D2" w14:textId="77777777" w:rsidR="00AE6CCD" w:rsidRDefault="00AE6CCD" w:rsidP="00AE6CCD">
            <w:pPr>
              <w:jc w:val="left"/>
            </w:pPr>
            <w:r w:rsidRPr="00AE6CCD">
              <w:t>Vascular disorders</w:t>
            </w:r>
          </w:p>
        </w:tc>
        <w:tc>
          <w:tcPr>
            <w:tcW w:w="3285" w:type="dxa"/>
          </w:tcPr>
          <w:p w14:paraId="5A77AE49" w14:textId="77777777" w:rsidR="00CE2B95" w:rsidRPr="00627815" w:rsidRDefault="00CE2B95" w:rsidP="00CE2B95">
            <w:pPr>
              <w:spacing w:after="0"/>
              <w:jc w:val="left"/>
              <w:rPr>
                <w:b/>
              </w:rPr>
            </w:pPr>
            <w:r w:rsidRPr="00627815">
              <w:rPr>
                <w:b/>
              </w:rPr>
              <w:t>Very common</w:t>
            </w:r>
          </w:p>
          <w:p w14:paraId="3C660DEC" w14:textId="77777777" w:rsidR="00AE6CCD" w:rsidRDefault="00CE2B95" w:rsidP="00AE6CCD">
            <w:pPr>
              <w:jc w:val="left"/>
              <w:rPr>
                <w:highlight w:val="yellow"/>
              </w:rPr>
            </w:pPr>
            <w:r w:rsidRPr="00CE2B95">
              <w:t>Hypertension</w:t>
            </w:r>
            <w:r w:rsidRPr="00CE2B95">
              <w:rPr>
                <w:highlight w:val="yellow"/>
              </w:rPr>
              <w:t xml:space="preserve"> </w:t>
            </w:r>
          </w:p>
        </w:tc>
        <w:tc>
          <w:tcPr>
            <w:tcW w:w="3285" w:type="dxa"/>
          </w:tcPr>
          <w:p w14:paraId="3230E3B0" w14:textId="77777777" w:rsidR="00CE2B95" w:rsidRPr="00627815" w:rsidRDefault="00CE2B95" w:rsidP="00CE2B95">
            <w:pPr>
              <w:spacing w:after="0"/>
              <w:jc w:val="left"/>
              <w:rPr>
                <w:b/>
              </w:rPr>
            </w:pPr>
            <w:r w:rsidRPr="00627815">
              <w:rPr>
                <w:b/>
              </w:rPr>
              <w:t>Common</w:t>
            </w:r>
          </w:p>
          <w:p w14:paraId="189B9F52" w14:textId="77777777" w:rsidR="00AE6CCD" w:rsidRDefault="00CE2B95" w:rsidP="00CE2B95">
            <w:pPr>
              <w:jc w:val="left"/>
              <w:rPr>
                <w:highlight w:val="yellow"/>
              </w:rPr>
            </w:pPr>
            <w:r w:rsidRPr="00CE2B95">
              <w:t>Hypertension</w:t>
            </w:r>
          </w:p>
        </w:tc>
      </w:tr>
      <w:tr w:rsidR="00AE6CCD" w14:paraId="79A920EC" w14:textId="77777777" w:rsidTr="003758C3">
        <w:tc>
          <w:tcPr>
            <w:tcW w:w="3284" w:type="dxa"/>
          </w:tcPr>
          <w:p w14:paraId="02F7E399" w14:textId="77777777" w:rsidR="00AE6CCD" w:rsidRPr="00AE6CCD" w:rsidRDefault="00AE6CCD" w:rsidP="00AE6CCD">
            <w:pPr>
              <w:jc w:val="left"/>
            </w:pPr>
            <w:r>
              <w:t>Respiratory, thoracic and mediastinal disorders</w:t>
            </w:r>
          </w:p>
        </w:tc>
        <w:tc>
          <w:tcPr>
            <w:tcW w:w="3285" w:type="dxa"/>
          </w:tcPr>
          <w:p w14:paraId="7AE3283D" w14:textId="77777777" w:rsidR="00CE2B95" w:rsidRPr="00627815" w:rsidRDefault="00CE2B95" w:rsidP="00CE2B95">
            <w:pPr>
              <w:spacing w:after="0"/>
              <w:jc w:val="left"/>
              <w:rPr>
                <w:b/>
              </w:rPr>
            </w:pPr>
            <w:r w:rsidRPr="00627815">
              <w:rPr>
                <w:b/>
              </w:rPr>
              <w:t>Very common</w:t>
            </w:r>
          </w:p>
          <w:p w14:paraId="778BAD30" w14:textId="77777777" w:rsidR="00CE2B95" w:rsidRDefault="00CE2B95" w:rsidP="00CE2B95">
            <w:pPr>
              <w:spacing w:after="0"/>
              <w:jc w:val="left"/>
            </w:pPr>
            <w:proofErr w:type="spellStart"/>
            <w:r>
              <w:t>Dyspnea</w:t>
            </w:r>
            <w:proofErr w:type="spellEnd"/>
            <w:r>
              <w:t>, cough,</w:t>
            </w:r>
          </w:p>
          <w:p w14:paraId="447FF31D" w14:textId="77777777" w:rsidR="00CE2B95" w:rsidRDefault="00CE2B95" w:rsidP="00CE2B95">
            <w:pPr>
              <w:spacing w:after="0"/>
              <w:jc w:val="left"/>
              <w:rPr>
                <w:b/>
              </w:rPr>
            </w:pPr>
            <w:r>
              <w:t>nasopharyngitis</w:t>
            </w:r>
            <w:r w:rsidRPr="00627815">
              <w:rPr>
                <w:b/>
              </w:rPr>
              <w:t xml:space="preserve"> </w:t>
            </w:r>
          </w:p>
          <w:p w14:paraId="7B9E6FEE" w14:textId="77777777" w:rsidR="00CE2B95" w:rsidRPr="00627815" w:rsidRDefault="00CE2B95" w:rsidP="00CE2B95">
            <w:pPr>
              <w:spacing w:after="0"/>
              <w:jc w:val="left"/>
              <w:rPr>
                <w:b/>
              </w:rPr>
            </w:pPr>
            <w:r w:rsidRPr="00627815">
              <w:rPr>
                <w:b/>
              </w:rPr>
              <w:t>Common</w:t>
            </w:r>
          </w:p>
          <w:p w14:paraId="0838F9D8" w14:textId="77777777" w:rsidR="00AE6CCD" w:rsidRDefault="00CE2B95" w:rsidP="00CE2B95">
            <w:pPr>
              <w:jc w:val="left"/>
              <w:rPr>
                <w:highlight w:val="yellow"/>
              </w:rPr>
            </w:pPr>
            <w:r w:rsidRPr="00CE2B95">
              <w:t>Epistaxis</w:t>
            </w:r>
          </w:p>
        </w:tc>
        <w:tc>
          <w:tcPr>
            <w:tcW w:w="3285" w:type="dxa"/>
          </w:tcPr>
          <w:p w14:paraId="4912C9A7" w14:textId="1F52EE6F" w:rsidR="004326F6" w:rsidRPr="00627815" w:rsidRDefault="004326F6" w:rsidP="004326F6">
            <w:pPr>
              <w:spacing w:after="0"/>
              <w:jc w:val="left"/>
              <w:rPr>
                <w:b/>
              </w:rPr>
            </w:pPr>
            <w:r>
              <w:rPr>
                <w:b/>
              </w:rPr>
              <w:t>C</w:t>
            </w:r>
            <w:r w:rsidRPr="00627815">
              <w:rPr>
                <w:b/>
              </w:rPr>
              <w:t>ommon</w:t>
            </w:r>
          </w:p>
          <w:p w14:paraId="0CD59B07" w14:textId="201AE475" w:rsidR="00AE6CCD" w:rsidRDefault="004326F6" w:rsidP="004326F6">
            <w:pPr>
              <w:spacing w:after="0"/>
              <w:jc w:val="left"/>
              <w:rPr>
                <w:highlight w:val="yellow"/>
              </w:rPr>
            </w:pPr>
            <w:proofErr w:type="spellStart"/>
            <w:r>
              <w:t>Dyspnea</w:t>
            </w:r>
            <w:proofErr w:type="spellEnd"/>
          </w:p>
        </w:tc>
      </w:tr>
      <w:tr w:rsidR="00AE6CCD" w14:paraId="2A077AE0" w14:textId="77777777" w:rsidTr="003758C3">
        <w:tc>
          <w:tcPr>
            <w:tcW w:w="3284" w:type="dxa"/>
          </w:tcPr>
          <w:p w14:paraId="68610594" w14:textId="77777777" w:rsidR="00AE6CCD" w:rsidRDefault="00AE6CCD" w:rsidP="00AE6CCD">
            <w:pPr>
              <w:jc w:val="left"/>
            </w:pPr>
            <w:r w:rsidRPr="00AE6CCD">
              <w:t>Gastrointestinal disorders</w:t>
            </w:r>
          </w:p>
        </w:tc>
        <w:tc>
          <w:tcPr>
            <w:tcW w:w="3285" w:type="dxa"/>
          </w:tcPr>
          <w:p w14:paraId="6D1FE4BE" w14:textId="77777777" w:rsidR="00CE2B95" w:rsidRPr="00627815" w:rsidRDefault="00CE2B95" w:rsidP="00CE2B95">
            <w:pPr>
              <w:spacing w:after="0"/>
              <w:jc w:val="left"/>
              <w:rPr>
                <w:b/>
              </w:rPr>
            </w:pPr>
            <w:r w:rsidRPr="00627815">
              <w:rPr>
                <w:b/>
              </w:rPr>
              <w:t>Very common</w:t>
            </w:r>
          </w:p>
          <w:p w14:paraId="7B972F07" w14:textId="77777777" w:rsidR="00CE2B95" w:rsidRDefault="00CE2B95" w:rsidP="00CE2B95">
            <w:pPr>
              <w:spacing w:after="0"/>
              <w:jc w:val="left"/>
            </w:pPr>
            <w:r>
              <w:t>Nausea, constipation, vomiting,</w:t>
            </w:r>
          </w:p>
          <w:p w14:paraId="71F40FDC" w14:textId="77777777" w:rsidR="00CE2B95" w:rsidRDefault="00CE2B95" w:rsidP="00CE2B95">
            <w:pPr>
              <w:spacing w:after="0"/>
              <w:jc w:val="left"/>
            </w:pPr>
            <w:r>
              <w:t>abdominal pain, diarrhoea,</w:t>
            </w:r>
          </w:p>
          <w:p w14:paraId="3B114F8D" w14:textId="77777777" w:rsidR="00CE2B95" w:rsidRDefault="00CE2B95" w:rsidP="00CE2B95">
            <w:pPr>
              <w:spacing w:after="0"/>
              <w:jc w:val="left"/>
              <w:rPr>
                <w:b/>
              </w:rPr>
            </w:pPr>
            <w:r>
              <w:lastRenderedPageBreak/>
              <w:t>dyspepsia</w:t>
            </w:r>
            <w:r w:rsidRPr="00627815">
              <w:rPr>
                <w:b/>
              </w:rPr>
              <w:t xml:space="preserve"> </w:t>
            </w:r>
          </w:p>
          <w:p w14:paraId="2225ABF7" w14:textId="77777777" w:rsidR="00CE2B95" w:rsidRPr="00627815" w:rsidRDefault="00CE2B95" w:rsidP="00CE2B95">
            <w:pPr>
              <w:spacing w:after="0"/>
              <w:jc w:val="left"/>
              <w:rPr>
                <w:b/>
              </w:rPr>
            </w:pPr>
            <w:r w:rsidRPr="00627815">
              <w:rPr>
                <w:b/>
              </w:rPr>
              <w:t>Common</w:t>
            </w:r>
          </w:p>
          <w:p w14:paraId="1A42F11C" w14:textId="1F8C849E" w:rsidR="00AE6CCD" w:rsidRDefault="00CE2B95" w:rsidP="00D50A2A">
            <w:pPr>
              <w:jc w:val="left"/>
              <w:rPr>
                <w:highlight w:val="yellow"/>
              </w:rPr>
            </w:pPr>
            <w:r w:rsidRPr="00CE2B95">
              <w:t>Dry mouth,</w:t>
            </w:r>
            <w:r w:rsidR="001B7AE5">
              <w:t xml:space="preserve"> </w:t>
            </w:r>
            <w:r w:rsidR="004326F6">
              <w:t xml:space="preserve">abdominal distension, mucosal inflammation (including </w:t>
            </w:r>
            <w:r w:rsidRPr="00CE2B95">
              <w:t>mucositis</w:t>
            </w:r>
            <w:r w:rsidR="004326F6">
              <w:t>)</w:t>
            </w:r>
            <w:r w:rsidRPr="00CE2B95">
              <w:t>, stomatitis</w:t>
            </w:r>
          </w:p>
        </w:tc>
        <w:tc>
          <w:tcPr>
            <w:tcW w:w="3285" w:type="dxa"/>
          </w:tcPr>
          <w:p w14:paraId="15287280" w14:textId="77777777" w:rsidR="00CE2B95" w:rsidRPr="00627815" w:rsidRDefault="00CE2B95" w:rsidP="00CE2B95">
            <w:pPr>
              <w:spacing w:after="0"/>
              <w:jc w:val="left"/>
              <w:rPr>
                <w:b/>
              </w:rPr>
            </w:pPr>
            <w:r w:rsidRPr="00627815">
              <w:rPr>
                <w:b/>
              </w:rPr>
              <w:lastRenderedPageBreak/>
              <w:t>Common</w:t>
            </w:r>
          </w:p>
          <w:p w14:paraId="4BBD5C3C" w14:textId="77777777" w:rsidR="00CE2B95" w:rsidRDefault="00CE2B95" w:rsidP="00CE2B95">
            <w:pPr>
              <w:spacing w:after="0"/>
              <w:jc w:val="left"/>
            </w:pPr>
            <w:r>
              <w:t>Nausea, vomiting, abdominal</w:t>
            </w:r>
          </w:p>
          <w:p w14:paraId="3A884B6E" w14:textId="77777777" w:rsidR="00CE2B95" w:rsidRDefault="00CE2B95" w:rsidP="00CE2B95">
            <w:pPr>
              <w:spacing w:after="0"/>
              <w:jc w:val="left"/>
              <w:rPr>
                <w:b/>
              </w:rPr>
            </w:pPr>
            <w:r>
              <w:t>pain</w:t>
            </w:r>
            <w:r w:rsidRPr="00627815">
              <w:rPr>
                <w:b/>
              </w:rPr>
              <w:t xml:space="preserve"> </w:t>
            </w:r>
          </w:p>
          <w:p w14:paraId="19C28870" w14:textId="77777777" w:rsidR="00CE2B95" w:rsidRPr="00627815" w:rsidRDefault="00CE2B95" w:rsidP="00CE2B95">
            <w:pPr>
              <w:spacing w:after="0"/>
              <w:jc w:val="left"/>
              <w:rPr>
                <w:b/>
              </w:rPr>
            </w:pPr>
            <w:r w:rsidRPr="00627815">
              <w:rPr>
                <w:b/>
              </w:rPr>
              <w:lastRenderedPageBreak/>
              <w:t xml:space="preserve">Uncommon </w:t>
            </w:r>
          </w:p>
          <w:p w14:paraId="56F9037B" w14:textId="384EEF14" w:rsidR="00AE6CCD" w:rsidRDefault="00CE2B95" w:rsidP="00D50A2A">
            <w:pPr>
              <w:jc w:val="left"/>
              <w:rPr>
                <w:highlight w:val="yellow"/>
              </w:rPr>
            </w:pPr>
            <w:r>
              <w:t xml:space="preserve">Diarrhoea, constipation, </w:t>
            </w:r>
            <w:r w:rsidR="004326F6">
              <w:t xml:space="preserve">mucosal inflammation (including </w:t>
            </w:r>
            <w:r>
              <w:t>mucositis</w:t>
            </w:r>
            <w:r w:rsidR="004326F6">
              <w:t>)</w:t>
            </w:r>
            <w:r>
              <w:t>, stomatitis, dry mouth</w:t>
            </w:r>
          </w:p>
        </w:tc>
      </w:tr>
      <w:tr w:rsidR="00AE6CCD" w14:paraId="2FF4D51D" w14:textId="77777777" w:rsidTr="003758C3">
        <w:tc>
          <w:tcPr>
            <w:tcW w:w="3284" w:type="dxa"/>
          </w:tcPr>
          <w:p w14:paraId="7C019A25" w14:textId="77777777" w:rsidR="00AE6CCD" w:rsidRPr="00AE6CCD" w:rsidRDefault="00AE6CCD" w:rsidP="00AE6CCD">
            <w:pPr>
              <w:jc w:val="left"/>
            </w:pPr>
            <w:r>
              <w:lastRenderedPageBreak/>
              <w:t>Skin and subcutaneous tissue disorders</w:t>
            </w:r>
          </w:p>
        </w:tc>
        <w:tc>
          <w:tcPr>
            <w:tcW w:w="3285" w:type="dxa"/>
          </w:tcPr>
          <w:p w14:paraId="6483752D" w14:textId="77777777" w:rsidR="00375CEE" w:rsidRPr="00627815" w:rsidRDefault="00375CEE" w:rsidP="00375CEE">
            <w:pPr>
              <w:spacing w:after="0"/>
              <w:jc w:val="left"/>
              <w:rPr>
                <w:b/>
              </w:rPr>
            </w:pPr>
            <w:r w:rsidRPr="00627815">
              <w:rPr>
                <w:b/>
              </w:rPr>
              <w:t>Common</w:t>
            </w:r>
          </w:p>
          <w:p w14:paraId="22332361" w14:textId="54B08710" w:rsidR="00AE6CCD" w:rsidRDefault="00D50A2A" w:rsidP="00D50A2A">
            <w:pPr>
              <w:jc w:val="left"/>
              <w:rPr>
                <w:highlight w:val="yellow"/>
              </w:rPr>
            </w:pPr>
            <w:r>
              <w:t>R</w:t>
            </w:r>
            <w:r w:rsidR="00375CEE" w:rsidRPr="00375CEE">
              <w:t>ash</w:t>
            </w:r>
          </w:p>
        </w:tc>
        <w:tc>
          <w:tcPr>
            <w:tcW w:w="3285" w:type="dxa"/>
          </w:tcPr>
          <w:p w14:paraId="1EE10686" w14:textId="77777777" w:rsidR="00375CEE" w:rsidRPr="00627815" w:rsidRDefault="00375CEE" w:rsidP="00375CEE">
            <w:pPr>
              <w:spacing w:after="0"/>
              <w:jc w:val="left"/>
              <w:rPr>
                <w:b/>
              </w:rPr>
            </w:pPr>
            <w:r w:rsidRPr="00627815">
              <w:rPr>
                <w:b/>
              </w:rPr>
              <w:t xml:space="preserve">Uncommon </w:t>
            </w:r>
          </w:p>
          <w:p w14:paraId="39C404B1" w14:textId="77DF82F9" w:rsidR="00AE6CCD" w:rsidRDefault="00D50A2A" w:rsidP="00375CEE">
            <w:pPr>
              <w:jc w:val="left"/>
              <w:rPr>
                <w:highlight w:val="yellow"/>
              </w:rPr>
            </w:pPr>
            <w:r>
              <w:t>R</w:t>
            </w:r>
            <w:r w:rsidR="00375CEE" w:rsidRPr="00375CEE">
              <w:t>ash</w:t>
            </w:r>
          </w:p>
        </w:tc>
      </w:tr>
      <w:tr w:rsidR="00AE6CCD" w14:paraId="033E3A84" w14:textId="77777777" w:rsidTr="003758C3">
        <w:tc>
          <w:tcPr>
            <w:tcW w:w="3284" w:type="dxa"/>
          </w:tcPr>
          <w:p w14:paraId="5EA09911" w14:textId="77777777" w:rsidR="00AE6CCD" w:rsidRPr="00AE6CCD" w:rsidRDefault="00AE6CCD" w:rsidP="00AE6CCD">
            <w:pPr>
              <w:jc w:val="left"/>
            </w:pPr>
            <w:r>
              <w:t>Musculoskeletal and connective tissue disorders</w:t>
            </w:r>
          </w:p>
        </w:tc>
        <w:tc>
          <w:tcPr>
            <w:tcW w:w="3285" w:type="dxa"/>
          </w:tcPr>
          <w:p w14:paraId="521D11B8" w14:textId="77777777" w:rsidR="00375CEE" w:rsidRPr="00627815" w:rsidRDefault="00375CEE" w:rsidP="00375CEE">
            <w:pPr>
              <w:spacing w:after="0"/>
              <w:jc w:val="left"/>
              <w:rPr>
                <w:b/>
              </w:rPr>
            </w:pPr>
            <w:r w:rsidRPr="00627815">
              <w:rPr>
                <w:b/>
              </w:rPr>
              <w:t>Very common</w:t>
            </w:r>
          </w:p>
          <w:p w14:paraId="403D92F1" w14:textId="77777777" w:rsidR="00073879" w:rsidRDefault="00073879" w:rsidP="00375CEE">
            <w:pPr>
              <w:spacing w:after="0"/>
              <w:jc w:val="left"/>
            </w:pPr>
            <w:r w:rsidRPr="00073879">
              <w:t xml:space="preserve">Back pain, arthralgia </w:t>
            </w:r>
          </w:p>
          <w:p w14:paraId="153AEBE3" w14:textId="77777777" w:rsidR="00375CEE" w:rsidRPr="00627815" w:rsidRDefault="00375CEE" w:rsidP="00375CEE">
            <w:pPr>
              <w:spacing w:after="0"/>
              <w:jc w:val="left"/>
              <w:rPr>
                <w:b/>
              </w:rPr>
            </w:pPr>
            <w:r w:rsidRPr="00627815">
              <w:rPr>
                <w:b/>
              </w:rPr>
              <w:t>Common</w:t>
            </w:r>
          </w:p>
          <w:p w14:paraId="1078301F" w14:textId="77777777" w:rsidR="00AE6CCD" w:rsidRDefault="00073879" w:rsidP="00375CEE">
            <w:pPr>
              <w:jc w:val="left"/>
              <w:rPr>
                <w:highlight w:val="yellow"/>
              </w:rPr>
            </w:pPr>
            <w:r w:rsidRPr="00073879">
              <w:t>Myalgia</w:t>
            </w:r>
          </w:p>
        </w:tc>
        <w:tc>
          <w:tcPr>
            <w:tcW w:w="3285" w:type="dxa"/>
          </w:tcPr>
          <w:p w14:paraId="6DDAC1C4" w14:textId="77777777" w:rsidR="00073879" w:rsidRPr="00627815" w:rsidRDefault="00073879" w:rsidP="00073879">
            <w:pPr>
              <w:spacing w:after="0"/>
              <w:jc w:val="left"/>
              <w:rPr>
                <w:b/>
              </w:rPr>
            </w:pPr>
            <w:r w:rsidRPr="00627815">
              <w:rPr>
                <w:b/>
              </w:rPr>
              <w:t xml:space="preserve">Uncommon </w:t>
            </w:r>
          </w:p>
          <w:p w14:paraId="7C48785B" w14:textId="77777777" w:rsidR="00AE6CCD" w:rsidRDefault="00073879" w:rsidP="00073879">
            <w:pPr>
              <w:jc w:val="left"/>
              <w:rPr>
                <w:highlight w:val="yellow"/>
              </w:rPr>
            </w:pPr>
            <w:r w:rsidRPr="00073879">
              <w:t>Back pain, arthralgia, myalgia</w:t>
            </w:r>
          </w:p>
        </w:tc>
      </w:tr>
      <w:tr w:rsidR="00AE6CCD" w14:paraId="02E74273" w14:textId="77777777" w:rsidTr="003758C3">
        <w:tc>
          <w:tcPr>
            <w:tcW w:w="3284" w:type="dxa"/>
          </w:tcPr>
          <w:p w14:paraId="05578C62" w14:textId="77777777" w:rsidR="00AE6CCD" w:rsidRPr="00AE6CCD" w:rsidRDefault="00AE6CCD" w:rsidP="00AE6CCD">
            <w:pPr>
              <w:jc w:val="left"/>
            </w:pPr>
            <w:r>
              <w:t>General disorders and administration site conditions</w:t>
            </w:r>
          </w:p>
        </w:tc>
        <w:tc>
          <w:tcPr>
            <w:tcW w:w="3285" w:type="dxa"/>
          </w:tcPr>
          <w:p w14:paraId="0AB14873" w14:textId="77777777" w:rsidR="00073879" w:rsidRPr="00627815" w:rsidRDefault="00073879" w:rsidP="00073879">
            <w:pPr>
              <w:spacing w:after="0"/>
              <w:jc w:val="left"/>
              <w:rPr>
                <w:b/>
              </w:rPr>
            </w:pPr>
            <w:r w:rsidRPr="00627815">
              <w:rPr>
                <w:b/>
              </w:rPr>
              <w:t>Very common</w:t>
            </w:r>
          </w:p>
          <w:p w14:paraId="4E351AC4" w14:textId="77777777" w:rsidR="00073879" w:rsidRDefault="00073879" w:rsidP="00073879">
            <w:pPr>
              <w:spacing w:after="0"/>
              <w:jc w:val="left"/>
            </w:pPr>
            <w:r w:rsidRPr="00073879">
              <w:t xml:space="preserve">Fatigue, asthenia </w:t>
            </w:r>
          </w:p>
          <w:p w14:paraId="6650A839" w14:textId="77777777" w:rsidR="00073879" w:rsidRPr="00627815" w:rsidRDefault="00073879" w:rsidP="00073879">
            <w:pPr>
              <w:spacing w:after="0"/>
              <w:jc w:val="left"/>
              <w:rPr>
                <w:b/>
              </w:rPr>
            </w:pPr>
            <w:r w:rsidRPr="00627815">
              <w:rPr>
                <w:b/>
              </w:rPr>
              <w:t>Common</w:t>
            </w:r>
          </w:p>
          <w:p w14:paraId="3F526F8B" w14:textId="77777777" w:rsidR="00AE6CCD" w:rsidRDefault="00073879" w:rsidP="00073879">
            <w:pPr>
              <w:jc w:val="left"/>
              <w:rPr>
                <w:highlight w:val="yellow"/>
              </w:rPr>
            </w:pPr>
            <w:r w:rsidRPr="00073879">
              <w:t>Oedema peripheral</w:t>
            </w:r>
          </w:p>
        </w:tc>
        <w:tc>
          <w:tcPr>
            <w:tcW w:w="3285" w:type="dxa"/>
          </w:tcPr>
          <w:p w14:paraId="588E035B" w14:textId="77777777" w:rsidR="00073879" w:rsidRPr="00627815" w:rsidRDefault="00073879" w:rsidP="00073879">
            <w:pPr>
              <w:spacing w:after="0"/>
              <w:jc w:val="left"/>
              <w:rPr>
                <w:b/>
              </w:rPr>
            </w:pPr>
            <w:r w:rsidRPr="00627815">
              <w:rPr>
                <w:b/>
              </w:rPr>
              <w:t>Common</w:t>
            </w:r>
          </w:p>
          <w:p w14:paraId="5B23AE6C" w14:textId="77777777" w:rsidR="00AE6CCD" w:rsidRDefault="00073879" w:rsidP="00073879">
            <w:pPr>
              <w:jc w:val="left"/>
              <w:rPr>
                <w:highlight w:val="yellow"/>
              </w:rPr>
            </w:pPr>
            <w:r w:rsidRPr="00073879">
              <w:t>Fatigue, asthenia</w:t>
            </w:r>
          </w:p>
        </w:tc>
      </w:tr>
      <w:tr w:rsidR="00AE6CCD" w14:paraId="3B1D37C4" w14:textId="77777777" w:rsidTr="003758C3">
        <w:tc>
          <w:tcPr>
            <w:tcW w:w="3284" w:type="dxa"/>
          </w:tcPr>
          <w:p w14:paraId="7CECE7C0" w14:textId="77777777" w:rsidR="00AE6CCD" w:rsidRDefault="00AE6CCD" w:rsidP="00AE6CCD">
            <w:pPr>
              <w:jc w:val="left"/>
            </w:pPr>
            <w:r w:rsidRPr="00AE6CCD">
              <w:t>Investigations</w:t>
            </w:r>
          </w:p>
        </w:tc>
        <w:tc>
          <w:tcPr>
            <w:tcW w:w="3285" w:type="dxa"/>
          </w:tcPr>
          <w:p w14:paraId="2783B6E0" w14:textId="77777777" w:rsidR="00073879" w:rsidRPr="00627815" w:rsidRDefault="00073879" w:rsidP="00073879">
            <w:pPr>
              <w:spacing w:after="0"/>
              <w:jc w:val="left"/>
              <w:rPr>
                <w:b/>
              </w:rPr>
            </w:pPr>
            <w:r w:rsidRPr="00627815">
              <w:rPr>
                <w:b/>
              </w:rPr>
              <w:t>Common</w:t>
            </w:r>
          </w:p>
          <w:p w14:paraId="030B7F2D" w14:textId="77777777" w:rsidR="00AE6CCD" w:rsidRDefault="00073879" w:rsidP="00073879">
            <w:pPr>
              <w:jc w:val="left"/>
              <w:rPr>
                <w:highlight w:val="yellow"/>
              </w:rPr>
            </w:pPr>
            <w:r>
              <w:t>Gamma-glutamyl transferase increased, AST increased, blood creatinine increased, ALT increased, blood alkaline phosphatase increased, weight decreased</w:t>
            </w:r>
          </w:p>
        </w:tc>
        <w:tc>
          <w:tcPr>
            <w:tcW w:w="3285" w:type="dxa"/>
          </w:tcPr>
          <w:p w14:paraId="6B1AA5FB" w14:textId="77777777" w:rsidR="00B216E8" w:rsidRDefault="00B216E8" w:rsidP="00B216E8">
            <w:pPr>
              <w:spacing w:after="0"/>
              <w:jc w:val="left"/>
              <w:rPr>
                <w:b/>
              </w:rPr>
            </w:pPr>
            <w:r w:rsidRPr="00627815">
              <w:rPr>
                <w:b/>
              </w:rPr>
              <w:t>Uncommon</w:t>
            </w:r>
          </w:p>
          <w:p w14:paraId="785E76B5" w14:textId="77777777" w:rsidR="00AE6CCD" w:rsidRDefault="00B216E8" w:rsidP="00B216E8">
            <w:pPr>
              <w:spacing w:after="0"/>
              <w:jc w:val="left"/>
            </w:pPr>
            <w:r w:rsidRPr="00B216E8">
              <w:t>AST increased, ALT increased,</w:t>
            </w:r>
            <w:r>
              <w:t xml:space="preserve"> blood alkaline phosphatase increased</w:t>
            </w:r>
          </w:p>
          <w:p w14:paraId="5AFCFD81" w14:textId="77777777" w:rsidR="00B216E8" w:rsidRPr="00627815" w:rsidRDefault="00B216E8" w:rsidP="00B216E8">
            <w:pPr>
              <w:spacing w:after="0"/>
              <w:jc w:val="left"/>
              <w:rPr>
                <w:b/>
              </w:rPr>
            </w:pPr>
            <w:r w:rsidRPr="00627815">
              <w:rPr>
                <w:b/>
              </w:rPr>
              <w:t>Common</w:t>
            </w:r>
          </w:p>
          <w:p w14:paraId="36963287" w14:textId="77777777" w:rsidR="00B216E8" w:rsidRDefault="00B216E8" w:rsidP="00B216E8">
            <w:pPr>
              <w:jc w:val="left"/>
              <w:rPr>
                <w:highlight w:val="yellow"/>
              </w:rPr>
            </w:pPr>
            <w:r>
              <w:t>Gamma-glutamyl transferase increased</w:t>
            </w:r>
          </w:p>
        </w:tc>
      </w:tr>
    </w:tbl>
    <w:p w14:paraId="6AF1220F" w14:textId="77777777" w:rsidR="00B57190" w:rsidRDefault="00BB6EDB" w:rsidP="008F26BE">
      <w:pPr>
        <w:spacing w:after="0"/>
      </w:pPr>
      <w:r w:rsidRPr="00BB6EDB">
        <w:t>* Frequencies are based on percent of patients using all-causality adverse events.</w:t>
      </w:r>
    </w:p>
    <w:p w14:paraId="69C77EC6" w14:textId="45AA1C3A" w:rsidR="008F26BE" w:rsidRPr="008F26BE" w:rsidRDefault="008F26BE" w:rsidP="00D011F6">
      <w:pPr>
        <w:shd w:val="clear" w:color="auto" w:fill="FFFFFF"/>
        <w:rPr>
          <w:rFonts w:cs="Arial"/>
        </w:rPr>
      </w:pPr>
    </w:p>
    <w:p w14:paraId="3FB47AB5" w14:textId="77777777" w:rsidR="00B216E8" w:rsidRDefault="00B216E8" w:rsidP="00B216E8">
      <w:pPr>
        <w:pStyle w:val="Heading2"/>
      </w:pPr>
      <w:r w:rsidRPr="00B216E8">
        <w:t>Description of selected adverse reactions</w:t>
      </w:r>
    </w:p>
    <w:p w14:paraId="09D442E8" w14:textId="77777777" w:rsidR="00B216E8" w:rsidRDefault="00B216E8" w:rsidP="00B216E8">
      <w:r>
        <w:t>Haematologic adverse reactions (thrombocytopenia, anaemia, neutropenia)</w:t>
      </w:r>
      <w:r w:rsidR="00135719">
        <w:t>,</w:t>
      </w:r>
      <w:r>
        <w:t xml:space="preserve"> including clinical diagnoses and/or laboratory findings generally occurred early during </w:t>
      </w:r>
      <w:r w:rsidR="00985B60">
        <w:t>ZEJULA</w:t>
      </w:r>
      <w:r>
        <w:t xml:space="preserve"> treatment with the incidence decreasing over time.</w:t>
      </w:r>
    </w:p>
    <w:p w14:paraId="2F1766E5" w14:textId="77777777" w:rsidR="004B10E2" w:rsidRPr="00561A49" w:rsidRDefault="004B10E2" w:rsidP="00E5496F">
      <w:pPr>
        <w:pStyle w:val="Heading3"/>
      </w:pPr>
      <w:r w:rsidRPr="00561A49">
        <w:t>Thrombocytopenia</w:t>
      </w:r>
    </w:p>
    <w:p w14:paraId="2FD323E7" w14:textId="77777777" w:rsidR="004B10E2" w:rsidRDefault="004B10E2" w:rsidP="001A018C">
      <w:r>
        <w:t>Approximately 60</w:t>
      </w:r>
      <w:r w:rsidR="00534F76">
        <w:t>%</w:t>
      </w:r>
      <w:r>
        <w:t xml:space="preserve"> of patients receiving </w:t>
      </w:r>
      <w:r w:rsidR="00723C6C">
        <w:t>ZEJULA</w:t>
      </w:r>
      <w:r>
        <w:t xml:space="preserve"> experienced thrombocytopenia of any grade, and 34</w:t>
      </w:r>
      <w:r w:rsidR="00534F76">
        <w:t>%</w:t>
      </w:r>
      <w:r>
        <w:t xml:space="preserve"> of patients experienced Grade 3/4 thrombocytopenia. In patients with baseline platelet count less than 180 × 10</w:t>
      </w:r>
      <w:r w:rsidRPr="000B394B">
        <w:rPr>
          <w:vertAlign w:val="superscript"/>
        </w:rPr>
        <w:t>9</w:t>
      </w:r>
      <w:r>
        <w:t>/L, thrombocytopenia of any grade and Grade 3/4 occurred in 76</w:t>
      </w:r>
      <w:r w:rsidR="00534F76">
        <w:t>%</w:t>
      </w:r>
      <w:r>
        <w:t xml:space="preserve"> and 45</w:t>
      </w:r>
      <w:r w:rsidR="00534F76">
        <w:t>%</w:t>
      </w:r>
      <w:r>
        <w:t xml:space="preserve"> of the patients, respectively. The median time to onset of thrombocytopenia regardless of grade</w:t>
      </w:r>
      <w:r w:rsidR="00135719">
        <w:t>,</w:t>
      </w:r>
      <w:r>
        <w:t xml:space="preserve"> and Grade 3/4 thrombocytopenia was 22 and 23 days, respectively. The rate of new incidences of thrombocytopenia after intensive dose modifications were performed during the first two months of treatment from Cycle 4 was 1.2</w:t>
      </w:r>
      <w:r w:rsidR="00534F76">
        <w:t>%</w:t>
      </w:r>
      <w:r>
        <w:t xml:space="preserve">. The median duration of thrombocytopenia events of any grade was 23 days, and the median </w:t>
      </w:r>
      <w:r>
        <w:lastRenderedPageBreak/>
        <w:t xml:space="preserve">duration of Grade 3/4 thrombocytopenia was 10 days. Patients treated with </w:t>
      </w:r>
      <w:r w:rsidR="00723C6C">
        <w:t>ZEJULA</w:t>
      </w:r>
      <w:r>
        <w:t xml:space="preserve"> who develop thrombocytopenia might have an increased risk of haemorrhage. In the clinical programme, thrombocytopenia was managed with laboratory monitoring, dose modification and platelet tran</w:t>
      </w:r>
      <w:r w:rsidR="00026D79">
        <w:t>sfusion where appropriate (see S</w:t>
      </w:r>
      <w:r>
        <w:t>ection 4.2</w:t>
      </w:r>
      <w:r w:rsidR="00026D79">
        <w:t xml:space="preserve"> Dose and Method of Administration</w:t>
      </w:r>
      <w:r>
        <w:t>). Discontinuation due to thrombocytopenia events (thrombocytopenia and platelet count decreased) occurred in approximately 3</w:t>
      </w:r>
      <w:r w:rsidR="00534F76">
        <w:t>%</w:t>
      </w:r>
      <w:r>
        <w:t xml:space="preserve"> of the patients.</w:t>
      </w:r>
    </w:p>
    <w:p w14:paraId="52151E0C" w14:textId="77777777" w:rsidR="004B10E2" w:rsidRPr="00561A49" w:rsidRDefault="004B10E2" w:rsidP="00E5496F">
      <w:pPr>
        <w:pStyle w:val="Heading3"/>
      </w:pPr>
      <w:r w:rsidRPr="00561A49">
        <w:t>Anaemia</w:t>
      </w:r>
    </w:p>
    <w:p w14:paraId="0F2E96FE" w14:textId="77777777" w:rsidR="004B10E2" w:rsidRDefault="004B10E2" w:rsidP="004B10E2">
      <w:r>
        <w:t>Approximately 50</w:t>
      </w:r>
      <w:r w:rsidR="00534F76">
        <w:t>%</w:t>
      </w:r>
      <w:r>
        <w:t xml:space="preserve"> of patients experienced anaemia of any grade, and 25</w:t>
      </w:r>
      <w:r w:rsidR="00534F76">
        <w:t>%</w:t>
      </w:r>
      <w:r>
        <w:t xml:space="preserve"> experienced Grade </w:t>
      </w:r>
      <w:r w:rsidR="00026D79">
        <w:t>3/4</w:t>
      </w:r>
      <w:r>
        <w:t xml:space="preserve"> anaemia. The median time to onset of anaemia of any grade was 42 days, and 85 days for Grade </w:t>
      </w:r>
      <w:r w:rsidR="00026D79">
        <w:t>3/4</w:t>
      </w:r>
      <w:r>
        <w:t xml:space="preserve"> events. The median duration of anaemia of any grade was 63 days, and 8 days for Grade 3/4 events. Anaemia of any grade might persist during </w:t>
      </w:r>
      <w:r w:rsidR="00723C6C">
        <w:t>ZEJULA</w:t>
      </w:r>
      <w:r>
        <w:t xml:space="preserve"> treatment. In the clinical programme, anaemia was managed with laboratory monitoring, dose modification (</w:t>
      </w:r>
      <w:r w:rsidR="00026D79">
        <w:t>see Section 4.2 Dose and Method of Administration</w:t>
      </w:r>
      <w:r>
        <w:t>), and</w:t>
      </w:r>
      <w:r w:rsidR="00135719">
        <w:t>,</w:t>
      </w:r>
      <w:r>
        <w:t xml:space="preserve"> where appropriate</w:t>
      </w:r>
      <w:r w:rsidR="00135719">
        <w:t>,</w:t>
      </w:r>
      <w:r>
        <w:t xml:space="preserve"> with red blood cell transfusions. Discontinuation due to anaemia occurred in 1</w:t>
      </w:r>
      <w:r w:rsidR="00534F76">
        <w:t>%</w:t>
      </w:r>
      <w:r>
        <w:t xml:space="preserve"> of patients.</w:t>
      </w:r>
    </w:p>
    <w:p w14:paraId="09633F94" w14:textId="77777777" w:rsidR="004B10E2" w:rsidRPr="00561A49" w:rsidRDefault="004B10E2" w:rsidP="00E5496F">
      <w:pPr>
        <w:pStyle w:val="Heading3"/>
      </w:pPr>
      <w:r w:rsidRPr="00561A49">
        <w:t>Neutropenia</w:t>
      </w:r>
    </w:p>
    <w:p w14:paraId="3F8AD82C" w14:textId="77777777" w:rsidR="004B10E2" w:rsidRDefault="004B10E2" w:rsidP="004B10E2">
      <w:r>
        <w:t>Approximately 30</w:t>
      </w:r>
      <w:r w:rsidR="00534F76">
        <w:t>%</w:t>
      </w:r>
      <w:r>
        <w:t xml:space="preserve"> of patients receiving </w:t>
      </w:r>
      <w:r w:rsidR="00723C6C">
        <w:t>ZEJULA</w:t>
      </w:r>
      <w:r>
        <w:t xml:space="preserve"> experienced neutropenia of any grade, and 20</w:t>
      </w:r>
      <w:r w:rsidR="00534F76">
        <w:t>%</w:t>
      </w:r>
      <w:r>
        <w:t xml:space="preserve"> of patients experienced Grade 3/4 neutropenia. The median time to onset of neutropenia of any grade was 27 days, and 29 days for Grade 3/4 events. The median duration of neutropenia of any grade was 26 days, and 13 days for Grade 3/4 events. In the clinical programme, neutropenia was managed with laboratory monitori</w:t>
      </w:r>
      <w:r w:rsidR="00026D79">
        <w:t>ng and dose modifications (see S</w:t>
      </w:r>
      <w:r>
        <w:t>ection 4.2</w:t>
      </w:r>
      <w:r w:rsidR="00026D79">
        <w:t xml:space="preserve"> Dose and Method of Administration</w:t>
      </w:r>
      <w:r>
        <w:t>). In addition, Granulocyte-Colony Stimulating Factor (G-CSF) was administered to approximately 6</w:t>
      </w:r>
      <w:r w:rsidR="00534F76">
        <w:t>%</w:t>
      </w:r>
      <w:r>
        <w:t xml:space="preserve"> of patients treated with </w:t>
      </w:r>
      <w:r w:rsidR="00985B60">
        <w:t>ZEJULA</w:t>
      </w:r>
      <w:r>
        <w:t xml:space="preserve"> as concomitant therapy for neutropenia. Discontinuation due to neutropenia events occurred in 2</w:t>
      </w:r>
      <w:r w:rsidR="00534F76">
        <w:t>%</w:t>
      </w:r>
      <w:r>
        <w:t xml:space="preserve"> of patients.</w:t>
      </w:r>
    </w:p>
    <w:p w14:paraId="4C93EDCB" w14:textId="77777777" w:rsidR="004B10E2" w:rsidRPr="00561A49" w:rsidRDefault="004B10E2" w:rsidP="00E5496F">
      <w:pPr>
        <w:pStyle w:val="Heading3"/>
      </w:pPr>
      <w:r w:rsidRPr="00561A49">
        <w:t>Hypertension</w:t>
      </w:r>
    </w:p>
    <w:p w14:paraId="62166E78" w14:textId="77777777" w:rsidR="004B10E2" w:rsidRDefault="004B10E2" w:rsidP="004B10E2">
      <w:r>
        <w:t xml:space="preserve">Hypertension, including hypertensive crisis, has been reported with </w:t>
      </w:r>
      <w:r w:rsidR="00723C6C">
        <w:t>ZEJULA</w:t>
      </w:r>
      <w:r>
        <w:t xml:space="preserve"> therapy. Hypertension of any grade occurred in 19.3</w:t>
      </w:r>
      <w:r w:rsidR="00534F76">
        <w:t>%</w:t>
      </w:r>
      <w:r>
        <w:t xml:space="preserve"> of patients treated with </w:t>
      </w:r>
      <w:r w:rsidR="00723C6C">
        <w:t>ZEJULA</w:t>
      </w:r>
      <w:r>
        <w:t>. Grade 3/4 hypertension occurred in 8.2</w:t>
      </w:r>
      <w:r w:rsidR="00534F76">
        <w:t>%</w:t>
      </w:r>
      <w:r>
        <w:t xml:space="preserve"> of patients. In the clinical programme, hypertension was readily managed with anti</w:t>
      </w:r>
      <w:r w:rsidR="003C6273">
        <w:noBreakHyphen/>
      </w:r>
      <w:r>
        <w:t>hypertensive medicinal products. Discontinuation due to hypertension occurred in &lt; 1</w:t>
      </w:r>
      <w:r w:rsidR="00534F76">
        <w:t>%</w:t>
      </w:r>
      <w:r>
        <w:t xml:space="preserve"> of patients.</w:t>
      </w:r>
    </w:p>
    <w:p w14:paraId="1198D6C0" w14:textId="77777777" w:rsidR="004B10E2" w:rsidRDefault="004B10E2" w:rsidP="004B10E2">
      <w:pPr>
        <w:pStyle w:val="Heading2"/>
      </w:pPr>
      <w:r>
        <w:t>Paediatric population</w:t>
      </w:r>
    </w:p>
    <w:p w14:paraId="2F733F78" w14:textId="77777777" w:rsidR="004B10E2" w:rsidRDefault="004B10E2" w:rsidP="004B10E2">
      <w:pPr>
        <w:rPr>
          <w:highlight w:val="yellow"/>
        </w:rPr>
      </w:pPr>
      <w:r>
        <w:t>No studies have been conducted in paediatric patients.</w:t>
      </w:r>
    </w:p>
    <w:p w14:paraId="7356AF83" w14:textId="77777777" w:rsidR="00947F99" w:rsidRPr="00947F99" w:rsidRDefault="00947F99" w:rsidP="00947F99">
      <w:pPr>
        <w:pStyle w:val="Heading2"/>
      </w:pPr>
      <w:r w:rsidRPr="00947F99">
        <w:t>Reporting suspected adverse effects</w:t>
      </w:r>
    </w:p>
    <w:p w14:paraId="5F983B62" w14:textId="77777777" w:rsidR="002F0774" w:rsidRPr="004B10E2" w:rsidRDefault="00151AE1" w:rsidP="004B10E2">
      <w:r w:rsidRPr="004B10E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17369F" w:rsidRPr="004B10E2">
        <w:t>www.tga.gov.au/reporting</w:t>
      </w:r>
      <w:r w:rsidR="003C6273">
        <w:noBreakHyphen/>
      </w:r>
      <w:r w:rsidR="0017369F" w:rsidRPr="004B10E2">
        <w:t>probl</w:t>
      </w:r>
      <w:r w:rsidR="004B10E2">
        <w:t>ems.</w:t>
      </w:r>
    </w:p>
    <w:p w14:paraId="6E2B161C" w14:textId="77777777" w:rsidR="002F0774" w:rsidRDefault="00151AE1" w:rsidP="002F0774">
      <w:pPr>
        <w:pStyle w:val="Heading1"/>
        <w:numPr>
          <w:ilvl w:val="1"/>
          <w:numId w:val="33"/>
        </w:numPr>
        <w:tabs>
          <w:tab w:val="left" w:pos="567"/>
        </w:tabs>
        <w:ind w:left="567" w:hanging="567"/>
      </w:pPr>
      <w:r>
        <w:t xml:space="preserve">OVERDOSE </w:t>
      </w:r>
    </w:p>
    <w:p w14:paraId="05FC2583" w14:textId="77777777" w:rsidR="00200331" w:rsidRDefault="004B10E2" w:rsidP="00BF0D6B">
      <w:pPr>
        <w:spacing w:after="120"/>
        <w:rPr>
          <w:highlight w:val="yellow"/>
        </w:rPr>
      </w:pPr>
      <w:r>
        <w:t xml:space="preserve">There is no specific treatment in the event of </w:t>
      </w:r>
      <w:r w:rsidR="00723C6C">
        <w:t>ZEJULA</w:t>
      </w:r>
      <w:r>
        <w:t xml:space="preserve"> overdose, and symptoms of overdose are not established. In the event of an overdose, physicians should follow general supportive measures and should treat symptomatically.</w:t>
      </w:r>
    </w:p>
    <w:p w14:paraId="3537D773" w14:textId="77777777" w:rsidR="00200331" w:rsidRPr="004B10E2" w:rsidRDefault="00151AE1" w:rsidP="002F0774">
      <w:r w:rsidRPr="004B10E2">
        <w:lastRenderedPageBreak/>
        <w:t xml:space="preserve">For information on the management of overdose, contact the Poison Information Centre on 131126 (Australia). </w:t>
      </w:r>
    </w:p>
    <w:p w14:paraId="3A512DD8" w14:textId="77777777" w:rsidR="007E4EF4" w:rsidRDefault="007E4EF4" w:rsidP="007E4EF4">
      <w:pPr>
        <w:pStyle w:val="Heading1"/>
        <w:numPr>
          <w:ilvl w:val="0"/>
          <w:numId w:val="33"/>
        </w:numPr>
        <w:tabs>
          <w:tab w:val="left" w:pos="567"/>
        </w:tabs>
        <w:ind w:left="567" w:hanging="567"/>
      </w:pPr>
      <w:r>
        <w:t xml:space="preserve">PHARMACOLOGICAL PROPERTIES </w:t>
      </w:r>
    </w:p>
    <w:p w14:paraId="575893DB" w14:textId="77777777" w:rsidR="007E4EF4" w:rsidRDefault="007E4EF4" w:rsidP="007E4EF4">
      <w:pPr>
        <w:pStyle w:val="Heading1"/>
        <w:numPr>
          <w:ilvl w:val="1"/>
          <w:numId w:val="33"/>
        </w:numPr>
        <w:tabs>
          <w:tab w:val="left" w:pos="567"/>
        </w:tabs>
        <w:ind w:left="567" w:hanging="567"/>
      </w:pPr>
      <w:r>
        <w:t xml:space="preserve">PHARMACODYNAMIC PROPERTIES </w:t>
      </w:r>
    </w:p>
    <w:p w14:paraId="7C2D10F8" w14:textId="77777777" w:rsidR="007E4EF4" w:rsidRDefault="007E4EF4" w:rsidP="00105E46">
      <w:pPr>
        <w:pStyle w:val="Heading2"/>
      </w:pPr>
      <w:r>
        <w:t xml:space="preserve">Mechanism of action </w:t>
      </w:r>
    </w:p>
    <w:p w14:paraId="67F1072E" w14:textId="3EC751DD" w:rsidR="0029756C" w:rsidRPr="00CB4E08" w:rsidRDefault="0029756C" w:rsidP="0029756C">
      <w:r>
        <w:t>Niraparib is an inhibitor of poly</w:t>
      </w:r>
      <w:r w:rsidR="00A22A72">
        <w:t xml:space="preserve"> </w:t>
      </w:r>
      <w:r>
        <w:t>(ADP-ribose) polymerase (PARP) enzymes, PARP-1 and PARP-2,</w:t>
      </w:r>
      <w:r w:rsidR="00604393">
        <w:t xml:space="preserve"> </w:t>
      </w:r>
      <w:r>
        <w:t xml:space="preserve">which play a role in DNA repair. </w:t>
      </w:r>
      <w:r w:rsidRPr="009E2D5B">
        <w:rPr>
          <w:i/>
        </w:rPr>
        <w:t xml:space="preserve">In vitro </w:t>
      </w:r>
      <w:r>
        <w:t xml:space="preserve">studies have shown that niraparib-induced cytotoxicity may involve inhibition of PARP enzymatic activity and increased formation of PARP-DNA complexes resulting in DNA damage, apoptosis and cell death. Increased niraparib-induced cytotoxicity was observed in tumour cell lines with or without deficiencies in the </w:t>
      </w:r>
      <w:proofErr w:type="spellStart"/>
      <w:r>
        <w:t>BReast</w:t>
      </w:r>
      <w:proofErr w:type="spellEnd"/>
      <w:r>
        <w:t xml:space="preserve"> </w:t>
      </w:r>
      <w:proofErr w:type="spellStart"/>
      <w:r>
        <w:t>CAncer</w:t>
      </w:r>
      <w:proofErr w:type="spellEnd"/>
      <w:r>
        <w:t xml:space="preserve"> (</w:t>
      </w:r>
      <w:r w:rsidR="00C93C3B" w:rsidRPr="00C93C3B">
        <w:rPr>
          <w:i/>
        </w:rPr>
        <w:t>BRCA</w:t>
      </w:r>
      <w:r>
        <w:t xml:space="preserve">) 1 and 2 tumour suppressor genes. </w:t>
      </w:r>
      <w:r w:rsidRPr="00CB4E08">
        <w:t>In orthotopic high-grade serous ovarian cancer patient</w:t>
      </w:r>
      <w:r w:rsidR="003C6273" w:rsidRPr="00CB4E08">
        <w:noBreakHyphen/>
      </w:r>
      <w:r w:rsidRPr="00CB4E08">
        <w:t xml:space="preserve">derived xenograft tumours (PDX) grown in mice, niraparib has been shown to reduce tumour growth in </w:t>
      </w:r>
      <w:r w:rsidR="00C93C3B" w:rsidRPr="00CB4E08">
        <w:rPr>
          <w:i/>
        </w:rPr>
        <w:t>BRCA</w:t>
      </w:r>
      <w:r w:rsidRPr="00CB4E08">
        <w:t xml:space="preserve"> 1 and 2 mutant, </w:t>
      </w:r>
      <w:r w:rsidR="00C93C3B" w:rsidRPr="00A22A72">
        <w:rPr>
          <w:i/>
        </w:rPr>
        <w:t>BRCA</w:t>
      </w:r>
      <w:r w:rsidRPr="00A22A72">
        <w:t xml:space="preserve"> wild-type but homologous recombination (HR) deficient, and in tumours that are </w:t>
      </w:r>
      <w:r w:rsidR="00C93C3B" w:rsidRPr="00A22A72">
        <w:rPr>
          <w:i/>
        </w:rPr>
        <w:t>BRCA</w:t>
      </w:r>
      <w:r w:rsidRPr="00A22A72">
        <w:t xml:space="preserve"> wild-type and without detectable HR deficiency</w:t>
      </w:r>
      <w:r w:rsidRPr="00CB4E08">
        <w:t>.</w:t>
      </w:r>
    </w:p>
    <w:p w14:paraId="24AD711D" w14:textId="77777777" w:rsidR="007E4EF4" w:rsidRPr="007E4EF4" w:rsidRDefault="007E4EF4" w:rsidP="00105E46">
      <w:pPr>
        <w:pStyle w:val="Heading2"/>
      </w:pPr>
      <w:r w:rsidRPr="007E4EF4">
        <w:t xml:space="preserve">Clinical trials </w:t>
      </w:r>
    </w:p>
    <w:p w14:paraId="2CD9339D" w14:textId="521C95EB" w:rsidR="0029756C" w:rsidRDefault="0029756C" w:rsidP="00BF0D6B">
      <w:pPr>
        <w:spacing w:after="120"/>
      </w:pPr>
      <w:r>
        <w:t xml:space="preserve">The safety and efficacy of </w:t>
      </w:r>
      <w:r w:rsidR="00985B60">
        <w:t>ZEJULA</w:t>
      </w:r>
      <w:r>
        <w:t xml:space="preserve"> as maintenance therapy was studied in a Phase 3 randomised, double-blind, placebo-controlled international trial (ENGOT-OV16 / NOVA) in patients with relapsed predominantly high grade serous epithelial ovarian, fallopian tube, or primary peritoneal cancer who were platinum sensitive, defined by complete response (CR) or partial response (PR) for more than six months to their penultimate (next to last) platinum-based therapy. To be eligible for </w:t>
      </w:r>
      <w:r w:rsidR="00985B60">
        <w:t>ZEJULA</w:t>
      </w:r>
      <w:r>
        <w:t xml:space="preserve"> treatment, the patient </w:t>
      </w:r>
      <w:r w:rsidR="00135719">
        <w:t xml:space="preserve">was required to </w:t>
      </w:r>
      <w:r>
        <w:t xml:space="preserve">be in response (CR or PR) following completion of last platinum based chemotherapy. The CA-125 levels </w:t>
      </w:r>
      <w:r w:rsidR="00135719">
        <w:t xml:space="preserve">were required to </w:t>
      </w:r>
      <w:r>
        <w:t>be normal (or a &gt; 90</w:t>
      </w:r>
      <w:r w:rsidR="00534F76">
        <w:t>%</w:t>
      </w:r>
      <w:r>
        <w:t xml:space="preserve"> decrease in CA-125 from baseline) following their last platinum treatment, and be stable for at least 7 days. Patients </w:t>
      </w:r>
      <w:r w:rsidR="00B313B8">
        <w:t>should</w:t>
      </w:r>
      <w:r>
        <w:t xml:space="preserve"> not have received prior PARP inhibitor therapy, including </w:t>
      </w:r>
      <w:r w:rsidR="00723C6C">
        <w:t>ZEJULA</w:t>
      </w:r>
      <w:r>
        <w:t xml:space="preserve">. Eligible patients were assigned to one of two cohorts based on the results of </w:t>
      </w:r>
      <w:r w:rsidR="00415413" w:rsidRPr="00415413">
        <w:t xml:space="preserve">the </w:t>
      </w:r>
      <w:proofErr w:type="spellStart"/>
      <w:r w:rsidR="00415413" w:rsidRPr="00415413">
        <w:t>BRACAnalysis</w:t>
      </w:r>
      <w:proofErr w:type="spellEnd"/>
      <w:r>
        <w:t xml:space="preserve"> mutation test. Within each cohort, patients were randomised using a 2:1 allocation of </w:t>
      </w:r>
      <w:r w:rsidR="00985B60">
        <w:t>ZEJULA</w:t>
      </w:r>
      <w:r>
        <w:t xml:space="preserve"> and placebo. Patients were assigned to the </w:t>
      </w:r>
      <w:proofErr w:type="spellStart"/>
      <w:r>
        <w:t>g</w:t>
      </w:r>
      <w:r w:rsidR="00C93C3B" w:rsidRPr="00C93C3B">
        <w:rPr>
          <w:i/>
        </w:rPr>
        <w:t>BRCA</w:t>
      </w:r>
      <w:r>
        <w:t>mut</w:t>
      </w:r>
      <w:proofErr w:type="spellEnd"/>
      <w:r>
        <w:t xml:space="preserve"> cohort based on blood samples for g</w:t>
      </w:r>
      <w:r w:rsidR="00C93C3B" w:rsidRPr="00C93C3B">
        <w:rPr>
          <w:i/>
        </w:rPr>
        <w:t>BRCA</w:t>
      </w:r>
      <w:r>
        <w:t xml:space="preserve"> analysis that were taken prior to randomisation. Testing for </w:t>
      </w:r>
      <w:proofErr w:type="spellStart"/>
      <w:r>
        <w:t>t</w:t>
      </w:r>
      <w:r w:rsidR="00C93C3B" w:rsidRPr="00C93C3B">
        <w:rPr>
          <w:i/>
        </w:rPr>
        <w:t>BRCA</w:t>
      </w:r>
      <w:proofErr w:type="spellEnd"/>
      <w:r>
        <w:t xml:space="preserve"> mutation and homologous recombination deficiency (HRD) was performed using the HRD test on tumour tissue obtained at the time of initial diagnosis or at the time of recurrence.</w:t>
      </w:r>
    </w:p>
    <w:p w14:paraId="239DCBDA" w14:textId="77777777" w:rsidR="0029756C" w:rsidRDefault="0029756C" w:rsidP="00BF0D6B">
      <w:pPr>
        <w:spacing w:after="120"/>
      </w:pPr>
      <w:r>
        <w:t xml:space="preserve">Randomisation within each cohort was stratified by time to progression after the penultimate platinum therapy before study </w:t>
      </w:r>
      <w:r w:rsidR="00C93C3B">
        <w:t>enrolment</w:t>
      </w:r>
      <w:r>
        <w:t xml:space="preserve"> (6 to &lt; 12 months and ≥ 12 months); use or not of bevacizumab in conjunction with the penultimate or last platinum regimen; and best response during the most recent platinum regimen (complete response and partial response).</w:t>
      </w:r>
    </w:p>
    <w:p w14:paraId="77A23E69" w14:textId="77777777" w:rsidR="0029756C" w:rsidRDefault="0029756C" w:rsidP="00BF0D6B">
      <w:pPr>
        <w:spacing w:after="120"/>
      </w:pPr>
      <w:r>
        <w:t xml:space="preserve">Patients began treatment on Cycle 1/Day 1 (C1/D1) with </w:t>
      </w:r>
      <w:r w:rsidR="00985B60">
        <w:t>ZEJULA</w:t>
      </w:r>
      <w:r>
        <w:t xml:space="preserve"> 300 mg or matched placebo administered QD in continuous 28-day cycles. Clinic visits occurred each cycle (4 weeks ± 3 days).</w:t>
      </w:r>
    </w:p>
    <w:p w14:paraId="264148A5" w14:textId="37A00BFD" w:rsidR="0029756C" w:rsidRDefault="0029756C" w:rsidP="00083939">
      <w:pPr>
        <w:rPr>
          <w:noProof/>
        </w:rPr>
      </w:pPr>
      <w:r>
        <w:t>In the NOVA study, 48</w:t>
      </w:r>
      <w:r w:rsidR="00534F76">
        <w:t>%</w:t>
      </w:r>
      <w:r>
        <w:t xml:space="preserve"> of patients had a dose interruption in Cycle 1. Approximately 47</w:t>
      </w:r>
      <w:r w:rsidR="00534F76">
        <w:t>%</w:t>
      </w:r>
      <w:r>
        <w:t xml:space="preserve"> of patients restarted at a reduced dose in Cycle 2.</w:t>
      </w:r>
    </w:p>
    <w:p w14:paraId="318C9737" w14:textId="77777777" w:rsidR="0029756C" w:rsidRDefault="0029756C" w:rsidP="00083939">
      <w:r>
        <w:t xml:space="preserve">The most commonly used dose in </w:t>
      </w:r>
      <w:r w:rsidR="00985B60">
        <w:t>ZEJULA</w:t>
      </w:r>
      <w:r>
        <w:t>-treated patients in the NOVA study was 200 mg.</w:t>
      </w:r>
    </w:p>
    <w:p w14:paraId="7991F870" w14:textId="77777777" w:rsidR="0029756C" w:rsidRDefault="0029756C" w:rsidP="00083939">
      <w:r>
        <w:t xml:space="preserve">Progression-free survival was determined per RECIST (Response Evaluation Criteria in Solid </w:t>
      </w:r>
      <w:proofErr w:type="spellStart"/>
      <w:r>
        <w:t>Tumors</w:t>
      </w:r>
      <w:proofErr w:type="spellEnd"/>
      <w:r>
        <w:t xml:space="preserve">, version 1.1) or clinical signs and symptoms and increased CA-125. PFS was measured from the time </w:t>
      </w:r>
      <w:r>
        <w:lastRenderedPageBreak/>
        <w:t>of randomisation (which occurred up to 8 weeks after completion of the chemotherapy regimen) to disease progression or death</w:t>
      </w:r>
      <w:r w:rsidR="00377C68">
        <w:t>.</w:t>
      </w:r>
    </w:p>
    <w:p w14:paraId="6FF4CA42" w14:textId="77777777" w:rsidR="0029756C" w:rsidRDefault="0029756C" w:rsidP="0029756C">
      <w:r>
        <w:t xml:space="preserve">The primary efficacy analysis for PFS was determined by blinded central independent assessment and was prospectively defined and assessed for the </w:t>
      </w:r>
      <w:proofErr w:type="spellStart"/>
      <w:r>
        <w:t>g</w:t>
      </w:r>
      <w:r w:rsidR="00C93C3B" w:rsidRPr="00C93C3B">
        <w:rPr>
          <w:i/>
        </w:rPr>
        <w:t>BRCA</w:t>
      </w:r>
      <w:r>
        <w:t>mut</w:t>
      </w:r>
      <w:proofErr w:type="spellEnd"/>
      <w:r>
        <w:t xml:space="preserve"> cohort and the non-</w:t>
      </w:r>
      <w:proofErr w:type="spellStart"/>
      <w:r>
        <w:t>g</w:t>
      </w:r>
      <w:r w:rsidR="00C93C3B" w:rsidRPr="00C93C3B">
        <w:rPr>
          <w:i/>
        </w:rPr>
        <w:t>BRCA</w:t>
      </w:r>
      <w:r>
        <w:t>mut</w:t>
      </w:r>
      <w:proofErr w:type="spellEnd"/>
      <w:r>
        <w:t xml:space="preserve"> cohort separately</w:t>
      </w:r>
      <w:r w:rsidR="00377C68">
        <w:t>.</w:t>
      </w:r>
    </w:p>
    <w:p w14:paraId="1D0043A2" w14:textId="77777777" w:rsidR="0029756C" w:rsidRDefault="0029756C" w:rsidP="0029756C">
      <w:r>
        <w:t>Secondary efficacy endpoints included chemotherapy-free interval (CFI), time to first subsequent therapy (TFST), PFS after the first subsequent therapy (PFS2), time to second subsequent therapy (TS</w:t>
      </w:r>
      <w:r w:rsidR="00377C68">
        <w:t>ST) and OS (overall survival).</w:t>
      </w:r>
    </w:p>
    <w:p w14:paraId="2E2F68DB" w14:textId="77777777" w:rsidR="0029756C" w:rsidRDefault="0029756C" w:rsidP="00BF0D6B">
      <w:pPr>
        <w:spacing w:after="120"/>
      </w:pPr>
      <w:r>
        <w:t xml:space="preserve">Demographics, baseline disease characteristics, and prior treatment history were generally well balanced between the </w:t>
      </w:r>
      <w:r w:rsidR="00985B60">
        <w:t>ZEJULA</w:t>
      </w:r>
      <w:r>
        <w:t xml:space="preserve"> and placebo arms in the </w:t>
      </w:r>
      <w:proofErr w:type="spellStart"/>
      <w:r>
        <w:t>g</w:t>
      </w:r>
      <w:r w:rsidR="00C93C3B" w:rsidRPr="00C93C3B">
        <w:rPr>
          <w:i/>
        </w:rPr>
        <w:t>BRCA</w:t>
      </w:r>
      <w:r>
        <w:t>mut</w:t>
      </w:r>
      <w:proofErr w:type="spellEnd"/>
      <w:r>
        <w:t xml:space="preserve"> (n = 203) and the non</w:t>
      </w:r>
      <w:r w:rsidR="003C6273">
        <w:noBreakHyphen/>
      </w:r>
      <w:proofErr w:type="spellStart"/>
      <w:r>
        <w:t>g</w:t>
      </w:r>
      <w:r w:rsidR="00C93C3B" w:rsidRPr="00C93C3B">
        <w:rPr>
          <w:i/>
        </w:rPr>
        <w:t>BRCA</w:t>
      </w:r>
      <w:r>
        <w:t>mut</w:t>
      </w:r>
      <w:proofErr w:type="spellEnd"/>
      <w:r>
        <w:t xml:space="preserve"> cohorts (n = 350). Median ages ranged from 57 to 63 years across treatments and cohorts. The primary tumour site in most patients (&gt; 80</w:t>
      </w:r>
      <w:r w:rsidR="00534F76">
        <w:t>%</w:t>
      </w:r>
      <w:r>
        <w:t>) within each cohort was the ovary; most patients (&gt; 84</w:t>
      </w:r>
      <w:r w:rsidR="00534F76">
        <w:t>%</w:t>
      </w:r>
      <w:r>
        <w:t>) had tumours with serous histology. A high proportion of patients in both treatment arms in both cohorts had received 3 or more prior lines of chemotherapy, including 49</w:t>
      </w:r>
      <w:r w:rsidR="00534F76">
        <w:t>%</w:t>
      </w:r>
      <w:r>
        <w:t xml:space="preserve"> and 34</w:t>
      </w:r>
      <w:r w:rsidR="00534F76">
        <w:t>%</w:t>
      </w:r>
      <w:r>
        <w:t xml:space="preserve"> of </w:t>
      </w:r>
      <w:r w:rsidR="00985B60">
        <w:t>ZEJULA</w:t>
      </w:r>
      <w:r>
        <w:t xml:space="preserve"> patients in the </w:t>
      </w:r>
      <w:proofErr w:type="spellStart"/>
      <w:r>
        <w:t>g</w:t>
      </w:r>
      <w:r w:rsidR="00C93C3B" w:rsidRPr="00C93C3B">
        <w:rPr>
          <w:i/>
        </w:rPr>
        <w:t>BRCA</w:t>
      </w:r>
      <w:r>
        <w:t>mut</w:t>
      </w:r>
      <w:proofErr w:type="spellEnd"/>
      <w:r>
        <w:t xml:space="preserve"> and non-</w:t>
      </w:r>
      <w:proofErr w:type="spellStart"/>
      <w:r>
        <w:t>g</w:t>
      </w:r>
      <w:r w:rsidR="00C93C3B" w:rsidRPr="00C93C3B">
        <w:rPr>
          <w:i/>
        </w:rPr>
        <w:t>BRCA</w:t>
      </w:r>
      <w:r>
        <w:t>mut</w:t>
      </w:r>
      <w:proofErr w:type="spellEnd"/>
      <w:r>
        <w:t xml:space="preserve"> cohorts, respectively. Most patients were age 18 to 64 years (78</w:t>
      </w:r>
      <w:r w:rsidR="00534F76">
        <w:t>%</w:t>
      </w:r>
      <w:r>
        <w:t>), Caucasian (86</w:t>
      </w:r>
      <w:r w:rsidR="00534F76">
        <w:t>%</w:t>
      </w:r>
      <w:r>
        <w:t>) and had an ECOG performance status of 0 (68</w:t>
      </w:r>
      <w:r w:rsidR="00534F76">
        <w:t>%</w:t>
      </w:r>
      <w:r>
        <w:t>).</w:t>
      </w:r>
    </w:p>
    <w:p w14:paraId="6BD66C94" w14:textId="77777777" w:rsidR="0029756C" w:rsidRDefault="0029756C" w:rsidP="00BF0D6B">
      <w:pPr>
        <w:spacing w:after="120"/>
      </w:pPr>
      <w:r>
        <w:t xml:space="preserve">In the </w:t>
      </w:r>
      <w:proofErr w:type="spellStart"/>
      <w:r>
        <w:t>g</w:t>
      </w:r>
      <w:r w:rsidR="00C93C3B" w:rsidRPr="00C93C3B">
        <w:rPr>
          <w:i/>
        </w:rPr>
        <w:t>BRCA</w:t>
      </w:r>
      <w:r>
        <w:t>mut</w:t>
      </w:r>
      <w:proofErr w:type="spellEnd"/>
      <w:r>
        <w:t xml:space="preserve"> cohort, the median number of treatment cycles was higher in the </w:t>
      </w:r>
      <w:r w:rsidR="00985B60">
        <w:t>ZEJULA</w:t>
      </w:r>
      <w:r>
        <w:t xml:space="preserve"> arm than the placebo arm (14 and 7 cycles, respectively). More patients in the </w:t>
      </w:r>
      <w:r w:rsidR="00985B60">
        <w:t>ZEJULA</w:t>
      </w:r>
      <w:r>
        <w:t xml:space="preserve"> group continued treatment for more than 12 months than patients in the placebo group (54.4</w:t>
      </w:r>
      <w:r w:rsidR="00534F76">
        <w:t>%</w:t>
      </w:r>
      <w:r>
        <w:t xml:space="preserve"> and 16.9</w:t>
      </w:r>
      <w:r w:rsidR="00534F76">
        <w:t>%</w:t>
      </w:r>
      <w:r>
        <w:t xml:space="preserve"> respectively).</w:t>
      </w:r>
    </w:p>
    <w:p w14:paraId="1C104D7F" w14:textId="77777777" w:rsidR="0029756C" w:rsidRDefault="0029756C" w:rsidP="00BF0D6B">
      <w:pPr>
        <w:spacing w:after="120"/>
      </w:pPr>
      <w:r>
        <w:t>In the overall non-</w:t>
      </w:r>
      <w:proofErr w:type="spellStart"/>
      <w:r>
        <w:t>g</w:t>
      </w:r>
      <w:r w:rsidR="00C93C3B" w:rsidRPr="00C93C3B">
        <w:rPr>
          <w:i/>
        </w:rPr>
        <w:t>BRCA</w:t>
      </w:r>
      <w:r>
        <w:t>mut</w:t>
      </w:r>
      <w:proofErr w:type="spellEnd"/>
      <w:r>
        <w:t xml:space="preserve"> cohort, the median number of treatment cycles was higher in the </w:t>
      </w:r>
      <w:r w:rsidR="00985B60">
        <w:t>ZEJULA</w:t>
      </w:r>
      <w:r>
        <w:t xml:space="preserve"> arm than in the placebo arm (8 and 5 cycles, respectively). More patients in the </w:t>
      </w:r>
      <w:r w:rsidR="00985B60">
        <w:t>ZEJULA</w:t>
      </w:r>
      <w:r>
        <w:t xml:space="preserve"> group continued treatment for more than 12 months than patients in the placebo group (34.2</w:t>
      </w:r>
      <w:r w:rsidR="00534F76">
        <w:t>%</w:t>
      </w:r>
      <w:r>
        <w:t xml:space="preserve"> and 21.1</w:t>
      </w:r>
      <w:r w:rsidR="00534F76">
        <w:t>%</w:t>
      </w:r>
      <w:r>
        <w:t>, respectively).</w:t>
      </w:r>
    </w:p>
    <w:p w14:paraId="3879D1FC" w14:textId="49036C6F" w:rsidR="0029756C" w:rsidRDefault="0029756C" w:rsidP="0029756C">
      <w:r>
        <w:t xml:space="preserve">The study met its primary objective of statistically significantly improved PFS for </w:t>
      </w:r>
      <w:r w:rsidR="00985B60">
        <w:t>ZEJULA</w:t>
      </w:r>
      <w:r>
        <w:t xml:space="preserve"> maintenance monotherapy compared with placebo in the </w:t>
      </w:r>
      <w:proofErr w:type="spellStart"/>
      <w:r>
        <w:t>g</w:t>
      </w:r>
      <w:r w:rsidR="00C93C3B" w:rsidRPr="00C93C3B">
        <w:rPr>
          <w:i/>
        </w:rPr>
        <w:t>BRCA</w:t>
      </w:r>
      <w:r>
        <w:t>mut</w:t>
      </w:r>
      <w:proofErr w:type="spellEnd"/>
      <w:r>
        <w:t xml:space="preserve"> cohort (HR 0.27; 95</w:t>
      </w:r>
      <w:r w:rsidR="00534F76">
        <w:t>%</w:t>
      </w:r>
      <w:r>
        <w:t xml:space="preserve"> CI* 0.173, 0.410; p &lt; 0.0001) as well as in the overall non-</w:t>
      </w:r>
      <w:proofErr w:type="spellStart"/>
      <w:r>
        <w:t>g</w:t>
      </w:r>
      <w:r w:rsidR="00C93C3B" w:rsidRPr="00C93C3B">
        <w:rPr>
          <w:i/>
        </w:rPr>
        <w:t>BRCA</w:t>
      </w:r>
      <w:r>
        <w:t>mut</w:t>
      </w:r>
      <w:proofErr w:type="spellEnd"/>
      <w:r>
        <w:t xml:space="preserve"> cohort (HR 0.45; 95</w:t>
      </w:r>
      <w:r w:rsidR="00534F76">
        <w:t>%</w:t>
      </w:r>
      <w:r>
        <w:t xml:space="preserve"> CI* 0.338, 0.607; p &lt; 0.0001). </w:t>
      </w:r>
      <w:r w:rsidR="00267C1D" w:rsidRPr="00267C1D">
        <w:fldChar w:fldCharType="begin"/>
      </w:r>
      <w:r w:rsidR="00267C1D" w:rsidRPr="00267C1D">
        <w:instrText xml:space="preserve"> REF _Ref514390910 \h  \* MERGEFORMAT </w:instrText>
      </w:r>
      <w:r w:rsidR="00267C1D" w:rsidRPr="00267C1D">
        <w:fldChar w:fldCharType="separate"/>
      </w:r>
      <w:r w:rsidR="00673008" w:rsidRPr="00E5117C">
        <w:t xml:space="preserve">Table </w:t>
      </w:r>
      <w:r w:rsidR="00673008" w:rsidRPr="00E5117C">
        <w:rPr>
          <w:noProof/>
        </w:rPr>
        <w:t>5</w:t>
      </w:r>
      <w:r w:rsidR="00267C1D" w:rsidRPr="00267C1D">
        <w:fldChar w:fldCharType="end"/>
      </w:r>
      <w:r w:rsidRPr="00267C1D">
        <w:t xml:space="preserve"> </w:t>
      </w:r>
      <w:r>
        <w:t>shows the results for the PFS primary endpoint for the primary efficacy populations (</w:t>
      </w:r>
      <w:proofErr w:type="spellStart"/>
      <w:r>
        <w:t>g</w:t>
      </w:r>
      <w:r w:rsidR="00C93C3B" w:rsidRPr="00C93C3B">
        <w:rPr>
          <w:i/>
        </w:rPr>
        <w:t>BRCA</w:t>
      </w:r>
      <w:r>
        <w:t>mut</w:t>
      </w:r>
      <w:proofErr w:type="spellEnd"/>
      <w:r>
        <w:t xml:space="preserve"> cohort and the overall non-</w:t>
      </w:r>
      <w:proofErr w:type="spellStart"/>
      <w:r>
        <w:t>g</w:t>
      </w:r>
      <w:r w:rsidR="00C93C3B" w:rsidRPr="00C93C3B">
        <w:rPr>
          <w:i/>
        </w:rPr>
        <w:t>BRCA</w:t>
      </w:r>
      <w:r>
        <w:t>mut</w:t>
      </w:r>
      <w:proofErr w:type="spellEnd"/>
      <w:r>
        <w:t xml:space="preserve"> cohort).</w:t>
      </w:r>
    </w:p>
    <w:p w14:paraId="34798A03" w14:textId="0F9F1812" w:rsidR="00377C68" w:rsidRPr="00267C1D" w:rsidRDefault="00267C1D" w:rsidP="00267C1D">
      <w:pPr>
        <w:spacing w:after="0"/>
        <w:rPr>
          <w:b/>
        </w:rPr>
      </w:pPr>
      <w:bookmarkStart w:id="6" w:name="_Ref514390910"/>
      <w:r w:rsidRPr="00267C1D">
        <w:rPr>
          <w:b/>
        </w:rPr>
        <w:t xml:space="preserve">Table </w:t>
      </w:r>
      <w:r w:rsidRPr="00267C1D">
        <w:rPr>
          <w:b/>
        </w:rPr>
        <w:fldChar w:fldCharType="begin"/>
      </w:r>
      <w:r w:rsidRPr="00267C1D">
        <w:rPr>
          <w:b/>
        </w:rPr>
        <w:instrText xml:space="preserve"> SEQ Table \* ARABIC </w:instrText>
      </w:r>
      <w:r w:rsidRPr="00267C1D">
        <w:rPr>
          <w:b/>
        </w:rPr>
        <w:fldChar w:fldCharType="separate"/>
      </w:r>
      <w:r w:rsidR="00673008">
        <w:rPr>
          <w:b/>
          <w:noProof/>
        </w:rPr>
        <w:t>5</w:t>
      </w:r>
      <w:r w:rsidRPr="00267C1D">
        <w:rPr>
          <w:b/>
        </w:rPr>
        <w:fldChar w:fldCharType="end"/>
      </w:r>
      <w:bookmarkEnd w:id="6"/>
      <w:r w:rsidRPr="00267C1D">
        <w:rPr>
          <w:b/>
        </w:rPr>
        <w:t xml:space="preserve">: </w:t>
      </w:r>
      <w:r w:rsidR="00377C68" w:rsidRPr="00267C1D">
        <w:rPr>
          <w:b/>
        </w:rPr>
        <w:t>Summary of primary objective outcomes in the ENGOT-OV16 study</w:t>
      </w:r>
    </w:p>
    <w:tbl>
      <w:tblPr>
        <w:tblStyle w:val="TableGrid"/>
        <w:tblW w:w="0" w:type="auto"/>
        <w:tblLook w:val="04A0" w:firstRow="1" w:lastRow="0" w:firstColumn="1" w:lastColumn="0" w:noHBand="0" w:noVBand="1"/>
      </w:tblPr>
      <w:tblGrid>
        <w:gridCol w:w="2376"/>
        <w:gridCol w:w="1869"/>
        <w:gridCol w:w="1870"/>
        <w:gridCol w:w="1869"/>
        <w:gridCol w:w="1870"/>
      </w:tblGrid>
      <w:tr w:rsidR="00377C68" w14:paraId="02F7E9AE" w14:textId="77777777" w:rsidTr="00377C68">
        <w:tc>
          <w:tcPr>
            <w:tcW w:w="2376" w:type="dxa"/>
            <w:vMerge w:val="restart"/>
          </w:tcPr>
          <w:p w14:paraId="35B06A49" w14:textId="77777777" w:rsidR="00377C68" w:rsidRDefault="00377C68" w:rsidP="0029756C">
            <w:pPr>
              <w:rPr>
                <w:highlight w:val="yellow"/>
              </w:rPr>
            </w:pPr>
          </w:p>
        </w:tc>
        <w:tc>
          <w:tcPr>
            <w:tcW w:w="3739" w:type="dxa"/>
            <w:gridSpan w:val="2"/>
          </w:tcPr>
          <w:p w14:paraId="4BEA3A27" w14:textId="77777777" w:rsidR="00377C68" w:rsidRPr="00377C68" w:rsidRDefault="00377C68" w:rsidP="0029756C">
            <w:pPr>
              <w:rPr>
                <w:b/>
                <w:highlight w:val="yellow"/>
              </w:rPr>
            </w:pPr>
            <w:proofErr w:type="spellStart"/>
            <w:r w:rsidRPr="00377C68">
              <w:rPr>
                <w:b/>
              </w:rPr>
              <w:t>g</w:t>
            </w:r>
            <w:r w:rsidR="00C93C3B" w:rsidRPr="00C93C3B">
              <w:rPr>
                <w:b/>
                <w:i/>
              </w:rPr>
              <w:t>BRCA</w:t>
            </w:r>
            <w:r w:rsidRPr="00377C68">
              <w:rPr>
                <w:b/>
              </w:rPr>
              <w:t>mut</w:t>
            </w:r>
            <w:proofErr w:type="spellEnd"/>
            <w:r w:rsidRPr="00377C68">
              <w:rPr>
                <w:b/>
              </w:rPr>
              <w:t xml:space="preserve"> cohort</w:t>
            </w:r>
          </w:p>
        </w:tc>
        <w:tc>
          <w:tcPr>
            <w:tcW w:w="3739" w:type="dxa"/>
            <w:gridSpan w:val="2"/>
          </w:tcPr>
          <w:p w14:paraId="73C5B684" w14:textId="77777777" w:rsidR="00377C68" w:rsidRPr="00377C68" w:rsidRDefault="00377C68" w:rsidP="0029756C">
            <w:pPr>
              <w:rPr>
                <w:b/>
                <w:highlight w:val="yellow"/>
              </w:rPr>
            </w:pPr>
            <w:r w:rsidRPr="00377C68">
              <w:rPr>
                <w:b/>
              </w:rPr>
              <w:t>Non-</w:t>
            </w:r>
            <w:proofErr w:type="spellStart"/>
            <w:r w:rsidRPr="00377C68">
              <w:rPr>
                <w:b/>
              </w:rPr>
              <w:t>g</w:t>
            </w:r>
            <w:r w:rsidR="00C93C3B" w:rsidRPr="00C93C3B">
              <w:rPr>
                <w:b/>
                <w:i/>
              </w:rPr>
              <w:t>BRCA</w:t>
            </w:r>
            <w:r w:rsidRPr="00377C68">
              <w:rPr>
                <w:b/>
              </w:rPr>
              <w:t>mut</w:t>
            </w:r>
            <w:proofErr w:type="spellEnd"/>
            <w:r w:rsidRPr="00377C68">
              <w:rPr>
                <w:b/>
              </w:rPr>
              <w:t xml:space="preserve"> cohort</w:t>
            </w:r>
          </w:p>
        </w:tc>
      </w:tr>
      <w:tr w:rsidR="00377C68" w14:paraId="679E65F4" w14:textId="77777777" w:rsidTr="00377C68">
        <w:tc>
          <w:tcPr>
            <w:tcW w:w="2376" w:type="dxa"/>
            <w:vMerge/>
          </w:tcPr>
          <w:p w14:paraId="7BCC7845" w14:textId="77777777" w:rsidR="00377C68" w:rsidRDefault="00377C68" w:rsidP="0029756C">
            <w:pPr>
              <w:rPr>
                <w:highlight w:val="yellow"/>
              </w:rPr>
            </w:pPr>
          </w:p>
        </w:tc>
        <w:tc>
          <w:tcPr>
            <w:tcW w:w="1869" w:type="dxa"/>
          </w:tcPr>
          <w:p w14:paraId="6E2EFAE2" w14:textId="77777777" w:rsidR="00377C68" w:rsidRPr="00377C68" w:rsidRDefault="00985B60" w:rsidP="00C93C3B">
            <w:pPr>
              <w:spacing w:after="0"/>
              <w:jc w:val="center"/>
              <w:rPr>
                <w:b/>
              </w:rPr>
            </w:pPr>
            <w:r>
              <w:rPr>
                <w:b/>
              </w:rPr>
              <w:t>ZEJULA</w:t>
            </w:r>
          </w:p>
          <w:p w14:paraId="1B5B9EC6" w14:textId="77777777" w:rsidR="00377C68" w:rsidRPr="00377C68" w:rsidRDefault="00377C68" w:rsidP="00C93C3B">
            <w:pPr>
              <w:spacing w:after="0"/>
              <w:jc w:val="center"/>
              <w:rPr>
                <w:b/>
                <w:highlight w:val="yellow"/>
              </w:rPr>
            </w:pPr>
            <w:r w:rsidRPr="00377C68">
              <w:rPr>
                <w:b/>
              </w:rPr>
              <w:t>(N = 138)</w:t>
            </w:r>
          </w:p>
        </w:tc>
        <w:tc>
          <w:tcPr>
            <w:tcW w:w="1870" w:type="dxa"/>
          </w:tcPr>
          <w:p w14:paraId="24E6D059" w14:textId="77777777" w:rsidR="00377C68" w:rsidRPr="00377C68" w:rsidRDefault="00377C68" w:rsidP="00C93C3B">
            <w:pPr>
              <w:spacing w:after="0"/>
              <w:jc w:val="center"/>
              <w:rPr>
                <w:b/>
              </w:rPr>
            </w:pPr>
            <w:r w:rsidRPr="00377C68">
              <w:rPr>
                <w:b/>
              </w:rPr>
              <w:t>placebo</w:t>
            </w:r>
          </w:p>
          <w:p w14:paraId="45D3A592" w14:textId="77777777" w:rsidR="00377C68" w:rsidRPr="00377C68" w:rsidRDefault="00377C68" w:rsidP="00C93C3B">
            <w:pPr>
              <w:spacing w:after="0"/>
              <w:jc w:val="center"/>
              <w:rPr>
                <w:b/>
                <w:highlight w:val="yellow"/>
              </w:rPr>
            </w:pPr>
            <w:r w:rsidRPr="00377C68">
              <w:rPr>
                <w:b/>
              </w:rPr>
              <w:t>(N = 65)</w:t>
            </w:r>
          </w:p>
        </w:tc>
        <w:tc>
          <w:tcPr>
            <w:tcW w:w="1869" w:type="dxa"/>
          </w:tcPr>
          <w:p w14:paraId="6383B791" w14:textId="77777777" w:rsidR="00377C68" w:rsidRPr="00377C68" w:rsidRDefault="00985B60" w:rsidP="00C93C3B">
            <w:pPr>
              <w:spacing w:after="0"/>
              <w:jc w:val="center"/>
              <w:rPr>
                <w:b/>
              </w:rPr>
            </w:pPr>
            <w:r>
              <w:rPr>
                <w:b/>
              </w:rPr>
              <w:t>ZEJULA</w:t>
            </w:r>
          </w:p>
          <w:p w14:paraId="4F26143C" w14:textId="77777777" w:rsidR="00377C68" w:rsidRPr="00377C68" w:rsidRDefault="00377C68" w:rsidP="00C93C3B">
            <w:pPr>
              <w:spacing w:after="0"/>
              <w:jc w:val="center"/>
              <w:rPr>
                <w:b/>
                <w:highlight w:val="yellow"/>
              </w:rPr>
            </w:pPr>
            <w:r w:rsidRPr="00377C68">
              <w:rPr>
                <w:b/>
              </w:rPr>
              <w:t>(N = 234)</w:t>
            </w:r>
          </w:p>
        </w:tc>
        <w:tc>
          <w:tcPr>
            <w:tcW w:w="1870" w:type="dxa"/>
          </w:tcPr>
          <w:p w14:paraId="02E3247B" w14:textId="77777777" w:rsidR="00377C68" w:rsidRPr="00377C68" w:rsidRDefault="00377C68" w:rsidP="00C93C3B">
            <w:pPr>
              <w:spacing w:after="0"/>
              <w:jc w:val="center"/>
              <w:rPr>
                <w:b/>
              </w:rPr>
            </w:pPr>
            <w:r w:rsidRPr="00377C68">
              <w:rPr>
                <w:b/>
              </w:rPr>
              <w:t>placebo</w:t>
            </w:r>
          </w:p>
          <w:p w14:paraId="5EFB3EA0" w14:textId="77777777" w:rsidR="00377C68" w:rsidRPr="00377C68" w:rsidRDefault="00377C68" w:rsidP="00C93C3B">
            <w:pPr>
              <w:spacing w:after="0"/>
              <w:jc w:val="center"/>
              <w:rPr>
                <w:b/>
                <w:highlight w:val="yellow"/>
              </w:rPr>
            </w:pPr>
            <w:r w:rsidRPr="00377C68">
              <w:rPr>
                <w:b/>
              </w:rPr>
              <w:t>(N = 116)</w:t>
            </w:r>
          </w:p>
        </w:tc>
      </w:tr>
      <w:tr w:rsidR="00377C68" w14:paraId="23663D3C" w14:textId="77777777" w:rsidTr="00377C68">
        <w:tc>
          <w:tcPr>
            <w:tcW w:w="2376" w:type="dxa"/>
          </w:tcPr>
          <w:p w14:paraId="42BA2CB7" w14:textId="77777777" w:rsidR="00377C68" w:rsidRPr="00377C68" w:rsidRDefault="00377C68" w:rsidP="00377C68">
            <w:pPr>
              <w:spacing w:after="0"/>
              <w:rPr>
                <w:b/>
                <w:highlight w:val="yellow"/>
              </w:rPr>
            </w:pPr>
            <w:r w:rsidRPr="00377C68">
              <w:rPr>
                <w:b/>
              </w:rPr>
              <w:t>PFS median</w:t>
            </w:r>
            <w:r w:rsidR="006D4C42">
              <w:rPr>
                <w:b/>
              </w:rPr>
              <w:t xml:space="preserve"> in months</w:t>
            </w:r>
            <w:r w:rsidRPr="00377C68">
              <w:rPr>
                <w:b/>
              </w:rPr>
              <w:t xml:space="preserve"> (95% CI*)</w:t>
            </w:r>
          </w:p>
        </w:tc>
        <w:tc>
          <w:tcPr>
            <w:tcW w:w="1869" w:type="dxa"/>
          </w:tcPr>
          <w:p w14:paraId="7B52319B" w14:textId="77777777" w:rsidR="00377C68" w:rsidRPr="00377C68" w:rsidRDefault="00377C68" w:rsidP="00C93C3B">
            <w:pPr>
              <w:spacing w:after="0"/>
              <w:jc w:val="center"/>
              <w:rPr>
                <w:b/>
              </w:rPr>
            </w:pPr>
            <w:r w:rsidRPr="00377C68">
              <w:rPr>
                <w:b/>
              </w:rPr>
              <w:t>21.0</w:t>
            </w:r>
          </w:p>
          <w:p w14:paraId="1B46124E" w14:textId="77777777" w:rsidR="00377C68" w:rsidRDefault="00377C68" w:rsidP="00C93C3B">
            <w:pPr>
              <w:spacing w:after="0"/>
              <w:jc w:val="center"/>
              <w:rPr>
                <w:highlight w:val="yellow"/>
              </w:rPr>
            </w:pPr>
            <w:r>
              <w:t>(12.9, NR)</w:t>
            </w:r>
          </w:p>
        </w:tc>
        <w:tc>
          <w:tcPr>
            <w:tcW w:w="1870" w:type="dxa"/>
          </w:tcPr>
          <w:p w14:paraId="6A38EBB6" w14:textId="77777777" w:rsidR="00377C68" w:rsidRPr="00377C68" w:rsidRDefault="00377C68" w:rsidP="00C93C3B">
            <w:pPr>
              <w:spacing w:after="0"/>
              <w:jc w:val="center"/>
              <w:rPr>
                <w:b/>
              </w:rPr>
            </w:pPr>
            <w:r w:rsidRPr="00377C68">
              <w:rPr>
                <w:b/>
              </w:rPr>
              <w:t>5.5</w:t>
            </w:r>
          </w:p>
          <w:p w14:paraId="24B799DC" w14:textId="77777777" w:rsidR="00377C68" w:rsidRDefault="00377C68" w:rsidP="00C93C3B">
            <w:pPr>
              <w:spacing w:after="0"/>
              <w:jc w:val="center"/>
              <w:rPr>
                <w:highlight w:val="yellow"/>
              </w:rPr>
            </w:pPr>
            <w:r>
              <w:t>(3.8, 7.2)</w:t>
            </w:r>
          </w:p>
        </w:tc>
        <w:tc>
          <w:tcPr>
            <w:tcW w:w="1869" w:type="dxa"/>
          </w:tcPr>
          <w:p w14:paraId="32964040" w14:textId="77777777" w:rsidR="00377C68" w:rsidRPr="00377C68" w:rsidRDefault="00377C68" w:rsidP="00C93C3B">
            <w:pPr>
              <w:spacing w:after="0"/>
              <w:jc w:val="center"/>
              <w:rPr>
                <w:b/>
              </w:rPr>
            </w:pPr>
            <w:r w:rsidRPr="00377C68">
              <w:rPr>
                <w:b/>
              </w:rPr>
              <w:t>9.3</w:t>
            </w:r>
          </w:p>
          <w:p w14:paraId="492B9AFC" w14:textId="77777777" w:rsidR="00377C68" w:rsidRDefault="00377C68" w:rsidP="00C93C3B">
            <w:pPr>
              <w:spacing w:after="0"/>
              <w:jc w:val="center"/>
              <w:rPr>
                <w:highlight w:val="yellow"/>
              </w:rPr>
            </w:pPr>
            <w:r>
              <w:t>(7.2, 11.2)</w:t>
            </w:r>
          </w:p>
        </w:tc>
        <w:tc>
          <w:tcPr>
            <w:tcW w:w="1870" w:type="dxa"/>
          </w:tcPr>
          <w:p w14:paraId="28E5972E" w14:textId="77777777" w:rsidR="00377C68" w:rsidRPr="00377C68" w:rsidRDefault="00377C68" w:rsidP="00C93C3B">
            <w:pPr>
              <w:spacing w:after="0"/>
              <w:jc w:val="center"/>
              <w:rPr>
                <w:b/>
              </w:rPr>
            </w:pPr>
            <w:r w:rsidRPr="00377C68">
              <w:rPr>
                <w:b/>
              </w:rPr>
              <w:t>3.9</w:t>
            </w:r>
          </w:p>
          <w:p w14:paraId="0AE58D31" w14:textId="77777777" w:rsidR="00377C68" w:rsidRDefault="00377C68" w:rsidP="00C93C3B">
            <w:pPr>
              <w:spacing w:after="0"/>
              <w:jc w:val="center"/>
              <w:rPr>
                <w:highlight w:val="yellow"/>
              </w:rPr>
            </w:pPr>
            <w:r>
              <w:t>(3.7, 5.5)</w:t>
            </w:r>
          </w:p>
        </w:tc>
      </w:tr>
      <w:tr w:rsidR="00377C68" w14:paraId="119B8921" w14:textId="77777777" w:rsidTr="00377C68">
        <w:tc>
          <w:tcPr>
            <w:tcW w:w="2376" w:type="dxa"/>
          </w:tcPr>
          <w:p w14:paraId="2447F5A0" w14:textId="77777777" w:rsidR="00377C68" w:rsidRPr="00377C68" w:rsidRDefault="00377C68" w:rsidP="00377C68">
            <w:pPr>
              <w:spacing w:after="0"/>
              <w:rPr>
                <w:b/>
                <w:highlight w:val="yellow"/>
              </w:rPr>
            </w:pPr>
            <w:r w:rsidRPr="00377C68">
              <w:rPr>
                <w:b/>
              </w:rPr>
              <w:t>p-value</w:t>
            </w:r>
          </w:p>
        </w:tc>
        <w:tc>
          <w:tcPr>
            <w:tcW w:w="3739" w:type="dxa"/>
            <w:gridSpan w:val="2"/>
          </w:tcPr>
          <w:p w14:paraId="77A6B1E5" w14:textId="77777777" w:rsidR="00377C68" w:rsidRPr="00377C68" w:rsidRDefault="00377C68" w:rsidP="00377C68">
            <w:pPr>
              <w:spacing w:after="0"/>
              <w:jc w:val="center"/>
              <w:rPr>
                <w:b/>
                <w:highlight w:val="yellow"/>
              </w:rPr>
            </w:pPr>
            <w:r w:rsidRPr="00377C68">
              <w:rPr>
                <w:b/>
              </w:rPr>
              <w:t>&lt; 0.0001</w:t>
            </w:r>
          </w:p>
        </w:tc>
        <w:tc>
          <w:tcPr>
            <w:tcW w:w="3739" w:type="dxa"/>
            <w:gridSpan w:val="2"/>
          </w:tcPr>
          <w:p w14:paraId="510395ED" w14:textId="77777777" w:rsidR="00377C68" w:rsidRPr="00377C68" w:rsidRDefault="00377C68" w:rsidP="00377C68">
            <w:pPr>
              <w:spacing w:after="0"/>
              <w:jc w:val="center"/>
              <w:rPr>
                <w:b/>
                <w:highlight w:val="yellow"/>
              </w:rPr>
            </w:pPr>
            <w:r w:rsidRPr="00377C68">
              <w:rPr>
                <w:b/>
              </w:rPr>
              <w:t>&lt; 0.0001</w:t>
            </w:r>
          </w:p>
        </w:tc>
      </w:tr>
      <w:tr w:rsidR="00377C68" w14:paraId="10374461" w14:textId="77777777" w:rsidTr="00377C68">
        <w:tc>
          <w:tcPr>
            <w:tcW w:w="2376" w:type="dxa"/>
          </w:tcPr>
          <w:p w14:paraId="16E87D46" w14:textId="77777777" w:rsidR="00377C68" w:rsidRPr="00DA0A7F" w:rsidRDefault="00377C68" w:rsidP="00377C68">
            <w:pPr>
              <w:spacing w:after="0"/>
              <w:rPr>
                <w:b/>
                <w:lang w:val="fr-FR"/>
              </w:rPr>
            </w:pPr>
            <w:r w:rsidRPr="00DA0A7F">
              <w:rPr>
                <w:b/>
                <w:lang w:val="fr-FR"/>
              </w:rPr>
              <w:t>Hazard ratio (HR)</w:t>
            </w:r>
          </w:p>
          <w:p w14:paraId="701AA870" w14:textId="77777777" w:rsidR="00377C68" w:rsidRPr="00DA0A7F" w:rsidRDefault="00377C68" w:rsidP="00377C68">
            <w:pPr>
              <w:spacing w:after="0"/>
              <w:rPr>
                <w:lang w:val="fr-FR"/>
              </w:rPr>
            </w:pPr>
            <w:r w:rsidRPr="00DA0A7F">
              <w:rPr>
                <w:lang w:val="fr-FR"/>
              </w:rPr>
              <w:t>(</w:t>
            </w:r>
            <w:proofErr w:type="spellStart"/>
            <w:r w:rsidRPr="00DA0A7F">
              <w:rPr>
                <w:lang w:val="fr-FR"/>
              </w:rPr>
              <w:t>Nir:plac</w:t>
            </w:r>
            <w:proofErr w:type="spellEnd"/>
            <w:r w:rsidRPr="00DA0A7F">
              <w:rPr>
                <w:lang w:val="fr-FR"/>
              </w:rPr>
              <w:t>) (95</w:t>
            </w:r>
            <w:r w:rsidR="00534F76" w:rsidRPr="00DA0A7F">
              <w:rPr>
                <w:lang w:val="fr-FR"/>
              </w:rPr>
              <w:t>%</w:t>
            </w:r>
            <w:r w:rsidRPr="00DA0A7F">
              <w:rPr>
                <w:lang w:val="fr-FR"/>
              </w:rPr>
              <w:t xml:space="preserve"> CI*)</w:t>
            </w:r>
          </w:p>
        </w:tc>
        <w:tc>
          <w:tcPr>
            <w:tcW w:w="3739" w:type="dxa"/>
            <w:gridSpan w:val="2"/>
          </w:tcPr>
          <w:p w14:paraId="49BCD1DD" w14:textId="77777777" w:rsidR="00377C68" w:rsidRPr="00377C68" w:rsidRDefault="00377C68" w:rsidP="00377C68">
            <w:pPr>
              <w:tabs>
                <w:tab w:val="left" w:pos="1289"/>
              </w:tabs>
              <w:spacing w:after="0"/>
              <w:jc w:val="center"/>
              <w:rPr>
                <w:b/>
              </w:rPr>
            </w:pPr>
            <w:r w:rsidRPr="00377C68">
              <w:rPr>
                <w:b/>
              </w:rPr>
              <w:t>0.27</w:t>
            </w:r>
          </w:p>
          <w:p w14:paraId="6BCBEAD1" w14:textId="77777777" w:rsidR="00377C68" w:rsidRPr="00377C68" w:rsidRDefault="00377C68" w:rsidP="00377C68">
            <w:pPr>
              <w:tabs>
                <w:tab w:val="left" w:pos="1289"/>
              </w:tabs>
              <w:spacing w:after="0"/>
              <w:jc w:val="center"/>
            </w:pPr>
            <w:r>
              <w:t>(0.173, 0.410)</w:t>
            </w:r>
          </w:p>
        </w:tc>
        <w:tc>
          <w:tcPr>
            <w:tcW w:w="3739" w:type="dxa"/>
            <w:gridSpan w:val="2"/>
          </w:tcPr>
          <w:p w14:paraId="08FC4479" w14:textId="77777777" w:rsidR="00377C68" w:rsidRPr="00377C68" w:rsidRDefault="00377C68" w:rsidP="00377C68">
            <w:pPr>
              <w:spacing w:after="0"/>
              <w:jc w:val="center"/>
              <w:rPr>
                <w:b/>
              </w:rPr>
            </w:pPr>
            <w:r w:rsidRPr="00377C68">
              <w:rPr>
                <w:b/>
              </w:rPr>
              <w:t>0.45</w:t>
            </w:r>
          </w:p>
          <w:p w14:paraId="50DB82D7" w14:textId="77777777" w:rsidR="00377C68" w:rsidRPr="00377C68" w:rsidRDefault="00377C68" w:rsidP="00377C68">
            <w:pPr>
              <w:spacing w:after="0"/>
              <w:jc w:val="center"/>
            </w:pPr>
            <w:r>
              <w:t>(0.338, 0.607)</w:t>
            </w:r>
          </w:p>
        </w:tc>
      </w:tr>
    </w:tbl>
    <w:p w14:paraId="334701A6" w14:textId="77777777" w:rsidR="0029756C" w:rsidRDefault="008B40FA" w:rsidP="0029756C">
      <w:r w:rsidRPr="008B40FA">
        <w:t>* CI denotes confidence interval.</w:t>
      </w:r>
    </w:p>
    <w:p w14:paraId="461710ED" w14:textId="7FB783E3" w:rsidR="00EC4C17" w:rsidRDefault="008B40FA" w:rsidP="008B40FA">
      <w:r>
        <w:t>Prior to unblinding of the study, tumours of patients were tested for the presence of HRD using an experimental HRD test, which evaluates three indirect measures of tumour genome instability: loss of heterozygosity, telomeric allelic imbalance (TAI), and large-scale state transitions. In the HRDpos group, the hazard ratio was 0.38 (95</w:t>
      </w:r>
      <w:r w:rsidR="00534F76">
        <w:t>%</w:t>
      </w:r>
      <w:r>
        <w:t xml:space="preserve"> CI, 0.243, 0.586; p &lt; 0.0001). In the HRDneg group, the hazard ratio </w:t>
      </w:r>
      <w:r>
        <w:lastRenderedPageBreak/>
        <w:t>was 0.58 (95</w:t>
      </w:r>
      <w:r w:rsidR="00534F76">
        <w:t>%</w:t>
      </w:r>
      <w:r>
        <w:t xml:space="preserve"> CI, 0.361, 0.922; p = 0.0226). The experimental test was not able to discriminate which patients would or would not benefit from </w:t>
      </w:r>
      <w:r w:rsidR="00985B60">
        <w:t>ZEJULA</w:t>
      </w:r>
      <w:r>
        <w:t xml:space="preserve"> maintenance therapy.</w:t>
      </w:r>
    </w:p>
    <w:p w14:paraId="3E4BA0B0" w14:textId="77777777" w:rsidR="00EC4C17" w:rsidRDefault="00EC4C17">
      <w:pPr>
        <w:spacing w:after="0"/>
        <w:jc w:val="left"/>
      </w:pPr>
      <w:r>
        <w:br w:type="page"/>
      </w:r>
    </w:p>
    <w:p w14:paraId="26D2B500" w14:textId="7EFD26F0" w:rsidR="008B40FA" w:rsidRPr="00967EFC" w:rsidRDefault="00967EFC" w:rsidP="00967EFC">
      <w:pPr>
        <w:spacing w:after="0"/>
        <w:rPr>
          <w:b/>
        </w:rPr>
      </w:pPr>
      <w:r w:rsidRPr="00967EFC">
        <w:rPr>
          <w:b/>
        </w:rPr>
        <w:lastRenderedPageBreak/>
        <w:t xml:space="preserve">Figure </w:t>
      </w:r>
      <w:r w:rsidRPr="00967EFC">
        <w:rPr>
          <w:b/>
        </w:rPr>
        <w:fldChar w:fldCharType="begin"/>
      </w:r>
      <w:r w:rsidRPr="00967EFC">
        <w:rPr>
          <w:b/>
        </w:rPr>
        <w:instrText xml:space="preserve"> SEQ Figure \* ARABIC </w:instrText>
      </w:r>
      <w:r w:rsidRPr="00967EFC">
        <w:rPr>
          <w:b/>
        </w:rPr>
        <w:fldChar w:fldCharType="separate"/>
      </w:r>
      <w:r w:rsidR="00673008">
        <w:rPr>
          <w:b/>
          <w:noProof/>
        </w:rPr>
        <w:t>1</w:t>
      </w:r>
      <w:r w:rsidRPr="00967EFC">
        <w:rPr>
          <w:b/>
        </w:rPr>
        <w:fldChar w:fldCharType="end"/>
      </w:r>
      <w:r w:rsidRPr="00967EFC">
        <w:rPr>
          <w:b/>
        </w:rPr>
        <w:t xml:space="preserve">: </w:t>
      </w:r>
      <w:r w:rsidR="008B40FA" w:rsidRPr="00967EFC">
        <w:rPr>
          <w:b/>
        </w:rPr>
        <w:t xml:space="preserve">Kaplan-Meier plot for progression-free survival in the </w:t>
      </w:r>
      <w:proofErr w:type="spellStart"/>
      <w:r w:rsidR="008B40FA" w:rsidRPr="00967EFC">
        <w:rPr>
          <w:b/>
        </w:rPr>
        <w:t>g</w:t>
      </w:r>
      <w:r w:rsidR="00C93C3B" w:rsidRPr="00967EFC">
        <w:rPr>
          <w:b/>
          <w:i/>
        </w:rPr>
        <w:t>BRCA</w:t>
      </w:r>
      <w:r w:rsidR="008B40FA" w:rsidRPr="00967EFC">
        <w:rPr>
          <w:b/>
        </w:rPr>
        <w:t>mut</w:t>
      </w:r>
      <w:proofErr w:type="spellEnd"/>
      <w:r w:rsidR="008B40FA" w:rsidRPr="00967EFC">
        <w:rPr>
          <w:b/>
        </w:rPr>
        <w:t xml:space="preserve"> cohort based on IRC assessment (ITT population, N = 203)</w:t>
      </w:r>
    </w:p>
    <w:p w14:paraId="7C7696A4" w14:textId="77777777" w:rsidR="008B40FA" w:rsidRDefault="005D081D" w:rsidP="008B40FA">
      <w:r>
        <w:rPr>
          <w:noProof/>
          <w:sz w:val="24"/>
          <w:szCs w:val="24"/>
          <w:lang w:eastAsia="en-AU"/>
        </w:rPr>
        <w:drawing>
          <wp:inline distT="0" distB="0" distL="0" distR="0" wp14:anchorId="6BDC5D93" wp14:editId="7FFEB614">
            <wp:extent cx="5759450" cy="3602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602990"/>
                    </a:xfrm>
                    <a:prstGeom prst="rect">
                      <a:avLst/>
                    </a:prstGeom>
                    <a:noFill/>
                    <a:ln>
                      <a:noFill/>
                    </a:ln>
                  </pic:spPr>
                </pic:pic>
              </a:graphicData>
            </a:graphic>
          </wp:inline>
        </w:drawing>
      </w:r>
    </w:p>
    <w:p w14:paraId="3946B0F5" w14:textId="77498A84" w:rsidR="008B40FA" w:rsidRPr="00967EFC" w:rsidRDefault="00967EFC" w:rsidP="00967EFC">
      <w:pPr>
        <w:spacing w:after="0"/>
        <w:rPr>
          <w:b/>
        </w:rPr>
      </w:pPr>
      <w:r w:rsidRPr="00967EFC">
        <w:rPr>
          <w:b/>
        </w:rPr>
        <w:t xml:space="preserve">Figure </w:t>
      </w:r>
      <w:r w:rsidRPr="00967EFC">
        <w:rPr>
          <w:b/>
        </w:rPr>
        <w:fldChar w:fldCharType="begin"/>
      </w:r>
      <w:r w:rsidRPr="00967EFC">
        <w:rPr>
          <w:b/>
        </w:rPr>
        <w:instrText xml:space="preserve"> SEQ Figure \* ARABIC </w:instrText>
      </w:r>
      <w:r w:rsidRPr="00967EFC">
        <w:rPr>
          <w:b/>
        </w:rPr>
        <w:fldChar w:fldCharType="separate"/>
      </w:r>
      <w:r w:rsidR="00673008">
        <w:rPr>
          <w:b/>
          <w:noProof/>
        </w:rPr>
        <w:t>2</w:t>
      </w:r>
      <w:r w:rsidRPr="00967EFC">
        <w:rPr>
          <w:b/>
        </w:rPr>
        <w:fldChar w:fldCharType="end"/>
      </w:r>
      <w:r w:rsidRPr="00967EFC">
        <w:rPr>
          <w:b/>
        </w:rPr>
        <w:t xml:space="preserve">: </w:t>
      </w:r>
      <w:r w:rsidR="008B40FA" w:rsidRPr="00967EFC">
        <w:rPr>
          <w:b/>
        </w:rPr>
        <w:t>Kaplan-Meier plot for progression-free survival in the non-</w:t>
      </w:r>
      <w:proofErr w:type="spellStart"/>
      <w:r w:rsidR="008B40FA" w:rsidRPr="00967EFC">
        <w:rPr>
          <w:b/>
        </w:rPr>
        <w:t>g</w:t>
      </w:r>
      <w:r w:rsidR="00C93C3B" w:rsidRPr="00967EFC">
        <w:rPr>
          <w:b/>
          <w:i/>
        </w:rPr>
        <w:t>BRCA</w:t>
      </w:r>
      <w:r w:rsidR="008B40FA" w:rsidRPr="00967EFC">
        <w:rPr>
          <w:b/>
        </w:rPr>
        <w:t>mut</w:t>
      </w:r>
      <w:proofErr w:type="spellEnd"/>
      <w:r w:rsidR="008B40FA" w:rsidRPr="00967EFC">
        <w:rPr>
          <w:b/>
        </w:rPr>
        <w:t xml:space="preserve"> cohort overall based on IRC assessment (ITT population, N = 350)</w:t>
      </w:r>
      <w:r>
        <w:rPr>
          <w:rStyle w:val="CommentReference"/>
          <w:b/>
        </w:rPr>
        <w:t> </w:t>
      </w:r>
    </w:p>
    <w:p w14:paraId="67FF6E42" w14:textId="77777777" w:rsidR="008B40FA" w:rsidRDefault="00DB6918" w:rsidP="008B40FA">
      <w:pPr>
        <w:rPr>
          <w:b/>
          <w:highlight w:val="yellow"/>
        </w:rPr>
      </w:pPr>
      <w:r>
        <w:rPr>
          <w:noProof/>
          <w:sz w:val="24"/>
          <w:szCs w:val="24"/>
          <w:lang w:eastAsia="en-AU"/>
        </w:rPr>
        <w:lastRenderedPageBreak/>
        <w:drawing>
          <wp:inline distT="0" distB="0" distL="0" distR="0" wp14:anchorId="699C09D6" wp14:editId="2232383A">
            <wp:extent cx="5762625" cy="3600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14:paraId="4D35D037" w14:textId="3ADF4167" w:rsidR="008B40FA" w:rsidRPr="00267C1D" w:rsidRDefault="008B40FA" w:rsidP="008B40FA">
      <w:r w:rsidRPr="008B40FA">
        <w:t>The secondary endpoints CFI, TFST, and PFS2 demonstrated a statistically significant and persistent</w:t>
      </w:r>
      <w:r>
        <w:t xml:space="preserve"> </w:t>
      </w:r>
      <w:r w:rsidRPr="008B40FA">
        <w:t xml:space="preserve">treatment effect in favour of the </w:t>
      </w:r>
      <w:r w:rsidR="00985B60">
        <w:t>ZEJULA</w:t>
      </w:r>
      <w:r w:rsidRPr="008B40FA">
        <w:t xml:space="preserve"> treatment arm in the </w:t>
      </w:r>
      <w:proofErr w:type="spellStart"/>
      <w:r w:rsidRPr="008B40FA">
        <w:t>g</w:t>
      </w:r>
      <w:r w:rsidR="00C93C3B" w:rsidRPr="00C93C3B">
        <w:rPr>
          <w:i/>
        </w:rPr>
        <w:t>BRCA</w:t>
      </w:r>
      <w:r w:rsidRPr="008B40FA">
        <w:t>mut</w:t>
      </w:r>
      <w:proofErr w:type="spellEnd"/>
      <w:r w:rsidRPr="008B40FA">
        <w:t xml:space="preserve"> cohort and the overall</w:t>
      </w:r>
      <w:r>
        <w:t xml:space="preserve"> </w:t>
      </w:r>
      <w:r w:rsidRPr="008B40FA">
        <w:t>non-</w:t>
      </w:r>
      <w:proofErr w:type="spellStart"/>
      <w:r w:rsidRPr="008B40FA">
        <w:t>g</w:t>
      </w:r>
      <w:r w:rsidR="00C93C3B" w:rsidRPr="00C93C3B">
        <w:rPr>
          <w:i/>
        </w:rPr>
        <w:t>BRCA</w:t>
      </w:r>
      <w:r w:rsidRPr="008B40FA">
        <w:t>mut</w:t>
      </w:r>
      <w:proofErr w:type="spellEnd"/>
      <w:r w:rsidRPr="008B40FA">
        <w:t xml:space="preserve"> cohort </w:t>
      </w:r>
      <w:r w:rsidRPr="00267C1D">
        <w:t>(</w:t>
      </w:r>
      <w:r w:rsidR="00267C1D" w:rsidRPr="00267C1D">
        <w:fldChar w:fldCharType="begin"/>
      </w:r>
      <w:r w:rsidR="00267C1D" w:rsidRPr="00267C1D">
        <w:instrText xml:space="preserve"> REF _Ref514390973 \h  \* MERGEFORMAT </w:instrText>
      </w:r>
      <w:r w:rsidR="00267C1D" w:rsidRPr="00267C1D">
        <w:fldChar w:fldCharType="separate"/>
      </w:r>
      <w:r w:rsidR="00673008" w:rsidRPr="00E5117C">
        <w:rPr>
          <w:noProof/>
        </w:rPr>
        <w:t>Table</w:t>
      </w:r>
      <w:r w:rsidR="00673008" w:rsidRPr="00267C1D">
        <w:rPr>
          <w:b/>
        </w:rPr>
        <w:t xml:space="preserve"> </w:t>
      </w:r>
      <w:r w:rsidR="00673008" w:rsidRPr="009017C0">
        <w:rPr>
          <w:noProof/>
        </w:rPr>
        <w:t>6</w:t>
      </w:r>
      <w:r w:rsidR="00267C1D" w:rsidRPr="00267C1D">
        <w:fldChar w:fldCharType="end"/>
      </w:r>
      <w:r w:rsidRPr="00267C1D">
        <w:t>).</w:t>
      </w:r>
    </w:p>
    <w:p w14:paraId="1AEDCD89" w14:textId="17099E77" w:rsidR="004D74BA" w:rsidRPr="00267C1D" w:rsidRDefault="00267C1D" w:rsidP="00267C1D">
      <w:pPr>
        <w:spacing w:after="0"/>
        <w:rPr>
          <w:b/>
        </w:rPr>
      </w:pPr>
      <w:bookmarkStart w:id="7" w:name="_Ref514390973"/>
      <w:r w:rsidRPr="00267C1D">
        <w:rPr>
          <w:b/>
        </w:rPr>
        <w:t xml:space="preserve">Table </w:t>
      </w:r>
      <w:r w:rsidRPr="00267C1D">
        <w:rPr>
          <w:b/>
        </w:rPr>
        <w:fldChar w:fldCharType="begin"/>
      </w:r>
      <w:r w:rsidRPr="00267C1D">
        <w:rPr>
          <w:b/>
        </w:rPr>
        <w:instrText xml:space="preserve"> SEQ Table \* ARABIC </w:instrText>
      </w:r>
      <w:r w:rsidRPr="00267C1D">
        <w:rPr>
          <w:b/>
        </w:rPr>
        <w:fldChar w:fldCharType="separate"/>
      </w:r>
      <w:r w:rsidR="00673008">
        <w:rPr>
          <w:b/>
          <w:noProof/>
        </w:rPr>
        <w:t>6</w:t>
      </w:r>
      <w:r w:rsidRPr="00267C1D">
        <w:rPr>
          <w:b/>
        </w:rPr>
        <w:fldChar w:fldCharType="end"/>
      </w:r>
      <w:bookmarkEnd w:id="7"/>
      <w:r w:rsidRPr="00267C1D">
        <w:rPr>
          <w:b/>
        </w:rPr>
        <w:t xml:space="preserve">: </w:t>
      </w:r>
      <w:r w:rsidR="004D74BA" w:rsidRPr="00267C1D">
        <w:rPr>
          <w:b/>
        </w:rPr>
        <w:t>Secondary endpoints*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69"/>
        <w:gridCol w:w="1621"/>
        <w:gridCol w:w="1621"/>
        <w:gridCol w:w="1621"/>
        <w:gridCol w:w="1622"/>
      </w:tblGrid>
      <w:tr w:rsidR="008C3CF4" w14:paraId="0778E233" w14:textId="77777777" w:rsidTr="00DB6918">
        <w:tc>
          <w:tcPr>
            <w:tcW w:w="3369" w:type="dxa"/>
            <w:tcBorders>
              <w:top w:val="single" w:sz="4" w:space="0" w:color="auto"/>
              <w:bottom w:val="nil"/>
            </w:tcBorders>
          </w:tcPr>
          <w:p w14:paraId="2FF2C388" w14:textId="77777777" w:rsidR="008C3CF4" w:rsidRPr="008C3CF4" w:rsidRDefault="008C3CF4" w:rsidP="008B40FA">
            <w:pPr>
              <w:rPr>
                <w:b/>
              </w:rPr>
            </w:pPr>
          </w:p>
        </w:tc>
        <w:tc>
          <w:tcPr>
            <w:tcW w:w="3242" w:type="dxa"/>
            <w:gridSpan w:val="2"/>
            <w:tcBorders>
              <w:top w:val="single" w:sz="4" w:space="0" w:color="auto"/>
              <w:bottom w:val="single" w:sz="4" w:space="0" w:color="auto"/>
            </w:tcBorders>
          </w:tcPr>
          <w:p w14:paraId="0F440C2E" w14:textId="77777777" w:rsidR="008C3CF4" w:rsidRPr="008C3CF4" w:rsidRDefault="008C3CF4" w:rsidP="004D74BA">
            <w:pPr>
              <w:jc w:val="center"/>
              <w:rPr>
                <w:b/>
              </w:rPr>
            </w:pPr>
            <w:proofErr w:type="spellStart"/>
            <w:r w:rsidRPr="008C3CF4">
              <w:rPr>
                <w:b/>
              </w:rPr>
              <w:t>g</w:t>
            </w:r>
            <w:r w:rsidR="00C93C3B" w:rsidRPr="00C93C3B">
              <w:rPr>
                <w:b/>
                <w:i/>
              </w:rPr>
              <w:t>BRCA</w:t>
            </w:r>
            <w:r w:rsidRPr="008C3CF4">
              <w:rPr>
                <w:b/>
              </w:rPr>
              <w:t>mut</w:t>
            </w:r>
            <w:proofErr w:type="spellEnd"/>
          </w:p>
        </w:tc>
        <w:tc>
          <w:tcPr>
            <w:tcW w:w="3243" w:type="dxa"/>
            <w:gridSpan w:val="2"/>
            <w:tcBorders>
              <w:top w:val="single" w:sz="4" w:space="0" w:color="auto"/>
              <w:bottom w:val="single" w:sz="4" w:space="0" w:color="auto"/>
            </w:tcBorders>
          </w:tcPr>
          <w:p w14:paraId="4093F709" w14:textId="77777777" w:rsidR="008C3CF4" w:rsidRPr="008C3CF4" w:rsidRDefault="008C3CF4" w:rsidP="004D74BA">
            <w:pPr>
              <w:jc w:val="center"/>
              <w:rPr>
                <w:b/>
              </w:rPr>
            </w:pPr>
            <w:r w:rsidRPr="008C3CF4">
              <w:rPr>
                <w:b/>
              </w:rPr>
              <w:t>non-</w:t>
            </w:r>
            <w:proofErr w:type="spellStart"/>
            <w:r w:rsidRPr="008C3CF4">
              <w:rPr>
                <w:b/>
              </w:rPr>
              <w:t>g</w:t>
            </w:r>
            <w:r w:rsidR="00C93C3B" w:rsidRPr="00C93C3B">
              <w:rPr>
                <w:b/>
                <w:i/>
              </w:rPr>
              <w:t>BRCA</w:t>
            </w:r>
            <w:r w:rsidRPr="008C3CF4">
              <w:rPr>
                <w:b/>
              </w:rPr>
              <w:t>mut</w:t>
            </w:r>
            <w:proofErr w:type="spellEnd"/>
          </w:p>
        </w:tc>
      </w:tr>
      <w:tr w:rsidR="00D444AD" w14:paraId="089A4FF5" w14:textId="77777777" w:rsidTr="00DB6918">
        <w:tc>
          <w:tcPr>
            <w:tcW w:w="3369" w:type="dxa"/>
            <w:tcBorders>
              <w:top w:val="nil"/>
              <w:bottom w:val="single" w:sz="4" w:space="0" w:color="auto"/>
            </w:tcBorders>
          </w:tcPr>
          <w:p w14:paraId="438A6E68" w14:textId="77777777" w:rsidR="008C3CF4" w:rsidRPr="008C3CF4" w:rsidRDefault="008C3CF4" w:rsidP="008C3CF4">
            <w:pPr>
              <w:spacing w:after="0"/>
              <w:rPr>
                <w:b/>
              </w:rPr>
            </w:pPr>
          </w:p>
          <w:p w14:paraId="30BA683E" w14:textId="77777777" w:rsidR="00D444AD" w:rsidRPr="008C3CF4" w:rsidRDefault="008C3CF4" w:rsidP="008C3CF4">
            <w:pPr>
              <w:spacing w:after="0"/>
              <w:rPr>
                <w:b/>
              </w:rPr>
            </w:pPr>
            <w:r w:rsidRPr="008C3CF4">
              <w:rPr>
                <w:b/>
              </w:rPr>
              <w:t>Endpoint</w:t>
            </w:r>
          </w:p>
        </w:tc>
        <w:tc>
          <w:tcPr>
            <w:tcW w:w="1621" w:type="dxa"/>
            <w:tcBorders>
              <w:top w:val="single" w:sz="4" w:space="0" w:color="auto"/>
              <w:bottom w:val="single" w:sz="4" w:space="0" w:color="auto"/>
            </w:tcBorders>
          </w:tcPr>
          <w:p w14:paraId="7A3DF1E7" w14:textId="77777777" w:rsidR="00D444AD" w:rsidRPr="008C3CF4" w:rsidRDefault="00723C6C" w:rsidP="004D74BA">
            <w:pPr>
              <w:spacing w:after="0"/>
              <w:jc w:val="center"/>
              <w:rPr>
                <w:b/>
              </w:rPr>
            </w:pPr>
            <w:r>
              <w:rPr>
                <w:b/>
              </w:rPr>
              <w:t>ZEJULA</w:t>
            </w:r>
          </w:p>
          <w:p w14:paraId="357633E3" w14:textId="77777777" w:rsidR="008C3CF4" w:rsidRPr="008C3CF4" w:rsidRDefault="008C3CF4" w:rsidP="004D74BA">
            <w:pPr>
              <w:spacing w:after="0"/>
              <w:jc w:val="center"/>
              <w:rPr>
                <w:b/>
              </w:rPr>
            </w:pPr>
            <w:r w:rsidRPr="008C3CF4">
              <w:rPr>
                <w:b/>
              </w:rPr>
              <w:t>N = 138</w:t>
            </w:r>
          </w:p>
        </w:tc>
        <w:tc>
          <w:tcPr>
            <w:tcW w:w="1621" w:type="dxa"/>
            <w:tcBorders>
              <w:top w:val="single" w:sz="4" w:space="0" w:color="auto"/>
              <w:bottom w:val="single" w:sz="4" w:space="0" w:color="auto"/>
            </w:tcBorders>
          </w:tcPr>
          <w:p w14:paraId="12B166CE" w14:textId="77777777" w:rsidR="00D444AD" w:rsidRPr="008C3CF4" w:rsidRDefault="008C3CF4" w:rsidP="004D74BA">
            <w:pPr>
              <w:spacing w:after="0"/>
              <w:jc w:val="center"/>
              <w:rPr>
                <w:b/>
              </w:rPr>
            </w:pPr>
            <w:r w:rsidRPr="008C3CF4">
              <w:rPr>
                <w:b/>
              </w:rPr>
              <w:t>Placebo</w:t>
            </w:r>
          </w:p>
          <w:p w14:paraId="3AC1B06C" w14:textId="77777777" w:rsidR="008C3CF4" w:rsidRPr="008C3CF4" w:rsidRDefault="008C3CF4" w:rsidP="004D74BA">
            <w:pPr>
              <w:spacing w:after="0"/>
              <w:jc w:val="center"/>
              <w:rPr>
                <w:b/>
              </w:rPr>
            </w:pPr>
            <w:r w:rsidRPr="008C3CF4">
              <w:rPr>
                <w:b/>
              </w:rPr>
              <w:t>N = 65</w:t>
            </w:r>
          </w:p>
        </w:tc>
        <w:tc>
          <w:tcPr>
            <w:tcW w:w="1621" w:type="dxa"/>
            <w:tcBorders>
              <w:top w:val="single" w:sz="4" w:space="0" w:color="auto"/>
              <w:bottom w:val="single" w:sz="4" w:space="0" w:color="auto"/>
            </w:tcBorders>
          </w:tcPr>
          <w:p w14:paraId="3399F2EE" w14:textId="77777777" w:rsidR="00D444AD" w:rsidRPr="008C3CF4" w:rsidRDefault="00723C6C" w:rsidP="004D74BA">
            <w:pPr>
              <w:spacing w:after="0"/>
              <w:jc w:val="center"/>
              <w:rPr>
                <w:b/>
              </w:rPr>
            </w:pPr>
            <w:r>
              <w:rPr>
                <w:b/>
              </w:rPr>
              <w:t>ZEJULA</w:t>
            </w:r>
          </w:p>
          <w:p w14:paraId="34096A2E" w14:textId="77777777" w:rsidR="008C3CF4" w:rsidRPr="008C3CF4" w:rsidRDefault="008C3CF4" w:rsidP="004D74BA">
            <w:pPr>
              <w:spacing w:after="0"/>
              <w:jc w:val="center"/>
              <w:rPr>
                <w:b/>
              </w:rPr>
            </w:pPr>
            <w:r w:rsidRPr="008C3CF4">
              <w:rPr>
                <w:b/>
              </w:rPr>
              <w:t>N= 234</w:t>
            </w:r>
          </w:p>
        </w:tc>
        <w:tc>
          <w:tcPr>
            <w:tcW w:w="1622" w:type="dxa"/>
            <w:tcBorders>
              <w:top w:val="single" w:sz="4" w:space="0" w:color="auto"/>
              <w:bottom w:val="single" w:sz="4" w:space="0" w:color="auto"/>
            </w:tcBorders>
          </w:tcPr>
          <w:p w14:paraId="683B38C1" w14:textId="77777777" w:rsidR="00D444AD" w:rsidRPr="008C3CF4" w:rsidRDefault="008C3CF4" w:rsidP="004D74BA">
            <w:pPr>
              <w:spacing w:after="0"/>
              <w:jc w:val="center"/>
              <w:rPr>
                <w:b/>
              </w:rPr>
            </w:pPr>
            <w:r w:rsidRPr="008C3CF4">
              <w:rPr>
                <w:b/>
              </w:rPr>
              <w:t>Placebo</w:t>
            </w:r>
          </w:p>
          <w:p w14:paraId="42FD4058" w14:textId="77777777" w:rsidR="008C3CF4" w:rsidRPr="008C3CF4" w:rsidRDefault="008C3CF4" w:rsidP="004D74BA">
            <w:pPr>
              <w:spacing w:after="0"/>
              <w:jc w:val="center"/>
              <w:rPr>
                <w:b/>
              </w:rPr>
            </w:pPr>
            <w:r w:rsidRPr="008C3CF4">
              <w:rPr>
                <w:b/>
              </w:rPr>
              <w:t>N = 116</w:t>
            </w:r>
          </w:p>
        </w:tc>
      </w:tr>
      <w:tr w:rsidR="008C3CF4" w14:paraId="7499CDE8" w14:textId="77777777" w:rsidTr="00DB6918">
        <w:tc>
          <w:tcPr>
            <w:tcW w:w="3369" w:type="dxa"/>
            <w:tcBorders>
              <w:top w:val="single" w:sz="4" w:space="0" w:color="auto"/>
            </w:tcBorders>
          </w:tcPr>
          <w:p w14:paraId="22FA1145" w14:textId="77777777" w:rsidR="008C3CF4" w:rsidRDefault="008C3CF4" w:rsidP="00ED2B3E">
            <w:pPr>
              <w:spacing w:after="0"/>
              <w:jc w:val="left"/>
            </w:pPr>
            <w:r w:rsidRPr="008C3CF4">
              <w:t>Chemotherapy-free interval</w:t>
            </w:r>
          </w:p>
        </w:tc>
        <w:tc>
          <w:tcPr>
            <w:tcW w:w="1621" w:type="dxa"/>
            <w:tcBorders>
              <w:top w:val="single" w:sz="4" w:space="0" w:color="auto"/>
            </w:tcBorders>
          </w:tcPr>
          <w:p w14:paraId="6E753E6F" w14:textId="77777777" w:rsidR="008C3CF4" w:rsidRDefault="008C3CF4" w:rsidP="008B40FA"/>
        </w:tc>
        <w:tc>
          <w:tcPr>
            <w:tcW w:w="1621" w:type="dxa"/>
            <w:tcBorders>
              <w:top w:val="single" w:sz="4" w:space="0" w:color="auto"/>
            </w:tcBorders>
          </w:tcPr>
          <w:p w14:paraId="22E91546" w14:textId="77777777" w:rsidR="008C3CF4" w:rsidRDefault="008C3CF4" w:rsidP="008B40FA"/>
        </w:tc>
        <w:tc>
          <w:tcPr>
            <w:tcW w:w="1621" w:type="dxa"/>
            <w:tcBorders>
              <w:top w:val="single" w:sz="4" w:space="0" w:color="auto"/>
            </w:tcBorders>
          </w:tcPr>
          <w:p w14:paraId="62E1D619" w14:textId="77777777" w:rsidR="008C3CF4" w:rsidRDefault="008C3CF4" w:rsidP="008B40FA"/>
        </w:tc>
        <w:tc>
          <w:tcPr>
            <w:tcW w:w="1622" w:type="dxa"/>
            <w:tcBorders>
              <w:top w:val="single" w:sz="4" w:space="0" w:color="auto"/>
            </w:tcBorders>
          </w:tcPr>
          <w:p w14:paraId="0CDF7BB7" w14:textId="77777777" w:rsidR="008C3CF4" w:rsidRDefault="008C3CF4" w:rsidP="008B40FA"/>
        </w:tc>
      </w:tr>
      <w:tr w:rsidR="008C3CF4" w14:paraId="0ED7BE1D" w14:textId="77777777" w:rsidTr="00DB6918">
        <w:tc>
          <w:tcPr>
            <w:tcW w:w="3369" w:type="dxa"/>
          </w:tcPr>
          <w:p w14:paraId="4B7D207C" w14:textId="77777777" w:rsidR="008C3CF4" w:rsidRDefault="008C3CF4" w:rsidP="008C3CF4">
            <w:pPr>
              <w:spacing w:after="0"/>
            </w:pPr>
            <w:r w:rsidRPr="008C3CF4">
              <w:t>Median (95</w:t>
            </w:r>
            <w:r w:rsidR="00534F76">
              <w:t>%</w:t>
            </w:r>
            <w:r w:rsidRPr="008C3CF4">
              <w:t xml:space="preserve"> CI) – mo</w:t>
            </w:r>
            <w:r w:rsidR="00AF0C17">
              <w:t>nths</w:t>
            </w:r>
          </w:p>
        </w:tc>
        <w:tc>
          <w:tcPr>
            <w:tcW w:w="1621" w:type="dxa"/>
          </w:tcPr>
          <w:p w14:paraId="1A5421C5" w14:textId="77777777" w:rsidR="008C3CF4" w:rsidRDefault="008C3CF4" w:rsidP="008C3CF4">
            <w:pPr>
              <w:spacing w:after="0"/>
              <w:jc w:val="center"/>
            </w:pPr>
            <w:r w:rsidRPr="008C3CF4">
              <w:t>22.8</w:t>
            </w:r>
          </w:p>
          <w:p w14:paraId="28A04B8C" w14:textId="77777777" w:rsidR="008C3CF4" w:rsidRDefault="008C3CF4" w:rsidP="008C3CF4">
            <w:pPr>
              <w:spacing w:after="0"/>
              <w:jc w:val="center"/>
            </w:pPr>
            <w:r w:rsidRPr="008C3CF4">
              <w:t>(17.9-NR)</w:t>
            </w:r>
          </w:p>
        </w:tc>
        <w:tc>
          <w:tcPr>
            <w:tcW w:w="1621" w:type="dxa"/>
          </w:tcPr>
          <w:p w14:paraId="287F108E" w14:textId="77777777" w:rsidR="008C3CF4" w:rsidRDefault="008C3CF4" w:rsidP="008C3CF4">
            <w:pPr>
              <w:spacing w:after="0"/>
              <w:jc w:val="center"/>
            </w:pPr>
            <w:r>
              <w:t>9.4</w:t>
            </w:r>
          </w:p>
          <w:p w14:paraId="2DAAD122" w14:textId="77777777" w:rsidR="008C3CF4" w:rsidRDefault="008C3CF4" w:rsidP="008C3CF4">
            <w:pPr>
              <w:spacing w:after="0"/>
              <w:jc w:val="center"/>
            </w:pPr>
            <w:r>
              <w:t>(7.9-10.6)</w:t>
            </w:r>
          </w:p>
        </w:tc>
        <w:tc>
          <w:tcPr>
            <w:tcW w:w="1621" w:type="dxa"/>
          </w:tcPr>
          <w:p w14:paraId="0D25CC03" w14:textId="77777777" w:rsidR="008C3CF4" w:rsidRDefault="008C3CF4" w:rsidP="008C3CF4">
            <w:pPr>
              <w:spacing w:after="0"/>
              <w:jc w:val="center"/>
            </w:pPr>
            <w:r>
              <w:t>12.7</w:t>
            </w:r>
          </w:p>
          <w:p w14:paraId="7E104D94" w14:textId="77777777" w:rsidR="008C3CF4" w:rsidRDefault="008C3CF4" w:rsidP="008C3CF4">
            <w:pPr>
              <w:spacing w:after="0"/>
              <w:jc w:val="center"/>
            </w:pPr>
            <w:r>
              <w:t>(11.0-14.7)</w:t>
            </w:r>
          </w:p>
        </w:tc>
        <w:tc>
          <w:tcPr>
            <w:tcW w:w="1622" w:type="dxa"/>
          </w:tcPr>
          <w:p w14:paraId="527D1356" w14:textId="77777777" w:rsidR="008C3CF4" w:rsidRDefault="008C3CF4" w:rsidP="008C3CF4">
            <w:pPr>
              <w:spacing w:after="0"/>
              <w:jc w:val="center"/>
            </w:pPr>
            <w:r>
              <w:t>8.6</w:t>
            </w:r>
          </w:p>
          <w:p w14:paraId="235BABBA" w14:textId="77777777" w:rsidR="008C3CF4" w:rsidRDefault="008C3CF4" w:rsidP="00ED2B3E">
            <w:pPr>
              <w:spacing w:after="0"/>
              <w:jc w:val="center"/>
            </w:pPr>
            <w:r>
              <w:t>(6.9-10.0)</w:t>
            </w:r>
          </w:p>
        </w:tc>
      </w:tr>
      <w:tr w:rsidR="008C3CF4" w14:paraId="19B6F0E8" w14:textId="77777777" w:rsidTr="00DB6918">
        <w:tc>
          <w:tcPr>
            <w:tcW w:w="3369" w:type="dxa"/>
            <w:tcBorders>
              <w:bottom w:val="nil"/>
            </w:tcBorders>
          </w:tcPr>
          <w:p w14:paraId="05A51337" w14:textId="77777777" w:rsidR="008C3CF4" w:rsidRDefault="008C3CF4" w:rsidP="008B40FA">
            <w:r w:rsidRPr="008C3CF4">
              <w:t>P value</w:t>
            </w:r>
          </w:p>
        </w:tc>
        <w:tc>
          <w:tcPr>
            <w:tcW w:w="3242" w:type="dxa"/>
            <w:gridSpan w:val="2"/>
            <w:tcBorders>
              <w:bottom w:val="nil"/>
            </w:tcBorders>
          </w:tcPr>
          <w:p w14:paraId="28DECCB2" w14:textId="77777777" w:rsidR="008C3CF4" w:rsidRDefault="008C3CF4" w:rsidP="008C3CF4">
            <w:pPr>
              <w:jc w:val="center"/>
            </w:pPr>
            <w:r w:rsidRPr="008C3CF4">
              <w:t>&lt; 0.001</w:t>
            </w:r>
          </w:p>
        </w:tc>
        <w:tc>
          <w:tcPr>
            <w:tcW w:w="3243" w:type="dxa"/>
            <w:gridSpan w:val="2"/>
            <w:tcBorders>
              <w:bottom w:val="nil"/>
            </w:tcBorders>
          </w:tcPr>
          <w:p w14:paraId="065F867C" w14:textId="77777777" w:rsidR="008C3CF4" w:rsidRDefault="008C3CF4" w:rsidP="008C3CF4">
            <w:pPr>
              <w:jc w:val="center"/>
            </w:pPr>
            <w:r w:rsidRPr="008C3CF4">
              <w:t>&lt; 0.001</w:t>
            </w:r>
          </w:p>
        </w:tc>
      </w:tr>
      <w:tr w:rsidR="008C3CF4" w14:paraId="6E84636B" w14:textId="77777777" w:rsidTr="00DB6918">
        <w:trPr>
          <w:trHeight w:val="581"/>
        </w:trPr>
        <w:tc>
          <w:tcPr>
            <w:tcW w:w="3369" w:type="dxa"/>
            <w:tcBorders>
              <w:top w:val="nil"/>
              <w:bottom w:val="single" w:sz="4" w:space="0" w:color="auto"/>
            </w:tcBorders>
          </w:tcPr>
          <w:p w14:paraId="1A44AE0E" w14:textId="77777777" w:rsidR="008C3CF4" w:rsidRPr="008C3CF4" w:rsidRDefault="008C3CF4" w:rsidP="00ED2B3E">
            <w:pPr>
              <w:spacing w:after="0"/>
            </w:pPr>
            <w:r w:rsidRPr="008C3CF4">
              <w:t>Hazard ratio (95</w:t>
            </w:r>
            <w:r w:rsidR="00534F76">
              <w:t>%</w:t>
            </w:r>
            <w:r w:rsidRPr="008C3CF4">
              <w:t xml:space="preserve"> CI)</w:t>
            </w:r>
          </w:p>
        </w:tc>
        <w:tc>
          <w:tcPr>
            <w:tcW w:w="3242" w:type="dxa"/>
            <w:gridSpan w:val="2"/>
            <w:tcBorders>
              <w:top w:val="nil"/>
              <w:bottom w:val="single" w:sz="4" w:space="0" w:color="auto"/>
            </w:tcBorders>
          </w:tcPr>
          <w:p w14:paraId="57D60449" w14:textId="77777777" w:rsidR="008C3CF4" w:rsidRPr="008C3CF4" w:rsidRDefault="008C3CF4" w:rsidP="00ED2B3E">
            <w:pPr>
              <w:spacing w:after="0"/>
              <w:jc w:val="center"/>
            </w:pPr>
            <w:r w:rsidRPr="008C3CF4">
              <w:t>0.26 (0.17-0.41)</w:t>
            </w:r>
          </w:p>
        </w:tc>
        <w:tc>
          <w:tcPr>
            <w:tcW w:w="3243" w:type="dxa"/>
            <w:gridSpan w:val="2"/>
            <w:tcBorders>
              <w:top w:val="nil"/>
              <w:bottom w:val="single" w:sz="4" w:space="0" w:color="auto"/>
            </w:tcBorders>
          </w:tcPr>
          <w:p w14:paraId="486F3D02" w14:textId="77777777" w:rsidR="008C3CF4" w:rsidRPr="008C3CF4" w:rsidRDefault="008C3CF4" w:rsidP="00ED2B3E">
            <w:pPr>
              <w:spacing w:after="0"/>
              <w:jc w:val="center"/>
            </w:pPr>
            <w:r w:rsidRPr="008C3CF4">
              <w:t>0.50 (0.37-0.67)</w:t>
            </w:r>
          </w:p>
        </w:tc>
      </w:tr>
      <w:tr w:rsidR="008C3CF4" w14:paraId="48D55DB5" w14:textId="77777777" w:rsidTr="00DB6918">
        <w:trPr>
          <w:trHeight w:val="555"/>
        </w:trPr>
        <w:tc>
          <w:tcPr>
            <w:tcW w:w="3369" w:type="dxa"/>
            <w:tcBorders>
              <w:top w:val="single" w:sz="4" w:space="0" w:color="auto"/>
            </w:tcBorders>
          </w:tcPr>
          <w:p w14:paraId="67E6FD13" w14:textId="77777777" w:rsidR="008C3CF4" w:rsidRDefault="008C3CF4" w:rsidP="00ED2B3E">
            <w:pPr>
              <w:spacing w:after="0"/>
              <w:jc w:val="left"/>
            </w:pPr>
            <w:r w:rsidRPr="008C3CF4">
              <w:t>Time to first subsequent treatmen</w:t>
            </w:r>
            <w:r>
              <w:t>t</w:t>
            </w:r>
          </w:p>
        </w:tc>
        <w:tc>
          <w:tcPr>
            <w:tcW w:w="1621" w:type="dxa"/>
            <w:tcBorders>
              <w:top w:val="single" w:sz="4" w:space="0" w:color="auto"/>
            </w:tcBorders>
          </w:tcPr>
          <w:p w14:paraId="2387AFD3" w14:textId="77777777" w:rsidR="008C3CF4" w:rsidRDefault="008C3CF4" w:rsidP="008B40FA"/>
        </w:tc>
        <w:tc>
          <w:tcPr>
            <w:tcW w:w="1621" w:type="dxa"/>
            <w:tcBorders>
              <w:top w:val="single" w:sz="4" w:space="0" w:color="auto"/>
            </w:tcBorders>
          </w:tcPr>
          <w:p w14:paraId="2770F70A" w14:textId="77777777" w:rsidR="008C3CF4" w:rsidRDefault="008C3CF4" w:rsidP="008B40FA"/>
        </w:tc>
        <w:tc>
          <w:tcPr>
            <w:tcW w:w="1621" w:type="dxa"/>
            <w:tcBorders>
              <w:top w:val="single" w:sz="4" w:space="0" w:color="auto"/>
            </w:tcBorders>
          </w:tcPr>
          <w:p w14:paraId="33C1F5C1" w14:textId="77777777" w:rsidR="008C3CF4" w:rsidRDefault="008C3CF4" w:rsidP="008B40FA"/>
        </w:tc>
        <w:tc>
          <w:tcPr>
            <w:tcW w:w="1622" w:type="dxa"/>
            <w:tcBorders>
              <w:top w:val="single" w:sz="4" w:space="0" w:color="auto"/>
            </w:tcBorders>
          </w:tcPr>
          <w:p w14:paraId="32FDACA7" w14:textId="77777777" w:rsidR="008C3CF4" w:rsidRDefault="008C3CF4" w:rsidP="008B40FA"/>
        </w:tc>
      </w:tr>
      <w:tr w:rsidR="008C3CF4" w14:paraId="4807DF0D" w14:textId="77777777" w:rsidTr="00DB6918">
        <w:tc>
          <w:tcPr>
            <w:tcW w:w="3369" w:type="dxa"/>
          </w:tcPr>
          <w:p w14:paraId="3C78B6D4" w14:textId="77777777" w:rsidR="008C3CF4" w:rsidRDefault="008C3CF4" w:rsidP="008B40FA">
            <w:r w:rsidRPr="008C3CF4">
              <w:t>Median (95</w:t>
            </w:r>
            <w:r w:rsidR="00534F76">
              <w:t>%</w:t>
            </w:r>
            <w:r w:rsidRPr="008C3CF4">
              <w:t xml:space="preserve"> CI) – mo</w:t>
            </w:r>
            <w:r w:rsidR="00AF0C17">
              <w:t>nths</w:t>
            </w:r>
          </w:p>
        </w:tc>
        <w:tc>
          <w:tcPr>
            <w:tcW w:w="1621" w:type="dxa"/>
          </w:tcPr>
          <w:p w14:paraId="7E0AC731" w14:textId="77777777" w:rsidR="008C3CF4" w:rsidRDefault="008C3CF4" w:rsidP="004D74BA">
            <w:pPr>
              <w:spacing w:after="0"/>
              <w:jc w:val="center"/>
            </w:pPr>
            <w:r>
              <w:t>21.0</w:t>
            </w:r>
          </w:p>
          <w:p w14:paraId="7E889D61" w14:textId="77777777" w:rsidR="008C3CF4" w:rsidRDefault="008C3CF4" w:rsidP="004D74BA">
            <w:pPr>
              <w:spacing w:after="0"/>
              <w:jc w:val="center"/>
            </w:pPr>
            <w:r>
              <w:t>(17.5-NR)</w:t>
            </w:r>
          </w:p>
        </w:tc>
        <w:tc>
          <w:tcPr>
            <w:tcW w:w="1621" w:type="dxa"/>
          </w:tcPr>
          <w:p w14:paraId="5A0A98BC" w14:textId="77777777" w:rsidR="008C3CF4" w:rsidRDefault="008C3CF4" w:rsidP="004D74BA">
            <w:pPr>
              <w:spacing w:after="0"/>
              <w:jc w:val="center"/>
            </w:pPr>
            <w:r>
              <w:t>8.4</w:t>
            </w:r>
          </w:p>
          <w:p w14:paraId="63923FEF" w14:textId="77777777" w:rsidR="008C3CF4" w:rsidRDefault="008C3CF4" w:rsidP="004D74BA">
            <w:pPr>
              <w:spacing w:after="0"/>
              <w:jc w:val="center"/>
            </w:pPr>
            <w:r>
              <w:t>(6.6-10.6)</w:t>
            </w:r>
          </w:p>
        </w:tc>
        <w:tc>
          <w:tcPr>
            <w:tcW w:w="1621" w:type="dxa"/>
          </w:tcPr>
          <w:p w14:paraId="7CAB9348" w14:textId="77777777" w:rsidR="008C3CF4" w:rsidRDefault="008C3CF4" w:rsidP="004D74BA">
            <w:pPr>
              <w:spacing w:after="0"/>
              <w:jc w:val="center"/>
            </w:pPr>
            <w:r>
              <w:t>11.8</w:t>
            </w:r>
          </w:p>
          <w:p w14:paraId="5D3E1ABB" w14:textId="77777777" w:rsidR="008C3CF4" w:rsidRDefault="008C3CF4" w:rsidP="004D74BA">
            <w:pPr>
              <w:spacing w:after="0"/>
              <w:jc w:val="center"/>
            </w:pPr>
            <w:r>
              <w:t>(9.7-13.1)</w:t>
            </w:r>
          </w:p>
        </w:tc>
        <w:tc>
          <w:tcPr>
            <w:tcW w:w="1622" w:type="dxa"/>
          </w:tcPr>
          <w:p w14:paraId="32944F3A" w14:textId="77777777" w:rsidR="008C3CF4" w:rsidRDefault="008C3CF4" w:rsidP="004D74BA">
            <w:pPr>
              <w:spacing w:after="0"/>
              <w:jc w:val="center"/>
            </w:pPr>
            <w:r>
              <w:t>7.2</w:t>
            </w:r>
          </w:p>
          <w:p w14:paraId="7EB02EFF" w14:textId="77777777" w:rsidR="004D74BA" w:rsidRDefault="008C3CF4" w:rsidP="00ED2B3E">
            <w:pPr>
              <w:spacing w:after="0"/>
              <w:jc w:val="center"/>
            </w:pPr>
            <w:r>
              <w:t>(5.7-8.5)</w:t>
            </w:r>
          </w:p>
        </w:tc>
      </w:tr>
      <w:tr w:rsidR="004D74BA" w14:paraId="0D2E6F47" w14:textId="77777777" w:rsidTr="00DB6918">
        <w:tc>
          <w:tcPr>
            <w:tcW w:w="3369" w:type="dxa"/>
            <w:tcBorders>
              <w:bottom w:val="nil"/>
            </w:tcBorders>
          </w:tcPr>
          <w:p w14:paraId="7104DDA5" w14:textId="77777777" w:rsidR="004D74BA" w:rsidRDefault="004D74BA" w:rsidP="008B40FA">
            <w:r w:rsidRPr="008C3CF4">
              <w:t>P value</w:t>
            </w:r>
          </w:p>
        </w:tc>
        <w:tc>
          <w:tcPr>
            <w:tcW w:w="3242" w:type="dxa"/>
            <w:gridSpan w:val="2"/>
            <w:tcBorders>
              <w:bottom w:val="nil"/>
            </w:tcBorders>
          </w:tcPr>
          <w:p w14:paraId="62B800AB" w14:textId="77777777" w:rsidR="004D74BA" w:rsidRDefault="004D74BA" w:rsidP="004D74BA">
            <w:pPr>
              <w:jc w:val="center"/>
            </w:pPr>
            <w:r w:rsidRPr="004D74BA">
              <w:t>&lt; 0.001</w:t>
            </w:r>
          </w:p>
        </w:tc>
        <w:tc>
          <w:tcPr>
            <w:tcW w:w="3243" w:type="dxa"/>
            <w:gridSpan w:val="2"/>
            <w:tcBorders>
              <w:bottom w:val="nil"/>
            </w:tcBorders>
          </w:tcPr>
          <w:p w14:paraId="47FE9888" w14:textId="77777777" w:rsidR="004D74BA" w:rsidRDefault="004D74BA" w:rsidP="004D74BA">
            <w:pPr>
              <w:jc w:val="center"/>
            </w:pPr>
            <w:r w:rsidRPr="004D74BA">
              <w:t>&lt; 0.001</w:t>
            </w:r>
          </w:p>
        </w:tc>
      </w:tr>
      <w:tr w:rsidR="004D74BA" w14:paraId="23B22794" w14:textId="77777777" w:rsidTr="00DB6918">
        <w:tc>
          <w:tcPr>
            <w:tcW w:w="3369" w:type="dxa"/>
            <w:tcBorders>
              <w:top w:val="nil"/>
              <w:bottom w:val="single" w:sz="4" w:space="0" w:color="auto"/>
            </w:tcBorders>
          </w:tcPr>
          <w:p w14:paraId="496FB06A" w14:textId="77777777" w:rsidR="004D74BA" w:rsidRDefault="004D74BA" w:rsidP="00256789">
            <w:pPr>
              <w:spacing w:after="0"/>
            </w:pPr>
            <w:r w:rsidRPr="008C3CF4">
              <w:t>Hazard ratio (95</w:t>
            </w:r>
            <w:r w:rsidR="00534F76">
              <w:t>%</w:t>
            </w:r>
            <w:r w:rsidRPr="008C3CF4">
              <w:t xml:space="preserve"> CI)</w:t>
            </w:r>
          </w:p>
        </w:tc>
        <w:tc>
          <w:tcPr>
            <w:tcW w:w="3242" w:type="dxa"/>
            <w:gridSpan w:val="2"/>
            <w:tcBorders>
              <w:top w:val="nil"/>
              <w:bottom w:val="single" w:sz="4" w:space="0" w:color="auto"/>
            </w:tcBorders>
          </w:tcPr>
          <w:p w14:paraId="5CCFA022" w14:textId="77777777" w:rsidR="004D74BA" w:rsidRDefault="004D74BA" w:rsidP="00256789">
            <w:pPr>
              <w:spacing w:after="0"/>
              <w:jc w:val="center"/>
            </w:pPr>
            <w:r w:rsidRPr="004D74BA">
              <w:t>0.31 (0.21-0.48)</w:t>
            </w:r>
          </w:p>
        </w:tc>
        <w:tc>
          <w:tcPr>
            <w:tcW w:w="3243" w:type="dxa"/>
            <w:gridSpan w:val="2"/>
            <w:tcBorders>
              <w:top w:val="nil"/>
              <w:bottom w:val="single" w:sz="4" w:space="0" w:color="auto"/>
            </w:tcBorders>
          </w:tcPr>
          <w:p w14:paraId="243F1916" w14:textId="77777777" w:rsidR="004D74BA" w:rsidRDefault="004D74BA" w:rsidP="00256789">
            <w:pPr>
              <w:spacing w:after="0"/>
              <w:jc w:val="center"/>
            </w:pPr>
            <w:r w:rsidRPr="004D74BA">
              <w:t>0.55 (0.41-0.72)</w:t>
            </w:r>
          </w:p>
        </w:tc>
      </w:tr>
      <w:tr w:rsidR="008C3CF4" w14:paraId="34E1AF18" w14:textId="77777777" w:rsidTr="00DB6918">
        <w:tc>
          <w:tcPr>
            <w:tcW w:w="3369" w:type="dxa"/>
            <w:tcBorders>
              <w:top w:val="single" w:sz="4" w:space="0" w:color="auto"/>
            </w:tcBorders>
          </w:tcPr>
          <w:p w14:paraId="04A5104B" w14:textId="77777777" w:rsidR="008C3CF4" w:rsidRDefault="004D74BA" w:rsidP="004D74BA">
            <w:pPr>
              <w:jc w:val="left"/>
            </w:pPr>
            <w:r w:rsidRPr="004D74BA">
              <w:lastRenderedPageBreak/>
              <w:t>Progression-free survival 2</w:t>
            </w:r>
          </w:p>
        </w:tc>
        <w:tc>
          <w:tcPr>
            <w:tcW w:w="1621" w:type="dxa"/>
            <w:tcBorders>
              <w:top w:val="single" w:sz="4" w:space="0" w:color="auto"/>
            </w:tcBorders>
          </w:tcPr>
          <w:p w14:paraId="4B6EB136" w14:textId="77777777" w:rsidR="008C3CF4" w:rsidRDefault="008C3CF4" w:rsidP="008B40FA"/>
        </w:tc>
        <w:tc>
          <w:tcPr>
            <w:tcW w:w="1621" w:type="dxa"/>
            <w:tcBorders>
              <w:top w:val="single" w:sz="4" w:space="0" w:color="auto"/>
            </w:tcBorders>
          </w:tcPr>
          <w:p w14:paraId="709145A6" w14:textId="77777777" w:rsidR="008C3CF4" w:rsidRDefault="008C3CF4" w:rsidP="008B40FA"/>
        </w:tc>
        <w:tc>
          <w:tcPr>
            <w:tcW w:w="1621" w:type="dxa"/>
            <w:tcBorders>
              <w:top w:val="single" w:sz="4" w:space="0" w:color="auto"/>
            </w:tcBorders>
          </w:tcPr>
          <w:p w14:paraId="1029D3C4" w14:textId="77777777" w:rsidR="008C3CF4" w:rsidRDefault="008C3CF4" w:rsidP="008B40FA"/>
        </w:tc>
        <w:tc>
          <w:tcPr>
            <w:tcW w:w="1622" w:type="dxa"/>
            <w:tcBorders>
              <w:top w:val="single" w:sz="4" w:space="0" w:color="auto"/>
            </w:tcBorders>
          </w:tcPr>
          <w:p w14:paraId="2FADAD64" w14:textId="77777777" w:rsidR="008C3CF4" w:rsidRDefault="008C3CF4" w:rsidP="008B40FA"/>
        </w:tc>
      </w:tr>
      <w:tr w:rsidR="004D74BA" w14:paraId="4C151C5C" w14:textId="77777777" w:rsidTr="00DB6918">
        <w:tc>
          <w:tcPr>
            <w:tcW w:w="3369" w:type="dxa"/>
          </w:tcPr>
          <w:p w14:paraId="5106F66C" w14:textId="77777777" w:rsidR="004D74BA" w:rsidRPr="004D74BA" w:rsidRDefault="004D74BA" w:rsidP="004D74BA">
            <w:pPr>
              <w:jc w:val="left"/>
            </w:pPr>
            <w:r w:rsidRPr="004D74BA">
              <w:t>Median (95</w:t>
            </w:r>
            <w:r w:rsidR="00534F76">
              <w:t>%</w:t>
            </w:r>
            <w:r w:rsidRPr="004D74BA">
              <w:t xml:space="preserve"> CI) – mo</w:t>
            </w:r>
            <w:r w:rsidR="00AF0C17">
              <w:t>nths</w:t>
            </w:r>
          </w:p>
        </w:tc>
        <w:tc>
          <w:tcPr>
            <w:tcW w:w="1621" w:type="dxa"/>
          </w:tcPr>
          <w:p w14:paraId="13286ABF" w14:textId="77777777" w:rsidR="004D74BA" w:rsidRDefault="004D74BA" w:rsidP="004D74BA">
            <w:pPr>
              <w:spacing w:after="0"/>
              <w:jc w:val="center"/>
            </w:pPr>
            <w:r>
              <w:t>25.8</w:t>
            </w:r>
          </w:p>
          <w:p w14:paraId="1093EF3E" w14:textId="77777777" w:rsidR="004D74BA" w:rsidRDefault="004D74BA" w:rsidP="004D74BA">
            <w:pPr>
              <w:spacing w:after="0"/>
              <w:jc w:val="center"/>
            </w:pPr>
            <w:r>
              <w:t>(20.3-NR)</w:t>
            </w:r>
          </w:p>
        </w:tc>
        <w:tc>
          <w:tcPr>
            <w:tcW w:w="1621" w:type="dxa"/>
          </w:tcPr>
          <w:p w14:paraId="164DC670" w14:textId="77777777" w:rsidR="004D74BA" w:rsidRDefault="004D74BA" w:rsidP="004D74BA">
            <w:pPr>
              <w:spacing w:after="0"/>
              <w:jc w:val="center"/>
            </w:pPr>
            <w:r>
              <w:t>19.5</w:t>
            </w:r>
          </w:p>
          <w:p w14:paraId="40C270E8" w14:textId="77777777" w:rsidR="004D74BA" w:rsidRDefault="004D74BA" w:rsidP="004D74BA">
            <w:pPr>
              <w:spacing w:after="0"/>
              <w:jc w:val="center"/>
            </w:pPr>
            <w:r>
              <w:t>(13.3-NR)</w:t>
            </w:r>
          </w:p>
        </w:tc>
        <w:tc>
          <w:tcPr>
            <w:tcW w:w="1621" w:type="dxa"/>
          </w:tcPr>
          <w:p w14:paraId="7E725349" w14:textId="77777777" w:rsidR="004D74BA" w:rsidRDefault="004D74BA" w:rsidP="004D74BA">
            <w:pPr>
              <w:spacing w:after="0"/>
              <w:jc w:val="center"/>
            </w:pPr>
            <w:r>
              <w:t>18.6</w:t>
            </w:r>
          </w:p>
          <w:p w14:paraId="02F22404" w14:textId="77777777" w:rsidR="004D74BA" w:rsidRDefault="004D74BA" w:rsidP="004D74BA">
            <w:pPr>
              <w:spacing w:after="0"/>
              <w:jc w:val="center"/>
            </w:pPr>
            <w:r>
              <w:t>(16.2-21.7)</w:t>
            </w:r>
          </w:p>
        </w:tc>
        <w:tc>
          <w:tcPr>
            <w:tcW w:w="1622" w:type="dxa"/>
          </w:tcPr>
          <w:p w14:paraId="1E5C50BF" w14:textId="77777777" w:rsidR="004D74BA" w:rsidRDefault="004D74BA" w:rsidP="004D74BA">
            <w:pPr>
              <w:spacing w:after="0"/>
              <w:jc w:val="center"/>
            </w:pPr>
            <w:r>
              <w:t>15.6</w:t>
            </w:r>
          </w:p>
          <w:p w14:paraId="56927812" w14:textId="77777777" w:rsidR="004D74BA" w:rsidRDefault="004D74BA" w:rsidP="00ED2B3E">
            <w:pPr>
              <w:spacing w:after="0"/>
              <w:jc w:val="center"/>
            </w:pPr>
            <w:r>
              <w:t>(13.2-20.9)</w:t>
            </w:r>
          </w:p>
        </w:tc>
      </w:tr>
      <w:tr w:rsidR="004D74BA" w14:paraId="4EA00468" w14:textId="77777777" w:rsidTr="00DB6918">
        <w:tc>
          <w:tcPr>
            <w:tcW w:w="3369" w:type="dxa"/>
          </w:tcPr>
          <w:p w14:paraId="60EDDCBF" w14:textId="77777777" w:rsidR="004D74BA" w:rsidRPr="004D74BA" w:rsidRDefault="004D74BA" w:rsidP="00ED2B3E">
            <w:pPr>
              <w:spacing w:after="0"/>
            </w:pPr>
            <w:r w:rsidRPr="004D74BA">
              <w:t>P value</w:t>
            </w:r>
          </w:p>
        </w:tc>
        <w:tc>
          <w:tcPr>
            <w:tcW w:w="3242" w:type="dxa"/>
            <w:gridSpan w:val="2"/>
          </w:tcPr>
          <w:p w14:paraId="203A77BC" w14:textId="77777777" w:rsidR="004D74BA" w:rsidRDefault="004D74BA" w:rsidP="00ED2B3E">
            <w:pPr>
              <w:spacing w:after="0"/>
              <w:jc w:val="center"/>
            </w:pPr>
            <w:r w:rsidRPr="004D74BA">
              <w:t>0.006</w:t>
            </w:r>
          </w:p>
        </w:tc>
        <w:tc>
          <w:tcPr>
            <w:tcW w:w="3243" w:type="dxa"/>
            <w:gridSpan w:val="2"/>
          </w:tcPr>
          <w:p w14:paraId="7E1033CC" w14:textId="77777777" w:rsidR="004D74BA" w:rsidRDefault="004D74BA" w:rsidP="00ED2B3E">
            <w:pPr>
              <w:spacing w:after="0"/>
              <w:jc w:val="center"/>
            </w:pPr>
            <w:r w:rsidRPr="004D74BA">
              <w:t>0.03</w:t>
            </w:r>
          </w:p>
        </w:tc>
      </w:tr>
      <w:tr w:rsidR="004D74BA" w14:paraId="53F330CD" w14:textId="77777777" w:rsidTr="00DB6918">
        <w:tc>
          <w:tcPr>
            <w:tcW w:w="3369" w:type="dxa"/>
          </w:tcPr>
          <w:p w14:paraId="6BD5E7D0" w14:textId="77777777" w:rsidR="004D74BA" w:rsidRPr="004D74BA" w:rsidRDefault="004D74BA" w:rsidP="004D74BA">
            <w:pPr>
              <w:spacing w:after="0"/>
              <w:jc w:val="left"/>
            </w:pPr>
            <w:r w:rsidRPr="004D74BA">
              <w:t>Hazard ratio (95</w:t>
            </w:r>
            <w:r w:rsidR="00534F76">
              <w:t>%</w:t>
            </w:r>
            <w:r w:rsidRPr="004D74BA">
              <w:t xml:space="preserve"> CI)</w:t>
            </w:r>
          </w:p>
        </w:tc>
        <w:tc>
          <w:tcPr>
            <w:tcW w:w="3242" w:type="dxa"/>
            <w:gridSpan w:val="2"/>
          </w:tcPr>
          <w:p w14:paraId="082B1532" w14:textId="77777777" w:rsidR="004D74BA" w:rsidRDefault="004D74BA" w:rsidP="004D74BA">
            <w:pPr>
              <w:spacing w:after="0"/>
              <w:jc w:val="center"/>
            </w:pPr>
            <w:r w:rsidRPr="004D74BA">
              <w:t>0.48 (0.28-0.82)</w:t>
            </w:r>
          </w:p>
        </w:tc>
        <w:tc>
          <w:tcPr>
            <w:tcW w:w="3243" w:type="dxa"/>
            <w:gridSpan w:val="2"/>
          </w:tcPr>
          <w:p w14:paraId="77D8D1BD" w14:textId="77777777" w:rsidR="004D74BA" w:rsidRDefault="004D74BA" w:rsidP="004D74BA">
            <w:pPr>
              <w:spacing w:after="0"/>
              <w:jc w:val="center"/>
            </w:pPr>
            <w:r w:rsidRPr="004D74BA">
              <w:t>0.69 (0.49-0.96)</w:t>
            </w:r>
          </w:p>
        </w:tc>
      </w:tr>
    </w:tbl>
    <w:p w14:paraId="33A40D1A" w14:textId="77777777" w:rsidR="00D444AD" w:rsidRDefault="004D74BA" w:rsidP="008B40FA">
      <w:r w:rsidRPr="004D74BA">
        <w:t xml:space="preserve">*CI denotes confidence interval, </w:t>
      </w:r>
      <w:proofErr w:type="spellStart"/>
      <w:r w:rsidRPr="004D74BA">
        <w:t>g</w:t>
      </w:r>
      <w:r w:rsidR="00C93C3B" w:rsidRPr="00C93C3B">
        <w:rPr>
          <w:i/>
        </w:rPr>
        <w:t>BRCA</w:t>
      </w:r>
      <w:r w:rsidRPr="004D74BA">
        <w:t>mut</w:t>
      </w:r>
      <w:proofErr w:type="spellEnd"/>
      <w:r w:rsidRPr="004D74BA">
        <w:t xml:space="preserve"> germline </w:t>
      </w:r>
      <w:r w:rsidR="00C93C3B" w:rsidRPr="00C93C3B">
        <w:rPr>
          <w:i/>
        </w:rPr>
        <w:t>BRCA</w:t>
      </w:r>
      <w:r w:rsidRPr="004D74BA">
        <w:t xml:space="preserve"> mutation, and NR not reached</w:t>
      </w:r>
    </w:p>
    <w:p w14:paraId="3797761D" w14:textId="77777777" w:rsidR="00A94D8F" w:rsidRDefault="004D74BA" w:rsidP="00BF0D6B">
      <w:pPr>
        <w:spacing w:after="120"/>
      </w:pPr>
      <w:r>
        <w:t xml:space="preserve">Patient-reported outcome (PRO) data from validated survey tools (FOSI and EQ-5D) indicate that </w:t>
      </w:r>
      <w:r w:rsidR="00985B60">
        <w:t>ZEJULA</w:t>
      </w:r>
      <w:r>
        <w:t>-treated patients reported no difference from placebo in measures associated with quality of life (QoL).</w:t>
      </w:r>
      <w:r w:rsidR="00A94D8F" w:rsidRPr="00A94D8F">
        <w:t xml:space="preserve"> </w:t>
      </w:r>
    </w:p>
    <w:p w14:paraId="2FC7D24A" w14:textId="505D5EFF" w:rsidR="00DC0883" w:rsidRPr="00604393" w:rsidRDefault="00A94D8F" w:rsidP="004D74BA">
      <w:r w:rsidRPr="00A94D8F">
        <w:t>At the time of the PFS analysis, limited overall survival data were available with 17% deaths across the two cohorts.</w:t>
      </w:r>
    </w:p>
    <w:p w14:paraId="7D0CE45C" w14:textId="77777777" w:rsidR="007E4EF4" w:rsidRPr="007E4EF4" w:rsidRDefault="007E4EF4" w:rsidP="007E4EF4">
      <w:pPr>
        <w:pStyle w:val="Heading1"/>
        <w:numPr>
          <w:ilvl w:val="1"/>
          <w:numId w:val="33"/>
        </w:numPr>
        <w:tabs>
          <w:tab w:val="left" w:pos="567"/>
        </w:tabs>
        <w:ind w:left="567" w:hanging="567"/>
      </w:pPr>
      <w:r w:rsidRPr="007E4EF4">
        <w:t xml:space="preserve">PHARMACOKINETIC PROPERTIES </w:t>
      </w:r>
    </w:p>
    <w:p w14:paraId="72A18725" w14:textId="77777777" w:rsidR="007E4EF4" w:rsidRPr="007E4EF4" w:rsidRDefault="007E4EF4" w:rsidP="00105E46">
      <w:pPr>
        <w:pStyle w:val="Heading2"/>
      </w:pPr>
      <w:r w:rsidRPr="007E4EF4">
        <w:t xml:space="preserve">Absorption </w:t>
      </w:r>
    </w:p>
    <w:p w14:paraId="39CA7BAC" w14:textId="77777777" w:rsidR="00FD0121" w:rsidRDefault="00FD0121" w:rsidP="00BF0D6B">
      <w:pPr>
        <w:spacing w:after="120"/>
      </w:pPr>
      <w:r>
        <w:t>Following a single-dose administration of 300 mg niraparib under fasting conditions, niraparib was measurable in plasma within 30 minutes and the mean peak plasma concentration (</w:t>
      </w:r>
      <w:proofErr w:type="spellStart"/>
      <w:r>
        <w:t>Cmax</w:t>
      </w:r>
      <w:proofErr w:type="spellEnd"/>
      <w:r>
        <w:t xml:space="preserve">) for </w:t>
      </w:r>
      <w:proofErr w:type="spellStart"/>
      <w:r>
        <w:t>niraparib</w:t>
      </w:r>
      <w:proofErr w:type="spellEnd"/>
      <w:r>
        <w:t xml:space="preserve"> was reached in about 3 hours [804 ng/mL (% CV:50.2</w:t>
      </w:r>
      <w:r w:rsidR="00534F76">
        <w:t>%</w:t>
      </w:r>
      <w:r>
        <w:t>)]. Following multiple oral doses of niraparib from 30 mg to 400 mg once daily, accumulation of niraparib was approximately 2 to 3 folds.</w:t>
      </w:r>
    </w:p>
    <w:p w14:paraId="27F7383F" w14:textId="77777777" w:rsidR="00FD0121" w:rsidRDefault="00FD0121" w:rsidP="00BF0D6B">
      <w:pPr>
        <w:spacing w:after="120"/>
      </w:pPr>
      <w:r>
        <w:t>The systemic exposures (</w:t>
      </w:r>
      <w:proofErr w:type="spellStart"/>
      <w:r>
        <w:t>C</w:t>
      </w:r>
      <w:r w:rsidRPr="000B394B">
        <w:rPr>
          <w:vertAlign w:val="subscript"/>
        </w:rPr>
        <w:t>max</w:t>
      </w:r>
      <w:proofErr w:type="spellEnd"/>
      <w:r>
        <w:t xml:space="preserve"> and AUC) to niraparib increased in a dose-proportional manner when the dose of niraparib increased from 30 mg to 400 mg. The absolute bioavailability of niraparib is approximately 73</w:t>
      </w:r>
      <w:r w:rsidR="00534F76">
        <w:t>%</w:t>
      </w:r>
      <w:r>
        <w:t>, indicating minimal first pass effect.</w:t>
      </w:r>
    </w:p>
    <w:p w14:paraId="6EC4615A" w14:textId="683C05EE" w:rsidR="00EC6943" w:rsidRPr="00B564A9" w:rsidRDefault="00EC6943" w:rsidP="00EC6943">
      <w:pPr>
        <w:pStyle w:val="CommentText"/>
        <w:rPr>
          <w:rFonts w:ascii="Calibri" w:hAnsi="Calibri"/>
          <w:sz w:val="22"/>
          <w:szCs w:val="22"/>
          <w:lang w:val="en-US"/>
        </w:rPr>
      </w:pPr>
      <w:r>
        <w:rPr>
          <w:sz w:val="22"/>
          <w:szCs w:val="22"/>
        </w:rPr>
        <w:t xml:space="preserve">Administration of Zejula (3 x 100 mg) with a high-fat high-calorie </w:t>
      </w:r>
      <w:r w:rsidRPr="00B564A9">
        <w:rPr>
          <w:sz w:val="22"/>
          <w:szCs w:val="22"/>
        </w:rPr>
        <w:t xml:space="preserve">meal may result in a slight decrease in </w:t>
      </w:r>
      <w:proofErr w:type="spellStart"/>
      <w:r w:rsidRPr="00B564A9">
        <w:rPr>
          <w:sz w:val="22"/>
          <w:szCs w:val="22"/>
        </w:rPr>
        <w:t>C</w:t>
      </w:r>
      <w:r w:rsidRPr="00B564A9">
        <w:rPr>
          <w:sz w:val="14"/>
          <w:szCs w:val="14"/>
        </w:rPr>
        <w:t>max</w:t>
      </w:r>
      <w:proofErr w:type="spellEnd"/>
      <w:r w:rsidRPr="00B564A9">
        <w:rPr>
          <w:sz w:val="14"/>
          <w:szCs w:val="14"/>
        </w:rPr>
        <w:t xml:space="preserve"> </w:t>
      </w:r>
      <w:r w:rsidRPr="00B564A9">
        <w:rPr>
          <w:sz w:val="22"/>
          <w:szCs w:val="22"/>
        </w:rPr>
        <w:t>(~20%) relative to administration of Zejula (3 x 100 mg) under fasted conditions. Food did not significantly affect the overall exposure of niraparib (AUC</w:t>
      </w:r>
      <w:r w:rsidRPr="00B564A9">
        <w:rPr>
          <w:sz w:val="14"/>
          <w:szCs w:val="14"/>
        </w:rPr>
        <w:t>T</w:t>
      </w:r>
      <w:r w:rsidRPr="00B564A9">
        <w:rPr>
          <w:sz w:val="22"/>
          <w:szCs w:val="22"/>
        </w:rPr>
        <w:t xml:space="preserve"> and AUC</w:t>
      </w:r>
      <w:r w:rsidR="00255995">
        <w:rPr>
          <w:rFonts w:cs="Arial"/>
          <w:sz w:val="22"/>
          <w:szCs w:val="22"/>
          <w:vertAlign w:val="subscript"/>
        </w:rPr>
        <w:t>∞</w:t>
      </w:r>
      <w:r w:rsidRPr="00B564A9">
        <w:rPr>
          <w:sz w:val="22"/>
          <w:szCs w:val="22"/>
        </w:rPr>
        <w:t>).</w:t>
      </w:r>
    </w:p>
    <w:p w14:paraId="6DC7B5B7" w14:textId="77777777" w:rsidR="00217334" w:rsidRPr="007E4EF4" w:rsidRDefault="007E4EF4" w:rsidP="00105E46">
      <w:pPr>
        <w:pStyle w:val="Heading2"/>
      </w:pPr>
      <w:r w:rsidRPr="007E4EF4">
        <w:t>Distribution</w:t>
      </w:r>
    </w:p>
    <w:p w14:paraId="219321C5" w14:textId="77777777" w:rsidR="00FD0121" w:rsidRDefault="00FD0121" w:rsidP="00FD0121">
      <w:r>
        <w:t>Niraparib was moderately protein bound in human plasma (83.0</w:t>
      </w:r>
      <w:r w:rsidR="00534F76">
        <w:t>%</w:t>
      </w:r>
      <w:r>
        <w:t xml:space="preserve">), mainly with serum albumin. In a population pharmacokinetic analysis of </w:t>
      </w:r>
      <w:proofErr w:type="spellStart"/>
      <w:r>
        <w:t>niraparib</w:t>
      </w:r>
      <w:proofErr w:type="spellEnd"/>
      <w:r>
        <w:t xml:space="preserve">, the </w:t>
      </w:r>
      <w:proofErr w:type="spellStart"/>
      <w:r>
        <w:t>Vd</w:t>
      </w:r>
      <w:proofErr w:type="spellEnd"/>
      <w:r>
        <w:t>/F was 1,074 L in cancer patients, indicating extensive tissue distribution of niraparib.</w:t>
      </w:r>
    </w:p>
    <w:p w14:paraId="248358D0" w14:textId="77777777" w:rsidR="007E4EF4" w:rsidRDefault="007E4EF4" w:rsidP="00105E46">
      <w:pPr>
        <w:pStyle w:val="Heading2"/>
      </w:pPr>
      <w:r>
        <w:t xml:space="preserve">Metabolism </w:t>
      </w:r>
    </w:p>
    <w:p w14:paraId="5DF2D9A9" w14:textId="77777777" w:rsidR="00FD0121" w:rsidRDefault="00FD0121" w:rsidP="00FD0121">
      <w:r>
        <w:t>Niraparib is metabolised primarily by carboxylesterases (CEs) to form a major inactive metabolite, M1. In a mass balance study, M1 and M10 (the subsequently formed M1 glucuronides) were the major circulating metabolites.</w:t>
      </w:r>
    </w:p>
    <w:p w14:paraId="489507C7" w14:textId="77777777" w:rsidR="007E4EF4" w:rsidRDefault="007E4EF4" w:rsidP="00105E46">
      <w:pPr>
        <w:pStyle w:val="Heading2"/>
      </w:pPr>
      <w:r>
        <w:t xml:space="preserve">Excretion </w:t>
      </w:r>
    </w:p>
    <w:p w14:paraId="18583FE7" w14:textId="77777777" w:rsidR="00FD0121" w:rsidRDefault="00FD0121" w:rsidP="00BF0D6B">
      <w:pPr>
        <w:spacing w:after="120"/>
      </w:pPr>
      <w:r>
        <w:t>Following a single oral 300-mg dose of niraparib, the mean terminal half-life (t</w:t>
      </w:r>
      <w:r w:rsidRPr="000B394B">
        <w:rPr>
          <w:vertAlign w:val="subscript"/>
        </w:rPr>
        <w:t>½</w:t>
      </w:r>
      <w:r>
        <w:t>) of niraparib ranged from 48 to 51 hours (approximately 2 days). In a population pharmacokinetic analysis, the apparent total clearance (CL/F) of niraparib was 16.2 L/h in cancer patients.</w:t>
      </w:r>
    </w:p>
    <w:p w14:paraId="0C9835E5" w14:textId="77777777" w:rsidR="00FD0121" w:rsidRDefault="00FD0121" w:rsidP="00FD0121">
      <w:r>
        <w:t>Niraparib is eliminated primarily through the hepatobiliary and renal routes. Following an oral administration of a single 300-mg dose of [14C]-niraparib, on average 86.2</w:t>
      </w:r>
      <w:r w:rsidR="00534F76">
        <w:t>%</w:t>
      </w:r>
      <w:r>
        <w:t xml:space="preserve"> (range 71</w:t>
      </w:r>
      <w:r w:rsidR="00534F76">
        <w:t>%</w:t>
      </w:r>
      <w:r>
        <w:t xml:space="preserve"> to 91</w:t>
      </w:r>
      <w:r w:rsidR="00534F76">
        <w:t>%</w:t>
      </w:r>
      <w:r>
        <w:t xml:space="preserve">) of the </w:t>
      </w:r>
      <w:r>
        <w:lastRenderedPageBreak/>
        <w:t>dose was recovered in urine and f</w:t>
      </w:r>
      <w:r w:rsidR="0032554B">
        <w:t>a</w:t>
      </w:r>
      <w:r>
        <w:t>eces over 21 days. Radioactive recovery in the urine accounted for 47.5</w:t>
      </w:r>
      <w:r w:rsidR="00534F76">
        <w:t>%</w:t>
      </w:r>
      <w:r>
        <w:t xml:space="preserve"> (range 33.4</w:t>
      </w:r>
      <w:r w:rsidR="00534F76">
        <w:t>%</w:t>
      </w:r>
      <w:r>
        <w:t xml:space="preserve"> to 60.2</w:t>
      </w:r>
      <w:r w:rsidR="00534F76">
        <w:t>%</w:t>
      </w:r>
      <w:r>
        <w:t>) and in the f</w:t>
      </w:r>
      <w:r w:rsidR="0032554B">
        <w:t>a</w:t>
      </w:r>
      <w:r>
        <w:t>eces for 38.8</w:t>
      </w:r>
      <w:r w:rsidR="00534F76">
        <w:t>%</w:t>
      </w:r>
      <w:r>
        <w:t xml:space="preserve"> (range 28.3</w:t>
      </w:r>
      <w:r w:rsidR="00534F76">
        <w:t>%</w:t>
      </w:r>
      <w:r>
        <w:t xml:space="preserve"> to 47.0</w:t>
      </w:r>
      <w:r w:rsidR="00534F76">
        <w:t>%</w:t>
      </w:r>
      <w:r>
        <w:t>) of the dose. In pooled samples collected over 6 days, 40.0</w:t>
      </w:r>
      <w:r w:rsidR="00534F76">
        <w:t>%</w:t>
      </w:r>
      <w:r>
        <w:t xml:space="preserve"> of the dose was recovered in the urine primarily as metabolites and 31.6</w:t>
      </w:r>
      <w:r w:rsidR="00534F76">
        <w:t>%</w:t>
      </w:r>
      <w:r>
        <w:t xml:space="preserve"> of the dose was recovered in the f</w:t>
      </w:r>
      <w:r w:rsidR="0032554B">
        <w:t>a</w:t>
      </w:r>
      <w:r>
        <w:t>eces primarily as unchanged niraparib.</w:t>
      </w:r>
    </w:p>
    <w:p w14:paraId="465855C7" w14:textId="77777777" w:rsidR="00FD0121" w:rsidRDefault="00FD0121" w:rsidP="00ED0E25">
      <w:pPr>
        <w:pStyle w:val="Heading2"/>
      </w:pPr>
      <w:r>
        <w:t>Special populations</w:t>
      </w:r>
    </w:p>
    <w:p w14:paraId="45DF86FD" w14:textId="77777777" w:rsidR="00FD0121" w:rsidRDefault="00FD0121" w:rsidP="00ED0E25">
      <w:pPr>
        <w:pStyle w:val="Heading2"/>
      </w:pPr>
      <w:r>
        <w:t>Renal impairment</w:t>
      </w:r>
    </w:p>
    <w:p w14:paraId="2B4A6DA1" w14:textId="77777777" w:rsidR="00FD0121" w:rsidRDefault="00FD0121" w:rsidP="00FD0121">
      <w:r>
        <w:t>In the population pharmacokinetic analysis of data from clinical studies in patients, pre-existing mild (</w:t>
      </w:r>
      <w:proofErr w:type="spellStart"/>
      <w:r>
        <w:t>CLCr</w:t>
      </w:r>
      <w:proofErr w:type="spellEnd"/>
      <w:r>
        <w:t xml:space="preserve"> &lt; 90 - ≥ 60 ml/min) and moderate (</w:t>
      </w:r>
      <w:proofErr w:type="spellStart"/>
      <w:r>
        <w:t>CLCr</w:t>
      </w:r>
      <w:proofErr w:type="spellEnd"/>
      <w:r>
        <w:t xml:space="preserve"> &lt; 60 - ≥ 30 mL/min) renal impairment did not influence the clearance of niraparib. No patients with pre-existing severe renal impairment or end</w:t>
      </w:r>
      <w:r w:rsidR="003C6273">
        <w:noBreakHyphen/>
      </w:r>
      <w:r>
        <w:t xml:space="preserve">stage renal disease undergoing </w:t>
      </w:r>
      <w:proofErr w:type="spellStart"/>
      <w:r>
        <w:t>hemodialysis</w:t>
      </w:r>
      <w:proofErr w:type="spellEnd"/>
      <w:r>
        <w:t xml:space="preserve"> were identified in clinical studies (</w:t>
      </w:r>
      <w:r w:rsidR="00026D79">
        <w:t>see Section 4.2 Dose and Method of Administration</w:t>
      </w:r>
      <w:r>
        <w:t>).</w:t>
      </w:r>
    </w:p>
    <w:p w14:paraId="615C8B88" w14:textId="77777777" w:rsidR="00FD0121" w:rsidRDefault="00FD0121" w:rsidP="00ED0E25">
      <w:pPr>
        <w:pStyle w:val="Heading2"/>
      </w:pPr>
      <w:r>
        <w:t>Hepatic impairment</w:t>
      </w:r>
    </w:p>
    <w:p w14:paraId="3661DCA3" w14:textId="77777777" w:rsidR="00FD0121" w:rsidRDefault="00FD0121" w:rsidP="00FD0121">
      <w:r>
        <w:t>In the population pharmacokinetic analysis of data from clinical studies in patients, pre-existing mild</w:t>
      </w:r>
      <w:r w:rsidR="00ED0E25">
        <w:t xml:space="preserve"> </w:t>
      </w:r>
      <w:r>
        <w:t>and moderate hepatic impairment did not influence the clearance of niraparib. The pharmacokinetics</w:t>
      </w:r>
      <w:r w:rsidR="00ED0E25">
        <w:t xml:space="preserve"> </w:t>
      </w:r>
      <w:r>
        <w:t>of niraparib have not been assessed in patients with severe hepatic impairment (</w:t>
      </w:r>
      <w:r w:rsidR="00026D79">
        <w:t>see Section 4.2 Dose and Method of Administration</w:t>
      </w:r>
      <w:r>
        <w:t>).</w:t>
      </w:r>
    </w:p>
    <w:p w14:paraId="635A3932" w14:textId="77777777" w:rsidR="00FD0121" w:rsidRDefault="00FD0121" w:rsidP="00ED0E25">
      <w:pPr>
        <w:pStyle w:val="Heading2"/>
      </w:pPr>
      <w:r>
        <w:t>Age, weight and race</w:t>
      </w:r>
    </w:p>
    <w:p w14:paraId="17512728" w14:textId="77777777" w:rsidR="00FD0121" w:rsidRDefault="00FD0121" w:rsidP="00FD0121">
      <w:r>
        <w:t>Population pharmacokinetic analyses indicated that age, weight and race had no significant impact on</w:t>
      </w:r>
      <w:r w:rsidR="00ED0E25">
        <w:t xml:space="preserve"> </w:t>
      </w:r>
      <w:r>
        <w:t>the pharmacokinetics of niraparib.</w:t>
      </w:r>
    </w:p>
    <w:p w14:paraId="1F57E3E7" w14:textId="77777777" w:rsidR="00FD0121" w:rsidRDefault="00FD0121" w:rsidP="00ED0E25">
      <w:pPr>
        <w:pStyle w:val="Heading2"/>
      </w:pPr>
      <w:r>
        <w:t>Paediatric population</w:t>
      </w:r>
    </w:p>
    <w:p w14:paraId="09CEDB81" w14:textId="77777777" w:rsidR="00FD0121" w:rsidRDefault="00FD0121" w:rsidP="00ED0E25">
      <w:r>
        <w:t xml:space="preserve">No studies </w:t>
      </w:r>
      <w:r w:rsidR="00ED0E25">
        <w:t>have been conducted to investigate the pharmacokinetics of niraparib in paediatric patients.</w:t>
      </w:r>
    </w:p>
    <w:p w14:paraId="5FC79B62" w14:textId="77777777" w:rsidR="007E4EF4" w:rsidRDefault="007E4EF4" w:rsidP="007E4EF4">
      <w:pPr>
        <w:pStyle w:val="Heading1"/>
        <w:numPr>
          <w:ilvl w:val="1"/>
          <w:numId w:val="33"/>
        </w:numPr>
        <w:tabs>
          <w:tab w:val="left" w:pos="567"/>
        </w:tabs>
        <w:ind w:left="567" w:hanging="567"/>
      </w:pPr>
      <w:r>
        <w:t>PRECLINICAL</w:t>
      </w:r>
      <w:r w:rsidR="000B394B">
        <w:t xml:space="preserve"> </w:t>
      </w:r>
      <w:r>
        <w:t xml:space="preserve">SAFETY DATA </w:t>
      </w:r>
    </w:p>
    <w:p w14:paraId="07A0EF4C" w14:textId="77777777" w:rsidR="007E4EF4" w:rsidRDefault="007E4EF4" w:rsidP="00105E46">
      <w:pPr>
        <w:pStyle w:val="Heading2"/>
      </w:pPr>
      <w:r>
        <w:t xml:space="preserve">Genotoxicity </w:t>
      </w:r>
    </w:p>
    <w:p w14:paraId="4408F147" w14:textId="77777777" w:rsidR="00223ACB" w:rsidRPr="00947F99" w:rsidRDefault="009A0E02" w:rsidP="009A0E02">
      <w:pPr>
        <w:rPr>
          <w:highlight w:val="yellow"/>
        </w:rPr>
      </w:pPr>
      <w:r>
        <w:t xml:space="preserve">Niraparib was not mutagenic in a bacterial reverse mutation assay (Ames) test but was clastogenic in an in vitro mammalian chromosomal aberration assay and in an </w:t>
      </w:r>
      <w:r w:rsidR="00C25CC6" w:rsidRPr="00C25CC6">
        <w:rPr>
          <w:i/>
        </w:rPr>
        <w:t>in vivo</w:t>
      </w:r>
      <w:r>
        <w:t xml:space="preserve"> rat bone marrow micronucleus assay. This </w:t>
      </w:r>
      <w:proofErr w:type="spellStart"/>
      <w:r>
        <w:t>clastogenicity</w:t>
      </w:r>
      <w:proofErr w:type="spellEnd"/>
      <w:r>
        <w:t xml:space="preserve"> is consistent with genomic instability resulting from the primary pharmacology of niraparib and indicates potential for genotoxicity in humans.</w:t>
      </w:r>
    </w:p>
    <w:p w14:paraId="261D1340" w14:textId="77777777" w:rsidR="007E4EF4" w:rsidRDefault="007E4EF4" w:rsidP="00105E46">
      <w:pPr>
        <w:pStyle w:val="Heading2"/>
      </w:pPr>
      <w:r>
        <w:t xml:space="preserve">Carcinogenicity </w:t>
      </w:r>
    </w:p>
    <w:p w14:paraId="44784BA7" w14:textId="77777777" w:rsidR="009A0E02" w:rsidRDefault="009A0E02" w:rsidP="00540338">
      <w:r w:rsidRPr="009A0E02">
        <w:t>Carcinogenicity studies have not been conducted with niraparib.</w:t>
      </w:r>
    </w:p>
    <w:p w14:paraId="55FB117F" w14:textId="4C616609" w:rsidR="009A0E02" w:rsidRDefault="004C4EE8" w:rsidP="009A0E02">
      <w:pPr>
        <w:pStyle w:val="Heading2"/>
      </w:pPr>
      <w:r w:rsidRPr="004C4EE8">
        <w:t xml:space="preserve">Animal </w:t>
      </w:r>
      <w:r w:rsidR="00D849B1">
        <w:t xml:space="preserve">pharmacology and </w:t>
      </w:r>
      <w:r w:rsidRPr="004C4EE8">
        <w:t xml:space="preserve">toxicology </w:t>
      </w:r>
    </w:p>
    <w:p w14:paraId="1BDB0816" w14:textId="488D263A" w:rsidR="009A0E02" w:rsidRDefault="009A0E02" w:rsidP="009A0E02">
      <w:r w:rsidRPr="009E2D5B">
        <w:rPr>
          <w:i/>
        </w:rPr>
        <w:t>In vitro</w:t>
      </w:r>
      <w:r>
        <w:t xml:space="preserve">, niraparib inhibited dopamine </w:t>
      </w:r>
      <w:r w:rsidR="00386310">
        <w:t>(</w:t>
      </w:r>
      <w:r>
        <w:t>DAT</w:t>
      </w:r>
      <w:r w:rsidR="00386310">
        <w:t>)</w:t>
      </w:r>
      <w:r>
        <w:t xml:space="preserve"> </w:t>
      </w:r>
      <w:r w:rsidR="00386310" w:rsidRPr="00386310">
        <w:t xml:space="preserve">and norepinephrine (NET) transporters </w:t>
      </w:r>
      <w:r>
        <w:t xml:space="preserve">at concentration levels below </w:t>
      </w:r>
      <w:r w:rsidR="00386310" w:rsidRPr="00386310">
        <w:t xml:space="preserve">anticipated </w:t>
      </w:r>
      <w:r>
        <w:t>human exposure levels</w:t>
      </w:r>
      <w:r w:rsidR="00386310" w:rsidRPr="00386310">
        <w:t xml:space="preserve"> (based on unbound </w:t>
      </w:r>
      <w:proofErr w:type="spellStart"/>
      <w:r w:rsidR="00386310" w:rsidRPr="00386310">
        <w:t>C</w:t>
      </w:r>
      <w:r w:rsidR="00386310" w:rsidRPr="00A22A72">
        <w:rPr>
          <w:vertAlign w:val="subscript"/>
        </w:rPr>
        <w:t>max</w:t>
      </w:r>
      <w:proofErr w:type="spellEnd"/>
      <w:r w:rsidR="00386310" w:rsidRPr="00386310">
        <w:t>)</w:t>
      </w:r>
      <w:r>
        <w:t xml:space="preserve">. In mice, single doses of niraparib increased intracellular levels of dopamine and metabolites in </w:t>
      </w:r>
      <w:r w:rsidR="00135719">
        <w:t xml:space="preserve">the </w:t>
      </w:r>
      <w:r>
        <w:t>cortex. Reduced locomotor activity was seen in one of two single dose studies in mice. The clinical relevance of these findings is not known</w:t>
      </w:r>
      <w:r w:rsidR="00386310" w:rsidRPr="00386310">
        <w:t xml:space="preserve"> but effects on blood pressure and pulse rate that may be related to inhibition of these transporters have occurred in patients.</w:t>
      </w:r>
    </w:p>
    <w:p w14:paraId="5C19D338" w14:textId="77777777" w:rsidR="009A0E02" w:rsidRPr="00540338" w:rsidRDefault="009A0E02" w:rsidP="009A0E02">
      <w:pPr>
        <w:rPr>
          <w:highlight w:val="yellow"/>
        </w:rPr>
      </w:pPr>
      <w:r>
        <w:lastRenderedPageBreak/>
        <w:t>In repeat-dose oral toxicity studies, niraparib was administered daily for up to 3 months’ duration in rats and dogs. The major primary target organ for toxicity in both species was the bone marrow, with associated changes in peripheral haematology parameters. Additionally, decreased spermatogenesis was seen in both species. These findings occurred at exposure levels below those seen clinically, and were largely reversible within 4 weeks of cessation of dosing</w:t>
      </w:r>
      <w:r w:rsidR="00386310" w:rsidRPr="00386310">
        <w:t xml:space="preserve"> in dogs but not rats</w:t>
      </w:r>
      <w:r>
        <w:t>.</w:t>
      </w:r>
    </w:p>
    <w:p w14:paraId="65C903D4" w14:textId="77777777" w:rsidR="007E4EF4" w:rsidRDefault="007E4EF4" w:rsidP="00223ACB">
      <w:pPr>
        <w:pStyle w:val="Heading1"/>
        <w:numPr>
          <w:ilvl w:val="0"/>
          <w:numId w:val="33"/>
        </w:numPr>
        <w:tabs>
          <w:tab w:val="left" w:pos="567"/>
        </w:tabs>
        <w:ind w:left="567" w:hanging="567"/>
      </w:pPr>
      <w:r>
        <w:t xml:space="preserve">PHARMACEUTICAL PARTICULARS </w:t>
      </w:r>
    </w:p>
    <w:p w14:paraId="6BA4B8D9" w14:textId="77777777" w:rsidR="007E4EF4" w:rsidRDefault="007E4EF4" w:rsidP="00223ACB">
      <w:pPr>
        <w:pStyle w:val="Heading1"/>
        <w:numPr>
          <w:ilvl w:val="1"/>
          <w:numId w:val="33"/>
        </w:numPr>
        <w:tabs>
          <w:tab w:val="left" w:pos="567"/>
        </w:tabs>
        <w:ind w:left="567" w:hanging="567"/>
      </w:pPr>
      <w:r>
        <w:t xml:space="preserve">LIST OF EXCIPIENTS </w:t>
      </w:r>
    </w:p>
    <w:p w14:paraId="29545F0F" w14:textId="77777777" w:rsidR="009A0E02" w:rsidRDefault="009A0E02" w:rsidP="00E5496F">
      <w:pPr>
        <w:pStyle w:val="Heading3"/>
      </w:pPr>
      <w:r w:rsidRPr="00561A49">
        <w:t>Capsule content:</w:t>
      </w:r>
    </w:p>
    <w:p w14:paraId="24CF909A" w14:textId="77777777" w:rsidR="00561A49" w:rsidRDefault="00561A49" w:rsidP="00561A49">
      <w:pPr>
        <w:spacing w:after="0"/>
      </w:pPr>
      <w:r w:rsidRPr="00561A49">
        <w:t>lactose monohydrate</w:t>
      </w:r>
      <w:r w:rsidR="00392291">
        <w:t xml:space="preserve">, </w:t>
      </w:r>
      <w:r w:rsidRPr="00561A49">
        <w:t>magnesium stearate</w:t>
      </w:r>
    </w:p>
    <w:p w14:paraId="49EB28BB" w14:textId="77777777" w:rsidR="009A0E02" w:rsidRDefault="009A0E02" w:rsidP="00E5496F">
      <w:pPr>
        <w:pStyle w:val="Heading3"/>
      </w:pPr>
      <w:r w:rsidRPr="00561A49">
        <w:t>Capsule shell</w:t>
      </w:r>
      <w:r>
        <w:t>:</w:t>
      </w:r>
    </w:p>
    <w:p w14:paraId="5D865E08" w14:textId="77777777" w:rsidR="00561A49" w:rsidRDefault="00561A49" w:rsidP="00561A49">
      <w:pPr>
        <w:spacing w:after="0"/>
      </w:pPr>
      <w:r w:rsidRPr="00561A49">
        <w:t>titanium dioxide</w:t>
      </w:r>
      <w:r w:rsidR="00392291">
        <w:t xml:space="preserve">, </w:t>
      </w:r>
      <w:proofErr w:type="spellStart"/>
      <w:r w:rsidRPr="00561A49">
        <w:t>gelatin</w:t>
      </w:r>
      <w:proofErr w:type="spellEnd"/>
      <w:r w:rsidR="00392291">
        <w:t xml:space="preserve">, </w:t>
      </w:r>
      <w:r w:rsidRPr="00561A49">
        <w:t>brilliant blue FCF</w:t>
      </w:r>
      <w:r w:rsidR="00392291">
        <w:t xml:space="preserve">, </w:t>
      </w:r>
      <w:r w:rsidRPr="00561A49">
        <w:t>erythrosine</w:t>
      </w:r>
      <w:r w:rsidR="00392291">
        <w:t xml:space="preserve">, </w:t>
      </w:r>
      <w:r w:rsidRPr="00561A49">
        <w:t>tartrazine</w:t>
      </w:r>
    </w:p>
    <w:p w14:paraId="06D2396B" w14:textId="29FF4565" w:rsidR="009A0E02" w:rsidRDefault="009A0E02" w:rsidP="00E5496F">
      <w:pPr>
        <w:pStyle w:val="Heading3"/>
      </w:pPr>
      <w:r w:rsidRPr="00561A49">
        <w:t>Printing ink</w:t>
      </w:r>
      <w:r w:rsidR="00F07889">
        <w:t>s</w:t>
      </w:r>
      <w:r>
        <w:t>:</w:t>
      </w:r>
    </w:p>
    <w:p w14:paraId="49F16F8C" w14:textId="239E6462" w:rsidR="00223ACB" w:rsidRDefault="00FC6058" w:rsidP="00561A49">
      <w:pPr>
        <w:spacing w:after="0"/>
        <w:rPr>
          <w:highlight w:val="yellow"/>
        </w:rPr>
      </w:pPr>
      <w:r>
        <w:t>Black Ink</w:t>
      </w:r>
      <w:r w:rsidR="0088575A">
        <w:t>;</w:t>
      </w:r>
      <w:r w:rsidR="00D6479E">
        <w:t xml:space="preserve"> SW-9040 (PI:12418)</w:t>
      </w:r>
      <w:r>
        <w:t>. White Ink</w:t>
      </w:r>
      <w:r w:rsidR="0088575A">
        <w:t>;</w:t>
      </w:r>
      <w:r w:rsidR="0081530C" w:rsidRPr="0081530C">
        <w:t xml:space="preserve"> </w:t>
      </w:r>
      <w:proofErr w:type="spellStart"/>
      <w:r w:rsidR="0081530C" w:rsidRPr="0081530C">
        <w:t>TekPrint</w:t>
      </w:r>
      <w:proofErr w:type="spellEnd"/>
      <w:r w:rsidR="0081530C" w:rsidRPr="0081530C">
        <w:t xml:space="preserve"> SB-0007P White Ink (PI 2216)</w:t>
      </w:r>
      <w:r w:rsidR="00B135D9">
        <w:t>.</w:t>
      </w:r>
    </w:p>
    <w:p w14:paraId="4E51381B" w14:textId="77777777" w:rsidR="007E4EF4" w:rsidRPr="00223ACB" w:rsidRDefault="007E4EF4" w:rsidP="00223ACB">
      <w:pPr>
        <w:pStyle w:val="Heading1"/>
        <w:numPr>
          <w:ilvl w:val="1"/>
          <w:numId w:val="33"/>
        </w:numPr>
        <w:tabs>
          <w:tab w:val="left" w:pos="567"/>
        </w:tabs>
        <w:ind w:left="567" w:hanging="567"/>
      </w:pPr>
      <w:r w:rsidRPr="00223ACB">
        <w:t xml:space="preserve">INCOMPATIBILITIES </w:t>
      </w:r>
    </w:p>
    <w:p w14:paraId="1CE25361" w14:textId="77777777" w:rsidR="00641EE5" w:rsidRPr="00641EE5" w:rsidRDefault="00641EE5" w:rsidP="007E4EF4">
      <w:r w:rsidRPr="00641EE5">
        <w:t>Not applicable.</w:t>
      </w:r>
    </w:p>
    <w:p w14:paraId="31A57579" w14:textId="77777777" w:rsidR="00223ACB" w:rsidRDefault="007E4EF4" w:rsidP="00223ACB">
      <w:pPr>
        <w:pStyle w:val="Heading1"/>
        <w:numPr>
          <w:ilvl w:val="1"/>
          <w:numId w:val="33"/>
        </w:numPr>
        <w:tabs>
          <w:tab w:val="left" w:pos="567"/>
        </w:tabs>
        <w:ind w:left="567" w:hanging="567"/>
      </w:pPr>
      <w:r>
        <w:t xml:space="preserve">SHELF LIFE </w:t>
      </w:r>
    </w:p>
    <w:p w14:paraId="33987681" w14:textId="77777777" w:rsidR="00223ACB" w:rsidRPr="00641EE5" w:rsidRDefault="007E4EF4" w:rsidP="007E4EF4">
      <w:r w:rsidRPr="00641EE5">
        <w:t xml:space="preserve">In Australia, information on the shelf life can be found on the public summary of the Australian Register of Therapeutic Goods (ARTG). The expiry date </w:t>
      </w:r>
      <w:r w:rsidR="00641EE5" w:rsidRPr="00641EE5">
        <w:t>can be found on the packaging.</w:t>
      </w:r>
    </w:p>
    <w:p w14:paraId="7B06FAA4" w14:textId="77777777" w:rsidR="00223ACB" w:rsidRDefault="007E4EF4" w:rsidP="00223ACB">
      <w:pPr>
        <w:pStyle w:val="Heading1"/>
        <w:numPr>
          <w:ilvl w:val="1"/>
          <w:numId w:val="33"/>
        </w:numPr>
        <w:tabs>
          <w:tab w:val="left" w:pos="567"/>
        </w:tabs>
        <w:ind w:left="567" w:hanging="567"/>
      </w:pPr>
      <w:r>
        <w:t xml:space="preserve">SPECIAL PRECAUTIONS FOR STORAGE </w:t>
      </w:r>
    </w:p>
    <w:p w14:paraId="55CA663B" w14:textId="73880DFB" w:rsidR="00641EE5" w:rsidRPr="00641EE5" w:rsidRDefault="00641EE5" w:rsidP="007E4EF4">
      <w:r w:rsidRPr="00641EE5">
        <w:t xml:space="preserve">Store below </w:t>
      </w:r>
      <w:r w:rsidR="00FE552C">
        <w:t>25</w:t>
      </w:r>
      <w:r w:rsidRPr="00641EE5">
        <w:rPr>
          <w:vertAlign w:val="superscript"/>
        </w:rPr>
        <w:t xml:space="preserve"> </w:t>
      </w:r>
      <w:r w:rsidRPr="00641EE5">
        <w:rPr>
          <w:rFonts w:cs="Arial"/>
          <w:vertAlign w:val="superscript"/>
        </w:rPr>
        <w:t>ͦ</w:t>
      </w:r>
      <w:r w:rsidR="00604393">
        <w:rPr>
          <w:rFonts w:cs="Arial"/>
          <w:vertAlign w:val="superscript"/>
        </w:rPr>
        <w:t xml:space="preserve"> </w:t>
      </w:r>
      <w:r w:rsidRPr="00641EE5">
        <w:t>C.</w:t>
      </w:r>
    </w:p>
    <w:p w14:paraId="50C0BAA0" w14:textId="77777777" w:rsidR="00223ACB" w:rsidRDefault="007E4EF4" w:rsidP="00223ACB">
      <w:pPr>
        <w:pStyle w:val="Heading1"/>
        <w:numPr>
          <w:ilvl w:val="1"/>
          <w:numId w:val="33"/>
        </w:numPr>
        <w:tabs>
          <w:tab w:val="left" w:pos="567"/>
        </w:tabs>
        <w:ind w:left="567" w:hanging="567"/>
      </w:pPr>
      <w:r>
        <w:t xml:space="preserve">NATURE AND CONTENTS OF CONTAINER </w:t>
      </w:r>
    </w:p>
    <w:p w14:paraId="0CC47A20" w14:textId="77777777" w:rsidR="00641EE5" w:rsidRDefault="00641EE5" w:rsidP="00641EE5">
      <w:proofErr w:type="spellStart"/>
      <w:r>
        <w:t>Aclar</w:t>
      </w:r>
      <w:proofErr w:type="spellEnd"/>
      <w:r>
        <w:t xml:space="preserve">/PVC/aluminium foil perforated unit dose blisters in cartons of </w:t>
      </w:r>
      <w:r w:rsidR="00F4534E">
        <w:t xml:space="preserve">28, </w:t>
      </w:r>
      <w:r>
        <w:t xml:space="preserve">56, and </w:t>
      </w:r>
      <w:r w:rsidR="00F4534E">
        <w:t>84</w:t>
      </w:r>
      <w:r>
        <w:t xml:space="preserve"> capsules.</w:t>
      </w:r>
    </w:p>
    <w:p w14:paraId="688DC39D" w14:textId="0F728AC2" w:rsidR="003B6478" w:rsidRDefault="003B6478" w:rsidP="00641EE5">
      <w:r w:rsidRPr="003B6478">
        <w:t xml:space="preserve">HDPE </w:t>
      </w:r>
      <w:r>
        <w:t>b</w:t>
      </w:r>
      <w:r w:rsidRPr="003B6478">
        <w:t>ottle</w:t>
      </w:r>
      <w:r>
        <w:t xml:space="preserve">s </w:t>
      </w:r>
      <w:r w:rsidR="00FE552C" w:rsidRPr="00FE552C">
        <w:t>with a polypropylene (PP) child</w:t>
      </w:r>
      <w:r w:rsidR="009C4E20">
        <w:t>-</w:t>
      </w:r>
      <w:r w:rsidR="00FE552C" w:rsidRPr="00FE552C">
        <w:t xml:space="preserve">resistant closure </w:t>
      </w:r>
      <w:r>
        <w:t>containing 90 capsules.</w:t>
      </w:r>
    </w:p>
    <w:p w14:paraId="21963B66" w14:textId="77777777" w:rsidR="00641EE5" w:rsidRPr="00223ACB" w:rsidRDefault="00641EE5" w:rsidP="00641EE5">
      <w:pPr>
        <w:rPr>
          <w:highlight w:val="yellow"/>
        </w:rPr>
      </w:pPr>
      <w:r w:rsidRPr="00641EE5">
        <w:t>Not all presentations may be marketed.</w:t>
      </w:r>
    </w:p>
    <w:p w14:paraId="1B7177F9" w14:textId="77777777" w:rsidR="00A048AF" w:rsidRDefault="00A048AF" w:rsidP="00A048AF">
      <w:pPr>
        <w:pStyle w:val="Heading1"/>
        <w:numPr>
          <w:ilvl w:val="1"/>
          <w:numId w:val="33"/>
        </w:numPr>
        <w:tabs>
          <w:tab w:val="left" w:pos="567"/>
        </w:tabs>
        <w:ind w:left="567" w:hanging="567"/>
      </w:pPr>
      <w:r>
        <w:t xml:space="preserve">SPECIAL PRECAUTIONS FOR DISPOSAL </w:t>
      </w:r>
    </w:p>
    <w:p w14:paraId="6C6C89ED" w14:textId="4E2EDB86" w:rsidR="00B564A9" w:rsidRDefault="00A048AF" w:rsidP="00EC4C17">
      <w:r w:rsidRPr="00084326">
        <w:t xml:space="preserve">In Australia, any unused medicine or waste material should be disposed of by </w:t>
      </w:r>
      <w:r w:rsidR="00084326" w:rsidRPr="00084326">
        <w:t>taking to your local pharmacy.</w:t>
      </w:r>
    </w:p>
    <w:p w14:paraId="02660C82" w14:textId="77777777" w:rsidR="00A048AF" w:rsidRDefault="00A048AF" w:rsidP="00A048AF">
      <w:pPr>
        <w:pStyle w:val="Heading1"/>
        <w:numPr>
          <w:ilvl w:val="1"/>
          <w:numId w:val="33"/>
        </w:numPr>
        <w:tabs>
          <w:tab w:val="left" w:pos="567"/>
        </w:tabs>
        <w:ind w:left="567" w:hanging="567"/>
      </w:pPr>
      <w:r>
        <w:lastRenderedPageBreak/>
        <w:t xml:space="preserve">PHYSICOCHEMICAL PROPERTIES </w:t>
      </w:r>
    </w:p>
    <w:p w14:paraId="1FFA96FE" w14:textId="77777777" w:rsidR="00A048AF" w:rsidRDefault="00A048AF" w:rsidP="00105E46">
      <w:pPr>
        <w:pStyle w:val="Heading2"/>
      </w:pPr>
      <w:r>
        <w:t xml:space="preserve">Chemical structure </w:t>
      </w:r>
    </w:p>
    <w:p w14:paraId="6B7F57DA" w14:textId="0E7DC2FF" w:rsidR="00084326" w:rsidRDefault="00084326" w:rsidP="00084326">
      <w:r>
        <w:t>The chemical name for niraparib</w:t>
      </w:r>
      <w:r w:rsidR="00C14436" w:rsidRPr="00C14436">
        <w:t xml:space="preserve"> tosilate monohydrate</w:t>
      </w:r>
      <w:r>
        <w:t xml:space="preserve"> is </w:t>
      </w:r>
      <w:r w:rsidR="00386310" w:rsidRPr="00B135D9">
        <w:t>(3S)-3-{4-[7-(aminocarbonyl)-2H-indazol-2-yl]phenyl}piperidinium 4-methylbenzenesulfonate monohydrate</w:t>
      </w:r>
      <w:r>
        <w:t xml:space="preserve">. The molecular formula is </w:t>
      </w:r>
      <w:r w:rsidR="003226FD" w:rsidRPr="003226FD">
        <w:t>C</w:t>
      </w:r>
      <w:r w:rsidR="003226FD" w:rsidRPr="003226FD">
        <w:rPr>
          <w:vertAlign w:val="subscript"/>
        </w:rPr>
        <w:t>19</w:t>
      </w:r>
      <w:r w:rsidR="003226FD" w:rsidRPr="003226FD">
        <w:t>H</w:t>
      </w:r>
      <w:r w:rsidR="003226FD" w:rsidRPr="003226FD">
        <w:rPr>
          <w:vertAlign w:val="subscript"/>
        </w:rPr>
        <w:t>20</w:t>
      </w:r>
      <w:r w:rsidR="003226FD" w:rsidRPr="003226FD">
        <w:t>N</w:t>
      </w:r>
      <w:r w:rsidR="003226FD" w:rsidRPr="003226FD">
        <w:rPr>
          <w:vertAlign w:val="subscript"/>
        </w:rPr>
        <w:t>4</w:t>
      </w:r>
      <w:r w:rsidR="003226FD" w:rsidRPr="003226FD">
        <w:t>•</w:t>
      </w:r>
      <w:r w:rsidR="0088575A">
        <w:t>O</w:t>
      </w:r>
      <w:r w:rsidR="003226FD" w:rsidRPr="003226FD">
        <w:t>C</w:t>
      </w:r>
      <w:r w:rsidR="003226FD" w:rsidRPr="003226FD">
        <w:rPr>
          <w:vertAlign w:val="subscript"/>
        </w:rPr>
        <w:t>7</w:t>
      </w:r>
      <w:r w:rsidR="003226FD" w:rsidRPr="003226FD">
        <w:t>H</w:t>
      </w:r>
      <w:r w:rsidR="003226FD" w:rsidRPr="003226FD">
        <w:rPr>
          <w:vertAlign w:val="subscript"/>
        </w:rPr>
        <w:t>8</w:t>
      </w:r>
      <w:r w:rsidR="003226FD" w:rsidRPr="003226FD">
        <w:t>O</w:t>
      </w:r>
      <w:r w:rsidR="003226FD" w:rsidRPr="003226FD">
        <w:rPr>
          <w:vertAlign w:val="subscript"/>
        </w:rPr>
        <w:t>3</w:t>
      </w:r>
      <w:r w:rsidR="003226FD" w:rsidRPr="003226FD">
        <w:t>S•H</w:t>
      </w:r>
      <w:r w:rsidR="003226FD" w:rsidRPr="003226FD">
        <w:rPr>
          <w:vertAlign w:val="subscript"/>
        </w:rPr>
        <w:t>2</w:t>
      </w:r>
      <w:r w:rsidR="003226FD" w:rsidRPr="003226FD">
        <w:t>O</w:t>
      </w:r>
      <w:r>
        <w:t xml:space="preserve"> which corresponds to a formula weight of </w:t>
      </w:r>
      <w:r w:rsidR="003226FD" w:rsidRPr="003226FD">
        <w:t>510.61</w:t>
      </w:r>
      <w:r>
        <w:t xml:space="preserve"> g/mol. </w:t>
      </w:r>
      <w:r w:rsidR="003226FD" w:rsidRPr="003226FD">
        <w:t>Niraparib tos</w:t>
      </w:r>
      <w:r w:rsidR="003226FD">
        <w:t>i</w:t>
      </w:r>
      <w:r w:rsidR="003226FD" w:rsidRPr="003226FD">
        <w:t xml:space="preserve">late </w:t>
      </w:r>
      <w:r w:rsidR="007244AA">
        <w:t>monohydrate has one chiral cent</w:t>
      </w:r>
      <w:r w:rsidR="003226FD" w:rsidRPr="003226FD">
        <w:t>r</w:t>
      </w:r>
      <w:r w:rsidR="007244AA">
        <w:t>e</w:t>
      </w:r>
      <w:r w:rsidR="003226FD" w:rsidRPr="003226FD">
        <w:t xml:space="preserve"> of the S configuration</w:t>
      </w:r>
      <w:r w:rsidR="003226FD">
        <w:t xml:space="preserve">. </w:t>
      </w:r>
      <w:r>
        <w:t>The chemical structure is shown below:</w:t>
      </w:r>
    </w:p>
    <w:p w14:paraId="15206AAB" w14:textId="1183310F" w:rsidR="007244AA" w:rsidRDefault="003226FD" w:rsidP="007244AA">
      <w:r>
        <w:rPr>
          <w:noProof/>
          <w:lang w:eastAsia="en-AU"/>
        </w:rPr>
        <w:drawing>
          <wp:anchor distT="0" distB="0" distL="114300" distR="114300" simplePos="0" relativeHeight="251658240" behindDoc="0" locked="0" layoutInCell="1" allowOverlap="1" wp14:anchorId="7BA3C89B" wp14:editId="5553E3B5">
            <wp:simplePos x="0" y="0"/>
            <wp:positionH relativeFrom="column">
              <wp:align>left</wp:align>
            </wp:positionH>
            <wp:positionV relativeFrom="paragraph">
              <wp:align>top</wp:align>
            </wp:positionV>
            <wp:extent cx="3867150" cy="1419225"/>
            <wp:effectExtent l="0" t="0" r="0" b="952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67150" cy="1419225"/>
                    </a:xfrm>
                    <a:prstGeom prst="rect">
                      <a:avLst/>
                    </a:prstGeom>
                  </pic:spPr>
                </pic:pic>
              </a:graphicData>
            </a:graphic>
          </wp:anchor>
        </w:drawing>
      </w:r>
      <w:r w:rsidR="00C14436">
        <w:rPr>
          <w:highlight w:val="yellow"/>
        </w:rPr>
        <w:br w:type="textWrapping" w:clear="all"/>
      </w:r>
      <w:r w:rsidR="007244AA" w:rsidRPr="007244AA">
        <w:t>Niraparib tos</w:t>
      </w:r>
      <w:r w:rsidR="00985B60">
        <w:t>i</w:t>
      </w:r>
      <w:r w:rsidR="007244AA" w:rsidRPr="007244AA">
        <w:t>late monohydrate is a white to pale brown powder.</w:t>
      </w:r>
    </w:p>
    <w:p w14:paraId="17A8EC9A" w14:textId="77777777" w:rsidR="00A048AF" w:rsidRPr="00DA0A7F" w:rsidRDefault="00A048AF" w:rsidP="00105E46">
      <w:pPr>
        <w:pStyle w:val="Heading2"/>
        <w:rPr>
          <w:lang w:val="fr-FR"/>
        </w:rPr>
      </w:pPr>
      <w:r w:rsidRPr="00DA0A7F">
        <w:rPr>
          <w:lang w:val="fr-FR"/>
        </w:rPr>
        <w:t xml:space="preserve">CAS </w:t>
      </w:r>
      <w:proofErr w:type="spellStart"/>
      <w:r w:rsidRPr="00DA0A7F">
        <w:rPr>
          <w:lang w:val="fr-FR"/>
        </w:rPr>
        <w:t>number</w:t>
      </w:r>
      <w:proofErr w:type="spellEnd"/>
      <w:r w:rsidRPr="00DA0A7F">
        <w:rPr>
          <w:lang w:val="fr-FR"/>
        </w:rPr>
        <w:t xml:space="preserve"> </w:t>
      </w:r>
    </w:p>
    <w:p w14:paraId="4689988D" w14:textId="77777777" w:rsidR="008763C3" w:rsidRPr="00DA0A7F" w:rsidRDefault="008763C3" w:rsidP="007244AA">
      <w:pPr>
        <w:spacing w:after="0"/>
        <w:rPr>
          <w:highlight w:val="yellow"/>
          <w:lang w:val="fr-FR"/>
        </w:rPr>
      </w:pPr>
      <w:r w:rsidRPr="00DA0A7F">
        <w:rPr>
          <w:lang w:val="fr-FR"/>
        </w:rPr>
        <w:t>1038915-60-4 (</w:t>
      </w:r>
      <w:proofErr w:type="spellStart"/>
      <w:r w:rsidRPr="00DA0A7F">
        <w:rPr>
          <w:lang w:val="fr-FR"/>
        </w:rPr>
        <w:t>niraparib</w:t>
      </w:r>
      <w:proofErr w:type="spellEnd"/>
      <w:r w:rsidRPr="00DA0A7F">
        <w:rPr>
          <w:lang w:val="fr-FR"/>
        </w:rPr>
        <w:t>)</w:t>
      </w:r>
    </w:p>
    <w:p w14:paraId="27AE3370" w14:textId="77777777" w:rsidR="008763C3" w:rsidRPr="00DA0A7F" w:rsidRDefault="008763C3" w:rsidP="007244AA">
      <w:pPr>
        <w:spacing w:after="0"/>
        <w:rPr>
          <w:lang w:val="fr-FR"/>
        </w:rPr>
      </w:pPr>
      <w:r w:rsidRPr="00DA0A7F">
        <w:rPr>
          <w:lang w:val="fr-FR"/>
        </w:rPr>
        <w:t>1613220-15-7 (</w:t>
      </w:r>
      <w:proofErr w:type="spellStart"/>
      <w:r w:rsidRPr="00DA0A7F">
        <w:rPr>
          <w:lang w:val="fr-FR"/>
        </w:rPr>
        <w:t>niraparib</w:t>
      </w:r>
      <w:proofErr w:type="spellEnd"/>
      <w:r w:rsidRPr="00DA0A7F">
        <w:rPr>
          <w:lang w:val="fr-FR"/>
        </w:rPr>
        <w:t xml:space="preserve"> </w:t>
      </w:r>
      <w:proofErr w:type="spellStart"/>
      <w:r w:rsidRPr="00DA0A7F">
        <w:rPr>
          <w:lang w:val="fr-FR"/>
        </w:rPr>
        <w:t>tosilate</w:t>
      </w:r>
      <w:proofErr w:type="spellEnd"/>
      <w:r w:rsidRPr="00DA0A7F">
        <w:rPr>
          <w:lang w:val="fr-FR"/>
        </w:rPr>
        <w:t xml:space="preserve"> monohydrate) </w:t>
      </w:r>
    </w:p>
    <w:p w14:paraId="60F81DD6" w14:textId="77777777" w:rsidR="00A048AF" w:rsidRPr="00A048AF" w:rsidRDefault="00A048AF" w:rsidP="00A048AF">
      <w:pPr>
        <w:pStyle w:val="Heading1"/>
        <w:numPr>
          <w:ilvl w:val="0"/>
          <w:numId w:val="33"/>
        </w:numPr>
        <w:tabs>
          <w:tab w:val="left" w:pos="567"/>
        </w:tabs>
        <w:ind w:left="567" w:hanging="567"/>
      </w:pPr>
      <w:r w:rsidRPr="00A048AF">
        <w:t xml:space="preserve">MEDICINE SCHEDULE (POISONS STANDARD) </w:t>
      </w:r>
    </w:p>
    <w:p w14:paraId="299D85E4" w14:textId="77777777" w:rsidR="00E33958" w:rsidRDefault="00E33958" w:rsidP="00A048AF">
      <w:pPr>
        <w:rPr>
          <w:highlight w:val="yellow"/>
        </w:rPr>
      </w:pPr>
      <w:r w:rsidRPr="00E33958">
        <w:t>Prescription Only Medicine (Schedule 4)</w:t>
      </w:r>
    </w:p>
    <w:p w14:paraId="1B264BEE" w14:textId="77777777" w:rsidR="00A048AF" w:rsidRPr="00A048AF" w:rsidRDefault="00A048AF" w:rsidP="00A048AF">
      <w:pPr>
        <w:pStyle w:val="Heading1"/>
        <w:numPr>
          <w:ilvl w:val="0"/>
          <w:numId w:val="33"/>
        </w:numPr>
        <w:tabs>
          <w:tab w:val="left" w:pos="567"/>
        </w:tabs>
        <w:ind w:left="567" w:hanging="567"/>
      </w:pPr>
      <w:r w:rsidRPr="00A048AF">
        <w:t xml:space="preserve">SPONSOR </w:t>
      </w:r>
    </w:p>
    <w:p w14:paraId="273BA39B" w14:textId="77777777" w:rsidR="00E33958" w:rsidRDefault="00E33958" w:rsidP="00E33958">
      <w:pPr>
        <w:spacing w:after="0"/>
      </w:pPr>
      <w:r>
        <w:t>Takeda Pharmaceuticals Australia Pty Ltd</w:t>
      </w:r>
    </w:p>
    <w:p w14:paraId="3600495A" w14:textId="77777777" w:rsidR="00E33958" w:rsidRDefault="00E33958" w:rsidP="00E33958">
      <w:pPr>
        <w:spacing w:after="0"/>
      </w:pPr>
      <w:r>
        <w:t>Level 5</w:t>
      </w:r>
    </w:p>
    <w:p w14:paraId="440AC595" w14:textId="77777777" w:rsidR="00E33958" w:rsidRDefault="00E33958" w:rsidP="00E33958">
      <w:pPr>
        <w:spacing w:after="0"/>
      </w:pPr>
      <w:r>
        <w:t>2 Chifley Square</w:t>
      </w:r>
    </w:p>
    <w:p w14:paraId="6C4AAE55" w14:textId="77777777" w:rsidR="00E33958" w:rsidRDefault="00E33958" w:rsidP="00E33958">
      <w:pPr>
        <w:spacing w:after="0"/>
      </w:pPr>
      <w:r>
        <w:t>Sydney NSW 2000</w:t>
      </w:r>
    </w:p>
    <w:p w14:paraId="080EDE7B" w14:textId="01556CB4" w:rsidR="00DA0A7F" w:rsidRDefault="00E33958" w:rsidP="00E33958">
      <w:pPr>
        <w:spacing w:after="0"/>
      </w:pPr>
      <w:r>
        <w:t>Ph: 1800 675 957</w:t>
      </w:r>
    </w:p>
    <w:p w14:paraId="4537E1E6" w14:textId="77777777" w:rsidR="00DA0A7F" w:rsidRDefault="00DA0A7F">
      <w:pPr>
        <w:spacing w:after="0"/>
        <w:jc w:val="left"/>
      </w:pPr>
      <w:r>
        <w:br w:type="page"/>
      </w:r>
    </w:p>
    <w:p w14:paraId="3D79C1DE" w14:textId="77777777" w:rsidR="009A7D32" w:rsidRDefault="009A7D32" w:rsidP="009A7D32">
      <w:pPr>
        <w:pStyle w:val="Heading1"/>
        <w:numPr>
          <w:ilvl w:val="0"/>
          <w:numId w:val="33"/>
        </w:numPr>
        <w:tabs>
          <w:tab w:val="left" w:pos="567"/>
        </w:tabs>
        <w:ind w:left="567" w:hanging="567"/>
      </w:pPr>
      <w:r>
        <w:lastRenderedPageBreak/>
        <w:t xml:space="preserve">DATE OF FIRST APPROVAL </w:t>
      </w:r>
    </w:p>
    <w:p w14:paraId="030F296F" w14:textId="125A495C" w:rsidR="00E33958" w:rsidRPr="009A7D32" w:rsidRDefault="00DA0A7F" w:rsidP="009A7D32">
      <w:pPr>
        <w:rPr>
          <w:highlight w:val="yellow"/>
        </w:rPr>
      </w:pPr>
      <w:r>
        <w:t>28 June 2019</w:t>
      </w:r>
    </w:p>
    <w:p w14:paraId="77B53B3F" w14:textId="77777777" w:rsidR="009A7D32" w:rsidRDefault="009A7D32" w:rsidP="009A7D32">
      <w:pPr>
        <w:pStyle w:val="Heading1"/>
        <w:numPr>
          <w:ilvl w:val="0"/>
          <w:numId w:val="33"/>
        </w:numPr>
        <w:tabs>
          <w:tab w:val="left" w:pos="567"/>
        </w:tabs>
        <w:ind w:left="567" w:hanging="567"/>
      </w:pPr>
      <w:r>
        <w:t xml:space="preserve">DATE OF REVISION </w:t>
      </w:r>
    </w:p>
    <w:p w14:paraId="7EAEDB5E" w14:textId="61F0969F" w:rsidR="00E33958" w:rsidRPr="009A7D32" w:rsidRDefault="00E33958" w:rsidP="009A7D32">
      <w:pPr>
        <w:rPr>
          <w:highlight w:val="yellow"/>
        </w:rPr>
      </w:pPr>
      <w:r w:rsidRPr="00E33958">
        <w:t>&lt;</w:t>
      </w:r>
      <w:r w:rsidR="00FC6058">
        <w:t>Not Applicable</w:t>
      </w:r>
      <w:r w:rsidRPr="00E33958">
        <w:t>.&gt;</w:t>
      </w:r>
    </w:p>
    <w:p w14:paraId="1522A341" w14:textId="77777777" w:rsidR="009A7D32" w:rsidRDefault="009A7D32" w:rsidP="00105E46">
      <w:pPr>
        <w:pStyle w:val="Heading2"/>
      </w:pPr>
      <w:r>
        <w:t>Summary table of changes</w:t>
      </w:r>
    </w:p>
    <w:tbl>
      <w:tblPr>
        <w:tblStyle w:val="TableGrid"/>
        <w:tblW w:w="0" w:type="auto"/>
        <w:tblLook w:val="04A0" w:firstRow="1" w:lastRow="0" w:firstColumn="1" w:lastColumn="0" w:noHBand="0" w:noVBand="1"/>
      </w:tblPr>
      <w:tblGrid>
        <w:gridCol w:w="1384"/>
        <w:gridCol w:w="8470"/>
      </w:tblGrid>
      <w:tr w:rsidR="009A7D32" w:rsidRPr="009A7D32" w14:paraId="64246AB8" w14:textId="77777777" w:rsidTr="009A7D32">
        <w:tc>
          <w:tcPr>
            <w:tcW w:w="1384" w:type="dxa"/>
            <w:tcBorders>
              <w:bottom w:val="single" w:sz="12" w:space="0" w:color="auto"/>
            </w:tcBorders>
          </w:tcPr>
          <w:p w14:paraId="6CDDC310" w14:textId="77777777" w:rsidR="009A7D32" w:rsidRPr="009A7D32" w:rsidRDefault="009A7D32" w:rsidP="009A7D32">
            <w:pPr>
              <w:rPr>
                <w:b/>
              </w:rPr>
            </w:pPr>
            <w:r w:rsidRPr="009A7D32">
              <w:rPr>
                <w:b/>
              </w:rPr>
              <w:t>Section changed</w:t>
            </w:r>
          </w:p>
        </w:tc>
        <w:tc>
          <w:tcPr>
            <w:tcW w:w="8470" w:type="dxa"/>
            <w:tcBorders>
              <w:bottom w:val="single" w:sz="12" w:space="0" w:color="auto"/>
            </w:tcBorders>
          </w:tcPr>
          <w:p w14:paraId="12911D79" w14:textId="77777777" w:rsidR="009A7D32" w:rsidRPr="009A7D32" w:rsidRDefault="009A7D32" w:rsidP="009A7D32">
            <w:pPr>
              <w:rPr>
                <w:b/>
              </w:rPr>
            </w:pPr>
            <w:r w:rsidRPr="009A7D32">
              <w:rPr>
                <w:b/>
              </w:rPr>
              <w:t>Summary of new information</w:t>
            </w:r>
          </w:p>
        </w:tc>
      </w:tr>
      <w:tr w:rsidR="009A7D32" w14:paraId="5B0A2D05" w14:textId="77777777" w:rsidTr="009A7D32">
        <w:tc>
          <w:tcPr>
            <w:tcW w:w="1384" w:type="dxa"/>
            <w:tcBorders>
              <w:top w:val="single" w:sz="12" w:space="0" w:color="auto"/>
            </w:tcBorders>
          </w:tcPr>
          <w:p w14:paraId="641F04C9" w14:textId="77777777" w:rsidR="009A7D32" w:rsidRPr="009A7D32" w:rsidRDefault="009A7D32" w:rsidP="009A7D32"/>
        </w:tc>
        <w:tc>
          <w:tcPr>
            <w:tcW w:w="8470" w:type="dxa"/>
            <w:tcBorders>
              <w:top w:val="single" w:sz="12" w:space="0" w:color="auto"/>
            </w:tcBorders>
          </w:tcPr>
          <w:p w14:paraId="15077B19" w14:textId="77777777" w:rsidR="009A7D32" w:rsidRPr="009A7D32" w:rsidRDefault="009A7D32" w:rsidP="009A7D32"/>
        </w:tc>
      </w:tr>
      <w:tr w:rsidR="009A7D32" w14:paraId="5D108A6A" w14:textId="77777777" w:rsidTr="009A7D32">
        <w:tc>
          <w:tcPr>
            <w:tcW w:w="1384" w:type="dxa"/>
          </w:tcPr>
          <w:p w14:paraId="306E08D6" w14:textId="77777777" w:rsidR="009A7D32" w:rsidRPr="009A7D32" w:rsidRDefault="009A7D32" w:rsidP="009A7D32"/>
        </w:tc>
        <w:tc>
          <w:tcPr>
            <w:tcW w:w="8470" w:type="dxa"/>
          </w:tcPr>
          <w:p w14:paraId="0855C26D" w14:textId="77777777" w:rsidR="009A7D32" w:rsidRPr="009A7D32" w:rsidRDefault="009A7D32" w:rsidP="009A7D32"/>
        </w:tc>
      </w:tr>
      <w:tr w:rsidR="009A7D32" w14:paraId="3DC656D8" w14:textId="77777777" w:rsidTr="009A7D32">
        <w:tc>
          <w:tcPr>
            <w:tcW w:w="1384" w:type="dxa"/>
          </w:tcPr>
          <w:p w14:paraId="5E9AF4E6" w14:textId="77777777" w:rsidR="009A7D32" w:rsidRPr="009A7D32" w:rsidRDefault="009A7D32" w:rsidP="009A7D32"/>
        </w:tc>
        <w:tc>
          <w:tcPr>
            <w:tcW w:w="8470" w:type="dxa"/>
          </w:tcPr>
          <w:p w14:paraId="79B20713" w14:textId="77777777" w:rsidR="009A7D32" w:rsidRPr="009A7D32" w:rsidRDefault="009A7D32" w:rsidP="009A7D32"/>
        </w:tc>
      </w:tr>
    </w:tbl>
    <w:p w14:paraId="7CFE6884" w14:textId="77777777" w:rsidR="009A7D32" w:rsidRPr="009A7D32" w:rsidRDefault="009A7D32" w:rsidP="009A7D32"/>
    <w:sectPr w:rsidR="009A7D32" w:rsidRPr="009A7D32" w:rsidSect="009B33D0">
      <w:headerReference w:type="even" r:id="rId12"/>
      <w:headerReference w:type="default" r:id="rId13"/>
      <w:footerReference w:type="even" r:id="rId14"/>
      <w:footerReference w:type="default" r:id="rId15"/>
      <w:headerReference w:type="first" r:id="rId16"/>
      <w:footerReference w:type="first" r:id="rId17"/>
      <w:pgSz w:w="12240" w:h="15840" w:code="1"/>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2FA5" w14:textId="77777777" w:rsidR="003A1549" w:rsidRDefault="003A1549">
      <w:r>
        <w:separator/>
      </w:r>
    </w:p>
  </w:endnote>
  <w:endnote w:type="continuationSeparator" w:id="0">
    <w:p w14:paraId="59034F38" w14:textId="77777777" w:rsidR="003A1549" w:rsidRDefault="003A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69A7" w14:textId="77777777" w:rsidR="008018F2" w:rsidRDefault="00801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000" w:firstRow="0" w:lastRow="0" w:firstColumn="0" w:lastColumn="0" w:noHBand="0" w:noVBand="0"/>
    </w:tblPr>
    <w:tblGrid>
      <w:gridCol w:w="3326"/>
      <w:gridCol w:w="3325"/>
      <w:gridCol w:w="3321"/>
    </w:tblGrid>
    <w:tr w:rsidR="00083939" w14:paraId="402C4A48" w14:textId="77777777">
      <w:tc>
        <w:tcPr>
          <w:tcW w:w="3382" w:type="dxa"/>
        </w:tcPr>
        <w:p w14:paraId="68981A38" w14:textId="1114BCD5" w:rsidR="00083939" w:rsidRPr="00E33958" w:rsidRDefault="00083939" w:rsidP="00E33958">
          <w:pPr>
            <w:pStyle w:val="Footer"/>
            <w:tabs>
              <w:tab w:val="right" w:pos="-1843"/>
              <w:tab w:val="center" w:pos="4962"/>
              <w:tab w:val="right" w:pos="9923"/>
              <w:tab w:val="right" w:pos="10632"/>
            </w:tabs>
            <w:jc w:val="left"/>
            <w:rPr>
              <w:rStyle w:val="PageNumber"/>
              <w:bCs/>
              <w:i/>
              <w:iCs/>
              <w:sz w:val="16"/>
            </w:rPr>
          </w:pPr>
          <w:r>
            <w:rPr>
              <w:bCs/>
              <w:i/>
              <w:iCs/>
            </w:rPr>
            <w:t>ZEJULA</w:t>
          </w:r>
          <w:r w:rsidRPr="00E33958">
            <w:rPr>
              <w:bCs/>
              <w:i/>
              <w:iCs/>
            </w:rPr>
            <w:t xml:space="preserve"> PI </w:t>
          </w:r>
        </w:p>
      </w:tc>
      <w:tc>
        <w:tcPr>
          <w:tcW w:w="3382" w:type="dxa"/>
        </w:tcPr>
        <w:p w14:paraId="2E32B761" w14:textId="41FED647" w:rsidR="00083939" w:rsidRPr="00E33958" w:rsidRDefault="00083939" w:rsidP="00555191">
          <w:pPr>
            <w:pStyle w:val="Footer"/>
            <w:tabs>
              <w:tab w:val="right" w:pos="-1843"/>
              <w:tab w:val="center" w:pos="4962"/>
              <w:tab w:val="right" w:pos="9923"/>
              <w:tab w:val="right" w:pos="10632"/>
            </w:tabs>
            <w:jc w:val="center"/>
            <w:rPr>
              <w:rStyle w:val="PageNumber"/>
              <w:bCs/>
              <w:i/>
              <w:iCs/>
            </w:rPr>
          </w:pPr>
          <w:r w:rsidRPr="00E33958">
            <w:rPr>
              <w:rStyle w:val="PageNumber"/>
              <w:bCs/>
              <w:i/>
              <w:iCs/>
            </w:rPr>
            <w:t xml:space="preserve">Version </w:t>
          </w:r>
          <w:r w:rsidR="00604393">
            <w:rPr>
              <w:rStyle w:val="PageNumber"/>
              <w:bCs/>
              <w:i/>
              <w:iCs/>
            </w:rPr>
            <w:t>1.0</w:t>
          </w:r>
        </w:p>
      </w:tc>
      <w:tc>
        <w:tcPr>
          <w:tcW w:w="3382" w:type="dxa"/>
        </w:tcPr>
        <w:p w14:paraId="6AB1C054" w14:textId="461A61DA" w:rsidR="00083939" w:rsidRDefault="00083939">
          <w:pPr>
            <w:pStyle w:val="Footer"/>
            <w:tabs>
              <w:tab w:val="right" w:pos="-1843"/>
              <w:tab w:val="center" w:pos="4962"/>
              <w:tab w:val="right" w:pos="9923"/>
              <w:tab w:val="right" w:pos="10632"/>
            </w:tabs>
            <w:jc w:val="right"/>
            <w:rPr>
              <w:rStyle w:val="PageNumber"/>
              <w:bCs/>
              <w:i/>
              <w:iCs/>
              <w:highlight w:val="yellow"/>
            </w:rPr>
          </w:pPr>
          <w:r>
            <w:rPr>
              <w:bCs/>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567A5D">
            <w:rPr>
              <w:rStyle w:val="PageNumber"/>
              <w:i/>
              <w:iCs/>
              <w:noProof/>
            </w:rPr>
            <w:t>22</w:t>
          </w:r>
          <w:r>
            <w:rPr>
              <w:rStyle w:val="PageNumber"/>
              <w:i/>
              <w:iCs/>
            </w:rPr>
            <w:fldChar w:fldCharType="end"/>
          </w:r>
          <w:r>
            <w:rPr>
              <w:bCs/>
              <w:i/>
              <w:iCs/>
            </w:rPr>
            <w:t xml:space="preserve"> </w:t>
          </w:r>
        </w:p>
      </w:tc>
    </w:tr>
  </w:tbl>
  <w:p w14:paraId="7E2A77FB" w14:textId="77777777" w:rsidR="00083939" w:rsidRDefault="00083939">
    <w:pPr>
      <w:pStyle w:val="Footer"/>
      <w:rPr>
        <w:sz w:val="2"/>
      </w:rPr>
    </w:pPr>
  </w:p>
  <w:p w14:paraId="3E49D17E" w14:textId="77777777" w:rsidR="00083939" w:rsidRDefault="000839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4A5A" w14:textId="77777777" w:rsidR="008018F2" w:rsidRDefault="00801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8CB4" w14:textId="77777777" w:rsidR="003A1549" w:rsidRDefault="003A1549">
      <w:r>
        <w:separator/>
      </w:r>
    </w:p>
  </w:footnote>
  <w:footnote w:type="continuationSeparator" w:id="0">
    <w:p w14:paraId="716C7204" w14:textId="77777777" w:rsidR="003A1549" w:rsidRDefault="003A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6CFB" w14:textId="77777777" w:rsidR="008018F2" w:rsidRDefault="00801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018F2" w:rsidRPr="000B2145" w14:paraId="027D2856" w14:textId="77777777" w:rsidTr="00455E7B">
      <w:trPr>
        <w:trHeight w:val="590"/>
      </w:trPr>
      <w:tc>
        <w:tcPr>
          <w:tcW w:w="8720" w:type="dxa"/>
          <w:shd w:val="clear" w:color="auto" w:fill="E4F2E0"/>
        </w:tcPr>
        <w:p w14:paraId="275BA95D" w14:textId="77777777" w:rsidR="008018F2" w:rsidRPr="000B2145" w:rsidRDefault="008018F2" w:rsidP="008018F2">
          <w:pPr>
            <w:pStyle w:val="Footer"/>
            <w:rPr>
              <w:b/>
              <w:sz w:val="18"/>
              <w:szCs w:val="18"/>
            </w:rPr>
          </w:pPr>
          <w:r w:rsidRPr="00EA0C3C">
            <w:rPr>
              <w:b/>
              <w:sz w:val="18"/>
              <w:szCs w:val="18"/>
            </w:rPr>
            <w:t>Attachment 1:</w:t>
          </w:r>
          <w:r>
            <w:rPr>
              <w:b/>
              <w:sz w:val="18"/>
              <w:szCs w:val="18"/>
            </w:rPr>
            <w:t xml:space="preserve"> </w:t>
          </w:r>
          <w:r w:rsidRPr="003576CC">
            <w:rPr>
              <w:b/>
              <w:sz w:val="18"/>
              <w:szCs w:val="18"/>
            </w:rPr>
            <w:t xml:space="preserve">AusPAR – </w:t>
          </w:r>
          <w:proofErr w:type="spellStart"/>
          <w:r w:rsidRPr="003576CC">
            <w:rPr>
              <w:b/>
              <w:sz w:val="18"/>
              <w:szCs w:val="18"/>
            </w:rPr>
            <w:t>Zejula</w:t>
          </w:r>
          <w:proofErr w:type="spellEnd"/>
          <w:r w:rsidRPr="003576CC">
            <w:rPr>
              <w:b/>
              <w:sz w:val="18"/>
              <w:szCs w:val="18"/>
            </w:rPr>
            <w:t xml:space="preserve">– </w:t>
          </w:r>
          <w:proofErr w:type="spellStart"/>
          <w:r w:rsidRPr="003576CC">
            <w:rPr>
              <w:b/>
              <w:sz w:val="18"/>
              <w:szCs w:val="18"/>
            </w:rPr>
            <w:t>niraparib</w:t>
          </w:r>
          <w:proofErr w:type="spellEnd"/>
          <w:r w:rsidRPr="003576CC">
            <w:rPr>
              <w:b/>
              <w:sz w:val="18"/>
              <w:szCs w:val="18"/>
            </w:rPr>
            <w:t xml:space="preserve"> </w:t>
          </w:r>
          <w:proofErr w:type="spellStart"/>
          <w:r w:rsidRPr="003576CC">
            <w:rPr>
              <w:b/>
              <w:sz w:val="18"/>
              <w:szCs w:val="18"/>
            </w:rPr>
            <w:t>tosilate</w:t>
          </w:r>
          <w:proofErr w:type="spellEnd"/>
          <w:r w:rsidRPr="003576CC">
            <w:rPr>
              <w:b/>
              <w:sz w:val="18"/>
              <w:szCs w:val="18"/>
            </w:rPr>
            <w:t xml:space="preserve"> monohydrate - Takeda Pharmaceuticals Australia Pty Ltd- PM-2018 02496 1 4</w:t>
          </w:r>
          <w:r>
            <w:rPr>
              <w:b/>
              <w:sz w:val="18"/>
              <w:szCs w:val="18"/>
            </w:rPr>
            <w:t xml:space="preserve"> </w:t>
          </w:r>
          <w:r w:rsidRPr="003576CC">
            <w:rPr>
              <w:b/>
              <w:sz w:val="18"/>
              <w:szCs w:val="18"/>
            </w:rPr>
            <w:t>FINAL 26 November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C93395D" w14:textId="77777777" w:rsidR="008018F2" w:rsidRDefault="00801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AA02" w14:textId="77777777" w:rsidR="008018F2" w:rsidRDefault="0080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15:restartNumberingAfterBreak="0">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15:restartNumberingAfterBreak="0">
    <w:nsid w:val="00BF3FBE"/>
    <w:multiLevelType w:val="multilevel"/>
    <w:tmpl w:val="82128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3D30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D385F"/>
    <w:multiLevelType w:val="hybridMultilevel"/>
    <w:tmpl w:val="9594DC3A"/>
    <w:lvl w:ilvl="0" w:tplc="BF72E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1D37D6"/>
    <w:multiLevelType w:val="hybridMultilevel"/>
    <w:tmpl w:val="AC9A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14ED4"/>
    <w:multiLevelType w:val="hybridMultilevel"/>
    <w:tmpl w:val="C258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86EC4"/>
    <w:multiLevelType w:val="hybridMultilevel"/>
    <w:tmpl w:val="2414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42119"/>
    <w:multiLevelType w:val="hybridMultilevel"/>
    <w:tmpl w:val="C608D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7046C"/>
    <w:multiLevelType w:val="hybridMultilevel"/>
    <w:tmpl w:val="CA0A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76C37"/>
    <w:multiLevelType w:val="hybridMultilevel"/>
    <w:tmpl w:val="9682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5907"/>
    <w:multiLevelType w:val="multilevel"/>
    <w:tmpl w:val="601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D1449"/>
    <w:multiLevelType w:val="multilevel"/>
    <w:tmpl w:val="E96E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BF486E"/>
    <w:multiLevelType w:val="hybridMultilevel"/>
    <w:tmpl w:val="E2F2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A326C"/>
    <w:multiLevelType w:val="hybridMultilevel"/>
    <w:tmpl w:val="7DD00AFC"/>
    <w:lvl w:ilvl="0" w:tplc="6F1E49F0">
      <w:start w:val="4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1583A"/>
    <w:multiLevelType w:val="multilevel"/>
    <w:tmpl w:val="F98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8"/>
  </w:num>
  <w:num w:numId="4">
    <w:abstractNumId w:val="8"/>
  </w:num>
  <w:num w:numId="5">
    <w:abstractNumId w:val="0"/>
  </w:num>
  <w:num w:numId="6">
    <w:abstractNumId w:val="0"/>
  </w:num>
  <w:num w:numId="7">
    <w:abstractNumId w:val="0"/>
  </w:num>
  <w:num w:numId="8">
    <w:abstractNumId w:val="0"/>
  </w:num>
  <w:num w:numId="9">
    <w:abstractNumId w:val="1"/>
  </w:num>
  <w:num w:numId="10">
    <w:abstractNumId w:val="6"/>
  </w:num>
  <w:num w:numId="11">
    <w:abstractNumId w:val="6"/>
  </w:num>
  <w:num w:numId="12">
    <w:abstractNumId w:val="6"/>
  </w:num>
  <w:num w:numId="13">
    <w:abstractNumId w:val="6"/>
  </w:num>
  <w:num w:numId="14">
    <w:abstractNumId w:val="6"/>
  </w:num>
  <w:num w:numId="15">
    <w:abstractNumId w:val="0"/>
  </w:num>
  <w:num w:numId="16">
    <w:abstractNumId w:val="8"/>
  </w:num>
  <w:num w:numId="17">
    <w:abstractNumId w:val="6"/>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4"/>
  </w:num>
  <w:num w:numId="26">
    <w:abstractNumId w:val="8"/>
  </w:num>
  <w:num w:numId="27">
    <w:abstractNumId w:val="1"/>
  </w:num>
  <w:num w:numId="28">
    <w:abstractNumId w:val="5"/>
  </w:num>
  <w:num w:numId="29">
    <w:abstractNumId w:val="12"/>
  </w:num>
  <w:num w:numId="30">
    <w:abstractNumId w:val="16"/>
  </w:num>
  <w:num w:numId="31">
    <w:abstractNumId w:val="19"/>
  </w:num>
  <w:num w:numId="32">
    <w:abstractNumId w:val="15"/>
  </w:num>
  <w:num w:numId="33">
    <w:abstractNumId w:val="2"/>
  </w:num>
  <w:num w:numId="34">
    <w:abstractNumId w:val="3"/>
  </w:num>
  <w:num w:numId="35">
    <w:abstractNumId w:val="18"/>
  </w:num>
  <w:num w:numId="36">
    <w:abstractNumId w:val="17"/>
  </w:num>
  <w:num w:numId="37">
    <w:abstractNumId w:val="13"/>
  </w:num>
  <w:num w:numId="38">
    <w:abstractNumId w:val="14"/>
  </w:num>
  <w:num w:numId="39">
    <w:abstractNumId w:val="9"/>
  </w:num>
  <w:num w:numId="40">
    <w:abstractNumId w:val="11"/>
  </w:num>
  <w:num w:numId="41">
    <w:abstractNumId w:val="1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5F"/>
    <w:rsid w:val="000114C9"/>
    <w:rsid w:val="000133ED"/>
    <w:rsid w:val="000250C7"/>
    <w:rsid w:val="00026D79"/>
    <w:rsid w:val="00030E7F"/>
    <w:rsid w:val="00032FBA"/>
    <w:rsid w:val="0003653E"/>
    <w:rsid w:val="0004202A"/>
    <w:rsid w:val="00052DF7"/>
    <w:rsid w:val="000543F3"/>
    <w:rsid w:val="00057F8A"/>
    <w:rsid w:val="00060AAC"/>
    <w:rsid w:val="00062DB0"/>
    <w:rsid w:val="00073879"/>
    <w:rsid w:val="00074E09"/>
    <w:rsid w:val="00083939"/>
    <w:rsid w:val="00084326"/>
    <w:rsid w:val="00087AF1"/>
    <w:rsid w:val="000926CD"/>
    <w:rsid w:val="000975CA"/>
    <w:rsid w:val="000B02A6"/>
    <w:rsid w:val="000B24C9"/>
    <w:rsid w:val="000B3037"/>
    <w:rsid w:val="000B394B"/>
    <w:rsid w:val="000C4A19"/>
    <w:rsid w:val="000D0FDC"/>
    <w:rsid w:val="000D39DA"/>
    <w:rsid w:val="000D576D"/>
    <w:rsid w:val="000F6484"/>
    <w:rsid w:val="00105D83"/>
    <w:rsid w:val="00105E46"/>
    <w:rsid w:val="001065DB"/>
    <w:rsid w:val="00116466"/>
    <w:rsid w:val="00120548"/>
    <w:rsid w:val="00122505"/>
    <w:rsid w:val="001234AE"/>
    <w:rsid w:val="00124568"/>
    <w:rsid w:val="0013027D"/>
    <w:rsid w:val="00135719"/>
    <w:rsid w:val="00145AE3"/>
    <w:rsid w:val="00150155"/>
    <w:rsid w:val="00151AE1"/>
    <w:rsid w:val="00160E17"/>
    <w:rsid w:val="001637E2"/>
    <w:rsid w:val="00171567"/>
    <w:rsid w:val="0017369F"/>
    <w:rsid w:val="0018012A"/>
    <w:rsid w:val="00183540"/>
    <w:rsid w:val="001976E3"/>
    <w:rsid w:val="001A018C"/>
    <w:rsid w:val="001A5190"/>
    <w:rsid w:val="001B1EB2"/>
    <w:rsid w:val="001B2E1A"/>
    <w:rsid w:val="001B4A88"/>
    <w:rsid w:val="001B7AE5"/>
    <w:rsid w:val="001C4018"/>
    <w:rsid w:val="001D2958"/>
    <w:rsid w:val="001E34FC"/>
    <w:rsid w:val="001E3BAE"/>
    <w:rsid w:val="001E4351"/>
    <w:rsid w:val="001E662D"/>
    <w:rsid w:val="001F1BA2"/>
    <w:rsid w:val="00200331"/>
    <w:rsid w:val="0020288E"/>
    <w:rsid w:val="00206C95"/>
    <w:rsid w:val="00213A3D"/>
    <w:rsid w:val="00216FC9"/>
    <w:rsid w:val="00217334"/>
    <w:rsid w:val="00223ACB"/>
    <w:rsid w:val="002363D6"/>
    <w:rsid w:val="002449CD"/>
    <w:rsid w:val="00255995"/>
    <w:rsid w:val="00256789"/>
    <w:rsid w:val="00264BBA"/>
    <w:rsid w:val="00266CF1"/>
    <w:rsid w:val="00267C1D"/>
    <w:rsid w:val="0029210C"/>
    <w:rsid w:val="00292EF2"/>
    <w:rsid w:val="00294D68"/>
    <w:rsid w:val="0029756C"/>
    <w:rsid w:val="002A0214"/>
    <w:rsid w:val="002B3808"/>
    <w:rsid w:val="002C7DE2"/>
    <w:rsid w:val="002D7A27"/>
    <w:rsid w:val="002F0774"/>
    <w:rsid w:val="002F696E"/>
    <w:rsid w:val="002F7F5B"/>
    <w:rsid w:val="00300B95"/>
    <w:rsid w:val="0031504F"/>
    <w:rsid w:val="003226FD"/>
    <w:rsid w:val="003234EB"/>
    <w:rsid w:val="0032554B"/>
    <w:rsid w:val="00325959"/>
    <w:rsid w:val="003273E4"/>
    <w:rsid w:val="003301BE"/>
    <w:rsid w:val="00330F4D"/>
    <w:rsid w:val="00337C02"/>
    <w:rsid w:val="003558C4"/>
    <w:rsid w:val="00374B02"/>
    <w:rsid w:val="003758C3"/>
    <w:rsid w:val="00375CEE"/>
    <w:rsid w:val="00377C68"/>
    <w:rsid w:val="00381F50"/>
    <w:rsid w:val="003839EA"/>
    <w:rsid w:val="00386008"/>
    <w:rsid w:val="00386310"/>
    <w:rsid w:val="00392291"/>
    <w:rsid w:val="00394B19"/>
    <w:rsid w:val="003A1549"/>
    <w:rsid w:val="003B6478"/>
    <w:rsid w:val="003B7EED"/>
    <w:rsid w:val="003C5F1C"/>
    <w:rsid w:val="003C6273"/>
    <w:rsid w:val="003D0489"/>
    <w:rsid w:val="003E3D09"/>
    <w:rsid w:val="003E733A"/>
    <w:rsid w:val="003E7567"/>
    <w:rsid w:val="003F1892"/>
    <w:rsid w:val="003F3ACE"/>
    <w:rsid w:val="004102FD"/>
    <w:rsid w:val="0041175D"/>
    <w:rsid w:val="00415413"/>
    <w:rsid w:val="004326F6"/>
    <w:rsid w:val="004371AC"/>
    <w:rsid w:val="00437814"/>
    <w:rsid w:val="00445573"/>
    <w:rsid w:val="00446545"/>
    <w:rsid w:val="0045283B"/>
    <w:rsid w:val="0045408C"/>
    <w:rsid w:val="00482259"/>
    <w:rsid w:val="004A0707"/>
    <w:rsid w:val="004A7936"/>
    <w:rsid w:val="004B10E2"/>
    <w:rsid w:val="004B4926"/>
    <w:rsid w:val="004C4EE8"/>
    <w:rsid w:val="004C55D9"/>
    <w:rsid w:val="004C58BB"/>
    <w:rsid w:val="004C67A3"/>
    <w:rsid w:val="004D323E"/>
    <w:rsid w:val="004D74BA"/>
    <w:rsid w:val="004E0EE2"/>
    <w:rsid w:val="004E56F2"/>
    <w:rsid w:val="005004EB"/>
    <w:rsid w:val="005232FD"/>
    <w:rsid w:val="0052477B"/>
    <w:rsid w:val="00524CB3"/>
    <w:rsid w:val="00533B4A"/>
    <w:rsid w:val="00534F76"/>
    <w:rsid w:val="00535448"/>
    <w:rsid w:val="00536BC9"/>
    <w:rsid w:val="00540338"/>
    <w:rsid w:val="005417EC"/>
    <w:rsid w:val="00555191"/>
    <w:rsid w:val="00556F40"/>
    <w:rsid w:val="00561A49"/>
    <w:rsid w:val="0056480A"/>
    <w:rsid w:val="00567A5D"/>
    <w:rsid w:val="00584B54"/>
    <w:rsid w:val="0058507A"/>
    <w:rsid w:val="00587BD4"/>
    <w:rsid w:val="00594474"/>
    <w:rsid w:val="00595A49"/>
    <w:rsid w:val="005C156B"/>
    <w:rsid w:val="005C2AC7"/>
    <w:rsid w:val="005C7EEB"/>
    <w:rsid w:val="005D081D"/>
    <w:rsid w:val="005D4559"/>
    <w:rsid w:val="005D5BC1"/>
    <w:rsid w:val="005E69BF"/>
    <w:rsid w:val="006012D7"/>
    <w:rsid w:val="00604393"/>
    <w:rsid w:val="00605AD4"/>
    <w:rsid w:val="00606701"/>
    <w:rsid w:val="00610BF4"/>
    <w:rsid w:val="006139E9"/>
    <w:rsid w:val="00620F3F"/>
    <w:rsid w:val="00625DCF"/>
    <w:rsid w:val="00627815"/>
    <w:rsid w:val="006307F1"/>
    <w:rsid w:val="006348EB"/>
    <w:rsid w:val="00641EE5"/>
    <w:rsid w:val="00644D97"/>
    <w:rsid w:val="00647D26"/>
    <w:rsid w:val="00657D46"/>
    <w:rsid w:val="00662AF5"/>
    <w:rsid w:val="00663A20"/>
    <w:rsid w:val="006655D8"/>
    <w:rsid w:val="006710BB"/>
    <w:rsid w:val="00672E11"/>
    <w:rsid w:val="00673008"/>
    <w:rsid w:val="00674961"/>
    <w:rsid w:val="0068244C"/>
    <w:rsid w:val="00691C29"/>
    <w:rsid w:val="006972BA"/>
    <w:rsid w:val="006A0D3A"/>
    <w:rsid w:val="006A17C6"/>
    <w:rsid w:val="006C009B"/>
    <w:rsid w:val="006C4131"/>
    <w:rsid w:val="006D10DA"/>
    <w:rsid w:val="006D1259"/>
    <w:rsid w:val="006D4C42"/>
    <w:rsid w:val="006F2444"/>
    <w:rsid w:val="006F4FD8"/>
    <w:rsid w:val="0070079F"/>
    <w:rsid w:val="0070750F"/>
    <w:rsid w:val="0071068E"/>
    <w:rsid w:val="00723C6C"/>
    <w:rsid w:val="007244AA"/>
    <w:rsid w:val="00731CC1"/>
    <w:rsid w:val="0075085F"/>
    <w:rsid w:val="00754CD8"/>
    <w:rsid w:val="00754D13"/>
    <w:rsid w:val="00781B40"/>
    <w:rsid w:val="007847AA"/>
    <w:rsid w:val="00791E86"/>
    <w:rsid w:val="007947A3"/>
    <w:rsid w:val="00794E5A"/>
    <w:rsid w:val="00795EDA"/>
    <w:rsid w:val="007A5899"/>
    <w:rsid w:val="007B0662"/>
    <w:rsid w:val="007B269A"/>
    <w:rsid w:val="007D0850"/>
    <w:rsid w:val="007D36C4"/>
    <w:rsid w:val="007E1A80"/>
    <w:rsid w:val="007E4EF4"/>
    <w:rsid w:val="007F2406"/>
    <w:rsid w:val="007F263A"/>
    <w:rsid w:val="007F537D"/>
    <w:rsid w:val="008018F2"/>
    <w:rsid w:val="0080468B"/>
    <w:rsid w:val="0081530C"/>
    <w:rsid w:val="00816544"/>
    <w:rsid w:val="008357C7"/>
    <w:rsid w:val="00855298"/>
    <w:rsid w:val="00856A5A"/>
    <w:rsid w:val="00861B66"/>
    <w:rsid w:val="008651DA"/>
    <w:rsid w:val="008763C3"/>
    <w:rsid w:val="0088575A"/>
    <w:rsid w:val="0088759C"/>
    <w:rsid w:val="008B40FA"/>
    <w:rsid w:val="008B611B"/>
    <w:rsid w:val="008C2B04"/>
    <w:rsid w:val="008C3CF4"/>
    <w:rsid w:val="008C791C"/>
    <w:rsid w:val="008D2724"/>
    <w:rsid w:val="008D4A95"/>
    <w:rsid w:val="008D4F9B"/>
    <w:rsid w:val="008F26BE"/>
    <w:rsid w:val="009017C0"/>
    <w:rsid w:val="0091351E"/>
    <w:rsid w:val="00914E7F"/>
    <w:rsid w:val="0091769A"/>
    <w:rsid w:val="00921867"/>
    <w:rsid w:val="00922D1B"/>
    <w:rsid w:val="009254A1"/>
    <w:rsid w:val="00940253"/>
    <w:rsid w:val="00942131"/>
    <w:rsid w:val="00944227"/>
    <w:rsid w:val="009444D1"/>
    <w:rsid w:val="00947F99"/>
    <w:rsid w:val="009630F0"/>
    <w:rsid w:val="00967EFC"/>
    <w:rsid w:val="00974761"/>
    <w:rsid w:val="0097691D"/>
    <w:rsid w:val="00981C4F"/>
    <w:rsid w:val="00985B60"/>
    <w:rsid w:val="009A0E02"/>
    <w:rsid w:val="009A7D32"/>
    <w:rsid w:val="009B0927"/>
    <w:rsid w:val="009B33D0"/>
    <w:rsid w:val="009C4E20"/>
    <w:rsid w:val="009C5074"/>
    <w:rsid w:val="009D3045"/>
    <w:rsid w:val="009E2D5B"/>
    <w:rsid w:val="009E4710"/>
    <w:rsid w:val="009E5542"/>
    <w:rsid w:val="00A0136D"/>
    <w:rsid w:val="00A048AF"/>
    <w:rsid w:val="00A07E18"/>
    <w:rsid w:val="00A11C0A"/>
    <w:rsid w:val="00A1221D"/>
    <w:rsid w:val="00A152D2"/>
    <w:rsid w:val="00A22A72"/>
    <w:rsid w:val="00A374C4"/>
    <w:rsid w:val="00A42AF4"/>
    <w:rsid w:val="00A5143D"/>
    <w:rsid w:val="00A76064"/>
    <w:rsid w:val="00A82041"/>
    <w:rsid w:val="00A94D8F"/>
    <w:rsid w:val="00A9761D"/>
    <w:rsid w:val="00AC3CF6"/>
    <w:rsid w:val="00AC5846"/>
    <w:rsid w:val="00AC6BF6"/>
    <w:rsid w:val="00AD1DA5"/>
    <w:rsid w:val="00AE3B9C"/>
    <w:rsid w:val="00AE6CCD"/>
    <w:rsid w:val="00AF0C17"/>
    <w:rsid w:val="00AF2693"/>
    <w:rsid w:val="00AF4987"/>
    <w:rsid w:val="00AF6AF0"/>
    <w:rsid w:val="00B01EA1"/>
    <w:rsid w:val="00B135D9"/>
    <w:rsid w:val="00B137D7"/>
    <w:rsid w:val="00B216E8"/>
    <w:rsid w:val="00B22DF7"/>
    <w:rsid w:val="00B313B8"/>
    <w:rsid w:val="00B37523"/>
    <w:rsid w:val="00B541CE"/>
    <w:rsid w:val="00B564A9"/>
    <w:rsid w:val="00B57190"/>
    <w:rsid w:val="00B65FDE"/>
    <w:rsid w:val="00B70388"/>
    <w:rsid w:val="00B712EF"/>
    <w:rsid w:val="00B72C43"/>
    <w:rsid w:val="00B820F7"/>
    <w:rsid w:val="00B87C75"/>
    <w:rsid w:val="00B941BE"/>
    <w:rsid w:val="00BA4144"/>
    <w:rsid w:val="00BA47A0"/>
    <w:rsid w:val="00BB6EDB"/>
    <w:rsid w:val="00BC5F7F"/>
    <w:rsid w:val="00BD2276"/>
    <w:rsid w:val="00BD30BD"/>
    <w:rsid w:val="00BE115C"/>
    <w:rsid w:val="00BE440E"/>
    <w:rsid w:val="00BF026B"/>
    <w:rsid w:val="00BF0D6B"/>
    <w:rsid w:val="00BF11FD"/>
    <w:rsid w:val="00C01128"/>
    <w:rsid w:val="00C058C2"/>
    <w:rsid w:val="00C05B5B"/>
    <w:rsid w:val="00C07728"/>
    <w:rsid w:val="00C13454"/>
    <w:rsid w:val="00C14436"/>
    <w:rsid w:val="00C23555"/>
    <w:rsid w:val="00C25CC6"/>
    <w:rsid w:val="00C327F7"/>
    <w:rsid w:val="00C37479"/>
    <w:rsid w:val="00C43F7F"/>
    <w:rsid w:val="00C43F86"/>
    <w:rsid w:val="00C4411F"/>
    <w:rsid w:val="00C64319"/>
    <w:rsid w:val="00C72CA1"/>
    <w:rsid w:val="00C73287"/>
    <w:rsid w:val="00C910FE"/>
    <w:rsid w:val="00C93C3B"/>
    <w:rsid w:val="00C947CC"/>
    <w:rsid w:val="00CA2058"/>
    <w:rsid w:val="00CA46CD"/>
    <w:rsid w:val="00CB3A56"/>
    <w:rsid w:val="00CB4E08"/>
    <w:rsid w:val="00CC1A05"/>
    <w:rsid w:val="00CC2661"/>
    <w:rsid w:val="00CC2E2A"/>
    <w:rsid w:val="00CC38C0"/>
    <w:rsid w:val="00CD0209"/>
    <w:rsid w:val="00CD1299"/>
    <w:rsid w:val="00CD1BC9"/>
    <w:rsid w:val="00CD43F7"/>
    <w:rsid w:val="00CD6335"/>
    <w:rsid w:val="00CE212B"/>
    <w:rsid w:val="00CE2B95"/>
    <w:rsid w:val="00CF358A"/>
    <w:rsid w:val="00D011F6"/>
    <w:rsid w:val="00D07F41"/>
    <w:rsid w:val="00D263F3"/>
    <w:rsid w:val="00D339D0"/>
    <w:rsid w:val="00D444AD"/>
    <w:rsid w:val="00D44BAB"/>
    <w:rsid w:val="00D50A2A"/>
    <w:rsid w:val="00D53423"/>
    <w:rsid w:val="00D55EA4"/>
    <w:rsid w:val="00D60625"/>
    <w:rsid w:val="00D63962"/>
    <w:rsid w:val="00D6479E"/>
    <w:rsid w:val="00D74874"/>
    <w:rsid w:val="00D8267B"/>
    <w:rsid w:val="00D849B1"/>
    <w:rsid w:val="00D96DC9"/>
    <w:rsid w:val="00D971A3"/>
    <w:rsid w:val="00DA0A7F"/>
    <w:rsid w:val="00DA13BC"/>
    <w:rsid w:val="00DA4F20"/>
    <w:rsid w:val="00DB6918"/>
    <w:rsid w:val="00DB6BCD"/>
    <w:rsid w:val="00DC075B"/>
    <w:rsid w:val="00DC0883"/>
    <w:rsid w:val="00DC0AE9"/>
    <w:rsid w:val="00DC7F1C"/>
    <w:rsid w:val="00DE0CEF"/>
    <w:rsid w:val="00DF4245"/>
    <w:rsid w:val="00E15827"/>
    <w:rsid w:val="00E2039B"/>
    <w:rsid w:val="00E32A50"/>
    <w:rsid w:val="00E3371F"/>
    <w:rsid w:val="00E33958"/>
    <w:rsid w:val="00E4149C"/>
    <w:rsid w:val="00E44849"/>
    <w:rsid w:val="00E4637F"/>
    <w:rsid w:val="00E5117C"/>
    <w:rsid w:val="00E51F01"/>
    <w:rsid w:val="00E54265"/>
    <w:rsid w:val="00E5496F"/>
    <w:rsid w:val="00E63380"/>
    <w:rsid w:val="00E669CA"/>
    <w:rsid w:val="00E8125F"/>
    <w:rsid w:val="00E86464"/>
    <w:rsid w:val="00E87C12"/>
    <w:rsid w:val="00E91B4D"/>
    <w:rsid w:val="00EA4A0A"/>
    <w:rsid w:val="00EB1C06"/>
    <w:rsid w:val="00EB5C5D"/>
    <w:rsid w:val="00EC3F9F"/>
    <w:rsid w:val="00EC4C17"/>
    <w:rsid w:val="00EC60B1"/>
    <w:rsid w:val="00EC6943"/>
    <w:rsid w:val="00ED0E25"/>
    <w:rsid w:val="00ED2B3E"/>
    <w:rsid w:val="00EF1FCA"/>
    <w:rsid w:val="00EF55A0"/>
    <w:rsid w:val="00F01A2B"/>
    <w:rsid w:val="00F0743D"/>
    <w:rsid w:val="00F07889"/>
    <w:rsid w:val="00F3189C"/>
    <w:rsid w:val="00F35B68"/>
    <w:rsid w:val="00F4534E"/>
    <w:rsid w:val="00F45FB3"/>
    <w:rsid w:val="00F52CE5"/>
    <w:rsid w:val="00F56A3D"/>
    <w:rsid w:val="00F56D42"/>
    <w:rsid w:val="00F600DD"/>
    <w:rsid w:val="00F81FAD"/>
    <w:rsid w:val="00F861E7"/>
    <w:rsid w:val="00F940E6"/>
    <w:rsid w:val="00FA2564"/>
    <w:rsid w:val="00FB293D"/>
    <w:rsid w:val="00FC6058"/>
    <w:rsid w:val="00FD0121"/>
    <w:rsid w:val="00FD396A"/>
    <w:rsid w:val="00FE55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DF1493"/>
  <w15:docId w15:val="{44F78EB7-89B4-4C91-B914-4A6DF5BC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95"/>
    <w:pPr>
      <w:spacing w:after="240"/>
      <w:jc w:val="both"/>
    </w:pPr>
    <w:rPr>
      <w:rFonts w:ascii="Arial" w:hAnsi="Arial"/>
      <w:sz w:val="22"/>
      <w:lang w:val="en-AU" w:eastAsia="en-US"/>
    </w:rPr>
  </w:style>
  <w:style w:type="paragraph" w:styleId="Heading1">
    <w:name w:val="heading 1"/>
    <w:basedOn w:val="Normal"/>
    <w:next w:val="Normal"/>
    <w:link w:val="Heading1Char"/>
    <w:uiPriority w:val="9"/>
    <w:qFormat/>
    <w:rsid w:val="008D4F9B"/>
    <w:pPr>
      <w:keepNext/>
      <w:spacing w:before="240"/>
      <w:outlineLvl w:val="0"/>
    </w:pPr>
    <w:rPr>
      <w:b/>
      <w:caps/>
      <w:sz w:val="24"/>
    </w:rPr>
  </w:style>
  <w:style w:type="paragraph" w:styleId="Heading2">
    <w:name w:val="heading 2"/>
    <w:basedOn w:val="Heading1"/>
    <w:next w:val="Normal"/>
    <w:autoRedefine/>
    <w:qFormat/>
    <w:rsid w:val="00105E46"/>
    <w:pPr>
      <w:spacing w:after="120"/>
      <w:outlineLvl w:val="1"/>
    </w:pPr>
    <w:rPr>
      <w:caps w:val="0"/>
      <w:sz w:val="22"/>
    </w:rPr>
  </w:style>
  <w:style w:type="paragraph" w:styleId="Heading3">
    <w:name w:val="heading 3"/>
    <w:aliases w:val="CMI Heading 3"/>
    <w:basedOn w:val="Heading2"/>
    <w:next w:val="Normal"/>
    <w:link w:val="Heading3Char"/>
    <w:uiPriority w:val="9"/>
    <w:qFormat/>
    <w:pPr>
      <w:outlineLvl w:val="2"/>
    </w:pPr>
    <w:rPr>
      <w:b w:val="0"/>
      <w:u w:val="single"/>
    </w:rPr>
  </w:style>
  <w:style w:type="paragraph" w:styleId="Heading4">
    <w:name w:val="heading 4"/>
    <w:basedOn w:val="Heading3"/>
    <w:next w:val="Normal"/>
    <w:qFormat/>
    <w:pPr>
      <w:outlineLvl w:val="3"/>
    </w:pPr>
    <w:rPr>
      <w:rFonts w:cs="Arial"/>
      <w:i/>
      <w:u w:val="none"/>
    </w:rPr>
  </w:style>
  <w:style w:type="paragraph" w:styleId="Heading5">
    <w:name w:val="heading 5"/>
    <w:basedOn w:val="Normal"/>
    <w:next w:val="Normal"/>
    <w:qFormat/>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pPr>
      <w:numPr>
        <w:numId w:val="27"/>
      </w:numPr>
    </w:pPr>
  </w:style>
  <w:style w:type="paragraph" w:styleId="List">
    <w:name w:val="List"/>
    <w:basedOn w:val="Normal"/>
    <w:pPr>
      <w:keepNext/>
      <w:numPr>
        <w:numId w:val="26"/>
      </w:numPr>
      <w:jc w:val="left"/>
    </w:pPr>
  </w:style>
  <w:style w:type="paragraph" w:styleId="ListNumber">
    <w:name w:val="List Number"/>
    <w:basedOn w:val="Normal"/>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pPr>
      <w:keepNext/>
      <w:keepLines/>
      <w:numPr>
        <w:numId w:val="25"/>
      </w:numPr>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right" w:pos="9639"/>
      </w:tabs>
    </w:pPr>
    <w:rPr>
      <w:rFonts w:ascii="Arial Narrow" w:hAnsi="Arial Narrow"/>
    </w:rPr>
  </w:style>
  <w:style w:type="character" w:styleId="PageNumber">
    <w:name w:val="page number"/>
    <w:basedOn w:val="DefaultParagraphFont"/>
  </w:style>
  <w:style w:type="paragraph" w:styleId="BodyTextIndent">
    <w:name w:val="Body Text Indent"/>
    <w:basedOn w:val="Normal"/>
    <w:pPr>
      <w:ind w:left="720"/>
    </w:pPr>
    <w:rPr>
      <w:i/>
      <w:iCs/>
    </w:rPr>
  </w:style>
  <w:style w:type="paragraph" w:customStyle="1" w:styleId="CMIExplanation">
    <w:name w:val="CMI Explanation"/>
    <w:basedOn w:val="Normal"/>
    <w:pPr>
      <w:spacing w:before="60"/>
      <w:jc w:val="left"/>
    </w:pPr>
    <w:rPr>
      <w:rFonts w:ascii="Times New Roman" w:hAnsi="Times New Roman"/>
      <w:snapToGrid w:val="0"/>
      <w:sz w:val="20"/>
    </w:rPr>
  </w:style>
  <w:style w:type="paragraph" w:styleId="BodyText">
    <w:name w:val="Body Text"/>
    <w:basedOn w:val="Normal"/>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character" w:customStyle="1" w:styleId="Heading1Char">
    <w:name w:val="Heading 1 Char"/>
    <w:link w:val="Heading1"/>
    <w:uiPriority w:val="9"/>
    <w:rsid w:val="003301BE"/>
    <w:rPr>
      <w:rFonts w:ascii="Arial" w:hAnsi="Arial"/>
      <w:b/>
      <w:caps/>
      <w:sz w:val="24"/>
      <w:lang w:val="en-AU" w:eastAsia="en-US"/>
    </w:rPr>
  </w:style>
  <w:style w:type="table" w:styleId="TableGrid">
    <w:name w:val="Table Grid"/>
    <w:basedOn w:val="TableNormal"/>
    <w:uiPriority w:val="59"/>
    <w:rsid w:val="009A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2505"/>
    <w:rPr>
      <w:color w:val="0000FF"/>
      <w:u w:val="single"/>
    </w:rPr>
  </w:style>
  <w:style w:type="character" w:styleId="CommentReference">
    <w:name w:val="annotation reference"/>
    <w:basedOn w:val="DefaultParagraphFont"/>
    <w:uiPriority w:val="99"/>
    <w:rsid w:val="00213A3D"/>
    <w:rPr>
      <w:sz w:val="16"/>
      <w:szCs w:val="16"/>
    </w:rPr>
  </w:style>
  <w:style w:type="paragraph" w:styleId="CommentText">
    <w:name w:val="annotation text"/>
    <w:aliases w:val="Annotationtext,Comment Text Char Char Char,Comment Text Char1,Comment Text Char1 Char"/>
    <w:basedOn w:val="Normal"/>
    <w:link w:val="CommentTextChar"/>
    <w:rsid w:val="00213A3D"/>
    <w:rPr>
      <w:sz w:val="20"/>
    </w:rPr>
  </w:style>
  <w:style w:type="character" w:customStyle="1" w:styleId="CommentTextChar">
    <w:name w:val="Comment Text Char"/>
    <w:aliases w:val="Annotationtext Char,Comment Text Char Char Char Char,Comment Text Char1 Char1,Comment Text Char1 Char Char"/>
    <w:basedOn w:val="DefaultParagraphFont"/>
    <w:link w:val="CommentText"/>
    <w:rsid w:val="00213A3D"/>
    <w:rPr>
      <w:rFonts w:ascii="Arial" w:hAnsi="Arial"/>
      <w:lang w:val="en-AU" w:eastAsia="en-US"/>
    </w:rPr>
  </w:style>
  <w:style w:type="paragraph" w:styleId="CommentSubject">
    <w:name w:val="annotation subject"/>
    <w:basedOn w:val="CommentText"/>
    <w:next w:val="CommentText"/>
    <w:link w:val="CommentSubjectChar"/>
    <w:rsid w:val="00213A3D"/>
    <w:rPr>
      <w:b/>
      <w:bCs/>
    </w:rPr>
  </w:style>
  <w:style w:type="character" w:customStyle="1" w:styleId="CommentSubjectChar">
    <w:name w:val="Comment Subject Char"/>
    <w:basedOn w:val="CommentTextChar"/>
    <w:link w:val="CommentSubject"/>
    <w:rsid w:val="00213A3D"/>
    <w:rPr>
      <w:rFonts w:ascii="Arial" w:hAnsi="Arial"/>
      <w:b/>
      <w:bCs/>
      <w:lang w:val="en-AU" w:eastAsia="en-US"/>
    </w:rPr>
  </w:style>
  <w:style w:type="paragraph" w:styleId="BalloonText">
    <w:name w:val="Balloon Text"/>
    <w:basedOn w:val="Normal"/>
    <w:link w:val="BalloonTextChar"/>
    <w:rsid w:val="00213A3D"/>
    <w:pPr>
      <w:spacing w:after="0"/>
    </w:pPr>
    <w:rPr>
      <w:rFonts w:ascii="Tahoma" w:hAnsi="Tahoma" w:cs="Tahoma"/>
      <w:sz w:val="16"/>
      <w:szCs w:val="16"/>
    </w:rPr>
  </w:style>
  <w:style w:type="character" w:customStyle="1" w:styleId="BalloonTextChar">
    <w:name w:val="Balloon Text Char"/>
    <w:basedOn w:val="DefaultParagraphFont"/>
    <w:link w:val="BalloonText"/>
    <w:rsid w:val="00213A3D"/>
    <w:rPr>
      <w:rFonts w:ascii="Tahoma" w:hAnsi="Tahoma" w:cs="Tahoma"/>
      <w:sz w:val="16"/>
      <w:szCs w:val="16"/>
      <w:lang w:val="en-AU" w:eastAsia="en-US"/>
    </w:rPr>
  </w:style>
  <w:style w:type="paragraph" w:styleId="ListParagraph">
    <w:name w:val="List Paragraph"/>
    <w:basedOn w:val="Normal"/>
    <w:uiPriority w:val="34"/>
    <w:qFormat/>
    <w:rsid w:val="00337C02"/>
    <w:pPr>
      <w:ind w:left="720"/>
      <w:contextualSpacing/>
    </w:pPr>
  </w:style>
  <w:style w:type="character" w:customStyle="1" w:styleId="Heading3Char">
    <w:name w:val="Heading 3 Char"/>
    <w:aliases w:val="CMI Heading 3 Char"/>
    <w:basedOn w:val="DefaultParagraphFont"/>
    <w:link w:val="Heading3"/>
    <w:uiPriority w:val="9"/>
    <w:rsid w:val="007947A3"/>
    <w:rPr>
      <w:rFonts w:ascii="Arial" w:hAnsi="Arial"/>
      <w:sz w:val="22"/>
      <w:u w:val="single"/>
      <w:lang w:val="en-AU" w:eastAsia="en-US"/>
    </w:rPr>
  </w:style>
  <w:style w:type="paragraph" w:styleId="Caption">
    <w:name w:val="caption"/>
    <w:basedOn w:val="Normal"/>
    <w:next w:val="Normal"/>
    <w:unhideWhenUsed/>
    <w:qFormat/>
    <w:rsid w:val="00855298"/>
    <w:pPr>
      <w:spacing w:after="200"/>
    </w:pPr>
    <w:rPr>
      <w:b/>
      <w:bCs/>
      <w:color w:val="4F81BD" w:themeColor="accent1"/>
      <w:sz w:val="18"/>
      <w:szCs w:val="18"/>
    </w:rPr>
  </w:style>
  <w:style w:type="paragraph" w:styleId="Revision">
    <w:name w:val="Revision"/>
    <w:hidden/>
    <w:uiPriority w:val="99"/>
    <w:semiHidden/>
    <w:rsid w:val="006D4C42"/>
    <w:rPr>
      <w:rFonts w:ascii="Arial" w:hAnsi="Arial"/>
      <w:sz w:val="22"/>
      <w:lang w:val="en-AU" w:eastAsia="en-US"/>
    </w:rPr>
  </w:style>
  <w:style w:type="character" w:styleId="EndnoteReference">
    <w:name w:val="endnote reference"/>
    <w:rsid w:val="002D7A27"/>
    <w:rPr>
      <w:vertAlign w:val="superscript"/>
    </w:rPr>
  </w:style>
  <w:style w:type="paragraph" w:styleId="EndnoteText">
    <w:name w:val="endnote text"/>
    <w:basedOn w:val="Normal"/>
    <w:link w:val="EndnoteTextChar"/>
    <w:rsid w:val="0029210C"/>
    <w:pPr>
      <w:spacing w:after="0"/>
      <w:jc w:val="left"/>
    </w:pPr>
    <w:rPr>
      <w:rFonts w:ascii="Times New Roman" w:hAnsi="Times New Roman"/>
      <w:sz w:val="20"/>
      <w:lang w:val="en-US" w:eastAsia="en-CA"/>
    </w:rPr>
  </w:style>
  <w:style w:type="character" w:customStyle="1" w:styleId="EndnoteTextChar">
    <w:name w:val="Endnote Text Char"/>
    <w:basedOn w:val="DefaultParagraphFont"/>
    <w:link w:val="EndnoteText"/>
    <w:rsid w:val="0029210C"/>
    <w:rPr>
      <w:lang w:val="en-US" w:eastAsia="en-CA"/>
    </w:rPr>
  </w:style>
  <w:style w:type="paragraph" w:customStyle="1" w:styleId="Default">
    <w:name w:val="Default"/>
    <w:rsid w:val="00C327F7"/>
    <w:pPr>
      <w:autoSpaceDE w:val="0"/>
      <w:autoSpaceDN w:val="0"/>
      <w:adjustRightInd w:val="0"/>
    </w:pPr>
    <w:rPr>
      <w:rFonts w:ascii="Cambria" w:hAnsi="Cambria" w:cs="Cambria"/>
      <w:color w:val="000000"/>
      <w:sz w:val="24"/>
      <w:szCs w:val="24"/>
      <w:lang w:val="en-US"/>
    </w:rPr>
  </w:style>
  <w:style w:type="character" w:customStyle="1" w:styleId="FooterChar">
    <w:name w:val="Footer Char"/>
    <w:basedOn w:val="DefaultParagraphFont"/>
    <w:link w:val="Footer"/>
    <w:rsid w:val="008018F2"/>
    <w:rPr>
      <w:rFonts w:ascii="Arial Narrow" w:hAnsi="Arial Narrow"/>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1588">
      <w:bodyDiv w:val="1"/>
      <w:marLeft w:val="0"/>
      <w:marRight w:val="0"/>
      <w:marTop w:val="0"/>
      <w:marBottom w:val="0"/>
      <w:divBdr>
        <w:top w:val="none" w:sz="0" w:space="0" w:color="auto"/>
        <w:left w:val="none" w:sz="0" w:space="0" w:color="auto"/>
        <w:bottom w:val="none" w:sz="0" w:space="0" w:color="auto"/>
        <w:right w:val="none" w:sz="0" w:space="0" w:color="auto"/>
      </w:divBdr>
      <w:divsChild>
        <w:div w:id="1256404165">
          <w:marLeft w:val="0"/>
          <w:marRight w:val="0"/>
          <w:marTop w:val="0"/>
          <w:marBottom w:val="0"/>
          <w:divBdr>
            <w:top w:val="none" w:sz="0" w:space="0" w:color="auto"/>
            <w:left w:val="none" w:sz="0" w:space="0" w:color="auto"/>
            <w:bottom w:val="none" w:sz="0" w:space="0" w:color="auto"/>
            <w:right w:val="none" w:sz="0" w:space="0" w:color="auto"/>
          </w:divBdr>
          <w:divsChild>
            <w:div w:id="1959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5692">
      <w:bodyDiv w:val="1"/>
      <w:marLeft w:val="0"/>
      <w:marRight w:val="0"/>
      <w:marTop w:val="0"/>
      <w:marBottom w:val="0"/>
      <w:divBdr>
        <w:top w:val="none" w:sz="0" w:space="0" w:color="auto"/>
        <w:left w:val="none" w:sz="0" w:space="0" w:color="auto"/>
        <w:bottom w:val="none" w:sz="0" w:space="0" w:color="auto"/>
        <w:right w:val="none" w:sz="0" w:space="0" w:color="auto"/>
      </w:divBdr>
      <w:divsChild>
        <w:div w:id="793210214">
          <w:marLeft w:val="0"/>
          <w:marRight w:val="0"/>
          <w:marTop w:val="0"/>
          <w:marBottom w:val="0"/>
          <w:divBdr>
            <w:top w:val="none" w:sz="0" w:space="0" w:color="auto"/>
            <w:left w:val="none" w:sz="0" w:space="0" w:color="auto"/>
            <w:bottom w:val="none" w:sz="0" w:space="0" w:color="auto"/>
            <w:right w:val="none" w:sz="0" w:space="0" w:color="auto"/>
          </w:divBdr>
          <w:divsChild>
            <w:div w:id="551498233">
              <w:marLeft w:val="0"/>
              <w:marRight w:val="0"/>
              <w:marTop w:val="0"/>
              <w:marBottom w:val="0"/>
              <w:divBdr>
                <w:top w:val="none" w:sz="0" w:space="0" w:color="auto"/>
                <w:left w:val="none" w:sz="0" w:space="0" w:color="auto"/>
                <w:bottom w:val="none" w:sz="0" w:space="0" w:color="auto"/>
                <w:right w:val="none" w:sz="0" w:space="0" w:color="auto"/>
              </w:divBdr>
              <w:divsChild>
                <w:div w:id="292442234">
                  <w:blockQuote w:val="1"/>
                  <w:marLeft w:val="720"/>
                  <w:marRight w:val="0"/>
                  <w:marTop w:val="100"/>
                  <w:marBottom w:val="100"/>
                  <w:divBdr>
                    <w:top w:val="none" w:sz="0" w:space="0" w:color="auto"/>
                    <w:left w:val="none" w:sz="0" w:space="0" w:color="auto"/>
                    <w:bottom w:val="none" w:sz="0" w:space="0" w:color="auto"/>
                    <w:right w:val="none" w:sz="0" w:space="0" w:color="auto"/>
                  </w:divBdr>
                </w:div>
                <w:div w:id="936017399">
                  <w:blockQuote w:val="1"/>
                  <w:marLeft w:val="720"/>
                  <w:marRight w:val="0"/>
                  <w:marTop w:val="100"/>
                  <w:marBottom w:val="100"/>
                  <w:divBdr>
                    <w:top w:val="none" w:sz="0" w:space="0" w:color="auto"/>
                    <w:left w:val="none" w:sz="0" w:space="0" w:color="auto"/>
                    <w:bottom w:val="none" w:sz="0" w:space="0" w:color="auto"/>
                    <w:right w:val="none" w:sz="0" w:space="0" w:color="auto"/>
                  </w:divBdr>
                </w:div>
                <w:div w:id="17120763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1753181">
      <w:bodyDiv w:val="1"/>
      <w:marLeft w:val="0"/>
      <w:marRight w:val="0"/>
      <w:marTop w:val="0"/>
      <w:marBottom w:val="0"/>
      <w:divBdr>
        <w:top w:val="none" w:sz="0" w:space="0" w:color="auto"/>
        <w:left w:val="none" w:sz="0" w:space="0" w:color="auto"/>
        <w:bottom w:val="none" w:sz="0" w:space="0" w:color="auto"/>
        <w:right w:val="none" w:sz="0" w:space="0" w:color="auto"/>
      </w:divBdr>
    </w:div>
    <w:div w:id="1066412047">
      <w:bodyDiv w:val="1"/>
      <w:marLeft w:val="0"/>
      <w:marRight w:val="0"/>
      <w:marTop w:val="0"/>
      <w:marBottom w:val="0"/>
      <w:divBdr>
        <w:top w:val="none" w:sz="0" w:space="0" w:color="auto"/>
        <w:left w:val="none" w:sz="0" w:space="0" w:color="auto"/>
        <w:bottom w:val="none" w:sz="0" w:space="0" w:color="auto"/>
        <w:right w:val="none" w:sz="0" w:space="0" w:color="auto"/>
      </w:divBdr>
      <w:divsChild>
        <w:div w:id="636103177">
          <w:marLeft w:val="0"/>
          <w:marRight w:val="0"/>
          <w:marTop w:val="0"/>
          <w:marBottom w:val="0"/>
          <w:divBdr>
            <w:top w:val="none" w:sz="0" w:space="0" w:color="auto"/>
            <w:left w:val="none" w:sz="0" w:space="0" w:color="auto"/>
            <w:bottom w:val="none" w:sz="0" w:space="0" w:color="auto"/>
            <w:right w:val="none" w:sz="0" w:space="0" w:color="auto"/>
          </w:divBdr>
          <w:divsChild>
            <w:div w:id="2075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66">
      <w:bodyDiv w:val="1"/>
      <w:marLeft w:val="0"/>
      <w:marRight w:val="0"/>
      <w:marTop w:val="0"/>
      <w:marBottom w:val="0"/>
      <w:divBdr>
        <w:top w:val="none" w:sz="0" w:space="0" w:color="auto"/>
        <w:left w:val="none" w:sz="0" w:space="0" w:color="auto"/>
        <w:bottom w:val="none" w:sz="0" w:space="0" w:color="auto"/>
        <w:right w:val="none" w:sz="0" w:space="0" w:color="auto"/>
      </w:divBdr>
      <w:divsChild>
        <w:div w:id="2047870281">
          <w:marLeft w:val="0"/>
          <w:marRight w:val="0"/>
          <w:marTop w:val="0"/>
          <w:marBottom w:val="0"/>
          <w:divBdr>
            <w:top w:val="none" w:sz="0" w:space="0" w:color="auto"/>
            <w:left w:val="none" w:sz="0" w:space="0" w:color="auto"/>
            <w:bottom w:val="none" w:sz="0" w:space="0" w:color="auto"/>
            <w:right w:val="none" w:sz="0" w:space="0" w:color="auto"/>
          </w:divBdr>
          <w:divsChild>
            <w:div w:id="466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89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165">
          <w:marLeft w:val="0"/>
          <w:marRight w:val="0"/>
          <w:marTop w:val="0"/>
          <w:marBottom w:val="0"/>
          <w:divBdr>
            <w:top w:val="none" w:sz="0" w:space="0" w:color="auto"/>
            <w:left w:val="none" w:sz="0" w:space="0" w:color="auto"/>
            <w:bottom w:val="none" w:sz="0" w:space="0" w:color="auto"/>
            <w:right w:val="none" w:sz="0" w:space="0" w:color="auto"/>
          </w:divBdr>
          <w:divsChild>
            <w:div w:id="790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0648">
      <w:bodyDiv w:val="1"/>
      <w:marLeft w:val="0"/>
      <w:marRight w:val="0"/>
      <w:marTop w:val="0"/>
      <w:marBottom w:val="0"/>
      <w:divBdr>
        <w:top w:val="none" w:sz="0" w:space="0" w:color="auto"/>
        <w:left w:val="none" w:sz="0" w:space="0" w:color="auto"/>
        <w:bottom w:val="none" w:sz="0" w:space="0" w:color="auto"/>
        <w:right w:val="none" w:sz="0" w:space="0" w:color="auto"/>
      </w:divBdr>
    </w:div>
    <w:div w:id="1427651587">
      <w:bodyDiv w:val="1"/>
      <w:marLeft w:val="0"/>
      <w:marRight w:val="0"/>
      <w:marTop w:val="0"/>
      <w:marBottom w:val="0"/>
      <w:divBdr>
        <w:top w:val="none" w:sz="0" w:space="0" w:color="auto"/>
        <w:left w:val="none" w:sz="0" w:space="0" w:color="auto"/>
        <w:bottom w:val="none" w:sz="0" w:space="0" w:color="auto"/>
        <w:right w:val="none" w:sz="0" w:space="0" w:color="auto"/>
      </w:divBdr>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99">
          <w:marLeft w:val="0"/>
          <w:marRight w:val="0"/>
          <w:marTop w:val="0"/>
          <w:marBottom w:val="0"/>
          <w:divBdr>
            <w:top w:val="none" w:sz="0" w:space="0" w:color="auto"/>
            <w:left w:val="none" w:sz="0" w:space="0" w:color="auto"/>
            <w:bottom w:val="none" w:sz="0" w:space="0" w:color="auto"/>
            <w:right w:val="none" w:sz="0" w:space="0" w:color="auto"/>
          </w:divBdr>
          <w:divsChild>
            <w:div w:id="19142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720">
      <w:bodyDiv w:val="1"/>
      <w:marLeft w:val="0"/>
      <w:marRight w:val="0"/>
      <w:marTop w:val="0"/>
      <w:marBottom w:val="0"/>
      <w:divBdr>
        <w:top w:val="none" w:sz="0" w:space="0" w:color="auto"/>
        <w:left w:val="none" w:sz="0" w:space="0" w:color="auto"/>
        <w:bottom w:val="none" w:sz="0" w:space="0" w:color="auto"/>
        <w:right w:val="none" w:sz="0" w:space="0" w:color="auto"/>
      </w:divBdr>
      <w:divsChild>
        <w:div w:id="2099908912">
          <w:marLeft w:val="0"/>
          <w:marRight w:val="0"/>
          <w:marTop w:val="0"/>
          <w:marBottom w:val="0"/>
          <w:divBdr>
            <w:top w:val="none" w:sz="0" w:space="0" w:color="auto"/>
            <w:left w:val="none" w:sz="0" w:space="0" w:color="auto"/>
            <w:bottom w:val="none" w:sz="0" w:space="0" w:color="auto"/>
            <w:right w:val="none" w:sz="0" w:space="0" w:color="auto"/>
          </w:divBdr>
          <w:divsChild>
            <w:div w:id="7266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0621">
      <w:bodyDiv w:val="1"/>
      <w:marLeft w:val="0"/>
      <w:marRight w:val="0"/>
      <w:marTop w:val="0"/>
      <w:marBottom w:val="0"/>
      <w:divBdr>
        <w:top w:val="none" w:sz="0" w:space="0" w:color="auto"/>
        <w:left w:val="none" w:sz="0" w:space="0" w:color="auto"/>
        <w:bottom w:val="none" w:sz="0" w:space="0" w:color="auto"/>
        <w:right w:val="none" w:sz="0" w:space="0" w:color="auto"/>
      </w:divBdr>
    </w:div>
    <w:div w:id="1840147350">
      <w:bodyDiv w:val="1"/>
      <w:marLeft w:val="0"/>
      <w:marRight w:val="0"/>
      <w:marTop w:val="0"/>
      <w:marBottom w:val="0"/>
      <w:divBdr>
        <w:top w:val="none" w:sz="0" w:space="0" w:color="auto"/>
        <w:left w:val="none" w:sz="0" w:space="0" w:color="auto"/>
        <w:bottom w:val="none" w:sz="0" w:space="0" w:color="auto"/>
        <w:right w:val="none" w:sz="0" w:space="0" w:color="auto"/>
      </w:divBdr>
    </w:div>
    <w:div w:id="201287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F6BC4-EE42-4117-9546-4A5B509A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5966</Words>
  <Characters>35727</Characters>
  <Application>Microsoft Office Word</Application>
  <DocSecurity>0</DocSecurity>
  <Lines>871</Lines>
  <Paragraphs>479</Paragraphs>
  <ScaleCrop>false</ScaleCrop>
  <HeadingPairs>
    <vt:vector size="2" baseType="variant">
      <vt:variant>
        <vt:lpstr>Title</vt:lpstr>
      </vt:variant>
      <vt:variant>
        <vt:i4>1</vt:i4>
      </vt:variant>
    </vt:vector>
  </HeadingPairs>
  <TitlesOfParts>
    <vt:vector size="1" baseType="lpstr">
      <vt:lpstr>Product Information</vt:lpstr>
    </vt:vector>
  </TitlesOfParts>
  <Company>Nycomed GmbH</Company>
  <LinksUpToDate>false</LinksUpToDate>
  <CharactersWithSpaces>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Niraparib tosilate monohydrate</dc:title>
  <dc:creator>Nycomed GmbH</dc:creator>
  <cp:lastPrinted>2019-02-11T12:30:00Z</cp:lastPrinted>
  <dcterms:created xsi:type="dcterms:W3CDTF">2020-12-02T06:45:00Z</dcterms:created>
  <dcterms:modified xsi:type="dcterms:W3CDTF">2020-12-02T06:46:00Z</dcterms:modified>
</cp:coreProperties>
</file>