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A16AF7" w:rsidTr="004B3C07">
        <w:trPr>
          <w:trHeight w:val="1548"/>
        </w:trPr>
        <w:tc>
          <w:tcPr>
            <w:tcW w:w="9180" w:type="dxa"/>
          </w:tcPr>
          <w:p w:rsidR="0032583B" w:rsidRPr="00A964D1" w:rsidRDefault="00C70289" w:rsidP="00CC0FC0">
            <w:pPr>
              <w:pStyle w:val="Title"/>
              <w:rPr>
                <w:color w:val="FFFFFF" w:themeColor="background1"/>
              </w:rPr>
            </w:pPr>
            <w:r>
              <w:rPr>
                <w:color w:val="FFFFFF" w:themeColor="background1"/>
              </w:rPr>
              <w:t>AusPAR A</w:t>
            </w:r>
            <w:r w:rsidR="00CC0FC0">
              <w:rPr>
                <w:color w:val="FFFFFF" w:themeColor="background1"/>
              </w:rPr>
              <w:t>t</w:t>
            </w:r>
            <w:r w:rsidR="00A65D65">
              <w:rPr>
                <w:color w:val="FFFFFF" w:themeColor="background1"/>
              </w:rPr>
              <w:t>t</w:t>
            </w:r>
            <w:r w:rsidR="00E07F15">
              <w:rPr>
                <w:color w:val="FFFFFF" w:themeColor="background1"/>
              </w:rPr>
              <w:t>achment 2</w:t>
            </w:r>
          </w:p>
        </w:tc>
      </w:tr>
      <w:tr w:rsidR="00E07F15" w:rsidRPr="00A16AF7" w:rsidTr="004B3C07">
        <w:trPr>
          <w:trHeight w:val="1154"/>
        </w:trPr>
        <w:tc>
          <w:tcPr>
            <w:tcW w:w="9180" w:type="dxa"/>
          </w:tcPr>
          <w:p w:rsidR="00E07F15" w:rsidRPr="00A964D1" w:rsidRDefault="00E07F15" w:rsidP="002502E3">
            <w:pPr>
              <w:pStyle w:val="Title"/>
              <w:rPr>
                <w:color w:val="FFFFFF" w:themeColor="background1"/>
              </w:rPr>
            </w:pPr>
            <w:r>
              <w:rPr>
                <w:color w:val="FFFFFF" w:themeColor="background1"/>
              </w:rPr>
              <w:t>Extract from the Clinical Evaluation Report</w:t>
            </w:r>
            <w:r w:rsidR="002502E3">
              <w:rPr>
                <w:color w:val="FFFFFF" w:themeColor="background1"/>
              </w:rPr>
              <w:t xml:space="preserve"> for n</w:t>
            </w:r>
            <w:r w:rsidR="00A77E09">
              <w:rPr>
                <w:color w:val="FFFFFF" w:themeColor="background1"/>
              </w:rPr>
              <w:t>ine</w:t>
            </w:r>
            <w:r w:rsidR="002502E3" w:rsidRPr="00330967">
              <w:rPr>
                <w:color w:val="FFFFFF" w:themeColor="background1"/>
              </w:rPr>
              <w:t xml:space="preserve"> trace elements including </w:t>
            </w:r>
            <w:r w:rsidR="002502E3">
              <w:rPr>
                <w:color w:val="FFFFFF" w:themeColor="background1"/>
              </w:rPr>
              <w:t>c</w:t>
            </w:r>
            <w:r w:rsidR="002502E3" w:rsidRPr="00330967">
              <w:rPr>
                <w:color w:val="FFFFFF" w:themeColor="background1"/>
              </w:rPr>
              <w:t>hromic chloride</w:t>
            </w:r>
          </w:p>
        </w:tc>
      </w:tr>
      <w:tr w:rsidR="00E07F15" w:rsidRPr="00A16AF7" w:rsidTr="004B3C07">
        <w:tc>
          <w:tcPr>
            <w:tcW w:w="9180" w:type="dxa"/>
          </w:tcPr>
          <w:p w:rsidR="00E07F15" w:rsidRPr="008E7846" w:rsidRDefault="00E07F15" w:rsidP="002277C5">
            <w:pPr>
              <w:pStyle w:val="Subtitle"/>
              <w:rPr>
                <w:color w:val="FFFFFF" w:themeColor="background1"/>
              </w:rPr>
            </w:pPr>
            <w:r w:rsidRPr="008E7846">
              <w:rPr>
                <w:color w:val="FFFFFF" w:themeColor="background1"/>
              </w:rPr>
              <w:t>Proprietary Product Name:</w:t>
            </w:r>
            <w:r w:rsidR="002277C5">
              <w:rPr>
                <w:color w:val="FFFFFF" w:themeColor="background1"/>
              </w:rPr>
              <w:t xml:space="preserve"> </w:t>
            </w:r>
            <w:proofErr w:type="spellStart"/>
            <w:r w:rsidR="002277C5">
              <w:rPr>
                <w:color w:val="FFFFFF" w:themeColor="background1"/>
              </w:rPr>
              <w:t>Addaven</w:t>
            </w:r>
            <w:proofErr w:type="spellEnd"/>
          </w:p>
        </w:tc>
      </w:tr>
      <w:tr w:rsidR="00E07F15" w:rsidRPr="00A16AF7" w:rsidTr="004B3C07">
        <w:trPr>
          <w:trHeight w:val="486"/>
        </w:trPr>
        <w:tc>
          <w:tcPr>
            <w:tcW w:w="9180" w:type="dxa"/>
          </w:tcPr>
          <w:p w:rsidR="006D4092" w:rsidRDefault="00E07F15" w:rsidP="00AB5983">
            <w:pPr>
              <w:pStyle w:val="Subtitle"/>
              <w:rPr>
                <w:color w:val="FFFFFF" w:themeColor="background1"/>
              </w:rPr>
            </w:pPr>
            <w:r w:rsidRPr="008E7846">
              <w:rPr>
                <w:color w:val="FFFFFF" w:themeColor="background1"/>
              </w:rPr>
              <w:t>Sponsor:</w:t>
            </w:r>
            <w:sdt>
              <w:sdtPr>
                <w:rPr>
                  <w:color w:val="FFFFFF" w:themeColor="background1"/>
                </w:rPr>
                <w:id w:val="-237475071"/>
                <w:placeholder>
                  <w:docPart w:val="DefaultPlaceholder_1082065158"/>
                </w:placeholder>
              </w:sdtPr>
              <w:sdtContent>
                <w:r w:rsidR="00754CC5">
                  <w:rPr>
                    <w:rFonts w:cs="Arial"/>
                    <w:color w:val="FFFFFF"/>
                    <w:szCs w:val="28"/>
                  </w:rPr>
                  <w:t xml:space="preserve"> </w:t>
                </w:r>
              </w:sdtContent>
            </w:sdt>
            <w:r w:rsidR="00754CC5" w:rsidRPr="009F39FF">
              <w:rPr>
                <w:color w:val="FFFFFF" w:themeColor="background1"/>
              </w:rPr>
              <w:t xml:space="preserve">Fresenius </w:t>
            </w:r>
            <w:proofErr w:type="spellStart"/>
            <w:r w:rsidR="00754CC5" w:rsidRPr="009F39FF">
              <w:rPr>
                <w:color w:val="FFFFFF" w:themeColor="background1"/>
              </w:rPr>
              <w:t>Kabi</w:t>
            </w:r>
            <w:proofErr w:type="spellEnd"/>
            <w:r w:rsidR="00754CC5" w:rsidRPr="009F39FF">
              <w:rPr>
                <w:color w:val="FFFFFF" w:themeColor="background1"/>
              </w:rPr>
              <w:t xml:space="preserve"> Australia Pty Ltd</w:t>
            </w:r>
          </w:p>
          <w:p w:rsidR="00E07F15" w:rsidRPr="008E7846" w:rsidRDefault="00E07F15" w:rsidP="00AB5983">
            <w:pPr>
              <w:pStyle w:val="Subtitle"/>
              <w:rPr>
                <w:color w:val="FFFFFF" w:themeColor="background1"/>
              </w:rPr>
            </w:pP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A16AF7" w:rsidTr="0041712E">
        <w:trPr>
          <w:trHeight w:val="1620"/>
        </w:trPr>
        <w:tc>
          <w:tcPr>
            <w:tcW w:w="9497" w:type="dxa"/>
            <w:tcBorders>
              <w:top w:val="nil"/>
              <w:left w:val="nil"/>
              <w:bottom w:val="nil"/>
              <w:right w:val="nil"/>
            </w:tcBorders>
          </w:tcPr>
          <w:p w:rsidR="000B3AB3" w:rsidRPr="005543A4" w:rsidRDefault="005543A4" w:rsidP="005543A4">
            <w:pPr>
              <w:pStyle w:val="Style1"/>
              <w:numPr>
                <w:ilvl w:val="0"/>
                <w:numId w:val="0"/>
              </w:numPr>
              <w:ind w:left="360" w:hanging="360"/>
              <w:rPr>
                <w:rFonts w:ascii="Arial" w:hAnsi="Arial" w:cs="Arial"/>
                <w:b/>
                <w:color w:val="002C47"/>
                <w:sz w:val="36"/>
                <w:highlight w:val="yellow"/>
              </w:rPr>
            </w:pPr>
            <w:r>
              <w:rPr>
                <w:rFonts w:ascii="Arial" w:hAnsi="Arial" w:cs="Arial"/>
                <w:b/>
                <w:color w:val="002C47"/>
                <w:sz w:val="36"/>
              </w:rPr>
              <w:t xml:space="preserve">Date of CER: </w:t>
            </w:r>
            <w:r w:rsidR="001D7B4E">
              <w:rPr>
                <w:rFonts w:ascii="Arial" w:hAnsi="Arial" w:cs="Arial"/>
                <w:b/>
                <w:color w:val="002C47"/>
                <w:sz w:val="36"/>
              </w:rPr>
              <w:t>September 2015</w:t>
            </w:r>
          </w:p>
        </w:tc>
      </w:tr>
      <w:tr w:rsidR="000B3AB3" w:rsidRPr="00A16AF7" w:rsidTr="0041712E">
        <w:trPr>
          <w:trHeight w:val="1620"/>
        </w:trPr>
        <w:tc>
          <w:tcPr>
            <w:tcW w:w="9497" w:type="dxa"/>
            <w:tcBorders>
              <w:top w:val="nil"/>
              <w:left w:val="nil"/>
              <w:bottom w:val="nil"/>
              <w:right w:val="nil"/>
            </w:tcBorders>
          </w:tcPr>
          <w:p w:rsidR="000B3AB3" w:rsidRPr="00A16AF7" w:rsidRDefault="000B3AB3" w:rsidP="000B3AB3">
            <w:pPr>
              <w:rPr>
                <w:rFonts w:cs="Arial"/>
                <w:b/>
                <w:color w:val="002C47"/>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16AF7">
      <w:pPr>
        <w:pStyle w:val="ListBullet"/>
        <w:numPr>
          <w:ilvl w:val="0"/>
          <w:numId w:val="1"/>
        </w:numPr>
        <w:spacing w:before="20"/>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16AF7">
      <w:pPr>
        <w:pStyle w:val="ListBullet"/>
        <w:numPr>
          <w:ilvl w:val="0"/>
          <w:numId w:val="1"/>
        </w:numPr>
        <w:spacing w:before="20"/>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16AF7">
      <w:pPr>
        <w:pStyle w:val="ListBullet"/>
        <w:numPr>
          <w:ilvl w:val="0"/>
          <w:numId w:val="1"/>
        </w:numPr>
        <w:spacing w:before="20"/>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16AF7">
      <w:pPr>
        <w:pStyle w:val="ListBullet"/>
        <w:numPr>
          <w:ilvl w:val="0"/>
          <w:numId w:val="1"/>
        </w:numPr>
        <w:spacing w:before="20"/>
        <w:ind w:left="357" w:hanging="357"/>
      </w:pPr>
      <w:r>
        <w:t>To report a problem with a medicine or medical device, please see the information on the TGA website</w:t>
      </w:r>
      <w:r w:rsidR="00112F56">
        <w:t xml:space="preserve"> &lt;</w:t>
      </w:r>
      <w:hyperlink r:id="rId9" w:history="1">
        <w:r w:rsidR="00E979F4" w:rsidRPr="00A968A1">
          <w:rPr>
            <w:rStyle w:val="Hyperlink"/>
          </w:rPr>
          <w:t>https://www.tga.gov.au</w:t>
        </w:r>
      </w:hyperlink>
      <w:r w:rsidR="00112F56" w:rsidRPr="003A26A8">
        <w:t>&gt;</w:t>
      </w:r>
      <w:r w:rsidRPr="003A26A8">
        <w:t>.</w:t>
      </w:r>
    </w:p>
    <w:p w:rsidR="0017078F" w:rsidRPr="001F6CBA" w:rsidRDefault="0017078F" w:rsidP="006D4092">
      <w:pPr>
        <w:pStyle w:val="NonTOCHeading2"/>
      </w:pPr>
      <w:r w:rsidRPr="001F6CBA">
        <w:t xml:space="preserve">About the </w:t>
      </w:r>
      <w:r w:rsidRPr="0017078F">
        <w:t>Extract</w:t>
      </w:r>
      <w:r>
        <w:t xml:space="preserve"> from the Clinical Evaluation Report</w:t>
      </w:r>
    </w:p>
    <w:p w:rsidR="0017078F" w:rsidRDefault="003D0A3B" w:rsidP="00A16AF7">
      <w:pPr>
        <w:pStyle w:val="ListBullet"/>
        <w:spacing w:before="20"/>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A16AF7">
      <w:pPr>
        <w:pStyle w:val="ListBullet"/>
        <w:spacing w:before="20"/>
      </w:pPr>
      <w:r w:rsidRPr="003D0A3B">
        <w:t>The words [Information redacted], where they appear in this document, indicate that confidential information has been deleted.</w:t>
      </w:r>
    </w:p>
    <w:p w:rsidR="0017078F" w:rsidRDefault="003D0A3B" w:rsidP="00A16AF7">
      <w:pPr>
        <w:pStyle w:val="ListBullet"/>
        <w:spacing w:before="20"/>
      </w:pPr>
      <w:r w:rsidRPr="003D0A3B">
        <w:t>For the most</w:t>
      </w:r>
      <w:r w:rsidR="000771AD">
        <w:t xml:space="preserve"> </w:t>
      </w:r>
      <w:r w:rsidRPr="003D0A3B">
        <w:t>recent Product Information (PI), please refer to the TGA website</w:t>
      </w:r>
      <w:r>
        <w:t xml:space="preserve"> </w:t>
      </w:r>
      <w:r w:rsidR="00B1425E" w:rsidRPr="003A26A8">
        <w:t>&lt;</w:t>
      </w:r>
      <w:hyperlink r:id="rId10" w:history="1">
        <w:r w:rsidR="0010193C" w:rsidRPr="00A968A1">
          <w:rPr>
            <w:rStyle w:val="Hyperlink"/>
          </w:rPr>
          <w:t>https://www.tga.gov.au/product-information-pi</w:t>
        </w:r>
      </w:hyperlink>
      <w:r w:rsidR="0017078F" w:rsidRPr="003A26A8">
        <w:t>&gt;.</w:t>
      </w:r>
    </w:p>
    <w:p w:rsidR="00924482" w:rsidRPr="00DF1D7F" w:rsidRDefault="00924482" w:rsidP="005F173B">
      <w:pPr>
        <w:pStyle w:val="LegalSubheading"/>
        <w:spacing w:before="4000"/>
      </w:pPr>
      <w:r w:rsidRPr="00DF1D7F">
        <w:t>Copyright</w:t>
      </w:r>
    </w:p>
    <w:p w:rsidR="00924482" w:rsidRDefault="00924482" w:rsidP="00A16AF7">
      <w:pPr>
        <w:pStyle w:val="LegalCopy"/>
        <w:spacing w:before="20"/>
      </w:pPr>
      <w:r w:rsidRPr="00191B3B">
        <w:rPr>
          <w:lang w:val="en-GB"/>
        </w:rPr>
        <w:t>© Comm</w:t>
      </w:r>
      <w:r>
        <w:rPr>
          <w:lang w:val="en-GB"/>
        </w:rPr>
        <w:t>onwealth of Australia 201</w:t>
      </w:r>
      <w:r w:rsidR="00A968A1">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w:t>
      </w:r>
      <w:bookmarkStart w:id="0" w:name="_GoBack"/>
      <w:bookmarkEnd w:id="0"/>
      <w:r w:rsidRPr="00191B3B">
        <w:rPr>
          <w:lang w:val="en-GB"/>
        </w:rPr>
        <w:t xml:space="preserve">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w:t>
      </w:r>
      <w:r w:rsidRPr="00A968A1">
        <w:rPr>
          <w:lang w:val="en-GB"/>
        </w:rPr>
        <w:t>&lt;</w:t>
      </w:r>
      <w:hyperlink r:id="rId11" w:history="1">
        <w:r w:rsidRPr="00A968A1">
          <w:rPr>
            <w:rStyle w:val="Hyperlink"/>
            <w:lang w:val="en-GB"/>
          </w:rPr>
          <w:t>tga.copyright@tga.gov.au</w:t>
        </w:r>
      </w:hyperlink>
      <w:r w:rsidRPr="00A968A1">
        <w:t>&gt;.</w:t>
      </w:r>
    </w:p>
    <w:p w:rsidR="00924482" w:rsidRDefault="00924482" w:rsidP="00A16AF7">
      <w:pPr>
        <w:pStyle w:val="LegalCopy"/>
        <w:spacing w:before="20"/>
        <w:sectPr w:rsidR="00924482" w:rsidSect="005F173B">
          <w:headerReference w:type="default" r:id="rId12"/>
          <w:footerReference w:type="even" r:id="rId13"/>
          <w:footerReference w:type="default" r:id="rId14"/>
          <w:headerReference w:type="first" r:id="rId15"/>
          <w:pgSz w:w="11906" w:h="16838" w:code="9"/>
          <w:pgMar w:top="426" w:right="1701" w:bottom="0" w:left="1701" w:header="907" w:footer="480" w:gutter="0"/>
          <w:pgNumType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6E71E8" w:rsidRDefault="0089635C" w:rsidP="00A16AF7">
          <w:pPr>
            <w:pStyle w:val="Contents"/>
            <w:spacing w:before="20"/>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6E71E8" w:rsidRDefault="006E71E8">
          <w:pPr>
            <w:pStyle w:val="TOC2"/>
            <w:rPr>
              <w:rFonts w:asciiTheme="minorHAnsi" w:eastAsiaTheme="minorEastAsia" w:hAnsiTheme="minorHAnsi" w:cstheme="minorBidi"/>
              <w:b w:val="0"/>
              <w:noProof/>
              <w:sz w:val="22"/>
              <w:lang w:eastAsia="en-AU"/>
            </w:rPr>
          </w:pPr>
          <w:hyperlink w:anchor="_Toc480383668" w:history="1">
            <w:r w:rsidRPr="0013439E">
              <w:rPr>
                <w:rStyle w:val="Hyperlink"/>
                <w:noProof/>
              </w:rPr>
              <w:t>List of common abbreviations</w:t>
            </w:r>
            <w:r>
              <w:rPr>
                <w:noProof/>
                <w:webHidden/>
              </w:rPr>
              <w:tab/>
            </w:r>
            <w:r>
              <w:rPr>
                <w:noProof/>
                <w:webHidden/>
              </w:rPr>
              <w:fldChar w:fldCharType="begin"/>
            </w:r>
            <w:r>
              <w:rPr>
                <w:noProof/>
                <w:webHidden/>
              </w:rPr>
              <w:instrText xml:space="preserve"> PAGEREF _Toc480383668 \h </w:instrText>
            </w:r>
            <w:r>
              <w:rPr>
                <w:noProof/>
                <w:webHidden/>
              </w:rPr>
            </w:r>
            <w:r>
              <w:rPr>
                <w:noProof/>
                <w:webHidden/>
              </w:rPr>
              <w:fldChar w:fldCharType="separate"/>
            </w:r>
            <w:r>
              <w:rPr>
                <w:noProof/>
                <w:webHidden/>
              </w:rPr>
              <w:t>4</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69" w:history="1">
            <w:r w:rsidRPr="0013439E">
              <w:rPr>
                <w:rStyle w:val="Hyperlink"/>
                <w:noProof/>
                <w:lang w:eastAsia="en-AU"/>
              </w:rPr>
              <w:t>1.</w:t>
            </w:r>
            <w:r>
              <w:rPr>
                <w:rFonts w:asciiTheme="minorHAnsi" w:eastAsiaTheme="minorEastAsia" w:hAnsiTheme="minorHAnsi" w:cstheme="minorBidi"/>
                <w:b w:val="0"/>
                <w:noProof/>
                <w:sz w:val="22"/>
                <w:lang w:eastAsia="en-AU"/>
              </w:rPr>
              <w:tab/>
            </w:r>
            <w:r w:rsidRPr="0013439E">
              <w:rPr>
                <w:rStyle w:val="Hyperlink"/>
                <w:noProof/>
                <w:lang w:eastAsia="en-AU"/>
              </w:rPr>
              <w:t>Introduction</w:t>
            </w:r>
            <w:r>
              <w:rPr>
                <w:noProof/>
                <w:webHidden/>
              </w:rPr>
              <w:tab/>
            </w:r>
            <w:r>
              <w:rPr>
                <w:noProof/>
                <w:webHidden/>
              </w:rPr>
              <w:fldChar w:fldCharType="begin"/>
            </w:r>
            <w:r>
              <w:rPr>
                <w:noProof/>
                <w:webHidden/>
              </w:rPr>
              <w:instrText xml:space="preserve"> PAGEREF _Toc480383669 \h </w:instrText>
            </w:r>
            <w:r>
              <w:rPr>
                <w:noProof/>
                <w:webHidden/>
              </w:rPr>
            </w:r>
            <w:r>
              <w:rPr>
                <w:noProof/>
                <w:webHidden/>
              </w:rPr>
              <w:fldChar w:fldCharType="separate"/>
            </w:r>
            <w:r>
              <w:rPr>
                <w:noProof/>
                <w:webHidden/>
              </w:rPr>
              <w:t>5</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0" w:history="1">
            <w:r w:rsidRPr="0013439E">
              <w:rPr>
                <w:rStyle w:val="Hyperlink"/>
                <w:noProof/>
              </w:rPr>
              <w:t>1.1.</w:t>
            </w:r>
            <w:r>
              <w:rPr>
                <w:rFonts w:asciiTheme="minorHAnsi" w:eastAsiaTheme="minorEastAsia" w:hAnsiTheme="minorHAnsi" w:cstheme="minorBidi"/>
                <w:noProof/>
                <w:lang w:eastAsia="en-AU"/>
              </w:rPr>
              <w:tab/>
            </w:r>
            <w:r w:rsidRPr="0013439E">
              <w:rPr>
                <w:rStyle w:val="Hyperlink"/>
                <w:noProof/>
              </w:rPr>
              <w:t>Drug class and therapeutic indication</w:t>
            </w:r>
            <w:r>
              <w:rPr>
                <w:noProof/>
                <w:webHidden/>
              </w:rPr>
              <w:tab/>
            </w:r>
            <w:r>
              <w:rPr>
                <w:noProof/>
                <w:webHidden/>
              </w:rPr>
              <w:fldChar w:fldCharType="begin"/>
            </w:r>
            <w:r>
              <w:rPr>
                <w:noProof/>
                <w:webHidden/>
              </w:rPr>
              <w:instrText xml:space="preserve"> PAGEREF _Toc480383670 \h </w:instrText>
            </w:r>
            <w:r>
              <w:rPr>
                <w:noProof/>
                <w:webHidden/>
              </w:rPr>
            </w:r>
            <w:r>
              <w:rPr>
                <w:noProof/>
                <w:webHidden/>
              </w:rPr>
              <w:fldChar w:fldCharType="separate"/>
            </w:r>
            <w:r>
              <w:rPr>
                <w:noProof/>
                <w:webHidden/>
              </w:rPr>
              <w:t>5</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1" w:history="1">
            <w:r w:rsidRPr="0013439E">
              <w:rPr>
                <w:rStyle w:val="Hyperlink"/>
                <w:noProof/>
              </w:rPr>
              <w:t>1.2.</w:t>
            </w:r>
            <w:r>
              <w:rPr>
                <w:rFonts w:asciiTheme="minorHAnsi" w:eastAsiaTheme="minorEastAsia" w:hAnsiTheme="minorHAnsi" w:cstheme="minorBidi"/>
                <w:noProof/>
                <w:lang w:eastAsia="en-AU"/>
              </w:rPr>
              <w:tab/>
            </w:r>
            <w:r w:rsidRPr="0013439E">
              <w:rPr>
                <w:rStyle w:val="Hyperlink"/>
                <w:noProof/>
              </w:rPr>
              <w:t>Dosage forms and strengths</w:t>
            </w:r>
            <w:r>
              <w:rPr>
                <w:noProof/>
                <w:webHidden/>
              </w:rPr>
              <w:tab/>
            </w:r>
            <w:r>
              <w:rPr>
                <w:noProof/>
                <w:webHidden/>
              </w:rPr>
              <w:fldChar w:fldCharType="begin"/>
            </w:r>
            <w:r>
              <w:rPr>
                <w:noProof/>
                <w:webHidden/>
              </w:rPr>
              <w:instrText xml:space="preserve"> PAGEREF _Toc480383671 \h </w:instrText>
            </w:r>
            <w:r>
              <w:rPr>
                <w:noProof/>
                <w:webHidden/>
              </w:rPr>
            </w:r>
            <w:r>
              <w:rPr>
                <w:noProof/>
                <w:webHidden/>
              </w:rPr>
              <w:fldChar w:fldCharType="separate"/>
            </w:r>
            <w:r>
              <w:rPr>
                <w:noProof/>
                <w:webHidden/>
              </w:rPr>
              <w:t>5</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2" w:history="1">
            <w:r w:rsidRPr="0013439E">
              <w:rPr>
                <w:rStyle w:val="Hyperlink"/>
                <w:noProof/>
              </w:rPr>
              <w:t>1.3.</w:t>
            </w:r>
            <w:r>
              <w:rPr>
                <w:rFonts w:asciiTheme="minorHAnsi" w:eastAsiaTheme="minorEastAsia" w:hAnsiTheme="minorHAnsi" w:cstheme="minorBidi"/>
                <w:noProof/>
                <w:lang w:eastAsia="en-AU"/>
              </w:rPr>
              <w:tab/>
            </w:r>
            <w:r w:rsidRPr="0013439E">
              <w:rPr>
                <w:rStyle w:val="Hyperlink"/>
                <w:noProof/>
              </w:rPr>
              <w:t>Dosage and administration</w:t>
            </w:r>
            <w:r>
              <w:rPr>
                <w:noProof/>
                <w:webHidden/>
              </w:rPr>
              <w:tab/>
            </w:r>
            <w:r>
              <w:rPr>
                <w:noProof/>
                <w:webHidden/>
              </w:rPr>
              <w:fldChar w:fldCharType="begin"/>
            </w:r>
            <w:r>
              <w:rPr>
                <w:noProof/>
                <w:webHidden/>
              </w:rPr>
              <w:instrText xml:space="preserve"> PAGEREF _Toc480383672 \h </w:instrText>
            </w:r>
            <w:r>
              <w:rPr>
                <w:noProof/>
                <w:webHidden/>
              </w:rPr>
            </w:r>
            <w:r>
              <w:rPr>
                <w:noProof/>
                <w:webHidden/>
              </w:rPr>
              <w:fldChar w:fldCharType="separate"/>
            </w:r>
            <w:r>
              <w:rPr>
                <w:noProof/>
                <w:webHidden/>
              </w:rPr>
              <w:t>6</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73" w:history="1">
            <w:r w:rsidRPr="0013439E">
              <w:rPr>
                <w:rStyle w:val="Hyperlink"/>
                <w:noProof/>
              </w:rPr>
              <w:t>2.</w:t>
            </w:r>
            <w:r>
              <w:rPr>
                <w:rFonts w:asciiTheme="minorHAnsi" w:eastAsiaTheme="minorEastAsia" w:hAnsiTheme="minorHAnsi" w:cstheme="minorBidi"/>
                <w:b w:val="0"/>
                <w:noProof/>
                <w:sz w:val="22"/>
                <w:lang w:eastAsia="en-AU"/>
              </w:rPr>
              <w:tab/>
            </w:r>
            <w:r w:rsidRPr="0013439E">
              <w:rPr>
                <w:rStyle w:val="Hyperlink"/>
                <w:noProof/>
              </w:rPr>
              <w:t>Clinical rationale</w:t>
            </w:r>
            <w:r>
              <w:rPr>
                <w:noProof/>
                <w:webHidden/>
              </w:rPr>
              <w:tab/>
            </w:r>
            <w:r>
              <w:rPr>
                <w:noProof/>
                <w:webHidden/>
              </w:rPr>
              <w:fldChar w:fldCharType="begin"/>
            </w:r>
            <w:r>
              <w:rPr>
                <w:noProof/>
                <w:webHidden/>
              </w:rPr>
              <w:instrText xml:space="preserve"> PAGEREF _Toc480383673 \h </w:instrText>
            </w:r>
            <w:r>
              <w:rPr>
                <w:noProof/>
                <w:webHidden/>
              </w:rPr>
            </w:r>
            <w:r>
              <w:rPr>
                <w:noProof/>
                <w:webHidden/>
              </w:rPr>
              <w:fldChar w:fldCharType="separate"/>
            </w:r>
            <w:r>
              <w:rPr>
                <w:noProof/>
                <w:webHidden/>
              </w:rPr>
              <w:t>6</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74" w:history="1">
            <w:r w:rsidRPr="0013439E">
              <w:rPr>
                <w:rStyle w:val="Hyperlink"/>
                <w:noProof/>
                <w:lang w:eastAsia="en-AU"/>
              </w:rPr>
              <w:t>3.</w:t>
            </w:r>
            <w:r>
              <w:rPr>
                <w:rFonts w:asciiTheme="minorHAnsi" w:eastAsiaTheme="minorEastAsia" w:hAnsiTheme="minorHAnsi" w:cstheme="minorBidi"/>
                <w:b w:val="0"/>
                <w:noProof/>
                <w:sz w:val="22"/>
                <w:lang w:eastAsia="en-AU"/>
              </w:rPr>
              <w:tab/>
            </w:r>
            <w:r w:rsidRPr="0013439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_Toc480383674 \h </w:instrText>
            </w:r>
            <w:r>
              <w:rPr>
                <w:noProof/>
                <w:webHidden/>
              </w:rPr>
            </w:r>
            <w:r>
              <w:rPr>
                <w:noProof/>
                <w:webHidden/>
              </w:rPr>
              <w:fldChar w:fldCharType="separate"/>
            </w:r>
            <w:r>
              <w:rPr>
                <w:noProof/>
                <w:webHidden/>
              </w:rPr>
              <w:t>7</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75" w:history="1">
            <w:r w:rsidRPr="0013439E">
              <w:rPr>
                <w:rStyle w:val="Hyperlink"/>
                <w:noProof/>
              </w:rPr>
              <w:t>4.</w:t>
            </w:r>
            <w:r>
              <w:rPr>
                <w:rFonts w:asciiTheme="minorHAnsi" w:eastAsiaTheme="minorEastAsia" w:hAnsiTheme="minorHAnsi" w:cstheme="minorBidi"/>
                <w:b w:val="0"/>
                <w:noProof/>
                <w:sz w:val="22"/>
                <w:lang w:eastAsia="en-AU"/>
              </w:rPr>
              <w:tab/>
            </w:r>
            <w:r w:rsidRPr="0013439E">
              <w:rPr>
                <w:rStyle w:val="Hyperlink"/>
                <w:noProof/>
              </w:rPr>
              <w:t>Pharmacokinetics</w:t>
            </w:r>
            <w:r>
              <w:rPr>
                <w:noProof/>
                <w:webHidden/>
              </w:rPr>
              <w:tab/>
            </w:r>
            <w:r>
              <w:rPr>
                <w:noProof/>
                <w:webHidden/>
              </w:rPr>
              <w:fldChar w:fldCharType="begin"/>
            </w:r>
            <w:r>
              <w:rPr>
                <w:noProof/>
                <w:webHidden/>
              </w:rPr>
              <w:instrText xml:space="preserve"> PAGEREF _Toc480383675 \h </w:instrText>
            </w:r>
            <w:r>
              <w:rPr>
                <w:noProof/>
                <w:webHidden/>
              </w:rPr>
            </w:r>
            <w:r>
              <w:rPr>
                <w:noProof/>
                <w:webHidden/>
              </w:rPr>
              <w:fldChar w:fldCharType="separate"/>
            </w:r>
            <w:r>
              <w:rPr>
                <w:noProof/>
                <w:webHidden/>
              </w:rPr>
              <w:t>7</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6" w:history="1">
            <w:r w:rsidRPr="0013439E">
              <w:rPr>
                <w:rStyle w:val="Hyperlink"/>
                <w:noProof/>
              </w:rPr>
              <w:t>4.1.</w:t>
            </w:r>
            <w:r>
              <w:rPr>
                <w:rFonts w:asciiTheme="minorHAnsi" w:eastAsiaTheme="minorEastAsia" w:hAnsiTheme="minorHAnsi" w:cstheme="minorBidi"/>
                <w:noProof/>
                <w:lang w:eastAsia="en-AU"/>
              </w:rPr>
              <w:tab/>
            </w:r>
            <w:r w:rsidRPr="0013439E">
              <w:rPr>
                <w:rStyle w:val="Hyperlink"/>
                <w:noProof/>
              </w:rPr>
              <w:t>Studies providing pharmacokinetic data</w:t>
            </w:r>
            <w:r>
              <w:rPr>
                <w:noProof/>
                <w:webHidden/>
              </w:rPr>
              <w:tab/>
            </w:r>
            <w:r>
              <w:rPr>
                <w:noProof/>
                <w:webHidden/>
              </w:rPr>
              <w:fldChar w:fldCharType="begin"/>
            </w:r>
            <w:r>
              <w:rPr>
                <w:noProof/>
                <w:webHidden/>
              </w:rPr>
              <w:instrText xml:space="preserve"> PAGEREF _Toc480383676 \h </w:instrText>
            </w:r>
            <w:r>
              <w:rPr>
                <w:noProof/>
                <w:webHidden/>
              </w:rPr>
            </w:r>
            <w:r>
              <w:rPr>
                <w:noProof/>
                <w:webHidden/>
              </w:rPr>
              <w:fldChar w:fldCharType="separate"/>
            </w:r>
            <w:r>
              <w:rPr>
                <w:noProof/>
                <w:webHidden/>
              </w:rPr>
              <w:t>7</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7" w:history="1">
            <w:r w:rsidRPr="0013439E">
              <w:rPr>
                <w:rStyle w:val="Hyperlink"/>
                <w:noProof/>
              </w:rPr>
              <w:t>4.2.</w:t>
            </w:r>
            <w:r>
              <w:rPr>
                <w:rFonts w:asciiTheme="minorHAnsi" w:eastAsiaTheme="minorEastAsia" w:hAnsiTheme="minorHAnsi" w:cstheme="minorBidi"/>
                <w:noProof/>
                <w:lang w:eastAsia="en-AU"/>
              </w:rPr>
              <w:tab/>
            </w:r>
            <w:r w:rsidRPr="0013439E">
              <w:rPr>
                <w:rStyle w:val="Hyperlink"/>
                <w:noProof/>
              </w:rPr>
              <w:t>Physicochemical characteristics of the active substance</w:t>
            </w:r>
            <w:r>
              <w:rPr>
                <w:noProof/>
                <w:webHidden/>
              </w:rPr>
              <w:tab/>
            </w:r>
            <w:r>
              <w:rPr>
                <w:noProof/>
                <w:webHidden/>
              </w:rPr>
              <w:fldChar w:fldCharType="begin"/>
            </w:r>
            <w:r>
              <w:rPr>
                <w:noProof/>
                <w:webHidden/>
              </w:rPr>
              <w:instrText xml:space="preserve"> PAGEREF _Toc480383677 \h </w:instrText>
            </w:r>
            <w:r>
              <w:rPr>
                <w:noProof/>
                <w:webHidden/>
              </w:rPr>
            </w:r>
            <w:r>
              <w:rPr>
                <w:noProof/>
                <w:webHidden/>
              </w:rPr>
              <w:fldChar w:fldCharType="separate"/>
            </w:r>
            <w:r>
              <w:rPr>
                <w:noProof/>
                <w:webHidden/>
              </w:rPr>
              <w:t>7</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78" w:history="1">
            <w:r w:rsidRPr="0013439E">
              <w:rPr>
                <w:rStyle w:val="Hyperlink"/>
                <w:noProof/>
              </w:rPr>
              <w:t>4.3.</w:t>
            </w:r>
            <w:r>
              <w:rPr>
                <w:rFonts w:asciiTheme="minorHAnsi" w:eastAsiaTheme="minorEastAsia" w:hAnsiTheme="minorHAnsi" w:cstheme="minorBidi"/>
                <w:noProof/>
                <w:lang w:eastAsia="en-AU"/>
              </w:rPr>
              <w:tab/>
            </w:r>
            <w:r w:rsidRPr="0013439E">
              <w:rPr>
                <w:rStyle w:val="Hyperlink"/>
                <w:noProof/>
              </w:rPr>
              <w:t>Evaluator’s overall conclusions on pharmacokinetics</w:t>
            </w:r>
            <w:r>
              <w:rPr>
                <w:noProof/>
                <w:webHidden/>
              </w:rPr>
              <w:tab/>
            </w:r>
            <w:r>
              <w:rPr>
                <w:noProof/>
                <w:webHidden/>
              </w:rPr>
              <w:fldChar w:fldCharType="begin"/>
            </w:r>
            <w:r>
              <w:rPr>
                <w:noProof/>
                <w:webHidden/>
              </w:rPr>
              <w:instrText xml:space="preserve"> PAGEREF _Toc480383678 \h </w:instrText>
            </w:r>
            <w:r>
              <w:rPr>
                <w:noProof/>
                <w:webHidden/>
              </w:rPr>
            </w:r>
            <w:r>
              <w:rPr>
                <w:noProof/>
                <w:webHidden/>
              </w:rPr>
              <w:fldChar w:fldCharType="separate"/>
            </w:r>
            <w:r>
              <w:rPr>
                <w:noProof/>
                <w:webHidden/>
              </w:rPr>
              <w:t>8</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79" w:history="1">
            <w:r w:rsidRPr="0013439E">
              <w:rPr>
                <w:rStyle w:val="Hyperlink"/>
                <w:noProof/>
              </w:rPr>
              <w:t>5.</w:t>
            </w:r>
            <w:r>
              <w:rPr>
                <w:rFonts w:asciiTheme="minorHAnsi" w:eastAsiaTheme="minorEastAsia" w:hAnsiTheme="minorHAnsi" w:cstheme="minorBidi"/>
                <w:b w:val="0"/>
                <w:noProof/>
                <w:sz w:val="22"/>
                <w:lang w:eastAsia="en-AU"/>
              </w:rPr>
              <w:tab/>
            </w:r>
            <w:r w:rsidRPr="0013439E">
              <w:rPr>
                <w:rStyle w:val="Hyperlink"/>
                <w:noProof/>
              </w:rPr>
              <w:t>Pharmacodynamics</w:t>
            </w:r>
            <w:r>
              <w:rPr>
                <w:noProof/>
                <w:webHidden/>
              </w:rPr>
              <w:tab/>
            </w:r>
            <w:r>
              <w:rPr>
                <w:noProof/>
                <w:webHidden/>
              </w:rPr>
              <w:fldChar w:fldCharType="begin"/>
            </w:r>
            <w:r>
              <w:rPr>
                <w:noProof/>
                <w:webHidden/>
              </w:rPr>
              <w:instrText xml:space="preserve"> PAGEREF _Toc480383679 \h </w:instrText>
            </w:r>
            <w:r>
              <w:rPr>
                <w:noProof/>
                <w:webHidden/>
              </w:rPr>
            </w:r>
            <w:r>
              <w:rPr>
                <w:noProof/>
                <w:webHidden/>
              </w:rPr>
              <w:fldChar w:fldCharType="separate"/>
            </w:r>
            <w:r>
              <w:rPr>
                <w:noProof/>
                <w:webHidden/>
              </w:rPr>
              <w:t>8</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80" w:history="1">
            <w:r w:rsidRPr="0013439E">
              <w:rPr>
                <w:rStyle w:val="Hyperlink"/>
                <w:noProof/>
              </w:rPr>
              <w:t>6.</w:t>
            </w:r>
            <w:r>
              <w:rPr>
                <w:rFonts w:asciiTheme="minorHAnsi" w:eastAsiaTheme="minorEastAsia" w:hAnsiTheme="minorHAnsi" w:cstheme="minorBidi"/>
                <w:b w:val="0"/>
                <w:noProof/>
                <w:sz w:val="22"/>
                <w:lang w:eastAsia="en-AU"/>
              </w:rPr>
              <w:tab/>
            </w:r>
            <w:r w:rsidRPr="0013439E">
              <w:rPr>
                <w:rStyle w:val="Hyperlink"/>
                <w:noProof/>
              </w:rPr>
              <w:t>Dosage selection for the pivotal studies</w:t>
            </w:r>
            <w:r>
              <w:rPr>
                <w:noProof/>
                <w:webHidden/>
              </w:rPr>
              <w:tab/>
            </w:r>
            <w:r>
              <w:rPr>
                <w:noProof/>
                <w:webHidden/>
              </w:rPr>
              <w:fldChar w:fldCharType="begin"/>
            </w:r>
            <w:r>
              <w:rPr>
                <w:noProof/>
                <w:webHidden/>
              </w:rPr>
              <w:instrText xml:space="preserve"> PAGEREF _Toc480383680 \h </w:instrText>
            </w:r>
            <w:r>
              <w:rPr>
                <w:noProof/>
                <w:webHidden/>
              </w:rPr>
            </w:r>
            <w:r>
              <w:rPr>
                <w:noProof/>
                <w:webHidden/>
              </w:rPr>
              <w:fldChar w:fldCharType="separate"/>
            </w:r>
            <w:r>
              <w:rPr>
                <w:noProof/>
                <w:webHidden/>
              </w:rPr>
              <w:t>8</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81" w:history="1">
            <w:r w:rsidRPr="0013439E">
              <w:rPr>
                <w:rStyle w:val="Hyperlink"/>
                <w:noProof/>
              </w:rPr>
              <w:t>7.</w:t>
            </w:r>
            <w:r>
              <w:rPr>
                <w:rFonts w:asciiTheme="minorHAnsi" w:eastAsiaTheme="minorEastAsia" w:hAnsiTheme="minorHAnsi" w:cstheme="minorBidi"/>
                <w:b w:val="0"/>
                <w:noProof/>
                <w:sz w:val="22"/>
                <w:lang w:eastAsia="en-AU"/>
              </w:rPr>
              <w:tab/>
            </w:r>
            <w:r w:rsidRPr="0013439E">
              <w:rPr>
                <w:rStyle w:val="Hyperlink"/>
                <w:noProof/>
              </w:rPr>
              <w:t>Clinical efficacy</w:t>
            </w:r>
            <w:r>
              <w:rPr>
                <w:noProof/>
                <w:webHidden/>
              </w:rPr>
              <w:tab/>
            </w:r>
            <w:r>
              <w:rPr>
                <w:noProof/>
                <w:webHidden/>
              </w:rPr>
              <w:fldChar w:fldCharType="begin"/>
            </w:r>
            <w:r>
              <w:rPr>
                <w:noProof/>
                <w:webHidden/>
              </w:rPr>
              <w:instrText xml:space="preserve"> PAGEREF _Toc480383681 \h </w:instrText>
            </w:r>
            <w:r>
              <w:rPr>
                <w:noProof/>
                <w:webHidden/>
              </w:rPr>
            </w:r>
            <w:r>
              <w:rPr>
                <w:noProof/>
                <w:webHidden/>
              </w:rPr>
              <w:fldChar w:fldCharType="separate"/>
            </w:r>
            <w:r>
              <w:rPr>
                <w:noProof/>
                <w:webHidden/>
              </w:rPr>
              <w:t>9</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2" w:history="1">
            <w:r w:rsidRPr="0013439E">
              <w:rPr>
                <w:rStyle w:val="Hyperlink"/>
                <w:noProof/>
              </w:rPr>
              <w:t>7.1.</w:t>
            </w:r>
            <w:r>
              <w:rPr>
                <w:rFonts w:asciiTheme="minorHAnsi" w:eastAsiaTheme="minorEastAsia" w:hAnsiTheme="minorHAnsi" w:cstheme="minorBidi"/>
                <w:noProof/>
                <w:lang w:eastAsia="en-AU"/>
              </w:rPr>
              <w:tab/>
            </w:r>
            <w:r w:rsidRPr="0013439E">
              <w:rPr>
                <w:rStyle w:val="Hyperlink"/>
                <w:noProof/>
              </w:rPr>
              <w:t>Efficacy of respective trace elements</w:t>
            </w:r>
            <w:r>
              <w:rPr>
                <w:noProof/>
                <w:webHidden/>
              </w:rPr>
              <w:tab/>
            </w:r>
            <w:r>
              <w:rPr>
                <w:noProof/>
                <w:webHidden/>
              </w:rPr>
              <w:fldChar w:fldCharType="begin"/>
            </w:r>
            <w:r>
              <w:rPr>
                <w:noProof/>
                <w:webHidden/>
              </w:rPr>
              <w:instrText xml:space="preserve"> PAGEREF _Toc480383682 \h </w:instrText>
            </w:r>
            <w:r>
              <w:rPr>
                <w:noProof/>
                <w:webHidden/>
              </w:rPr>
            </w:r>
            <w:r>
              <w:rPr>
                <w:noProof/>
                <w:webHidden/>
              </w:rPr>
              <w:fldChar w:fldCharType="separate"/>
            </w:r>
            <w:r>
              <w:rPr>
                <w:noProof/>
                <w:webHidden/>
              </w:rPr>
              <w:t>9</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3" w:history="1">
            <w:r w:rsidRPr="0013439E">
              <w:rPr>
                <w:rStyle w:val="Hyperlink"/>
                <w:noProof/>
              </w:rPr>
              <w:t>7.2.</w:t>
            </w:r>
            <w:r>
              <w:rPr>
                <w:rFonts w:asciiTheme="minorHAnsi" w:eastAsiaTheme="minorEastAsia" w:hAnsiTheme="minorHAnsi" w:cstheme="minorBidi"/>
                <w:noProof/>
                <w:lang w:eastAsia="en-AU"/>
              </w:rPr>
              <w:tab/>
            </w:r>
            <w:r w:rsidRPr="0013439E">
              <w:rPr>
                <w:rStyle w:val="Hyperlink"/>
                <w:noProof/>
              </w:rPr>
              <w:t>Studies relating to Addamel or Addamel N</w:t>
            </w:r>
            <w:r>
              <w:rPr>
                <w:noProof/>
                <w:webHidden/>
              </w:rPr>
              <w:tab/>
            </w:r>
            <w:r>
              <w:rPr>
                <w:noProof/>
                <w:webHidden/>
              </w:rPr>
              <w:fldChar w:fldCharType="begin"/>
            </w:r>
            <w:r>
              <w:rPr>
                <w:noProof/>
                <w:webHidden/>
              </w:rPr>
              <w:instrText xml:space="preserve"> PAGEREF _Toc480383683 \h </w:instrText>
            </w:r>
            <w:r>
              <w:rPr>
                <w:noProof/>
                <w:webHidden/>
              </w:rPr>
            </w:r>
            <w:r>
              <w:rPr>
                <w:noProof/>
                <w:webHidden/>
              </w:rPr>
              <w:fldChar w:fldCharType="separate"/>
            </w:r>
            <w:r>
              <w:rPr>
                <w:noProof/>
                <w:webHidden/>
              </w:rPr>
              <w:t>18</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4" w:history="1">
            <w:r w:rsidRPr="0013439E">
              <w:rPr>
                <w:rStyle w:val="Hyperlink"/>
                <w:noProof/>
              </w:rPr>
              <w:t>7.3.</w:t>
            </w:r>
            <w:r>
              <w:rPr>
                <w:rFonts w:asciiTheme="minorHAnsi" w:eastAsiaTheme="minorEastAsia" w:hAnsiTheme="minorHAnsi" w:cstheme="minorBidi"/>
                <w:noProof/>
                <w:lang w:eastAsia="en-AU"/>
              </w:rPr>
              <w:tab/>
            </w:r>
            <w:r w:rsidRPr="0013439E">
              <w:rPr>
                <w:rStyle w:val="Hyperlink"/>
                <w:noProof/>
              </w:rPr>
              <w:t>Xylitol</w:t>
            </w:r>
            <w:r>
              <w:rPr>
                <w:noProof/>
                <w:webHidden/>
              </w:rPr>
              <w:tab/>
            </w:r>
            <w:r>
              <w:rPr>
                <w:noProof/>
                <w:webHidden/>
              </w:rPr>
              <w:fldChar w:fldCharType="begin"/>
            </w:r>
            <w:r>
              <w:rPr>
                <w:noProof/>
                <w:webHidden/>
              </w:rPr>
              <w:instrText xml:space="preserve"> PAGEREF _Toc480383684 \h </w:instrText>
            </w:r>
            <w:r>
              <w:rPr>
                <w:noProof/>
                <w:webHidden/>
              </w:rPr>
            </w:r>
            <w:r>
              <w:rPr>
                <w:noProof/>
                <w:webHidden/>
              </w:rPr>
              <w:fldChar w:fldCharType="separate"/>
            </w:r>
            <w:r>
              <w:rPr>
                <w:noProof/>
                <w:webHidden/>
              </w:rPr>
              <w:t>19</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5" w:history="1">
            <w:r w:rsidRPr="0013439E">
              <w:rPr>
                <w:rStyle w:val="Hyperlink"/>
                <w:noProof/>
              </w:rPr>
              <w:t>7.4.</w:t>
            </w:r>
            <w:r>
              <w:rPr>
                <w:rFonts w:asciiTheme="minorHAnsi" w:eastAsiaTheme="minorEastAsia" w:hAnsiTheme="minorHAnsi" w:cstheme="minorBidi"/>
                <w:noProof/>
                <w:lang w:eastAsia="en-AU"/>
              </w:rPr>
              <w:tab/>
            </w:r>
            <w:r w:rsidRPr="0013439E">
              <w:rPr>
                <w:rStyle w:val="Hyperlink"/>
                <w:noProof/>
              </w:rPr>
              <w:t>Evaluator’s conclusions on clinical efficacy for the trace elements</w:t>
            </w:r>
            <w:r>
              <w:rPr>
                <w:noProof/>
                <w:webHidden/>
              </w:rPr>
              <w:tab/>
            </w:r>
            <w:r>
              <w:rPr>
                <w:noProof/>
                <w:webHidden/>
              </w:rPr>
              <w:fldChar w:fldCharType="begin"/>
            </w:r>
            <w:r>
              <w:rPr>
                <w:noProof/>
                <w:webHidden/>
              </w:rPr>
              <w:instrText xml:space="preserve"> PAGEREF _Toc480383685 \h </w:instrText>
            </w:r>
            <w:r>
              <w:rPr>
                <w:noProof/>
                <w:webHidden/>
              </w:rPr>
            </w:r>
            <w:r>
              <w:rPr>
                <w:noProof/>
                <w:webHidden/>
              </w:rPr>
              <w:fldChar w:fldCharType="separate"/>
            </w:r>
            <w:r>
              <w:rPr>
                <w:noProof/>
                <w:webHidden/>
              </w:rPr>
              <w:t>20</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86" w:history="1">
            <w:r w:rsidRPr="0013439E">
              <w:rPr>
                <w:rStyle w:val="Hyperlink"/>
                <w:noProof/>
              </w:rPr>
              <w:t>8.</w:t>
            </w:r>
            <w:r>
              <w:rPr>
                <w:rFonts w:asciiTheme="minorHAnsi" w:eastAsiaTheme="minorEastAsia" w:hAnsiTheme="minorHAnsi" w:cstheme="minorBidi"/>
                <w:b w:val="0"/>
                <w:noProof/>
                <w:sz w:val="22"/>
                <w:lang w:eastAsia="en-AU"/>
              </w:rPr>
              <w:tab/>
            </w:r>
            <w:r w:rsidRPr="0013439E">
              <w:rPr>
                <w:rStyle w:val="Hyperlink"/>
                <w:noProof/>
              </w:rPr>
              <w:t>Clinical safety</w:t>
            </w:r>
            <w:r>
              <w:rPr>
                <w:noProof/>
                <w:webHidden/>
              </w:rPr>
              <w:tab/>
            </w:r>
            <w:r>
              <w:rPr>
                <w:noProof/>
                <w:webHidden/>
              </w:rPr>
              <w:fldChar w:fldCharType="begin"/>
            </w:r>
            <w:r>
              <w:rPr>
                <w:noProof/>
                <w:webHidden/>
              </w:rPr>
              <w:instrText xml:space="preserve"> PAGEREF _Toc480383686 \h </w:instrText>
            </w:r>
            <w:r>
              <w:rPr>
                <w:noProof/>
                <w:webHidden/>
              </w:rPr>
            </w:r>
            <w:r>
              <w:rPr>
                <w:noProof/>
                <w:webHidden/>
              </w:rPr>
              <w:fldChar w:fldCharType="separate"/>
            </w:r>
            <w:r>
              <w:rPr>
                <w:noProof/>
                <w:webHidden/>
              </w:rPr>
              <w:t>21</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7" w:history="1">
            <w:r w:rsidRPr="0013439E">
              <w:rPr>
                <w:rStyle w:val="Hyperlink"/>
                <w:noProof/>
              </w:rPr>
              <w:t>8.1.</w:t>
            </w:r>
            <w:r>
              <w:rPr>
                <w:rFonts w:asciiTheme="minorHAnsi" w:eastAsiaTheme="minorEastAsia" w:hAnsiTheme="minorHAnsi" w:cstheme="minorBidi"/>
                <w:noProof/>
                <w:lang w:eastAsia="en-AU"/>
              </w:rPr>
              <w:tab/>
            </w:r>
            <w:r w:rsidRPr="0013439E">
              <w:rPr>
                <w:rStyle w:val="Hyperlink"/>
                <w:noProof/>
              </w:rPr>
              <w:t>Adverse events</w:t>
            </w:r>
            <w:r>
              <w:rPr>
                <w:noProof/>
                <w:webHidden/>
              </w:rPr>
              <w:tab/>
            </w:r>
            <w:r>
              <w:rPr>
                <w:noProof/>
                <w:webHidden/>
              </w:rPr>
              <w:fldChar w:fldCharType="begin"/>
            </w:r>
            <w:r>
              <w:rPr>
                <w:noProof/>
                <w:webHidden/>
              </w:rPr>
              <w:instrText xml:space="preserve"> PAGEREF _Toc480383687 \h </w:instrText>
            </w:r>
            <w:r>
              <w:rPr>
                <w:noProof/>
                <w:webHidden/>
              </w:rPr>
            </w:r>
            <w:r>
              <w:rPr>
                <w:noProof/>
                <w:webHidden/>
              </w:rPr>
              <w:fldChar w:fldCharType="separate"/>
            </w:r>
            <w:r>
              <w:rPr>
                <w:noProof/>
                <w:webHidden/>
              </w:rPr>
              <w:t>21</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8" w:history="1">
            <w:r w:rsidRPr="0013439E">
              <w:rPr>
                <w:rStyle w:val="Hyperlink"/>
                <w:noProof/>
              </w:rPr>
              <w:t>8.2.</w:t>
            </w:r>
            <w:r>
              <w:rPr>
                <w:rFonts w:asciiTheme="minorHAnsi" w:eastAsiaTheme="minorEastAsia" w:hAnsiTheme="minorHAnsi" w:cstheme="minorBidi"/>
                <w:noProof/>
                <w:lang w:eastAsia="en-AU"/>
              </w:rPr>
              <w:tab/>
            </w:r>
            <w:r w:rsidRPr="0013439E">
              <w:rPr>
                <w:rStyle w:val="Hyperlink"/>
                <w:noProof/>
              </w:rPr>
              <w:t>Adverse reactions</w:t>
            </w:r>
            <w:r>
              <w:rPr>
                <w:noProof/>
                <w:webHidden/>
              </w:rPr>
              <w:tab/>
            </w:r>
            <w:r>
              <w:rPr>
                <w:noProof/>
                <w:webHidden/>
              </w:rPr>
              <w:fldChar w:fldCharType="begin"/>
            </w:r>
            <w:r>
              <w:rPr>
                <w:noProof/>
                <w:webHidden/>
              </w:rPr>
              <w:instrText xml:space="preserve"> PAGEREF _Toc480383688 \h </w:instrText>
            </w:r>
            <w:r>
              <w:rPr>
                <w:noProof/>
                <w:webHidden/>
              </w:rPr>
            </w:r>
            <w:r>
              <w:rPr>
                <w:noProof/>
                <w:webHidden/>
              </w:rPr>
              <w:fldChar w:fldCharType="separate"/>
            </w:r>
            <w:r>
              <w:rPr>
                <w:noProof/>
                <w:webHidden/>
              </w:rPr>
              <w:t>21</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89" w:history="1">
            <w:r w:rsidRPr="0013439E">
              <w:rPr>
                <w:rStyle w:val="Hyperlink"/>
                <w:noProof/>
              </w:rPr>
              <w:t>8.3.</w:t>
            </w:r>
            <w:r>
              <w:rPr>
                <w:rFonts w:asciiTheme="minorHAnsi" w:eastAsiaTheme="minorEastAsia" w:hAnsiTheme="minorHAnsi" w:cstheme="minorBidi"/>
                <w:noProof/>
                <w:lang w:eastAsia="en-AU"/>
              </w:rPr>
              <w:tab/>
            </w:r>
            <w:r w:rsidRPr="0013439E">
              <w:rPr>
                <w:rStyle w:val="Hyperlink"/>
                <w:noProof/>
              </w:rPr>
              <w:t>Toxicity of single trace elements</w:t>
            </w:r>
            <w:r>
              <w:rPr>
                <w:noProof/>
                <w:webHidden/>
              </w:rPr>
              <w:tab/>
            </w:r>
            <w:r>
              <w:rPr>
                <w:noProof/>
                <w:webHidden/>
              </w:rPr>
              <w:fldChar w:fldCharType="begin"/>
            </w:r>
            <w:r>
              <w:rPr>
                <w:noProof/>
                <w:webHidden/>
              </w:rPr>
              <w:instrText xml:space="preserve"> PAGEREF _Toc480383689 \h </w:instrText>
            </w:r>
            <w:r>
              <w:rPr>
                <w:noProof/>
                <w:webHidden/>
              </w:rPr>
            </w:r>
            <w:r>
              <w:rPr>
                <w:noProof/>
                <w:webHidden/>
              </w:rPr>
              <w:fldChar w:fldCharType="separate"/>
            </w:r>
            <w:r>
              <w:rPr>
                <w:noProof/>
                <w:webHidden/>
              </w:rPr>
              <w:t>22</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0" w:history="1">
            <w:r w:rsidRPr="0013439E">
              <w:rPr>
                <w:rStyle w:val="Hyperlink"/>
                <w:noProof/>
              </w:rPr>
              <w:t>8.4.</w:t>
            </w:r>
            <w:r>
              <w:rPr>
                <w:rFonts w:asciiTheme="minorHAnsi" w:eastAsiaTheme="minorEastAsia" w:hAnsiTheme="minorHAnsi" w:cstheme="minorBidi"/>
                <w:noProof/>
                <w:lang w:eastAsia="en-AU"/>
              </w:rPr>
              <w:tab/>
            </w:r>
            <w:r w:rsidRPr="0013439E">
              <w:rPr>
                <w:rStyle w:val="Hyperlink"/>
                <w:noProof/>
              </w:rPr>
              <w:t>Overdose</w:t>
            </w:r>
            <w:r>
              <w:rPr>
                <w:noProof/>
                <w:webHidden/>
              </w:rPr>
              <w:tab/>
            </w:r>
            <w:r>
              <w:rPr>
                <w:noProof/>
                <w:webHidden/>
              </w:rPr>
              <w:fldChar w:fldCharType="begin"/>
            </w:r>
            <w:r>
              <w:rPr>
                <w:noProof/>
                <w:webHidden/>
              </w:rPr>
              <w:instrText xml:space="preserve"> PAGEREF _Toc480383690 \h </w:instrText>
            </w:r>
            <w:r>
              <w:rPr>
                <w:noProof/>
                <w:webHidden/>
              </w:rPr>
            </w:r>
            <w:r>
              <w:rPr>
                <w:noProof/>
                <w:webHidden/>
              </w:rPr>
              <w:fldChar w:fldCharType="separate"/>
            </w:r>
            <w:r>
              <w:rPr>
                <w:noProof/>
                <w:webHidden/>
              </w:rPr>
              <w:t>22</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1" w:history="1">
            <w:r w:rsidRPr="0013439E">
              <w:rPr>
                <w:rStyle w:val="Hyperlink"/>
                <w:noProof/>
              </w:rPr>
              <w:t>8.5.</w:t>
            </w:r>
            <w:r>
              <w:rPr>
                <w:rFonts w:asciiTheme="minorHAnsi" w:eastAsiaTheme="minorEastAsia" w:hAnsiTheme="minorHAnsi" w:cstheme="minorBidi"/>
                <w:noProof/>
                <w:lang w:eastAsia="en-AU"/>
              </w:rPr>
              <w:tab/>
            </w:r>
            <w:r w:rsidRPr="0013439E">
              <w:rPr>
                <w:rStyle w:val="Hyperlink"/>
                <w:noProof/>
              </w:rPr>
              <w:t>Post-marketing experience</w:t>
            </w:r>
            <w:r>
              <w:rPr>
                <w:noProof/>
                <w:webHidden/>
              </w:rPr>
              <w:tab/>
            </w:r>
            <w:r>
              <w:rPr>
                <w:noProof/>
                <w:webHidden/>
              </w:rPr>
              <w:fldChar w:fldCharType="begin"/>
            </w:r>
            <w:r>
              <w:rPr>
                <w:noProof/>
                <w:webHidden/>
              </w:rPr>
              <w:instrText xml:space="preserve"> PAGEREF _Toc480383691 \h </w:instrText>
            </w:r>
            <w:r>
              <w:rPr>
                <w:noProof/>
                <w:webHidden/>
              </w:rPr>
            </w:r>
            <w:r>
              <w:rPr>
                <w:noProof/>
                <w:webHidden/>
              </w:rPr>
              <w:fldChar w:fldCharType="separate"/>
            </w:r>
            <w:r>
              <w:rPr>
                <w:noProof/>
                <w:webHidden/>
              </w:rPr>
              <w:t>23</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2" w:history="1">
            <w:r w:rsidRPr="0013439E">
              <w:rPr>
                <w:rStyle w:val="Hyperlink"/>
                <w:noProof/>
              </w:rPr>
              <w:t>8.6.</w:t>
            </w:r>
            <w:r>
              <w:rPr>
                <w:rFonts w:asciiTheme="minorHAnsi" w:eastAsiaTheme="minorEastAsia" w:hAnsiTheme="minorHAnsi" w:cstheme="minorBidi"/>
                <w:noProof/>
                <w:lang w:eastAsia="en-AU"/>
              </w:rPr>
              <w:tab/>
            </w:r>
            <w:r w:rsidRPr="0013439E">
              <w:rPr>
                <w:rStyle w:val="Hyperlink"/>
                <w:noProof/>
              </w:rPr>
              <w:t>Xylitol</w:t>
            </w:r>
            <w:r>
              <w:rPr>
                <w:noProof/>
                <w:webHidden/>
              </w:rPr>
              <w:tab/>
            </w:r>
            <w:r>
              <w:rPr>
                <w:noProof/>
                <w:webHidden/>
              </w:rPr>
              <w:fldChar w:fldCharType="begin"/>
            </w:r>
            <w:r>
              <w:rPr>
                <w:noProof/>
                <w:webHidden/>
              </w:rPr>
              <w:instrText xml:space="preserve"> PAGEREF _Toc480383692 \h </w:instrText>
            </w:r>
            <w:r>
              <w:rPr>
                <w:noProof/>
                <w:webHidden/>
              </w:rPr>
            </w:r>
            <w:r>
              <w:rPr>
                <w:noProof/>
                <w:webHidden/>
              </w:rPr>
              <w:fldChar w:fldCharType="separate"/>
            </w:r>
            <w:r>
              <w:rPr>
                <w:noProof/>
                <w:webHidden/>
              </w:rPr>
              <w:t>23</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3" w:history="1">
            <w:r w:rsidRPr="0013439E">
              <w:rPr>
                <w:rStyle w:val="Hyperlink"/>
                <w:noProof/>
              </w:rPr>
              <w:t>8.7.</w:t>
            </w:r>
            <w:r>
              <w:rPr>
                <w:rFonts w:asciiTheme="minorHAnsi" w:eastAsiaTheme="minorEastAsia" w:hAnsiTheme="minorHAnsi" w:cstheme="minorBidi"/>
                <w:noProof/>
                <w:lang w:eastAsia="en-AU"/>
              </w:rPr>
              <w:tab/>
            </w:r>
            <w:r w:rsidRPr="0013439E">
              <w:rPr>
                <w:rStyle w:val="Hyperlink"/>
                <w:noProof/>
              </w:rPr>
              <w:t>Evaluator’s overall conclusions on clinical safety</w:t>
            </w:r>
            <w:r>
              <w:rPr>
                <w:noProof/>
                <w:webHidden/>
              </w:rPr>
              <w:tab/>
            </w:r>
            <w:r>
              <w:rPr>
                <w:noProof/>
                <w:webHidden/>
              </w:rPr>
              <w:fldChar w:fldCharType="begin"/>
            </w:r>
            <w:r>
              <w:rPr>
                <w:noProof/>
                <w:webHidden/>
              </w:rPr>
              <w:instrText xml:space="preserve"> PAGEREF _Toc480383693 \h </w:instrText>
            </w:r>
            <w:r>
              <w:rPr>
                <w:noProof/>
                <w:webHidden/>
              </w:rPr>
            </w:r>
            <w:r>
              <w:rPr>
                <w:noProof/>
                <w:webHidden/>
              </w:rPr>
              <w:fldChar w:fldCharType="separate"/>
            </w:r>
            <w:r>
              <w:rPr>
                <w:noProof/>
                <w:webHidden/>
              </w:rPr>
              <w:t>24</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94" w:history="1">
            <w:r w:rsidRPr="0013439E">
              <w:rPr>
                <w:rStyle w:val="Hyperlink"/>
                <w:noProof/>
              </w:rPr>
              <w:t>9.</w:t>
            </w:r>
            <w:r>
              <w:rPr>
                <w:rFonts w:asciiTheme="minorHAnsi" w:eastAsiaTheme="minorEastAsia" w:hAnsiTheme="minorHAnsi" w:cstheme="minorBidi"/>
                <w:b w:val="0"/>
                <w:noProof/>
                <w:sz w:val="22"/>
                <w:lang w:eastAsia="en-AU"/>
              </w:rPr>
              <w:tab/>
            </w:r>
            <w:r w:rsidRPr="0013439E">
              <w:rPr>
                <w:rStyle w:val="Hyperlink"/>
                <w:noProof/>
              </w:rPr>
              <w:t>First round benefit-risk assessment</w:t>
            </w:r>
            <w:r>
              <w:rPr>
                <w:noProof/>
                <w:webHidden/>
              </w:rPr>
              <w:tab/>
            </w:r>
            <w:r>
              <w:rPr>
                <w:noProof/>
                <w:webHidden/>
              </w:rPr>
              <w:fldChar w:fldCharType="begin"/>
            </w:r>
            <w:r>
              <w:rPr>
                <w:noProof/>
                <w:webHidden/>
              </w:rPr>
              <w:instrText xml:space="preserve"> PAGEREF _Toc480383694 \h </w:instrText>
            </w:r>
            <w:r>
              <w:rPr>
                <w:noProof/>
                <w:webHidden/>
              </w:rPr>
            </w:r>
            <w:r>
              <w:rPr>
                <w:noProof/>
                <w:webHidden/>
              </w:rPr>
              <w:fldChar w:fldCharType="separate"/>
            </w:r>
            <w:r>
              <w:rPr>
                <w:noProof/>
                <w:webHidden/>
              </w:rPr>
              <w:t>25</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5" w:history="1">
            <w:r w:rsidRPr="0013439E">
              <w:rPr>
                <w:rStyle w:val="Hyperlink"/>
                <w:noProof/>
              </w:rPr>
              <w:t>9.1.</w:t>
            </w:r>
            <w:r>
              <w:rPr>
                <w:rFonts w:asciiTheme="minorHAnsi" w:eastAsiaTheme="minorEastAsia" w:hAnsiTheme="minorHAnsi" w:cstheme="minorBidi"/>
                <w:noProof/>
                <w:lang w:eastAsia="en-AU"/>
              </w:rPr>
              <w:tab/>
            </w:r>
            <w:r w:rsidRPr="0013439E">
              <w:rPr>
                <w:rStyle w:val="Hyperlink"/>
                <w:noProof/>
              </w:rPr>
              <w:t>First round assessment of benefits</w:t>
            </w:r>
            <w:r>
              <w:rPr>
                <w:noProof/>
                <w:webHidden/>
              </w:rPr>
              <w:tab/>
            </w:r>
            <w:r>
              <w:rPr>
                <w:noProof/>
                <w:webHidden/>
              </w:rPr>
              <w:fldChar w:fldCharType="begin"/>
            </w:r>
            <w:r>
              <w:rPr>
                <w:noProof/>
                <w:webHidden/>
              </w:rPr>
              <w:instrText xml:space="preserve"> PAGEREF _Toc480383695 \h </w:instrText>
            </w:r>
            <w:r>
              <w:rPr>
                <w:noProof/>
                <w:webHidden/>
              </w:rPr>
            </w:r>
            <w:r>
              <w:rPr>
                <w:noProof/>
                <w:webHidden/>
              </w:rPr>
              <w:fldChar w:fldCharType="separate"/>
            </w:r>
            <w:r>
              <w:rPr>
                <w:noProof/>
                <w:webHidden/>
              </w:rPr>
              <w:t>25</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6" w:history="1">
            <w:r w:rsidRPr="0013439E">
              <w:rPr>
                <w:rStyle w:val="Hyperlink"/>
                <w:noProof/>
              </w:rPr>
              <w:t>9.2.</w:t>
            </w:r>
            <w:r>
              <w:rPr>
                <w:rFonts w:asciiTheme="minorHAnsi" w:eastAsiaTheme="minorEastAsia" w:hAnsiTheme="minorHAnsi" w:cstheme="minorBidi"/>
                <w:noProof/>
                <w:lang w:eastAsia="en-AU"/>
              </w:rPr>
              <w:tab/>
            </w:r>
            <w:r w:rsidRPr="0013439E">
              <w:rPr>
                <w:rStyle w:val="Hyperlink"/>
                <w:noProof/>
              </w:rPr>
              <w:t>First round assessment of risks</w:t>
            </w:r>
            <w:r>
              <w:rPr>
                <w:noProof/>
                <w:webHidden/>
              </w:rPr>
              <w:tab/>
            </w:r>
            <w:r>
              <w:rPr>
                <w:noProof/>
                <w:webHidden/>
              </w:rPr>
              <w:fldChar w:fldCharType="begin"/>
            </w:r>
            <w:r>
              <w:rPr>
                <w:noProof/>
                <w:webHidden/>
              </w:rPr>
              <w:instrText xml:space="preserve"> PAGEREF _Toc480383696 \h </w:instrText>
            </w:r>
            <w:r>
              <w:rPr>
                <w:noProof/>
                <w:webHidden/>
              </w:rPr>
            </w:r>
            <w:r>
              <w:rPr>
                <w:noProof/>
                <w:webHidden/>
              </w:rPr>
              <w:fldChar w:fldCharType="separate"/>
            </w:r>
            <w:r>
              <w:rPr>
                <w:noProof/>
                <w:webHidden/>
              </w:rPr>
              <w:t>26</w:t>
            </w:r>
            <w:r>
              <w:rPr>
                <w:noProof/>
                <w:webHidden/>
              </w:rPr>
              <w:fldChar w:fldCharType="end"/>
            </w:r>
          </w:hyperlink>
        </w:p>
        <w:p w:rsidR="006E71E8" w:rsidRDefault="006E71E8">
          <w:pPr>
            <w:pStyle w:val="TOC3"/>
            <w:tabs>
              <w:tab w:val="left" w:pos="1575"/>
            </w:tabs>
            <w:rPr>
              <w:rFonts w:asciiTheme="minorHAnsi" w:eastAsiaTheme="minorEastAsia" w:hAnsiTheme="minorHAnsi" w:cstheme="minorBidi"/>
              <w:noProof/>
              <w:lang w:eastAsia="en-AU"/>
            </w:rPr>
          </w:pPr>
          <w:hyperlink w:anchor="_Toc480383697" w:history="1">
            <w:r w:rsidRPr="0013439E">
              <w:rPr>
                <w:rStyle w:val="Hyperlink"/>
                <w:noProof/>
              </w:rPr>
              <w:t>9.3.</w:t>
            </w:r>
            <w:r>
              <w:rPr>
                <w:rFonts w:asciiTheme="minorHAnsi" w:eastAsiaTheme="minorEastAsia" w:hAnsiTheme="minorHAnsi" w:cstheme="minorBidi"/>
                <w:noProof/>
                <w:lang w:eastAsia="en-AU"/>
              </w:rPr>
              <w:tab/>
            </w:r>
            <w:r w:rsidRPr="0013439E">
              <w:rPr>
                <w:rStyle w:val="Hyperlink"/>
                <w:noProof/>
              </w:rPr>
              <w:t>First round assessment of benefit-risk balance</w:t>
            </w:r>
            <w:r>
              <w:rPr>
                <w:noProof/>
                <w:webHidden/>
              </w:rPr>
              <w:tab/>
            </w:r>
            <w:r>
              <w:rPr>
                <w:noProof/>
                <w:webHidden/>
              </w:rPr>
              <w:fldChar w:fldCharType="begin"/>
            </w:r>
            <w:r>
              <w:rPr>
                <w:noProof/>
                <w:webHidden/>
              </w:rPr>
              <w:instrText xml:space="preserve"> PAGEREF _Toc480383697 \h </w:instrText>
            </w:r>
            <w:r>
              <w:rPr>
                <w:noProof/>
                <w:webHidden/>
              </w:rPr>
            </w:r>
            <w:r>
              <w:rPr>
                <w:noProof/>
                <w:webHidden/>
              </w:rPr>
              <w:fldChar w:fldCharType="separate"/>
            </w:r>
            <w:r>
              <w:rPr>
                <w:noProof/>
                <w:webHidden/>
              </w:rPr>
              <w:t>26</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98" w:history="1">
            <w:r w:rsidRPr="0013439E">
              <w:rPr>
                <w:rStyle w:val="Hyperlink"/>
                <w:noProof/>
              </w:rPr>
              <w:t>10.</w:t>
            </w:r>
            <w:r>
              <w:rPr>
                <w:rFonts w:asciiTheme="minorHAnsi" w:eastAsiaTheme="minorEastAsia" w:hAnsiTheme="minorHAnsi" w:cstheme="minorBidi"/>
                <w:b w:val="0"/>
                <w:noProof/>
                <w:sz w:val="22"/>
                <w:lang w:eastAsia="en-AU"/>
              </w:rPr>
              <w:tab/>
            </w:r>
            <w:r w:rsidRPr="0013439E">
              <w:rPr>
                <w:rStyle w:val="Hyperlink"/>
                <w:noProof/>
              </w:rPr>
              <w:t>First round recommendation regarding authorisation</w:t>
            </w:r>
            <w:r>
              <w:rPr>
                <w:noProof/>
                <w:webHidden/>
              </w:rPr>
              <w:tab/>
            </w:r>
            <w:r>
              <w:rPr>
                <w:noProof/>
                <w:webHidden/>
              </w:rPr>
              <w:fldChar w:fldCharType="begin"/>
            </w:r>
            <w:r>
              <w:rPr>
                <w:noProof/>
                <w:webHidden/>
              </w:rPr>
              <w:instrText xml:space="preserve"> PAGEREF _Toc480383698 \h </w:instrText>
            </w:r>
            <w:r>
              <w:rPr>
                <w:noProof/>
                <w:webHidden/>
              </w:rPr>
            </w:r>
            <w:r>
              <w:rPr>
                <w:noProof/>
                <w:webHidden/>
              </w:rPr>
              <w:fldChar w:fldCharType="separate"/>
            </w:r>
            <w:r>
              <w:rPr>
                <w:noProof/>
                <w:webHidden/>
              </w:rPr>
              <w:t>27</w:t>
            </w:r>
            <w:r>
              <w:rPr>
                <w:noProof/>
                <w:webHidden/>
              </w:rPr>
              <w:fldChar w:fldCharType="end"/>
            </w:r>
          </w:hyperlink>
        </w:p>
        <w:p w:rsidR="006E71E8" w:rsidRDefault="006E71E8">
          <w:pPr>
            <w:pStyle w:val="TOC2"/>
            <w:tabs>
              <w:tab w:val="left" w:pos="1247"/>
            </w:tabs>
            <w:rPr>
              <w:rFonts w:asciiTheme="minorHAnsi" w:eastAsiaTheme="minorEastAsia" w:hAnsiTheme="minorHAnsi" w:cstheme="minorBidi"/>
              <w:b w:val="0"/>
              <w:noProof/>
              <w:sz w:val="22"/>
              <w:lang w:eastAsia="en-AU"/>
            </w:rPr>
          </w:pPr>
          <w:hyperlink w:anchor="_Toc480383699" w:history="1">
            <w:r w:rsidRPr="0013439E">
              <w:rPr>
                <w:rStyle w:val="Hyperlink"/>
                <w:noProof/>
              </w:rPr>
              <w:t>11.</w:t>
            </w:r>
            <w:r>
              <w:rPr>
                <w:rFonts w:asciiTheme="minorHAnsi" w:eastAsiaTheme="minorEastAsia" w:hAnsiTheme="minorHAnsi" w:cstheme="minorBidi"/>
                <w:b w:val="0"/>
                <w:noProof/>
                <w:sz w:val="22"/>
                <w:lang w:eastAsia="en-AU"/>
              </w:rPr>
              <w:tab/>
            </w:r>
            <w:r w:rsidRPr="0013439E">
              <w:rPr>
                <w:rStyle w:val="Hyperlink"/>
                <w:noProof/>
              </w:rPr>
              <w:t>Clinical questions</w:t>
            </w:r>
            <w:r>
              <w:rPr>
                <w:noProof/>
                <w:webHidden/>
              </w:rPr>
              <w:tab/>
            </w:r>
            <w:r>
              <w:rPr>
                <w:noProof/>
                <w:webHidden/>
              </w:rPr>
              <w:fldChar w:fldCharType="begin"/>
            </w:r>
            <w:r>
              <w:rPr>
                <w:noProof/>
                <w:webHidden/>
              </w:rPr>
              <w:instrText xml:space="preserve"> PAGEREF _Toc480383699 \h </w:instrText>
            </w:r>
            <w:r>
              <w:rPr>
                <w:noProof/>
                <w:webHidden/>
              </w:rPr>
            </w:r>
            <w:r>
              <w:rPr>
                <w:noProof/>
                <w:webHidden/>
              </w:rPr>
              <w:fldChar w:fldCharType="separate"/>
            </w:r>
            <w:r>
              <w:rPr>
                <w:noProof/>
                <w:webHidden/>
              </w:rPr>
              <w:t>27</w:t>
            </w:r>
            <w:r>
              <w:rPr>
                <w:noProof/>
                <w:webHidden/>
              </w:rPr>
              <w:fldChar w:fldCharType="end"/>
            </w:r>
          </w:hyperlink>
        </w:p>
        <w:p w:rsidR="003A7F6C" w:rsidRPr="00B811C6" w:rsidRDefault="004F4AF5" w:rsidP="00A16AF7">
          <w:pPr>
            <w:pStyle w:val="TOC2"/>
            <w:spacing w:before="20"/>
            <w:ind w:left="0"/>
          </w:pPr>
          <w:r>
            <w:fldChar w:fldCharType="end"/>
          </w:r>
        </w:p>
      </w:sdtContent>
    </w:sdt>
    <w:bookmarkStart w:id="3" w:name="_Toc314842482" w:displacedByCustomXml="prev"/>
    <w:p w:rsidR="00A968A1" w:rsidRDefault="00A968A1">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A16AF7">
      <w:pPr>
        <w:pStyle w:val="Heading2"/>
        <w:numPr>
          <w:ilvl w:val="0"/>
          <w:numId w:val="0"/>
        </w:numPr>
        <w:spacing w:before="20"/>
      </w:pPr>
      <w:bookmarkStart w:id="7" w:name="_Toc480383668"/>
      <w:r>
        <w:lastRenderedPageBreak/>
        <w:t xml:space="preserve">List of </w:t>
      </w:r>
      <w:r w:rsidR="00065D4B">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A968A1" w:rsidRPr="00FD119B" w:rsidTr="00065D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lang w:eastAsia="en-US"/>
              </w:rPr>
            </w:pPr>
            <w:r w:rsidRPr="00FD119B">
              <w:rPr>
                <w:lang w:eastAsia="en-US"/>
              </w:rPr>
              <w:t>Abbreviation</w:t>
            </w:r>
          </w:p>
        </w:tc>
        <w:tc>
          <w:tcPr>
            <w:tcW w:w="6911" w:type="dxa"/>
          </w:tcPr>
          <w:p w:rsidR="00A968A1" w:rsidRPr="00FD119B" w:rsidRDefault="00A968A1" w:rsidP="00065D4B">
            <w:pPr>
              <w:cnfStyle w:val="100000000000" w:firstRow="1" w:lastRow="0" w:firstColumn="0" w:lastColumn="0" w:oddVBand="0" w:evenVBand="0" w:oddHBand="0" w:evenHBand="0" w:firstRowFirstColumn="0" w:firstRowLastColumn="0" w:lastRowFirstColumn="0" w:lastRowLastColumn="0"/>
              <w:rPr>
                <w:lang w:eastAsia="en-US"/>
              </w:rPr>
            </w:pPr>
            <w:r w:rsidRPr="00FD119B">
              <w:rPr>
                <w:lang w:eastAsia="en-US"/>
              </w:rPr>
              <w:t>Meaning</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ACPM</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D72B7E">
              <w:rPr>
                <w:rFonts w:asciiTheme="minorHAnsi" w:hAnsiTheme="minorHAnsi"/>
              </w:rPr>
              <w:t>Advisory Committee on Prescription Medicines</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ACSOM</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D72B7E">
              <w:rPr>
                <w:rFonts w:asciiTheme="minorHAnsi" w:hAnsiTheme="minorHAnsi"/>
              </w:rPr>
              <w:t>Advisory Committee on the Safety of Medicines</w:t>
            </w:r>
          </w:p>
        </w:tc>
      </w:tr>
      <w:tr w:rsidR="008930BF"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8930BF" w:rsidRPr="00FD119B" w:rsidRDefault="008930BF" w:rsidP="00065D4B">
            <w:pPr>
              <w:rPr>
                <w:color w:val="auto"/>
                <w:lang w:eastAsia="en-US"/>
              </w:rPr>
            </w:pPr>
            <w:r>
              <w:rPr>
                <w:color w:val="auto"/>
                <w:lang w:eastAsia="en-US"/>
              </w:rPr>
              <w:t>ADEC</w:t>
            </w:r>
          </w:p>
        </w:tc>
        <w:tc>
          <w:tcPr>
            <w:tcW w:w="6911" w:type="dxa"/>
          </w:tcPr>
          <w:p w:rsidR="008930BF" w:rsidRPr="00FD119B" w:rsidRDefault="008930BF"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670DA9">
              <w:t>Australian Drug Evaluation Committee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ADI</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F57CFE">
              <w:rPr>
                <w:rFonts w:asciiTheme="minorHAnsi" w:hAnsiTheme="minorHAnsi"/>
              </w:rPr>
              <w:t>Acceptable Daily Intake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AE</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adverse event</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ARTG</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BC372B">
              <w:rPr>
                <w:color w:val="auto"/>
                <w:lang w:eastAsia="en-US"/>
              </w:rPr>
              <w:t>Australian Register of Therapeutic Goods</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ASA</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E70B46">
              <w:t>Australian Specific Annex</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sidRPr="00812C94">
              <w:rPr>
                <w:color w:val="auto"/>
                <w:lang w:eastAsia="en-US"/>
              </w:rPr>
              <w:t>ASPEN</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67121A">
              <w:rPr>
                <w:color w:val="auto"/>
                <w:lang w:eastAsia="en-US"/>
              </w:rPr>
              <w:t>American Society for Parenteral and Enteral Nutrition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AUC</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AUC</w:t>
            </w:r>
            <w:r w:rsidRPr="00012CDA">
              <w:rPr>
                <w:color w:val="auto"/>
                <w:vertAlign w:val="subscript"/>
                <w:lang w:eastAsia="en-US"/>
              </w:rPr>
              <w:t>t1-t2</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 from t1 to t2</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proofErr w:type="spellStart"/>
            <w:r w:rsidRPr="003E00E5">
              <w:rPr>
                <w:color w:val="auto"/>
                <w:lang w:eastAsia="en-US"/>
              </w:rPr>
              <w:t>AuSPEN</w:t>
            </w:r>
            <w:proofErr w:type="spellEnd"/>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proofErr w:type="spellStart"/>
            <w:r w:rsidRPr="005E3CB7">
              <w:rPr>
                <w:color w:val="auto"/>
                <w:lang w:eastAsia="en-US"/>
              </w:rPr>
              <w:t>AustralAsian</w:t>
            </w:r>
            <w:proofErr w:type="spellEnd"/>
            <w:r w:rsidRPr="005E3CB7">
              <w:rPr>
                <w:color w:val="auto"/>
                <w:lang w:eastAsia="en-US"/>
              </w:rPr>
              <w:t xml:space="preserve"> Society for Parenteral and Enteral Nutrition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proofErr w:type="spellStart"/>
            <w:r>
              <w:rPr>
                <w:color w:val="auto"/>
                <w:lang w:eastAsia="en-US"/>
              </w:rPr>
              <w:t>Cmax</w:t>
            </w:r>
            <w:proofErr w:type="spellEnd"/>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 xml:space="preserve">maximum </w:t>
            </w:r>
            <w:r w:rsidRPr="00E13B41">
              <w:rPr>
                <w:color w:val="auto"/>
                <w:lang w:eastAsia="en-US"/>
              </w:rPr>
              <w:t>serum concentration</w:t>
            </w:r>
            <w:r>
              <w:rPr>
                <w:color w:val="auto"/>
                <w:lang w:eastAsia="en-US"/>
              </w:rPr>
              <w:t xml:space="preserve"> of drug</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CMI</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DC1AC4">
              <w:t>Consumer Medicine Information</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Cr</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t>chromium</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Cu</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t>copper</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sidRPr="00313D7B">
              <w:rPr>
                <w:color w:val="auto"/>
                <w:lang w:eastAsia="en-US"/>
              </w:rPr>
              <w:t>ESPEN</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134A89">
              <w:rPr>
                <w:color w:val="auto"/>
                <w:lang w:eastAsia="en-US"/>
              </w:rPr>
              <w:t>European Society for Clinical Nutrition and Metabolism</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F</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fluorine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FDA</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Food and Drug Administration (US)</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Fe</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iron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GCP</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Good Clinical Practice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GMP</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Good Manufacturing Practice</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I</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iodine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IV</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intravenous</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proofErr w:type="spellStart"/>
            <w:r>
              <w:rPr>
                <w:color w:val="auto"/>
                <w:lang w:eastAsia="en-US"/>
              </w:rPr>
              <w:t>Mn</w:t>
            </w:r>
            <w:proofErr w:type="spellEnd"/>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manganese</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lastRenderedPageBreak/>
              <w:t>Mo</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8A00BA">
              <w:rPr>
                <w:color w:val="auto"/>
                <w:lang w:eastAsia="en-US"/>
              </w:rPr>
              <w:t>molybdenum</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PD</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proofErr w:type="spellStart"/>
            <w:r>
              <w:rPr>
                <w:color w:val="auto"/>
                <w:lang w:eastAsia="en-US"/>
              </w:rPr>
              <w:t>pharmacodynamic</w:t>
            </w:r>
            <w:proofErr w:type="spellEnd"/>
            <w:r>
              <w:rPr>
                <w:color w:val="auto"/>
                <w:lang w:eastAsia="en-US"/>
              </w:rPr>
              <w:t>(s)</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PI</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940A89">
              <w:t>Product Information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PK</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pharmacokinetic(s)</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PN</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4C564C">
              <w:rPr>
                <w:color w:val="auto"/>
                <w:lang w:eastAsia="en-US"/>
              </w:rPr>
              <w:t>Parente</w:t>
            </w:r>
            <w:r>
              <w:rPr>
                <w:color w:val="auto"/>
                <w:lang w:eastAsia="en-US"/>
              </w:rPr>
              <w:t>ral Nutrition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PO</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 xml:space="preserve">per </w:t>
            </w:r>
            <w:proofErr w:type="spellStart"/>
            <w:r>
              <w:rPr>
                <w:color w:val="auto"/>
                <w:lang w:eastAsia="en-US"/>
              </w:rPr>
              <w:t>os</w:t>
            </w:r>
            <w:proofErr w:type="spellEnd"/>
            <w:r>
              <w:rPr>
                <w:color w:val="auto"/>
                <w:lang w:eastAsia="en-US"/>
              </w:rPr>
              <w:t xml:space="preserve"> (oral administration)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RMP</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487AA4">
              <w:rPr>
                <w:rFonts w:asciiTheme="minorHAnsi" w:hAnsiTheme="minorHAnsi"/>
              </w:rPr>
              <w:t>Risk Management Plan</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Pr>
                <w:color w:val="auto"/>
                <w:lang w:eastAsia="en-US"/>
              </w:rPr>
              <w:t>SAE</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serious adverse event</w:t>
            </w:r>
          </w:p>
        </w:tc>
      </w:tr>
      <w:tr w:rsidR="00276E98" w:rsidRPr="00FD119B" w:rsidTr="006D4092">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rPr>
                <w:color w:val="auto"/>
                <w:lang w:eastAsia="en-US"/>
              </w:rPr>
              <w:t>Se</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selenium</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rsidRPr="000540E5">
              <w:t>t½</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elimination half life</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t>TE</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trace elements</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proofErr w:type="spellStart"/>
            <w:r>
              <w:t>T</w:t>
            </w:r>
            <w:r w:rsidRPr="004F6826">
              <w:t>max</w:t>
            </w:r>
            <w:proofErr w:type="spellEnd"/>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T</w:t>
            </w:r>
            <w:r w:rsidRPr="00C81A01">
              <w:rPr>
                <w:color w:val="auto"/>
                <w:lang w:eastAsia="en-US"/>
              </w:rPr>
              <w:t>ime taken to reach the maximum concentration</w:t>
            </w:r>
            <w:r>
              <w:rPr>
                <w:color w:val="auto"/>
                <w:lang w:eastAsia="en-US"/>
              </w:rPr>
              <w:t xml:space="preserve"> (</w:t>
            </w:r>
            <w:proofErr w:type="spellStart"/>
            <w:r>
              <w:rPr>
                <w:color w:val="auto"/>
                <w:lang w:eastAsia="en-US"/>
              </w:rPr>
              <w:t>Cmax</w:t>
            </w:r>
            <w:proofErr w:type="spellEnd"/>
            <w:r>
              <w:rPr>
                <w:color w:val="auto"/>
                <w:lang w:eastAsia="en-US"/>
              </w:rPr>
              <w:t>)</w:t>
            </w:r>
          </w:p>
        </w:tc>
      </w:tr>
      <w:tr w:rsidR="00A968A1" w:rsidRPr="00FD119B" w:rsidTr="00B6173B">
        <w:tc>
          <w:tcPr>
            <w:cnfStyle w:val="001000000000" w:firstRow="0" w:lastRow="0" w:firstColumn="1" w:lastColumn="0" w:oddVBand="0" w:evenVBand="0" w:oddHBand="0" w:evenHBand="0" w:firstRowFirstColumn="0" w:firstRowLastColumn="0" w:lastRowFirstColumn="0" w:lastRowLastColumn="0"/>
            <w:tcW w:w="1809" w:type="dxa"/>
          </w:tcPr>
          <w:p w:rsidR="00A968A1" w:rsidRPr="00FD119B" w:rsidRDefault="00A968A1" w:rsidP="00065D4B">
            <w:pPr>
              <w:rPr>
                <w:color w:val="auto"/>
                <w:lang w:eastAsia="en-US"/>
              </w:rPr>
            </w:pPr>
            <w:r>
              <w:t>TPN</w:t>
            </w:r>
          </w:p>
        </w:tc>
        <w:tc>
          <w:tcPr>
            <w:tcW w:w="6911" w:type="dxa"/>
          </w:tcPr>
          <w:p w:rsidR="00A968A1" w:rsidRPr="00FD119B" w:rsidRDefault="00A968A1"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sidRPr="00AE403A">
              <w:rPr>
                <w:color w:val="auto"/>
                <w:lang w:eastAsia="en-US"/>
              </w:rPr>
              <w:t>Total Parenteral Nutrition</w:t>
            </w:r>
          </w:p>
        </w:tc>
      </w:tr>
      <w:tr w:rsidR="00276E98" w:rsidRPr="00FD119B" w:rsidTr="00276E98">
        <w:tc>
          <w:tcPr>
            <w:cnfStyle w:val="001000000000" w:firstRow="0" w:lastRow="0" w:firstColumn="1" w:lastColumn="0" w:oddVBand="0" w:evenVBand="0" w:oddHBand="0" w:evenHBand="0" w:firstRowFirstColumn="0" w:firstRowLastColumn="0" w:lastRowFirstColumn="0" w:lastRowLastColumn="0"/>
            <w:tcW w:w="1809" w:type="dxa"/>
          </w:tcPr>
          <w:p w:rsidR="00276E98" w:rsidRPr="00FD119B" w:rsidRDefault="00276E98" w:rsidP="00065D4B">
            <w:pPr>
              <w:rPr>
                <w:color w:val="auto"/>
                <w:lang w:eastAsia="en-US"/>
              </w:rPr>
            </w:pPr>
            <w:r>
              <w:t>Zn</w:t>
            </w:r>
          </w:p>
        </w:tc>
        <w:tc>
          <w:tcPr>
            <w:tcW w:w="6911" w:type="dxa"/>
          </w:tcPr>
          <w:p w:rsidR="00276E98" w:rsidRPr="00FD119B" w:rsidRDefault="00276E98" w:rsidP="00065D4B">
            <w:pPr>
              <w:cnfStyle w:val="000000000000" w:firstRow="0" w:lastRow="0" w:firstColumn="0" w:lastColumn="0" w:oddVBand="0" w:evenVBand="0" w:oddHBand="0" w:evenHBand="0" w:firstRowFirstColumn="0" w:firstRowLastColumn="0" w:lastRowFirstColumn="0" w:lastRowLastColumn="0"/>
              <w:rPr>
                <w:color w:val="auto"/>
                <w:lang w:eastAsia="en-US"/>
              </w:rPr>
            </w:pPr>
            <w:r>
              <w:rPr>
                <w:color w:val="auto"/>
                <w:lang w:eastAsia="en-US"/>
              </w:rPr>
              <w:t>zinc</w:t>
            </w:r>
          </w:p>
        </w:tc>
      </w:tr>
    </w:tbl>
    <w:p w:rsidR="0094614A" w:rsidRDefault="0094614A" w:rsidP="00065D4B">
      <w:pPr>
        <w:pStyle w:val="Heading2"/>
        <w:rPr>
          <w:lang w:eastAsia="en-AU"/>
        </w:rPr>
      </w:pPr>
      <w:bookmarkStart w:id="8" w:name="_Toc351718900"/>
      <w:bookmarkStart w:id="9" w:name="_Toc355338635"/>
      <w:bookmarkStart w:id="10" w:name="_Toc480383669"/>
      <w:r>
        <w:rPr>
          <w:lang w:eastAsia="en-AU"/>
        </w:rPr>
        <w:t>Introduction</w:t>
      </w:r>
      <w:bookmarkEnd w:id="10"/>
    </w:p>
    <w:p w:rsidR="00A16AF7" w:rsidRPr="00FB64F6" w:rsidRDefault="00F64744" w:rsidP="00FB64F6">
      <w:r>
        <w:t xml:space="preserve">This is a </w:t>
      </w:r>
      <w:r w:rsidR="00A16AF7" w:rsidRPr="00FB64F6">
        <w:t>literature based submission</w:t>
      </w:r>
      <w:r w:rsidR="00767265">
        <w:t xml:space="preserve"> (LBS)</w:t>
      </w:r>
      <w:r w:rsidR="00A16AF7" w:rsidRPr="00FB64F6">
        <w:t xml:space="preserve"> to register a new chemical entity.</w:t>
      </w:r>
    </w:p>
    <w:p w:rsidR="00A16AF7" w:rsidRPr="00A16AF7" w:rsidRDefault="00A16AF7" w:rsidP="00065D4B">
      <w:pPr>
        <w:pStyle w:val="Heading3"/>
      </w:pPr>
      <w:bookmarkStart w:id="11" w:name="_Toc272414596"/>
      <w:bookmarkStart w:id="12" w:name="_Toc290846218"/>
      <w:bookmarkStart w:id="13" w:name="_Toc290888755"/>
      <w:bookmarkStart w:id="14" w:name="_Toc434236152"/>
      <w:bookmarkStart w:id="15" w:name="_Toc480383670"/>
      <w:r w:rsidRPr="00A16AF7">
        <w:t>Drug class and therapeutic indication</w:t>
      </w:r>
      <w:bookmarkEnd w:id="11"/>
      <w:bookmarkEnd w:id="12"/>
      <w:bookmarkEnd w:id="13"/>
      <w:bookmarkEnd w:id="14"/>
      <w:bookmarkEnd w:id="15"/>
    </w:p>
    <w:p w:rsidR="00A16AF7" w:rsidRPr="00FB64F6" w:rsidRDefault="00A16AF7" w:rsidP="00FB64F6">
      <w:proofErr w:type="spellStart"/>
      <w:r w:rsidRPr="00FB64F6">
        <w:t>Addaven</w:t>
      </w:r>
      <w:proofErr w:type="spellEnd"/>
      <w:r w:rsidRPr="00FB64F6">
        <w:t xml:space="preserve"> is a product for single-use only and contains nine trace elements as the active ingredients, which are all considered to be simple inorganic salts.</w:t>
      </w:r>
    </w:p>
    <w:p w:rsidR="00A16AF7" w:rsidRPr="00FB64F6" w:rsidRDefault="00A16AF7" w:rsidP="00FB64F6">
      <w:r w:rsidRPr="00FB64F6">
        <w:t>The proposed indication is:</w:t>
      </w:r>
    </w:p>
    <w:p w:rsidR="00A16AF7" w:rsidRPr="00FB64F6" w:rsidRDefault="00A16AF7" w:rsidP="00CD3F1C">
      <w:pPr>
        <w:ind w:left="720"/>
        <w:rPr>
          <w:i/>
        </w:rPr>
      </w:pPr>
      <w:r w:rsidRPr="00FB64F6">
        <w:rPr>
          <w:i/>
        </w:rPr>
        <w:t>To meet basal to moderately increased requirements of trace elements in parenteral nutrition.</w:t>
      </w:r>
    </w:p>
    <w:p w:rsidR="00A16AF7" w:rsidRPr="00A16AF7" w:rsidRDefault="00A16AF7" w:rsidP="00065D4B">
      <w:pPr>
        <w:pStyle w:val="Heading3"/>
      </w:pPr>
      <w:bookmarkStart w:id="16" w:name="_Toc272414597"/>
      <w:bookmarkStart w:id="17" w:name="_Toc290846219"/>
      <w:bookmarkStart w:id="18" w:name="_Toc290888756"/>
      <w:bookmarkStart w:id="19" w:name="_Toc434236153"/>
      <w:bookmarkStart w:id="20" w:name="_Toc480383671"/>
      <w:r w:rsidRPr="00A16AF7">
        <w:t>Dosage forms and strengths</w:t>
      </w:r>
      <w:bookmarkEnd w:id="16"/>
      <w:bookmarkEnd w:id="17"/>
      <w:bookmarkEnd w:id="18"/>
      <w:bookmarkEnd w:id="19"/>
      <w:bookmarkEnd w:id="20"/>
    </w:p>
    <w:p w:rsidR="006D4092" w:rsidRDefault="00A16AF7" w:rsidP="00FB64F6">
      <w:r w:rsidRPr="00FB64F6">
        <w:t>The submission proposes registration of the following dosage forms and strengths:</w:t>
      </w:r>
    </w:p>
    <w:p w:rsidR="006D4092" w:rsidRDefault="00A16AF7" w:rsidP="00FB64F6">
      <w:proofErr w:type="spellStart"/>
      <w:r w:rsidRPr="00FB64F6">
        <w:t>Addaven</w:t>
      </w:r>
      <w:proofErr w:type="spellEnd"/>
      <w:r w:rsidRPr="00FB64F6">
        <w:t xml:space="preserve"> 10 mL polypropylene ampoules containing:</w:t>
      </w:r>
    </w:p>
    <w:p w:rsidR="00A16AF7" w:rsidRPr="00FB64F6" w:rsidRDefault="00FB64F6" w:rsidP="00065D4B">
      <w:pPr>
        <w:pStyle w:val="ListBullet"/>
      </w:pPr>
      <w:r>
        <w:t xml:space="preserve">Chromic chloride </w:t>
      </w:r>
      <w:r w:rsidR="00A16AF7" w:rsidRPr="00FB64F6">
        <w:t>53.3mcg</w:t>
      </w:r>
    </w:p>
    <w:p w:rsidR="00A16AF7" w:rsidRPr="00FB64F6" w:rsidRDefault="00A16AF7" w:rsidP="00CD3F1C">
      <w:pPr>
        <w:pStyle w:val="ListBullet"/>
      </w:pPr>
      <w:r w:rsidRPr="00FB64F6">
        <w:t>Cupric chloride dehydr</w:t>
      </w:r>
      <w:r w:rsidR="00FB64F6">
        <w:t xml:space="preserve">ate </w:t>
      </w:r>
      <w:r w:rsidRPr="00FB64F6">
        <w:t>1.02mcg</w:t>
      </w:r>
    </w:p>
    <w:p w:rsidR="00A16AF7" w:rsidRPr="00FB64F6" w:rsidRDefault="00FB64F6" w:rsidP="00CD3F1C">
      <w:pPr>
        <w:pStyle w:val="ListBullet"/>
      </w:pPr>
      <w:r>
        <w:t xml:space="preserve">Ferric chloride </w:t>
      </w:r>
      <w:proofErr w:type="spellStart"/>
      <w:r>
        <w:t>hexahydrate</w:t>
      </w:r>
      <w:proofErr w:type="spellEnd"/>
      <w:r>
        <w:t xml:space="preserve"> </w:t>
      </w:r>
      <w:r w:rsidR="00A16AF7" w:rsidRPr="00FB64F6">
        <w:t>5.40mcg</w:t>
      </w:r>
    </w:p>
    <w:p w:rsidR="00A16AF7" w:rsidRPr="00FB64F6" w:rsidRDefault="00FB64F6" w:rsidP="00CD3F1C">
      <w:pPr>
        <w:pStyle w:val="ListBullet"/>
      </w:pPr>
      <w:r>
        <w:t xml:space="preserve">Manganese chloride </w:t>
      </w:r>
      <w:r w:rsidR="00A16AF7" w:rsidRPr="00FB64F6">
        <w:t>198mcg</w:t>
      </w:r>
    </w:p>
    <w:p w:rsidR="00A16AF7" w:rsidRPr="00FB64F6" w:rsidRDefault="00FB64F6" w:rsidP="00CD3F1C">
      <w:pPr>
        <w:pStyle w:val="ListBullet"/>
      </w:pPr>
      <w:r>
        <w:t xml:space="preserve">Potassium iodide </w:t>
      </w:r>
      <w:r w:rsidR="00A16AF7" w:rsidRPr="00FB64F6">
        <w:t>166 mcg</w:t>
      </w:r>
    </w:p>
    <w:p w:rsidR="00A16AF7" w:rsidRPr="00FB64F6" w:rsidRDefault="00FB64F6" w:rsidP="00CD3F1C">
      <w:pPr>
        <w:pStyle w:val="ListBullet"/>
      </w:pPr>
      <w:r>
        <w:t xml:space="preserve">Sodium fluoride </w:t>
      </w:r>
      <w:r w:rsidR="00A16AF7" w:rsidRPr="00FB64F6">
        <w:t>2.10mcg</w:t>
      </w:r>
    </w:p>
    <w:p w:rsidR="00A16AF7" w:rsidRPr="00FB64F6" w:rsidRDefault="00FB64F6" w:rsidP="00CD3F1C">
      <w:pPr>
        <w:pStyle w:val="ListBullet"/>
      </w:pPr>
      <w:r>
        <w:t xml:space="preserve">Sodium </w:t>
      </w:r>
      <w:proofErr w:type="spellStart"/>
      <w:r>
        <w:t>molybdate</w:t>
      </w:r>
      <w:proofErr w:type="spellEnd"/>
      <w:r>
        <w:t xml:space="preserve"> dehydrate </w:t>
      </w:r>
      <w:r w:rsidR="00A16AF7" w:rsidRPr="00FB64F6">
        <w:t>48.5mcg</w:t>
      </w:r>
    </w:p>
    <w:p w:rsidR="00A16AF7" w:rsidRPr="00FB64F6" w:rsidRDefault="00FB64F6" w:rsidP="00CD3F1C">
      <w:pPr>
        <w:pStyle w:val="ListBullet"/>
      </w:pPr>
      <w:r>
        <w:t xml:space="preserve">Sodium selenite </w:t>
      </w:r>
      <w:r w:rsidR="00A16AF7" w:rsidRPr="00FB64F6">
        <w:t>173mcg</w:t>
      </w:r>
    </w:p>
    <w:p w:rsidR="00A16AF7" w:rsidRPr="00FB64F6" w:rsidRDefault="00FB64F6" w:rsidP="00CD3F1C">
      <w:pPr>
        <w:pStyle w:val="ListBullet"/>
      </w:pPr>
      <w:r>
        <w:t xml:space="preserve">Zinc chloride </w:t>
      </w:r>
      <w:r w:rsidR="00A16AF7" w:rsidRPr="00FB64F6">
        <w:t>10.5mcg</w:t>
      </w:r>
    </w:p>
    <w:p w:rsidR="00A16AF7" w:rsidRPr="00A16AF7" w:rsidRDefault="00A16AF7" w:rsidP="00065D4B">
      <w:pPr>
        <w:pStyle w:val="Heading3"/>
      </w:pPr>
      <w:bookmarkStart w:id="21" w:name="_Toc272414598"/>
      <w:bookmarkStart w:id="22" w:name="_Toc290846220"/>
      <w:bookmarkStart w:id="23" w:name="_Toc290888757"/>
      <w:bookmarkStart w:id="24" w:name="_Toc434236154"/>
      <w:bookmarkStart w:id="25" w:name="_Toc480383672"/>
      <w:r w:rsidRPr="00A16AF7">
        <w:t>Dosage and administration</w:t>
      </w:r>
      <w:bookmarkEnd w:id="21"/>
      <w:bookmarkEnd w:id="22"/>
      <w:bookmarkEnd w:id="23"/>
      <w:bookmarkEnd w:id="24"/>
      <w:bookmarkEnd w:id="25"/>
    </w:p>
    <w:p w:rsidR="00A16AF7" w:rsidRPr="00FB64F6" w:rsidRDefault="00A16AF7" w:rsidP="00065D4B">
      <w:pPr>
        <w:pStyle w:val="Heading4"/>
      </w:pPr>
      <w:bookmarkStart w:id="26" w:name="_Toc272414599"/>
      <w:bookmarkStart w:id="27" w:name="_Toc290846221"/>
      <w:bookmarkStart w:id="28" w:name="_Toc290888758"/>
      <w:r w:rsidRPr="00FB64F6">
        <w:t>Dosage</w:t>
      </w:r>
    </w:p>
    <w:p w:rsidR="00A16AF7" w:rsidRPr="00E558F7" w:rsidRDefault="00A16AF7" w:rsidP="00E558F7">
      <w:r w:rsidRPr="00E558F7">
        <w:t xml:space="preserve">The recommended daily dosage of </w:t>
      </w:r>
      <w:proofErr w:type="spellStart"/>
      <w:r w:rsidRPr="00E558F7">
        <w:t>Addaven</w:t>
      </w:r>
      <w:proofErr w:type="spellEnd"/>
      <w:r w:rsidRPr="00E558F7">
        <w:t xml:space="preserve"> in adult patients with basal to moderately increased requirements is 10 mL (one ampoule).</w:t>
      </w:r>
    </w:p>
    <w:p w:rsidR="00A16AF7" w:rsidRPr="00E558F7" w:rsidRDefault="00A16AF7" w:rsidP="00E558F7">
      <w:r w:rsidRPr="00E558F7">
        <w:t>In patients with renal or hepatic impairments, or mild cholestasis the dose should be adapted.</w:t>
      </w:r>
    </w:p>
    <w:p w:rsidR="00A16AF7" w:rsidRPr="00FB64F6" w:rsidRDefault="00A16AF7" w:rsidP="00065D4B">
      <w:pPr>
        <w:pStyle w:val="Heading4"/>
      </w:pPr>
      <w:r w:rsidRPr="00FB64F6">
        <w:t>Method of administration</w:t>
      </w:r>
    </w:p>
    <w:p w:rsidR="00A16AF7" w:rsidRPr="00E558F7" w:rsidRDefault="00A16AF7" w:rsidP="00065D4B">
      <w:proofErr w:type="spellStart"/>
      <w:r w:rsidRPr="00E558F7">
        <w:t>Addaven</w:t>
      </w:r>
      <w:proofErr w:type="spellEnd"/>
      <w:r w:rsidRPr="00E558F7">
        <w:t xml:space="preserve"> must not be given undiluted. </w:t>
      </w:r>
      <w:proofErr w:type="spellStart"/>
      <w:r w:rsidRPr="00E558F7">
        <w:t>Addaven</w:t>
      </w:r>
      <w:proofErr w:type="spellEnd"/>
      <w:r w:rsidRPr="00E558F7">
        <w:t xml:space="preserve"> shall be given as an intravenous infusion, diluted in a parenteral nutrition solution/emulsion.</w:t>
      </w:r>
    </w:p>
    <w:p w:rsidR="00A16AF7" w:rsidRDefault="00A16AF7" w:rsidP="00E558F7">
      <w:r w:rsidRPr="00E558F7">
        <w:t xml:space="preserve">A 10mL ampoule of </w:t>
      </w:r>
      <w:proofErr w:type="spellStart"/>
      <w:r w:rsidRPr="00E558F7">
        <w:t>Addaven</w:t>
      </w:r>
      <w:proofErr w:type="spellEnd"/>
      <w:r w:rsidRPr="00E558F7">
        <w:t xml:space="preserve"> can be added to the f</w:t>
      </w:r>
      <w:r w:rsidR="00CD3F1C">
        <w:t>ollowing intravenous solutions:</w:t>
      </w:r>
    </w:p>
    <w:p w:rsidR="00CD3F1C" w:rsidRPr="00E558F7" w:rsidRDefault="00CD3F1C" w:rsidP="00065D4B">
      <w:pPr>
        <w:pStyle w:val="TableTitle0"/>
      </w:pPr>
      <w:proofErr w:type="gramStart"/>
      <w:r>
        <w:t xml:space="preserve">Table 1: </w:t>
      </w:r>
      <w:proofErr w:type="spellStart"/>
      <w:r w:rsidR="0097216C" w:rsidRPr="00E558F7">
        <w:t>Addaven</w:t>
      </w:r>
      <w:proofErr w:type="spellEnd"/>
      <w:r w:rsidR="0097216C" w:rsidRPr="00E558F7">
        <w:t xml:space="preserve"> </w:t>
      </w:r>
      <w:r w:rsidR="0097216C">
        <w:t>IV solutions.</w:t>
      </w:r>
      <w:proofErr w:type="gramEnd"/>
    </w:p>
    <w:tbl>
      <w:tblPr>
        <w:tblStyle w:val="TableTGAblue"/>
        <w:tblW w:w="0" w:type="auto"/>
        <w:tblLook w:val="04A0" w:firstRow="1" w:lastRow="0" w:firstColumn="1" w:lastColumn="0" w:noHBand="0" w:noVBand="1"/>
      </w:tblPr>
      <w:tblGrid>
        <w:gridCol w:w="3828"/>
        <w:gridCol w:w="2976"/>
      </w:tblGrid>
      <w:tr w:rsidR="00A16AF7" w:rsidRPr="00A16AF7" w:rsidTr="0006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A16AF7" w:rsidRPr="00A42F6C" w:rsidRDefault="00A16AF7" w:rsidP="00065D4B">
            <w:r w:rsidRPr="00A42F6C">
              <w:t>Admixture</w:t>
            </w:r>
          </w:p>
        </w:tc>
        <w:tc>
          <w:tcPr>
            <w:tcW w:w="2976" w:type="dxa"/>
            <w:hideMark/>
          </w:tcPr>
          <w:p w:rsidR="00A16AF7" w:rsidRPr="00A42F6C" w:rsidRDefault="00A16AF7" w:rsidP="00065D4B">
            <w:pPr>
              <w:cnfStyle w:val="100000000000" w:firstRow="1" w:lastRow="0" w:firstColumn="0" w:lastColumn="0" w:oddVBand="0" w:evenVBand="0" w:oddHBand="0" w:evenHBand="0" w:firstRowFirstColumn="0" w:firstRowLastColumn="0" w:lastRowFirstColumn="0" w:lastRowLastColumn="0"/>
            </w:pPr>
            <w:r w:rsidRPr="00A42F6C">
              <w:t>Volume</w:t>
            </w:r>
          </w:p>
        </w:tc>
      </w:tr>
      <w:tr w:rsidR="00A16AF7" w:rsidRPr="00A16AF7" w:rsidTr="00065D4B">
        <w:tc>
          <w:tcPr>
            <w:cnfStyle w:val="001000000000" w:firstRow="0" w:lastRow="0" w:firstColumn="1" w:lastColumn="0" w:oddVBand="0" w:evenVBand="0" w:oddHBand="0" w:evenHBand="0" w:firstRowFirstColumn="0" w:firstRowLastColumn="0" w:lastRowFirstColumn="0" w:lastRowLastColumn="0"/>
            <w:tcW w:w="3828" w:type="dxa"/>
            <w:hideMark/>
          </w:tcPr>
          <w:p w:rsidR="00A16AF7" w:rsidRPr="00A42F6C" w:rsidRDefault="00A16AF7" w:rsidP="00065D4B">
            <w:pPr>
              <w:rPr>
                <w:color w:val="000000"/>
              </w:rPr>
            </w:pPr>
            <w:r w:rsidRPr="00A42F6C">
              <w:rPr>
                <w:color w:val="000000"/>
              </w:rPr>
              <w:t>Glucose 5%</w:t>
            </w:r>
          </w:p>
        </w:tc>
        <w:tc>
          <w:tcPr>
            <w:tcW w:w="2976" w:type="dxa"/>
            <w:hideMark/>
          </w:tcPr>
          <w:p w:rsidR="00A16AF7" w:rsidRPr="00A42F6C" w:rsidRDefault="00A16AF7" w:rsidP="00065D4B">
            <w:pPr>
              <w:cnfStyle w:val="000000000000" w:firstRow="0" w:lastRow="0" w:firstColumn="0" w:lastColumn="0" w:oddVBand="0" w:evenVBand="0" w:oddHBand="0" w:evenHBand="0" w:firstRowFirstColumn="0" w:firstRowLastColumn="0" w:lastRowFirstColumn="0" w:lastRowLastColumn="0"/>
              <w:rPr>
                <w:color w:val="000000"/>
              </w:rPr>
            </w:pPr>
            <w:r w:rsidRPr="00A42F6C">
              <w:rPr>
                <w:color w:val="000000"/>
              </w:rPr>
              <w:t>100 – 1000 mL</w:t>
            </w:r>
          </w:p>
        </w:tc>
      </w:tr>
      <w:tr w:rsidR="00A16AF7" w:rsidRPr="00A16AF7" w:rsidTr="00065D4B">
        <w:tc>
          <w:tcPr>
            <w:cnfStyle w:val="001000000000" w:firstRow="0" w:lastRow="0" w:firstColumn="1" w:lastColumn="0" w:oddVBand="0" w:evenVBand="0" w:oddHBand="0" w:evenHBand="0" w:firstRowFirstColumn="0" w:firstRowLastColumn="0" w:lastRowFirstColumn="0" w:lastRowLastColumn="0"/>
            <w:tcW w:w="3828" w:type="dxa"/>
            <w:hideMark/>
          </w:tcPr>
          <w:p w:rsidR="00A16AF7" w:rsidRPr="00A42F6C" w:rsidRDefault="00A16AF7" w:rsidP="00065D4B">
            <w:pPr>
              <w:rPr>
                <w:color w:val="000000"/>
              </w:rPr>
            </w:pPr>
            <w:r w:rsidRPr="00A42F6C">
              <w:rPr>
                <w:color w:val="000000"/>
              </w:rPr>
              <w:t>Glucose 10%</w:t>
            </w:r>
          </w:p>
        </w:tc>
        <w:tc>
          <w:tcPr>
            <w:tcW w:w="2976" w:type="dxa"/>
            <w:hideMark/>
          </w:tcPr>
          <w:p w:rsidR="00A16AF7" w:rsidRPr="00A42F6C" w:rsidRDefault="00A16AF7" w:rsidP="00065D4B">
            <w:pPr>
              <w:cnfStyle w:val="000000000000" w:firstRow="0" w:lastRow="0" w:firstColumn="0" w:lastColumn="0" w:oddVBand="0" w:evenVBand="0" w:oddHBand="0" w:evenHBand="0" w:firstRowFirstColumn="0" w:firstRowLastColumn="0" w:lastRowFirstColumn="0" w:lastRowLastColumn="0"/>
              <w:rPr>
                <w:color w:val="000000"/>
              </w:rPr>
            </w:pPr>
            <w:r w:rsidRPr="00A42F6C">
              <w:rPr>
                <w:color w:val="000000"/>
              </w:rPr>
              <w:t>100 – 500 mL</w:t>
            </w:r>
          </w:p>
        </w:tc>
      </w:tr>
      <w:tr w:rsidR="00A16AF7" w:rsidRPr="00A16AF7" w:rsidTr="00065D4B">
        <w:tc>
          <w:tcPr>
            <w:cnfStyle w:val="001000000000" w:firstRow="0" w:lastRow="0" w:firstColumn="1" w:lastColumn="0" w:oddVBand="0" w:evenVBand="0" w:oddHBand="0" w:evenHBand="0" w:firstRowFirstColumn="0" w:firstRowLastColumn="0" w:lastRowFirstColumn="0" w:lastRowLastColumn="0"/>
            <w:tcW w:w="3828" w:type="dxa"/>
            <w:hideMark/>
          </w:tcPr>
          <w:p w:rsidR="00A16AF7" w:rsidRPr="00A42F6C" w:rsidRDefault="00A16AF7" w:rsidP="00065D4B">
            <w:pPr>
              <w:rPr>
                <w:color w:val="000000"/>
              </w:rPr>
            </w:pPr>
            <w:r w:rsidRPr="00A42F6C">
              <w:rPr>
                <w:color w:val="000000"/>
              </w:rPr>
              <w:t>Sodium Chloride 0.9%</w:t>
            </w:r>
          </w:p>
        </w:tc>
        <w:tc>
          <w:tcPr>
            <w:tcW w:w="2976" w:type="dxa"/>
            <w:hideMark/>
          </w:tcPr>
          <w:p w:rsidR="00A16AF7" w:rsidRPr="00A42F6C" w:rsidRDefault="00A16AF7" w:rsidP="00065D4B">
            <w:pPr>
              <w:cnfStyle w:val="000000000000" w:firstRow="0" w:lastRow="0" w:firstColumn="0" w:lastColumn="0" w:oddVBand="0" w:evenVBand="0" w:oddHBand="0" w:evenHBand="0" w:firstRowFirstColumn="0" w:firstRowLastColumn="0" w:lastRowFirstColumn="0" w:lastRowLastColumn="0"/>
              <w:rPr>
                <w:color w:val="000000"/>
              </w:rPr>
            </w:pPr>
            <w:r w:rsidRPr="00A42F6C">
              <w:rPr>
                <w:color w:val="000000"/>
              </w:rPr>
              <w:t>50 – 500 mL</w:t>
            </w:r>
          </w:p>
        </w:tc>
      </w:tr>
    </w:tbl>
    <w:p w:rsidR="00A16AF7" w:rsidRPr="00E558F7" w:rsidRDefault="00A16AF7" w:rsidP="00E558F7">
      <w:r w:rsidRPr="00E558F7">
        <w:t>Product is for single use in one patient only. Discard any residue.</w:t>
      </w:r>
    </w:p>
    <w:p w:rsidR="00A16AF7" w:rsidRPr="00A42F6C" w:rsidRDefault="00A16AF7" w:rsidP="00E558F7">
      <w:pPr>
        <w:pStyle w:val="Heading4"/>
      </w:pPr>
      <w:r w:rsidRPr="00A42F6C">
        <w:lastRenderedPageBreak/>
        <w:t>Compatibility</w:t>
      </w:r>
    </w:p>
    <w:p w:rsidR="00A16AF7" w:rsidRPr="00E558F7" w:rsidRDefault="00A16AF7" w:rsidP="00E558F7">
      <w:proofErr w:type="spellStart"/>
      <w:r w:rsidRPr="00E558F7">
        <w:t>Addaven</w:t>
      </w:r>
      <w:proofErr w:type="spellEnd"/>
      <w:r w:rsidRPr="00E558F7">
        <w:t xml:space="preserve"> may only be added to medicinal or nutritional solutions for which compatibility has been documented. Compatibility with different products and the storage time of the different admixtures is available upon request.</w:t>
      </w:r>
    </w:p>
    <w:p w:rsidR="00A16AF7" w:rsidRPr="00FB64F6" w:rsidRDefault="00A16AF7" w:rsidP="00065D4B">
      <w:pPr>
        <w:pStyle w:val="Heading4"/>
      </w:pPr>
      <w:r w:rsidRPr="00FB64F6">
        <w:t>Shelf life after mixing with additives</w:t>
      </w:r>
    </w:p>
    <w:p w:rsidR="006D4092" w:rsidRDefault="00A16AF7" w:rsidP="00E558F7">
      <w:r w:rsidRPr="00E558F7">
        <w:t>Chemical and physical in-use stability after dilution has been demonstrated for 24 hours at 25°C.</w:t>
      </w:r>
    </w:p>
    <w:p w:rsidR="006D4092" w:rsidRDefault="00A16AF7" w:rsidP="00E558F7">
      <w:r w:rsidRPr="00E558F7">
        <w:t>From a microbiological point of view, the product should be used immediately. If not used immediately, in-use storage times and conditions prior to use are the responsibility of the user and would normally not be longer than 24 hours at 2-8°C.</w:t>
      </w:r>
      <w:bookmarkEnd w:id="26"/>
      <w:bookmarkEnd w:id="27"/>
      <w:bookmarkEnd w:id="28"/>
    </w:p>
    <w:p w:rsidR="00295C34" w:rsidRDefault="00586F98" w:rsidP="00065D4B">
      <w:pPr>
        <w:pStyle w:val="Heading2"/>
      </w:pPr>
      <w:bookmarkStart w:id="29" w:name="_Toc480383673"/>
      <w:r w:rsidRPr="0094614A">
        <w:t>Clinical rationale</w:t>
      </w:r>
      <w:bookmarkEnd w:id="29"/>
    </w:p>
    <w:p w:rsidR="0085068D" w:rsidRPr="00E558F7" w:rsidRDefault="00A16AF7" w:rsidP="00E558F7">
      <w:proofErr w:type="spellStart"/>
      <w:r w:rsidRPr="00E558F7">
        <w:t>Addaven</w:t>
      </w:r>
      <w:proofErr w:type="spellEnd"/>
      <w:r w:rsidRPr="00E558F7">
        <w:t xml:space="preserve"> is a fixed combination of TE in amounts normally absorbed from the oral diet. Patients receiving PN without adequate TE provision have shown deficiency of several TE. The 10 TE which are considered essential in humans are chromium, cobalt, copper, fluoride, iodide, iron, manganese, molybdenum, selenium, and zinc.</w:t>
      </w:r>
    </w:p>
    <w:p w:rsidR="00586F98" w:rsidRDefault="00586F98" w:rsidP="00065D4B">
      <w:pPr>
        <w:pStyle w:val="Heading2"/>
        <w:rPr>
          <w:lang w:eastAsia="en-AU"/>
        </w:rPr>
      </w:pPr>
      <w:bookmarkStart w:id="30" w:name="_Toc480383674"/>
      <w:r>
        <w:rPr>
          <w:lang w:eastAsia="en-AU"/>
        </w:rPr>
        <w:t>Contents of the clinical dossier</w:t>
      </w:r>
      <w:bookmarkEnd w:id="8"/>
      <w:bookmarkEnd w:id="9"/>
      <w:bookmarkEnd w:id="30"/>
    </w:p>
    <w:p w:rsidR="00A16AF7" w:rsidRPr="00E558F7" w:rsidRDefault="00A16AF7" w:rsidP="00E558F7">
      <w:r w:rsidRPr="00E558F7">
        <w:t>The submission contained the following clinical information:</w:t>
      </w:r>
    </w:p>
    <w:p w:rsidR="006D4092" w:rsidRDefault="00A16AF7" w:rsidP="00E558F7">
      <w:pPr>
        <w:pStyle w:val="ListBullet"/>
      </w:pPr>
      <w:r w:rsidRPr="00E558F7">
        <w:t>Multiple literature references and guidelines</w:t>
      </w:r>
    </w:p>
    <w:p w:rsidR="00A16AF7" w:rsidRPr="00E558F7" w:rsidRDefault="00A16AF7" w:rsidP="00E558F7">
      <w:pPr>
        <w:pStyle w:val="ListBullet"/>
      </w:pPr>
      <w:r w:rsidRPr="00E558F7">
        <w:t>other efficacy/safety studies  - supporting a 9  trace elements supplement (</w:t>
      </w:r>
      <w:proofErr w:type="spellStart"/>
      <w:r w:rsidRPr="00E558F7">
        <w:t>Addamel</w:t>
      </w:r>
      <w:proofErr w:type="spellEnd"/>
      <w:r w:rsidRPr="00E558F7">
        <w:t xml:space="preserve"> N)</w:t>
      </w:r>
    </w:p>
    <w:p w:rsidR="000142FD" w:rsidRPr="00E558F7" w:rsidRDefault="00E558F7" w:rsidP="00E558F7">
      <w:pPr>
        <w:pStyle w:val="ListBullet"/>
      </w:pPr>
      <w:r>
        <w:t>PSURs</w:t>
      </w:r>
    </w:p>
    <w:p w:rsidR="006D4092" w:rsidRDefault="00586F98" w:rsidP="00065D4B">
      <w:pPr>
        <w:pStyle w:val="Heading2"/>
      </w:pPr>
      <w:bookmarkStart w:id="31" w:name="_Toc355338639"/>
      <w:bookmarkStart w:id="32" w:name="_Toc480383675"/>
      <w:r>
        <w:t>Pharmacokinetics</w:t>
      </w:r>
      <w:bookmarkEnd w:id="31"/>
      <w:bookmarkEnd w:id="32"/>
    </w:p>
    <w:p w:rsidR="00A16AF7" w:rsidRPr="00A16AF7" w:rsidRDefault="00A16AF7" w:rsidP="00065D4B">
      <w:pPr>
        <w:pStyle w:val="Heading3"/>
      </w:pPr>
      <w:bookmarkStart w:id="33" w:name="_Ref271017296"/>
      <w:bookmarkStart w:id="34" w:name="_Ref271018924"/>
      <w:bookmarkStart w:id="35" w:name="_Ref271018934"/>
      <w:bookmarkStart w:id="36" w:name="_Toc272414614"/>
      <w:bookmarkStart w:id="37" w:name="_Toc290846238"/>
      <w:bookmarkStart w:id="38" w:name="_Toc290888775"/>
      <w:bookmarkStart w:id="39" w:name="_Toc434236167"/>
      <w:bookmarkStart w:id="40" w:name="_Toc480383676"/>
      <w:r w:rsidRPr="00A16AF7">
        <w:t>Studies</w:t>
      </w:r>
      <w:bookmarkEnd w:id="33"/>
      <w:bookmarkEnd w:id="34"/>
      <w:bookmarkEnd w:id="35"/>
      <w:r w:rsidRPr="00A16AF7">
        <w:t xml:space="preserve"> providing pharmacokinetic data</w:t>
      </w:r>
      <w:bookmarkEnd w:id="36"/>
      <w:bookmarkEnd w:id="37"/>
      <w:bookmarkEnd w:id="38"/>
      <w:bookmarkEnd w:id="39"/>
      <w:bookmarkEnd w:id="40"/>
    </w:p>
    <w:p w:rsidR="00A16AF7" w:rsidRPr="00E558F7" w:rsidRDefault="00A16AF7" w:rsidP="00065D4B">
      <w:r w:rsidRPr="00E558F7">
        <w:t xml:space="preserve">The product was designed to have no </w:t>
      </w:r>
      <w:proofErr w:type="spellStart"/>
      <w:r w:rsidRPr="00E558F7">
        <w:t>pharmacodynamic</w:t>
      </w:r>
      <w:proofErr w:type="spellEnd"/>
      <w:r w:rsidRPr="00E558F7">
        <w:t xml:space="preserve"> effects besides maintaining or </w:t>
      </w:r>
      <w:proofErr w:type="spellStart"/>
      <w:r w:rsidRPr="00E558F7">
        <w:t>repleting</w:t>
      </w:r>
      <w:proofErr w:type="spellEnd"/>
      <w:r w:rsidRPr="00E558F7">
        <w:t xml:space="preserve"> the nutritional status of the contained trace elements.</w:t>
      </w:r>
    </w:p>
    <w:p w:rsidR="00A16AF7" w:rsidRPr="00E558F7" w:rsidRDefault="00A16AF7" w:rsidP="00E558F7">
      <w:r w:rsidRPr="00E558F7">
        <w:t>No data has been published about the pharmacokinetics of trace elements when provided intravenously.</w:t>
      </w:r>
    </w:p>
    <w:p w:rsidR="00A16AF7" w:rsidRPr="00E558F7" w:rsidRDefault="00A16AF7" w:rsidP="00E558F7">
      <w:r w:rsidRPr="00E558F7">
        <w:t>Those trace elements which are primarily excreted in the urine are chromium, molybdenum, selenium, iodine, and fluoride while trace elements for which the main route of excretion is via the bile are copper and manganese.</w:t>
      </w:r>
      <w:r w:rsidRPr="00E558F7">
        <w:footnoteReference w:id="1"/>
      </w:r>
      <w:r w:rsidRPr="00E558F7">
        <w:t xml:space="preserve"> Excretion of zinc is mainly in the faeces by transport through the intestinal mucosa, with a smaller amount in the bile and in urine.</w:t>
      </w:r>
      <w:r w:rsidRPr="00E558F7">
        <w:footnoteReference w:id="2"/>
      </w:r>
      <w:r w:rsidRPr="00E558F7">
        <w:t xml:space="preserve">  Infusion with zinc enhances distal renal reabsorption of zinc but infusion with amino acids increases proximal zinc secretion in the kidney that may result in increased urinary losses of zinc. However, amino acid loss in urine is usually small. Iron losses are by way of desquamated skin, normal turnov</w:t>
      </w:r>
      <w:r w:rsidR="003C4CF5">
        <w:t xml:space="preserve">er of gut cells, and blood loss; </w:t>
      </w:r>
      <w:r w:rsidRPr="00E558F7">
        <w:t>hence is not under direct control.</w:t>
      </w:r>
    </w:p>
    <w:p w:rsidR="00A16AF7" w:rsidRPr="00E558F7" w:rsidRDefault="00A16AF7" w:rsidP="00E558F7">
      <w:r w:rsidRPr="00E558F7">
        <w:t>Thus caution is required in patients with severe renal or hepatic dysfunction.</w:t>
      </w:r>
    </w:p>
    <w:p w:rsidR="00A16AF7" w:rsidRPr="00A16AF7" w:rsidRDefault="00A16AF7" w:rsidP="00E558F7">
      <w:pPr>
        <w:pStyle w:val="Heading3"/>
      </w:pPr>
      <w:bookmarkStart w:id="41" w:name="_Toc272414617"/>
      <w:bookmarkStart w:id="42" w:name="_Toc290846240"/>
      <w:bookmarkStart w:id="43" w:name="_Toc290888777"/>
      <w:bookmarkStart w:id="44" w:name="_Toc434236168"/>
      <w:bookmarkStart w:id="45" w:name="_Toc480383677"/>
      <w:r w:rsidRPr="00A16AF7">
        <w:t>Physicochemical characteristics of the active substance</w:t>
      </w:r>
      <w:bookmarkEnd w:id="41"/>
      <w:bookmarkEnd w:id="42"/>
      <w:bookmarkEnd w:id="43"/>
      <w:bookmarkEnd w:id="44"/>
      <w:bookmarkEnd w:id="45"/>
    </w:p>
    <w:p w:rsidR="006D4092" w:rsidRDefault="00A16AF7" w:rsidP="00E558F7">
      <w:r w:rsidRPr="00E558F7">
        <w:t>The following information is derived from the Sponsor’s summaries.</w:t>
      </w:r>
    </w:p>
    <w:p w:rsidR="00A16AF7" w:rsidRPr="00E558F7" w:rsidRDefault="00A16AF7" w:rsidP="00E558F7">
      <w:proofErr w:type="spellStart"/>
      <w:r w:rsidRPr="00E558F7">
        <w:lastRenderedPageBreak/>
        <w:t>Allwood</w:t>
      </w:r>
      <w:proofErr w:type="spellEnd"/>
      <w:r w:rsidRPr="00E558F7">
        <w:t xml:space="preserve"> and co-workers showed that iron and copper might interact to form microscopic precipitates by reaction with components of the PN regimen (</w:t>
      </w:r>
      <w:proofErr w:type="spellStart"/>
      <w:r w:rsidRPr="00E558F7">
        <w:t>Allwood</w:t>
      </w:r>
      <w:proofErr w:type="spellEnd"/>
      <w:r w:rsidRPr="00E558F7">
        <w:t xml:space="preserve"> and Greenwood 1992; </w:t>
      </w:r>
      <w:proofErr w:type="spellStart"/>
      <w:r w:rsidRPr="00E558F7">
        <w:t>Allwood</w:t>
      </w:r>
      <w:proofErr w:type="spellEnd"/>
      <w:r w:rsidRPr="00E558F7">
        <w:t xml:space="preserve"> and Kearney 1998). Harmful effects were not related to them and this did not cause any measurable loss of TE. The formation of copper and iron precipitates and the factors influencing their formation in PN mixtures containing </w:t>
      </w:r>
      <w:proofErr w:type="spellStart"/>
      <w:r w:rsidRPr="00E558F7">
        <w:t>Additrace</w:t>
      </w:r>
      <w:proofErr w:type="spellEnd"/>
      <w:r w:rsidRPr="00E558F7">
        <w:t xml:space="preserve"> and 1 of the commercial amino acids solutions </w:t>
      </w:r>
      <w:proofErr w:type="spellStart"/>
      <w:r w:rsidRPr="00E558F7">
        <w:t>Vamin</w:t>
      </w:r>
      <w:proofErr w:type="spellEnd"/>
      <w:r w:rsidRPr="00E558F7">
        <w:t xml:space="preserve"> or </w:t>
      </w:r>
      <w:proofErr w:type="spellStart"/>
      <w:r w:rsidRPr="00E558F7">
        <w:t>Synthamin</w:t>
      </w:r>
      <w:proofErr w:type="spellEnd"/>
      <w:r w:rsidRPr="00E558F7">
        <w:t xml:space="preserve"> has been studied (</w:t>
      </w:r>
      <w:proofErr w:type="spellStart"/>
      <w:r w:rsidRPr="00E558F7">
        <w:t>Allwood</w:t>
      </w:r>
      <w:proofErr w:type="spellEnd"/>
      <w:r w:rsidRPr="00E558F7">
        <w:t xml:space="preserve"> et al 1998). The authors concluded that iron and copper can contribute to precipitation in stored PN mixtures. Among other factors, the amount of precipitates depended on the type of amino acid solution, the permeability of the bag for hydrogen sulphide, and the concentration of copper. The concentration of copper in </w:t>
      </w:r>
      <w:proofErr w:type="spellStart"/>
      <w:r w:rsidRPr="00E558F7">
        <w:t>Addamel</w:t>
      </w:r>
      <w:proofErr w:type="spellEnd"/>
      <w:r w:rsidRPr="00E558F7">
        <w:t xml:space="preserve"> N of 1.26 mg (20.0 </w:t>
      </w:r>
      <w:proofErr w:type="spellStart"/>
      <w:r w:rsidRPr="00E558F7">
        <w:t>μmol</w:t>
      </w:r>
      <w:proofErr w:type="spellEnd"/>
      <w:r w:rsidRPr="00E558F7">
        <w:t xml:space="preserve">) per 10 mL has been reduced to 0.38 mg (6.0 </w:t>
      </w:r>
      <w:proofErr w:type="spellStart"/>
      <w:r w:rsidRPr="00E558F7">
        <w:t>μmol</w:t>
      </w:r>
      <w:proofErr w:type="spellEnd"/>
      <w:r w:rsidRPr="00E558F7">
        <w:t xml:space="preserve"> in </w:t>
      </w:r>
      <w:proofErr w:type="spellStart"/>
      <w:r w:rsidRPr="00E558F7">
        <w:t>Addaven</w:t>
      </w:r>
      <w:proofErr w:type="spellEnd"/>
      <w:r w:rsidRPr="00E558F7">
        <w:t xml:space="preserve">). The amounts of both iron and copper in </w:t>
      </w:r>
      <w:proofErr w:type="spellStart"/>
      <w:r w:rsidRPr="00E558F7">
        <w:t>Addaven</w:t>
      </w:r>
      <w:proofErr w:type="spellEnd"/>
      <w:r w:rsidRPr="00E558F7">
        <w:t xml:space="preserve"> are small; hence, the potential for precipitates is low. To avoid incompatibilities with other IVN components, </w:t>
      </w:r>
      <w:proofErr w:type="spellStart"/>
      <w:r w:rsidRPr="00E558F7">
        <w:t>Addaven</w:t>
      </w:r>
      <w:proofErr w:type="spellEnd"/>
      <w:r w:rsidRPr="00E558F7">
        <w:t xml:space="preserve"> must only be mixed with other medicinal products for which compatibility has been documented.</w:t>
      </w:r>
    </w:p>
    <w:p w:rsidR="00A16AF7" w:rsidRPr="00E558F7" w:rsidRDefault="00A16AF7" w:rsidP="00E558F7">
      <w:r w:rsidRPr="00E558F7">
        <w:t>Molybdenum interacts with copper to form complexes that increase urinary elimination of copper. This interaction may lead to copper deficiency and is used to promote copper excretion in patients with Wilson’s disease (Johnson 1997).</w:t>
      </w:r>
    </w:p>
    <w:p w:rsidR="00A16AF7" w:rsidRPr="00E558F7" w:rsidRDefault="00A16AF7" w:rsidP="00E558F7">
      <w:r w:rsidRPr="00E558F7">
        <w:t>Amino acids, which are present in all total IVN mixtures, could complex with zinc and copper and the complex could be excreted in urine (</w:t>
      </w:r>
      <w:proofErr w:type="spellStart"/>
      <w:r w:rsidRPr="00E558F7">
        <w:t>Berthon</w:t>
      </w:r>
      <w:proofErr w:type="spellEnd"/>
      <w:r w:rsidRPr="00E558F7">
        <w:t xml:space="preserve"> et al 1980). However, amino acid loss in urine is usually small. Renal TE loss occurs only in significant amounts if amino sugars are present. In the past, amino sugars might have resulted from the </w:t>
      </w:r>
      <w:proofErr w:type="spellStart"/>
      <w:r w:rsidRPr="00E558F7">
        <w:t>Maillard</w:t>
      </w:r>
      <w:proofErr w:type="spellEnd"/>
      <w:r w:rsidRPr="00E558F7">
        <w:t xml:space="preserve"> reaction in the presence of glucose during sterilization in the process of the amino acid production (</w:t>
      </w:r>
      <w:proofErr w:type="spellStart"/>
      <w:r w:rsidRPr="00E558F7">
        <w:t>Stegink</w:t>
      </w:r>
      <w:proofErr w:type="spellEnd"/>
      <w:r w:rsidRPr="00E558F7">
        <w:t xml:space="preserve"> et al 1981). Nowadays, amino sugars are rarely present in amino acid preparations because the amino acids are sterilized separately from glucose.</w:t>
      </w:r>
    </w:p>
    <w:p w:rsidR="00A16AF7" w:rsidRPr="00E558F7" w:rsidRDefault="00DE726E" w:rsidP="00E558F7">
      <w:r w:rsidRPr="00E558F7">
        <w:t xml:space="preserve">Potential interactions between calcium and phosphate give rise to concerns about more substantial precipitates and serious side effects (National Advisory Group on Standards and Practice Guidelines for Parenteral Nutrition 1998). In the early days of parenteral nutrition, the group of Burnham studied intravenous feeding mixtures containing fat emulsion and TE of the </w:t>
      </w:r>
      <w:proofErr w:type="spellStart"/>
      <w:r w:rsidRPr="00E558F7">
        <w:t>Addamel</w:t>
      </w:r>
      <w:proofErr w:type="spellEnd"/>
      <w:r w:rsidRPr="00E558F7">
        <w:t xml:space="preserve"> product line, and concluded that the only concern was possible droplet coalescence at high concentrations of calcium and magnesium (Burnham et al 1982; Burnham et al 1982). </w:t>
      </w:r>
      <w:proofErr w:type="spellStart"/>
      <w:r w:rsidRPr="00E558F7">
        <w:t>Addaven</w:t>
      </w:r>
      <w:proofErr w:type="spellEnd"/>
      <w:r>
        <w:t xml:space="preserve"> contains no</w:t>
      </w:r>
      <w:r w:rsidRPr="00E558F7">
        <w:t xml:space="preserve"> calcium, magnesium or phosphate</w:t>
      </w:r>
      <w:r w:rsidR="00A16AF7" w:rsidRPr="00E558F7">
        <w:t>.</w:t>
      </w:r>
    </w:p>
    <w:p w:rsidR="00A16AF7" w:rsidRPr="00E558F7" w:rsidRDefault="00A16AF7" w:rsidP="00E558F7">
      <w:r w:rsidRPr="00E558F7">
        <w:t>Interactions of copper with ascorbic acid from vitamin supplementation of the PN mixture may occur, resulting in oxidative loss of ascorbic acid, which can be limited by use of oxygen impermeable bags (</w:t>
      </w:r>
      <w:proofErr w:type="spellStart"/>
      <w:r w:rsidRPr="00E558F7">
        <w:t>Allwood</w:t>
      </w:r>
      <w:proofErr w:type="spellEnd"/>
      <w:r w:rsidRPr="00E558F7">
        <w:t xml:space="preserve"> and Kearney 1998). </w:t>
      </w:r>
      <w:proofErr w:type="spellStart"/>
      <w:r w:rsidRPr="00E558F7">
        <w:t>Selenious</w:t>
      </w:r>
      <w:proofErr w:type="spellEnd"/>
      <w:r w:rsidRPr="00E558F7">
        <w:t xml:space="preserve"> acid or selenite ions were suggested to be reduced by ascorbic acid to selenium that is not bioavailable. However, in vitro studies demonstrated that t</w:t>
      </w:r>
      <w:r w:rsidR="00DE726E">
        <w:t xml:space="preserve">his reaction only occurred in </w:t>
      </w:r>
      <w:r w:rsidRPr="00E558F7">
        <w:t>more acidic solutions than those found in IVN bags (</w:t>
      </w:r>
      <w:proofErr w:type="spellStart"/>
      <w:r w:rsidRPr="00E558F7">
        <w:t>Ganther</w:t>
      </w:r>
      <w:proofErr w:type="spellEnd"/>
      <w:r w:rsidRPr="00E558F7">
        <w:t xml:space="preserve"> and Kraus 1989). This is confirmed by the beneficial effects of sodium selenite in PN regimens (Malone et al 1989; Lane et al 1987; Mansell 1989).</w:t>
      </w:r>
    </w:p>
    <w:p w:rsidR="00A16AF7" w:rsidRPr="00E558F7" w:rsidRDefault="00A16AF7" w:rsidP="00065D4B">
      <w:r w:rsidRPr="00E558F7">
        <w:t xml:space="preserve">Gibbons and co-workers (Gibbons et al 2001) studied the effect of temperature and TE on the anaerobic degradation of </w:t>
      </w:r>
      <w:proofErr w:type="spellStart"/>
      <w:r w:rsidRPr="00E558F7">
        <w:t>dehydroascorbic</w:t>
      </w:r>
      <w:proofErr w:type="spellEnd"/>
      <w:r w:rsidRPr="00E558F7">
        <w:t xml:space="preserve"> acid in a standard PN mixture of 15 amino acids (</w:t>
      </w:r>
      <w:proofErr w:type="spellStart"/>
      <w:r w:rsidRPr="00E558F7">
        <w:t>Synthamin</w:t>
      </w:r>
      <w:proofErr w:type="spellEnd"/>
      <w:r w:rsidRPr="00E558F7">
        <w:t xml:space="preserve"> 14, Baxter), glucose 20%, and </w:t>
      </w:r>
      <w:proofErr w:type="spellStart"/>
      <w:r w:rsidRPr="00E558F7">
        <w:t>Addamel</w:t>
      </w:r>
      <w:proofErr w:type="spellEnd"/>
      <w:r w:rsidRPr="00E558F7">
        <w:t xml:space="preserve"> N. Inclusion of TE had no effect on the rate of degradation of </w:t>
      </w:r>
      <w:proofErr w:type="spellStart"/>
      <w:r w:rsidRPr="00E558F7">
        <w:t>dehydroascorbic</w:t>
      </w:r>
      <w:proofErr w:type="spellEnd"/>
      <w:r w:rsidRPr="00E558F7">
        <w:t xml:space="preserve"> acid, the degradation product of ascorbic acid. Ascorbic acid is known to be oxidised by dissolved oxygen to </w:t>
      </w:r>
      <w:proofErr w:type="spellStart"/>
      <w:r w:rsidRPr="00E558F7">
        <w:t>dehydroascorbic</w:t>
      </w:r>
      <w:proofErr w:type="spellEnd"/>
      <w:r w:rsidRPr="00E558F7">
        <w:t xml:space="preserve"> acid, catalysed by TE in the PN solution (in particular copper). </w:t>
      </w:r>
      <w:proofErr w:type="spellStart"/>
      <w:r w:rsidRPr="00E558F7">
        <w:t>Dehydroascorbic</w:t>
      </w:r>
      <w:proofErr w:type="spellEnd"/>
      <w:r w:rsidRPr="00E558F7">
        <w:t xml:space="preserve"> acid is an active substance with beneficial effects on various tissues.</w:t>
      </w:r>
    </w:p>
    <w:p w:rsidR="00A16AF7" w:rsidRPr="00A16AF7" w:rsidRDefault="00A16AF7" w:rsidP="00065D4B">
      <w:pPr>
        <w:pStyle w:val="Heading3"/>
      </w:pPr>
      <w:bookmarkStart w:id="46" w:name="_Toc241374296"/>
      <w:bookmarkStart w:id="47" w:name="_Ref269982040"/>
      <w:bookmarkStart w:id="48" w:name="_Ref271018704"/>
      <w:bookmarkStart w:id="49" w:name="_Ref271018755"/>
      <w:bookmarkStart w:id="50" w:name="_Toc272414635"/>
      <w:bookmarkStart w:id="51" w:name="_Toc290846258"/>
      <w:bookmarkStart w:id="52" w:name="_Toc290888795"/>
      <w:bookmarkStart w:id="53" w:name="_Toc434236169"/>
      <w:bookmarkStart w:id="54" w:name="_Toc480383678"/>
      <w:r w:rsidRPr="00A16AF7">
        <w:t>Evaluator’s overall conclusions on pharmacokinetics</w:t>
      </w:r>
      <w:bookmarkEnd w:id="46"/>
      <w:bookmarkEnd w:id="47"/>
      <w:bookmarkEnd w:id="48"/>
      <w:bookmarkEnd w:id="49"/>
      <w:bookmarkEnd w:id="50"/>
      <w:bookmarkEnd w:id="51"/>
      <w:bookmarkEnd w:id="52"/>
      <w:bookmarkEnd w:id="53"/>
      <w:bookmarkEnd w:id="54"/>
    </w:p>
    <w:p w:rsidR="0085068D" w:rsidRPr="00E558F7" w:rsidRDefault="00A16AF7" w:rsidP="00E558F7">
      <w:r w:rsidRPr="00E558F7">
        <w:t xml:space="preserve">There is no PK data to evaluate, essentiality and dosing is based on deficiency states and guidelines, which are reasonably well established. The only essential trace element missing is </w:t>
      </w:r>
      <w:r w:rsidRPr="00E558F7">
        <w:lastRenderedPageBreak/>
        <w:t>cobalt - only known requirement for cobalt is within the functional group of the haematopoietic factor vitamin B12, routinely provided as part of the vitamin supply to patients receiving PN.</w:t>
      </w:r>
    </w:p>
    <w:p w:rsidR="00586F98" w:rsidRDefault="00586F98" w:rsidP="00065D4B">
      <w:pPr>
        <w:pStyle w:val="Heading2"/>
      </w:pPr>
      <w:bookmarkStart w:id="55" w:name="_Toc480383679"/>
      <w:r>
        <w:t>Pharmacodynamics</w:t>
      </w:r>
      <w:bookmarkEnd w:id="55"/>
    </w:p>
    <w:p w:rsidR="00A16AF7" w:rsidRPr="00E558F7" w:rsidRDefault="00A16AF7" w:rsidP="00065D4B">
      <w:r w:rsidRPr="00E558F7">
        <w:t>To avoid repetition and provide continuity of co</w:t>
      </w:r>
      <w:r w:rsidR="00E558F7">
        <w:t>ntent these are evaluated under</w:t>
      </w:r>
      <w:r w:rsidRPr="00E558F7">
        <w:t xml:space="preserve"> </w:t>
      </w:r>
      <w:r w:rsidR="00E558F7">
        <w:t>“</w:t>
      </w:r>
      <w:r w:rsidRPr="00E558F7">
        <w:t>Efficacy</w:t>
      </w:r>
      <w:r w:rsidR="00E558F7">
        <w:t>”</w:t>
      </w:r>
      <w:r w:rsidRPr="00E558F7">
        <w:t>.</w:t>
      </w:r>
    </w:p>
    <w:p w:rsidR="00586F98" w:rsidRDefault="00C22678" w:rsidP="00065D4B">
      <w:pPr>
        <w:pStyle w:val="Heading2"/>
      </w:pPr>
      <w:bookmarkStart w:id="56" w:name="_Toc480383680"/>
      <w:r>
        <w:t>Dosage selection for the pivotal studies</w:t>
      </w:r>
      <w:bookmarkEnd w:id="56"/>
    </w:p>
    <w:p w:rsidR="00A16AF7" w:rsidRPr="008F0E62" w:rsidRDefault="00A16AF7" w:rsidP="00065D4B">
      <w:r w:rsidRPr="008F0E62">
        <w:t>Not applicable.</w:t>
      </w:r>
    </w:p>
    <w:p w:rsidR="00C22678" w:rsidRDefault="00C22678" w:rsidP="00065D4B">
      <w:pPr>
        <w:pStyle w:val="Heading2"/>
      </w:pPr>
      <w:bookmarkStart w:id="57" w:name="_Toc480383681"/>
      <w:r>
        <w:t>Clinical efficacy</w:t>
      </w:r>
      <w:bookmarkEnd w:id="57"/>
    </w:p>
    <w:p w:rsidR="00A16AF7" w:rsidRPr="008F0E62" w:rsidRDefault="00A16AF7" w:rsidP="008F0E62">
      <w:r w:rsidRPr="008F0E62">
        <w:t>PDs are also evaluated here under Efficacy to avoid repetition and provide continuity of content.</w:t>
      </w:r>
    </w:p>
    <w:p w:rsidR="00A16AF7" w:rsidRPr="008F0E62" w:rsidRDefault="00A16AF7" w:rsidP="00B23EAF">
      <w:pPr>
        <w:pStyle w:val="Tabletitle"/>
      </w:pPr>
      <w:bookmarkStart w:id="58" w:name="_Toc434235705"/>
      <w:proofErr w:type="gramStart"/>
      <w:r w:rsidRPr="008F0E62">
        <w:t xml:space="preserve">Table </w:t>
      </w:r>
      <w:r w:rsidR="0097216C">
        <w:t>2</w:t>
      </w:r>
      <w:r w:rsidR="00B23EAF">
        <w:t xml:space="preserve">: </w:t>
      </w:r>
      <w:r w:rsidR="0097216C">
        <w:t>TE</w:t>
      </w:r>
      <w:r w:rsidRPr="008F0E62">
        <w:t xml:space="preserve"> composition of in a daily dose of 10mL </w:t>
      </w:r>
      <w:proofErr w:type="spellStart"/>
      <w:r w:rsidRPr="008F0E62">
        <w:t>Addaven</w:t>
      </w:r>
      <w:bookmarkEnd w:id="58"/>
      <w:proofErr w:type="spellEnd"/>
      <w:r w:rsidR="007A3469">
        <w:t>.</w:t>
      </w:r>
      <w:proofErr w:type="gramEnd"/>
    </w:p>
    <w:p w:rsidR="00A16AF7" w:rsidRPr="00A16AF7" w:rsidRDefault="00A16AF7" w:rsidP="00065D4B">
      <w:r w:rsidRPr="00A16AF7">
        <w:rPr>
          <w:noProof/>
          <w:lang w:eastAsia="en-AU"/>
        </w:rPr>
        <w:drawing>
          <wp:inline distT="0" distB="0" distL="0" distR="0" wp14:anchorId="43D3FA6A" wp14:editId="363A90BF">
            <wp:extent cx="3248084" cy="1522099"/>
            <wp:effectExtent l="0" t="0" r="9525" b="1905"/>
            <wp:docPr id="3" name="Picture 3" descr="Table 2: TE composition of in a daily dose of 10mL Add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251" cy="1522177"/>
                    </a:xfrm>
                    <a:prstGeom prst="rect">
                      <a:avLst/>
                    </a:prstGeom>
                    <a:noFill/>
                    <a:ln>
                      <a:noFill/>
                    </a:ln>
                  </pic:spPr>
                </pic:pic>
              </a:graphicData>
            </a:graphic>
          </wp:inline>
        </w:drawing>
      </w:r>
    </w:p>
    <w:p w:rsidR="00A16AF7" w:rsidRPr="007A3469" w:rsidRDefault="00A16AF7" w:rsidP="007A3469">
      <w:r w:rsidRPr="007A3469">
        <w:t xml:space="preserve">No clinical studies with </w:t>
      </w:r>
      <w:proofErr w:type="spellStart"/>
      <w:r w:rsidRPr="007A3469">
        <w:t>Addaven</w:t>
      </w:r>
      <w:proofErr w:type="spellEnd"/>
      <w:r w:rsidRPr="007A3469">
        <w:t xml:space="preserve"> have been performed. Five clinical trials were performed for the initial registration of </w:t>
      </w:r>
      <w:proofErr w:type="spellStart"/>
      <w:r w:rsidRPr="007A3469">
        <w:t>Addamel</w:t>
      </w:r>
      <w:proofErr w:type="spellEnd"/>
      <w:r w:rsidRPr="007A3469">
        <w:t xml:space="preserve"> N in Europe</w:t>
      </w:r>
      <w:r w:rsidR="008F0E62" w:rsidRPr="007A3469">
        <w:t>.</w:t>
      </w:r>
    </w:p>
    <w:p w:rsidR="00A16AF7" w:rsidRPr="007A3469" w:rsidRDefault="00A16AF7" w:rsidP="00065D4B">
      <w:pPr>
        <w:pStyle w:val="Heading3"/>
      </w:pPr>
      <w:bookmarkStart w:id="59" w:name="_Toc434236173"/>
      <w:bookmarkStart w:id="60" w:name="_Toc480383682"/>
      <w:r w:rsidRPr="007A3469">
        <w:t xml:space="preserve">Efficacy of </w:t>
      </w:r>
      <w:r w:rsidR="00065D4B" w:rsidRPr="007A3469">
        <w:t>respective trace elements</w:t>
      </w:r>
      <w:bookmarkEnd w:id="59"/>
      <w:bookmarkEnd w:id="60"/>
    </w:p>
    <w:p w:rsidR="006D4092" w:rsidRDefault="00A16AF7" w:rsidP="00065D4B">
      <w:pPr>
        <w:pStyle w:val="Heading4"/>
      </w:pPr>
      <w:bookmarkStart w:id="61" w:name="_Toc434236174"/>
      <w:r>
        <w:t>Chromium</w:t>
      </w:r>
      <w:bookmarkEnd w:id="61"/>
    </w:p>
    <w:p w:rsidR="00A16AF7" w:rsidRPr="00F16618" w:rsidRDefault="00A16AF7" w:rsidP="00065D4B">
      <w:r w:rsidRPr="00F16618">
        <w:t>There is a registered IV product containing chromic chloride 0.11mg/5mL, the proposed dosage is 0.01mg/10mL chromium as the trivalent Cr.</w:t>
      </w:r>
    </w:p>
    <w:p w:rsidR="00A16AF7" w:rsidRPr="00F16618" w:rsidRDefault="00A16AF7" w:rsidP="00F16618">
      <w:r w:rsidRPr="00F16618">
        <w:t>The absorbed amount of chromium from a standard adult oral diet is only 0.4–0.9 mcg/d. Based on oral absorption in healthy individuals, the parenteral requirements may be as low as 0.14–0.87 mcg/d.</w:t>
      </w:r>
      <w:r w:rsidR="00B6173B">
        <w:rPr>
          <w:rStyle w:val="FootnoteReference"/>
        </w:rPr>
        <w:footnoteReference w:id="3"/>
      </w:r>
    </w:p>
    <w:p w:rsidR="006D4092" w:rsidRDefault="00A16AF7" w:rsidP="00F16618">
      <w:r w:rsidRPr="00F16618">
        <w:t xml:space="preserve">The main effects of deficiency are reduced insulin activity resulting in impaired glucose tolerance, increased free fatty acids in plasma, and weight loss. Serum Chromium levels may not reflect the level of cellular deficiency. Treatment with chromium alleviates the impaired GTT (at higher doses Anderson et al 1997). A meta-analysis of studies involving diabetic subjects revealed that </w:t>
      </w:r>
      <w:r w:rsidR="0046553A">
        <w:t>“</w:t>
      </w:r>
      <w:r w:rsidRPr="00F16618">
        <w:t>A study of 155 diabetic subjects showed that chromium reduced glucose and insulin concentrations; the combined data from th</w:t>
      </w:r>
      <w:r w:rsidR="0009755D">
        <w:t>e other studies did not”</w:t>
      </w:r>
      <w:r w:rsidRPr="00F16618">
        <w:t xml:space="preserve"> (</w:t>
      </w:r>
      <w:proofErr w:type="spellStart"/>
      <w:r w:rsidRPr="00F16618">
        <w:t>Althuis</w:t>
      </w:r>
      <w:proofErr w:type="spellEnd"/>
      <w:r w:rsidRPr="00F16618">
        <w:t xml:space="preserve"> et al. 2002). In all these studies ≤ 200mcg Cr was administered daily. However, a recent double-blind crossover study in India of subjects with type 2 diabetes indicated that Cr supplementation (400mcg Cr/d) for 12 weeks lowered serum insulin and glucose levels (Ghosh et al. 2002).</w:t>
      </w:r>
    </w:p>
    <w:p w:rsidR="006D4092" w:rsidRDefault="00A16AF7" w:rsidP="00F16618">
      <w:r w:rsidRPr="00F16618">
        <w:t xml:space="preserve">Cr is used in the formation of </w:t>
      </w:r>
      <w:proofErr w:type="spellStart"/>
      <w:r w:rsidRPr="00F16618">
        <w:t>chromodulin</w:t>
      </w:r>
      <w:proofErr w:type="spellEnd"/>
      <w:r w:rsidRPr="00F16618">
        <w:t xml:space="preserve"> (originally termed low-molecular-weight Cr-binding substance) which may be involved in lipid metabolism.</w:t>
      </w:r>
    </w:p>
    <w:p w:rsidR="00A16AF7" w:rsidRPr="00F16618" w:rsidRDefault="00A16AF7" w:rsidP="00F16618">
      <w:pPr>
        <w:ind w:left="720"/>
        <w:rPr>
          <w:i/>
        </w:rPr>
      </w:pPr>
      <w:r w:rsidRPr="00F16618">
        <w:rPr>
          <w:i/>
        </w:rPr>
        <w:lastRenderedPageBreak/>
        <w:t xml:space="preserve">Comment: Much of this is from </w:t>
      </w:r>
      <w:proofErr w:type="gramStart"/>
      <w:r w:rsidRPr="00F16618">
        <w:rPr>
          <w:i/>
        </w:rPr>
        <w:t>Recent</w:t>
      </w:r>
      <w:proofErr w:type="gramEnd"/>
      <w:r w:rsidRPr="00F16618">
        <w:rPr>
          <w:i/>
        </w:rPr>
        <w:t xml:space="preserve"> advances in the nutritional biochemistry of trivalent chromium J. B. Vincent Proceedings of the Nutrition Society (2004). 63. 41.</w:t>
      </w:r>
    </w:p>
    <w:p w:rsidR="006D4092" w:rsidRDefault="00A16AF7" w:rsidP="00F16618">
      <w:r w:rsidRPr="00F16618">
        <w:t>His conclusion states:</w:t>
      </w:r>
    </w:p>
    <w:p w:rsidR="00A16AF7" w:rsidRPr="00F16618" w:rsidRDefault="00A16AF7" w:rsidP="00F16618">
      <w:r w:rsidRPr="00F16618">
        <w:t xml:space="preserve">The daily requirement for human subjects is small, i.e. approximately 30mcg, such that it is difficult for healthy individuals to develop Cr deficiency. Thus, the use of Cr supplements is probably unnecessary for the general public. However, the use of certain Cr supplements, such as </w:t>
      </w:r>
      <w:proofErr w:type="gramStart"/>
      <w:r w:rsidRPr="00F16618">
        <w:t>Cr(</w:t>
      </w:r>
      <w:proofErr w:type="gramEnd"/>
      <w:r w:rsidRPr="00F16618">
        <w:t xml:space="preserve">pic)3, (Chromium </w:t>
      </w:r>
      <w:proofErr w:type="spellStart"/>
      <w:r w:rsidRPr="00F16618">
        <w:t>picolinate</w:t>
      </w:r>
      <w:proofErr w:type="spellEnd"/>
      <w:r w:rsidRPr="00F16618">
        <w:t>) is probably harmful.</w:t>
      </w:r>
    </w:p>
    <w:p w:rsidR="00A16AF7" w:rsidRPr="00F16618" w:rsidRDefault="00A16AF7" w:rsidP="00F16618">
      <w:pPr>
        <w:pStyle w:val="ListBullet"/>
      </w:pPr>
      <w:r w:rsidRPr="00F16618">
        <w:t>S. Jacobson and P.-O. Wester (1977). Balance study of twenty trace elements during total parenteral nutrition in man.</w:t>
      </w:r>
      <w:r w:rsidR="00B6173B">
        <w:rPr>
          <w:rStyle w:val="FootnoteReference"/>
        </w:rPr>
        <w:footnoteReference w:id="4"/>
      </w:r>
      <w:r w:rsidR="00D62B76">
        <w:t xml:space="preserve"> </w:t>
      </w:r>
      <w:r w:rsidRPr="00F16618">
        <w:t>From 4 male patients over 5 days they recommended 0.05mg/day.</w:t>
      </w:r>
    </w:p>
    <w:p w:rsidR="00A16AF7" w:rsidRPr="00F16618" w:rsidRDefault="00A16AF7" w:rsidP="00F16618">
      <w:pPr>
        <w:pStyle w:val="ListBullet"/>
      </w:pPr>
      <w:r w:rsidRPr="00F16618">
        <w:t xml:space="preserve">Phillips &amp; </w:t>
      </w:r>
      <w:proofErr w:type="spellStart"/>
      <w:r w:rsidRPr="00F16618">
        <w:t>Garnys</w:t>
      </w:r>
      <w:proofErr w:type="spellEnd"/>
      <w:r w:rsidRPr="00F16618">
        <w:t>. (1981) Trace Element Balance in Adults Receiving Parenteral Nutrition: Preliminary Data</w:t>
      </w:r>
      <w:r w:rsidR="00B6173B">
        <w:rPr>
          <w:rStyle w:val="FootnoteReference"/>
        </w:rPr>
        <w:footnoteReference w:id="5"/>
      </w:r>
      <w:r w:rsidRPr="00F16618">
        <w:t xml:space="preserve"> looked at 3 patients. Cr and Se were not given, except as contaminants, and there were negative balances of these elements in all 3 patients. They found In order to avoid the problems of fixed formulae trace element mixtures, it would be more reasonable to use single solutions, as recommended by an Expert Panel.</w:t>
      </w:r>
    </w:p>
    <w:p w:rsidR="00A16AF7" w:rsidRPr="00F16618" w:rsidRDefault="00A16AF7" w:rsidP="00065D4B">
      <w:pPr>
        <w:pStyle w:val="ListBullet"/>
      </w:pPr>
      <w:r w:rsidRPr="00F16618">
        <w:t xml:space="preserve">Phillips &amp; </w:t>
      </w:r>
      <w:proofErr w:type="spellStart"/>
      <w:r w:rsidRPr="00F16618">
        <w:t>Garnys</w:t>
      </w:r>
      <w:proofErr w:type="spellEnd"/>
      <w:r w:rsidRPr="00F16618">
        <w:t>. (1981) Parenteral Administration of Trace Elements to Critically III Patients</w:t>
      </w:r>
      <w:r w:rsidR="00B6173B">
        <w:rPr>
          <w:rStyle w:val="FootnoteReference"/>
        </w:rPr>
        <w:footnoteReference w:id="6"/>
      </w:r>
      <w:r w:rsidRPr="00F16618">
        <w:t xml:space="preserve"> in balance studies on 8 patients found for chromium an input of up to 100mcg/day resulted in zero or negative balances in all patients.</w:t>
      </w:r>
    </w:p>
    <w:p w:rsidR="00A16AF7" w:rsidRPr="00F16618" w:rsidRDefault="00A16AF7" w:rsidP="00F16618">
      <w:r w:rsidRPr="00F16618">
        <w:t>Some studies found that over time serum chromium rose when added to the infusion.</w:t>
      </w:r>
    </w:p>
    <w:p w:rsidR="006D4092" w:rsidRDefault="00A16AF7" w:rsidP="00F16618">
      <w:pPr>
        <w:pStyle w:val="ListBullet"/>
      </w:pPr>
      <w:proofErr w:type="spellStart"/>
      <w:r w:rsidRPr="00F16618">
        <w:t>Btaiche</w:t>
      </w:r>
      <w:proofErr w:type="spellEnd"/>
      <w:r w:rsidRPr="00F16618">
        <w:t xml:space="preserve"> et al (2011) Dosing and Monitoring of Trace Elements in Long-Term Home PN</w:t>
      </w:r>
      <w:r w:rsidR="00B6173B">
        <w:rPr>
          <w:rStyle w:val="FootnoteReference"/>
        </w:rPr>
        <w:footnoteReference w:id="7"/>
      </w:r>
      <w:r w:rsidRPr="00F16618">
        <w:t xml:space="preserve"> </w:t>
      </w:r>
      <w:proofErr w:type="gramStart"/>
      <w:r w:rsidRPr="00F16618">
        <w:t>A</w:t>
      </w:r>
      <w:proofErr w:type="gramEnd"/>
      <w:r w:rsidRPr="00F16618">
        <w:t xml:space="preserve"> retrospective analysis of results. The mean daily chromium dose to 26 patients was 9.33 ± 0.42mcg.</w:t>
      </w:r>
    </w:p>
    <w:p w:rsidR="00A16AF7" w:rsidRPr="00F16618" w:rsidRDefault="00A16AF7" w:rsidP="00F16618">
      <w:r w:rsidRPr="00F16618">
        <w:t xml:space="preserve">Eight patients had chromium supplementation withheld in their PN in response to elevated serum chromium concentrations. “Although trace elements supplements are relatively safe, identifying the exact trace elements requirements in PN is challenged by the poor correlation of serum trace elements concentrations with tissue trace elements stores and the presence of underlying clinical </w:t>
      </w:r>
      <w:r w:rsidR="00B6173B">
        <w:t>conditions that variably affect</w:t>
      </w:r>
      <w:r w:rsidRPr="00F16618">
        <w:t xml:space="preserve"> trace elements balance.”</w:t>
      </w:r>
    </w:p>
    <w:p w:rsidR="00A16AF7" w:rsidRPr="00F16618" w:rsidRDefault="00A16AF7" w:rsidP="00B6173B">
      <w:pPr>
        <w:pStyle w:val="ListBullet"/>
      </w:pPr>
      <w:r w:rsidRPr="00F16618">
        <w:t xml:space="preserve">Howard </w:t>
      </w:r>
      <w:r w:rsidR="00B6173B">
        <w:t>et al (</w:t>
      </w:r>
      <w:r w:rsidRPr="00F16618">
        <w:t>2007) Autopsy Tissue Trace Elements in 8 Long-Term Parenteral Nutrition Patients Who Received the Current U.S. Food and Drug Administration Formulation</w:t>
      </w:r>
      <w:r w:rsidR="007C1C9A">
        <w:rPr>
          <w:rStyle w:val="FootnoteReference"/>
        </w:rPr>
        <w:footnoteReference w:id="8"/>
      </w:r>
      <w:r w:rsidRPr="00F16618">
        <w:t xml:space="preserve"> While measuring plasma or serum trace element levels may indicate deficiency or excess in patients not receiving a trace element infusion, balance studies have shown that plasma or serum values are not reliable indicators of body stores or nutrient adequacy in patients receiving daily trace element infusions. Chromium had a 10- to 100-fold higher than normal concentrations in nearly all tissues studied.</w:t>
      </w:r>
    </w:p>
    <w:p w:rsidR="006D4092" w:rsidRDefault="00A16AF7" w:rsidP="00F16618">
      <w:r w:rsidRPr="00F16618">
        <w:t>Deficiency on TPN</w:t>
      </w:r>
    </w:p>
    <w:p w:rsidR="00A16AF7" w:rsidRPr="00F16618" w:rsidRDefault="00A16AF7" w:rsidP="00B6173B">
      <w:pPr>
        <w:pStyle w:val="ListBullet"/>
      </w:pPr>
      <w:proofErr w:type="spellStart"/>
      <w:r w:rsidRPr="00F16618">
        <w:t>Jeejeebhoy</w:t>
      </w:r>
      <w:proofErr w:type="spellEnd"/>
      <w:r w:rsidRPr="00F16618">
        <w:t xml:space="preserve"> et al (1977)</w:t>
      </w:r>
      <w:r w:rsidR="00B6173B">
        <w:t xml:space="preserve"> </w:t>
      </w:r>
      <w:r w:rsidRPr="00F16618">
        <w:t>Chromium deficiency, glucose intolerance, and neuropathy reversed by chromium supplementation, in a patient receiving long-term total parenteral nutrition</w:t>
      </w:r>
      <w:r w:rsidR="007C1C9A">
        <w:rPr>
          <w:rStyle w:val="FootnoteReference"/>
        </w:rPr>
        <w:footnoteReference w:id="9"/>
      </w:r>
      <w:r w:rsidRPr="00F16618">
        <w:t xml:space="preserve"> who responded to chromium found that it “suggests that it is an essential trace element in human nutrition and should be included in any regimen for TPN. The optimum amounts are as yet undetermined but preliminary studies in this patient suggest that it may approximate 20mcg/day.”</w:t>
      </w:r>
    </w:p>
    <w:p w:rsidR="006D4092" w:rsidRDefault="00A16AF7" w:rsidP="00F82A28">
      <w:pPr>
        <w:pStyle w:val="Heading4"/>
      </w:pPr>
      <w:bookmarkStart w:id="62" w:name="_Toc434236175"/>
      <w:r>
        <w:lastRenderedPageBreak/>
        <w:t>Copper</w:t>
      </w:r>
      <w:bookmarkEnd w:id="62"/>
    </w:p>
    <w:p w:rsidR="00A16AF7" w:rsidRPr="00E97EEE" w:rsidRDefault="00A16AF7" w:rsidP="00E97EEE">
      <w:r w:rsidRPr="00E97EEE">
        <w:t xml:space="preserve">There is a registered IV product containing cupric chloride </w:t>
      </w:r>
      <w:proofErr w:type="spellStart"/>
      <w:r w:rsidRPr="00E97EEE">
        <w:t>dihydrate</w:t>
      </w:r>
      <w:proofErr w:type="spellEnd"/>
      <w:r w:rsidRPr="00E97EEE">
        <w:t xml:space="preserve"> 2.8mg/5mL, the proposed dose is 0.38mg/10mL.</w:t>
      </w:r>
    </w:p>
    <w:p w:rsidR="00A16AF7" w:rsidRPr="00E97EEE" w:rsidRDefault="00A16AF7" w:rsidP="00E97EEE">
      <w:r w:rsidRPr="00E97EEE">
        <w:t>The recommended dose of coppe</w:t>
      </w:r>
      <w:r w:rsidR="002039C2">
        <w:t xml:space="preserve">r in adult parenteral multiple </w:t>
      </w:r>
      <w:r w:rsidRPr="00E97EEE">
        <w:t>trace elements products should be lowered to 0.3–0.5mg/d.</w:t>
      </w:r>
      <w:r w:rsidR="00E97EEE">
        <w:rPr>
          <w:rStyle w:val="FootnoteReference"/>
        </w:rPr>
        <w:footnoteReference w:id="10"/>
      </w:r>
    </w:p>
    <w:p w:rsidR="00A16AF7" w:rsidRPr="00E97EEE" w:rsidRDefault="00A16AF7" w:rsidP="00E97EEE">
      <w:r w:rsidRPr="00E97EEE">
        <w:t xml:space="preserve">Copper </w:t>
      </w:r>
      <w:proofErr w:type="spellStart"/>
      <w:r w:rsidRPr="00E97EEE">
        <w:t>metalloenzymes</w:t>
      </w:r>
      <w:proofErr w:type="spellEnd"/>
      <w:r w:rsidRPr="00E97EEE">
        <w:t xml:space="preserve"> act as oxidases and reduce molecular oxygen, they include amine oxidases (important in histamine and serotonin metabolism), </w:t>
      </w:r>
      <w:proofErr w:type="spellStart"/>
      <w:r w:rsidRPr="00E97EEE">
        <w:t>lysyl</w:t>
      </w:r>
      <w:proofErr w:type="spellEnd"/>
      <w:r w:rsidRPr="00E97EEE">
        <w:t xml:space="preserve"> oxidase (needed for cross-linking of elastin and collagen), </w:t>
      </w:r>
      <w:proofErr w:type="spellStart"/>
      <w:r w:rsidRPr="00E97EEE">
        <w:t>ferroxidase</w:t>
      </w:r>
      <w:proofErr w:type="spellEnd"/>
      <w:r w:rsidRPr="00E97EEE">
        <w:t xml:space="preserve"> (important in iron metabolism), and cytoplasmic superoxide dismutase (a part of the antioxidant defences of the body. The clinical effects of deficiency are therefore largely a result of the impaired iron metabolism, leading to anaemia, and impaired elastin and collagen function.</w:t>
      </w:r>
    </w:p>
    <w:p w:rsidR="006D4092" w:rsidRDefault="00A16AF7" w:rsidP="00E97EEE">
      <w:r w:rsidRPr="00F82A28">
        <w:t>It is likely that copper accumulates as a result of liver disease but it is also possible that hepatic copper overload enhances the liver damage.</w:t>
      </w:r>
    </w:p>
    <w:p w:rsidR="00A16AF7" w:rsidRPr="00F82A28" w:rsidRDefault="00A16AF7" w:rsidP="00F82A28">
      <w:pPr>
        <w:pStyle w:val="ListBullet"/>
      </w:pPr>
      <w:r w:rsidRPr="00F82A28">
        <w:t>Jacobson and Wester (1977) Balance study of twenty trace elements during total parenteral nutrition in man recommended 0.1mg/day</w:t>
      </w:r>
      <w:r w:rsidRPr="00F82A28">
        <w:rPr>
          <w:rStyle w:val="FootnoteReference"/>
        </w:rPr>
        <w:footnoteReference w:id="11"/>
      </w:r>
      <w:r w:rsidRPr="00F82A28">
        <w:t xml:space="preserve"> for a 70 kg man.</w:t>
      </w:r>
    </w:p>
    <w:p w:rsidR="00A16AF7" w:rsidRPr="00F82A28" w:rsidRDefault="00A16AF7" w:rsidP="00F82A28">
      <w:pPr>
        <w:pStyle w:val="ListBullet"/>
      </w:pPr>
      <w:r w:rsidRPr="00F82A28">
        <w:t xml:space="preserve">Phillips &amp; </w:t>
      </w:r>
      <w:proofErr w:type="spellStart"/>
      <w:r w:rsidRPr="00F82A28">
        <w:t>Garnys</w:t>
      </w:r>
      <w:proofErr w:type="spellEnd"/>
      <w:r w:rsidRPr="00F82A28">
        <w:t>. (1981) Parenteral Administration of Trace Elements to Critically III Patients</w:t>
      </w:r>
      <w:r w:rsidRPr="00F82A28">
        <w:rPr>
          <w:vertAlign w:val="superscript"/>
        </w:rPr>
        <w:footnoteReference w:id="12"/>
      </w:r>
      <w:r w:rsidRPr="00F82A28">
        <w:t xml:space="preserve"> found “0.3-0.8 mg/ day resulted in positive balances in all but two patients, suggesting that the lower limit of the AMA recommended doses (0.5mg/day) is a reasonable figure. Serum copper levels increased in all but one patient.”</w:t>
      </w:r>
    </w:p>
    <w:p w:rsidR="00A16AF7" w:rsidRPr="00F82A28" w:rsidRDefault="00A16AF7" w:rsidP="00F82A28">
      <w:pPr>
        <w:pStyle w:val="ListBullet"/>
      </w:pPr>
      <w:proofErr w:type="spellStart"/>
      <w:r w:rsidRPr="00F82A28">
        <w:t>Shike</w:t>
      </w:r>
      <w:proofErr w:type="spellEnd"/>
      <w:r w:rsidRPr="00F82A28">
        <w:t xml:space="preserve"> et al (1981) Copper Metabolism and Requirements in Total Parenteral Nutrition</w:t>
      </w:r>
      <w:r w:rsidRPr="00F82A28">
        <w:rPr>
          <w:rStyle w:val="FootnoteReference"/>
        </w:rPr>
        <w:footnoteReference w:id="13"/>
      </w:r>
      <w:r w:rsidRPr="00F82A28">
        <w:t xml:space="preserve"> found “The amount of copper required to achieve balance in adult patients maintained on TPN amounts to 0.30 mg/ day. In the presence of diarrhoea or excessive fluid losses through gastrointestinal stomas or fistulas, this amount has to be increased to 0.40-0.50 mg/day. In patients with abnormalities of the liver excretory system, the amount of infused copper has to be decreased by about 0.15 mg/ day.” And “The presence of trace elements as contaminants in the TPN solutions constitutes a problem.”</w:t>
      </w:r>
    </w:p>
    <w:p w:rsidR="006D4092" w:rsidRDefault="00A16AF7" w:rsidP="00F82A28">
      <w:pPr>
        <w:pStyle w:val="ListBullet"/>
      </w:pPr>
      <w:proofErr w:type="spellStart"/>
      <w:r w:rsidRPr="00F82A28">
        <w:t>Shenkin</w:t>
      </w:r>
      <w:proofErr w:type="spellEnd"/>
      <w:r w:rsidRPr="00F82A28">
        <w:t xml:space="preserve"> et al (1987) Maintenance of Vitamin and Trace Element Status in Intravenous Nutrition using a Complete Nutritive Mixture</w:t>
      </w:r>
      <w:r w:rsidRPr="00F82A28">
        <w:rPr>
          <w:rStyle w:val="FootnoteReference"/>
        </w:rPr>
        <w:footnoteReference w:id="14"/>
      </w:r>
      <w:r w:rsidRPr="00F82A28">
        <w:t xml:space="preserve"> serum copper rose progressively over up to 25 days of </w:t>
      </w:r>
      <w:proofErr w:type="spellStart"/>
      <w:r w:rsidRPr="00F82A28">
        <w:t>Adamel</w:t>
      </w:r>
      <w:proofErr w:type="spellEnd"/>
      <w:r w:rsidRPr="00F82A28">
        <w:t xml:space="preserve"> N.</w:t>
      </w:r>
    </w:p>
    <w:p w:rsidR="00A16AF7" w:rsidRPr="00F82A28" w:rsidRDefault="00A16AF7" w:rsidP="00F82A28">
      <w:pPr>
        <w:pStyle w:val="ListBullet"/>
      </w:pPr>
      <w:proofErr w:type="spellStart"/>
      <w:r w:rsidRPr="00F82A28">
        <w:t>Btaiche</w:t>
      </w:r>
      <w:proofErr w:type="spellEnd"/>
      <w:r w:rsidRPr="00F82A28">
        <w:t xml:space="preserve"> et al (2011) Dosing and Monitoring of Trace Elements in Long-Term Home Parenteral Nutrition Patients</w:t>
      </w:r>
      <w:r w:rsidRPr="00F82A28">
        <w:rPr>
          <w:rStyle w:val="FootnoteReference"/>
        </w:rPr>
        <w:footnoteReference w:id="15"/>
      </w:r>
      <w:r w:rsidR="002039C2">
        <w:t xml:space="preserve"> had a mean daily copper dose </w:t>
      </w:r>
      <w:r w:rsidRPr="00F82A28">
        <w:t xml:space="preserve">0.99 ± 0.03mg. The mean serum copper concentration was </w:t>
      </w:r>
      <w:proofErr w:type="gramStart"/>
      <w:r w:rsidRPr="00F82A28">
        <w:t>1.25 ± 0.20mcg/</w:t>
      </w:r>
      <w:proofErr w:type="spellStart"/>
      <w:r w:rsidRPr="00F82A28">
        <w:t>mL</w:t>
      </w:r>
      <w:proofErr w:type="gramEnd"/>
      <w:r w:rsidRPr="00F82A28">
        <w:t>.</w:t>
      </w:r>
      <w:proofErr w:type="spellEnd"/>
      <w:r w:rsidRPr="00F82A28">
        <w:t xml:space="preserve"> Of 40 serum copper concentrations measured, 31 (77.5%) were within and 9 (22.5%) above the reference range. “Study results show that the average daily copper dose far exceeded A.S.P.E.N.’s </w:t>
      </w:r>
      <w:proofErr w:type="gramStart"/>
      <w:r w:rsidRPr="00F82A28">
        <w:t>guidelines,</w:t>
      </w:r>
      <w:proofErr w:type="gramEnd"/>
      <w:r w:rsidRPr="00F82A28">
        <w:t xml:space="preserve"> and most (95.5%) of the doses were above the recommended dosing range. Serum copper concentrations were maintained within the normal range in 77.5% of cases, with the remaining serum concentrations above normal levels.”</w:t>
      </w:r>
    </w:p>
    <w:p w:rsidR="00A16AF7" w:rsidRPr="00F82A28" w:rsidRDefault="00A16AF7" w:rsidP="00F82A28">
      <w:pPr>
        <w:pStyle w:val="ListBullet"/>
      </w:pPr>
      <w:r w:rsidRPr="00F82A28">
        <w:t>Davis et al (1987) Plasma Vitamin and Mineral Status in Home Parenteral Nutrition Patients</w:t>
      </w:r>
      <w:r w:rsidRPr="00F82A28">
        <w:rPr>
          <w:rStyle w:val="FootnoteReference"/>
        </w:rPr>
        <w:footnoteReference w:id="16"/>
      </w:r>
      <w:r w:rsidRPr="00F82A28">
        <w:t xml:space="preserve"> used 1mg/day: “Patient values were at the upward end of the normal range, and </w:t>
      </w:r>
      <w:r w:rsidRPr="00F82A28">
        <w:lastRenderedPageBreak/>
        <w:t>frequently exceeded this range. Mean patient values ranged from 1.35 ± 0.25mcg/mL in September to 1.79 ± 0.33mcg/mL in April.”</w:t>
      </w:r>
    </w:p>
    <w:p w:rsidR="00A16AF7" w:rsidRPr="00F82A28" w:rsidRDefault="00A16AF7" w:rsidP="00F82A28">
      <w:pPr>
        <w:spacing w:before="20"/>
      </w:pPr>
      <w:r w:rsidRPr="00F82A28">
        <w:t>There were multiple other reports of Cu being added to TPN.</w:t>
      </w:r>
    </w:p>
    <w:p w:rsidR="00A16AF7" w:rsidRPr="00F82A28" w:rsidRDefault="00A16AF7" w:rsidP="00F82A28">
      <w:pPr>
        <w:pStyle w:val="ListBullet"/>
      </w:pPr>
      <w:r w:rsidRPr="00F82A28">
        <w:t>Howard et al (2007) Autopsy Tissue Trace Elements in 8 Long-Term Parenteral Nutrition Patients Who Received the Current U.S. Food and Drug Administration Formulation.</w:t>
      </w:r>
      <w:r w:rsidRPr="00F82A28">
        <w:rPr>
          <w:rStyle w:val="FootnoteReference"/>
        </w:rPr>
        <w:footnoteReference w:id="17"/>
      </w:r>
      <w:r w:rsidRPr="00F82A28">
        <w:t xml:space="preserve"> With 1.4mg of copper added/day to 8 patients whose average duration on HPN was 14 years (range, 2–21 years) “Copper was present at normal concentrations in heart and skeletal muscle in all patients but very elevated in liver and kidney, especially in those who died in liver failure.”</w:t>
      </w:r>
    </w:p>
    <w:p w:rsidR="006D4092" w:rsidRDefault="00A16AF7" w:rsidP="00F82A28">
      <w:pPr>
        <w:spacing w:before="20"/>
      </w:pPr>
      <w:r w:rsidRPr="00F82A28">
        <w:t>Deficiency on TPN</w:t>
      </w:r>
    </w:p>
    <w:p w:rsidR="00A16AF7" w:rsidRPr="00F82A28" w:rsidRDefault="00A16AF7" w:rsidP="00F82A28">
      <w:pPr>
        <w:pStyle w:val="ListBullet"/>
      </w:pPr>
      <w:r w:rsidRPr="00F82A28">
        <w:t>There are multiple case reports of deficiency on copper free TPN with resulting symptom response to copper.</w:t>
      </w:r>
    </w:p>
    <w:p w:rsidR="00A16AF7" w:rsidRPr="00F82A28" w:rsidRDefault="00A16AF7" w:rsidP="00F82A28">
      <w:pPr>
        <w:pStyle w:val="ListBullet"/>
      </w:pPr>
      <w:r w:rsidRPr="00F82A28">
        <w:t>The main signs and symptoms of copper deficiency reported in adults have been hypochromic anaemia, neutropenia or pancytopenia. One case showed the reversibility of the symptoms when copper was removed from the intravenous regimen and subsequently reintroduced (Fuhrman et al 2000</w:t>
      </w:r>
      <w:r w:rsidRPr="00F82A28">
        <w:rPr>
          <w:rStyle w:val="FootnoteReference"/>
        </w:rPr>
        <w:footnoteReference w:id="18"/>
      </w:r>
      <w:r w:rsidRPr="00F82A28">
        <w:t>).</w:t>
      </w:r>
    </w:p>
    <w:p w:rsidR="00A16AF7" w:rsidRDefault="00A16AF7" w:rsidP="00A16AF7">
      <w:pPr>
        <w:pStyle w:val="Heading4"/>
        <w:spacing w:before="20"/>
      </w:pPr>
      <w:bookmarkStart w:id="63" w:name="_Toc434236176"/>
      <w:r w:rsidRPr="00635E89">
        <w:t>Fluoride</w:t>
      </w:r>
      <w:bookmarkEnd w:id="63"/>
    </w:p>
    <w:p w:rsidR="00A16AF7" w:rsidRPr="00A16AF7" w:rsidRDefault="00A16AF7" w:rsidP="00F82A28">
      <w:pPr>
        <w:spacing w:before="20"/>
      </w:pPr>
      <w:r w:rsidRPr="00A16AF7">
        <w:t>There is no registered IV product containing fluoride, proposed dosage is 0.95mg/10mL.</w:t>
      </w:r>
    </w:p>
    <w:p w:rsidR="00F82A28" w:rsidRPr="00F82A28" w:rsidRDefault="00A16AF7" w:rsidP="00F82A28">
      <w:pPr>
        <w:ind w:left="720"/>
        <w:rPr>
          <w:i/>
        </w:rPr>
      </w:pPr>
      <w:r w:rsidRPr="00F82A28">
        <w:rPr>
          <w:i/>
        </w:rPr>
        <w:t>The evidence for fluoride req</w:t>
      </w:r>
      <w:r w:rsidR="00F82A28" w:rsidRPr="00F82A28">
        <w:rPr>
          <w:i/>
        </w:rPr>
        <w:t>uirement during PN is sparse.</w:t>
      </w:r>
    </w:p>
    <w:p w:rsidR="00A16AF7" w:rsidRPr="00F82A28" w:rsidRDefault="00A16AF7" w:rsidP="00F82A28">
      <w:pPr>
        <w:ind w:left="720"/>
        <w:rPr>
          <w:i/>
        </w:rPr>
      </w:pPr>
      <w:r w:rsidRPr="00F82A28">
        <w:rPr>
          <w:i/>
        </w:rPr>
        <w:t>This level (1mg/day) of intravenous intake has therefore been used for nearly 40 years in Europe with n</w:t>
      </w:r>
      <w:r w:rsidR="00F82A28" w:rsidRPr="00F82A28">
        <w:rPr>
          <w:i/>
        </w:rPr>
        <w:t>o reports of any safety issues.</w:t>
      </w:r>
    </w:p>
    <w:p w:rsidR="006D4092" w:rsidRDefault="00A16AF7" w:rsidP="00F82A28">
      <w:pPr>
        <w:spacing w:before="20"/>
      </w:pPr>
      <w:r w:rsidRPr="00A16AF7">
        <w:t>With a proposed daily dose of 10mL the daily dose of sodium fl</w:t>
      </w:r>
      <w:r w:rsidR="00741FFE">
        <w:t>uoride provides 0.95mg fluoride</w:t>
      </w:r>
      <w:r w:rsidRPr="00A16AF7">
        <w:rPr>
          <w:vertAlign w:val="superscript"/>
        </w:rPr>
        <w:footnoteReference w:id="19"/>
      </w:r>
      <w:r w:rsidRPr="00A16AF7">
        <w:t xml:space="preserve"> as F</w:t>
      </w:r>
      <w:r w:rsidRPr="00A16AF7">
        <w:rPr>
          <w:vertAlign w:val="superscript"/>
        </w:rPr>
        <w:t>-</w:t>
      </w:r>
      <w:r w:rsidRPr="00A16AF7">
        <w:t>.</w:t>
      </w:r>
    </w:p>
    <w:p w:rsidR="00A16AF7" w:rsidRPr="00F82A28" w:rsidRDefault="00A16AF7" w:rsidP="00F82A28">
      <w:r w:rsidRPr="00F82A28">
        <w:t>The reference provided in relation to fluoride requirements has these comments:</w:t>
      </w:r>
    </w:p>
    <w:p w:rsidR="00A16AF7" w:rsidRPr="00F82A28" w:rsidRDefault="00A16AF7" w:rsidP="00F82A28">
      <w:pPr>
        <w:ind w:left="720"/>
        <w:rPr>
          <w:i/>
        </w:rPr>
      </w:pPr>
      <w:r w:rsidRPr="00F82A28">
        <w:rPr>
          <w:i/>
        </w:rPr>
        <w:t xml:space="preserve">Body fluid and tissue fluoride concentrations are proportional to the long-term level of intake; they are not </w:t>
      </w:r>
      <w:proofErr w:type="spellStart"/>
      <w:r w:rsidRPr="00F82A28">
        <w:rPr>
          <w:i/>
        </w:rPr>
        <w:t>homeostatically</w:t>
      </w:r>
      <w:proofErr w:type="spellEnd"/>
      <w:r w:rsidRPr="00F82A28">
        <w:rPr>
          <w:i/>
        </w:rPr>
        <w:t xml:space="preserve"> regulated.</w:t>
      </w:r>
    </w:p>
    <w:p w:rsidR="00A16AF7" w:rsidRPr="00F82A28" w:rsidRDefault="00A16AF7" w:rsidP="00F82A28">
      <w:pPr>
        <w:ind w:left="720"/>
        <w:rPr>
          <w:i/>
        </w:rPr>
      </w:pPr>
      <w:r w:rsidRPr="00F82A28">
        <w:rPr>
          <w:i/>
        </w:rPr>
        <w:t>Fluoride in bone appears to exist in both a rapidly exchangeable pool and a slowly exchangeable pool.</w:t>
      </w:r>
    </w:p>
    <w:p w:rsidR="00A16AF7" w:rsidRPr="00F82A28" w:rsidRDefault="00A16AF7" w:rsidP="00F82A28">
      <w:pPr>
        <w:ind w:left="720"/>
        <w:rPr>
          <w:i/>
        </w:rPr>
      </w:pPr>
      <w:r w:rsidRPr="00F82A28">
        <w:rPr>
          <w:i/>
        </w:rPr>
        <w:t>At this time, therefore: the use of balance data to estimate an adequate Intake of fluoride is not warranted</w:t>
      </w:r>
    </w:p>
    <w:p w:rsidR="00A16AF7" w:rsidRPr="00F82A28" w:rsidRDefault="00A16AF7" w:rsidP="00F82A28">
      <w:pPr>
        <w:ind w:left="720"/>
        <w:rPr>
          <w:i/>
        </w:rPr>
      </w:pPr>
      <w:r w:rsidRPr="00F82A28">
        <w:rPr>
          <w:i/>
        </w:rPr>
        <w:t>Because data are not available to determine an Estimated Average Requirement (EAR), the reference value that will be used for fluoride is the Adequate Intake (AI). The AI is based on estimated intakes that have been shown to reduce the occurrence of dental caries maximally in a population without causing unwanted side effects including moderate dental fluorosis.</w:t>
      </w:r>
    </w:p>
    <w:p w:rsidR="00A16AF7" w:rsidRPr="00F82A28" w:rsidRDefault="00A16AF7" w:rsidP="00F82A28">
      <w:pPr>
        <w:ind w:left="720"/>
        <w:rPr>
          <w:i/>
        </w:rPr>
      </w:pPr>
      <w:proofErr w:type="gramStart"/>
      <w:r w:rsidRPr="00F82A28">
        <w:rPr>
          <w:i/>
        </w:rPr>
        <w:t>AI for Males ≥ 19 years and over 4mg/day.</w:t>
      </w:r>
      <w:proofErr w:type="gramEnd"/>
    </w:p>
    <w:p w:rsidR="00A16AF7" w:rsidRPr="00F82A28" w:rsidRDefault="00A16AF7" w:rsidP="00F82A28">
      <w:pPr>
        <w:ind w:left="720"/>
        <w:rPr>
          <w:i/>
        </w:rPr>
      </w:pPr>
      <w:proofErr w:type="gramStart"/>
      <w:r w:rsidRPr="00F82A28">
        <w:rPr>
          <w:i/>
        </w:rPr>
        <w:t>AI for Females ≥ 19 years and Pregnancy 3mg/day.</w:t>
      </w:r>
      <w:proofErr w:type="gramEnd"/>
    </w:p>
    <w:p w:rsidR="00A16AF7" w:rsidRPr="00F82A28" w:rsidRDefault="00A16AF7" w:rsidP="00F82A28">
      <w:pPr>
        <w:ind w:left="720"/>
        <w:rPr>
          <w:i/>
        </w:rPr>
      </w:pPr>
      <w:r w:rsidRPr="00F82A28">
        <w:rPr>
          <w:i/>
        </w:rPr>
        <w:t>The risk of developing early signs of skeletal fluorosis is associated with a fluoride intake greater than 10mg/day for 10 or more years. Therefore, a Tolerable Upper Intake Level (UL) of 10mg/day was established for children older than 8 years and for adults.</w:t>
      </w:r>
    </w:p>
    <w:p w:rsidR="00A16AF7" w:rsidRPr="00F82A28" w:rsidRDefault="00A16AF7" w:rsidP="00F82A28">
      <w:pPr>
        <w:ind w:left="720"/>
      </w:pPr>
      <w:r w:rsidRPr="00F82A28">
        <w:rPr>
          <w:i/>
        </w:rPr>
        <w:lastRenderedPageBreak/>
        <w:t xml:space="preserve">In the absence of high dietary concentrations of calcium and certain other </w:t>
      </w:r>
      <w:proofErr w:type="spellStart"/>
      <w:r w:rsidRPr="00F82A28">
        <w:rPr>
          <w:i/>
        </w:rPr>
        <w:t>cations</w:t>
      </w:r>
      <w:proofErr w:type="spellEnd"/>
      <w:r w:rsidRPr="00F82A28">
        <w:rPr>
          <w:i/>
        </w:rPr>
        <w:t xml:space="preserve"> with which fluoride may form insoluble and poorly absorbed compounds, 80 percent or more is typically absorbed.</w:t>
      </w:r>
    </w:p>
    <w:p w:rsidR="00A16AF7" w:rsidRPr="00741FFE" w:rsidRDefault="00A16AF7" w:rsidP="00741FFE">
      <w:r w:rsidRPr="00741FFE">
        <w:t>The following is from the Clinical Overview:</w:t>
      </w:r>
    </w:p>
    <w:p w:rsidR="00A16AF7" w:rsidRPr="00741FFE" w:rsidRDefault="00A16AF7" w:rsidP="00741FFE">
      <w:pPr>
        <w:ind w:left="720"/>
        <w:rPr>
          <w:i/>
        </w:rPr>
      </w:pPr>
      <w:r w:rsidRPr="00741FFE">
        <w:rPr>
          <w:i/>
        </w:rPr>
        <w:t xml:space="preserve">As well as the dental effect fluoride also has the unique ability to stimulate new bone formation. In bone it appears to exist in both a rapidly exchangeable pool and a slowly exchangeable pool. The former is located in the hydration shells on bone crystallites, where fluoride may be exchanged </w:t>
      </w:r>
      <w:proofErr w:type="spellStart"/>
      <w:r w:rsidRPr="00741FFE">
        <w:rPr>
          <w:i/>
        </w:rPr>
        <w:t>iso-ionically</w:t>
      </w:r>
      <w:proofErr w:type="spellEnd"/>
      <w:r w:rsidRPr="00741FFE">
        <w:rPr>
          <w:i/>
        </w:rPr>
        <w:t xml:space="preserve"> or hetero-</w:t>
      </w:r>
      <w:proofErr w:type="spellStart"/>
      <w:r w:rsidRPr="00741FFE">
        <w:rPr>
          <w:i/>
        </w:rPr>
        <w:t>ionically</w:t>
      </w:r>
      <w:proofErr w:type="spellEnd"/>
      <w:r w:rsidRPr="00741FFE">
        <w:rPr>
          <w:i/>
        </w:rPr>
        <w:t xml:space="preserve"> with ions in the surrounding extracellular fluids. Mobilization from the slowly exchangeable pool results from the resorption associated with the process of bone remodelling.</w:t>
      </w:r>
    </w:p>
    <w:p w:rsidR="006D4092" w:rsidRDefault="00A16AF7" w:rsidP="006240F4">
      <w:pPr>
        <w:spacing w:before="20"/>
      </w:pPr>
      <w:r w:rsidRPr="006240F4">
        <w:t>Another reference (the A.S.P.E.N. Position Paper</w:t>
      </w:r>
      <w:r w:rsidRPr="006240F4">
        <w:rPr>
          <w:rStyle w:val="FootnoteReference"/>
        </w:rPr>
        <w:footnoteReference w:id="20"/>
      </w:r>
      <w:r w:rsidRPr="006240F4">
        <w:t>) states:</w:t>
      </w:r>
    </w:p>
    <w:p w:rsidR="00A16AF7" w:rsidRPr="006240F4" w:rsidRDefault="00A16AF7" w:rsidP="006240F4">
      <w:pPr>
        <w:ind w:left="720"/>
        <w:rPr>
          <w:i/>
        </w:rPr>
      </w:pPr>
      <w:r w:rsidRPr="006240F4">
        <w:rPr>
          <w:i/>
        </w:rPr>
        <w:t>Supplementation of PN with fluoride could be beneficial, but more research is needed for adult, paediatric, and neonatal patient populations.</w:t>
      </w:r>
    </w:p>
    <w:p w:rsidR="006D4092" w:rsidRDefault="00A16AF7" w:rsidP="00741FFE">
      <w:r w:rsidRPr="00741FFE">
        <w:t>Even allowing for a reduction in the amount absorbed the proposed daily dose of 0.95 mg is considerably less than the Adequate Intake of 3 &amp; 4mg/day.</w:t>
      </w:r>
    </w:p>
    <w:p w:rsidR="006D4092" w:rsidRDefault="00A16AF7" w:rsidP="00A16AF7">
      <w:pPr>
        <w:pStyle w:val="Heading4"/>
        <w:spacing w:before="20"/>
      </w:pPr>
      <w:bookmarkStart w:id="64" w:name="_Toc434236177"/>
      <w:r>
        <w:t>Iodine</w:t>
      </w:r>
      <w:bookmarkEnd w:id="64"/>
    </w:p>
    <w:p w:rsidR="00A16AF7" w:rsidRPr="00A16AF7" w:rsidRDefault="00A16AF7" w:rsidP="006240F4">
      <w:pPr>
        <w:spacing w:before="20"/>
      </w:pPr>
      <w:r w:rsidRPr="00A16AF7">
        <w:t>There is no registered IV product containing iodine, proposed dosage is 0.13mg/10mL.</w:t>
      </w:r>
    </w:p>
    <w:p w:rsidR="00A16AF7" w:rsidRPr="00A16AF7" w:rsidRDefault="00A16AF7" w:rsidP="006240F4">
      <w:pPr>
        <w:spacing w:before="20"/>
        <w:rPr>
          <w:vertAlign w:val="superscript"/>
        </w:rPr>
      </w:pPr>
      <w:r w:rsidRPr="00A16AF7">
        <w:t>With a proposed daily dose of 10mL the daily dose of potassium iodide provides 0.13mg iodine</w:t>
      </w:r>
      <w:r w:rsidRPr="00A16AF7">
        <w:rPr>
          <w:rStyle w:val="FootnoteReference"/>
        </w:rPr>
        <w:footnoteReference w:id="21"/>
      </w:r>
      <w:r w:rsidRPr="00A16AF7">
        <w:t xml:space="preserve"> as I</w:t>
      </w:r>
      <w:r w:rsidRPr="00A16AF7">
        <w:rPr>
          <w:vertAlign w:val="superscript"/>
        </w:rPr>
        <w:t>-</w:t>
      </w:r>
      <w:r w:rsidRPr="00A16AF7">
        <w:t xml:space="preserve">. </w:t>
      </w:r>
      <w:r w:rsidRPr="00A16AF7">
        <w:rPr>
          <w:vertAlign w:val="superscript"/>
        </w:rPr>
        <w:t xml:space="preserve"> </w:t>
      </w:r>
      <w:r w:rsidRPr="00A16AF7">
        <w:t>From the reference provided</w:t>
      </w:r>
      <w:r w:rsidRPr="00A16AF7">
        <w:rPr>
          <w:rStyle w:val="FootnoteReference"/>
        </w:rPr>
        <w:footnoteReference w:id="22"/>
      </w:r>
      <w:r w:rsidRPr="00A16AF7">
        <w:t xml:space="preserve">  the Recommended Dietary Allowance is 0.15mg/day of iodine.</w:t>
      </w:r>
    </w:p>
    <w:p w:rsidR="00A16AF7" w:rsidRPr="00A16AF7" w:rsidRDefault="00A16AF7" w:rsidP="006240F4">
      <w:pPr>
        <w:spacing w:before="20"/>
      </w:pPr>
      <w:r w:rsidRPr="00A16AF7">
        <w:t xml:space="preserve">Iodine is an essential component of the thyroid hormones, i.e. thyroxine and </w:t>
      </w:r>
      <w:proofErr w:type="spellStart"/>
      <w:r w:rsidRPr="00A16AF7">
        <w:t>triiodothyronine</w:t>
      </w:r>
      <w:proofErr w:type="spellEnd"/>
      <w:r w:rsidRPr="00A16AF7">
        <w:t>. These hormones and, therefore, iodine are essential for life.</w:t>
      </w:r>
    </w:p>
    <w:p w:rsidR="006D4092" w:rsidRDefault="00A16AF7" w:rsidP="006240F4">
      <w:pPr>
        <w:spacing w:before="20"/>
      </w:pPr>
      <w:r w:rsidRPr="00A16AF7">
        <w:t>Another reference (the A.S.P.E.N. Position Paper</w:t>
      </w:r>
      <w:r w:rsidRPr="00A16AF7">
        <w:rPr>
          <w:rStyle w:val="FootnoteReference"/>
        </w:rPr>
        <w:footnoteReference w:id="23"/>
      </w:r>
      <w:r w:rsidRPr="00A16AF7">
        <w:t>) states:</w:t>
      </w:r>
    </w:p>
    <w:p w:rsidR="006D4092" w:rsidRDefault="00A16AF7" w:rsidP="006240F4">
      <w:pPr>
        <w:spacing w:before="20"/>
        <w:ind w:left="720"/>
        <w:rPr>
          <w:rFonts w:cs="Arial"/>
          <w:i/>
        </w:rPr>
      </w:pPr>
      <w:r w:rsidRPr="006240F4">
        <w:rPr>
          <w:rFonts w:cs="Arial"/>
          <w:i/>
        </w:rPr>
        <w:t>Since skin cleansing has widely moved to the use of 2% chlorhexidine, the risk of iodide deficiency and the need for parenteral supplementation need to be investigated. Routine supplementation of PN with iodide could be beneficial, but more research is needed for adult, paediatric, and neonatal products.</w:t>
      </w:r>
    </w:p>
    <w:p w:rsidR="00A16AF7" w:rsidRPr="006240F4" w:rsidRDefault="00A16AF7" w:rsidP="003C127E">
      <w:pPr>
        <w:pStyle w:val="ListBullet"/>
      </w:pPr>
      <w:r w:rsidRPr="006240F4">
        <w:t>Zimmermann (2009) Iodine: It’s Important in Patients that Require Parenteral Nutrition</w:t>
      </w:r>
      <w:r w:rsidRPr="006240F4">
        <w:rPr>
          <w:rStyle w:val="FootnoteReference"/>
        </w:rPr>
        <w:footnoteReference w:id="24"/>
      </w:r>
      <w:r w:rsidRPr="006240F4">
        <w:t xml:space="preserve"> ‘Daily iodine requirements in adults receiving enteral nutrition or PN are estimated to be 70–150g, but most PN formulations do not contain iodine. Despite this, deficiency is unlikely because absorption from iodine-containing skin disinfectants and other adventitious sources can provide sufficient iodine. However, if chlorhexidine replaces iodine-containing disinfectants for catheter care, iodine deficiency may occur during long-term PN, and periodic testing of thyroid functions may be prudent.’</w:t>
      </w:r>
    </w:p>
    <w:p w:rsidR="00A16AF7" w:rsidRPr="003C127E" w:rsidRDefault="00A16AF7" w:rsidP="003C127E">
      <w:pPr>
        <w:ind w:left="720"/>
        <w:rPr>
          <w:i/>
        </w:rPr>
      </w:pPr>
      <w:r w:rsidRPr="003C127E">
        <w:rPr>
          <w:i/>
        </w:rPr>
        <w:t>Iodine deficiency symptoms have not been reported with in-hospital</w:t>
      </w:r>
      <w:r w:rsidR="003C127E">
        <w:rPr>
          <w:i/>
        </w:rPr>
        <w:t xml:space="preserve"> intravenous nutrition </w:t>
      </w:r>
      <w:r w:rsidR="003C127E" w:rsidRPr="003C127E">
        <w:rPr>
          <w:i/>
        </w:rPr>
        <w:t>support.</w:t>
      </w:r>
    </w:p>
    <w:p w:rsidR="006D4092" w:rsidRDefault="00A16AF7" w:rsidP="003C127E">
      <w:pPr>
        <w:pStyle w:val="ListBullet"/>
      </w:pPr>
      <w:r w:rsidRPr="006240F4">
        <w:lastRenderedPageBreak/>
        <w:t>Ishizuka et al (2011) Sequential Evaluations of Trace Elements in Patients Receiving Parenteral Nutrition</w:t>
      </w:r>
      <w:r w:rsidRPr="006240F4">
        <w:rPr>
          <w:rStyle w:val="FootnoteReference"/>
        </w:rPr>
        <w:footnoteReference w:id="25"/>
      </w:r>
      <w:r w:rsidRPr="006240F4">
        <w:t xml:space="preserve"> using 0.13mg/day showed essentially no change in total and free T</w:t>
      </w:r>
      <w:r w:rsidRPr="006240F4">
        <w:rPr>
          <w:vertAlign w:val="subscript"/>
        </w:rPr>
        <w:t>3</w:t>
      </w:r>
      <w:r w:rsidRPr="006240F4">
        <w:t xml:space="preserve"> and T</w:t>
      </w:r>
      <w:r w:rsidRPr="006240F4">
        <w:rPr>
          <w:vertAlign w:val="subscript"/>
        </w:rPr>
        <w:t>4</w:t>
      </w:r>
      <w:r w:rsidRPr="006240F4">
        <w:t>.</w:t>
      </w:r>
    </w:p>
    <w:p w:rsidR="006D4092" w:rsidRDefault="00A16AF7" w:rsidP="006240F4">
      <w:pPr>
        <w:pStyle w:val="Heading4"/>
      </w:pPr>
      <w:bookmarkStart w:id="65" w:name="_Toc434236178"/>
      <w:r>
        <w:t>Iron</w:t>
      </w:r>
      <w:bookmarkEnd w:id="65"/>
    </w:p>
    <w:p w:rsidR="00A16AF7" w:rsidRPr="006240F4" w:rsidRDefault="00A16AF7" w:rsidP="006240F4">
      <w:pPr>
        <w:spacing w:before="20"/>
      </w:pPr>
      <w:r w:rsidRPr="006240F4">
        <w:t xml:space="preserve">There is no registered IV product containing ferric chloride </w:t>
      </w:r>
      <w:proofErr w:type="spellStart"/>
      <w:r w:rsidRPr="006240F4">
        <w:t>hexahydrate</w:t>
      </w:r>
      <w:proofErr w:type="spellEnd"/>
      <w:r w:rsidRPr="006240F4">
        <w:t xml:space="preserve">, with a proposed daily dose of 10mL the daily dose of ferric chloride </w:t>
      </w:r>
      <w:proofErr w:type="spellStart"/>
      <w:r w:rsidRPr="006240F4">
        <w:t>hexahydrate</w:t>
      </w:r>
      <w:proofErr w:type="spellEnd"/>
      <w:r w:rsidRPr="006240F4">
        <w:t xml:space="preserve"> provides 1.10mg iron</w:t>
      </w:r>
      <w:r w:rsidRPr="006240F4">
        <w:rPr>
          <w:rStyle w:val="FootnoteReference"/>
        </w:rPr>
        <w:footnoteReference w:id="26"/>
      </w:r>
      <w:r w:rsidRPr="006240F4">
        <w:t xml:space="preserve"> as Fe</w:t>
      </w:r>
      <w:r w:rsidRPr="006240F4">
        <w:rPr>
          <w:vertAlign w:val="superscript"/>
        </w:rPr>
        <w:t>3+</w:t>
      </w:r>
      <w:r w:rsidRPr="006240F4">
        <w:t xml:space="preserve">. This dose (1.1mg or 20mcmol) in </w:t>
      </w:r>
      <w:proofErr w:type="spellStart"/>
      <w:r w:rsidRPr="006240F4">
        <w:t>Addaven</w:t>
      </w:r>
      <w:proofErr w:type="spellEnd"/>
      <w:r w:rsidRPr="006240F4">
        <w:t xml:space="preserve"> is the amount recommended by both ESPEN and </w:t>
      </w:r>
      <w:proofErr w:type="spellStart"/>
      <w:r w:rsidRPr="006240F4">
        <w:t>AuSPEN</w:t>
      </w:r>
      <w:proofErr w:type="spellEnd"/>
      <w:r w:rsidRPr="006240F4">
        <w:t>.</w:t>
      </w:r>
    </w:p>
    <w:p w:rsidR="00A16AF7" w:rsidRPr="006240F4" w:rsidRDefault="00A16AF7" w:rsidP="006240F4">
      <w:pPr>
        <w:spacing w:before="20"/>
      </w:pPr>
      <w:r w:rsidRPr="006240F4">
        <w:rPr>
          <w:vertAlign w:val="superscript"/>
        </w:rPr>
        <w:t xml:space="preserve"> </w:t>
      </w:r>
      <w:r w:rsidRPr="006240F4">
        <w:t>From the reference provided</w:t>
      </w:r>
      <w:r w:rsidRPr="006240F4">
        <w:rPr>
          <w:vertAlign w:val="superscript"/>
        </w:rPr>
        <w:footnoteReference w:id="27"/>
      </w:r>
      <w:r w:rsidRPr="006240F4">
        <w:t xml:space="preserve"> adult men need to absorb only about 1mg/day to maintain iron balance. The average requirement for menstruating women is somewhat higher, approximately 1.5mg/ day. There is, however, a marked </w:t>
      </w:r>
      <w:proofErr w:type="spellStart"/>
      <w:r w:rsidRPr="006240F4">
        <w:t>interindividual</w:t>
      </w:r>
      <w:proofErr w:type="spellEnd"/>
      <w:r w:rsidRPr="006240F4">
        <w:t xml:space="preserve"> variation in menstrual losses, and a small proportion of women must absorb as much as 3.4mg/day. Towards the end of pregnancy, the absorption of 4 to 5mg/day is necessary to preserve iron balance.</w:t>
      </w:r>
    </w:p>
    <w:p w:rsidR="00A16AF7" w:rsidRPr="006240F4" w:rsidRDefault="00A16AF7" w:rsidP="006240F4">
      <w:pPr>
        <w:spacing w:before="20"/>
      </w:pPr>
      <w:r w:rsidRPr="006240F4">
        <w:t>About two-thirds of the body iron is found in haemoglobin in erythrocytes. The remainder is in myoglobin and enzymes that are primarily necessary for oxidative metabolism. The body normally has stores of iron in the liver and bone marrow. Deficiency of iron leads to anaemia.</w:t>
      </w:r>
    </w:p>
    <w:p w:rsidR="00A16AF7" w:rsidRPr="006240F4" w:rsidRDefault="00A16AF7" w:rsidP="006240F4">
      <w:pPr>
        <w:pStyle w:val="ListBullet"/>
      </w:pPr>
      <w:proofErr w:type="spellStart"/>
      <w:r w:rsidRPr="006240F4">
        <w:t>Kumpf</w:t>
      </w:r>
      <w:proofErr w:type="spellEnd"/>
      <w:r w:rsidRPr="006240F4">
        <w:t xml:space="preserve"> (2003) Update on Parenteral Iron Therapy</w:t>
      </w:r>
      <w:r w:rsidRPr="006240F4">
        <w:rPr>
          <w:rStyle w:val="FootnoteReference"/>
        </w:rPr>
        <w:footnoteReference w:id="28"/>
      </w:r>
      <w:r w:rsidRPr="006240F4">
        <w:t xml:space="preserve"> </w:t>
      </w:r>
      <w:proofErr w:type="gramStart"/>
      <w:r w:rsidRPr="006240F4">
        <w:t>Because</w:t>
      </w:r>
      <w:proofErr w:type="gramEnd"/>
      <w:r w:rsidRPr="006240F4">
        <w:t xml:space="preserve"> most patients who need PN receive it on a short-term basis (e.g. &lt; 3 months), iron stores are usually adequate to meet daily iron requirements. Rather than waiting for iron deficiency anaemia to develop in a long-term PN patient before initiating parenteral iron, some clinicians prefer providing maintenance therapy. However, this practice is controversial and not well supported.</w:t>
      </w:r>
    </w:p>
    <w:p w:rsidR="00A16AF7" w:rsidRPr="006240F4" w:rsidRDefault="00A16AF7" w:rsidP="006240F4">
      <w:pPr>
        <w:spacing w:before="20"/>
      </w:pPr>
      <w:r w:rsidRPr="006240F4">
        <w:t>The routine supplementation of iron in these patients may expose them to the unnecessary risk of adverse reactions and result in iron overload, so it is therefore not recommended.</w:t>
      </w:r>
    </w:p>
    <w:p w:rsidR="00A16AF7" w:rsidRPr="006240F4" w:rsidRDefault="00A16AF7" w:rsidP="006240F4">
      <w:pPr>
        <w:spacing w:before="20"/>
      </w:pPr>
      <w:r w:rsidRPr="006240F4">
        <w:t>Conflicting data exist regarding the association between iron therapy and infection. Theoretically it appears to relate to saturation of transferrin with resultant free iron levels.</w:t>
      </w:r>
    </w:p>
    <w:p w:rsidR="006D4092" w:rsidRDefault="00A16AF7" w:rsidP="006E71E8">
      <w:pPr>
        <w:pStyle w:val="Heading5"/>
      </w:pPr>
      <w:r w:rsidRPr="00A16AF7">
        <w:t>Iron deficiency</w:t>
      </w:r>
    </w:p>
    <w:p w:rsidR="006D4092" w:rsidRDefault="00A16AF7" w:rsidP="00B779C7">
      <w:pPr>
        <w:spacing w:before="20"/>
      </w:pPr>
      <w:r w:rsidRPr="00A16AF7">
        <w:t>In relation to deficiency Forbes &amp; Forbes (1991)</w:t>
      </w:r>
      <w:r w:rsidRPr="00A16AF7">
        <w:rPr>
          <w:rStyle w:val="FootnoteReference"/>
        </w:rPr>
        <w:footnoteReference w:id="29"/>
      </w:r>
      <w:r w:rsidRPr="00A16AF7">
        <w:t xml:space="preserve"> reported iron deficiency, resulting in a microcytic anaemia in 14/49 patients 0-8 y (</w:t>
      </w:r>
      <w:r w:rsidR="00356551">
        <w:t>mean 25 months) after starting T</w:t>
      </w:r>
      <w:r w:rsidRPr="00A16AF7">
        <w:t xml:space="preserve">PN. However 2 patients had deficiency at the start of treatment and in 6 patients, additional factors were likely to have contributed leaving 6/49 (12%). Similarly while </w:t>
      </w:r>
      <w:proofErr w:type="spellStart"/>
      <w:r w:rsidRPr="00A16AF7">
        <w:t>Khaodhiar</w:t>
      </w:r>
      <w:proofErr w:type="spellEnd"/>
      <w:r w:rsidRPr="00A16AF7">
        <w:t xml:space="preserve"> et al (2002)</w:t>
      </w:r>
      <w:r w:rsidRPr="00A16AF7">
        <w:rPr>
          <w:rStyle w:val="FootnoteReference"/>
        </w:rPr>
        <w:footnoteReference w:id="30"/>
      </w:r>
      <w:r w:rsidRPr="00A16AF7">
        <w:t xml:space="preserve"> reported 30 of 55 patients on TPN for ≥ 6 months had iron deficiency 10 patients had it at the start of treatment; 13 had episodes of acute blood loss that caused acute iron-deficiency anaemia. Leaving 7/55 patients (13%). However, the authors contended that most patients (24), including those with episodes of acute blood loss, slowly progressive iron deficiency also developed during subsequent periods without evidence of acute blood loss.</w:t>
      </w:r>
    </w:p>
    <w:p w:rsidR="006D4092" w:rsidRDefault="00A16AF7" w:rsidP="006E71E8">
      <w:pPr>
        <w:pStyle w:val="Heading4"/>
      </w:pPr>
      <w:bookmarkStart w:id="66" w:name="_Toc434236179"/>
      <w:r>
        <w:t>Manganese</w:t>
      </w:r>
      <w:bookmarkEnd w:id="66"/>
    </w:p>
    <w:p w:rsidR="00A16AF7" w:rsidRPr="00C90CCF" w:rsidRDefault="00A16AF7" w:rsidP="00C90CCF">
      <w:r w:rsidRPr="00C90CCF">
        <w:t>There is a registered IV product containing manganese chloride 3.7mg/5mL, the proposed dosage is 0.055mg/10mL.</w:t>
      </w:r>
    </w:p>
    <w:p w:rsidR="00A16AF7" w:rsidRPr="00C90CCF" w:rsidRDefault="00A16AF7" w:rsidP="00C90CCF">
      <w:r w:rsidRPr="00C90CCF">
        <w:t>One of the references provided (Leach and Harris 1997) states:</w:t>
      </w:r>
    </w:p>
    <w:p w:rsidR="00A16AF7" w:rsidRPr="00C90CCF" w:rsidRDefault="00A16AF7" w:rsidP="00C90CCF">
      <w:pPr>
        <w:ind w:firstLine="720"/>
        <w:rPr>
          <w:i/>
        </w:rPr>
      </w:pPr>
      <w:proofErr w:type="gramStart"/>
      <w:r w:rsidRPr="00C90CCF">
        <w:rPr>
          <w:i/>
        </w:rPr>
        <w:lastRenderedPageBreak/>
        <w:t>balance</w:t>
      </w:r>
      <w:proofErr w:type="gramEnd"/>
      <w:r w:rsidRPr="00C90CCF">
        <w:rPr>
          <w:i/>
        </w:rPr>
        <w:t xml:space="preserve"> studies which have provided estimates in the range of 0.05-3.5mg/day.</w:t>
      </w:r>
    </w:p>
    <w:p w:rsidR="006D4092" w:rsidRDefault="00A16AF7" w:rsidP="00B61BF9">
      <w:pPr>
        <w:spacing w:before="20"/>
      </w:pPr>
      <w:r w:rsidRPr="00A16AF7">
        <w:t>Another reference (the A.S.P.E.N. Position Paper</w:t>
      </w:r>
      <w:r w:rsidRPr="00A16AF7">
        <w:rPr>
          <w:vertAlign w:val="superscript"/>
        </w:rPr>
        <w:footnoteReference w:id="31"/>
      </w:r>
      <w:r w:rsidRPr="00A16AF7">
        <w:t>) states:</w:t>
      </w:r>
    </w:p>
    <w:p w:rsidR="00A16AF7" w:rsidRPr="00B61BF9" w:rsidRDefault="00A16AF7" w:rsidP="00B61BF9">
      <w:pPr>
        <w:ind w:left="720"/>
        <w:rPr>
          <w:i/>
        </w:rPr>
      </w:pPr>
      <w:r w:rsidRPr="00B61BF9">
        <w:rPr>
          <w:i/>
        </w:rPr>
        <w:t xml:space="preserve">A.S.P.E.N. recommends that the dose of manganese in parenteral </w:t>
      </w:r>
      <w:proofErr w:type="gramStart"/>
      <w:r w:rsidRPr="00B61BF9">
        <w:rPr>
          <w:i/>
        </w:rPr>
        <w:t>multiple  trace</w:t>
      </w:r>
      <w:proofErr w:type="gramEnd"/>
      <w:r w:rsidRPr="00B61BF9">
        <w:rPr>
          <w:i/>
        </w:rPr>
        <w:t xml:space="preserve"> elements products be decreased to 55mcg/d for adults.</w:t>
      </w:r>
    </w:p>
    <w:p w:rsidR="00A16AF7" w:rsidRPr="00B61BF9" w:rsidRDefault="00A16AF7" w:rsidP="00B61BF9">
      <w:r w:rsidRPr="00B61BF9">
        <w:t xml:space="preserve">Manganese is involved in the activity of many </w:t>
      </w:r>
      <w:proofErr w:type="spellStart"/>
      <w:r w:rsidRPr="00B61BF9">
        <w:t>metalloenzymes</w:t>
      </w:r>
      <w:proofErr w:type="spellEnd"/>
      <w:r w:rsidRPr="00B61BF9">
        <w:t xml:space="preserve">, including </w:t>
      </w:r>
      <w:proofErr w:type="spellStart"/>
      <w:r w:rsidRPr="00B61BF9">
        <w:t>arginase</w:t>
      </w:r>
      <w:proofErr w:type="spellEnd"/>
      <w:r w:rsidRPr="00B61BF9">
        <w:t xml:space="preserve">, glutamine </w:t>
      </w:r>
      <w:proofErr w:type="spellStart"/>
      <w:r w:rsidRPr="00B61BF9">
        <w:t>synthetase</w:t>
      </w:r>
      <w:proofErr w:type="spellEnd"/>
      <w:r w:rsidRPr="00B61BF9">
        <w:t xml:space="preserve">, and manganese superoxide dismutase, and also in the activity of </w:t>
      </w:r>
      <w:proofErr w:type="spellStart"/>
      <w:r w:rsidRPr="00B61BF9">
        <w:t>glycosyl</w:t>
      </w:r>
      <w:proofErr w:type="spellEnd"/>
      <w:r w:rsidRPr="00B61BF9">
        <w:t xml:space="preserve"> </w:t>
      </w:r>
      <w:proofErr w:type="spellStart"/>
      <w:r w:rsidRPr="00B61BF9">
        <w:t>transferases</w:t>
      </w:r>
      <w:proofErr w:type="spellEnd"/>
      <w:r w:rsidRPr="00B61BF9">
        <w:t xml:space="preserve"> (though evidence is lacking in man). From the blood stream, it is taken up from the liver and bound to transferrin and albumin for distribution to tissues.</w:t>
      </w:r>
    </w:p>
    <w:p w:rsidR="006D4092" w:rsidRDefault="00A16AF7" w:rsidP="00B61BF9">
      <w:r w:rsidRPr="00B61BF9">
        <w:t>There have been conflicting results on the dosing for TPN:</w:t>
      </w:r>
    </w:p>
    <w:p w:rsidR="00A16AF7" w:rsidRPr="00B61BF9" w:rsidRDefault="00A16AF7" w:rsidP="00B61BF9">
      <w:pPr>
        <w:pStyle w:val="ListBullet"/>
      </w:pPr>
      <w:r w:rsidRPr="00B61BF9">
        <w:t xml:space="preserve">Phillips and </w:t>
      </w:r>
      <w:proofErr w:type="spellStart"/>
      <w:r w:rsidRPr="00B61BF9">
        <w:t>Garnys</w:t>
      </w:r>
      <w:proofErr w:type="spellEnd"/>
      <w:r w:rsidRPr="00B61BF9">
        <w:t xml:space="preserve"> (1981b) showed 0.1-0.3mg/day maintained balance.</w:t>
      </w:r>
    </w:p>
    <w:p w:rsidR="00A16AF7" w:rsidRPr="00B61BF9" w:rsidRDefault="00A16AF7" w:rsidP="00B61BF9">
      <w:pPr>
        <w:pStyle w:val="ListBullet"/>
      </w:pPr>
      <w:proofErr w:type="spellStart"/>
      <w:r w:rsidRPr="00B61BF9">
        <w:t>Papageorgiou</w:t>
      </w:r>
      <w:proofErr w:type="spellEnd"/>
      <w:r w:rsidRPr="00B61BF9">
        <w:t xml:space="preserve"> et al (2002) showed a decrease in serum manganese after a mean 20 days of 0.3mg/day.</w:t>
      </w:r>
    </w:p>
    <w:p w:rsidR="00A16AF7" w:rsidRPr="00B61BF9" w:rsidRDefault="00A16AF7" w:rsidP="00B61BF9">
      <w:pPr>
        <w:pStyle w:val="ListBullet"/>
      </w:pPr>
      <w:proofErr w:type="spellStart"/>
      <w:r w:rsidRPr="00B61BF9">
        <w:t>Falbe</w:t>
      </w:r>
      <w:proofErr w:type="spellEnd"/>
      <w:r w:rsidRPr="00B61BF9">
        <w:t xml:space="preserve"> et al (1987) showed a decrease in serum manganese after 7 days of 0.3mg/day while 0.6mg/day maintained it.</w:t>
      </w:r>
    </w:p>
    <w:p w:rsidR="00A16AF7" w:rsidRPr="00B61BF9" w:rsidRDefault="00A16AF7" w:rsidP="00B61BF9">
      <w:pPr>
        <w:pStyle w:val="ListBullet"/>
      </w:pPr>
      <w:proofErr w:type="spellStart"/>
      <w:r w:rsidRPr="00B61BF9">
        <w:t>Tulikoura</w:t>
      </w:r>
      <w:proofErr w:type="spellEnd"/>
      <w:r w:rsidRPr="00B61BF9">
        <w:t xml:space="preserve"> and </w:t>
      </w:r>
      <w:proofErr w:type="spellStart"/>
      <w:r w:rsidRPr="00B61BF9">
        <w:t>Vuori</w:t>
      </w:r>
      <w:proofErr w:type="spellEnd"/>
      <w:r w:rsidRPr="00B61BF9">
        <w:t xml:space="preserve"> (1986) in malnourished (lost 10% or more of their body weight or if serum protein was below 56g/L) preoperative patients showed 2.5mg/day over 10-12 days, maintained, but did not elevate, the manganese concentration in muscle and liver.</w:t>
      </w:r>
    </w:p>
    <w:p w:rsidR="00A16AF7" w:rsidRPr="00B61BF9" w:rsidRDefault="00A16AF7" w:rsidP="00B61BF9">
      <w:pPr>
        <w:pStyle w:val="ListBullet"/>
      </w:pPr>
      <w:r w:rsidRPr="00B61BF9">
        <w:t>Howard et al (2007) showed that 0.7mg/day led to an increase in tissue concentrations in liver, but not in muscle, heart or kidneys, at autopsy.</w:t>
      </w:r>
    </w:p>
    <w:p w:rsidR="00A16AF7" w:rsidRPr="00B61BF9" w:rsidRDefault="00A16AF7" w:rsidP="00B61BF9">
      <w:pPr>
        <w:pStyle w:val="ListBullet"/>
      </w:pPr>
      <w:r w:rsidRPr="00B61BF9">
        <w:t>Takagi et al (2002) found whole blood manganese increased markedly on 1.1mg/day and slightly with 0.11mg/day, but did not increase with 0.055mg/day.</w:t>
      </w:r>
    </w:p>
    <w:p w:rsidR="00A16AF7" w:rsidRPr="00B61BF9" w:rsidRDefault="00A16AF7" w:rsidP="00B61BF9">
      <w:pPr>
        <w:pStyle w:val="ListBullet"/>
      </w:pPr>
      <w:r w:rsidRPr="00B61BF9">
        <w:t>Ishizuka et al (2011) showed that an intake of 0.055mg/day) led to no change to serum levels in patients on TPN over about 1 month.</w:t>
      </w:r>
    </w:p>
    <w:p w:rsidR="006D4092" w:rsidRDefault="00A16AF7" w:rsidP="002F04D7">
      <w:pPr>
        <w:pStyle w:val="Heading5"/>
      </w:pPr>
      <w:r w:rsidRPr="002F04D7">
        <w:t>Manganese overload</w:t>
      </w:r>
    </w:p>
    <w:p w:rsidR="00A16AF7" w:rsidRPr="002F04D7" w:rsidRDefault="00A16AF7" w:rsidP="002F04D7">
      <w:r w:rsidRPr="002F04D7">
        <w:t>There have been a number of reports of patients receiving long-term PN (with intakes ranging from 2-40mcmol/day [0.110-2.20mg/day]), who appeared to have accumulated manganese in the basal ganglia of the brain.</w:t>
      </w:r>
    </w:p>
    <w:p w:rsidR="00A16AF7" w:rsidRPr="002F04D7" w:rsidRDefault="00A16AF7" w:rsidP="002F04D7">
      <w:r w:rsidRPr="002F04D7">
        <w:t xml:space="preserve">Abnormal midbrain MRI images, some memory loss with muscle weakness, signs suggestive of Parkinsonism have occurred. </w:t>
      </w:r>
      <w:r w:rsidR="00B10D4E" w:rsidRPr="002F04D7">
        <w:t>Some of these</w:t>
      </w:r>
      <w:r w:rsidR="00B10D4E">
        <w:t xml:space="preserve"> features have been</w:t>
      </w:r>
      <w:r w:rsidR="00B10D4E" w:rsidRPr="002F04D7">
        <w:t xml:space="preserve"> shown to be reversible on cessation of manganese</w:t>
      </w:r>
      <w:r w:rsidRPr="002F04D7">
        <w:t>.</w:t>
      </w:r>
    </w:p>
    <w:p w:rsidR="00A16AF7" w:rsidRPr="002F04D7" w:rsidRDefault="00A16AF7" w:rsidP="002F04D7">
      <w:r w:rsidRPr="002F04D7">
        <w:t>Elevation of serum Manganese has been associated with increased MRI intensity but no clinical signs.</w:t>
      </w:r>
    </w:p>
    <w:p w:rsidR="00A16AF7" w:rsidRPr="002F04D7" w:rsidRDefault="00A16AF7" w:rsidP="002F04D7">
      <w:r w:rsidRPr="002F04D7">
        <w:t>Takagi et al (2002) found whole blood manganese showed good correlation with the changes in MRI, whereas plasma manganese had a poorer correlation.</w:t>
      </w:r>
    </w:p>
    <w:p w:rsidR="00A16AF7" w:rsidRPr="002F04D7" w:rsidRDefault="00A16AF7" w:rsidP="002F04D7">
      <w:r w:rsidRPr="002F04D7">
        <w:t>There is an association of increased serum or whole blood manganese in patients with cholestasis, especially in infants.</w:t>
      </w:r>
    </w:p>
    <w:p w:rsidR="00A16AF7" w:rsidRPr="00A16AF7" w:rsidRDefault="00A16AF7" w:rsidP="002F04D7">
      <w:pPr>
        <w:pStyle w:val="Heading5"/>
      </w:pPr>
      <w:r w:rsidRPr="00A16AF7">
        <w:t>Manganese deficiency on TPN</w:t>
      </w:r>
    </w:p>
    <w:p w:rsidR="00A16AF7" w:rsidRPr="002F04D7" w:rsidRDefault="00A16AF7" w:rsidP="002F04D7">
      <w:r w:rsidRPr="002F04D7">
        <w:t xml:space="preserve">Only 1 case reported (abstract only), in a </w:t>
      </w:r>
      <w:r w:rsidR="002F04D7">
        <w:t>[information redacted]</w:t>
      </w:r>
      <w:r w:rsidRPr="002F04D7">
        <w:t xml:space="preserve"> who had received P</w:t>
      </w:r>
      <w:r w:rsidR="006178D1">
        <w:t xml:space="preserve">N since 9 days after birth. The patient </w:t>
      </w:r>
      <w:r w:rsidRPr="002F04D7">
        <w:t>had short stature, abnormal bony metaphysis and diffuse bone demineralization. When manganese was provided catch-up in height occurred, together with bone improvements.</w:t>
      </w:r>
    </w:p>
    <w:p w:rsidR="006D4092" w:rsidRDefault="00A16AF7" w:rsidP="00E02D25">
      <w:pPr>
        <w:pStyle w:val="Heading4"/>
      </w:pPr>
      <w:bookmarkStart w:id="67" w:name="_Toc434236180"/>
      <w:r>
        <w:lastRenderedPageBreak/>
        <w:t>Selenium</w:t>
      </w:r>
      <w:bookmarkEnd w:id="67"/>
    </w:p>
    <w:p w:rsidR="00A16AF7" w:rsidRPr="00A16AF7" w:rsidRDefault="00A16AF7" w:rsidP="00E02D25">
      <w:pPr>
        <w:spacing w:before="20"/>
      </w:pPr>
      <w:r w:rsidRPr="00A16AF7">
        <w:t xml:space="preserve">There is a registered IV product containing sodium selenite </w:t>
      </w:r>
      <w:proofErr w:type="spellStart"/>
      <w:r w:rsidRPr="00A16AF7">
        <w:t>decahydrate</w:t>
      </w:r>
      <w:proofErr w:type="spellEnd"/>
      <w:r w:rsidRPr="00A16AF7">
        <w:t xml:space="preserve"> 111mcg/5mL (24mcg selenium or 0.3mcmoles in 5mLs).</w:t>
      </w:r>
    </w:p>
    <w:p w:rsidR="00A16AF7" w:rsidRPr="00A16AF7" w:rsidRDefault="00A16AF7" w:rsidP="00E02D25">
      <w:pPr>
        <w:spacing w:before="20"/>
      </w:pPr>
      <w:r w:rsidRPr="00A16AF7">
        <w:t>With a proposed daily dose of 10mL the daily dose of sodium selenite provides 0.08mg selenium</w:t>
      </w:r>
      <w:r w:rsidRPr="00A16AF7">
        <w:rPr>
          <w:rStyle w:val="FootnoteReference"/>
        </w:rPr>
        <w:footnoteReference w:id="32"/>
      </w:r>
      <w:r w:rsidRPr="00A16AF7">
        <w:t xml:space="preserve"> as Se</w:t>
      </w:r>
      <w:r w:rsidRPr="00A16AF7">
        <w:rPr>
          <w:vertAlign w:val="superscript"/>
        </w:rPr>
        <w:t>4+</w:t>
      </w:r>
      <w:r w:rsidRPr="00A16AF7">
        <w:t>. One of the references provided (</w:t>
      </w:r>
      <w:proofErr w:type="spellStart"/>
      <w:r w:rsidRPr="00A16AF7">
        <w:t>Shenkin</w:t>
      </w:r>
      <w:proofErr w:type="spellEnd"/>
      <w:r w:rsidRPr="00A16AF7">
        <w:t xml:space="preserve"> 2009) states:</w:t>
      </w:r>
    </w:p>
    <w:p w:rsidR="006D4092" w:rsidRDefault="00A16AF7" w:rsidP="00E02D25">
      <w:pPr>
        <w:ind w:left="720"/>
        <w:rPr>
          <w:i/>
        </w:rPr>
      </w:pPr>
      <w:r w:rsidRPr="00E02D25">
        <w:rPr>
          <w:i/>
        </w:rPr>
        <w:t>There is substantial individual variation in requirements for Se in health, so supply in PN must at least meet the dietary Reference Nutrient Intake, which as summarized earlier is probably in the range of 55–70g/day.</w:t>
      </w:r>
    </w:p>
    <w:p w:rsidR="006D4092" w:rsidRDefault="00A16AF7" w:rsidP="00E02D25">
      <w:pPr>
        <w:ind w:left="720"/>
        <w:rPr>
          <w:i/>
        </w:rPr>
      </w:pPr>
      <w:r w:rsidRPr="00E02D25">
        <w:rPr>
          <w:i/>
        </w:rPr>
        <w:t>Most of the studies to evaluate Se requirements during PN have been in patients receiving long-term PN at home because this is the group in which biochemical and clinical evidence of Se deficiency largely has been observed.</w:t>
      </w:r>
    </w:p>
    <w:p w:rsidR="00A16AF7" w:rsidRPr="00E02D25" w:rsidRDefault="00A16AF7" w:rsidP="00E02D25">
      <w:pPr>
        <w:ind w:left="720"/>
        <w:rPr>
          <w:i/>
        </w:rPr>
      </w:pPr>
      <w:r w:rsidRPr="00E02D25">
        <w:rPr>
          <w:i/>
        </w:rPr>
        <w:t>Taken overall the following conclusions can be reached.</w:t>
      </w:r>
    </w:p>
    <w:p w:rsidR="00A16AF7" w:rsidRPr="00E02D25" w:rsidRDefault="00A16AF7" w:rsidP="00E02D25">
      <w:pPr>
        <w:ind w:left="720"/>
        <w:rPr>
          <w:i/>
        </w:rPr>
      </w:pPr>
      <w:r w:rsidRPr="00E02D25">
        <w:rPr>
          <w:i/>
        </w:rPr>
        <w:t>An intake of 30–50g/day meets the ongoing requirements of some patients, probably those with basal requirements, but it is inadequate to correct Se depletion.</w:t>
      </w:r>
    </w:p>
    <w:p w:rsidR="00A16AF7" w:rsidRPr="00E02D25" w:rsidRDefault="00A16AF7" w:rsidP="00E02D25">
      <w:pPr>
        <w:ind w:left="720"/>
      </w:pPr>
      <w:r w:rsidRPr="00E02D25">
        <w:rPr>
          <w:i/>
        </w:rPr>
        <w:t>An intake of 63g/day is adequate for the majority of home patients, but about 15% have a higher requirement than this. An intake of 85g/day seems to be sufficient to maintain tissue concentrations in most patients, although some may have even higher requirements.</w:t>
      </w:r>
    </w:p>
    <w:p w:rsidR="00A16AF7" w:rsidRPr="00F70541" w:rsidRDefault="00A16AF7" w:rsidP="00F70541">
      <w:r w:rsidRPr="00F70541">
        <w:t xml:space="preserve">Selenium through its presence in the amino acid </w:t>
      </w:r>
      <w:proofErr w:type="spellStart"/>
      <w:r w:rsidRPr="00F70541">
        <w:t>selenocysteine</w:t>
      </w:r>
      <w:proofErr w:type="spellEnd"/>
      <w:r w:rsidRPr="00F70541">
        <w:t xml:space="preserve"> is in a number of proteins, i.e. </w:t>
      </w:r>
      <w:proofErr w:type="spellStart"/>
      <w:r w:rsidRPr="00F70541">
        <w:t>selenoproteins</w:t>
      </w:r>
      <w:proofErr w:type="spellEnd"/>
      <w:r w:rsidRPr="00F70541">
        <w:t xml:space="preserve">. These include: 4 known glutathione peroxidases that defend against oxidative stress; three iodothyronine deiodinases that are important in thyroid hormone metabolism; and 3 </w:t>
      </w:r>
      <w:proofErr w:type="spellStart"/>
      <w:r w:rsidRPr="00F70541">
        <w:t>thioredoxin</w:t>
      </w:r>
      <w:proofErr w:type="spellEnd"/>
      <w:r w:rsidRPr="00F70541">
        <w:t xml:space="preserve"> reductases that help to regulate the redox status of vitamin C and other molecules.</w:t>
      </w:r>
    </w:p>
    <w:p w:rsidR="00A16AF7" w:rsidRPr="00F70541" w:rsidRDefault="00A16AF7" w:rsidP="00F70541">
      <w:r w:rsidRPr="00F70541">
        <w:t>Selenium deficiency seldom causes overt illness if it occurs in isolation. It may lead to biochemical changes that predispose to illness if associated with other stresses.</w:t>
      </w:r>
    </w:p>
    <w:p w:rsidR="00A16AF7" w:rsidRPr="00F70541" w:rsidRDefault="00A16AF7" w:rsidP="00F70541">
      <w:r w:rsidRPr="00F70541">
        <w:t>There have been multiple studies of doses of 0.020-0.120mg/day with varying results.</w:t>
      </w:r>
    </w:p>
    <w:p w:rsidR="006D4092" w:rsidRDefault="00A16AF7" w:rsidP="00F70541">
      <w:pPr>
        <w:pStyle w:val="ListBullet"/>
      </w:pPr>
      <w:proofErr w:type="spellStart"/>
      <w:r w:rsidRPr="00F70541">
        <w:t>Btaiche</w:t>
      </w:r>
      <w:proofErr w:type="spellEnd"/>
      <w:r w:rsidRPr="00F70541">
        <w:t xml:space="preserve"> et al (2011) found that in patients on PN for more than 1 year, made, a mean selenium intake of 0.0 69mg/day led to 60 % of serum selenium measurements results being within the reference range, 38 % below it, and 2 % being above it.</w:t>
      </w:r>
    </w:p>
    <w:p w:rsidR="00A16AF7" w:rsidRPr="00F70541" w:rsidRDefault="00A16AF7" w:rsidP="00F70541">
      <w:pPr>
        <w:pStyle w:val="ListBullet"/>
      </w:pPr>
      <w:r w:rsidRPr="00F70541">
        <w:t>Buchman et al (1994) suggested the variable requirements of individual patients may be due not only to the variable effects of disease, but also to some impairment in renal homeostasis in those on long-term PN.</w:t>
      </w:r>
    </w:p>
    <w:p w:rsidR="00A16AF7" w:rsidRPr="00F70541" w:rsidRDefault="00AA2B10" w:rsidP="00F70541">
      <w:r w:rsidRPr="00F70541">
        <w:t xml:space="preserve">While 0.03mg/day was adequate to maintain selenium status over standard short PN feeding periods, patients </w:t>
      </w:r>
      <w:r w:rsidR="00ED31C5">
        <w:t xml:space="preserve">more seriously ill, </w:t>
      </w:r>
      <w:r w:rsidRPr="00F70541">
        <w:t>e.g. severe burns, sepsis</w:t>
      </w:r>
      <w:r>
        <w:t>,</w:t>
      </w:r>
      <w:r w:rsidRPr="00F70541">
        <w:t xml:space="preserve"> require</w:t>
      </w:r>
      <w:r>
        <w:t>d</w:t>
      </w:r>
      <w:r w:rsidRPr="00F70541">
        <w:t xml:space="preserve"> higher intakes of selenium</w:t>
      </w:r>
      <w:r w:rsidR="00A16AF7" w:rsidRPr="00F70541">
        <w:t>.</w:t>
      </w:r>
    </w:p>
    <w:p w:rsidR="00A16AF7" w:rsidRPr="00F70541" w:rsidRDefault="00A16AF7" w:rsidP="00F70541">
      <w:r w:rsidRPr="00F70541">
        <w:t xml:space="preserve">There exists controversy over whether an intake which maximizes plasma glutathione peroxidase activity is necessary, or an intake which maintains two-thirds maximum activity is sufficient. ‘However, increased oxidative stress is likely in illness, hence optimizing glutathione peroxidase activity, and other </w:t>
      </w:r>
      <w:proofErr w:type="spellStart"/>
      <w:r w:rsidRPr="00F70541">
        <w:t>selenoproteins</w:t>
      </w:r>
      <w:proofErr w:type="spellEnd"/>
      <w:r w:rsidRPr="00F70541">
        <w:t xml:space="preserve"> would seem logical.’</w:t>
      </w:r>
    </w:p>
    <w:p w:rsidR="00A16AF7" w:rsidRPr="00F70541" w:rsidRDefault="00A16AF7" w:rsidP="00F70541">
      <w:pPr>
        <w:pStyle w:val="Heading5"/>
      </w:pPr>
      <w:r w:rsidRPr="00F70541">
        <w:t>Selenium deficiency on TPN</w:t>
      </w:r>
    </w:p>
    <w:p w:rsidR="00A16AF7" w:rsidRPr="00F70541" w:rsidRDefault="00A16AF7" w:rsidP="00F70541">
      <w:r w:rsidRPr="00F70541">
        <w:t>Changes reported include nail and hair changes, skeletal muscle myopathy, reversible cardiomyopathy and fatal cardiomyopathy.</w:t>
      </w:r>
    </w:p>
    <w:p w:rsidR="00A16AF7" w:rsidRPr="00F70541" w:rsidRDefault="00A16AF7" w:rsidP="00F70541">
      <w:r w:rsidRPr="00F70541">
        <w:t>Studies with no added selenium supplement showed that removal of supplements for 4 months led to a significant fall in plasma selenium and in red blood cell glutathione peroxidase.</w:t>
      </w:r>
    </w:p>
    <w:p w:rsidR="006D4092" w:rsidRDefault="00A16AF7" w:rsidP="00B16AF5">
      <w:pPr>
        <w:pStyle w:val="Heading4"/>
      </w:pPr>
      <w:bookmarkStart w:id="68" w:name="_Toc434236181"/>
      <w:r>
        <w:lastRenderedPageBreak/>
        <w:t>Zinc</w:t>
      </w:r>
      <w:bookmarkEnd w:id="68"/>
    </w:p>
    <w:p w:rsidR="00A16AF7" w:rsidRPr="00A16AF7" w:rsidRDefault="00A16AF7" w:rsidP="00B16AF5">
      <w:pPr>
        <w:spacing w:before="20"/>
      </w:pPr>
      <w:r w:rsidRPr="00A16AF7">
        <w:t>There are registered IV products containing zinc chloride 5mg/2mL.</w:t>
      </w:r>
    </w:p>
    <w:p w:rsidR="00A16AF7" w:rsidRPr="00A16AF7" w:rsidRDefault="00A16AF7" w:rsidP="00B16AF5">
      <w:pPr>
        <w:spacing w:before="20"/>
      </w:pPr>
      <w:r w:rsidRPr="00A16AF7">
        <w:t>With a recommended daily dose of 10mL the daily dose of zinc chloride provides 5mg zinc</w:t>
      </w:r>
      <w:r w:rsidRPr="00A16AF7">
        <w:rPr>
          <w:vertAlign w:val="superscript"/>
        </w:rPr>
        <w:footnoteReference w:id="33"/>
      </w:r>
      <w:r w:rsidRPr="00A16AF7">
        <w:t xml:space="preserve"> as Zn</w:t>
      </w:r>
      <w:r w:rsidRPr="00A16AF7">
        <w:rPr>
          <w:vertAlign w:val="superscript"/>
        </w:rPr>
        <w:t>2+</w:t>
      </w:r>
      <w:r w:rsidRPr="00A16AF7">
        <w:t>. One of the references provided (</w:t>
      </w:r>
      <w:proofErr w:type="spellStart"/>
      <w:r w:rsidRPr="00A16AF7">
        <w:t>Jeejeebhoy</w:t>
      </w:r>
      <w:proofErr w:type="spellEnd"/>
      <w:r w:rsidRPr="00A16AF7">
        <w:t xml:space="preserve"> 2009) states:</w:t>
      </w:r>
    </w:p>
    <w:p w:rsidR="006D4092" w:rsidRDefault="00A16AF7" w:rsidP="00B16AF5">
      <w:pPr>
        <w:ind w:left="720"/>
        <w:rPr>
          <w:i/>
        </w:rPr>
      </w:pPr>
      <w:r w:rsidRPr="00B16AF5">
        <w:rPr>
          <w:i/>
        </w:rPr>
        <w:t>In TPN the requirements have been estimated by balance studies to be 3mg/d in patients without gastrointestinal losses and a mean of 12 mg/d in patients with diarrhoea and fistula losses.</w:t>
      </w:r>
    </w:p>
    <w:p w:rsidR="00A16AF7" w:rsidRPr="00A16AF7" w:rsidRDefault="00A16AF7" w:rsidP="00D14360">
      <w:pPr>
        <w:spacing w:before="20"/>
      </w:pPr>
      <w:r w:rsidRPr="00A16AF7">
        <w:t>Nearly 100 specific enzymes depend on zinc for catalytic activity. These enzymes occur in all enzyme classes and have wide ranging roles throughout metabolism. The roles in RNA polymerase and protein synthesis, alcohol dehydrogenase, carbonic anhydrase, and alkaline phosphatase have been particularly well studied. Moreover, zinc can facilitate protein folding, i.e., forming ‘zinc fingers’ which hold roles in gene regulation as DNA binding transcription factors.</w:t>
      </w:r>
    </w:p>
    <w:p w:rsidR="00A16AF7" w:rsidRPr="00A16AF7" w:rsidRDefault="00A16AF7" w:rsidP="00D14360">
      <w:pPr>
        <w:spacing w:before="20"/>
      </w:pPr>
      <w:r w:rsidRPr="00A16AF7">
        <w:t>Wolman et al (1979) found in patients with gastrointestinal disease, an intake of approximately 50mcmol/day (3.2mg/day) maintained zinc balance in the absence of gastrointestinal losses, an intake of about 90mcmol/day (5.9mg/day) almost achieved balance in most other patients, whereas an intake of 180mcmol/day (11.7mg/day) achieved a positive balance in all patients.</w:t>
      </w:r>
    </w:p>
    <w:p w:rsidR="00A16AF7" w:rsidRPr="00A16AF7" w:rsidRDefault="00A16AF7" w:rsidP="00D14360">
      <w:pPr>
        <w:spacing w:before="20"/>
      </w:pPr>
      <w:r w:rsidRPr="00A16AF7">
        <w:t xml:space="preserve">A dose of 6.5mg/day was used in </w:t>
      </w:r>
      <w:proofErr w:type="spellStart"/>
      <w:r w:rsidRPr="00A16AF7">
        <w:t>Addamel</w:t>
      </w:r>
      <w:proofErr w:type="spellEnd"/>
      <w:r w:rsidRPr="00A16AF7">
        <w:t xml:space="preserve"> N, although there have been no cases of </w:t>
      </w:r>
      <w:proofErr w:type="gramStart"/>
      <w:r w:rsidRPr="00A16AF7">
        <w:t>harm,</w:t>
      </w:r>
      <w:proofErr w:type="gramEnd"/>
      <w:r w:rsidRPr="00A16AF7">
        <w:t xml:space="preserve"> this amount was felt unnecessary for the majority of patients. It was therefore reduced in </w:t>
      </w:r>
      <w:proofErr w:type="spellStart"/>
      <w:r w:rsidRPr="00A16AF7">
        <w:t>Addaven</w:t>
      </w:r>
      <w:proofErr w:type="spellEnd"/>
      <w:r w:rsidRPr="00A16AF7">
        <w:t xml:space="preserve"> to 5mg (77mcmol)/day.</w:t>
      </w:r>
    </w:p>
    <w:p w:rsidR="00A16AF7" w:rsidRPr="00A16AF7" w:rsidRDefault="00A16AF7" w:rsidP="00D14360">
      <w:pPr>
        <w:pStyle w:val="Heading5"/>
      </w:pPr>
      <w:r w:rsidRPr="00A16AF7">
        <w:t>Zinc deficiency on TPN</w:t>
      </w:r>
    </w:p>
    <w:p w:rsidR="00A16AF7" w:rsidRPr="00D14360" w:rsidRDefault="00A16AF7" w:rsidP="00D14360">
      <w:r w:rsidRPr="00D14360">
        <w:t>A large number of cases have been published. The main features of this are an eczematous rash, involving the face, flexures and perineal region; other features include nail changes, alopecia, mental apathy and depression, visual dysfunction, and impaired immune function. These symptoms reverse readily: usually within a few days of zinc supplementation either or with intravenous zinc, usually about 10mg/day.</w:t>
      </w:r>
    </w:p>
    <w:p w:rsidR="00A16AF7" w:rsidRPr="00D14360" w:rsidRDefault="00A16AF7" w:rsidP="00D14360">
      <w:pPr>
        <w:pStyle w:val="ListBullet"/>
      </w:pPr>
      <w:proofErr w:type="spellStart"/>
      <w:r w:rsidRPr="00D14360">
        <w:t>Btaiche</w:t>
      </w:r>
      <w:proofErr w:type="spellEnd"/>
      <w:r w:rsidRPr="00D14360">
        <w:t xml:space="preserve"> et al (2011) found that a mean intake of 9.1mg/day (140mcmol/day) in patients with short bowel syndrome, and of 6.7mg/day (103mcmol/day) in non-short bowel syndrome patients, maintained a normal plasma zinc concentration in more than 90% of patients.</w:t>
      </w:r>
    </w:p>
    <w:p w:rsidR="00A16AF7" w:rsidRDefault="00A16AF7" w:rsidP="00A16AF7">
      <w:pPr>
        <w:pStyle w:val="Heading4"/>
        <w:spacing w:before="20"/>
      </w:pPr>
      <w:bookmarkStart w:id="69" w:name="_Toc434236182"/>
      <w:r>
        <w:t>Molybdenum</w:t>
      </w:r>
      <w:bookmarkEnd w:id="69"/>
    </w:p>
    <w:p w:rsidR="00A16AF7" w:rsidRPr="00A16AF7" w:rsidRDefault="00A16AF7" w:rsidP="00D14360">
      <w:pPr>
        <w:spacing w:before="20"/>
      </w:pPr>
      <w:r w:rsidRPr="00A16AF7">
        <w:t xml:space="preserve">There is no registered IV product containing </w:t>
      </w:r>
      <w:r w:rsidRPr="00A16AF7">
        <w:rPr>
          <w:szCs w:val="20"/>
        </w:rPr>
        <w:t xml:space="preserve">sodium </w:t>
      </w:r>
      <w:proofErr w:type="spellStart"/>
      <w:r w:rsidRPr="00A16AF7">
        <w:rPr>
          <w:szCs w:val="20"/>
        </w:rPr>
        <w:t>molybdate</w:t>
      </w:r>
      <w:proofErr w:type="spellEnd"/>
      <w:r w:rsidRPr="00A16AF7">
        <w:rPr>
          <w:szCs w:val="20"/>
        </w:rPr>
        <w:t xml:space="preserve"> dehydrate</w:t>
      </w:r>
      <w:r w:rsidRPr="00A16AF7">
        <w:t>.</w:t>
      </w:r>
    </w:p>
    <w:p w:rsidR="006D4092" w:rsidRDefault="00A16AF7" w:rsidP="00D14360">
      <w:pPr>
        <w:spacing w:before="20"/>
      </w:pPr>
      <w:r w:rsidRPr="00A16AF7">
        <w:t xml:space="preserve">With a recommended daily dose of 10mL the daily </w:t>
      </w:r>
      <w:proofErr w:type="gramStart"/>
      <w:r w:rsidRPr="00A16AF7">
        <w:t xml:space="preserve">dose of sodium </w:t>
      </w:r>
      <w:proofErr w:type="spellStart"/>
      <w:r w:rsidRPr="00A16AF7">
        <w:t>molybdate</w:t>
      </w:r>
      <w:proofErr w:type="spellEnd"/>
      <w:r w:rsidRPr="00A16AF7">
        <w:t xml:space="preserve"> dehydrate</w:t>
      </w:r>
      <w:proofErr w:type="gramEnd"/>
      <w:r w:rsidRPr="00A16AF7">
        <w:t xml:space="preserve"> provides 0.019mg molybdenum as Mo</w:t>
      </w:r>
      <w:r w:rsidRPr="00A16AF7">
        <w:rPr>
          <w:vertAlign w:val="superscript"/>
        </w:rPr>
        <w:t>6+</w:t>
      </w:r>
      <w:r w:rsidRPr="00A16AF7">
        <w:t>.</w:t>
      </w:r>
    </w:p>
    <w:p w:rsidR="006D4092" w:rsidRDefault="00A16AF7" w:rsidP="00D14360">
      <w:pPr>
        <w:spacing w:before="20"/>
      </w:pPr>
      <w:proofErr w:type="spellStart"/>
      <w:r w:rsidRPr="00A16AF7">
        <w:t>AusPEN</w:t>
      </w:r>
      <w:proofErr w:type="spellEnd"/>
      <w:r w:rsidRPr="00A16AF7">
        <w:t xml:space="preserve"> guidelines</w:t>
      </w:r>
      <w:r w:rsidRPr="00A16AF7">
        <w:rPr>
          <w:rStyle w:val="FootnoteReference"/>
        </w:rPr>
        <w:footnoteReference w:id="34"/>
      </w:r>
      <w:r w:rsidR="00D14360">
        <w:t xml:space="preserve"> </w:t>
      </w:r>
      <w:r w:rsidRPr="00A16AF7">
        <w:t>recommend 0.019mg/ day.</w:t>
      </w:r>
    </w:p>
    <w:p w:rsidR="00A16AF7" w:rsidRPr="00A16AF7" w:rsidRDefault="00A16AF7" w:rsidP="00D14360">
      <w:pPr>
        <w:spacing w:before="20"/>
      </w:pPr>
      <w:r w:rsidRPr="00A16AF7">
        <w:t>Molybdenum functions as a cofactor for a small number of enzymes in man, i.e., sulphite oxidases, xanthine oxidases, and aldehyde oxidases. Dietary molybdenum deficiency has not been seen in healthy people without a genetic defect that prevents sulphite oxidase synthesis and leads to severe neurological damage.</w:t>
      </w:r>
    </w:p>
    <w:p w:rsidR="006D4092" w:rsidRDefault="00A16AF7" w:rsidP="00D14360">
      <w:pPr>
        <w:spacing w:before="20"/>
      </w:pPr>
      <w:r w:rsidRPr="00D14360">
        <w:t>Another reference (the A.S.P.E.N. Position Paper</w:t>
      </w:r>
      <w:r w:rsidRPr="00D14360">
        <w:rPr>
          <w:vertAlign w:val="superscript"/>
        </w:rPr>
        <w:footnoteReference w:id="35"/>
      </w:r>
      <w:r w:rsidRPr="00D14360">
        <w:t>) states:</w:t>
      </w:r>
    </w:p>
    <w:p w:rsidR="00A16AF7" w:rsidRPr="00D14360" w:rsidRDefault="00A16AF7" w:rsidP="00D14360">
      <w:pPr>
        <w:ind w:left="720"/>
        <w:rPr>
          <w:i/>
        </w:rPr>
      </w:pPr>
      <w:r w:rsidRPr="00D14360">
        <w:rPr>
          <w:i/>
        </w:rPr>
        <w:lastRenderedPageBreak/>
        <w:t>There are no significant data to warrant recommending routine molybdenum supplementation in PN formulas.</w:t>
      </w:r>
    </w:p>
    <w:p w:rsidR="006D4092" w:rsidRDefault="00A16AF7" w:rsidP="00D14360">
      <w:r w:rsidRPr="00D14360">
        <w:t xml:space="preserve">Phillips and </w:t>
      </w:r>
      <w:proofErr w:type="spellStart"/>
      <w:r w:rsidRPr="00D14360">
        <w:t>Garnys</w:t>
      </w:r>
      <w:proofErr w:type="spellEnd"/>
      <w:r w:rsidRPr="00D14360">
        <w:t xml:space="preserve"> (1981) showed balances of 0.1-0.2mg/day.</w:t>
      </w:r>
    </w:p>
    <w:p w:rsidR="00A16AF7" w:rsidRPr="00D14360" w:rsidRDefault="00A16AF7" w:rsidP="00D14360">
      <w:r w:rsidRPr="00D14360">
        <w:t>Doses of 0.02mg/day to 0.2mg/day have been reported.</w:t>
      </w:r>
    </w:p>
    <w:p w:rsidR="00A16AF7" w:rsidRPr="00D14360" w:rsidRDefault="00A16AF7" w:rsidP="00D14360">
      <w:pPr>
        <w:pStyle w:val="Heading5"/>
      </w:pPr>
      <w:r w:rsidRPr="00D14360">
        <w:t>Molybdenum deficiency on TPN</w:t>
      </w:r>
    </w:p>
    <w:p w:rsidR="00A16AF7" w:rsidRPr="00D14360" w:rsidRDefault="00A16AF7" w:rsidP="00D14360">
      <w:r w:rsidRPr="00D14360">
        <w:t xml:space="preserve">Only 1 case reported in an adult male who had been receiving PN for about 1 year, who then developed progressive tachycardia, tachypnoea, neurological and visual changes, and eventually coma. Treatment with ammonium </w:t>
      </w:r>
      <w:proofErr w:type="spellStart"/>
      <w:r w:rsidRPr="00D14360">
        <w:t>molybdate</w:t>
      </w:r>
      <w:proofErr w:type="spellEnd"/>
      <w:r w:rsidRPr="00D14360">
        <w:t xml:space="preserve"> improved the clinical condition, reversed the sulphur handling abnormality, and normalized uric acid production.</w:t>
      </w:r>
    </w:p>
    <w:p w:rsidR="00A16AF7" w:rsidRDefault="00A16AF7" w:rsidP="00A16AF7">
      <w:pPr>
        <w:pStyle w:val="Heading3"/>
        <w:spacing w:before="20"/>
      </w:pPr>
      <w:bookmarkStart w:id="70" w:name="_Toc434236183"/>
      <w:bookmarkStart w:id="71" w:name="_Toc480383683"/>
      <w:r>
        <w:t xml:space="preserve">Studies relating to </w:t>
      </w:r>
      <w:proofErr w:type="spellStart"/>
      <w:r>
        <w:t>Addamel</w:t>
      </w:r>
      <w:proofErr w:type="spellEnd"/>
      <w:r>
        <w:t xml:space="preserve"> or </w:t>
      </w:r>
      <w:proofErr w:type="spellStart"/>
      <w:r>
        <w:t>Addamel</w:t>
      </w:r>
      <w:proofErr w:type="spellEnd"/>
      <w:r>
        <w:t xml:space="preserve"> N</w:t>
      </w:r>
      <w:bookmarkEnd w:id="70"/>
      <w:bookmarkEnd w:id="71"/>
    </w:p>
    <w:p w:rsidR="00D14360" w:rsidRDefault="00A16AF7" w:rsidP="00B95200">
      <w:pPr>
        <w:rPr>
          <w:rFonts w:cstheme="minorBidi"/>
          <w:b/>
        </w:rPr>
      </w:pPr>
      <w:r w:rsidRPr="00D14360">
        <w:t xml:space="preserve">As </w:t>
      </w:r>
      <w:r w:rsidR="00D14360">
        <w:t>can be seen from the following t</w:t>
      </w:r>
      <w:r w:rsidRPr="00D14360">
        <w:t xml:space="preserve">able there were 4 studies that indicated the constitution of the electrolyte solution used. Only </w:t>
      </w:r>
      <w:proofErr w:type="spellStart"/>
      <w:r w:rsidRPr="00D14360">
        <w:t>Shenkin</w:t>
      </w:r>
      <w:proofErr w:type="spellEnd"/>
      <w:r w:rsidRPr="00D14360">
        <w:t xml:space="preserve"> et al (1987) and Malone et al (1989) clearly used similar preparations (</w:t>
      </w:r>
      <w:proofErr w:type="spellStart"/>
      <w:r w:rsidRPr="00D14360">
        <w:t>Addamel</w:t>
      </w:r>
      <w:proofErr w:type="spellEnd"/>
      <w:r w:rsidRPr="00D14360">
        <w:t xml:space="preserve"> N &amp; </w:t>
      </w:r>
      <w:proofErr w:type="spellStart"/>
      <w:r w:rsidRPr="00D14360">
        <w:t>Additrace</w:t>
      </w:r>
      <w:proofErr w:type="spellEnd"/>
      <w:r w:rsidRPr="00D14360">
        <w:t xml:space="preserve">). </w:t>
      </w:r>
      <w:r w:rsidR="00760A8A">
        <w:t>Two</w:t>
      </w:r>
      <w:r w:rsidRPr="00D14360">
        <w:t xml:space="preserve"> other studies only gave the concentrations given of the relevant elements studied, though both indicated </w:t>
      </w:r>
      <w:proofErr w:type="spellStart"/>
      <w:r w:rsidRPr="00D14360">
        <w:t>Additrace</w:t>
      </w:r>
      <w:proofErr w:type="spellEnd"/>
      <w:r w:rsidRPr="00D14360">
        <w:t xml:space="preserve"> was used.</w:t>
      </w:r>
      <w:bookmarkStart w:id="72" w:name="_Toc434235706"/>
    </w:p>
    <w:p w:rsidR="00A16AF7" w:rsidRDefault="00D14360" w:rsidP="00D14360">
      <w:pPr>
        <w:pStyle w:val="Tabletitle"/>
      </w:pPr>
      <w:r>
        <w:t xml:space="preserve">Table </w:t>
      </w:r>
      <w:r w:rsidR="00760A8A">
        <w:t>3</w:t>
      </w:r>
      <w:r>
        <w:t xml:space="preserve">: </w:t>
      </w:r>
      <w:r w:rsidR="00A16AF7" w:rsidRPr="00B6529C">
        <w:t>Daily dose</w:t>
      </w:r>
      <w:r w:rsidR="00A16AF7">
        <w:t xml:space="preserve"> used in studies claimed related to </w:t>
      </w:r>
      <w:proofErr w:type="spellStart"/>
      <w:r w:rsidR="00A16AF7">
        <w:t>Addaven</w:t>
      </w:r>
      <w:bookmarkEnd w:id="72"/>
      <w:proofErr w:type="spellEnd"/>
    </w:p>
    <w:p w:rsidR="00A16AF7" w:rsidRPr="00A16AF7" w:rsidRDefault="00A16AF7" w:rsidP="006E71E8">
      <w:pPr>
        <w:rPr>
          <w:vertAlign w:val="superscript"/>
        </w:rPr>
      </w:pPr>
      <w:r w:rsidRPr="00A16AF7">
        <w:rPr>
          <w:noProof/>
          <w:lang w:eastAsia="en-AU"/>
        </w:rPr>
        <w:drawing>
          <wp:inline distT="0" distB="0" distL="0" distR="0" wp14:anchorId="7E6FA5F4" wp14:editId="1C3E6CCA">
            <wp:extent cx="4541520" cy="1867535"/>
            <wp:effectExtent l="0" t="0" r="0" b="0"/>
            <wp:docPr id="2" name="Picture 2" descr="Table 3: Daily dose used in studies claimed related to Add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1520" cy="1867535"/>
                    </a:xfrm>
                    <a:prstGeom prst="rect">
                      <a:avLst/>
                    </a:prstGeom>
                    <a:noFill/>
                    <a:ln>
                      <a:noFill/>
                    </a:ln>
                  </pic:spPr>
                </pic:pic>
              </a:graphicData>
            </a:graphic>
          </wp:inline>
        </w:drawing>
      </w:r>
    </w:p>
    <w:p w:rsidR="00A16AF7" w:rsidRPr="00A16AF7" w:rsidRDefault="00A16AF7" w:rsidP="00D14360">
      <w:pPr>
        <w:pStyle w:val="TableDescription"/>
      </w:pPr>
      <w:proofErr w:type="spellStart"/>
      <w:r w:rsidRPr="00A16AF7">
        <w:rPr>
          <w:vertAlign w:val="superscript"/>
        </w:rPr>
        <w:t>a</w:t>
      </w:r>
      <w:proofErr w:type="spellEnd"/>
      <w:r w:rsidRPr="00A16AF7">
        <w:t xml:space="preserve"> In 5mL not 10mL bal</w:t>
      </w:r>
      <w:r w:rsidR="00D14360">
        <w:t xml:space="preserve">ance (Jacobson and Wester 1977); </w:t>
      </w:r>
      <w:r w:rsidRPr="00A16AF7">
        <w:rPr>
          <w:vertAlign w:val="superscript"/>
        </w:rPr>
        <w:t>b</w:t>
      </w:r>
      <w:r w:rsidR="00D14360">
        <w:t xml:space="preserve"> (</w:t>
      </w:r>
      <w:proofErr w:type="spellStart"/>
      <w:r w:rsidR="00D14360">
        <w:t>Shenkin</w:t>
      </w:r>
      <w:proofErr w:type="spellEnd"/>
      <w:r w:rsidR="00D14360">
        <w:t xml:space="preserve"> et al 1986); </w:t>
      </w:r>
      <w:r w:rsidRPr="00A16AF7">
        <w:rPr>
          <w:vertAlign w:val="superscript"/>
        </w:rPr>
        <w:t>c</w:t>
      </w:r>
      <w:r w:rsidRPr="00A16AF7">
        <w:t xml:space="preserve"> (</w:t>
      </w:r>
      <w:proofErr w:type="spellStart"/>
      <w:r w:rsidRPr="00A16AF7">
        <w:t>Shenkin</w:t>
      </w:r>
      <w:proofErr w:type="spellEnd"/>
      <w:r w:rsidRPr="00A16AF7">
        <w:t xml:space="preserve"> et al 1987)</w:t>
      </w:r>
      <w:r w:rsidR="00D14360">
        <w:t xml:space="preserve">; </w:t>
      </w:r>
      <w:r w:rsidRPr="00A16AF7">
        <w:rPr>
          <w:vertAlign w:val="superscript"/>
        </w:rPr>
        <w:t>d</w:t>
      </w:r>
      <w:r w:rsidRPr="00A16AF7">
        <w:t xml:space="preserve"> (Malone et al 1989)</w:t>
      </w:r>
      <w:r w:rsidR="00B95200">
        <w:t>.</w:t>
      </w:r>
    </w:p>
    <w:p w:rsidR="00A16AF7" w:rsidRPr="00C870F4" w:rsidRDefault="00A16AF7" w:rsidP="00C870F4">
      <w:r w:rsidRPr="00C870F4">
        <w:t xml:space="preserve">Reynolds et al (1998) used </w:t>
      </w:r>
      <w:proofErr w:type="spellStart"/>
      <w:r w:rsidRPr="00C870F4">
        <w:t>Additrace</w:t>
      </w:r>
      <w:proofErr w:type="spellEnd"/>
      <w:r w:rsidRPr="00C870F4">
        <w:t xml:space="preserve"> but looked only at manganese, </w:t>
      </w:r>
      <w:r w:rsidR="002F2FB7">
        <w:t xml:space="preserve">while </w:t>
      </w:r>
      <w:r w:rsidRPr="00C870F4">
        <w:t xml:space="preserve">Cruickshank et al (1989) also used </w:t>
      </w:r>
      <w:proofErr w:type="spellStart"/>
      <w:r w:rsidRPr="00C870F4">
        <w:t>Additrace</w:t>
      </w:r>
      <w:proofErr w:type="spellEnd"/>
      <w:r w:rsidRPr="00C870F4">
        <w:t xml:space="preserve"> but looked only at copper.</w:t>
      </w:r>
    </w:p>
    <w:p w:rsidR="00A16AF7" w:rsidRPr="00C870F4" w:rsidRDefault="00A16AF7" w:rsidP="00C870F4">
      <w:pPr>
        <w:pStyle w:val="ListBullet"/>
      </w:pPr>
      <w:proofErr w:type="spellStart"/>
      <w:r w:rsidRPr="00C870F4">
        <w:t>Shenkin</w:t>
      </w:r>
      <w:proofErr w:type="spellEnd"/>
      <w:r w:rsidRPr="00C870F4">
        <w:t xml:space="preserve"> et al 1986 Essential Trace Element Provision to Patients Receiving Home Intravenous Nutrition in the United Kingdom Clinical Nutrition (1986) 5: 91-97; in their conclusion state: ‘All patients receiving home IV Nutrition in the UK receive some form of trace element supplement. In many cases there is also a small oral intake of trace elements as part of the oral diet. Clinical deficiency states for trace elements are therefore uncommon. It is probable that none of the currently available commercial preparations of trace elements is ideal. Zinc provision is too low and usually has to be increased. Copper requirements appear to be variable. Manganese and chromium provision are generally too high. The most common depletion is for selenium.’</w:t>
      </w:r>
    </w:p>
    <w:p w:rsidR="00A16AF7" w:rsidRPr="00C870F4" w:rsidRDefault="00A16AF7" w:rsidP="00C870F4">
      <w:pPr>
        <w:pStyle w:val="ListBullet"/>
      </w:pPr>
      <w:r w:rsidRPr="00C870F4">
        <w:t xml:space="preserve">Malone et al 1989 Evaluation of a Trace Element Preparation in Patients Receiving Home Intravenous Nutrition Clinical Nutrition (1989) 8: 307-312. Twenty-four patients (twelve male, twelve female) were included in the study. The mean age was 41.9 years (range 18-62 years) and the mean duration of </w:t>
      </w:r>
      <w:proofErr w:type="gramStart"/>
      <w:r w:rsidRPr="00C870F4">
        <w:t>Parenteral</w:t>
      </w:r>
      <w:proofErr w:type="gramEnd"/>
      <w:r w:rsidRPr="00C870F4">
        <w:t xml:space="preserve"> nutrition was 28.1 (range 5-95) months. Most patients had some oral intake.</w:t>
      </w:r>
    </w:p>
    <w:p w:rsidR="00A16AF7" w:rsidRPr="00C870F4" w:rsidRDefault="00A16AF7" w:rsidP="00C870F4">
      <w:r w:rsidRPr="00C870F4">
        <w:t>The study only analysed zinc, copper, manganese, chromium and selenium.</w:t>
      </w:r>
    </w:p>
    <w:p w:rsidR="00A16AF7" w:rsidRPr="00C870F4" w:rsidRDefault="00A16AF7" w:rsidP="00C870F4">
      <w:r w:rsidRPr="00C870F4">
        <w:t>In the discussion the following comments were made:</w:t>
      </w:r>
    </w:p>
    <w:p w:rsidR="00A16AF7" w:rsidRPr="00C870F4" w:rsidRDefault="00A16AF7" w:rsidP="00C870F4">
      <w:pPr>
        <w:spacing w:before="20"/>
        <w:ind w:left="720"/>
        <w:rPr>
          <w:i/>
        </w:rPr>
      </w:pPr>
      <w:r w:rsidRPr="00C870F4">
        <w:rPr>
          <w:i/>
        </w:rPr>
        <w:lastRenderedPageBreak/>
        <w:t xml:space="preserve">In the present study there was wide variation in serum </w:t>
      </w:r>
      <w:r w:rsidRPr="00C870F4">
        <w:rPr>
          <w:b/>
          <w:i/>
        </w:rPr>
        <w:t>zinc</w:t>
      </w:r>
      <w:r w:rsidRPr="00C870F4">
        <w:rPr>
          <w:i/>
        </w:rPr>
        <w:t xml:space="preserve"> concentration, although most patients, receiving at least 500mcmol zinc per week, had serum zinc concentrations within the reference range. Three individuals with an intake of greater than 400mcmol per week had low se</w:t>
      </w:r>
      <w:r w:rsidR="00C870F4">
        <w:rPr>
          <w:i/>
        </w:rPr>
        <w:t>rum zinc (less than 10mcmol/L);</w:t>
      </w:r>
    </w:p>
    <w:p w:rsidR="00A16AF7" w:rsidRPr="00C870F4" w:rsidRDefault="00A16AF7" w:rsidP="00C870F4">
      <w:pPr>
        <w:spacing w:before="20"/>
        <w:ind w:left="720"/>
        <w:rPr>
          <w:i/>
        </w:rPr>
      </w:pPr>
      <w:r w:rsidRPr="00C870F4">
        <w:rPr>
          <w:i/>
        </w:rPr>
        <w:t>It can be concluded that 500-700mcmol (zinc) per week is an appropriate lev</w:t>
      </w:r>
      <w:r w:rsidR="00C870F4">
        <w:rPr>
          <w:i/>
        </w:rPr>
        <w:t>el of intake for such patients.</w:t>
      </w:r>
    </w:p>
    <w:p w:rsidR="00A16AF7" w:rsidRPr="00C870F4" w:rsidRDefault="00A16AF7" w:rsidP="00C870F4">
      <w:pPr>
        <w:spacing w:before="20"/>
        <w:ind w:left="720"/>
        <w:rPr>
          <w:i/>
        </w:rPr>
      </w:pPr>
      <w:r w:rsidRPr="00C870F4">
        <w:rPr>
          <w:i/>
        </w:rPr>
        <w:t xml:space="preserve">The level of </w:t>
      </w:r>
      <w:r w:rsidRPr="00C870F4">
        <w:rPr>
          <w:b/>
          <w:i/>
        </w:rPr>
        <w:t>copper</w:t>
      </w:r>
      <w:r w:rsidRPr="00C870F4">
        <w:rPr>
          <w:i/>
        </w:rPr>
        <w:t xml:space="preserve"> supplement at 20mcmol per day on IVN appeared satisfactory for the majority of patients. The overall mean intake during this study of 10mcmol per day was necessary to correct low serum copper concentration. Since in addition many patients were absorbing some copper from their limited oral intake, it can be concluded that a daily intake o</w:t>
      </w:r>
      <w:r w:rsidR="00C870F4">
        <w:rPr>
          <w:i/>
        </w:rPr>
        <w:t>f 10- 20mcmol is not excessive.</w:t>
      </w:r>
    </w:p>
    <w:p w:rsidR="00A16AF7" w:rsidRPr="00C870F4" w:rsidRDefault="00A16AF7" w:rsidP="00C870F4">
      <w:pPr>
        <w:spacing w:before="20"/>
        <w:ind w:left="720"/>
        <w:rPr>
          <w:i/>
        </w:rPr>
      </w:pPr>
      <w:r w:rsidRPr="00C870F4">
        <w:rPr>
          <w:i/>
        </w:rPr>
        <w:t xml:space="preserve">The level of </w:t>
      </w:r>
      <w:r w:rsidRPr="00C870F4">
        <w:rPr>
          <w:b/>
          <w:i/>
        </w:rPr>
        <w:t>manganese</w:t>
      </w:r>
      <w:r w:rsidRPr="00C870F4">
        <w:rPr>
          <w:i/>
        </w:rPr>
        <w:t xml:space="preserve"> supplementation prior to the study was clearly excessive, whereas an input of 5mcmol per bag appears to mee</w:t>
      </w:r>
      <w:r w:rsidR="00C870F4">
        <w:rPr>
          <w:i/>
        </w:rPr>
        <w:t>t IV requirements more closely.</w:t>
      </w:r>
    </w:p>
    <w:p w:rsidR="00A16AF7" w:rsidRPr="00C870F4" w:rsidRDefault="00A16AF7" w:rsidP="00C870F4">
      <w:pPr>
        <w:spacing w:before="20"/>
        <w:ind w:left="720"/>
        <w:rPr>
          <w:i/>
        </w:rPr>
      </w:pPr>
      <w:r w:rsidRPr="00C870F4">
        <w:rPr>
          <w:i/>
        </w:rPr>
        <w:t xml:space="preserve">The </w:t>
      </w:r>
      <w:r w:rsidRPr="00C870F4">
        <w:rPr>
          <w:b/>
          <w:i/>
        </w:rPr>
        <w:t>chromium</w:t>
      </w:r>
      <w:r w:rsidRPr="00C870F4">
        <w:rPr>
          <w:i/>
        </w:rPr>
        <w:t xml:space="preserve"> provision in the present study appeared to be excessive and this may be due to an additional effect from chrom</w:t>
      </w:r>
      <w:r w:rsidR="00C870F4">
        <w:rPr>
          <w:i/>
        </w:rPr>
        <w:t>ium contamination of nutrients.</w:t>
      </w:r>
    </w:p>
    <w:p w:rsidR="00A16AF7" w:rsidRPr="00C870F4" w:rsidRDefault="00A16AF7" w:rsidP="00C870F4">
      <w:pPr>
        <w:spacing w:before="20"/>
        <w:ind w:left="720"/>
        <w:rPr>
          <w:i/>
        </w:rPr>
      </w:pPr>
      <w:r w:rsidRPr="00C870F4">
        <w:rPr>
          <w:i/>
        </w:rPr>
        <w:t>Whether chromium should be reduced in the trace element supplement will depend upon whether there are consistent levels of bioavailable chromium in these other solutions. Nonetheless we feel a lower level of Cr supplement would probably be more appropria</w:t>
      </w:r>
      <w:r w:rsidR="00C870F4">
        <w:rPr>
          <w:i/>
        </w:rPr>
        <w:t>te.</w:t>
      </w:r>
    </w:p>
    <w:p w:rsidR="00A16AF7" w:rsidRPr="00C870F4" w:rsidRDefault="00A16AF7" w:rsidP="00C870F4">
      <w:pPr>
        <w:spacing w:before="20"/>
        <w:ind w:left="720"/>
        <w:rPr>
          <w:i/>
        </w:rPr>
      </w:pPr>
      <w:r w:rsidRPr="00C870F4">
        <w:rPr>
          <w:i/>
        </w:rPr>
        <w:t xml:space="preserve">The intake of 0.4mcmol </w:t>
      </w:r>
      <w:r w:rsidRPr="00C870F4">
        <w:rPr>
          <w:b/>
          <w:i/>
        </w:rPr>
        <w:t>selenium</w:t>
      </w:r>
      <w:r w:rsidRPr="00C870F4">
        <w:rPr>
          <w:i/>
        </w:rPr>
        <w:t xml:space="preserve"> per day is known to be at the lower limit of daily requirement. Since most patients commence HPN with impaired selenium status and do not receive supplements every day, they require an increased level of intake until selenium stores have been </w:t>
      </w:r>
      <w:proofErr w:type="spellStart"/>
      <w:r w:rsidRPr="00C870F4">
        <w:rPr>
          <w:i/>
        </w:rPr>
        <w:t>repleted</w:t>
      </w:r>
      <w:proofErr w:type="spellEnd"/>
      <w:r w:rsidRPr="00C870F4">
        <w:rPr>
          <w:i/>
        </w:rPr>
        <w:t>. We currently recommend 0.8mcmol/day for a period of 1-2 months. Thereafter, the level of 0.4mcmol/day is probably adequate to maintain Status. However, since the response is variable in different patients, monitoring of selenium st</w:t>
      </w:r>
      <w:r w:rsidR="00C870F4">
        <w:rPr>
          <w:i/>
        </w:rPr>
        <w:t>atus is recommended during HPN.</w:t>
      </w:r>
    </w:p>
    <w:p w:rsidR="006D4092" w:rsidRDefault="00A16AF7" w:rsidP="00A16AF7">
      <w:pPr>
        <w:pStyle w:val="Heading3"/>
        <w:spacing w:before="20"/>
      </w:pPr>
      <w:bookmarkStart w:id="73" w:name="_Toc434236184"/>
      <w:bookmarkStart w:id="74" w:name="_Toc480383684"/>
      <w:r>
        <w:t>Xylitol</w:t>
      </w:r>
      <w:bookmarkEnd w:id="73"/>
      <w:bookmarkEnd w:id="74"/>
    </w:p>
    <w:p w:rsidR="006D4092" w:rsidRDefault="00A16AF7" w:rsidP="00C870F4">
      <w:pPr>
        <w:spacing w:before="20"/>
        <w:rPr>
          <w:szCs w:val="24"/>
        </w:rPr>
      </w:pPr>
      <w:r w:rsidRPr="00A16AF7">
        <w:t xml:space="preserve">Intravenous administration is a previously marketed </w:t>
      </w:r>
      <w:r w:rsidRPr="00A16AF7">
        <w:rPr>
          <w:rStyle w:val="FootnoteReference"/>
        </w:rPr>
        <w:footnoteReference w:id="36"/>
      </w:r>
      <w:r w:rsidRPr="00A16AF7">
        <w:t xml:space="preserve"> but then prohibited route of administration for xylitol in Australia.</w:t>
      </w:r>
    </w:p>
    <w:p w:rsidR="00A16AF7" w:rsidRPr="00A16AF7" w:rsidRDefault="00A16AF7" w:rsidP="00C870F4">
      <w:pPr>
        <w:spacing w:before="20"/>
      </w:pPr>
      <w:r w:rsidRPr="00A16AF7">
        <w:t xml:space="preserve">Xylitol is synthesized naturally in humans and animals as part of the </w:t>
      </w:r>
      <w:proofErr w:type="spellStart"/>
      <w:r w:rsidRPr="00A16AF7">
        <w:t>glucuronic</w:t>
      </w:r>
      <w:proofErr w:type="spellEnd"/>
      <w:r w:rsidRPr="00A16AF7">
        <w:t xml:space="preserve"> acid – </w:t>
      </w:r>
      <w:proofErr w:type="spellStart"/>
      <w:r w:rsidRPr="00A16AF7">
        <w:t>xylulose</w:t>
      </w:r>
      <w:proofErr w:type="spellEnd"/>
      <w:r w:rsidRPr="00A16AF7">
        <w:t xml:space="preserve"> cycle - </w:t>
      </w:r>
      <w:proofErr w:type="spellStart"/>
      <w:r w:rsidRPr="00A16AF7">
        <w:t>Georgieff</w:t>
      </w:r>
      <w:proofErr w:type="spellEnd"/>
      <w:r w:rsidRPr="00A16AF7">
        <w:t xml:space="preserve"> et al. (1985) reports that approximately 5 to 15 g of xylitol are synthesized daily in the body, resulting in normal blood levels of xylitol of 0.3 to 0.6 mg/100 </w:t>
      </w:r>
      <w:proofErr w:type="spellStart"/>
      <w:r w:rsidRPr="00A16AF7">
        <w:t>mL.</w:t>
      </w:r>
      <w:proofErr w:type="spellEnd"/>
    </w:p>
    <w:p w:rsidR="00A16AF7" w:rsidRPr="00A16AF7" w:rsidRDefault="00A16AF7" w:rsidP="00C870F4">
      <w:pPr>
        <w:spacing w:before="20"/>
      </w:pPr>
      <w:r w:rsidRPr="00A16AF7">
        <w:t>From the Joint FAO/WHO Expert Committee on Food Additives 18-27 April 1977 HO Food Additives Series No. 12 Xylitol:</w:t>
      </w:r>
    </w:p>
    <w:p w:rsidR="006D4092" w:rsidRDefault="00A16AF7" w:rsidP="00C870F4">
      <w:pPr>
        <w:spacing w:before="20"/>
        <w:rPr>
          <w:rFonts w:cs="Arial"/>
        </w:rPr>
      </w:pPr>
      <w:r w:rsidRPr="00A16AF7">
        <w:rPr>
          <w:rFonts w:cs="Arial"/>
        </w:rPr>
        <w:t>After both oral and intravenous administration of xylitol subjects showed a fast distribution in the extracellular compartment and the tissues (</w:t>
      </w:r>
      <w:proofErr w:type="spellStart"/>
      <w:r w:rsidRPr="00A16AF7">
        <w:rPr>
          <w:rFonts w:cs="Arial"/>
        </w:rPr>
        <w:t>Bässler</w:t>
      </w:r>
      <w:proofErr w:type="spellEnd"/>
      <w:r w:rsidRPr="00A16AF7">
        <w:rPr>
          <w:rFonts w:cs="Arial"/>
        </w:rPr>
        <w:t xml:space="preserve"> et al., 1962). The initial fast distribution phase had a half-life of about four minutes, while the apparent half-life of elimination was approximately 20 minutes (Dixon and East, 1973).</w:t>
      </w:r>
    </w:p>
    <w:p w:rsidR="00A16AF7" w:rsidRPr="00A16AF7" w:rsidRDefault="00A16AF7" w:rsidP="00C870F4">
      <w:pPr>
        <w:spacing w:before="20"/>
        <w:rPr>
          <w:rFonts w:cs="Arial"/>
        </w:rPr>
      </w:pPr>
      <w:r w:rsidRPr="00A16AF7">
        <w:rPr>
          <w:rFonts w:cs="Arial"/>
        </w:rPr>
        <w:t>There is an excretion of 10% in the urine after intravenous infusion of xylitol (</w:t>
      </w:r>
      <w:proofErr w:type="spellStart"/>
      <w:r w:rsidRPr="00A16AF7">
        <w:rPr>
          <w:rFonts w:cs="Arial"/>
        </w:rPr>
        <w:t>Bässler</w:t>
      </w:r>
      <w:proofErr w:type="spellEnd"/>
      <w:r w:rsidRPr="00A16AF7">
        <w:rPr>
          <w:rFonts w:cs="Arial"/>
        </w:rPr>
        <w:t>, 1965).</w:t>
      </w:r>
    </w:p>
    <w:p w:rsidR="00A16AF7" w:rsidRPr="00A16AF7" w:rsidRDefault="00A16AF7" w:rsidP="00C870F4">
      <w:pPr>
        <w:spacing w:before="20"/>
        <w:rPr>
          <w:rFonts w:cs="Arial"/>
        </w:rPr>
      </w:pPr>
      <w:r w:rsidRPr="00A16AF7">
        <w:rPr>
          <w:rFonts w:cs="Arial"/>
        </w:rPr>
        <w:t>Xylitol is mainly metabolized in the liver (80% to glucose only 20%) but a small amount also in kidney, myocardium, erythrocytes, adrenal, brain, lungs and adipose tissue (</w:t>
      </w:r>
      <w:proofErr w:type="spellStart"/>
      <w:r w:rsidRPr="00A16AF7">
        <w:rPr>
          <w:rFonts w:cs="Arial"/>
        </w:rPr>
        <w:t>Bässler</w:t>
      </w:r>
      <w:proofErr w:type="spellEnd"/>
      <w:r w:rsidRPr="00A16AF7">
        <w:rPr>
          <w:rFonts w:cs="Arial"/>
        </w:rPr>
        <w:t xml:space="preserve">, 1965; </w:t>
      </w:r>
      <w:proofErr w:type="spellStart"/>
      <w:r w:rsidRPr="00A16AF7">
        <w:rPr>
          <w:rFonts w:cs="Arial"/>
        </w:rPr>
        <w:t>Hollmann</w:t>
      </w:r>
      <w:proofErr w:type="spellEnd"/>
      <w:r w:rsidRPr="00A16AF7">
        <w:rPr>
          <w:rFonts w:cs="Arial"/>
        </w:rPr>
        <w:t>, 1967). Exogenous xylitol can be metabolized in large quantities, intravenously 0.4 gm/kg/hour or 40 g/day orally raises the plasma level to a maximum of 1.5-16 mg/100 ml (</w:t>
      </w:r>
      <w:proofErr w:type="spellStart"/>
      <w:r w:rsidRPr="00A16AF7">
        <w:rPr>
          <w:rFonts w:cs="Arial"/>
        </w:rPr>
        <w:t>Bässler</w:t>
      </w:r>
      <w:proofErr w:type="spellEnd"/>
      <w:r w:rsidRPr="00A16AF7">
        <w:rPr>
          <w:rFonts w:cs="Arial"/>
        </w:rPr>
        <w:t>, 1965). The metabolic rate for xylitol is identical in both healthy and diabetic or uraemic patients and patients who suffered from liver diseases (Lang, 1972).</w:t>
      </w:r>
    </w:p>
    <w:p w:rsidR="00A16AF7" w:rsidRPr="00A16AF7" w:rsidRDefault="00A16AF7" w:rsidP="00C870F4">
      <w:pPr>
        <w:spacing w:before="20"/>
        <w:rPr>
          <w:rFonts w:cs="Arial"/>
        </w:rPr>
      </w:pPr>
      <w:r w:rsidRPr="00A16AF7">
        <w:rPr>
          <w:rFonts w:cs="Arial"/>
        </w:rPr>
        <w:lastRenderedPageBreak/>
        <w:t xml:space="preserve">After parenteral administration postoperatively of 10% xylitol solution (1.5 g/kg body weight) </w:t>
      </w:r>
      <w:proofErr w:type="spellStart"/>
      <w:r w:rsidRPr="00A16AF7">
        <w:rPr>
          <w:rFonts w:cs="Arial"/>
        </w:rPr>
        <w:t>Shumer</w:t>
      </w:r>
      <w:proofErr w:type="spellEnd"/>
      <w:r w:rsidRPr="00A16AF7">
        <w:rPr>
          <w:rFonts w:cs="Arial"/>
        </w:rPr>
        <w:t xml:space="preserve"> (1971) found a significant increase of lactic acid, uric acid, bilirubin and </w:t>
      </w:r>
      <w:proofErr w:type="spellStart"/>
      <w:r w:rsidRPr="00A16AF7">
        <w:rPr>
          <w:rFonts w:cs="Arial"/>
        </w:rPr>
        <w:t>Alk.Pase</w:t>
      </w:r>
      <w:proofErr w:type="spellEnd"/>
      <w:r w:rsidRPr="00A16AF7">
        <w:rPr>
          <w:rFonts w:cs="Arial"/>
        </w:rPr>
        <w:t xml:space="preserve"> in two diabetic and two non-diabetic patients. In a short-term experiment he carried out with two normal volunteers a dosage of 4.5 g/kg during five days produced significant increased levels of urine uric acid, SGOT, SAP, bilirubin, lactic acid, and inorganic phosphate in serum. The levels returned to normal 10 days after cessation of infusion. No effects were found in the BHN, Ca, cholesterol, glucose, amino-acids and insulin analyses, urinalyses and haematology were found (</w:t>
      </w:r>
      <w:proofErr w:type="spellStart"/>
      <w:r w:rsidRPr="00A16AF7">
        <w:rPr>
          <w:rFonts w:cs="Arial"/>
        </w:rPr>
        <w:t>Shumer</w:t>
      </w:r>
      <w:proofErr w:type="spellEnd"/>
      <w:r w:rsidRPr="00A16AF7">
        <w:rPr>
          <w:rFonts w:cs="Arial"/>
        </w:rPr>
        <w:t>, 1971).</w:t>
      </w:r>
    </w:p>
    <w:p w:rsidR="00A16AF7" w:rsidRPr="00A16AF7" w:rsidRDefault="00A16AF7" w:rsidP="00C870F4">
      <w:pPr>
        <w:spacing w:before="20"/>
        <w:rPr>
          <w:rFonts w:cs="Arial"/>
        </w:rPr>
      </w:pPr>
      <w:r w:rsidRPr="00A16AF7">
        <w:rPr>
          <w:rFonts w:cs="Arial"/>
        </w:rPr>
        <w:t xml:space="preserve">In 1971/1972 oxalate crystals were observed in the kidneys and brain in necropsies performed at the </w:t>
      </w:r>
      <w:proofErr w:type="spellStart"/>
      <w:r w:rsidRPr="00A16AF7">
        <w:rPr>
          <w:rFonts w:cs="Arial"/>
        </w:rPr>
        <w:t>Rafenkrankenhaus</w:t>
      </w:r>
      <w:proofErr w:type="spellEnd"/>
      <w:r w:rsidRPr="00A16AF7">
        <w:rPr>
          <w:rFonts w:cs="Arial"/>
        </w:rPr>
        <w:t xml:space="preserve"> in Hamburg on five patients who had received infusions of xylitol. According to the doctors responsible for their treatment they died of the severe conditions from which they had been suffering. These findings gave rise to extensive discussions as to whether xylitol was involved in the causation-of </w:t>
      </w:r>
      <w:proofErr w:type="spellStart"/>
      <w:r w:rsidRPr="00A16AF7">
        <w:rPr>
          <w:rFonts w:cs="Arial"/>
        </w:rPr>
        <w:t>oxalosis</w:t>
      </w:r>
      <w:proofErr w:type="spellEnd"/>
      <w:r w:rsidRPr="00A16AF7">
        <w:rPr>
          <w:rFonts w:cs="Arial"/>
        </w:rPr>
        <w:t>.</w:t>
      </w:r>
    </w:p>
    <w:p w:rsidR="00A16AF7" w:rsidRPr="00A16AF7" w:rsidRDefault="00A16AF7" w:rsidP="00C870F4">
      <w:pPr>
        <w:spacing w:before="20"/>
        <w:rPr>
          <w:rFonts w:cs="Arial"/>
        </w:rPr>
      </w:pPr>
      <w:r w:rsidRPr="00A16AF7">
        <w:rPr>
          <w:rFonts w:cs="Arial"/>
        </w:rPr>
        <w:t>Xylitol infusion produced no change of blood sugar in normal and a slight increase in diabetic patients. Blood lactate showed a significant increase in the diabetic group but only a slight increase in the normal group. Blood ketone bodies and plasma FFA decreased in both groups after xylitol administration. Plasma insulin increased slightly in five of the normal subjects and in four of the nine diabetic subjects (Yamagata et al., 1967).</w:t>
      </w:r>
    </w:p>
    <w:p w:rsidR="00A16AF7" w:rsidRPr="00A16AF7" w:rsidRDefault="00A16AF7" w:rsidP="00C870F4">
      <w:pPr>
        <w:spacing w:before="20"/>
        <w:rPr>
          <w:rFonts w:cs="Arial"/>
        </w:rPr>
      </w:pPr>
      <w:r w:rsidRPr="00A16AF7">
        <w:rPr>
          <w:rFonts w:cs="Arial"/>
        </w:rPr>
        <w:t>In another experiment xylitol was chronically intravenously infused to 12 mildly diabetic patients every morning for seven days. No changes were observed in fasting blood sugar, serum triglycerides, total cholesterol, serum electrolytes or ketone bodies. However, four cases indicated the marked decrease of urine sugar excretion during the experimental period. Xylitol was also given to two diabetic persons with ketosis and decreased the ketone bodies from 5.1 to 0.2 mg % within four hours (Yamagata et al., 1967).</w:t>
      </w:r>
    </w:p>
    <w:p w:rsidR="006D4092" w:rsidRDefault="00A16AF7" w:rsidP="00C870F4">
      <w:pPr>
        <w:spacing w:before="20"/>
      </w:pPr>
      <w:r w:rsidRPr="00A16AF7">
        <w:t>The application is for a recommended maximum daily dose of xylitol 3.0g.</w:t>
      </w:r>
    </w:p>
    <w:p w:rsidR="00A16AF7" w:rsidRPr="00A16AF7" w:rsidRDefault="00A16AF7" w:rsidP="00C870F4">
      <w:pPr>
        <w:spacing w:before="20"/>
      </w:pPr>
      <w:r w:rsidRPr="00A16AF7">
        <w:t xml:space="preserve">Compared to glucose, insulin secretion"' and hepatic </w:t>
      </w:r>
      <w:proofErr w:type="spellStart"/>
      <w:r w:rsidRPr="00A16AF7">
        <w:t>lipogenesis</w:t>
      </w:r>
      <w:proofErr w:type="spellEnd"/>
      <w:r w:rsidRPr="00A16AF7">
        <w:t xml:space="preserve"> are reduced significantly by xylitol use. Administration of xylitol at a rate of 0.08 to 0.11 g/kg/hr (135-185 g/ day) is accompanied by mobilization of endogenous fat sources and a rise in ketone bodies, so that part of the energy expenditure is recovered by oxidation of fatty acids, acetoacetate, and 0-hydroxybutyrate.</w:t>
      </w:r>
      <w:r w:rsidRPr="00A16AF7">
        <w:rPr>
          <w:rStyle w:val="FootnoteReference"/>
        </w:rPr>
        <w:footnoteReference w:id="37"/>
      </w:r>
    </w:p>
    <w:p w:rsidR="00A16AF7" w:rsidRPr="00A16AF7" w:rsidRDefault="00A16AF7" w:rsidP="00C870F4">
      <w:pPr>
        <w:spacing w:before="20"/>
      </w:pPr>
      <w:r w:rsidRPr="00A16AF7">
        <w:t xml:space="preserve">The maximum concentration proposed is concentration of 3% xylitol resulting </w:t>
      </w:r>
      <w:proofErr w:type="gramStart"/>
      <w:r w:rsidRPr="00A16AF7">
        <w:t>from  a</w:t>
      </w:r>
      <w:proofErr w:type="gramEnd"/>
      <w:r w:rsidRPr="00A16AF7">
        <w:t xml:space="preserve"> minimum recommended dilution of 100 mL saline/glucose for 10 mL </w:t>
      </w:r>
      <w:proofErr w:type="spellStart"/>
      <w:r w:rsidRPr="00A16AF7">
        <w:t>Addaven</w:t>
      </w:r>
      <w:proofErr w:type="spellEnd"/>
      <w:r w:rsidRPr="00A16AF7">
        <w:t>. When administered as recommended the maximum rate of xylitol would be 0.02 g/kg body weight/h.</w:t>
      </w:r>
      <w:r w:rsidRPr="00A16AF7">
        <w:rPr>
          <w:rStyle w:val="FootnoteReference"/>
        </w:rPr>
        <w:footnoteReference w:id="38"/>
      </w:r>
    </w:p>
    <w:p w:rsidR="00A16AF7" w:rsidRDefault="00A16AF7" w:rsidP="00A16AF7">
      <w:pPr>
        <w:pStyle w:val="Heading3"/>
        <w:spacing w:before="20"/>
      </w:pPr>
      <w:bookmarkStart w:id="75" w:name="_Toc434236185"/>
      <w:bookmarkStart w:id="76" w:name="_Ref271126605"/>
      <w:bookmarkStart w:id="77" w:name="_Toc272414657"/>
      <w:bookmarkStart w:id="78" w:name="_Toc290846282"/>
      <w:bookmarkStart w:id="79" w:name="_Toc290888819"/>
      <w:bookmarkStart w:id="80" w:name="_Toc480383685"/>
      <w:r w:rsidRPr="003C0A48">
        <w:t>Evaluator’s conclusions on clinical efficacy for</w:t>
      </w:r>
      <w:r>
        <w:t xml:space="preserve"> the trace el</w:t>
      </w:r>
      <w:r w:rsidRPr="0014523C">
        <w:t>ements</w:t>
      </w:r>
      <w:bookmarkEnd w:id="75"/>
      <w:bookmarkEnd w:id="80"/>
    </w:p>
    <w:p w:rsidR="002F2FB7" w:rsidRPr="00C870F4" w:rsidRDefault="002F2FB7" w:rsidP="002F2FB7">
      <w:r w:rsidRPr="00C870F4">
        <w:t>There appears to be a lack of evidence to support the dose of fluoride proposed for this product in Australia. Iodine deficiency has not been reported</w:t>
      </w:r>
      <w:r>
        <w:t>,</w:t>
      </w:r>
      <w:r w:rsidRPr="00C870F4">
        <w:t xml:space="preserve"> presumably because of its rapid absorption from the duodenum as much as from intense monitoring. Otherwise there is support for the inclusion of the other elements as they have been used in prevention and treatment of deficiency states.</w:t>
      </w:r>
    </w:p>
    <w:p w:rsidR="006D4092" w:rsidRDefault="002F2FB7" w:rsidP="002F2FB7">
      <w:r w:rsidRPr="00C870F4">
        <w:t>The doses proposed are in general supported by at least one guideline (</w:t>
      </w:r>
      <w:proofErr w:type="spellStart"/>
      <w:r w:rsidRPr="00C870F4">
        <w:t>AuSPEN</w:t>
      </w:r>
      <w:proofErr w:type="spellEnd"/>
      <w:r w:rsidRPr="00C870F4">
        <w:t>, ASPEN or ESPEN)</w:t>
      </w:r>
      <w:r>
        <w:t>.</w:t>
      </w:r>
      <w:r w:rsidRPr="00C870F4">
        <w:t xml:space="preserve"> </w:t>
      </w:r>
      <w:r>
        <w:t>T</w:t>
      </w:r>
      <w:r w:rsidRPr="00C870F4">
        <w:t xml:space="preserve">he only </w:t>
      </w:r>
      <w:r>
        <w:t>concern</w:t>
      </w:r>
      <w:r w:rsidRPr="00C870F4">
        <w:t xml:space="preserve"> being for Mn2+ where the ESPEN guide recommends </w:t>
      </w:r>
      <w:r>
        <w:t>a higher dose which then raises</w:t>
      </w:r>
      <w:r w:rsidRPr="00C870F4">
        <w:t xml:space="preserve"> concerns</w:t>
      </w:r>
      <w:r>
        <w:t xml:space="preserve"> </w:t>
      </w:r>
      <w:proofErr w:type="gramStart"/>
      <w:r>
        <w:t xml:space="preserve">with </w:t>
      </w:r>
      <w:r w:rsidRPr="00C870F4">
        <w:t xml:space="preserve"> re</w:t>
      </w:r>
      <w:r>
        <w:t>gard</w:t>
      </w:r>
      <w:proofErr w:type="gramEnd"/>
      <w:r>
        <w:t xml:space="preserve"> to</w:t>
      </w:r>
      <w:r w:rsidRPr="00C870F4">
        <w:t xml:space="preserve"> toxicity.  Some of the trace elements are not supported by the ASPEN guidelines based on what is perceived in them as inadequate evidence</w:t>
      </w:r>
      <w:r w:rsidR="00A16AF7" w:rsidRPr="00C870F4">
        <w:t>.</w:t>
      </w:r>
    </w:p>
    <w:p w:rsidR="00B95200" w:rsidRDefault="00B95200" w:rsidP="00B95200">
      <w:pPr>
        <w:pStyle w:val="TableTitle0"/>
      </w:pPr>
      <w:r>
        <w:lastRenderedPageBreak/>
        <w:t xml:space="preserve">Table </w:t>
      </w:r>
      <w:r w:rsidR="00037F86">
        <w:t>4</w:t>
      </w:r>
      <w:r>
        <w:t>:</w:t>
      </w:r>
      <w:r w:rsidRPr="004C5C28">
        <w:t xml:space="preserve"> </w:t>
      </w:r>
      <w:r w:rsidRPr="003B54F7">
        <w:t xml:space="preserve">Summary comparison of </w:t>
      </w:r>
      <w:proofErr w:type="spellStart"/>
      <w:r w:rsidRPr="003B54F7">
        <w:t>Addaven</w:t>
      </w:r>
      <w:proofErr w:type="spellEnd"/>
      <w:r w:rsidRPr="003B54F7">
        <w:t xml:space="preserve">, </w:t>
      </w:r>
      <w:r>
        <w:t>r</w:t>
      </w:r>
      <w:r w:rsidRPr="003B54F7">
        <w:t xml:space="preserve">ecommended daily dose (and source), </w:t>
      </w:r>
      <w:r>
        <w:t>s</w:t>
      </w:r>
      <w:r w:rsidRPr="003B54F7">
        <w:t xml:space="preserve">upporting </w:t>
      </w:r>
      <w:r>
        <w:t>e</w:t>
      </w:r>
      <w:r w:rsidRPr="003B54F7">
        <w:t xml:space="preserve">vidence, </w:t>
      </w:r>
      <w:r>
        <w:t>d</w:t>
      </w:r>
      <w:r w:rsidRPr="003B54F7">
        <w:t xml:space="preserve">eficiency and </w:t>
      </w:r>
      <w:r>
        <w:t>t</w:t>
      </w:r>
      <w:r w:rsidRPr="003B54F7">
        <w:t>oxicity</w:t>
      </w:r>
      <w:r>
        <w:t>.</w:t>
      </w:r>
    </w:p>
    <w:p w:rsidR="00B95200" w:rsidRDefault="00B95200" w:rsidP="006E71E8">
      <w:r>
        <w:rPr>
          <w:noProof/>
          <w:lang w:eastAsia="en-AU"/>
        </w:rPr>
        <w:drawing>
          <wp:inline distT="0" distB="0" distL="0" distR="0" wp14:anchorId="3F1A7BD8" wp14:editId="760DD15A">
            <wp:extent cx="5800550" cy="3122754"/>
            <wp:effectExtent l="0" t="0" r="0" b="1905"/>
            <wp:docPr id="5" name="Picture 5" descr="Table 4: Summary comparison of Addaven, recommended daily dose (and source), supporting evidence, deficiency and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8673" cy="3121744"/>
                    </a:xfrm>
                    <a:prstGeom prst="rect">
                      <a:avLst/>
                    </a:prstGeom>
                  </pic:spPr>
                </pic:pic>
              </a:graphicData>
            </a:graphic>
          </wp:inline>
        </w:drawing>
      </w:r>
    </w:p>
    <w:p w:rsidR="00A16AF7" w:rsidRPr="00A16AF7" w:rsidRDefault="00B95200" w:rsidP="00B95200">
      <w:pPr>
        <w:pStyle w:val="TableDescription"/>
      </w:pPr>
      <w:proofErr w:type="spellStart"/>
      <w:r w:rsidRPr="0033705D">
        <w:rPr>
          <w:vertAlign w:val="superscript"/>
        </w:rPr>
        <w:t>a</w:t>
      </w:r>
      <w:proofErr w:type="spellEnd"/>
      <w:r>
        <w:t xml:space="preserve"> ASPEN</w:t>
      </w:r>
      <w:r w:rsidRPr="0033705D">
        <w:t xml:space="preserve"> recommended</w:t>
      </w:r>
      <w:r w:rsidR="00EB0769">
        <w:t xml:space="preserve">; </w:t>
      </w:r>
      <w:r w:rsidRPr="0033705D">
        <w:rPr>
          <w:vertAlign w:val="superscript"/>
        </w:rPr>
        <w:t>b</w:t>
      </w:r>
      <w:r w:rsidRPr="0033705D">
        <w:t xml:space="preserve"> Despite raised serum and tissue levels in some patients</w:t>
      </w:r>
      <w:r w:rsidR="00EB0769">
        <w:t xml:space="preserve">; </w:t>
      </w:r>
      <w:r w:rsidRPr="0033705D">
        <w:rPr>
          <w:vertAlign w:val="superscript"/>
        </w:rPr>
        <w:t>c</w:t>
      </w:r>
      <w:r w:rsidRPr="0033705D">
        <w:t xml:space="preserve"> </w:t>
      </w:r>
      <w:proofErr w:type="spellStart"/>
      <w:r w:rsidRPr="0033705D">
        <w:t>AuSPEN</w:t>
      </w:r>
      <w:proofErr w:type="spellEnd"/>
      <w:r w:rsidRPr="0033705D">
        <w:t xml:space="preserve"> recommended</w:t>
      </w:r>
      <w:r w:rsidR="00EB0769">
        <w:t xml:space="preserve">; </w:t>
      </w:r>
      <w:r w:rsidRPr="0033705D">
        <w:rPr>
          <w:vertAlign w:val="superscript"/>
        </w:rPr>
        <w:t>d</w:t>
      </w:r>
      <w:r w:rsidRPr="0033705D">
        <w:t xml:space="preserve"> Postulated related to saturation of transferrin</w:t>
      </w:r>
      <w:r w:rsidR="00EB0769">
        <w:t xml:space="preserve">; </w:t>
      </w:r>
      <w:r w:rsidRPr="0033705D">
        <w:rPr>
          <w:vertAlign w:val="superscript"/>
        </w:rPr>
        <w:t>e</w:t>
      </w:r>
      <w:r>
        <w:t xml:space="preserve"> ASPEN, </w:t>
      </w:r>
      <w:r w:rsidRPr="0033705D">
        <w:t>not routinely added in US</w:t>
      </w:r>
      <w:r w:rsidR="00EB0769">
        <w:t xml:space="preserve">; </w:t>
      </w:r>
      <w:r w:rsidRPr="0033705D">
        <w:rPr>
          <w:vertAlign w:val="superscript"/>
        </w:rPr>
        <w:t>f</w:t>
      </w:r>
      <w:r w:rsidRPr="0033705D">
        <w:t xml:space="preserve"> </w:t>
      </w:r>
      <w:proofErr w:type="spellStart"/>
      <w:r w:rsidRPr="0033705D">
        <w:t>AuSPEN</w:t>
      </w:r>
      <w:proofErr w:type="spellEnd"/>
      <w:r w:rsidRPr="0033705D">
        <w:t xml:space="preserve"> no recommended dose</w:t>
      </w:r>
      <w:r w:rsidR="00EB0769">
        <w:t xml:space="preserve">; </w:t>
      </w:r>
      <w:r w:rsidRPr="0033705D">
        <w:rPr>
          <w:vertAlign w:val="superscript"/>
        </w:rPr>
        <w:t>g</w:t>
      </w:r>
      <w:r w:rsidRPr="0033705D">
        <w:t xml:space="preserve"> ESPEN recommended</w:t>
      </w:r>
      <w:r w:rsidR="00DC1A8D">
        <w:t>.</w:t>
      </w:r>
    </w:p>
    <w:p w:rsidR="00C22678" w:rsidRDefault="00C22678" w:rsidP="00A16AF7">
      <w:pPr>
        <w:pStyle w:val="Heading2"/>
        <w:spacing w:before="20"/>
      </w:pPr>
      <w:bookmarkStart w:id="81" w:name="_Toc480383686"/>
      <w:bookmarkEnd w:id="76"/>
      <w:bookmarkEnd w:id="77"/>
      <w:bookmarkEnd w:id="78"/>
      <w:bookmarkEnd w:id="79"/>
      <w:r>
        <w:t>Clinical safety</w:t>
      </w:r>
      <w:bookmarkEnd w:id="81"/>
    </w:p>
    <w:p w:rsidR="00A16AF7" w:rsidRDefault="00A16AF7" w:rsidP="00A16AF7">
      <w:pPr>
        <w:pStyle w:val="Heading3"/>
        <w:spacing w:before="20"/>
      </w:pPr>
      <w:bookmarkStart w:id="82" w:name="_Toc434236187"/>
      <w:bookmarkStart w:id="83" w:name="_Toc480383687"/>
      <w:r>
        <w:t xml:space="preserve">Adverse </w:t>
      </w:r>
      <w:r w:rsidR="006E71E8">
        <w:t>e</w:t>
      </w:r>
      <w:r>
        <w:t>vents</w:t>
      </w:r>
      <w:bookmarkEnd w:id="82"/>
      <w:bookmarkEnd w:id="83"/>
    </w:p>
    <w:p w:rsidR="00A16AF7" w:rsidRPr="00C62F2A" w:rsidRDefault="00A16AF7" w:rsidP="00C62F2A">
      <w:r w:rsidRPr="00C62F2A">
        <w:t>There were multiple AEs reported in the literature, virtually all considered not related to the parenteral nutrition - the following being examples:</w:t>
      </w:r>
    </w:p>
    <w:p w:rsidR="006D4092" w:rsidRDefault="00A16AF7" w:rsidP="00C62F2A">
      <w:pPr>
        <w:pStyle w:val="ListBullet"/>
      </w:pPr>
      <w:r w:rsidRPr="00C62F2A">
        <w:t>Santos et al 2001 bacteraemia in 2/10, a four-fold increase from baseline in serum triglycerides in 1/10.</w:t>
      </w:r>
    </w:p>
    <w:p w:rsidR="00A16AF7" w:rsidRPr="00C62F2A" w:rsidRDefault="00A16AF7" w:rsidP="00C62F2A">
      <w:pPr>
        <w:pStyle w:val="ListBullet"/>
      </w:pPr>
      <w:r w:rsidRPr="00C62F2A">
        <w:t>Garcia-de-Lorenzo et al 2005 (burns patients) septicaemia or documented infections 6/22, death from multiple organ failure 7/22 usually with a pre-existing severe sepsis, hyperglycaemia at baseline, abnormal hepatic changes.</w:t>
      </w:r>
    </w:p>
    <w:p w:rsidR="00A16AF7" w:rsidRPr="00C62F2A" w:rsidRDefault="00A16AF7" w:rsidP="00C62F2A">
      <w:pPr>
        <w:pStyle w:val="ListBullet"/>
      </w:pPr>
      <w:r w:rsidRPr="00C62F2A">
        <w:t>Jacobson and Wester 1977 No adverse clinical effects of any kind in 4 patients.</w:t>
      </w:r>
    </w:p>
    <w:p w:rsidR="00A16AF7" w:rsidRPr="00C62F2A" w:rsidRDefault="00A16AF7" w:rsidP="00C62F2A">
      <w:pPr>
        <w:pStyle w:val="ListBullet"/>
      </w:pPr>
      <w:r w:rsidRPr="00C62F2A">
        <w:t>Zhang et al 2007 Hyperglycaemia 23/48, infection5/4, oedema 1, fever 1, tetter 1.</w:t>
      </w:r>
    </w:p>
    <w:p w:rsidR="006D4092" w:rsidRDefault="00A16AF7" w:rsidP="00A16AF7">
      <w:pPr>
        <w:pStyle w:val="Heading3"/>
        <w:spacing w:before="20"/>
      </w:pPr>
      <w:bookmarkStart w:id="84" w:name="_Toc434236188"/>
      <w:bookmarkStart w:id="85" w:name="_Toc480383688"/>
      <w:r>
        <w:t xml:space="preserve">Adverse </w:t>
      </w:r>
      <w:r w:rsidR="006E71E8">
        <w:t>r</w:t>
      </w:r>
      <w:r>
        <w:t>eactions</w:t>
      </w:r>
      <w:bookmarkEnd w:id="84"/>
      <w:bookmarkEnd w:id="85"/>
    </w:p>
    <w:p w:rsidR="00A16AF7" w:rsidRPr="002538FC" w:rsidRDefault="00A16AF7" w:rsidP="002538FC">
      <w:r w:rsidRPr="002538FC">
        <w:t>Limited information is available:</w:t>
      </w:r>
    </w:p>
    <w:p w:rsidR="00A16AF7" w:rsidRPr="002538FC" w:rsidRDefault="00A16AF7" w:rsidP="002538FC">
      <w:pPr>
        <w:pStyle w:val="ListBullet"/>
      </w:pPr>
      <w:r w:rsidRPr="002538FC">
        <w:t>Santos et al 2001 There were no side-effects attributable to PN.</w:t>
      </w:r>
    </w:p>
    <w:p w:rsidR="00A16AF7" w:rsidRPr="002538FC" w:rsidRDefault="00A16AF7" w:rsidP="002538FC">
      <w:pPr>
        <w:pStyle w:val="ListBullet"/>
      </w:pPr>
      <w:r w:rsidRPr="002538FC">
        <w:t>Garcia-de-Lorenzo et al 2005 Although no significant difference in global safety was found between lipid emulsions, a statistically higher number of patients experienced liver function abnormalities with MCT/LCT.</w:t>
      </w:r>
    </w:p>
    <w:p w:rsidR="00A16AF7" w:rsidRPr="002538FC" w:rsidRDefault="00A16AF7" w:rsidP="002538FC">
      <w:pPr>
        <w:pStyle w:val="ListBullet"/>
      </w:pPr>
      <w:r w:rsidRPr="002538FC">
        <w:t>Jacobson and Wester 1977 No adverse clinical effects of any kind in 4 patients.</w:t>
      </w:r>
    </w:p>
    <w:p w:rsidR="00A16AF7" w:rsidRPr="002538FC" w:rsidRDefault="002F2FB7" w:rsidP="002538FC">
      <w:pPr>
        <w:pStyle w:val="ListBullet"/>
      </w:pPr>
      <w:r w:rsidRPr="002538FC">
        <w:t xml:space="preserve">Zhang et al 2007 </w:t>
      </w:r>
      <w:r>
        <w:t>u</w:t>
      </w:r>
      <w:r w:rsidRPr="002538FC">
        <w:t xml:space="preserve">sing </w:t>
      </w:r>
      <w:proofErr w:type="spellStart"/>
      <w:r w:rsidRPr="002538FC">
        <w:t>Addamel</w:t>
      </w:r>
      <w:proofErr w:type="spellEnd"/>
      <w:r w:rsidRPr="002538FC">
        <w:t xml:space="preserve"> said adverse events not related to the trial drug (growth hormone), 5 placebo-treated patients experienced mild electrolytes imbalance</w:t>
      </w:r>
      <w:r w:rsidR="00A16AF7" w:rsidRPr="002538FC">
        <w:t>.</w:t>
      </w:r>
    </w:p>
    <w:p w:rsidR="006D4092" w:rsidRDefault="00A16AF7" w:rsidP="00A16AF7">
      <w:pPr>
        <w:pStyle w:val="Heading3"/>
        <w:spacing w:before="20"/>
      </w:pPr>
      <w:bookmarkStart w:id="86" w:name="_Ref433706419"/>
      <w:bookmarkStart w:id="87" w:name="_Ref433712296"/>
      <w:bookmarkStart w:id="88" w:name="_Toc434236189"/>
      <w:bookmarkStart w:id="89" w:name="_Toc480383689"/>
      <w:r>
        <w:lastRenderedPageBreak/>
        <w:t xml:space="preserve">Toxicity </w:t>
      </w:r>
      <w:r w:rsidRPr="008E6508">
        <w:t xml:space="preserve">of </w:t>
      </w:r>
      <w:r w:rsidR="006E71E8" w:rsidRPr="008E6508">
        <w:t>single trace elements</w:t>
      </w:r>
      <w:bookmarkEnd w:id="86"/>
      <w:bookmarkEnd w:id="87"/>
      <w:bookmarkEnd w:id="88"/>
      <w:bookmarkEnd w:id="89"/>
    </w:p>
    <w:p w:rsidR="006D4092" w:rsidRDefault="00A16AF7" w:rsidP="00A16AF7">
      <w:pPr>
        <w:pStyle w:val="Heading4"/>
        <w:spacing w:before="20"/>
      </w:pPr>
      <w:bookmarkStart w:id="90" w:name="_Toc434236190"/>
      <w:r>
        <w:t>Chromium</w:t>
      </w:r>
      <w:bookmarkEnd w:id="90"/>
    </w:p>
    <w:p w:rsidR="00A16AF7" w:rsidRPr="00227AD6" w:rsidRDefault="00A16AF7" w:rsidP="00227AD6">
      <w:r w:rsidRPr="00227AD6">
        <w:t xml:space="preserve">Renal impairment reported with oral chromium </w:t>
      </w:r>
      <w:proofErr w:type="spellStart"/>
      <w:r w:rsidRPr="00227AD6">
        <w:t>picolinate</w:t>
      </w:r>
      <w:proofErr w:type="spellEnd"/>
      <w:r w:rsidRPr="00227AD6">
        <w:t xml:space="preserve"> supplements, bu</w:t>
      </w:r>
      <w:r w:rsidR="005046AB">
        <w:t xml:space="preserve">t none with chromium chloride. The former is </w:t>
      </w:r>
      <w:proofErr w:type="spellStart"/>
      <w:r w:rsidR="005046AB">
        <w:t>r</w:t>
      </w:r>
      <w:r w:rsidRPr="00227AD6">
        <w:t>enally</w:t>
      </w:r>
      <w:proofErr w:type="spellEnd"/>
      <w:r w:rsidRPr="00227AD6">
        <w:t xml:space="preserve"> excreted</w:t>
      </w:r>
      <w:r w:rsidR="00395DEB">
        <w:t>;</w:t>
      </w:r>
      <w:r w:rsidRPr="00227AD6">
        <w:t xml:space="preserve"> therefore of concern in patients with poor renal function.</w:t>
      </w:r>
    </w:p>
    <w:p w:rsidR="006D4092" w:rsidRDefault="00A16AF7" w:rsidP="00A16AF7">
      <w:pPr>
        <w:pStyle w:val="Heading4"/>
        <w:spacing w:before="20"/>
      </w:pPr>
      <w:bookmarkStart w:id="91" w:name="_Toc434236191"/>
      <w:r>
        <w:t>Copper</w:t>
      </w:r>
      <w:bookmarkEnd w:id="91"/>
    </w:p>
    <w:p w:rsidR="00A16AF7" w:rsidRPr="00227AD6" w:rsidRDefault="00A16AF7" w:rsidP="00227AD6">
      <w:r w:rsidRPr="00227AD6">
        <w:t>Acute toxicity results in abdominal symptoms, liver and kidney failure, coma, and death.</w:t>
      </w:r>
    </w:p>
    <w:p w:rsidR="00A16AF7" w:rsidRPr="00227AD6" w:rsidRDefault="00A16AF7" w:rsidP="00227AD6">
      <w:r w:rsidRPr="00227AD6">
        <w:t>Chronic copper toxicity, as occurs in Wilson’s disease, results in accumulation in the liver, kidneys, brain and cornea leading to hepatic necrosis and cirrhosis, renal failure, and neurologic disorders.</w:t>
      </w:r>
    </w:p>
    <w:p w:rsidR="00A16AF7" w:rsidRPr="00227AD6" w:rsidRDefault="00A16AF7" w:rsidP="00227AD6">
      <w:r w:rsidRPr="00227AD6">
        <w:t>For patients with cholestasis a risk of copper overload exists during long-term PN.</w:t>
      </w:r>
    </w:p>
    <w:p w:rsidR="00A16AF7" w:rsidRDefault="00A16AF7" w:rsidP="00A16AF7">
      <w:pPr>
        <w:pStyle w:val="Heading4"/>
        <w:spacing w:before="20"/>
      </w:pPr>
      <w:bookmarkStart w:id="92" w:name="_Toc434236192"/>
      <w:r w:rsidRPr="00E954F8">
        <w:t>Fluoride</w:t>
      </w:r>
      <w:bookmarkEnd w:id="92"/>
    </w:p>
    <w:p w:rsidR="00A16AF7" w:rsidRPr="00227AD6" w:rsidRDefault="00A16AF7" w:rsidP="00227AD6">
      <w:r w:rsidRPr="00227AD6">
        <w:t>Acute excessive fluoride may lead to death. Chronic toxicity of fluoride may involve teeth and bone structures.</w:t>
      </w:r>
    </w:p>
    <w:p w:rsidR="00A16AF7" w:rsidRDefault="00A16AF7" w:rsidP="00A16AF7">
      <w:pPr>
        <w:pStyle w:val="Heading4"/>
        <w:spacing w:before="20"/>
      </w:pPr>
      <w:bookmarkStart w:id="93" w:name="_Toc434236193"/>
      <w:r>
        <w:t>Iodide</w:t>
      </w:r>
      <w:bookmarkEnd w:id="93"/>
    </w:p>
    <w:p w:rsidR="00A16AF7" w:rsidRPr="00227AD6" w:rsidRDefault="00A16AF7" w:rsidP="00227AD6">
      <w:r w:rsidRPr="00227AD6">
        <w:t>Iodine toxicity is rare, most people being tolerant to excess provision.</w:t>
      </w:r>
    </w:p>
    <w:p w:rsidR="00A16AF7" w:rsidRDefault="00A16AF7" w:rsidP="00A16AF7">
      <w:pPr>
        <w:pStyle w:val="Heading4"/>
        <w:spacing w:before="20"/>
      </w:pPr>
      <w:bookmarkStart w:id="94" w:name="_Toc434236194"/>
      <w:r>
        <w:t>Iron</w:t>
      </w:r>
      <w:bookmarkEnd w:id="94"/>
    </w:p>
    <w:p w:rsidR="006D4092" w:rsidRDefault="00A16AF7" w:rsidP="00227AD6">
      <w:r w:rsidRPr="00227AD6">
        <w:t xml:space="preserve">Excessive body iron may accumulate as hemosiderin in iron stores and the </w:t>
      </w:r>
      <w:proofErr w:type="spellStart"/>
      <w:r w:rsidRPr="00227AD6">
        <w:t>reticuloendothelial</w:t>
      </w:r>
      <w:proofErr w:type="spellEnd"/>
      <w:r w:rsidRPr="00227AD6">
        <w:t xml:space="preserve"> system in cells of any organ. Typical symptoms of primary as well as secondary </w:t>
      </w:r>
      <w:proofErr w:type="spellStart"/>
      <w:r w:rsidRPr="00227AD6">
        <w:t>haemochromatosis</w:t>
      </w:r>
      <w:proofErr w:type="spellEnd"/>
      <w:r w:rsidRPr="00227AD6">
        <w:t xml:space="preserve"> comprise hepatic cirrhosis, diabetes mellitus, and hyperpigmentation of the skin that may be combined with other symptoms such as cardiac arrhythmias or </w:t>
      </w:r>
      <w:proofErr w:type="spellStart"/>
      <w:r w:rsidRPr="00227AD6">
        <w:t>arthropathy</w:t>
      </w:r>
      <w:proofErr w:type="spellEnd"/>
      <w:r w:rsidRPr="00227AD6">
        <w:t>.</w:t>
      </w:r>
    </w:p>
    <w:p w:rsidR="006D4092" w:rsidRDefault="00A16AF7" w:rsidP="00A16AF7">
      <w:pPr>
        <w:pStyle w:val="Heading4"/>
        <w:spacing w:before="20"/>
      </w:pPr>
      <w:bookmarkStart w:id="95" w:name="_Toc434236195"/>
      <w:r>
        <w:t>Manganese</w:t>
      </w:r>
      <w:bookmarkEnd w:id="95"/>
    </w:p>
    <w:p w:rsidR="00A16AF7" w:rsidRPr="00227AD6" w:rsidRDefault="00A16AF7" w:rsidP="00227AD6">
      <w:r w:rsidRPr="00227AD6">
        <w:t>There have been reports of toxicity due to overprovision of manganese during PN, this is of concern especially in patients with chronic liver disease. Abnormal midbrain MRI images, some memory loss with muscle weakness, signs suggestive of Parkinsonism have been reported.</w:t>
      </w:r>
    </w:p>
    <w:p w:rsidR="00A16AF7" w:rsidRDefault="00A16AF7" w:rsidP="00A16AF7">
      <w:pPr>
        <w:pStyle w:val="Heading4"/>
        <w:spacing w:before="20"/>
      </w:pPr>
      <w:bookmarkStart w:id="96" w:name="_Toc434236196"/>
      <w:r w:rsidRPr="00F4641C">
        <w:t>Selenium</w:t>
      </w:r>
      <w:bookmarkEnd w:id="96"/>
    </w:p>
    <w:p w:rsidR="00A16AF7" w:rsidRPr="00227AD6" w:rsidRDefault="00395DEB" w:rsidP="00227AD6">
      <w:proofErr w:type="gramStart"/>
      <w:r>
        <w:t>Exposure to c</w:t>
      </w:r>
      <w:r w:rsidR="00A16AF7" w:rsidRPr="00227AD6">
        <w:t xml:space="preserve">hronic excess, known as </w:t>
      </w:r>
      <w:proofErr w:type="spellStart"/>
      <w:r w:rsidR="00A16AF7" w:rsidRPr="00227AD6">
        <w:t>selenosis</w:t>
      </w:r>
      <w:proofErr w:type="spellEnd"/>
      <w:r w:rsidR="00A16AF7" w:rsidRPr="00227AD6">
        <w:t>, causes hair and nail changes, gastrointestinal upsets, and nervous system abnormalities.</w:t>
      </w:r>
      <w:proofErr w:type="gramEnd"/>
      <w:r w:rsidR="00A16AF7" w:rsidRPr="00227AD6">
        <w:t xml:space="preserve"> Acute toxicity is rare, and can be fatal. There have been no reports of selenium toxicity during PN.</w:t>
      </w:r>
    </w:p>
    <w:p w:rsidR="00A16AF7" w:rsidRDefault="00A16AF7" w:rsidP="00A16AF7">
      <w:pPr>
        <w:pStyle w:val="Heading4"/>
        <w:spacing w:before="20"/>
      </w:pPr>
      <w:bookmarkStart w:id="97" w:name="_Toc434236197"/>
      <w:r w:rsidRPr="00F4641C">
        <w:t>Zinc</w:t>
      </w:r>
      <w:bookmarkEnd w:id="97"/>
    </w:p>
    <w:p w:rsidR="00A16AF7" w:rsidRPr="00227AD6" w:rsidRDefault="00A16AF7" w:rsidP="00227AD6">
      <w:r w:rsidRPr="00227AD6">
        <w:t>Acute toxicity may result in epigastric abdominal pain, nausea, vomiting and diarrhoea. Chronic toxicity may lead to decreased serum copper levels, neutropenia, reduced high-density lipoprotein, and impaired immune function.</w:t>
      </w:r>
    </w:p>
    <w:p w:rsidR="00A16AF7" w:rsidRDefault="00A16AF7" w:rsidP="00A16AF7">
      <w:pPr>
        <w:pStyle w:val="Heading4"/>
        <w:spacing w:before="20"/>
      </w:pPr>
      <w:bookmarkStart w:id="98" w:name="_Toc434236198"/>
      <w:r w:rsidRPr="00F4641C">
        <w:t>Molybdenum</w:t>
      </w:r>
      <w:bookmarkEnd w:id="98"/>
    </w:p>
    <w:p w:rsidR="00A16AF7" w:rsidRPr="00227AD6" w:rsidRDefault="00A16AF7" w:rsidP="00227AD6">
      <w:r w:rsidRPr="00227AD6">
        <w:t>There is little data on toxicity of molybdenum in man.</w:t>
      </w:r>
    </w:p>
    <w:p w:rsidR="006D4092" w:rsidRDefault="00A16AF7" w:rsidP="00A16AF7">
      <w:pPr>
        <w:pStyle w:val="Heading3"/>
        <w:spacing w:before="20"/>
      </w:pPr>
      <w:bookmarkStart w:id="99" w:name="_Toc434236199"/>
      <w:bookmarkStart w:id="100" w:name="_Toc480383690"/>
      <w:r>
        <w:t>Overdose</w:t>
      </w:r>
      <w:bookmarkEnd w:id="99"/>
      <w:bookmarkEnd w:id="100"/>
    </w:p>
    <w:p w:rsidR="00A16AF7" w:rsidRPr="007C0750" w:rsidRDefault="00A16AF7" w:rsidP="007C0750">
      <w:r w:rsidRPr="007C0750">
        <w:t>Cases of zinc overdose with PN have been reported:</w:t>
      </w:r>
    </w:p>
    <w:p w:rsidR="00A16AF7" w:rsidRPr="007C0750" w:rsidRDefault="00A16AF7" w:rsidP="007C0750">
      <w:pPr>
        <w:pStyle w:val="ListBullet"/>
      </w:pPr>
      <w:r w:rsidRPr="007C0750">
        <w:t>One case showed initial symptoms of hypotension, pulmonary oedema, diarrhoea, vomiting, jaundice, and oliguria showed fluctuating progress. Poor renal function made haemodialysis necessary and eventually led to death.</w:t>
      </w:r>
    </w:p>
    <w:p w:rsidR="00A16AF7" w:rsidRPr="007C0750" w:rsidRDefault="00A16AF7" w:rsidP="007C0750">
      <w:pPr>
        <w:pStyle w:val="ListBullet"/>
      </w:pPr>
      <w:r w:rsidRPr="007C0750">
        <w:t xml:space="preserve">In seven patients, the zinc overdose led to reversible </w:t>
      </w:r>
      <w:proofErr w:type="spellStart"/>
      <w:r w:rsidRPr="007C0750">
        <w:t>hyperamylasaemia</w:t>
      </w:r>
      <w:proofErr w:type="spellEnd"/>
      <w:r w:rsidRPr="007C0750">
        <w:t xml:space="preserve"> with no clinical signs of pancreatitis.</w:t>
      </w:r>
    </w:p>
    <w:p w:rsidR="00A16AF7" w:rsidRPr="007C0750" w:rsidRDefault="00A16AF7" w:rsidP="007C0750">
      <w:r w:rsidRPr="007C0750">
        <w:lastRenderedPageBreak/>
        <w:t>In the post marketing information 3 patients received an overdose: one patient developed paraesthesia as potassium was administered (a serious case, from which the patient recovered), the second patient developed injection site pain and in the third patient no adverse drug reaction occurred.</w:t>
      </w:r>
    </w:p>
    <w:p w:rsidR="00A16AF7" w:rsidRDefault="00A16AF7" w:rsidP="00A16AF7">
      <w:pPr>
        <w:pStyle w:val="Heading3"/>
        <w:spacing w:before="20"/>
      </w:pPr>
      <w:bookmarkStart w:id="101" w:name="_Toc241374326"/>
      <w:bookmarkStart w:id="102" w:name="_Ref272333048"/>
      <w:bookmarkStart w:id="103" w:name="_Toc272414679"/>
      <w:bookmarkStart w:id="104" w:name="_Toc290846317"/>
      <w:bookmarkStart w:id="105" w:name="_Toc290888854"/>
      <w:bookmarkStart w:id="106" w:name="_Toc434236200"/>
      <w:bookmarkStart w:id="107" w:name="_Toc480383691"/>
      <w:r>
        <w:t>Post-marketing experience</w:t>
      </w:r>
      <w:bookmarkEnd w:id="101"/>
      <w:bookmarkEnd w:id="102"/>
      <w:bookmarkEnd w:id="103"/>
      <w:bookmarkEnd w:id="104"/>
      <w:bookmarkEnd w:id="105"/>
      <w:bookmarkEnd w:id="106"/>
      <w:bookmarkEnd w:id="107"/>
    </w:p>
    <w:p w:rsidR="00A16AF7" w:rsidRPr="007C0750" w:rsidRDefault="0028412E" w:rsidP="007C0750">
      <w:r w:rsidRPr="002333CE">
        <w:t xml:space="preserve">As </w:t>
      </w:r>
      <w:proofErr w:type="spellStart"/>
      <w:r w:rsidRPr="002333CE">
        <w:t>Addaven</w:t>
      </w:r>
      <w:proofErr w:type="spellEnd"/>
      <w:r w:rsidRPr="002333CE">
        <w:t xml:space="preserve"> has only</w:t>
      </w:r>
      <w:r>
        <w:t xml:space="preserve"> very recently been marketed </w:t>
      </w:r>
      <w:r w:rsidRPr="002333CE">
        <w:t>(first supply in Sweden in October 2014)</w:t>
      </w:r>
      <w:r>
        <w:t xml:space="preserve">, </w:t>
      </w:r>
      <w:r w:rsidRPr="002333CE">
        <w:t>no evidence</w:t>
      </w:r>
      <w:r w:rsidRPr="000E7098">
        <w:t xml:space="preserve"> </w:t>
      </w:r>
      <w:r w:rsidRPr="002333CE">
        <w:t>is available of safety</w:t>
      </w:r>
      <w:r>
        <w:t xml:space="preserve"> concerns</w:t>
      </w:r>
      <w:r w:rsidRPr="002333CE">
        <w:t xml:space="preserve"> from use of </w:t>
      </w:r>
      <w:proofErr w:type="spellStart"/>
      <w:r w:rsidRPr="002333CE">
        <w:t>Addaven</w:t>
      </w:r>
      <w:proofErr w:type="spellEnd"/>
      <w:r w:rsidR="00A16AF7" w:rsidRPr="007C0750">
        <w:t>.</w:t>
      </w:r>
    </w:p>
    <w:p w:rsidR="006D4092" w:rsidRDefault="00A16AF7" w:rsidP="00A16AF7">
      <w:pPr>
        <w:pStyle w:val="Heading4"/>
        <w:spacing w:before="20"/>
      </w:pPr>
      <w:bookmarkStart w:id="108" w:name="_Toc434236201"/>
      <w:r>
        <w:t>PSURs</w:t>
      </w:r>
      <w:bookmarkEnd w:id="108"/>
    </w:p>
    <w:p w:rsidR="00A16AF7" w:rsidRPr="007C0750" w:rsidRDefault="00A16AF7" w:rsidP="007C0750">
      <w:r w:rsidRPr="007C0750">
        <w:t xml:space="preserve">These are for </w:t>
      </w:r>
      <w:proofErr w:type="spellStart"/>
      <w:r w:rsidRPr="007C0750">
        <w:t>Addamel</w:t>
      </w:r>
      <w:proofErr w:type="spellEnd"/>
      <w:r w:rsidRPr="007C0750">
        <w:t xml:space="preserve"> N 1986 to 31 December 2014. Not all are felt due to this preparation.</w:t>
      </w:r>
    </w:p>
    <w:p w:rsidR="00A16AF7" w:rsidRPr="007C0750" w:rsidRDefault="007C0750" w:rsidP="007C0750">
      <w:r>
        <w:t>Serious ARs:</w:t>
      </w:r>
    </w:p>
    <w:p w:rsidR="00A16AF7" w:rsidRPr="007C0750" w:rsidRDefault="00A16AF7" w:rsidP="007C0750">
      <w:pPr>
        <w:pStyle w:val="ListBullet"/>
      </w:pPr>
      <w:proofErr w:type="spellStart"/>
      <w:r w:rsidRPr="007C0750">
        <w:t>An</w:t>
      </w:r>
      <w:r w:rsidR="007C0750">
        <w:t>aphylactoid</w:t>
      </w:r>
      <w:proofErr w:type="spellEnd"/>
      <w:r w:rsidR="007C0750">
        <w:t xml:space="preserve"> reaction in a [information redacted] </w:t>
      </w:r>
      <w:r w:rsidRPr="007C0750">
        <w:t xml:space="preserve">with short bowel disease 9 hours after start of PN. Doctors believed that the </w:t>
      </w:r>
      <w:proofErr w:type="spellStart"/>
      <w:r w:rsidRPr="007C0750">
        <w:t>Intralipid</w:t>
      </w:r>
      <w:proofErr w:type="spellEnd"/>
      <w:r w:rsidRPr="007C0750">
        <w:t xml:space="preserve"> component of the PN regimen was the causative agent. The </w:t>
      </w:r>
      <w:r w:rsidR="00080AD7">
        <w:t>[information redacted]</w:t>
      </w:r>
      <w:r w:rsidRPr="007C0750">
        <w:t xml:space="preserve"> made a full recovery.</w:t>
      </w:r>
    </w:p>
    <w:p w:rsidR="00A16AF7" w:rsidRPr="007C0750" w:rsidRDefault="00A16AF7" w:rsidP="007C0750">
      <w:pPr>
        <w:pStyle w:val="ListBullet"/>
      </w:pPr>
      <w:r w:rsidRPr="007C0750">
        <w:t xml:space="preserve">A </w:t>
      </w:r>
      <w:r w:rsidR="009E33BD">
        <w:t xml:space="preserve">[information redacted] </w:t>
      </w:r>
      <w:r w:rsidRPr="007C0750">
        <w:t xml:space="preserve">received </w:t>
      </w:r>
      <w:proofErr w:type="spellStart"/>
      <w:r w:rsidRPr="007C0750">
        <w:t>Addamel</w:t>
      </w:r>
      <w:proofErr w:type="spellEnd"/>
      <w:r w:rsidRPr="007C0750">
        <w:t xml:space="preserve"> N as a part of </w:t>
      </w:r>
      <w:proofErr w:type="gramStart"/>
      <w:r w:rsidRPr="007C0750">
        <w:t>an</w:t>
      </w:r>
      <w:proofErr w:type="gramEnd"/>
      <w:r w:rsidRPr="007C0750">
        <w:t xml:space="preserve"> PN regimen. Cardiac palpitations (serious) and headache (non-serious) occurred almost immediately after start of the infusion at the fifth day of the daily PN treatment. The patient felt better 4 hours after discontinuation of the infusion (outcome recovered). The fat emulsion was possibly broken, which may affect the pharmaceutical quality.</w:t>
      </w:r>
    </w:p>
    <w:p w:rsidR="00A16AF7" w:rsidRPr="007C0750" w:rsidRDefault="00A16AF7" w:rsidP="007C0750">
      <w:pPr>
        <w:pStyle w:val="ListBullet"/>
      </w:pPr>
      <w:r w:rsidRPr="007C0750">
        <w:t xml:space="preserve">Tachycardia in a </w:t>
      </w:r>
      <w:r w:rsidR="000A2C2B">
        <w:t>[information redacted]</w:t>
      </w:r>
      <w:r w:rsidRPr="007C0750">
        <w:t xml:space="preserve"> with hypoxic brain damage, diabetes, and respiratory arrest in the medical history. The tachycardia occurred on the same day as the treatment with PN. The patient recovered with </w:t>
      </w:r>
      <w:proofErr w:type="spellStart"/>
      <w:r w:rsidRPr="007C0750">
        <w:t>sequelae</w:t>
      </w:r>
      <w:proofErr w:type="spellEnd"/>
      <w:r w:rsidRPr="007C0750">
        <w:t>.</w:t>
      </w:r>
    </w:p>
    <w:p w:rsidR="00A16AF7" w:rsidRPr="007C0750" w:rsidRDefault="00A16AF7" w:rsidP="007C0750">
      <w:pPr>
        <w:pStyle w:val="ListBullet"/>
      </w:pPr>
      <w:r w:rsidRPr="007C0750">
        <w:t xml:space="preserve">An </w:t>
      </w:r>
      <w:r w:rsidR="000A2C2B">
        <w:t xml:space="preserve">[information redacted] </w:t>
      </w:r>
      <w:r w:rsidRPr="007C0750">
        <w:t>with an extensive medical history, who received PN regimen, experienced anaphylactic shock, vomiting, hypotension, and unconsciousness. The outcome was unknown.</w:t>
      </w:r>
    </w:p>
    <w:p w:rsidR="00A16AF7" w:rsidRPr="007C0750" w:rsidRDefault="00A16AF7" w:rsidP="007C0750">
      <w:pPr>
        <w:pStyle w:val="ListBullet"/>
      </w:pPr>
      <w:r w:rsidRPr="007C0750">
        <w:t xml:space="preserve">Administration site reaction (vessel perforation and inflammation at site of injection) with plausible temporal relationship in a </w:t>
      </w:r>
      <w:r w:rsidR="00F532C7">
        <w:t xml:space="preserve">[information redacted] </w:t>
      </w:r>
      <w:r w:rsidRPr="007C0750">
        <w:t>patient under PN regimen. The outcome was reported as not recovered.</w:t>
      </w:r>
    </w:p>
    <w:p w:rsidR="00A16AF7" w:rsidRPr="007C0750" w:rsidRDefault="00A16AF7" w:rsidP="007C0750">
      <w:pPr>
        <w:pStyle w:val="ListBullet"/>
      </w:pPr>
      <w:r w:rsidRPr="007C0750">
        <w:t xml:space="preserve">Septicaemia three hours after PN infusion was reported for a </w:t>
      </w:r>
      <w:r w:rsidR="00F532C7">
        <w:t xml:space="preserve">[information redacted] </w:t>
      </w:r>
      <w:r w:rsidRPr="007C0750">
        <w:t xml:space="preserve">with medical history of breast cancer, peritoneal metastases, transverse colectomy and </w:t>
      </w:r>
      <w:proofErr w:type="spellStart"/>
      <w:r w:rsidRPr="007C0750">
        <w:t>entero</w:t>
      </w:r>
      <w:proofErr w:type="spellEnd"/>
      <w:r w:rsidRPr="007C0750">
        <w:t>-cutaneous fistula who made a full recovery.</w:t>
      </w:r>
    </w:p>
    <w:p w:rsidR="006D4092" w:rsidRDefault="00A16AF7" w:rsidP="00A16AF7">
      <w:pPr>
        <w:pStyle w:val="Heading3"/>
        <w:spacing w:before="20"/>
      </w:pPr>
      <w:bookmarkStart w:id="109" w:name="_Toc434236202"/>
      <w:bookmarkStart w:id="110" w:name="_Toc480383692"/>
      <w:r>
        <w:t>Xylitol</w:t>
      </w:r>
      <w:bookmarkEnd w:id="109"/>
      <w:bookmarkEnd w:id="110"/>
    </w:p>
    <w:p w:rsidR="006D4092" w:rsidRDefault="00A16AF7" w:rsidP="00080AD7">
      <w:pPr>
        <w:spacing w:before="20"/>
      </w:pPr>
      <w:r w:rsidRPr="00A16AF7">
        <w:t xml:space="preserve">Intravenous administration of xylitol can produce metabolic acidosis, and a </w:t>
      </w:r>
      <w:r w:rsidR="00857F8E">
        <w:t>number</w:t>
      </w:r>
      <w:r w:rsidRPr="00A16AF7">
        <w:t xml:space="preserve"> of effects including diuresis, oliguria, azotaemia, acidosis, hepatic disturbances and </w:t>
      </w:r>
      <w:proofErr w:type="spellStart"/>
      <w:r w:rsidRPr="00A16AF7">
        <w:t>hyperuricaemia</w:t>
      </w:r>
      <w:proofErr w:type="spellEnd"/>
      <w:r w:rsidRPr="00A16AF7">
        <w:t>, as well as renal and cerebral toxicity related to deposition of oxalate crystals in the brain, kidney</w:t>
      </w:r>
      <w:r w:rsidRPr="00A16AF7">
        <w:rPr>
          <w:vertAlign w:val="superscript"/>
        </w:rPr>
        <w:footnoteReference w:id="39"/>
      </w:r>
      <w:r w:rsidRPr="00A16AF7">
        <w:t xml:space="preserve"> and other organs. </w:t>
      </w:r>
      <w:r w:rsidR="0036104D" w:rsidRPr="00A16AF7">
        <w:t xml:space="preserve">Thomas reviewed </w:t>
      </w:r>
      <w:r w:rsidR="0036104D">
        <w:t xml:space="preserve">the histories of </w:t>
      </w:r>
      <w:r w:rsidR="0036104D" w:rsidRPr="00A16AF7">
        <w:t>22 patients. Possible adverse reactions (7</w:t>
      </w:r>
      <w:r w:rsidR="0036104D">
        <w:t xml:space="preserve"> </w:t>
      </w:r>
      <w:r w:rsidR="0036104D" w:rsidRPr="00A16AF7">
        <w:t>patients</w:t>
      </w:r>
      <w:r w:rsidR="0036104D">
        <w:t>)</w:t>
      </w:r>
      <w:r w:rsidRPr="00A16AF7">
        <w:rPr>
          <w:rStyle w:val="FootnoteReference"/>
        </w:rPr>
        <w:footnoteReference w:id="40"/>
      </w:r>
      <w:r w:rsidRPr="00A16AF7">
        <w:t xml:space="preserve"> were associated with total doses averaging 485g and mean infusion of 0.32g/kg/h. A mean total dose of 1,098g and mean infusion rate 0.49g/kg/h resulted in definite adverse reactions.</w:t>
      </w:r>
    </w:p>
    <w:p w:rsidR="00A16AF7" w:rsidRPr="00A16AF7" w:rsidRDefault="00A16AF7" w:rsidP="00080AD7">
      <w:pPr>
        <w:spacing w:before="20"/>
      </w:pPr>
      <w:r w:rsidRPr="00A16AF7">
        <w:lastRenderedPageBreak/>
        <w:t>Deaths or serious adverse events have been reported with doses of ≥ 150 g xylitol per day for more than 4 days (≥ 2.5 g/kg body weight/day) with total doses generally in excess of 1 kg. No adverse effects have been reported at intravenous doses of xylitol up to 50g/day.</w:t>
      </w:r>
    </w:p>
    <w:p w:rsidR="00A16AF7" w:rsidRPr="00A16AF7" w:rsidRDefault="00A16AF7" w:rsidP="00080AD7">
      <w:pPr>
        <w:spacing w:before="20"/>
      </w:pPr>
      <w:r w:rsidRPr="00A16AF7">
        <w:t>The toxicity of xylitol appears to be related to the rate of administration and solution concentration as well as the total dose. Adverse events were not noted in patients administered xylitol at a rate of 0.125 - 0.25g/kg/h, depending on the concentration, and an upper limit for safe xylitol administration has been given as 210g/day at a rate of 0.125g/kg body weight/h.</w:t>
      </w:r>
    </w:p>
    <w:p w:rsidR="00A16AF7" w:rsidRPr="00A16AF7" w:rsidRDefault="00A16AF7" w:rsidP="00080AD7">
      <w:pPr>
        <w:spacing w:before="20"/>
      </w:pPr>
      <w:r w:rsidRPr="00A16AF7">
        <w:t xml:space="preserve">In a study in which 100g of xylitol was administered at a rate of 0.25-0.5 g/kg BW/h in a concentration of 10% reported increases in serum lactate, pyruvate, </w:t>
      </w:r>
      <w:proofErr w:type="spellStart"/>
      <w:r w:rsidRPr="00A16AF7">
        <w:t>urate</w:t>
      </w:r>
      <w:proofErr w:type="spellEnd"/>
      <w:r w:rsidRPr="00A16AF7">
        <w:t xml:space="preserve"> and bilirubin compared to glucose administration (</w:t>
      </w:r>
      <w:proofErr w:type="spellStart"/>
      <w:r w:rsidRPr="00A16AF7">
        <w:t>Kortilla</w:t>
      </w:r>
      <w:proofErr w:type="spellEnd"/>
      <w:r w:rsidRPr="00A16AF7">
        <w:t xml:space="preserve"> and </w:t>
      </w:r>
      <w:proofErr w:type="spellStart"/>
      <w:r w:rsidRPr="00A16AF7">
        <w:t>Mattila</w:t>
      </w:r>
      <w:proofErr w:type="spellEnd"/>
      <w:r w:rsidRPr="00A16AF7">
        <w:t xml:space="preserve"> 1979).</w:t>
      </w:r>
    </w:p>
    <w:p w:rsidR="00A16AF7" w:rsidRPr="00A16AF7" w:rsidRDefault="00A16AF7" w:rsidP="00080AD7">
      <w:pPr>
        <w:spacing w:before="20"/>
      </w:pPr>
      <w:r w:rsidRPr="00A16AF7">
        <w:t xml:space="preserve">The maximum concentration proposed is a concentration of 3% xylitol resulting </w:t>
      </w:r>
      <w:proofErr w:type="gramStart"/>
      <w:r w:rsidRPr="00A16AF7">
        <w:t>from  a</w:t>
      </w:r>
      <w:proofErr w:type="gramEnd"/>
      <w:r w:rsidRPr="00A16AF7">
        <w:t xml:space="preserve"> minimum recommended dilution of 100 mL saline/glucose for 10mL </w:t>
      </w:r>
      <w:proofErr w:type="spellStart"/>
      <w:r w:rsidRPr="00A16AF7">
        <w:t>Addaven</w:t>
      </w:r>
      <w:proofErr w:type="spellEnd"/>
      <w:r w:rsidRPr="00A16AF7">
        <w:t>. When administered as recommended the maximum rate of xylitol would be 0.02g/kg body weight/h.</w:t>
      </w:r>
      <w:r w:rsidRPr="00A16AF7">
        <w:rPr>
          <w:vertAlign w:val="superscript"/>
        </w:rPr>
        <w:footnoteReference w:id="41"/>
      </w:r>
    </w:p>
    <w:p w:rsidR="00A16AF7" w:rsidRPr="00A16AF7" w:rsidRDefault="00A16AF7" w:rsidP="00080AD7">
      <w:pPr>
        <w:spacing w:before="20"/>
      </w:pPr>
      <w:r w:rsidRPr="00A16AF7">
        <w:t xml:space="preserve">Increased urinary oxalate excretion and precipitation of calcium oxalate crystals has been reported in brains, kidneys and hearts after very high doses of xylitol (&gt; 100 g/d) to humans (Ludwig et al., 1984, </w:t>
      </w:r>
      <w:proofErr w:type="spellStart"/>
      <w:r w:rsidRPr="00A16AF7">
        <w:t>Leidig</w:t>
      </w:r>
      <w:proofErr w:type="spellEnd"/>
      <w:r w:rsidRPr="00A16AF7">
        <w:t xml:space="preserve"> et al., 2001, </w:t>
      </w:r>
      <w:proofErr w:type="spellStart"/>
      <w:r w:rsidRPr="00A16AF7">
        <w:t>Heye</w:t>
      </w:r>
      <w:proofErr w:type="spellEnd"/>
      <w:r w:rsidRPr="00A16AF7">
        <w:t xml:space="preserve"> et al., 1991, </w:t>
      </w:r>
      <w:proofErr w:type="spellStart"/>
      <w:r w:rsidRPr="00A16AF7">
        <w:t>Schultze</w:t>
      </w:r>
      <w:proofErr w:type="spellEnd"/>
      <w:r w:rsidRPr="00A16AF7">
        <w:t xml:space="preserve"> et al., 1983).</w:t>
      </w:r>
      <w:r w:rsidRPr="00A16AF7">
        <w:rPr>
          <w:rStyle w:val="FootnoteReference"/>
        </w:rPr>
        <w:footnoteReference w:id="42"/>
      </w:r>
    </w:p>
    <w:p w:rsidR="00080AD7" w:rsidRDefault="00A16AF7" w:rsidP="00080AD7">
      <w:pPr>
        <w:spacing w:before="20"/>
      </w:pPr>
      <w:r w:rsidRPr="00A16AF7">
        <w:t xml:space="preserve">The guidelines for </w:t>
      </w:r>
      <w:proofErr w:type="gramStart"/>
      <w:r w:rsidRPr="00A16AF7">
        <w:t>Parenteral</w:t>
      </w:r>
      <w:proofErr w:type="gramEnd"/>
      <w:r w:rsidRPr="00A16AF7">
        <w:t xml:space="preserve"> nutrition do not recommend the use of the sugar substitute xylitol. Its use is still controversial because of possible he</w:t>
      </w:r>
      <w:r w:rsidR="00080AD7">
        <w:t>patotoxicity or nephrotoxicity.</w:t>
      </w:r>
      <w:r w:rsidRPr="00A16AF7">
        <w:rPr>
          <w:rStyle w:val="FootnoteReference"/>
        </w:rPr>
        <w:footnoteReference w:id="43"/>
      </w:r>
    </w:p>
    <w:p w:rsidR="00A16AF7" w:rsidRPr="00A16AF7" w:rsidRDefault="00A16AF7" w:rsidP="00080AD7">
      <w:pPr>
        <w:spacing w:before="20"/>
      </w:pPr>
      <w:r w:rsidRPr="00A16AF7">
        <w:t xml:space="preserve">This study found </w:t>
      </w:r>
      <w:r w:rsidR="00004E27">
        <w:t>a</w:t>
      </w:r>
      <w:r w:rsidRPr="00A16AF7">
        <w:t xml:space="preserve">dverse events considered attributable to </w:t>
      </w:r>
      <w:proofErr w:type="gramStart"/>
      <w:r w:rsidRPr="00A16AF7">
        <w:t>Parenteral</w:t>
      </w:r>
      <w:proofErr w:type="gramEnd"/>
      <w:r w:rsidRPr="00A16AF7">
        <w:t xml:space="preserve"> nutrition containing xylitol did not appear to occur. The study only included 55 patients and was unable to show any differences from historical controls.</w:t>
      </w:r>
    </w:p>
    <w:p w:rsidR="00A16AF7" w:rsidRPr="00A16AF7" w:rsidRDefault="00A16AF7" w:rsidP="00080AD7">
      <w:pPr>
        <w:spacing w:before="20"/>
      </w:pPr>
      <w:r w:rsidRPr="00A16AF7">
        <w:t xml:space="preserve">When administered in larger amounts, xylitol is associated with a pattern of adverse events including metabolic acidosis, hepatotoxicity and renal and cerebral disturbances (Thomas et al., 1972, Thomas et al., 1972b, </w:t>
      </w:r>
      <w:proofErr w:type="spellStart"/>
      <w:r w:rsidRPr="00A16AF7">
        <w:t>Leidig</w:t>
      </w:r>
      <w:proofErr w:type="spellEnd"/>
      <w:r w:rsidRPr="00A16AF7">
        <w:t xml:space="preserve"> et al., 2001, </w:t>
      </w:r>
      <w:proofErr w:type="spellStart"/>
      <w:r w:rsidRPr="00A16AF7">
        <w:t>Schultze</w:t>
      </w:r>
      <w:proofErr w:type="spellEnd"/>
      <w:r w:rsidRPr="00A16AF7">
        <w:t xml:space="preserve"> et al., 1983). At even higher doses (≥150 g/d with total doses in excess of 5 kg), deaths have occurred resulting primarily from damaged caused in the brain and kidney by deposition of oxalate crystals (</w:t>
      </w:r>
      <w:proofErr w:type="spellStart"/>
      <w:r w:rsidRPr="00A16AF7">
        <w:t>Heye</w:t>
      </w:r>
      <w:proofErr w:type="spellEnd"/>
      <w:r w:rsidRPr="00A16AF7">
        <w:t xml:space="preserve"> et al., 1991, Ludwig et al., 1984, </w:t>
      </w:r>
      <w:proofErr w:type="spellStart"/>
      <w:r w:rsidRPr="00A16AF7">
        <w:t>Buttner</w:t>
      </w:r>
      <w:proofErr w:type="spellEnd"/>
      <w:r w:rsidRPr="00A16AF7">
        <w:t xml:space="preserve"> et al., 1987).</w:t>
      </w:r>
    </w:p>
    <w:p w:rsidR="00080AD7" w:rsidRDefault="00080AD7" w:rsidP="00080AD7">
      <w:pPr>
        <w:spacing w:before="20"/>
      </w:pPr>
      <w:r>
        <w:t>From a 1970 TGA letter:</w:t>
      </w:r>
    </w:p>
    <w:p w:rsidR="00A16AF7" w:rsidRPr="00080AD7" w:rsidRDefault="00A16AF7" w:rsidP="00080AD7">
      <w:pPr>
        <w:spacing w:before="20"/>
        <w:ind w:left="720"/>
        <w:rPr>
          <w:i/>
        </w:rPr>
      </w:pPr>
      <w:r w:rsidRPr="00080AD7">
        <w:rPr>
          <w:i/>
        </w:rPr>
        <w:t>By January 1970 a further six cases of acidosis following xylitol administration had been r</w:t>
      </w:r>
      <w:r w:rsidR="00080AD7">
        <w:rPr>
          <w:i/>
        </w:rPr>
        <w:t>eported, including three deaths</w:t>
      </w:r>
      <w:r w:rsidRPr="00080AD7">
        <w:rPr>
          <w:i/>
        </w:rPr>
        <w:t xml:space="preserve"> (i.e. 6 deaths total at that time).</w:t>
      </w:r>
    </w:p>
    <w:p w:rsidR="00A16AF7" w:rsidRPr="00080AD7" w:rsidRDefault="00A16AF7" w:rsidP="00080AD7">
      <w:pPr>
        <w:spacing w:before="20"/>
        <w:ind w:left="720"/>
        <w:rPr>
          <w:i/>
        </w:rPr>
      </w:pPr>
      <w:r w:rsidRPr="00080AD7">
        <w:rPr>
          <w:i/>
        </w:rPr>
        <w:t>Since then we have received retrospective reports of a further ten adverse reactions to Xylitol infusion which occurred before its withdrawal from the market.</w:t>
      </w:r>
    </w:p>
    <w:p w:rsidR="006D4092" w:rsidRDefault="00A16AF7" w:rsidP="00080AD7">
      <w:pPr>
        <w:spacing w:before="20"/>
        <w:ind w:left="720"/>
        <w:rPr>
          <w:i/>
        </w:rPr>
      </w:pPr>
      <w:r w:rsidRPr="00080AD7">
        <w:rPr>
          <w:i/>
        </w:rPr>
        <w:t>In the opinion of our own chemist if there is a toxic contaminant it could also be any of a thousand other compounds.</w:t>
      </w:r>
    </w:p>
    <w:p w:rsidR="00A16AF7" w:rsidRPr="00A16AF7" w:rsidRDefault="00A16AF7" w:rsidP="00080AD7">
      <w:pPr>
        <w:spacing w:before="20"/>
        <w:ind w:left="720"/>
      </w:pPr>
      <w:r w:rsidRPr="00080AD7">
        <w:rPr>
          <w:i/>
        </w:rPr>
        <w:t>In most cases batch number were n</w:t>
      </w:r>
      <w:r w:rsidR="00080AD7" w:rsidRPr="00080AD7">
        <w:rPr>
          <w:i/>
        </w:rPr>
        <w:t>ot able to be ascertained.</w:t>
      </w:r>
      <w:r w:rsidRPr="00080AD7">
        <w:rPr>
          <w:i/>
          <w:vertAlign w:val="superscript"/>
        </w:rPr>
        <w:footnoteReference w:id="44"/>
      </w:r>
    </w:p>
    <w:p w:rsidR="00A16AF7" w:rsidRDefault="00A16AF7" w:rsidP="00A16AF7">
      <w:pPr>
        <w:pStyle w:val="Heading3"/>
        <w:spacing w:before="20"/>
      </w:pPr>
      <w:bookmarkStart w:id="111" w:name="_Toc241374328"/>
      <w:bookmarkStart w:id="112" w:name="_Toc272414691"/>
      <w:bookmarkStart w:id="113" w:name="_Toc290846329"/>
      <w:bookmarkStart w:id="114" w:name="_Toc290888866"/>
      <w:bookmarkStart w:id="115" w:name="_Toc434236203"/>
      <w:bookmarkStart w:id="116" w:name="_Toc480383693"/>
      <w:r>
        <w:t>Evaluator’s overall conclusions on clinical safety</w:t>
      </w:r>
      <w:bookmarkEnd w:id="111"/>
      <w:bookmarkEnd w:id="112"/>
      <w:bookmarkEnd w:id="113"/>
      <w:bookmarkEnd w:id="114"/>
      <w:bookmarkEnd w:id="115"/>
      <w:bookmarkEnd w:id="116"/>
    </w:p>
    <w:p w:rsidR="006D4092" w:rsidRDefault="00A16AF7" w:rsidP="00080AD7">
      <w:r w:rsidRPr="00080AD7">
        <w:t>Based on the evidence provided, the safety concerns relating to the use of the product as proposed are limited to some of the individual elements.</w:t>
      </w:r>
    </w:p>
    <w:p w:rsidR="00A16AF7" w:rsidRPr="00A16AF7" w:rsidRDefault="00A16AF7" w:rsidP="00080AD7">
      <w:pPr>
        <w:spacing w:before="20"/>
      </w:pPr>
      <w:r w:rsidRPr="00A16AF7">
        <w:t>Manganese toxicity has occurred long term with previous recommended dosage. It has been reduced in this preparation which has been in use for only a short period of time.</w:t>
      </w:r>
    </w:p>
    <w:p w:rsidR="00A16AF7" w:rsidRPr="00A16AF7" w:rsidRDefault="00A16AF7" w:rsidP="00080AD7">
      <w:pPr>
        <w:spacing w:before="20"/>
      </w:pPr>
      <w:r w:rsidRPr="00A16AF7">
        <w:lastRenderedPageBreak/>
        <w:t>Renal and Liver dysfunction will affect the excretion of some of the elements with potentially toxic effects that may compound the dysfunction.</w:t>
      </w:r>
    </w:p>
    <w:p w:rsidR="00A16AF7" w:rsidRPr="00A16AF7" w:rsidRDefault="00A16AF7" w:rsidP="00080AD7">
      <w:pPr>
        <w:spacing w:before="20"/>
      </w:pPr>
      <w:r w:rsidRPr="00A16AF7">
        <w:t>The required doses of some of the elements will vary with local environment and practices within Australia as well as country of origin: I</w:t>
      </w:r>
      <w:r w:rsidRPr="00A16AF7">
        <w:rPr>
          <w:vertAlign w:val="superscript"/>
        </w:rPr>
        <w:t>-</w:t>
      </w:r>
      <w:r w:rsidRPr="00A16AF7">
        <w:t xml:space="preserve"> being low in Tasmania and NZ, Se</w:t>
      </w:r>
      <w:r w:rsidRPr="00A16AF7">
        <w:rPr>
          <w:vertAlign w:val="superscript"/>
        </w:rPr>
        <w:t>++</w:t>
      </w:r>
      <w:r w:rsidRPr="00A16AF7">
        <w:t xml:space="preserve"> being low in NZ, F</w:t>
      </w:r>
      <w:r w:rsidRPr="00A16AF7">
        <w:rPr>
          <w:vertAlign w:val="superscript"/>
        </w:rPr>
        <w:t>-</w:t>
      </w:r>
      <w:r w:rsidRPr="00A16AF7">
        <w:t xml:space="preserve"> varying across Australia.</w:t>
      </w:r>
    </w:p>
    <w:p w:rsidR="00A16AF7" w:rsidRPr="00A16AF7" w:rsidRDefault="00A16AF7" w:rsidP="00080AD7">
      <w:pPr>
        <w:spacing w:before="20"/>
      </w:pPr>
      <w:r w:rsidRPr="00A16AF7">
        <w:t>For all these reasons intense monitoring is required. While this is likely to occur for patients needing long term TPN or PN, it is unlikely to occur in routine post- surgical use of short term PN unless there are existing abnormalities of trace elements known or suspected.</w:t>
      </w:r>
    </w:p>
    <w:p w:rsidR="006D4092" w:rsidRDefault="00A16AF7" w:rsidP="00080AD7">
      <w:pPr>
        <w:spacing w:before="20"/>
      </w:pPr>
      <w:r w:rsidRPr="00A16AF7">
        <w:t>The use of intravenous xylitol was prohibited on the advice of ADEC. It has been access</w:t>
      </w:r>
      <w:r w:rsidR="00FF1759">
        <w:t>ed under the SAS. T</w:t>
      </w:r>
      <w:r w:rsidRPr="00A16AF7">
        <w:t>he sponsor has chosen to submit the evidence for it in the non-clinical section.</w:t>
      </w:r>
      <w:r w:rsidRPr="00A16AF7">
        <w:rPr>
          <w:rStyle w:val="FootnoteReference"/>
        </w:rPr>
        <w:footnoteReference w:id="45"/>
      </w:r>
    </w:p>
    <w:p w:rsidR="00A16AF7" w:rsidRPr="00A16AF7" w:rsidRDefault="00A16AF7" w:rsidP="00080AD7">
      <w:pPr>
        <w:spacing w:before="20"/>
      </w:pPr>
      <w:r w:rsidRPr="00A16AF7">
        <w:t xml:space="preserve">‘The causality was proven beyond doubt linking xylitol metabolism with a syndrome consisting of diuresis, oliguria, uraemia, </w:t>
      </w:r>
      <w:proofErr w:type="spellStart"/>
      <w:r w:rsidRPr="00A16AF7">
        <w:t>hyperuricaemia</w:t>
      </w:r>
      <w:proofErr w:type="spellEnd"/>
      <w:r w:rsidRPr="00A16AF7">
        <w:t xml:space="preserve">, hyperuricosuria, lactic acidosis and excessive </w:t>
      </w:r>
      <w:proofErr w:type="spellStart"/>
      <w:r w:rsidRPr="00A16AF7">
        <w:t>Oxl</w:t>
      </w:r>
      <w:proofErr w:type="spellEnd"/>
      <w:r w:rsidRPr="00A16AF7">
        <w:t xml:space="preserve"> production, resulting in Ca </w:t>
      </w:r>
      <w:proofErr w:type="spellStart"/>
      <w:r w:rsidRPr="00A16AF7">
        <w:t>Oxl</w:t>
      </w:r>
      <w:proofErr w:type="spellEnd"/>
      <w:r w:rsidRPr="00A16AF7">
        <w:t xml:space="preserve"> crystal deposition in various tissues including brain (Conyers </w:t>
      </w:r>
      <w:r w:rsidRPr="00A16AF7">
        <w:rPr>
          <w:i/>
        </w:rPr>
        <w:t>et al</w:t>
      </w:r>
      <w:r w:rsidRPr="00A16AF7">
        <w:t>. 1985).’</w:t>
      </w:r>
      <w:r w:rsidRPr="00A16AF7">
        <w:rPr>
          <w:rStyle w:val="FootnoteReference"/>
        </w:rPr>
        <w:footnoteReference w:id="46"/>
      </w:r>
    </w:p>
    <w:p w:rsidR="00A16AF7" w:rsidRPr="00A16AF7" w:rsidRDefault="00A16AF7" w:rsidP="00080AD7">
      <w:pPr>
        <w:spacing w:before="20"/>
      </w:pPr>
      <w:r w:rsidRPr="00A16AF7">
        <w:t>The proposed dose and rate of administration appears to be well below that causing toxicity.</w:t>
      </w:r>
    </w:p>
    <w:p w:rsidR="00C22678" w:rsidRDefault="00C22678" w:rsidP="00A16AF7">
      <w:pPr>
        <w:pStyle w:val="Heading2"/>
        <w:spacing w:before="20"/>
      </w:pPr>
      <w:bookmarkStart w:id="117" w:name="_Toc480383694"/>
      <w:r>
        <w:t>First round benefit-risk assessment</w:t>
      </w:r>
      <w:bookmarkEnd w:id="117"/>
    </w:p>
    <w:p w:rsidR="00A16AF7" w:rsidRDefault="00A16AF7" w:rsidP="00A16AF7">
      <w:pPr>
        <w:pStyle w:val="Heading3"/>
        <w:spacing w:before="20"/>
      </w:pPr>
      <w:bookmarkStart w:id="118" w:name="_Toc236802592"/>
      <w:bookmarkStart w:id="119" w:name="_Toc241374331"/>
      <w:bookmarkStart w:id="120" w:name="_Ref272160836"/>
      <w:bookmarkStart w:id="121" w:name="_Toc272414693"/>
      <w:bookmarkStart w:id="122" w:name="_Toc290846331"/>
      <w:bookmarkStart w:id="123" w:name="_Toc290888868"/>
      <w:bookmarkStart w:id="124" w:name="_Toc434236205"/>
      <w:bookmarkStart w:id="125" w:name="_Toc480383695"/>
      <w:r>
        <w:t>First round assessment of benefits</w:t>
      </w:r>
      <w:bookmarkEnd w:id="118"/>
      <w:bookmarkEnd w:id="119"/>
      <w:bookmarkEnd w:id="120"/>
      <w:bookmarkEnd w:id="121"/>
      <w:bookmarkEnd w:id="122"/>
      <w:bookmarkEnd w:id="123"/>
      <w:bookmarkEnd w:id="124"/>
      <w:bookmarkEnd w:id="125"/>
    </w:p>
    <w:p w:rsidR="00CD3F1C" w:rsidRPr="00F07F57" w:rsidRDefault="00CD3F1C" w:rsidP="00CD3F1C">
      <w:r w:rsidRPr="00F07F57">
        <w:t xml:space="preserve">The claimed benefits of </w:t>
      </w:r>
      <w:proofErr w:type="spellStart"/>
      <w:r w:rsidRPr="00F07F57">
        <w:t>Addaven</w:t>
      </w:r>
      <w:proofErr w:type="spellEnd"/>
      <w:r w:rsidRPr="00F07F57">
        <w:t xml:space="preserve"> in the proposed usage are:</w:t>
      </w:r>
    </w:p>
    <w:p w:rsidR="00CD3F1C" w:rsidRPr="00F07F57" w:rsidRDefault="00CD3F1C" w:rsidP="00CD3F1C">
      <w:pPr>
        <w:pStyle w:val="ListBullet"/>
        <w:numPr>
          <w:ilvl w:val="0"/>
          <w:numId w:val="3"/>
        </w:numPr>
      </w:pPr>
      <w:r w:rsidRPr="00F07F57">
        <w:t>Prevention of deficiency states.</w:t>
      </w:r>
    </w:p>
    <w:p w:rsidR="00CD3F1C" w:rsidRPr="00F07F57" w:rsidRDefault="00CD3F1C" w:rsidP="00CD3F1C">
      <w:pPr>
        <w:pStyle w:val="ListBullet"/>
        <w:numPr>
          <w:ilvl w:val="0"/>
          <w:numId w:val="3"/>
        </w:numPr>
      </w:pPr>
      <w:r w:rsidRPr="00F07F57">
        <w:t>Correction of mild deficiency states.</w:t>
      </w:r>
    </w:p>
    <w:p w:rsidR="00CD3F1C" w:rsidRPr="00F07F57" w:rsidRDefault="00CD3F1C" w:rsidP="00CD3F1C">
      <w:pPr>
        <w:pStyle w:val="ListBullet"/>
        <w:numPr>
          <w:ilvl w:val="0"/>
          <w:numId w:val="3"/>
        </w:numPr>
      </w:pPr>
      <w:r w:rsidRPr="00F07F57">
        <w:t>The doses proposed are in general supported by at least one guideline (</w:t>
      </w:r>
      <w:proofErr w:type="spellStart"/>
      <w:r w:rsidRPr="00F07F57">
        <w:t>AuSPEN</w:t>
      </w:r>
      <w:proofErr w:type="spellEnd"/>
      <w:r w:rsidRPr="00F07F57">
        <w:t>, ASPEN or ESPEN).</w:t>
      </w:r>
    </w:p>
    <w:p w:rsidR="00CD3F1C" w:rsidRPr="00F07F57" w:rsidRDefault="00CD3F1C" w:rsidP="00CD3F1C">
      <w:pPr>
        <w:pStyle w:val="Heading4"/>
      </w:pPr>
      <w:r w:rsidRPr="00F07F57">
        <w:t>Prevention of deficiency states</w:t>
      </w:r>
    </w:p>
    <w:p w:rsidR="006D4092" w:rsidRDefault="00CD3F1C" w:rsidP="00CD3F1C">
      <w:r w:rsidRPr="00F07F57">
        <w:t>This is only relevant in long term parenteral nutrition and then it may be unnecessary depending on the amount of associated enteral nutrition possible. The need for supplementation of total parenteral nutrition with trace elements is well established.</w:t>
      </w:r>
    </w:p>
    <w:p w:rsidR="00CD3F1C" w:rsidRPr="00F07F57" w:rsidRDefault="00CD3F1C" w:rsidP="00CD3F1C">
      <w:pPr>
        <w:pStyle w:val="Heading4"/>
      </w:pPr>
      <w:r w:rsidRPr="00F07F57">
        <w:t>Corre</w:t>
      </w:r>
      <w:r>
        <w:t>ction of mild deficiency states</w:t>
      </w:r>
    </w:p>
    <w:p w:rsidR="00CD3F1C" w:rsidRPr="00F07F57" w:rsidRDefault="00CD3F1C" w:rsidP="00CD3F1C">
      <w:r w:rsidRPr="00F07F57">
        <w:t>The problem is to define a mild deficiency state. Marked deficiency is obvious and would require additional trace element, mild deficiency is more likely to be suspected based on history, particularly as plasma levels often do not reflect body stores.</w:t>
      </w:r>
    </w:p>
    <w:p w:rsidR="00CD3F1C" w:rsidRPr="00F07F57" w:rsidRDefault="00CD3F1C" w:rsidP="00CD3F1C">
      <w:pPr>
        <w:pStyle w:val="Heading4"/>
      </w:pPr>
      <w:r w:rsidRPr="00F07F57">
        <w:t>The doses proposed are in general supported by at least one gui</w:t>
      </w:r>
      <w:r>
        <w:t>deline (</w:t>
      </w:r>
      <w:proofErr w:type="spellStart"/>
      <w:r>
        <w:t>AuSPEN</w:t>
      </w:r>
      <w:proofErr w:type="spellEnd"/>
      <w:r>
        <w:t>, ASPEN or ESPEN)</w:t>
      </w:r>
    </w:p>
    <w:p w:rsidR="00CD3F1C" w:rsidRPr="00F07F57" w:rsidRDefault="00CD3F1C" w:rsidP="00CD3F1C">
      <w:r w:rsidRPr="00F07F57">
        <w:t xml:space="preserve">The exception to this is fluoride, which is at a level previously used for a long time in </w:t>
      </w:r>
      <w:proofErr w:type="spellStart"/>
      <w:r w:rsidRPr="00F07F57">
        <w:t>Addamel</w:t>
      </w:r>
      <w:proofErr w:type="spellEnd"/>
      <w:r w:rsidRPr="00F07F57">
        <w:t xml:space="preserve"> N, but is not supported by any guideline.</w:t>
      </w:r>
    </w:p>
    <w:p w:rsidR="00CD3F1C" w:rsidRDefault="00CD3F1C" w:rsidP="00CD3F1C">
      <w:r w:rsidRPr="00F07F57">
        <w:t xml:space="preserve">This evaluator sees that this formulation goes to meet the </w:t>
      </w:r>
      <w:proofErr w:type="spellStart"/>
      <w:r w:rsidRPr="00F07F57">
        <w:t>AusPE</w:t>
      </w:r>
      <w:r>
        <w:t>N</w:t>
      </w:r>
      <w:proofErr w:type="spellEnd"/>
      <w:r>
        <w:t xml:space="preserve"> Recommendations for Industry:</w:t>
      </w:r>
    </w:p>
    <w:p w:rsidR="00CD3F1C" w:rsidRPr="00670DA9" w:rsidRDefault="00CD3F1C" w:rsidP="00CD3F1C">
      <w:pPr>
        <w:ind w:left="720"/>
        <w:rPr>
          <w:i/>
        </w:rPr>
      </w:pPr>
      <w:r w:rsidRPr="00670DA9">
        <w:rPr>
          <w:i/>
        </w:rPr>
        <w:lastRenderedPageBreak/>
        <w:t>To support safe and evidence based clinical care, new multi-trace elements products that reflect the present recommendations are required to be available on the Australian and NZ market.</w:t>
      </w:r>
    </w:p>
    <w:p w:rsidR="00A16AF7" w:rsidRDefault="00A16AF7" w:rsidP="006E71E8">
      <w:pPr>
        <w:pStyle w:val="Heading3"/>
      </w:pPr>
      <w:bookmarkStart w:id="126" w:name="_Toc236802596"/>
      <w:bookmarkStart w:id="127" w:name="_Toc241374334"/>
      <w:bookmarkStart w:id="128" w:name="_Ref272160964"/>
      <w:bookmarkStart w:id="129" w:name="_Toc272414694"/>
      <w:bookmarkStart w:id="130" w:name="_Toc290846332"/>
      <w:bookmarkStart w:id="131" w:name="_Toc290888869"/>
      <w:bookmarkStart w:id="132" w:name="_Toc434236206"/>
      <w:bookmarkStart w:id="133" w:name="_Toc480383696"/>
      <w:r>
        <w:t>First round assessment of risks</w:t>
      </w:r>
      <w:bookmarkEnd w:id="126"/>
      <w:bookmarkEnd w:id="127"/>
      <w:bookmarkEnd w:id="128"/>
      <w:bookmarkEnd w:id="129"/>
      <w:bookmarkEnd w:id="130"/>
      <w:bookmarkEnd w:id="131"/>
      <w:bookmarkEnd w:id="132"/>
      <w:bookmarkEnd w:id="133"/>
    </w:p>
    <w:p w:rsidR="00CD3F1C" w:rsidRDefault="00CD3F1C" w:rsidP="00CD3F1C">
      <w:r w:rsidRPr="00EA7055">
        <w:t>The risks of in the proposed usage are:</w:t>
      </w:r>
    </w:p>
    <w:p w:rsidR="006D4092" w:rsidRDefault="00A27297" w:rsidP="00A27297">
      <w:pPr>
        <w:pStyle w:val="ListBullet"/>
        <w:numPr>
          <w:ilvl w:val="0"/>
          <w:numId w:val="3"/>
        </w:numPr>
      </w:pPr>
      <w:r w:rsidRPr="00EA7055">
        <w:t>The supporting evidence is very limited.</w:t>
      </w:r>
    </w:p>
    <w:p w:rsidR="00A27297" w:rsidRPr="00EA7055" w:rsidRDefault="00A27297" w:rsidP="00A27297">
      <w:pPr>
        <w:pStyle w:val="ListBullet"/>
        <w:numPr>
          <w:ilvl w:val="0"/>
          <w:numId w:val="3"/>
        </w:numPr>
      </w:pPr>
      <w:r w:rsidRPr="00EA7055">
        <w:t>There appears to be a lack of evidence to support</w:t>
      </w:r>
      <w:r>
        <w:t xml:space="preserve"> the dose of fluoride proposed </w:t>
      </w:r>
      <w:r w:rsidRPr="00EA7055">
        <w:t>(</w:t>
      </w:r>
      <w:r>
        <w:t xml:space="preserve">the </w:t>
      </w:r>
      <w:proofErr w:type="spellStart"/>
      <w:r w:rsidRPr="00EA7055">
        <w:t>AusPEN</w:t>
      </w:r>
      <w:proofErr w:type="spellEnd"/>
      <w:r w:rsidRPr="00EA7055">
        <w:t xml:space="preserve"> </w:t>
      </w:r>
      <w:r>
        <w:t xml:space="preserve">guidelines </w:t>
      </w:r>
      <w:r w:rsidRPr="00EA7055">
        <w:t>do not support its presence).</w:t>
      </w:r>
    </w:p>
    <w:p w:rsidR="006D4092" w:rsidRDefault="00A27297" w:rsidP="00A27297">
      <w:pPr>
        <w:pStyle w:val="ListBullet"/>
        <w:numPr>
          <w:ilvl w:val="0"/>
          <w:numId w:val="3"/>
        </w:numPr>
      </w:pPr>
      <w:r w:rsidRPr="00EA7055">
        <w:t xml:space="preserve">There is </w:t>
      </w:r>
      <w:r>
        <w:t>concern with respect to</w:t>
      </w:r>
      <w:r w:rsidRPr="00EA7055">
        <w:t xml:space="preserve"> </w:t>
      </w:r>
      <w:r>
        <w:t>manganese</w:t>
      </w:r>
      <w:r w:rsidRPr="00EA7055">
        <w:t xml:space="preserve"> where the </w:t>
      </w:r>
      <w:r w:rsidRPr="002E0B09">
        <w:t>ESPEN guidelines</w:t>
      </w:r>
      <w:r w:rsidRPr="00EA7055">
        <w:t xml:space="preserve"> recommends considerably </w:t>
      </w:r>
      <w:r>
        <w:t xml:space="preserve">higher dose which raises concerns regarding </w:t>
      </w:r>
      <w:r w:rsidRPr="00EA7055">
        <w:t>toxicity.</w:t>
      </w:r>
    </w:p>
    <w:p w:rsidR="006D4092" w:rsidRDefault="00A27297" w:rsidP="00A27297">
      <w:pPr>
        <w:pStyle w:val="ListBullet"/>
        <w:numPr>
          <w:ilvl w:val="0"/>
          <w:numId w:val="3"/>
        </w:numPr>
      </w:pPr>
      <w:r w:rsidRPr="00EA7055">
        <w:t>Some of the trace elements are not supported by the ASPEN guidelines based on what is perceived in them as inadequate evidence.</w:t>
      </w:r>
    </w:p>
    <w:p w:rsidR="00A27297" w:rsidRPr="00EA7055" w:rsidRDefault="00A27297" w:rsidP="00A27297">
      <w:pPr>
        <w:pStyle w:val="ListBullet"/>
        <w:numPr>
          <w:ilvl w:val="0"/>
          <w:numId w:val="3"/>
        </w:numPr>
      </w:pPr>
      <w:r w:rsidRPr="00EA7055">
        <w:t>The sponsor argues that the previous formulation</w:t>
      </w:r>
      <w:r>
        <w:t xml:space="preserve"> has been used for a long time; </w:t>
      </w:r>
      <w:r w:rsidRPr="00EA7055">
        <w:t>however</w:t>
      </w:r>
      <w:r>
        <w:t>,</w:t>
      </w:r>
      <w:r w:rsidRPr="00EA7055">
        <w:t xml:space="preserve"> this formulation was only first marketed in Sweden </w:t>
      </w:r>
      <w:r>
        <w:t xml:space="preserve">in </w:t>
      </w:r>
      <w:r w:rsidRPr="00EA7055">
        <w:t>October 2014.</w:t>
      </w:r>
    </w:p>
    <w:p w:rsidR="00A16AF7" w:rsidRDefault="00A16AF7" w:rsidP="006E71E8">
      <w:pPr>
        <w:pStyle w:val="Heading3"/>
      </w:pPr>
      <w:bookmarkStart w:id="134" w:name="_Toc236802597"/>
      <w:bookmarkStart w:id="135" w:name="_Toc241374335"/>
      <w:bookmarkStart w:id="136" w:name="_Toc272414695"/>
      <w:bookmarkStart w:id="137" w:name="_Toc290846333"/>
      <w:bookmarkStart w:id="138" w:name="_Toc290888870"/>
      <w:bookmarkStart w:id="139" w:name="_Toc434236207"/>
      <w:bookmarkStart w:id="140" w:name="_Toc480383697"/>
      <w:r>
        <w:t>First round assessment of benefit-risk balance</w:t>
      </w:r>
      <w:bookmarkEnd w:id="134"/>
      <w:bookmarkEnd w:id="135"/>
      <w:bookmarkEnd w:id="136"/>
      <w:bookmarkEnd w:id="137"/>
      <w:bookmarkEnd w:id="138"/>
      <w:bookmarkEnd w:id="139"/>
      <w:bookmarkEnd w:id="140"/>
    </w:p>
    <w:p w:rsidR="006D4092" w:rsidRDefault="00CD3F1C" w:rsidP="006E71E8">
      <w:r w:rsidRPr="00EA7055">
        <w:t>Based on the u</w:t>
      </w:r>
      <w:r w:rsidR="00CF6C6B">
        <w:t xml:space="preserve">sual process of assessment, the </w:t>
      </w:r>
      <w:r w:rsidRPr="00EA7055">
        <w:t xml:space="preserve">evaluator considers the benefit-risk balance of </w:t>
      </w:r>
      <w:proofErr w:type="spellStart"/>
      <w:r w:rsidRPr="00EA7055">
        <w:t>Addaven</w:t>
      </w:r>
      <w:proofErr w:type="spellEnd"/>
      <w:r w:rsidRPr="00EA7055">
        <w:t xml:space="preserve"> given the proposed usage, is unfavourable.</w:t>
      </w:r>
    </w:p>
    <w:p w:rsidR="00CD3F1C" w:rsidRPr="00EA7055" w:rsidRDefault="00CD3F1C" w:rsidP="00CD3F1C">
      <w:pPr>
        <w:ind w:firstLine="720"/>
        <w:rPr>
          <w:i/>
        </w:rPr>
      </w:pPr>
      <w:r w:rsidRPr="00EA7055">
        <w:rPr>
          <w:i/>
        </w:rPr>
        <w:t>Comment: It may be that different criteria are needed in this case.</w:t>
      </w:r>
    </w:p>
    <w:p w:rsidR="006D4092" w:rsidRDefault="00CD3F1C" w:rsidP="00CD3F1C">
      <w:r w:rsidRPr="00EA7055">
        <w:t xml:space="preserve">The following quote from the </w:t>
      </w:r>
      <w:proofErr w:type="spellStart"/>
      <w:r w:rsidRPr="00EA7055">
        <w:t>AusPEN</w:t>
      </w:r>
      <w:proofErr w:type="spellEnd"/>
      <w:r w:rsidRPr="00EA7055">
        <w:t xml:space="preserve"> guidelines is relevant:</w:t>
      </w:r>
    </w:p>
    <w:p w:rsidR="00CD3F1C" w:rsidRPr="00EA7055" w:rsidRDefault="00CD3F1C" w:rsidP="00CD3F1C">
      <w:pPr>
        <w:ind w:left="720"/>
        <w:rPr>
          <w:i/>
        </w:rPr>
      </w:pPr>
      <w:r w:rsidRPr="00EA7055">
        <w:rPr>
          <w:i/>
        </w:rPr>
        <w:t xml:space="preserve">First, there is a paucity of research in the area of trace elements provision in </w:t>
      </w:r>
      <w:proofErr w:type="gramStart"/>
      <w:r w:rsidRPr="00EA7055">
        <w:rPr>
          <w:i/>
        </w:rPr>
        <w:t>Parenteral</w:t>
      </w:r>
      <w:proofErr w:type="gramEnd"/>
      <w:r w:rsidRPr="00EA7055">
        <w:rPr>
          <w:i/>
        </w:rPr>
        <w:t xml:space="preserve"> nutrition. The majority of the available literature is 20 to 40 years old, and due to the changes in </w:t>
      </w:r>
      <w:proofErr w:type="gramStart"/>
      <w:r w:rsidRPr="00EA7055">
        <w:rPr>
          <w:i/>
        </w:rPr>
        <w:t>Parenteral</w:t>
      </w:r>
      <w:proofErr w:type="gramEnd"/>
      <w:r w:rsidRPr="00EA7055">
        <w:rPr>
          <w:i/>
        </w:rPr>
        <w:t xml:space="preserve"> nutrition practices in this time it is currently unknown to what degree it can now be generalised to the modern Parenteral nutrition context. Second, with few exceptions, the research has been conducted outside of Australia and NZ and therefore the impact of different solutions, practices and this region’s vulnerability to lower baseline trace elements levels, such as Se and I, limit the degree to which these results can be applied to our population, although this has been extrapolated from local population information when possible. Third, the realities of nutritional research in which the elements of well-designed randomised controlled trials, notably blinding and randomisation, are not always possible due to ethical or logistical reasons limits the high level evidence available in this field. While high levels of evidence are sought to justify changes to clinical practice, lower grades of evidence often represent the best level of evidence available and this does not necessarily invalidate the recommendations.</w:t>
      </w:r>
    </w:p>
    <w:p w:rsidR="00CD3F1C" w:rsidRPr="00EA7055" w:rsidRDefault="005E4114" w:rsidP="00CD3F1C">
      <w:r w:rsidRPr="00EA7055">
        <w:t>Because of the sponsor’s repeated re</w:t>
      </w:r>
      <w:r>
        <w:t xml:space="preserve">ferral to </w:t>
      </w:r>
      <w:proofErr w:type="spellStart"/>
      <w:r>
        <w:t>Addamel</w:t>
      </w:r>
      <w:proofErr w:type="spellEnd"/>
      <w:r>
        <w:t xml:space="preserve"> N as a source, </w:t>
      </w:r>
      <w:r w:rsidRPr="00EA7055">
        <w:t>th</w:t>
      </w:r>
      <w:r>
        <w:t>e</w:t>
      </w:r>
      <w:r w:rsidRPr="00EA7055">
        <w:t xml:space="preserve"> evaluator looked to </w:t>
      </w:r>
      <w:r>
        <w:t>a</w:t>
      </w:r>
      <w:r w:rsidRPr="00EA7055">
        <w:t xml:space="preserve"> previous evaluator’s assessment of th</w:t>
      </w:r>
      <w:r>
        <w:t>e</w:t>
      </w:r>
      <w:r w:rsidRPr="00EA7055">
        <w:t xml:space="preserve"> product</w:t>
      </w:r>
      <w:r w:rsidR="00CD3F1C" w:rsidRPr="00EA7055">
        <w:t>:</w:t>
      </w:r>
    </w:p>
    <w:p w:rsidR="00CD3F1C" w:rsidRPr="0062003B" w:rsidRDefault="00CD3F1C" w:rsidP="00CD3F1C">
      <w:pPr>
        <w:ind w:left="720"/>
        <w:rPr>
          <w:i/>
        </w:rPr>
      </w:pPr>
      <w:r w:rsidRPr="0062003B">
        <w:rPr>
          <w:i/>
        </w:rPr>
        <w:t>The central questions relate to the extent to which it has been established that the combination will meet clinical requirements (a) in terms of adequacy, and (b) in terms of non-toxicity. For example, what proportion of TPN patients treated with the product require</w:t>
      </w:r>
      <w:r w:rsidR="004A6F74">
        <w:rPr>
          <w:i/>
        </w:rPr>
        <w:t>d</w:t>
      </w:r>
      <w:r w:rsidRPr="0062003B">
        <w:rPr>
          <w:i/>
        </w:rPr>
        <w:t xml:space="preserve"> further supplementation, in various clinical circumstances (relating to renal or hepatic function, surgical wounds, metabolic rate, etc.)? What proportion of such patients develop (or threaten to develop) hazardous levels of one or more of the trace elements included in the product? It seems little information on this is available from the published literature.</w:t>
      </w:r>
    </w:p>
    <w:p w:rsidR="00CD3F1C" w:rsidRPr="0062003B" w:rsidRDefault="00CD3F1C" w:rsidP="00CD3F1C">
      <w:pPr>
        <w:ind w:left="720"/>
        <w:rPr>
          <w:i/>
        </w:rPr>
      </w:pPr>
      <w:r w:rsidRPr="0062003B">
        <w:rPr>
          <w:i/>
        </w:rPr>
        <w:t xml:space="preserve">As noted </w:t>
      </w:r>
      <w:r>
        <w:rPr>
          <w:i/>
        </w:rPr>
        <w:t>[in]</w:t>
      </w:r>
      <w:r w:rsidRPr="0062003B">
        <w:rPr>
          <w:i/>
        </w:rPr>
        <w:t xml:space="preserve"> this report, no pharmacokinetic data were presented in the expert report.</w:t>
      </w:r>
    </w:p>
    <w:p w:rsidR="00CD3F1C" w:rsidRPr="0062003B" w:rsidRDefault="00CD3F1C" w:rsidP="00CD3F1C">
      <w:pPr>
        <w:ind w:left="720"/>
        <w:rPr>
          <w:i/>
        </w:rPr>
      </w:pPr>
      <w:r w:rsidRPr="0062003B">
        <w:rPr>
          <w:i/>
        </w:rPr>
        <w:lastRenderedPageBreak/>
        <w:t>Unless the dosage range for each is broad, it would seem unlikely that a fixed combination of 9 active substances would provide an adequate intake for each without exceeding the safe level for any. Judging from the expert report, this problem is by no means purely hypothetical, and routine monitoring would be required. It is likely that, based on such monitoring, further supplementation of some trace elements would be required, possibly combined with reduction in the dose of the fixed combination product if its administration was to be continued.</w:t>
      </w:r>
    </w:p>
    <w:p w:rsidR="00CD3F1C" w:rsidRPr="0062003B" w:rsidRDefault="00CD3F1C" w:rsidP="00CD3F1C">
      <w:pPr>
        <w:ind w:left="720"/>
        <w:rPr>
          <w:i/>
        </w:rPr>
      </w:pPr>
      <w:r w:rsidRPr="0062003B">
        <w:rPr>
          <w:i/>
        </w:rPr>
        <w:t>Rather than use a fixed combination of trace elements, it would be preferable in my opinion to assess each patient individually and prescribe trace elements in amounts which appear appropriate.</w:t>
      </w:r>
    </w:p>
    <w:p w:rsidR="00CD3F1C" w:rsidRPr="0062003B" w:rsidRDefault="00CD3F1C" w:rsidP="00CD3F1C">
      <w:pPr>
        <w:ind w:left="720"/>
        <w:rPr>
          <w:i/>
        </w:rPr>
      </w:pPr>
      <w:r w:rsidRPr="0062003B">
        <w:rPr>
          <w:i/>
        </w:rPr>
        <w:t>I therefore recommend refusal of the application.</w:t>
      </w:r>
    </w:p>
    <w:p w:rsidR="00CD3F1C" w:rsidRPr="0062003B" w:rsidRDefault="00CD3F1C" w:rsidP="00CD3F1C">
      <w:r>
        <w:t>The date of the clinical evaluation report was 5 October 2005 (data submitted 2 November 2004).</w:t>
      </w:r>
    </w:p>
    <w:p w:rsidR="006D4092" w:rsidRDefault="00CD3F1C" w:rsidP="00CD3F1C">
      <w:pPr>
        <w:ind w:left="720"/>
        <w:rPr>
          <w:i/>
        </w:rPr>
      </w:pPr>
      <w:r w:rsidRPr="0062003B">
        <w:rPr>
          <w:i/>
        </w:rPr>
        <w:t xml:space="preserve">Comment: This current submission contains ~20 </w:t>
      </w:r>
      <w:proofErr w:type="gramStart"/>
      <w:r w:rsidRPr="0062003B">
        <w:rPr>
          <w:i/>
        </w:rPr>
        <w:t>Parenteral</w:t>
      </w:r>
      <w:proofErr w:type="gramEnd"/>
      <w:r w:rsidRPr="0062003B">
        <w:rPr>
          <w:i/>
        </w:rPr>
        <w:t xml:space="preserve"> nutrition articles since the date of the previous submission and 8 new guidelines.</w:t>
      </w:r>
    </w:p>
    <w:p w:rsidR="00C22678" w:rsidRDefault="00C22678" w:rsidP="006E71E8">
      <w:pPr>
        <w:pStyle w:val="Heading2"/>
      </w:pPr>
      <w:bookmarkStart w:id="141" w:name="_Toc480383698"/>
      <w:r>
        <w:t>First round recommendation regarding authorisation</w:t>
      </w:r>
      <w:bookmarkEnd w:id="141"/>
    </w:p>
    <w:p w:rsidR="00CD3F1C" w:rsidRDefault="00CD3F1C" w:rsidP="00CD3F1C">
      <w:r>
        <w:t>Authorisation is not recommended.</w:t>
      </w:r>
    </w:p>
    <w:p w:rsidR="00CD3F1C" w:rsidRPr="00AF0D28" w:rsidRDefault="00CD3F1C" w:rsidP="00CD3F1C">
      <w:pPr>
        <w:pStyle w:val="ListBullet"/>
        <w:numPr>
          <w:ilvl w:val="0"/>
          <w:numId w:val="3"/>
        </w:numPr>
      </w:pPr>
      <w:r w:rsidRPr="00AF0D28">
        <w:t>It fails to meet some of the requirements of a literature based submission:</w:t>
      </w:r>
    </w:p>
    <w:p w:rsidR="00CD3F1C" w:rsidRPr="00AF0D28" w:rsidRDefault="00CD3F1C" w:rsidP="00CD3F1C">
      <w:pPr>
        <w:ind w:left="360"/>
        <w:rPr>
          <w:i/>
        </w:rPr>
      </w:pPr>
      <w:r w:rsidRPr="00AF0D28">
        <w:rPr>
          <w:i/>
        </w:rPr>
        <w:t xml:space="preserve">Under exceptional circumstances, </w:t>
      </w:r>
      <w:proofErr w:type="gramStart"/>
      <w:r w:rsidRPr="00AF0D28">
        <w:rPr>
          <w:i/>
        </w:rPr>
        <w:t>a LBS</w:t>
      </w:r>
      <w:proofErr w:type="gramEnd"/>
      <w:r w:rsidRPr="00AF0D28">
        <w:rPr>
          <w:i/>
        </w:rPr>
        <w:t xml:space="preserve"> (including a mixed application) may be accepted for the registration of a new chemical entity (NCE) in Australia where it has been marketed in other countries for many years.</w:t>
      </w:r>
    </w:p>
    <w:p w:rsidR="00CD3F1C" w:rsidRPr="00AF0D28" w:rsidRDefault="00CD3F1C" w:rsidP="00CD3F1C">
      <w:pPr>
        <w:pStyle w:val="ListBullet"/>
        <w:numPr>
          <w:ilvl w:val="0"/>
          <w:numId w:val="3"/>
        </w:numPr>
      </w:pPr>
      <w:r w:rsidRPr="00AF0D28">
        <w:t xml:space="preserve">The sponsor argues for the drug being a new formulation of a pre-existing preparation </w:t>
      </w:r>
      <w:proofErr w:type="spellStart"/>
      <w:r w:rsidRPr="00AF0D28">
        <w:t>Addamel</w:t>
      </w:r>
      <w:proofErr w:type="spellEnd"/>
      <w:r w:rsidRPr="00AF0D28">
        <w:t xml:space="preserve"> N.</w:t>
      </w:r>
    </w:p>
    <w:p w:rsidR="00CD3F1C" w:rsidRPr="00AF0D28" w:rsidRDefault="00CD3F1C" w:rsidP="00CD3F1C">
      <w:pPr>
        <w:ind w:left="360"/>
        <w:rPr>
          <w:i/>
        </w:rPr>
      </w:pPr>
      <w:r w:rsidRPr="00AF0D28">
        <w:rPr>
          <w:i/>
        </w:rPr>
        <w:t xml:space="preserve">We will not accept </w:t>
      </w:r>
      <w:proofErr w:type="gramStart"/>
      <w:r w:rsidRPr="00AF0D28">
        <w:rPr>
          <w:i/>
        </w:rPr>
        <w:t>a LBS</w:t>
      </w:r>
      <w:proofErr w:type="gramEnd"/>
      <w:r w:rsidRPr="00AF0D28">
        <w:rPr>
          <w:i/>
        </w:rPr>
        <w:t xml:space="preserve"> (or a mixed application) for applications to register a NCE where the marketing in other acceptable countries has been less than ten years, except where:</w:t>
      </w:r>
    </w:p>
    <w:p w:rsidR="006D4092" w:rsidRDefault="00CD3F1C" w:rsidP="00CD3F1C">
      <w:pPr>
        <w:pStyle w:val="ListBullet2"/>
        <w:numPr>
          <w:ilvl w:val="1"/>
          <w:numId w:val="3"/>
        </w:numPr>
        <w:rPr>
          <w:i/>
        </w:rPr>
      </w:pPr>
      <w:r w:rsidRPr="00AF0D28">
        <w:rPr>
          <w:i/>
        </w:rPr>
        <w:t>the NCE has been designated in Australia as an Orphan Drug, or</w:t>
      </w:r>
    </w:p>
    <w:p w:rsidR="00CD3F1C" w:rsidRPr="00AF0D28" w:rsidRDefault="00CD3F1C" w:rsidP="00CD3F1C">
      <w:pPr>
        <w:pStyle w:val="ListBullet2"/>
        <w:numPr>
          <w:ilvl w:val="1"/>
          <w:numId w:val="3"/>
        </w:numPr>
        <w:rPr>
          <w:i/>
        </w:rPr>
      </w:pPr>
      <w:proofErr w:type="gramStart"/>
      <w:r w:rsidRPr="00AF0D28">
        <w:rPr>
          <w:i/>
        </w:rPr>
        <w:t>the</w:t>
      </w:r>
      <w:r w:rsidR="00CE55D3">
        <w:rPr>
          <w:i/>
        </w:rPr>
        <w:t>re</w:t>
      </w:r>
      <w:proofErr w:type="gramEnd"/>
      <w:r w:rsidR="00CE55D3">
        <w:rPr>
          <w:i/>
        </w:rPr>
        <w:t xml:space="preserve"> is no medicine registered or</w:t>
      </w:r>
      <w:r w:rsidRPr="00AF0D28">
        <w:rPr>
          <w:i/>
        </w:rPr>
        <w:t xml:space="preserve"> available in Australia that is registered for the same or (in the view of the TGA) essentially the same indication.</w:t>
      </w:r>
    </w:p>
    <w:p w:rsidR="00CD3F1C" w:rsidRPr="00AF0D28" w:rsidRDefault="00CD3F1C" w:rsidP="00CD3F1C">
      <w:pPr>
        <w:ind w:left="360"/>
      </w:pPr>
      <w:r w:rsidRPr="00AF0D28">
        <w:rPr>
          <w:i/>
        </w:rPr>
        <w:t xml:space="preserve">A previous submission of </w:t>
      </w:r>
      <w:proofErr w:type="spellStart"/>
      <w:r w:rsidRPr="00AF0D28">
        <w:rPr>
          <w:i/>
        </w:rPr>
        <w:t>Addamel</w:t>
      </w:r>
      <w:proofErr w:type="spellEnd"/>
      <w:r w:rsidRPr="00AF0D28">
        <w:rPr>
          <w:i/>
        </w:rPr>
        <w:t xml:space="preserve"> N claimed orphan status, but not this submission for </w:t>
      </w:r>
      <w:proofErr w:type="spellStart"/>
      <w:r w:rsidRPr="00AF0D28">
        <w:rPr>
          <w:i/>
        </w:rPr>
        <w:t>Addaven</w:t>
      </w:r>
      <w:proofErr w:type="spellEnd"/>
      <w:r w:rsidRPr="00AF0D28">
        <w:rPr>
          <w:i/>
        </w:rPr>
        <w:t>. There are alternatives for many of the components.</w:t>
      </w:r>
    </w:p>
    <w:p w:rsidR="00CD3F1C" w:rsidRPr="00AF0D28" w:rsidRDefault="00CD3F1C" w:rsidP="00CD3F1C">
      <w:pPr>
        <w:pStyle w:val="ListBullet"/>
        <w:numPr>
          <w:ilvl w:val="0"/>
          <w:numId w:val="3"/>
        </w:numPr>
      </w:pPr>
      <w:r w:rsidRPr="00AF0D28">
        <w:t>There exists a current ADEC recommendation to prohibit t</w:t>
      </w:r>
      <w:r>
        <w:t>he use of one of the components:</w:t>
      </w:r>
      <w:r w:rsidRPr="00AF0D28">
        <w:t xml:space="preserve"> Xylitol.</w:t>
      </w:r>
    </w:p>
    <w:p w:rsidR="00C22678" w:rsidRDefault="00C22678" w:rsidP="006E71E8">
      <w:pPr>
        <w:pStyle w:val="Heading2"/>
      </w:pPr>
      <w:bookmarkStart w:id="142" w:name="_Toc480383699"/>
      <w:r>
        <w:t>Clinical questions</w:t>
      </w:r>
      <w:bookmarkEnd w:id="142"/>
    </w:p>
    <w:p w:rsidR="00CD3F1C" w:rsidRPr="00605AD4" w:rsidRDefault="00CD3F1C" w:rsidP="00CD3F1C">
      <w:r>
        <w:t>Not applicable.</w:t>
      </w:r>
    </w:p>
    <w:bookmarkEnd w:id="3"/>
    <w:bookmarkEnd w:id="2"/>
    <w:bookmarkEnd w:id="1"/>
    <w:p w:rsidR="003D1E62" w:rsidRPr="00A16AF7" w:rsidRDefault="008E7846" w:rsidP="00A16AF7">
      <w:pPr>
        <w:spacing w:before="20"/>
        <w:sectPr w:rsidR="003D1E62" w:rsidRPr="00A16AF7" w:rsidSect="00CD3F1C">
          <w:headerReference w:type="even" r:id="rId19"/>
          <w:headerReference w:type="default" r:id="rId20"/>
          <w:headerReference w:type="first" r:id="rId21"/>
          <w:footerReference w:type="first" r:id="rId22"/>
          <w:pgSz w:w="11906" w:h="16838" w:code="9"/>
          <w:pgMar w:top="1440" w:right="1440" w:bottom="1440" w:left="1440" w:header="907" w:footer="479" w:gutter="0"/>
          <w:cols w:space="708"/>
          <w:docGrid w:linePitch="360"/>
        </w:sectPr>
      </w:pPr>
      <w:r w:rsidRPr="00A16AF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A16AF7" w:rsidTr="009021F5">
        <w:trPr>
          <w:trHeight w:hRule="exact" w:val="564"/>
        </w:trPr>
        <w:tc>
          <w:tcPr>
            <w:tcW w:w="9175" w:type="dxa"/>
          </w:tcPr>
          <w:p w:rsidR="007A323C" w:rsidRPr="00487162" w:rsidRDefault="007A323C" w:rsidP="00A16AF7">
            <w:pPr>
              <w:pStyle w:val="TGASignoff"/>
              <w:spacing w:before="20"/>
            </w:pPr>
            <w:r w:rsidRPr="00487162">
              <w:lastRenderedPageBreak/>
              <w:t>Therapeutic Goods Administration</w:t>
            </w:r>
          </w:p>
        </w:tc>
      </w:tr>
      <w:tr w:rsidR="007A323C" w:rsidRPr="00A16AF7" w:rsidTr="009021F5">
        <w:trPr>
          <w:trHeight w:val="1221"/>
        </w:trPr>
        <w:tc>
          <w:tcPr>
            <w:tcW w:w="9175" w:type="dxa"/>
            <w:tcMar>
              <w:top w:w="28" w:type="dxa"/>
            </w:tcMar>
          </w:tcPr>
          <w:p w:rsidR="007A323C" w:rsidRPr="00487162" w:rsidRDefault="007A323C" w:rsidP="00A16AF7">
            <w:pPr>
              <w:pStyle w:val="Address"/>
              <w:spacing w:before="20"/>
            </w:pPr>
            <w:r w:rsidRPr="00487162">
              <w:t>PO Box 100 Woden ACT 2606 Australia</w:t>
            </w:r>
          </w:p>
          <w:p w:rsidR="007A323C" w:rsidRPr="00CD3F1C" w:rsidRDefault="007A323C" w:rsidP="00A16AF7">
            <w:pPr>
              <w:pStyle w:val="Address"/>
              <w:spacing w:before="20"/>
            </w:pPr>
            <w:r w:rsidRPr="00CD3F1C">
              <w:t xml:space="preserve">Email: </w:t>
            </w:r>
            <w:hyperlink r:id="rId23" w:history="1">
              <w:r w:rsidRPr="00CD3F1C">
                <w:rPr>
                  <w:rStyle w:val="Hyperlink"/>
                </w:rPr>
                <w:t>info@tga.gov.au</w:t>
              </w:r>
            </w:hyperlink>
            <w:r w:rsidRPr="00CD3F1C">
              <w:t xml:space="preserve">  Phone: 1800 020 653  Fax: 02 6232 8605</w:t>
            </w:r>
          </w:p>
          <w:p w:rsidR="007A323C" w:rsidRPr="00A16AF7" w:rsidRDefault="006D4092" w:rsidP="00A16AF7">
            <w:pPr>
              <w:pStyle w:val="Address"/>
              <w:spacing w:before="20" w:line="260" w:lineRule="atLeast"/>
              <w:rPr>
                <w:b/>
                <w:color w:val="0000FF"/>
                <w:highlight w:val="yellow"/>
                <w:u w:val="single"/>
              </w:rPr>
            </w:pPr>
            <w:hyperlink r:id="rId24" w:history="1">
              <w:r w:rsidR="007A323C" w:rsidRPr="00CD3F1C">
                <w:rPr>
                  <w:rStyle w:val="Hyperlink"/>
                </w:rPr>
                <w:t>https://www.tga.gov.au</w:t>
              </w:r>
            </w:hyperlink>
          </w:p>
        </w:tc>
      </w:tr>
    </w:tbl>
    <w:p w:rsidR="00774E1D" w:rsidRPr="00A16AF7" w:rsidRDefault="00774E1D" w:rsidP="00A16AF7">
      <w:pPr>
        <w:spacing w:before="20"/>
      </w:pPr>
    </w:p>
    <w:sectPr w:rsidR="00774E1D" w:rsidRPr="00A16AF7" w:rsidSect="00B3567E">
      <w:headerReference w:type="even" r:id="rId25"/>
      <w:headerReference w:type="default" r:id="rId26"/>
      <w:footerReference w:type="default" r:id="rId27"/>
      <w:headerReference w:type="first" r:id="rId28"/>
      <w:footerReference w:type="first" r:id="rId2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092" w:rsidRDefault="006D4092" w:rsidP="00C40A36">
      <w:pPr>
        <w:spacing w:after="0"/>
      </w:pPr>
      <w:r>
        <w:separator/>
      </w:r>
    </w:p>
  </w:endnote>
  <w:endnote w:type="continuationSeparator" w:id="0">
    <w:p w:rsidR="006D4092" w:rsidRDefault="006D409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A16A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D4092" w:rsidRDefault="006D4092"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F173B" w:rsidRPr="00162297" w:rsidTr="006D31B2">
      <w:trPr>
        <w:trHeight w:val="269"/>
      </w:trPr>
      <w:tc>
        <w:tcPr>
          <w:tcW w:w="7371" w:type="dxa"/>
          <w:tcMar>
            <w:top w:w="142" w:type="dxa"/>
            <w:bottom w:w="0" w:type="dxa"/>
          </w:tcMar>
        </w:tcPr>
        <w:p w:rsidR="005F173B" w:rsidRPr="00162297" w:rsidRDefault="005F173B" w:rsidP="00065D4B">
          <w:pPr>
            <w:tabs>
              <w:tab w:val="center" w:pos="4513"/>
              <w:tab w:val="right" w:pos="9026"/>
            </w:tabs>
            <w:spacing w:before="0" w:after="0" w:line="240" w:lineRule="auto"/>
            <w:rPr>
              <w:sz w:val="17"/>
            </w:rPr>
          </w:pPr>
          <w:r w:rsidRPr="00162297">
            <w:rPr>
              <w:sz w:val="17"/>
            </w:rPr>
            <w:t xml:space="preserve">Submission PM-2015-01467-1-1 Extract from the Clinical Evaluation Report for </w:t>
          </w:r>
          <w:proofErr w:type="spellStart"/>
          <w:r w:rsidRPr="00162297">
            <w:rPr>
              <w:sz w:val="17"/>
            </w:rPr>
            <w:t>Addaven</w:t>
          </w:r>
          <w:proofErr w:type="spellEnd"/>
        </w:p>
      </w:tc>
      <w:tc>
        <w:tcPr>
          <w:tcW w:w="1490" w:type="dxa"/>
          <w:tcMar>
            <w:top w:w="142" w:type="dxa"/>
            <w:bottom w:w="0" w:type="dxa"/>
          </w:tcMar>
        </w:tcPr>
        <w:p w:rsidR="005F173B" w:rsidRPr="00162297" w:rsidRDefault="005F173B" w:rsidP="006D31B2">
          <w:pPr>
            <w:tabs>
              <w:tab w:val="center" w:pos="4513"/>
              <w:tab w:val="right" w:pos="9026"/>
            </w:tabs>
            <w:spacing w:before="0" w:after="0" w:line="240" w:lineRule="auto"/>
            <w:jc w:val="center"/>
            <w:rPr>
              <w:sz w:val="17"/>
            </w:rPr>
          </w:pPr>
          <w:r w:rsidRPr="00162297">
            <w:rPr>
              <w:sz w:val="17"/>
            </w:rPr>
            <w:t xml:space="preserve">Page </w:t>
          </w:r>
          <w:r w:rsidRPr="00162297">
            <w:rPr>
              <w:sz w:val="17"/>
            </w:rPr>
            <w:fldChar w:fldCharType="begin"/>
          </w:r>
          <w:r w:rsidRPr="00162297">
            <w:rPr>
              <w:sz w:val="17"/>
            </w:rPr>
            <w:instrText xml:space="preserve"> PAGE  \* Arabic  \* MERGEFORMAT </w:instrText>
          </w:r>
          <w:r w:rsidRPr="00162297">
            <w:rPr>
              <w:sz w:val="17"/>
            </w:rPr>
            <w:fldChar w:fldCharType="separate"/>
          </w:r>
          <w:r w:rsidR="006E71E8">
            <w:rPr>
              <w:noProof/>
              <w:sz w:val="17"/>
            </w:rPr>
            <w:t>3</w:t>
          </w:r>
          <w:r w:rsidRPr="00162297">
            <w:rPr>
              <w:sz w:val="17"/>
            </w:rPr>
            <w:fldChar w:fldCharType="end"/>
          </w:r>
          <w:r w:rsidRPr="00162297">
            <w:rPr>
              <w:sz w:val="17"/>
            </w:rPr>
            <w:t xml:space="preserve"> of </w:t>
          </w:r>
          <w:r w:rsidRPr="00162297">
            <w:rPr>
              <w:sz w:val="17"/>
            </w:rPr>
            <w:fldChar w:fldCharType="begin"/>
          </w:r>
          <w:r w:rsidRPr="00162297">
            <w:rPr>
              <w:sz w:val="17"/>
            </w:rPr>
            <w:instrText xml:space="preserve"> NUMPAGES  \* Arabic  \* MERGEFORMAT </w:instrText>
          </w:r>
          <w:r w:rsidRPr="00162297">
            <w:rPr>
              <w:sz w:val="17"/>
            </w:rPr>
            <w:fldChar w:fldCharType="separate"/>
          </w:r>
          <w:r w:rsidR="006E71E8">
            <w:rPr>
              <w:noProof/>
              <w:sz w:val="17"/>
            </w:rPr>
            <w:t>28</w:t>
          </w:r>
          <w:r w:rsidRPr="00162297">
            <w:rPr>
              <w:noProof/>
              <w:sz w:val="17"/>
            </w:rPr>
            <w:fldChar w:fldCharType="end"/>
          </w:r>
        </w:p>
      </w:tc>
    </w:tr>
  </w:tbl>
  <w:p w:rsidR="006D4092" w:rsidRPr="00A16AF7" w:rsidRDefault="006D4092" w:rsidP="005F173B">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D4092" w:rsidRPr="00487162" w:rsidTr="00E45619">
      <w:trPr>
        <w:trHeight w:val="269"/>
      </w:trPr>
      <w:tc>
        <w:tcPr>
          <w:tcW w:w="4519" w:type="dxa"/>
          <w:tcBorders>
            <w:top w:val="single" w:sz="4" w:space="0" w:color="auto"/>
          </w:tcBorders>
          <w:tcMar>
            <w:top w:w="142" w:type="dxa"/>
            <w:bottom w:w="0" w:type="dxa"/>
          </w:tcMar>
        </w:tcPr>
        <w:p w:rsidR="006D4092" w:rsidRPr="00487162" w:rsidRDefault="006D4092" w:rsidP="00FE1DEE">
          <w:pPr>
            <w:pStyle w:val="Footer"/>
          </w:pPr>
          <w:r w:rsidRPr="00487162">
            <w:t>Document title, Part #, Section # - Section title</w:t>
          </w:r>
        </w:p>
        <w:p w:rsidR="006D4092" w:rsidRPr="00487162" w:rsidRDefault="006D4092" w:rsidP="00FE1DEE">
          <w:pPr>
            <w:pStyle w:val="Footer"/>
          </w:pPr>
          <w:r w:rsidRPr="00487162">
            <w:t>V1.0 October 2010</w:t>
          </w:r>
        </w:p>
      </w:tc>
      <w:tc>
        <w:tcPr>
          <w:tcW w:w="4342" w:type="dxa"/>
          <w:tcBorders>
            <w:top w:val="single" w:sz="4" w:space="0" w:color="auto"/>
          </w:tcBorders>
          <w:tcMar>
            <w:top w:w="142" w:type="dxa"/>
            <w:bottom w:w="0" w:type="dxa"/>
          </w:tcMar>
        </w:tcPr>
        <w:p w:rsidR="006D4092" w:rsidRPr="00487162" w:rsidRDefault="006D409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6D4092" w:rsidRDefault="006D4092">
    <w:pPr>
      <w:pStyle w:val="Footer"/>
    </w:pPr>
  </w:p>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D4092" w:rsidTr="0010601F">
      <w:trPr>
        <w:trHeight w:val="108"/>
      </w:trPr>
      <w:tc>
        <w:tcPr>
          <w:tcW w:w="8875" w:type="dxa"/>
          <w:gridSpan w:val="2"/>
          <w:tcBorders>
            <w:bottom w:val="single" w:sz="4" w:space="0" w:color="auto"/>
          </w:tcBorders>
          <w:tcMar>
            <w:right w:w="284" w:type="dxa"/>
          </w:tcMar>
        </w:tcPr>
        <w:p w:rsidR="006D4092" w:rsidRDefault="006D4092" w:rsidP="006E08B3">
          <w:pPr>
            <w:pStyle w:val="Heading3"/>
          </w:pPr>
          <w:r>
            <w:t>Copyright</w:t>
          </w:r>
        </w:p>
        <w:p w:rsidR="006D4092" w:rsidRDefault="006D4092" w:rsidP="006E08B3">
          <w:r>
            <w:t>© Commonwealth of Australia [add year]</w:t>
          </w:r>
        </w:p>
        <w:p w:rsidR="006D4092" w:rsidRDefault="006D4092" w:rsidP="006E08B3"/>
        <w:p w:rsidR="006D4092" w:rsidRDefault="006D409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4092" w:rsidRDefault="006D4092" w:rsidP="006E08B3"/>
        <w:p w:rsidR="006D4092" w:rsidRDefault="006D4092" w:rsidP="006E08B3">
          <w:pPr>
            <w:pStyle w:val="Heading3"/>
          </w:pPr>
          <w:r>
            <w:t>Confidentiality</w:t>
          </w:r>
        </w:p>
        <w:p w:rsidR="006D4092" w:rsidRDefault="006D409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4092" w:rsidRDefault="006D4092" w:rsidP="006E08B3"/>
        <w:p w:rsidR="006D4092" w:rsidRDefault="006D4092" w:rsidP="006E08B3">
          <w:r>
            <w:t>For submission made by individuals, all personal details, other than your name, will be removed from your submission before it is published on the TGA’s Internet site.</w:t>
          </w:r>
        </w:p>
        <w:p w:rsidR="006D4092" w:rsidRDefault="006D4092" w:rsidP="006E08B3"/>
        <w:p w:rsidR="006D4092" w:rsidRDefault="006D409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D4092" w:rsidTr="0010601F">
      <w:trPr>
        <w:trHeight w:val="417"/>
      </w:trPr>
      <w:tc>
        <w:tcPr>
          <w:tcW w:w="4519" w:type="dxa"/>
          <w:tcBorders>
            <w:top w:val="single" w:sz="4" w:space="0" w:color="auto"/>
          </w:tcBorders>
          <w:tcMar>
            <w:top w:w="142" w:type="dxa"/>
            <w:bottom w:w="0" w:type="dxa"/>
          </w:tcMar>
        </w:tcPr>
        <w:p w:rsidR="006D4092" w:rsidRDefault="006D4092" w:rsidP="006E08B3">
          <w:r>
            <w:t>Document title, Part #, Section # - Section title</w:t>
          </w:r>
        </w:p>
        <w:p w:rsidR="006D4092" w:rsidRDefault="006D4092" w:rsidP="006E08B3">
          <w:r>
            <w:t>V1.0 October 2010</w:t>
          </w:r>
        </w:p>
      </w:tc>
      <w:tc>
        <w:tcPr>
          <w:tcW w:w="4356" w:type="dxa"/>
          <w:tcBorders>
            <w:top w:val="single" w:sz="4" w:space="0" w:color="auto"/>
          </w:tcBorders>
          <w:tcMar>
            <w:top w:w="142" w:type="dxa"/>
            <w:bottom w:w="0" w:type="dxa"/>
          </w:tcMar>
        </w:tcPr>
        <w:p w:rsidR="006D4092" w:rsidRDefault="006D409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6D4092" w:rsidRDefault="006D40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092" w:rsidRDefault="006D4092" w:rsidP="00C40A36">
      <w:pPr>
        <w:spacing w:after="0"/>
      </w:pPr>
      <w:r>
        <w:separator/>
      </w:r>
    </w:p>
  </w:footnote>
  <w:footnote w:type="continuationSeparator" w:id="0">
    <w:p w:rsidR="006D4092" w:rsidRDefault="006D4092" w:rsidP="00C40A36">
      <w:pPr>
        <w:spacing w:after="0"/>
      </w:pPr>
      <w:r>
        <w:continuationSeparator/>
      </w:r>
    </w:p>
  </w:footnote>
  <w:footnote w:id="1">
    <w:p w:rsidR="006D4092" w:rsidRDefault="006D4092" w:rsidP="00065D4B">
      <w:pPr>
        <w:pStyle w:val="FootnoteText"/>
      </w:pPr>
      <w:r>
        <w:rPr>
          <w:rStyle w:val="FootnoteReference"/>
        </w:rPr>
        <w:footnoteRef/>
      </w:r>
      <w:r>
        <w:t xml:space="preserve"> </w:t>
      </w:r>
      <w:r w:rsidRPr="00272782">
        <w:t>Food and Nutrition Board 2001; Food and Nutrition Board 2000; Food and Nutrition Board 1997</w:t>
      </w:r>
    </w:p>
  </w:footnote>
  <w:footnote w:id="2">
    <w:p w:rsidR="006D4092" w:rsidRDefault="006D4092" w:rsidP="00A16AF7">
      <w:pPr>
        <w:pStyle w:val="FootnoteText"/>
      </w:pPr>
      <w:r>
        <w:rPr>
          <w:rStyle w:val="FootnoteReference"/>
        </w:rPr>
        <w:footnoteRef/>
      </w:r>
      <w:r>
        <w:t xml:space="preserve"> </w:t>
      </w:r>
      <w:proofErr w:type="spellStart"/>
      <w:r w:rsidRPr="00272782">
        <w:t>Jeejeebhoy</w:t>
      </w:r>
      <w:proofErr w:type="spellEnd"/>
      <w:r w:rsidRPr="00272782">
        <w:t xml:space="preserve"> 2009</w:t>
      </w:r>
    </w:p>
  </w:footnote>
  <w:footnote w:id="3">
    <w:p w:rsidR="006D4092" w:rsidRPr="00B6173B" w:rsidRDefault="006D4092" w:rsidP="00065D4B">
      <w:pPr>
        <w:pStyle w:val="FootnoteText"/>
        <w:rPr>
          <w:lang w:val="en-US"/>
        </w:rPr>
      </w:pPr>
      <w:r>
        <w:rPr>
          <w:rStyle w:val="FootnoteReference"/>
        </w:rPr>
        <w:footnoteRef/>
      </w:r>
      <w:r>
        <w:t xml:space="preserve"> </w:t>
      </w:r>
      <w:r w:rsidRPr="00B6173B">
        <w:t>A.S.P.E.N. Position Paper: Recommendations for Changes in Commercially Available Parenteral Multivitamin and Multi–Trace Element Products Nutrition in Clinical Practice Volume 27 Number 4 August 2012 440-491</w:t>
      </w:r>
      <w:r>
        <w:t>.</w:t>
      </w:r>
    </w:p>
  </w:footnote>
  <w:footnote w:id="4">
    <w:p w:rsidR="006D4092" w:rsidRPr="00B6173B" w:rsidRDefault="006D4092">
      <w:pPr>
        <w:pStyle w:val="FootnoteText"/>
        <w:rPr>
          <w:lang w:val="en-US"/>
        </w:rPr>
      </w:pPr>
      <w:r>
        <w:rPr>
          <w:rStyle w:val="FootnoteReference"/>
        </w:rPr>
        <w:footnoteRef/>
      </w:r>
      <w:r>
        <w:t xml:space="preserve"> British Journal of Nutrition</w:t>
      </w:r>
      <w:proofErr w:type="gramStart"/>
      <w:r>
        <w:t>,37</w:t>
      </w:r>
      <w:proofErr w:type="gramEnd"/>
      <w:r>
        <w:t>, pp 107-126.</w:t>
      </w:r>
    </w:p>
  </w:footnote>
  <w:footnote w:id="5">
    <w:p w:rsidR="006D4092" w:rsidRPr="00B6173B" w:rsidRDefault="006D4092">
      <w:pPr>
        <w:pStyle w:val="FootnoteText"/>
        <w:rPr>
          <w:lang w:val="en-US"/>
        </w:rPr>
      </w:pPr>
      <w:r>
        <w:rPr>
          <w:rStyle w:val="FootnoteReference"/>
        </w:rPr>
        <w:footnoteRef/>
      </w:r>
      <w:r>
        <w:t xml:space="preserve"> </w:t>
      </w:r>
      <w:proofErr w:type="gramStart"/>
      <w:r w:rsidRPr="007E6CE9">
        <w:t>Journal of Parenteral and Enteral Nutrition Jan 1, 1981</w:t>
      </w:r>
      <w:r>
        <w:t xml:space="preserve"> </w:t>
      </w:r>
      <w:proofErr w:type="spellStart"/>
      <w:r>
        <w:t>vol</w:t>
      </w:r>
      <w:proofErr w:type="spellEnd"/>
      <w:r>
        <w:t xml:space="preserve"> 5 no. 1 page 11.</w:t>
      </w:r>
      <w:proofErr w:type="gramEnd"/>
    </w:p>
  </w:footnote>
  <w:footnote w:id="6">
    <w:p w:rsidR="006D4092" w:rsidRPr="00B6173B" w:rsidRDefault="006D4092">
      <w:pPr>
        <w:pStyle w:val="FootnoteText"/>
        <w:rPr>
          <w:lang w:val="en-US"/>
        </w:rPr>
      </w:pPr>
      <w:r>
        <w:rPr>
          <w:rStyle w:val="FootnoteReference"/>
        </w:rPr>
        <w:footnoteRef/>
      </w:r>
      <w:r>
        <w:t xml:space="preserve"> </w:t>
      </w:r>
      <w:proofErr w:type="spellStart"/>
      <w:r w:rsidRPr="003D7452">
        <w:t>Anaesth</w:t>
      </w:r>
      <w:proofErr w:type="spellEnd"/>
      <w:r w:rsidRPr="003D7452">
        <w:t xml:space="preserve"> </w:t>
      </w:r>
      <w:proofErr w:type="spellStart"/>
      <w:r w:rsidRPr="003D7452">
        <w:t>Intens</w:t>
      </w:r>
      <w:proofErr w:type="spellEnd"/>
      <w:r w:rsidRPr="003D7452">
        <w:t xml:space="preserve"> Care (1981). 9. 221</w:t>
      </w:r>
      <w:r>
        <w:t>.</w:t>
      </w:r>
    </w:p>
  </w:footnote>
  <w:footnote w:id="7">
    <w:p w:rsidR="006D4092" w:rsidRPr="00B6173B" w:rsidRDefault="006D4092">
      <w:pPr>
        <w:pStyle w:val="FootnoteText"/>
        <w:rPr>
          <w:lang w:val="en-US"/>
        </w:rPr>
      </w:pPr>
      <w:r>
        <w:rPr>
          <w:rStyle w:val="FootnoteReference"/>
        </w:rPr>
        <w:footnoteRef/>
      </w:r>
      <w:r>
        <w:t xml:space="preserve"> </w:t>
      </w:r>
      <w:r w:rsidRPr="00E14833">
        <w:t>Journal of Parenteral and Enteral Nutrition / Vol. 35, No. 6, November 2011</w:t>
      </w:r>
      <w:r>
        <w:t>.</w:t>
      </w:r>
    </w:p>
  </w:footnote>
  <w:footnote w:id="8">
    <w:p w:rsidR="006D4092" w:rsidRPr="007C1C9A" w:rsidRDefault="006D4092">
      <w:pPr>
        <w:pStyle w:val="FootnoteText"/>
        <w:rPr>
          <w:lang w:val="en-US"/>
        </w:rPr>
      </w:pPr>
      <w:r>
        <w:rPr>
          <w:rStyle w:val="FootnoteReference"/>
        </w:rPr>
        <w:footnoteRef/>
      </w:r>
      <w:r>
        <w:t xml:space="preserve"> </w:t>
      </w:r>
      <w:r w:rsidRPr="007E6CE9">
        <w:t>Journal of Parenteral and Enteral Nutrition</w:t>
      </w:r>
      <w:r>
        <w:t xml:space="preserve"> </w:t>
      </w:r>
      <w:r w:rsidRPr="00675D93">
        <w:t>September–October 2007</w:t>
      </w:r>
      <w:r>
        <w:t xml:space="preserve"> </w:t>
      </w:r>
      <w:r w:rsidRPr="00675D93">
        <w:t>Vol. 31, No. 5</w:t>
      </w:r>
      <w:r>
        <w:t xml:space="preserve"> page 388.</w:t>
      </w:r>
    </w:p>
  </w:footnote>
  <w:footnote w:id="9">
    <w:p w:rsidR="006D4092" w:rsidRPr="007C1C9A" w:rsidRDefault="006D4092">
      <w:pPr>
        <w:pStyle w:val="FootnoteText"/>
        <w:rPr>
          <w:lang w:val="en-US"/>
        </w:rPr>
      </w:pPr>
      <w:r>
        <w:rPr>
          <w:rStyle w:val="FootnoteReference"/>
        </w:rPr>
        <w:footnoteRef/>
      </w:r>
      <w:r>
        <w:t xml:space="preserve"> The American Journal of Clinical Nutrition 30: April 1977. </w:t>
      </w:r>
      <w:proofErr w:type="gramStart"/>
      <w:r>
        <w:t>pp. 53 1- 538.</w:t>
      </w:r>
      <w:proofErr w:type="gramEnd"/>
    </w:p>
  </w:footnote>
  <w:footnote w:id="10">
    <w:p w:rsidR="006D4092" w:rsidRPr="00E97EEE" w:rsidRDefault="006D4092">
      <w:pPr>
        <w:pStyle w:val="FootnoteText"/>
        <w:rPr>
          <w:lang w:val="en-US"/>
        </w:rPr>
      </w:pPr>
      <w:r>
        <w:rPr>
          <w:rStyle w:val="FootnoteReference"/>
        </w:rPr>
        <w:footnoteRef/>
      </w:r>
      <w:r>
        <w:t xml:space="preserve"> A.S.P.E.N. Position Paper: Recommendations for Changes in Commercially Available Parenteral Multivitamin and Multi–Trace Element Products.</w:t>
      </w:r>
    </w:p>
  </w:footnote>
  <w:footnote w:id="11">
    <w:p w:rsidR="006D4092" w:rsidRDefault="006D4092" w:rsidP="00A16AF7">
      <w:pPr>
        <w:pStyle w:val="FootnoteText"/>
      </w:pPr>
      <w:r>
        <w:rPr>
          <w:rStyle w:val="FootnoteReference"/>
        </w:rPr>
        <w:footnoteRef/>
      </w:r>
      <w:r>
        <w:t xml:space="preserve"> Table 6 page 123 of article</w:t>
      </w:r>
    </w:p>
  </w:footnote>
  <w:footnote w:id="12">
    <w:p w:rsidR="006D4092" w:rsidRDefault="006D4092" w:rsidP="00A16AF7">
      <w:pPr>
        <w:pStyle w:val="FootnoteText"/>
      </w:pPr>
      <w:r>
        <w:rPr>
          <w:rStyle w:val="FootnoteReference"/>
        </w:rPr>
        <w:footnoteRef/>
      </w:r>
      <w:r>
        <w:t xml:space="preserve"> </w:t>
      </w:r>
      <w:proofErr w:type="spellStart"/>
      <w:r>
        <w:t>Anaesth</w:t>
      </w:r>
      <w:proofErr w:type="spellEnd"/>
      <w:r>
        <w:t xml:space="preserve"> </w:t>
      </w:r>
      <w:proofErr w:type="spellStart"/>
      <w:r>
        <w:t>Intens</w:t>
      </w:r>
      <w:proofErr w:type="spellEnd"/>
      <w:r>
        <w:t xml:space="preserve"> Care (1981). 9. 221</w:t>
      </w:r>
    </w:p>
  </w:footnote>
  <w:footnote w:id="13">
    <w:p w:rsidR="006D4092" w:rsidRDefault="006D4092" w:rsidP="00A16AF7">
      <w:pPr>
        <w:pStyle w:val="FootnoteText"/>
      </w:pPr>
      <w:r>
        <w:rPr>
          <w:rStyle w:val="FootnoteReference"/>
        </w:rPr>
        <w:footnoteRef/>
      </w:r>
      <w:r>
        <w:t xml:space="preserve"> </w:t>
      </w:r>
      <w:r w:rsidRPr="007F6C34">
        <w:t>Gastroenterology 1981:81:200-7</w:t>
      </w:r>
    </w:p>
  </w:footnote>
  <w:footnote w:id="14">
    <w:p w:rsidR="006D4092" w:rsidRDefault="006D4092" w:rsidP="00A16AF7">
      <w:pPr>
        <w:pStyle w:val="FootnoteText"/>
      </w:pPr>
      <w:r>
        <w:rPr>
          <w:rStyle w:val="FootnoteReference"/>
        </w:rPr>
        <w:footnoteRef/>
      </w:r>
      <w:r>
        <w:t xml:space="preserve"> </w:t>
      </w:r>
      <w:r w:rsidRPr="00093568">
        <w:t>Journal of parenteral and enteral nutrition 1987: 11;</w:t>
      </w:r>
      <w:r>
        <w:t xml:space="preserve"> 5 p 238</w:t>
      </w:r>
    </w:p>
  </w:footnote>
  <w:footnote w:id="15">
    <w:p w:rsidR="006D4092" w:rsidRDefault="006D4092" w:rsidP="00A16AF7">
      <w:pPr>
        <w:pStyle w:val="FootnoteText"/>
      </w:pPr>
      <w:r>
        <w:rPr>
          <w:rStyle w:val="FootnoteReference"/>
        </w:rPr>
        <w:footnoteRef/>
      </w:r>
      <w:r w:rsidRPr="00C83152">
        <w:t xml:space="preserve"> Journal of Pa</w:t>
      </w:r>
      <w:r>
        <w:t>renteral and Enteral Nutrition</w:t>
      </w:r>
      <w:r w:rsidRPr="00C83152">
        <w:t xml:space="preserve"> Vol. 35, No. 6, November 2011</w:t>
      </w:r>
      <w:r>
        <w:t xml:space="preserve"> page 736</w:t>
      </w:r>
    </w:p>
  </w:footnote>
  <w:footnote w:id="16">
    <w:p w:rsidR="006D4092" w:rsidRDefault="006D4092" w:rsidP="00A16AF7">
      <w:pPr>
        <w:pStyle w:val="FootnoteText"/>
      </w:pPr>
      <w:r>
        <w:rPr>
          <w:rStyle w:val="FootnoteReference"/>
        </w:rPr>
        <w:footnoteRef/>
      </w:r>
      <w:r>
        <w:t xml:space="preserve"> </w:t>
      </w:r>
      <w:r w:rsidRPr="00C83152">
        <w:t>Journal of Pa</w:t>
      </w:r>
      <w:r>
        <w:t>renteral and Enteral Nutrition</w:t>
      </w:r>
      <w:r w:rsidRPr="00C063CA">
        <w:t xml:space="preserve"> Vol. </w:t>
      </w:r>
      <w:proofErr w:type="gramStart"/>
      <w:r w:rsidRPr="00C063CA">
        <w:t>11 .</w:t>
      </w:r>
      <w:proofErr w:type="gramEnd"/>
      <w:r w:rsidRPr="00C063CA">
        <w:t xml:space="preserve"> No.5</w:t>
      </w:r>
      <w:r>
        <w:t xml:space="preserve"> </w:t>
      </w:r>
      <w:r w:rsidRPr="00C063CA">
        <w:t>1987</w:t>
      </w:r>
      <w:r>
        <w:t xml:space="preserve"> Page 480</w:t>
      </w:r>
    </w:p>
  </w:footnote>
  <w:footnote w:id="17">
    <w:p w:rsidR="006D4092" w:rsidRDefault="006D4092" w:rsidP="00A16AF7">
      <w:pPr>
        <w:pStyle w:val="FootnoteText"/>
      </w:pPr>
      <w:r>
        <w:rPr>
          <w:rStyle w:val="FootnoteReference"/>
        </w:rPr>
        <w:footnoteRef/>
      </w:r>
      <w:r>
        <w:t xml:space="preserve"> </w:t>
      </w:r>
      <w:r w:rsidRPr="009E0CAD">
        <w:t>Journal of Parenteral and Enteral Nutrition Vol. 31, No. 5</w:t>
      </w:r>
      <w:r>
        <w:t xml:space="preserve"> page </w:t>
      </w:r>
      <w:r w:rsidRPr="009E0CAD">
        <w:t>392</w:t>
      </w:r>
    </w:p>
  </w:footnote>
  <w:footnote w:id="18">
    <w:p w:rsidR="006D4092" w:rsidRDefault="006D4092" w:rsidP="00A16AF7">
      <w:pPr>
        <w:pStyle w:val="FootnoteText"/>
      </w:pPr>
      <w:r>
        <w:rPr>
          <w:rStyle w:val="FootnoteReference"/>
        </w:rPr>
        <w:footnoteRef/>
      </w:r>
      <w:r>
        <w:t xml:space="preserve"> </w:t>
      </w:r>
      <w:r w:rsidRPr="009E0CAD">
        <w:t>Journal of Parenteral and Enteral Nutrition</w:t>
      </w:r>
      <w:r w:rsidRPr="00635E89">
        <w:t xml:space="preserve"> 2000 24:</w:t>
      </w:r>
      <w:r>
        <w:t>No.6 page</w:t>
      </w:r>
      <w:r w:rsidRPr="00635E89">
        <w:t xml:space="preserve"> 361</w:t>
      </w:r>
    </w:p>
  </w:footnote>
  <w:footnote w:id="19">
    <w:p w:rsidR="006D4092" w:rsidRDefault="006D4092" w:rsidP="00A16AF7">
      <w:pPr>
        <w:pStyle w:val="FootnoteText"/>
      </w:pPr>
      <w:r>
        <w:rPr>
          <w:rStyle w:val="FootnoteReference"/>
        </w:rPr>
        <w:footnoteRef/>
      </w:r>
      <w:r>
        <w:t xml:space="preserve"> 2.6.1 Non-Clinical Summary: Introduction (Trace Elements) page 3</w:t>
      </w:r>
    </w:p>
  </w:footnote>
  <w:footnote w:id="20">
    <w:p w:rsidR="006D4092" w:rsidRDefault="006D4092" w:rsidP="00A16AF7">
      <w:pPr>
        <w:pStyle w:val="FootnoteText"/>
      </w:pPr>
      <w:r>
        <w:rPr>
          <w:rStyle w:val="FootnoteReference"/>
        </w:rPr>
        <w:footnoteRef/>
      </w:r>
      <w:r>
        <w:t xml:space="preserve"> A.S.P.E.N. Position Paper: Recommendations for Changes in Commercially Available Parenteral Multivitamin and Multi–Trace Element Products</w:t>
      </w:r>
    </w:p>
  </w:footnote>
  <w:footnote w:id="21">
    <w:p w:rsidR="006D4092" w:rsidRDefault="006D4092" w:rsidP="00A16AF7">
      <w:pPr>
        <w:pStyle w:val="FootnoteText"/>
      </w:pPr>
      <w:r>
        <w:rPr>
          <w:rStyle w:val="FootnoteReference"/>
        </w:rPr>
        <w:footnoteRef/>
      </w:r>
      <w:r>
        <w:t xml:space="preserve"> 2.6.1 Non-Clinical Summary: Introduction (Trace Elements) page 3</w:t>
      </w:r>
    </w:p>
  </w:footnote>
  <w:footnote w:id="22">
    <w:p w:rsidR="006D4092" w:rsidRDefault="006D4092" w:rsidP="00A16AF7">
      <w:pPr>
        <w:pStyle w:val="FootnoteText"/>
      </w:pPr>
      <w:r>
        <w:rPr>
          <w:rStyle w:val="FootnoteReference"/>
        </w:rPr>
        <w:footnoteRef/>
      </w:r>
      <w:r>
        <w:t xml:space="preserve"> </w:t>
      </w:r>
      <w:r w:rsidRPr="00E461C3">
        <w:t>Food and Nutrition Board 2001</w:t>
      </w:r>
    </w:p>
  </w:footnote>
  <w:footnote w:id="23">
    <w:p w:rsidR="006D4092" w:rsidRDefault="006D4092" w:rsidP="00A16AF7">
      <w:pPr>
        <w:pStyle w:val="FootnoteText"/>
      </w:pPr>
      <w:r>
        <w:rPr>
          <w:rStyle w:val="FootnoteReference"/>
        </w:rPr>
        <w:footnoteRef/>
      </w:r>
      <w:r>
        <w:t xml:space="preserve"> A.S.P.E.N. Position Paper: Recommendations for Changes in Commercially Available Parenteral Multivitamin and Multi–Trace Element Products</w:t>
      </w:r>
    </w:p>
  </w:footnote>
  <w:footnote w:id="24">
    <w:p w:rsidR="006D4092" w:rsidRDefault="006D4092" w:rsidP="00A16AF7">
      <w:pPr>
        <w:pStyle w:val="FootnoteText"/>
      </w:pPr>
      <w:r>
        <w:rPr>
          <w:rStyle w:val="FootnoteReference"/>
        </w:rPr>
        <w:footnoteRef/>
      </w:r>
      <w:r>
        <w:t xml:space="preserve"> </w:t>
      </w:r>
      <w:r w:rsidRPr="00CD591E">
        <w:t>Gastroenterology 2009;137:S36–S46</w:t>
      </w:r>
    </w:p>
  </w:footnote>
  <w:footnote w:id="25">
    <w:p w:rsidR="006D4092" w:rsidRDefault="006D4092" w:rsidP="00A16AF7">
      <w:pPr>
        <w:pStyle w:val="FootnoteText"/>
      </w:pPr>
      <w:r>
        <w:rPr>
          <w:rStyle w:val="FootnoteReference"/>
        </w:rPr>
        <w:footnoteRef/>
      </w:r>
      <w:r>
        <w:t xml:space="preserve"> </w:t>
      </w:r>
      <w:proofErr w:type="spellStart"/>
      <w:r w:rsidRPr="00C0748C">
        <w:t>Hepato</w:t>
      </w:r>
      <w:proofErr w:type="spellEnd"/>
      <w:r>
        <w:t xml:space="preserve"> Gastroenterology 58 (2011) 1466</w:t>
      </w:r>
    </w:p>
  </w:footnote>
  <w:footnote w:id="26">
    <w:p w:rsidR="006D4092" w:rsidRDefault="006D4092" w:rsidP="00A16AF7">
      <w:pPr>
        <w:pStyle w:val="FootnoteText"/>
      </w:pPr>
      <w:r>
        <w:rPr>
          <w:rStyle w:val="FootnoteReference"/>
        </w:rPr>
        <w:footnoteRef/>
      </w:r>
      <w:r>
        <w:t xml:space="preserve"> 2.6.1 Non-Clinical Summary: Introduction (Trace Elements) page 3</w:t>
      </w:r>
    </w:p>
  </w:footnote>
  <w:footnote w:id="27">
    <w:p w:rsidR="006D4092" w:rsidRDefault="006D4092" w:rsidP="006E71E8">
      <w:pPr>
        <w:pStyle w:val="FootnoteText"/>
      </w:pPr>
      <w:r>
        <w:rPr>
          <w:rStyle w:val="FootnoteReference"/>
        </w:rPr>
        <w:footnoteRef/>
      </w:r>
      <w:r>
        <w:t xml:space="preserve"> Food and Nutrition Board 2001</w:t>
      </w:r>
    </w:p>
  </w:footnote>
  <w:footnote w:id="28">
    <w:p w:rsidR="006D4092" w:rsidRDefault="006D4092" w:rsidP="00A16AF7">
      <w:pPr>
        <w:pStyle w:val="FootnoteText"/>
      </w:pPr>
      <w:r>
        <w:rPr>
          <w:rStyle w:val="FootnoteReference"/>
        </w:rPr>
        <w:footnoteRef/>
      </w:r>
      <w:r>
        <w:t xml:space="preserve"> </w:t>
      </w:r>
      <w:r w:rsidRPr="002B0907">
        <w:t>Nutrition in Clinical Practice 18:318–326, August 2003</w:t>
      </w:r>
    </w:p>
  </w:footnote>
  <w:footnote w:id="29">
    <w:p w:rsidR="006D4092" w:rsidRDefault="006D4092" w:rsidP="00A16AF7">
      <w:pPr>
        <w:pStyle w:val="FootnoteText"/>
      </w:pPr>
      <w:r>
        <w:rPr>
          <w:rStyle w:val="FootnoteReference"/>
        </w:rPr>
        <w:footnoteRef/>
      </w:r>
      <w:r>
        <w:t xml:space="preserve"> Micronutrient Status in Patients Receiving Home Parenteral Nutrition </w:t>
      </w:r>
      <w:proofErr w:type="spellStart"/>
      <w:r w:rsidRPr="000A62F0">
        <w:rPr>
          <w:i/>
        </w:rPr>
        <w:t>Nutrition</w:t>
      </w:r>
      <w:proofErr w:type="spellEnd"/>
      <w:r>
        <w:t xml:space="preserve"> </w:t>
      </w:r>
      <w:proofErr w:type="spellStart"/>
      <w:r>
        <w:t>vol</w:t>
      </w:r>
      <w:proofErr w:type="spellEnd"/>
      <w:r>
        <w:t xml:space="preserve"> 13, Nos. 11/</w:t>
      </w:r>
      <w:r w:rsidRPr="000A62F0">
        <w:t>12,1991</w:t>
      </w:r>
      <w:r>
        <w:t>.941</w:t>
      </w:r>
    </w:p>
  </w:footnote>
  <w:footnote w:id="30">
    <w:p w:rsidR="006D4092" w:rsidRDefault="006D4092" w:rsidP="00A16AF7">
      <w:pPr>
        <w:pStyle w:val="FootnoteText"/>
      </w:pPr>
      <w:r>
        <w:rPr>
          <w:rStyle w:val="FootnoteReference"/>
        </w:rPr>
        <w:footnoteRef/>
      </w:r>
      <w:r>
        <w:t xml:space="preserve"> Iron Deficiency Anaemia in Patients Receiving Home Total Parenteral Nutrition Journal of Parenteral and Enteral Nutrition Vol. 26, No. 2. 2002 </w:t>
      </w:r>
    </w:p>
  </w:footnote>
  <w:footnote w:id="31">
    <w:p w:rsidR="006D4092" w:rsidRDefault="006D4092" w:rsidP="00A16AF7">
      <w:pPr>
        <w:pStyle w:val="FootnoteText"/>
      </w:pPr>
      <w:r>
        <w:rPr>
          <w:rStyle w:val="FootnoteReference"/>
        </w:rPr>
        <w:footnoteRef/>
      </w:r>
      <w:r>
        <w:t xml:space="preserve"> A.S.P.E.N. Position Paper: Recommendations for Changes in Commercially Available Parenteral Multivitamin and Multi–Trace Element Products</w:t>
      </w:r>
    </w:p>
  </w:footnote>
  <w:footnote w:id="32">
    <w:p w:rsidR="006D4092" w:rsidRDefault="006D4092" w:rsidP="00A16AF7">
      <w:pPr>
        <w:pStyle w:val="FootnoteText"/>
      </w:pPr>
      <w:r>
        <w:rPr>
          <w:rStyle w:val="FootnoteReference"/>
        </w:rPr>
        <w:footnoteRef/>
      </w:r>
      <w:r>
        <w:t xml:space="preserve"> 2.6.1 Non-Clinical Summary: Introduction (Trace Elements) page 3</w:t>
      </w:r>
    </w:p>
  </w:footnote>
  <w:footnote w:id="33">
    <w:p w:rsidR="006D4092" w:rsidRDefault="006D4092" w:rsidP="00A16AF7">
      <w:pPr>
        <w:pStyle w:val="FootnoteText"/>
      </w:pPr>
      <w:r>
        <w:rPr>
          <w:rStyle w:val="FootnoteReference"/>
        </w:rPr>
        <w:footnoteRef/>
      </w:r>
      <w:r>
        <w:t xml:space="preserve"> 2.6.1 Non-Clinical Summary: Introduction (Trace Elements) page 3</w:t>
      </w:r>
    </w:p>
  </w:footnote>
  <w:footnote w:id="34">
    <w:p w:rsidR="006D4092" w:rsidRDefault="006D4092" w:rsidP="00A16AF7">
      <w:pPr>
        <w:pStyle w:val="FootnoteText"/>
      </w:pPr>
      <w:r>
        <w:rPr>
          <w:rStyle w:val="FootnoteReference"/>
        </w:rPr>
        <w:footnoteRef/>
      </w:r>
      <w:r>
        <w:t xml:space="preserve"> Australasian Society for Parenteral and Enteral Nutrition guidelines for supplementation of trace elements during parenteral nutrition </w:t>
      </w:r>
      <w:proofErr w:type="spellStart"/>
      <w:r w:rsidRPr="007D27B6">
        <w:t>Osland</w:t>
      </w:r>
      <w:proofErr w:type="spellEnd"/>
      <w:r>
        <w:t xml:space="preserve"> et al </w:t>
      </w:r>
      <w:r w:rsidRPr="007D27B6">
        <w:t xml:space="preserve">Asia Pac J </w:t>
      </w:r>
      <w:proofErr w:type="spellStart"/>
      <w:r w:rsidRPr="007D27B6">
        <w:t>Clin</w:t>
      </w:r>
      <w:proofErr w:type="spellEnd"/>
      <w:r w:rsidRPr="007D27B6">
        <w:t xml:space="preserve"> </w:t>
      </w:r>
      <w:proofErr w:type="spellStart"/>
      <w:r w:rsidRPr="007D27B6">
        <w:t>Nutr</w:t>
      </w:r>
      <w:proofErr w:type="spellEnd"/>
      <w:r w:rsidRPr="007D27B6">
        <w:t xml:space="preserve"> 2014;23(4):545-554</w:t>
      </w:r>
    </w:p>
  </w:footnote>
  <w:footnote w:id="35">
    <w:p w:rsidR="006D4092" w:rsidRDefault="006D4092" w:rsidP="00A16AF7">
      <w:pPr>
        <w:pStyle w:val="FootnoteText"/>
      </w:pPr>
      <w:r>
        <w:rPr>
          <w:rStyle w:val="FootnoteReference"/>
        </w:rPr>
        <w:footnoteRef/>
      </w:r>
      <w:r>
        <w:t xml:space="preserve"> A.S.P.E.N. Position Paper: Recommendations for Changes in Commercially Available Parenteral Multivitamin and Multi–Trace Element Products</w:t>
      </w:r>
    </w:p>
  </w:footnote>
  <w:footnote w:id="36">
    <w:p w:rsidR="006D4092" w:rsidRDefault="006D4092" w:rsidP="00A16AF7">
      <w:pPr>
        <w:pStyle w:val="FootnoteText"/>
      </w:pPr>
      <w:r>
        <w:rPr>
          <w:rStyle w:val="FootnoteReference"/>
        </w:rPr>
        <w:footnoteRef/>
      </w:r>
      <w:r>
        <w:t xml:space="preserve"> </w:t>
      </w:r>
      <w:proofErr w:type="spellStart"/>
      <w:r>
        <w:t>Klinit</w:t>
      </w:r>
      <w:proofErr w:type="spellEnd"/>
      <w:r>
        <w:t xml:space="preserve"> NHS (R) </w:t>
      </w:r>
      <w:proofErr w:type="spellStart"/>
      <w:r>
        <w:t>Neopharma</w:t>
      </w:r>
      <w:proofErr w:type="spellEnd"/>
      <w:r>
        <w:t>, 10%, 20% &amp;50% in 20mL &amp; 500mL ref. 1970-71 Australian Drug Compendium electrolytes and/or calories-intravenous page 166. It was not in subsequent editions</w:t>
      </w:r>
    </w:p>
  </w:footnote>
  <w:footnote w:id="37">
    <w:p w:rsidR="006D4092" w:rsidRDefault="006D4092" w:rsidP="00A16AF7">
      <w:pPr>
        <w:pStyle w:val="FootnoteText"/>
      </w:pPr>
      <w:r>
        <w:rPr>
          <w:rStyle w:val="FootnoteReference"/>
        </w:rPr>
        <w:footnoteRef/>
      </w:r>
      <w:r>
        <w:t xml:space="preserve"> </w:t>
      </w:r>
      <w:proofErr w:type="spellStart"/>
      <w:r w:rsidRPr="001D25E7">
        <w:t>Georgieff</w:t>
      </w:r>
      <w:proofErr w:type="spellEnd"/>
      <w:r w:rsidRPr="001D25E7">
        <w:t xml:space="preserve"> et al., (1985)</w:t>
      </w:r>
    </w:p>
  </w:footnote>
  <w:footnote w:id="38">
    <w:p w:rsidR="006D4092" w:rsidRDefault="006D4092" w:rsidP="00A16AF7">
      <w:pPr>
        <w:pStyle w:val="FootnoteText"/>
      </w:pPr>
      <w:r>
        <w:rPr>
          <w:rStyle w:val="FootnoteReference"/>
        </w:rPr>
        <w:footnoteRef/>
      </w:r>
      <w:r>
        <w:t xml:space="preserve"> </w:t>
      </w:r>
      <w:r w:rsidRPr="006E6ABB">
        <w:t>Page 47 clinical overview</w:t>
      </w:r>
    </w:p>
  </w:footnote>
  <w:footnote w:id="39">
    <w:p w:rsidR="006D4092" w:rsidRDefault="006D4092" w:rsidP="00A16AF7">
      <w:pPr>
        <w:pStyle w:val="FootnoteText"/>
      </w:pPr>
      <w:r>
        <w:rPr>
          <w:rStyle w:val="FootnoteReference"/>
        </w:rPr>
        <w:footnoteRef/>
      </w:r>
      <w:r>
        <w:t xml:space="preserve"> Deposits of oxalate crystals in the tissues particularly in the kidneys were noted for the first time with xylitol infusion in Australia Thomas, D. W., Edwards, J. B., Gilligan, J. E., Lawrence, J. R., Edwards, </w:t>
      </w:r>
      <w:proofErr w:type="gramStart"/>
      <w:r>
        <w:t>R</w:t>
      </w:r>
      <w:proofErr w:type="gramEnd"/>
      <w:r>
        <w:t xml:space="preserve">. G.: Complications following intravenous administration of solutions containing xylitol. </w:t>
      </w:r>
      <w:proofErr w:type="gramStart"/>
      <w:r>
        <w:t>Med. J. Aust. 1, 1238-1246 (1972).</w:t>
      </w:r>
      <w:proofErr w:type="gramEnd"/>
      <w:r>
        <w:t xml:space="preserve"> ‘These findings formed the basis of an Adverse Drug Reaction Report to the Australian Drug Evaluation Committee. Subsequently, xylitol was withdrawn from clinical use.’</w:t>
      </w:r>
    </w:p>
  </w:footnote>
  <w:footnote w:id="40">
    <w:p w:rsidR="006D4092" w:rsidRDefault="006D4092" w:rsidP="00A16AF7">
      <w:pPr>
        <w:pStyle w:val="FootnoteText"/>
      </w:pPr>
      <w:r>
        <w:rPr>
          <w:rStyle w:val="FootnoteReference"/>
        </w:rPr>
        <w:footnoteRef/>
      </w:r>
      <w:r>
        <w:t xml:space="preserve"> Three of these patients only one possible adverse reaction, one patient developed three possible adverse reactions, and three further patients showed four possible adverse reactions.</w:t>
      </w:r>
    </w:p>
  </w:footnote>
  <w:footnote w:id="41">
    <w:p w:rsidR="006D4092" w:rsidRDefault="006D4092" w:rsidP="00A16AF7">
      <w:pPr>
        <w:pStyle w:val="FootnoteText"/>
      </w:pPr>
      <w:r>
        <w:rPr>
          <w:rStyle w:val="FootnoteReference"/>
        </w:rPr>
        <w:footnoteRef/>
      </w:r>
      <w:r>
        <w:t xml:space="preserve"> Page 47 clinical overview</w:t>
      </w:r>
    </w:p>
  </w:footnote>
  <w:footnote w:id="42">
    <w:p w:rsidR="006D4092" w:rsidRPr="00A26906" w:rsidRDefault="006D4092" w:rsidP="00A16AF7">
      <w:pPr>
        <w:pStyle w:val="FootnoteText"/>
      </w:pPr>
      <w:r w:rsidRPr="00A26906">
        <w:rPr>
          <w:rStyle w:val="FootnoteReference"/>
        </w:rPr>
        <w:footnoteRef/>
      </w:r>
      <w:r w:rsidRPr="00A26906">
        <w:t xml:space="preserve"> </w:t>
      </w:r>
      <w:r w:rsidRPr="00A26906">
        <w:rPr>
          <w:bCs/>
        </w:rPr>
        <w:t>2.4 Non-Clinical Overview (Xylitol) page 6</w:t>
      </w:r>
    </w:p>
  </w:footnote>
  <w:footnote w:id="43">
    <w:p w:rsidR="006D4092" w:rsidRDefault="006D4092" w:rsidP="00A16AF7">
      <w:pPr>
        <w:pStyle w:val="FootnoteText"/>
      </w:pPr>
      <w:r>
        <w:rPr>
          <w:rStyle w:val="FootnoteReference"/>
        </w:rPr>
        <w:footnoteRef/>
      </w:r>
      <w:r>
        <w:t xml:space="preserve"> Assessment of xylitol serum levels during the course of parenteral nutrition including xylitol in intensive care patients: A case control study </w:t>
      </w:r>
      <w:r w:rsidRPr="0071566A">
        <w:t>Schneider</w:t>
      </w:r>
      <w:r>
        <w:t xml:space="preserve"> et al Clinical Nutrition xxx (2013) 1-</w:t>
      </w:r>
      <w:r w:rsidRPr="0071566A">
        <w:t>6</w:t>
      </w:r>
    </w:p>
  </w:footnote>
  <w:footnote w:id="44">
    <w:p w:rsidR="006D4092" w:rsidRDefault="006D4092" w:rsidP="00A16AF7">
      <w:pPr>
        <w:pStyle w:val="FootnoteText"/>
      </w:pPr>
      <w:r>
        <w:rPr>
          <w:rStyle w:val="FootnoteReference"/>
        </w:rPr>
        <w:footnoteRef/>
      </w:r>
      <w:r>
        <w:t xml:space="preserve"> page 114 file 1970/00961</w:t>
      </w:r>
    </w:p>
  </w:footnote>
  <w:footnote w:id="45">
    <w:p w:rsidR="006D4092" w:rsidRPr="00A26906" w:rsidRDefault="006D4092" w:rsidP="00A16AF7">
      <w:pPr>
        <w:pStyle w:val="FootnoteText"/>
        <w:rPr>
          <w:rFonts w:asciiTheme="majorHAnsi" w:hAnsiTheme="majorHAnsi" w:cs="Arial"/>
        </w:rPr>
      </w:pPr>
      <w:r w:rsidRPr="00CD3F1C">
        <w:rPr>
          <w:rStyle w:val="FootnoteReference"/>
          <w:rFonts w:asciiTheme="minorHAnsi" w:hAnsiTheme="minorHAnsi" w:cs="Arial"/>
        </w:rPr>
        <w:footnoteRef/>
      </w:r>
      <w:r w:rsidRPr="00CD3F1C">
        <w:rPr>
          <w:rFonts w:asciiTheme="minorHAnsi" w:hAnsiTheme="minorHAnsi" w:cs="Arial"/>
        </w:rPr>
        <w:t xml:space="preserve"> Further safety data is available from clinical studies in which xylitol has been administered intravenously as part of PN as an energy source – either as a replacement for glucose or in combination with glucose and/or other carbohydrates. These studies have also been identified via a systematic literature search (the search details also approved and included) and are inclu</w:t>
      </w:r>
      <w:r>
        <w:rPr>
          <w:rFonts w:asciiTheme="minorHAnsi" w:hAnsiTheme="minorHAnsi" w:cs="Arial"/>
        </w:rPr>
        <w:t>ded in the non-clinical modules</w:t>
      </w:r>
      <w:r w:rsidRPr="00CD3F1C">
        <w:rPr>
          <w:rFonts w:asciiTheme="minorHAnsi" w:hAnsiTheme="minorHAnsi" w:cs="Arial"/>
        </w:rPr>
        <w:t xml:space="preserve">, since they do not relate to clinical use of </w:t>
      </w:r>
      <w:proofErr w:type="spellStart"/>
      <w:r w:rsidRPr="00CD3F1C">
        <w:rPr>
          <w:rFonts w:asciiTheme="minorHAnsi" w:hAnsiTheme="minorHAnsi" w:cs="Arial"/>
        </w:rPr>
        <w:t>Addaven</w:t>
      </w:r>
      <w:proofErr w:type="spellEnd"/>
      <w:r w:rsidRPr="00CD3F1C">
        <w:rPr>
          <w:rFonts w:asciiTheme="minorHAnsi" w:hAnsiTheme="minorHAnsi" w:cs="Arial"/>
        </w:rPr>
        <w:t xml:space="preserve"> and therefore do not fit into the clinical sections of the dossier. </w:t>
      </w:r>
    </w:p>
  </w:footnote>
  <w:footnote w:id="46">
    <w:p w:rsidR="006D4092" w:rsidRDefault="006D4092" w:rsidP="00A16AF7">
      <w:pPr>
        <w:pStyle w:val="FootnoteText"/>
      </w:pPr>
      <w:r>
        <w:rPr>
          <w:rStyle w:val="FootnoteReference"/>
        </w:rPr>
        <w:footnoteRef/>
      </w:r>
      <w:r>
        <w:t xml:space="preserve"> </w:t>
      </w:r>
      <w:r w:rsidRPr="00950602">
        <w:t xml:space="preserve">R11 </w:t>
      </w:r>
      <w:proofErr w:type="gramStart"/>
      <w:r w:rsidRPr="00950602">
        <w:t>524245  Xylitol</w:t>
      </w:r>
      <w:proofErr w:type="gramEnd"/>
      <w:r w:rsidRPr="00950602">
        <w:t xml:space="preserve"> - Prohibited Imports - Nonclinical Safety Assessment</w:t>
      </w:r>
      <w:r>
        <w:t xml:space="preserve"> </w:t>
      </w:r>
      <w:r w:rsidRPr="00950602">
        <w:t>24 November 2011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pPr>
      <w:rPr>
        <w:noProof/>
        <w:lang w:eastAsia="en-AU"/>
      </w:rPr>
    </w:pPr>
    <w:r w:rsidRPr="002D545C">
      <w:rPr>
        <w:noProof/>
        <w:lang w:eastAsia="en-AU"/>
      </w:rPr>
      <w:drawing>
        <wp:anchor distT="0" distB="0" distL="114300" distR="114300" simplePos="0" relativeHeight="251659264" behindDoc="1" locked="0" layoutInCell="1" allowOverlap="1" wp14:anchorId="1E8C93E3" wp14:editId="12122670">
          <wp:simplePos x="0" y="0"/>
          <wp:positionH relativeFrom="column">
            <wp:posOffset>-1089660</wp:posOffset>
          </wp:positionH>
          <wp:positionV relativeFrom="paragraph">
            <wp:posOffset>-585470</wp:posOffset>
          </wp:positionV>
          <wp:extent cx="7572375" cy="10706100"/>
          <wp:effectExtent l="19050" t="0" r="0" b="0"/>
          <wp:wrapNone/>
          <wp:docPr id="18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D4092" w:rsidRDefault="006D4092" w:rsidP="00593AD1">
    <w:pPr>
      <w:pStyle w:val="HeaderNoLine"/>
    </w:pPr>
    <w:r>
      <w:rPr>
        <w:noProof/>
        <w:lang w:eastAsia="en-AU"/>
      </w:rPr>
      <w:drawing>
        <wp:inline distT="0" distB="0" distL="0" distR="0" wp14:anchorId="5D59484A" wp14:editId="4537222A">
          <wp:extent cx="5400675" cy="7639050"/>
          <wp:effectExtent l="0" t="0" r="9525" b="0"/>
          <wp:docPr id="184" name="Picture 18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pPr>
      <w:pStyle w:val="Header"/>
    </w:pPr>
  </w:p>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pPr>
      <w:pStyle w:val="Header"/>
    </w:pPr>
    <w:r>
      <w:t>Therapeutic Goods Administration</w:t>
    </w:r>
  </w:p>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p w:rsidR="006D4092" w:rsidRDefault="006D409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2" w:rsidRDefault="006D4092" w:rsidP="006E08B3">
    <w:r>
      <w:t>Therapeutic Goods Administration</w:t>
    </w:r>
  </w:p>
  <w:p w:rsidR="006D4092" w:rsidRDefault="006D409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numPicBullet w:numPicBulletId="2">
    <w:pict>
      <v:shape id="_x0000_i1049" type="#_x0000_t75" style="width:3in;height:3in" o:bullet="t"/>
    </w:pict>
  </w:numPicBullet>
  <w:numPicBullet w:numPicBulletId="3">
    <w:pict>
      <v:shape id="_x0000_i1050" type="#_x0000_t75" style="width:3in;height:3in" o:bullet="t"/>
    </w:pict>
  </w:numPicBullet>
  <w:abstractNum w:abstractNumId="0">
    <w:nsid w:val="FFFFFF7C"/>
    <w:multiLevelType w:val="singleLevel"/>
    <w:tmpl w:val="A9885E98"/>
    <w:lvl w:ilvl="0">
      <w:start w:val="1"/>
      <w:numFmt w:val="decimal"/>
      <w:lvlText w:val="%1."/>
      <w:lvlJc w:val="left"/>
      <w:pPr>
        <w:tabs>
          <w:tab w:val="num" w:pos="1492"/>
        </w:tabs>
        <w:ind w:left="1492" w:hanging="360"/>
      </w:pPr>
    </w:lvl>
  </w:abstractNum>
  <w:abstractNum w:abstractNumId="1">
    <w:nsid w:val="FFFFFF7D"/>
    <w:multiLevelType w:val="singleLevel"/>
    <w:tmpl w:val="6E6A3640"/>
    <w:lvl w:ilvl="0">
      <w:start w:val="1"/>
      <w:numFmt w:val="decimal"/>
      <w:lvlText w:val="%1."/>
      <w:lvlJc w:val="left"/>
      <w:pPr>
        <w:tabs>
          <w:tab w:val="num" w:pos="1209"/>
        </w:tabs>
        <w:ind w:left="1209" w:hanging="360"/>
      </w:pPr>
    </w:lvl>
  </w:abstractNum>
  <w:abstractNum w:abstractNumId="2">
    <w:nsid w:val="FFFFFF7E"/>
    <w:multiLevelType w:val="singleLevel"/>
    <w:tmpl w:val="9A7E6F3A"/>
    <w:lvl w:ilvl="0">
      <w:start w:val="1"/>
      <w:numFmt w:val="decimal"/>
      <w:lvlText w:val="%1."/>
      <w:lvlJc w:val="left"/>
      <w:pPr>
        <w:tabs>
          <w:tab w:val="num" w:pos="926"/>
        </w:tabs>
        <w:ind w:left="926" w:hanging="360"/>
      </w:pPr>
    </w:lvl>
  </w:abstractNum>
  <w:abstractNum w:abstractNumId="3">
    <w:nsid w:val="FFFFFF7F"/>
    <w:multiLevelType w:val="singleLevel"/>
    <w:tmpl w:val="E268314C"/>
    <w:lvl w:ilvl="0">
      <w:start w:val="1"/>
      <w:numFmt w:val="decimal"/>
      <w:lvlText w:val="%1."/>
      <w:lvlJc w:val="left"/>
      <w:pPr>
        <w:tabs>
          <w:tab w:val="num" w:pos="643"/>
        </w:tabs>
        <w:ind w:left="643" w:hanging="360"/>
      </w:pPr>
    </w:lvl>
  </w:abstractNum>
  <w:abstractNum w:abstractNumId="4">
    <w:nsid w:val="FFFFFF80"/>
    <w:multiLevelType w:val="singleLevel"/>
    <w:tmpl w:val="AC3600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7EFC54"/>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7">
    <w:nsid w:val="FFFFFF88"/>
    <w:multiLevelType w:val="singleLevel"/>
    <w:tmpl w:val="2E8C156A"/>
    <w:lvl w:ilvl="0">
      <w:start w:val="1"/>
      <w:numFmt w:val="decimal"/>
      <w:lvlText w:val="%1."/>
      <w:lvlJc w:val="left"/>
      <w:pPr>
        <w:tabs>
          <w:tab w:val="num" w:pos="360"/>
        </w:tabs>
        <w:ind w:left="360" w:hanging="360"/>
      </w:pPr>
    </w:lvl>
  </w:abstractNum>
  <w:abstractNum w:abstractNumId="8">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9">
    <w:nsid w:val="04654752"/>
    <w:multiLevelType w:val="multilevel"/>
    <w:tmpl w:val="B86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0B22976"/>
    <w:multiLevelType w:val="hybridMultilevel"/>
    <w:tmpl w:val="91AA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C43879"/>
    <w:multiLevelType w:val="multilevel"/>
    <w:tmpl w:val="E578EC1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2E24A9A"/>
    <w:multiLevelType w:val="hybridMultilevel"/>
    <w:tmpl w:val="8E78122E"/>
    <w:lvl w:ilvl="0" w:tplc="0C09000F">
      <w:start w:val="1"/>
      <w:numFmt w:val="decimal"/>
      <w:lvlText w:val="%1."/>
      <w:lvlJc w:val="left"/>
      <w:pPr>
        <w:tabs>
          <w:tab w:val="num" w:pos="851"/>
        </w:tabs>
        <w:ind w:left="851" w:hanging="284"/>
      </w:pPr>
      <w:rPr>
        <w:rFonts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1">
    <w:nsid w:val="5D944A57"/>
    <w:multiLevelType w:val="hybridMultilevel"/>
    <w:tmpl w:val="E050E4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68707B6"/>
    <w:multiLevelType w:val="hybridMultilevel"/>
    <w:tmpl w:val="F84628B6"/>
    <w:lvl w:ilvl="0" w:tplc="B7BAD16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7">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E70FAF"/>
    <w:multiLevelType w:val="hybridMultilevel"/>
    <w:tmpl w:val="9CD2D2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8"/>
  </w:num>
  <w:num w:numId="2">
    <w:abstractNumId w:val="6"/>
  </w:num>
  <w:num w:numId="3">
    <w:abstractNumId w:val="14"/>
  </w:num>
  <w:num w:numId="4">
    <w:abstractNumId w:val="14"/>
  </w:num>
  <w:num w:numId="5">
    <w:abstractNumId w:val="11"/>
  </w:num>
  <w:num w:numId="6">
    <w:abstractNumId w:val="14"/>
  </w:num>
  <w:num w:numId="7">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4"/>
  </w:num>
  <w:num w:numId="9">
    <w:abstractNumId w:val="20"/>
  </w:num>
  <w:num w:numId="10">
    <w:abstractNumId w:val="15"/>
  </w:num>
  <w:num w:numId="11">
    <w:abstractNumId w:val="17"/>
  </w:num>
  <w:num w:numId="12">
    <w:abstractNumId w:val="25"/>
  </w:num>
  <w:num w:numId="13">
    <w:abstractNumId w:val="10"/>
  </w:num>
  <w:num w:numId="14">
    <w:abstractNumId w:val="22"/>
  </w:num>
  <w:num w:numId="15">
    <w:abstractNumId w:val="26"/>
  </w:num>
  <w:num w:numId="16">
    <w:abstractNumId w:val="27"/>
  </w:num>
  <w:num w:numId="17">
    <w:abstractNumId w:val="19"/>
  </w:num>
  <w:num w:numId="18">
    <w:abstractNumId w:val="18"/>
  </w:num>
  <w:num w:numId="19">
    <w:abstractNumId w:val="1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9"/>
  </w:num>
  <w:num w:numId="24">
    <w:abstractNumId w:val="21"/>
  </w:num>
  <w:num w:numId="25">
    <w:abstractNumId w:val="28"/>
  </w:num>
  <w:num w:numId="26">
    <w:abstractNumId w:val="12"/>
  </w:num>
  <w:num w:numId="27">
    <w:abstractNumId w:val="5"/>
  </w:num>
  <w:num w:numId="28">
    <w:abstractNumId w:val="4"/>
  </w:num>
  <w:num w:numId="29">
    <w:abstractNumId w:val="7"/>
  </w:num>
  <w:num w:numId="30">
    <w:abstractNumId w:val="3"/>
  </w:num>
  <w:num w:numId="31">
    <w:abstractNumId w:val="2"/>
  </w:num>
  <w:num w:numId="32">
    <w:abstractNumId w:val="1"/>
  </w:num>
  <w:num w:numId="33">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4E27"/>
    <w:rsid w:val="00006B22"/>
    <w:rsid w:val="00010694"/>
    <w:rsid w:val="0001276A"/>
    <w:rsid w:val="000142FD"/>
    <w:rsid w:val="0001458C"/>
    <w:rsid w:val="00017585"/>
    <w:rsid w:val="00021EC4"/>
    <w:rsid w:val="000246AE"/>
    <w:rsid w:val="00025C67"/>
    <w:rsid w:val="00037F86"/>
    <w:rsid w:val="00040ACB"/>
    <w:rsid w:val="00042D6A"/>
    <w:rsid w:val="00051CF4"/>
    <w:rsid w:val="0005559E"/>
    <w:rsid w:val="00056A91"/>
    <w:rsid w:val="00065D4B"/>
    <w:rsid w:val="0007174C"/>
    <w:rsid w:val="0007331E"/>
    <w:rsid w:val="0007635C"/>
    <w:rsid w:val="000771AD"/>
    <w:rsid w:val="00077775"/>
    <w:rsid w:val="00080AD7"/>
    <w:rsid w:val="00090471"/>
    <w:rsid w:val="0009755D"/>
    <w:rsid w:val="00097B5E"/>
    <w:rsid w:val="000A2C2B"/>
    <w:rsid w:val="000A3AED"/>
    <w:rsid w:val="000A63AF"/>
    <w:rsid w:val="000B3532"/>
    <w:rsid w:val="000B3A75"/>
    <w:rsid w:val="000B3AB3"/>
    <w:rsid w:val="000C4D24"/>
    <w:rsid w:val="000C690F"/>
    <w:rsid w:val="000D1295"/>
    <w:rsid w:val="000D382B"/>
    <w:rsid w:val="000D391B"/>
    <w:rsid w:val="000D3D6D"/>
    <w:rsid w:val="000D4FC7"/>
    <w:rsid w:val="000D635A"/>
    <w:rsid w:val="000D69EF"/>
    <w:rsid w:val="000E71F1"/>
    <w:rsid w:val="000F02F9"/>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1650"/>
    <w:rsid w:val="00133238"/>
    <w:rsid w:val="00136E00"/>
    <w:rsid w:val="0014197B"/>
    <w:rsid w:val="00144770"/>
    <w:rsid w:val="001447CD"/>
    <w:rsid w:val="001474D4"/>
    <w:rsid w:val="001516B1"/>
    <w:rsid w:val="001534C9"/>
    <w:rsid w:val="00153F35"/>
    <w:rsid w:val="00154EBB"/>
    <w:rsid w:val="00156316"/>
    <w:rsid w:val="001641DB"/>
    <w:rsid w:val="00164784"/>
    <w:rsid w:val="00165389"/>
    <w:rsid w:val="00166DA5"/>
    <w:rsid w:val="0017078F"/>
    <w:rsid w:val="0017693F"/>
    <w:rsid w:val="00180048"/>
    <w:rsid w:val="0018110E"/>
    <w:rsid w:val="00181684"/>
    <w:rsid w:val="001843C6"/>
    <w:rsid w:val="001850E0"/>
    <w:rsid w:val="00190DFC"/>
    <w:rsid w:val="001A2158"/>
    <w:rsid w:val="001A525F"/>
    <w:rsid w:val="001A6CF1"/>
    <w:rsid w:val="001A7A4D"/>
    <w:rsid w:val="001B02A1"/>
    <w:rsid w:val="001B09F9"/>
    <w:rsid w:val="001B5D98"/>
    <w:rsid w:val="001B6448"/>
    <w:rsid w:val="001C0996"/>
    <w:rsid w:val="001C409D"/>
    <w:rsid w:val="001C657B"/>
    <w:rsid w:val="001C77BD"/>
    <w:rsid w:val="001C7C11"/>
    <w:rsid w:val="001D5B09"/>
    <w:rsid w:val="001D6441"/>
    <w:rsid w:val="001D7B4E"/>
    <w:rsid w:val="001E07CF"/>
    <w:rsid w:val="001E59F1"/>
    <w:rsid w:val="001F497A"/>
    <w:rsid w:val="001F49EB"/>
    <w:rsid w:val="001F6CBA"/>
    <w:rsid w:val="00201D4E"/>
    <w:rsid w:val="002039C2"/>
    <w:rsid w:val="0020560E"/>
    <w:rsid w:val="002076C9"/>
    <w:rsid w:val="00212720"/>
    <w:rsid w:val="00215B0F"/>
    <w:rsid w:val="00220B8A"/>
    <w:rsid w:val="00223595"/>
    <w:rsid w:val="002257F3"/>
    <w:rsid w:val="002277C5"/>
    <w:rsid w:val="00227AD6"/>
    <w:rsid w:val="0023188E"/>
    <w:rsid w:val="00233456"/>
    <w:rsid w:val="002339A5"/>
    <w:rsid w:val="00243A2F"/>
    <w:rsid w:val="002462D3"/>
    <w:rsid w:val="002502E3"/>
    <w:rsid w:val="002538FC"/>
    <w:rsid w:val="00256D80"/>
    <w:rsid w:val="00257329"/>
    <w:rsid w:val="00257848"/>
    <w:rsid w:val="00261552"/>
    <w:rsid w:val="00264580"/>
    <w:rsid w:val="00264F16"/>
    <w:rsid w:val="002666AC"/>
    <w:rsid w:val="0027084A"/>
    <w:rsid w:val="00276E98"/>
    <w:rsid w:val="002832BB"/>
    <w:rsid w:val="0028412E"/>
    <w:rsid w:val="00286434"/>
    <w:rsid w:val="00286C59"/>
    <w:rsid w:val="002901F4"/>
    <w:rsid w:val="00291C9F"/>
    <w:rsid w:val="00292113"/>
    <w:rsid w:val="002942D1"/>
    <w:rsid w:val="0029501A"/>
    <w:rsid w:val="00295C34"/>
    <w:rsid w:val="002A6A6E"/>
    <w:rsid w:val="002B1638"/>
    <w:rsid w:val="002B5366"/>
    <w:rsid w:val="002C0BE5"/>
    <w:rsid w:val="002C3314"/>
    <w:rsid w:val="002C63ED"/>
    <w:rsid w:val="002D3FD1"/>
    <w:rsid w:val="002D545C"/>
    <w:rsid w:val="002D6161"/>
    <w:rsid w:val="002E0F92"/>
    <w:rsid w:val="002E4C9A"/>
    <w:rsid w:val="002E6BC0"/>
    <w:rsid w:val="002F04D7"/>
    <w:rsid w:val="002F11F8"/>
    <w:rsid w:val="002F2FB7"/>
    <w:rsid w:val="002F3F56"/>
    <w:rsid w:val="002F44B5"/>
    <w:rsid w:val="00301A4D"/>
    <w:rsid w:val="00305C83"/>
    <w:rsid w:val="00311AC0"/>
    <w:rsid w:val="00314D2F"/>
    <w:rsid w:val="00315D29"/>
    <w:rsid w:val="0032583B"/>
    <w:rsid w:val="00326BFE"/>
    <w:rsid w:val="00327883"/>
    <w:rsid w:val="00335504"/>
    <w:rsid w:val="0033645C"/>
    <w:rsid w:val="00341788"/>
    <w:rsid w:val="0034419A"/>
    <w:rsid w:val="00344879"/>
    <w:rsid w:val="003521E8"/>
    <w:rsid w:val="00354BDB"/>
    <w:rsid w:val="00356551"/>
    <w:rsid w:val="0036104D"/>
    <w:rsid w:val="00365AFE"/>
    <w:rsid w:val="003728F3"/>
    <w:rsid w:val="0037496E"/>
    <w:rsid w:val="0037623D"/>
    <w:rsid w:val="00376824"/>
    <w:rsid w:val="00380FD6"/>
    <w:rsid w:val="003825E8"/>
    <w:rsid w:val="00386150"/>
    <w:rsid w:val="003874CE"/>
    <w:rsid w:val="00390900"/>
    <w:rsid w:val="00395DEB"/>
    <w:rsid w:val="00396C92"/>
    <w:rsid w:val="003A26A8"/>
    <w:rsid w:val="003A7F6C"/>
    <w:rsid w:val="003B1113"/>
    <w:rsid w:val="003B4D60"/>
    <w:rsid w:val="003B634F"/>
    <w:rsid w:val="003B7E39"/>
    <w:rsid w:val="003C127E"/>
    <w:rsid w:val="003C43AE"/>
    <w:rsid w:val="003C4CF5"/>
    <w:rsid w:val="003C58DC"/>
    <w:rsid w:val="003C7180"/>
    <w:rsid w:val="003D0712"/>
    <w:rsid w:val="003D0A18"/>
    <w:rsid w:val="003D0A3B"/>
    <w:rsid w:val="003D1513"/>
    <w:rsid w:val="003D1E62"/>
    <w:rsid w:val="003E2486"/>
    <w:rsid w:val="003E3208"/>
    <w:rsid w:val="003E5D1C"/>
    <w:rsid w:val="003F0B04"/>
    <w:rsid w:val="0040134E"/>
    <w:rsid w:val="00403E6C"/>
    <w:rsid w:val="00415D59"/>
    <w:rsid w:val="0041712E"/>
    <w:rsid w:val="0042301C"/>
    <w:rsid w:val="0043797D"/>
    <w:rsid w:val="00440A2D"/>
    <w:rsid w:val="004564A7"/>
    <w:rsid w:val="004617BF"/>
    <w:rsid w:val="00463658"/>
    <w:rsid w:val="004642D3"/>
    <w:rsid w:val="0046553A"/>
    <w:rsid w:val="00466059"/>
    <w:rsid w:val="004722CC"/>
    <w:rsid w:val="00472608"/>
    <w:rsid w:val="004764BB"/>
    <w:rsid w:val="004806C6"/>
    <w:rsid w:val="00480A5B"/>
    <w:rsid w:val="00482C2F"/>
    <w:rsid w:val="004910B2"/>
    <w:rsid w:val="004936E4"/>
    <w:rsid w:val="00494E60"/>
    <w:rsid w:val="004950D9"/>
    <w:rsid w:val="00497487"/>
    <w:rsid w:val="004A1D4B"/>
    <w:rsid w:val="004A270C"/>
    <w:rsid w:val="004A3C55"/>
    <w:rsid w:val="004A5EBC"/>
    <w:rsid w:val="004A6F74"/>
    <w:rsid w:val="004A7E13"/>
    <w:rsid w:val="004B0A27"/>
    <w:rsid w:val="004B3C07"/>
    <w:rsid w:val="004B7B76"/>
    <w:rsid w:val="004C1D75"/>
    <w:rsid w:val="004C2DCA"/>
    <w:rsid w:val="004C3EC7"/>
    <w:rsid w:val="004D00E8"/>
    <w:rsid w:val="004D44AE"/>
    <w:rsid w:val="004D6564"/>
    <w:rsid w:val="004E4E6F"/>
    <w:rsid w:val="004F0F38"/>
    <w:rsid w:val="004F4AF5"/>
    <w:rsid w:val="004F4F56"/>
    <w:rsid w:val="00501921"/>
    <w:rsid w:val="005046AB"/>
    <w:rsid w:val="00507897"/>
    <w:rsid w:val="00522831"/>
    <w:rsid w:val="00530354"/>
    <w:rsid w:val="00530957"/>
    <w:rsid w:val="0053625B"/>
    <w:rsid w:val="0054127A"/>
    <w:rsid w:val="005419D3"/>
    <w:rsid w:val="005434C6"/>
    <w:rsid w:val="00543B39"/>
    <w:rsid w:val="00546F4F"/>
    <w:rsid w:val="00550096"/>
    <w:rsid w:val="005543A4"/>
    <w:rsid w:val="00557FF9"/>
    <w:rsid w:val="0056452C"/>
    <w:rsid w:val="0057256B"/>
    <w:rsid w:val="00576378"/>
    <w:rsid w:val="00577945"/>
    <w:rsid w:val="00577E38"/>
    <w:rsid w:val="00581D36"/>
    <w:rsid w:val="00584F1D"/>
    <w:rsid w:val="00585322"/>
    <w:rsid w:val="005857C6"/>
    <w:rsid w:val="00586F98"/>
    <w:rsid w:val="005873F4"/>
    <w:rsid w:val="00592F6E"/>
    <w:rsid w:val="00593AD1"/>
    <w:rsid w:val="00595BD5"/>
    <w:rsid w:val="005967A3"/>
    <w:rsid w:val="005A68B6"/>
    <w:rsid w:val="005B3372"/>
    <w:rsid w:val="005B6120"/>
    <w:rsid w:val="005C5570"/>
    <w:rsid w:val="005C79A4"/>
    <w:rsid w:val="005D2B97"/>
    <w:rsid w:val="005D3290"/>
    <w:rsid w:val="005D5442"/>
    <w:rsid w:val="005D6F72"/>
    <w:rsid w:val="005E056A"/>
    <w:rsid w:val="005E4114"/>
    <w:rsid w:val="005F0849"/>
    <w:rsid w:val="005F173B"/>
    <w:rsid w:val="005F3C81"/>
    <w:rsid w:val="005F4483"/>
    <w:rsid w:val="00601377"/>
    <w:rsid w:val="00603F32"/>
    <w:rsid w:val="0061214C"/>
    <w:rsid w:val="006170F0"/>
    <w:rsid w:val="006178D1"/>
    <w:rsid w:val="00620406"/>
    <w:rsid w:val="006240F4"/>
    <w:rsid w:val="00632398"/>
    <w:rsid w:val="006336EF"/>
    <w:rsid w:val="006354AD"/>
    <w:rsid w:val="00636E45"/>
    <w:rsid w:val="00640FC3"/>
    <w:rsid w:val="0064112E"/>
    <w:rsid w:val="00642020"/>
    <w:rsid w:val="00646206"/>
    <w:rsid w:val="0065102C"/>
    <w:rsid w:val="0065337B"/>
    <w:rsid w:val="0065419D"/>
    <w:rsid w:val="00656D19"/>
    <w:rsid w:val="006604D8"/>
    <w:rsid w:val="006605C5"/>
    <w:rsid w:val="0066222F"/>
    <w:rsid w:val="00663EC7"/>
    <w:rsid w:val="00664A5B"/>
    <w:rsid w:val="006717EC"/>
    <w:rsid w:val="006718BB"/>
    <w:rsid w:val="0067397A"/>
    <w:rsid w:val="00674D51"/>
    <w:rsid w:val="006763D2"/>
    <w:rsid w:val="00680C08"/>
    <w:rsid w:val="006931B1"/>
    <w:rsid w:val="006A15C0"/>
    <w:rsid w:val="006A2830"/>
    <w:rsid w:val="006A3B00"/>
    <w:rsid w:val="006B24FD"/>
    <w:rsid w:val="006B4C50"/>
    <w:rsid w:val="006B6288"/>
    <w:rsid w:val="006C130C"/>
    <w:rsid w:val="006C17D1"/>
    <w:rsid w:val="006C279E"/>
    <w:rsid w:val="006C3733"/>
    <w:rsid w:val="006C3E2A"/>
    <w:rsid w:val="006C4853"/>
    <w:rsid w:val="006C4B74"/>
    <w:rsid w:val="006C642F"/>
    <w:rsid w:val="006D03E5"/>
    <w:rsid w:val="006D4092"/>
    <w:rsid w:val="006D5D3E"/>
    <w:rsid w:val="006E08B3"/>
    <w:rsid w:val="006E4779"/>
    <w:rsid w:val="006E71E8"/>
    <w:rsid w:val="006F17AC"/>
    <w:rsid w:val="006F1D37"/>
    <w:rsid w:val="006F26D0"/>
    <w:rsid w:val="006F2796"/>
    <w:rsid w:val="006F4EA3"/>
    <w:rsid w:val="006F572E"/>
    <w:rsid w:val="006F7CDC"/>
    <w:rsid w:val="007046D6"/>
    <w:rsid w:val="00705DB0"/>
    <w:rsid w:val="0070629B"/>
    <w:rsid w:val="007129EC"/>
    <w:rsid w:val="00720731"/>
    <w:rsid w:val="00721E92"/>
    <w:rsid w:val="00722B57"/>
    <w:rsid w:val="007265D1"/>
    <w:rsid w:val="007366B7"/>
    <w:rsid w:val="00741FFE"/>
    <w:rsid w:val="0074253D"/>
    <w:rsid w:val="0074429B"/>
    <w:rsid w:val="007513B4"/>
    <w:rsid w:val="0075195F"/>
    <w:rsid w:val="00754CC5"/>
    <w:rsid w:val="00760A8A"/>
    <w:rsid w:val="007615BC"/>
    <w:rsid w:val="00762DE4"/>
    <w:rsid w:val="00762F05"/>
    <w:rsid w:val="007652FF"/>
    <w:rsid w:val="00767265"/>
    <w:rsid w:val="00770EF1"/>
    <w:rsid w:val="007715BA"/>
    <w:rsid w:val="00773EF7"/>
    <w:rsid w:val="00774E1D"/>
    <w:rsid w:val="0077675A"/>
    <w:rsid w:val="00780355"/>
    <w:rsid w:val="00780A89"/>
    <w:rsid w:val="00785721"/>
    <w:rsid w:val="00787410"/>
    <w:rsid w:val="0079223C"/>
    <w:rsid w:val="00792286"/>
    <w:rsid w:val="00793A59"/>
    <w:rsid w:val="00793E91"/>
    <w:rsid w:val="007A077C"/>
    <w:rsid w:val="007A1665"/>
    <w:rsid w:val="007A1D7E"/>
    <w:rsid w:val="007A1EF9"/>
    <w:rsid w:val="007A320B"/>
    <w:rsid w:val="007A323C"/>
    <w:rsid w:val="007A3469"/>
    <w:rsid w:val="007A5DE5"/>
    <w:rsid w:val="007B24DF"/>
    <w:rsid w:val="007B2962"/>
    <w:rsid w:val="007B2B8D"/>
    <w:rsid w:val="007B43DB"/>
    <w:rsid w:val="007B6E9F"/>
    <w:rsid w:val="007C0750"/>
    <w:rsid w:val="007C1216"/>
    <w:rsid w:val="007C1AF7"/>
    <w:rsid w:val="007C1C9A"/>
    <w:rsid w:val="007C3E2E"/>
    <w:rsid w:val="007C58DE"/>
    <w:rsid w:val="007D0C25"/>
    <w:rsid w:val="007D1300"/>
    <w:rsid w:val="007E0D2F"/>
    <w:rsid w:val="007E401A"/>
    <w:rsid w:val="007E6E27"/>
    <w:rsid w:val="007E7176"/>
    <w:rsid w:val="007F22AF"/>
    <w:rsid w:val="007F3E00"/>
    <w:rsid w:val="00805D27"/>
    <w:rsid w:val="00810D5B"/>
    <w:rsid w:val="008134C8"/>
    <w:rsid w:val="00821776"/>
    <w:rsid w:val="008321F5"/>
    <w:rsid w:val="00832369"/>
    <w:rsid w:val="00834660"/>
    <w:rsid w:val="00836BC2"/>
    <w:rsid w:val="008414A0"/>
    <w:rsid w:val="00844289"/>
    <w:rsid w:val="008448BF"/>
    <w:rsid w:val="00844BB4"/>
    <w:rsid w:val="008461E7"/>
    <w:rsid w:val="00850113"/>
    <w:rsid w:val="0085068D"/>
    <w:rsid w:val="00854164"/>
    <w:rsid w:val="0085641B"/>
    <w:rsid w:val="0085684A"/>
    <w:rsid w:val="00857136"/>
    <w:rsid w:val="00857F8E"/>
    <w:rsid w:val="00863ABC"/>
    <w:rsid w:val="00875618"/>
    <w:rsid w:val="00880372"/>
    <w:rsid w:val="00886D15"/>
    <w:rsid w:val="00887DD8"/>
    <w:rsid w:val="008911A1"/>
    <w:rsid w:val="008930BF"/>
    <w:rsid w:val="008949E8"/>
    <w:rsid w:val="00896018"/>
    <w:rsid w:val="008960DD"/>
    <w:rsid w:val="0089635C"/>
    <w:rsid w:val="008A2B9D"/>
    <w:rsid w:val="008A39A8"/>
    <w:rsid w:val="008A5458"/>
    <w:rsid w:val="008A5C7C"/>
    <w:rsid w:val="008A5E0B"/>
    <w:rsid w:val="008A6D59"/>
    <w:rsid w:val="008B2C45"/>
    <w:rsid w:val="008B4B03"/>
    <w:rsid w:val="008B596F"/>
    <w:rsid w:val="008B5A3E"/>
    <w:rsid w:val="008C04E9"/>
    <w:rsid w:val="008C159F"/>
    <w:rsid w:val="008C1623"/>
    <w:rsid w:val="008C1850"/>
    <w:rsid w:val="008C220A"/>
    <w:rsid w:val="008C51A9"/>
    <w:rsid w:val="008C7617"/>
    <w:rsid w:val="008D770F"/>
    <w:rsid w:val="008E7846"/>
    <w:rsid w:val="008F0E62"/>
    <w:rsid w:val="008F1CCC"/>
    <w:rsid w:val="008F2967"/>
    <w:rsid w:val="008F6943"/>
    <w:rsid w:val="008F69AF"/>
    <w:rsid w:val="008F6AA9"/>
    <w:rsid w:val="009021F5"/>
    <w:rsid w:val="00902447"/>
    <w:rsid w:val="00902A21"/>
    <w:rsid w:val="00906445"/>
    <w:rsid w:val="00913DB1"/>
    <w:rsid w:val="00916B5E"/>
    <w:rsid w:val="00920330"/>
    <w:rsid w:val="009219D7"/>
    <w:rsid w:val="00922D53"/>
    <w:rsid w:val="00923B70"/>
    <w:rsid w:val="00924482"/>
    <w:rsid w:val="00924D13"/>
    <w:rsid w:val="00927D2A"/>
    <w:rsid w:val="00930237"/>
    <w:rsid w:val="0093094F"/>
    <w:rsid w:val="009438E8"/>
    <w:rsid w:val="0094614A"/>
    <w:rsid w:val="00946EA5"/>
    <w:rsid w:val="0095160F"/>
    <w:rsid w:val="00963C08"/>
    <w:rsid w:val="00966BEA"/>
    <w:rsid w:val="00967C91"/>
    <w:rsid w:val="00970403"/>
    <w:rsid w:val="0097216C"/>
    <w:rsid w:val="00973683"/>
    <w:rsid w:val="00977A4F"/>
    <w:rsid w:val="00981D66"/>
    <w:rsid w:val="00982A0E"/>
    <w:rsid w:val="0098585A"/>
    <w:rsid w:val="0098669D"/>
    <w:rsid w:val="00990250"/>
    <w:rsid w:val="00994C95"/>
    <w:rsid w:val="009961F4"/>
    <w:rsid w:val="009A4C16"/>
    <w:rsid w:val="009A4CED"/>
    <w:rsid w:val="009A690D"/>
    <w:rsid w:val="009B1D12"/>
    <w:rsid w:val="009B3100"/>
    <w:rsid w:val="009B416B"/>
    <w:rsid w:val="009B49D4"/>
    <w:rsid w:val="009C4BD5"/>
    <w:rsid w:val="009C5C72"/>
    <w:rsid w:val="009C6216"/>
    <w:rsid w:val="009C740E"/>
    <w:rsid w:val="009D25A2"/>
    <w:rsid w:val="009D2CA4"/>
    <w:rsid w:val="009D4DCD"/>
    <w:rsid w:val="009D54B8"/>
    <w:rsid w:val="009D7B77"/>
    <w:rsid w:val="009E0BB0"/>
    <w:rsid w:val="009E33BD"/>
    <w:rsid w:val="009E3FBB"/>
    <w:rsid w:val="009F62A7"/>
    <w:rsid w:val="00A02401"/>
    <w:rsid w:val="00A102E4"/>
    <w:rsid w:val="00A12018"/>
    <w:rsid w:val="00A12C42"/>
    <w:rsid w:val="00A14DF7"/>
    <w:rsid w:val="00A16AF7"/>
    <w:rsid w:val="00A2006A"/>
    <w:rsid w:val="00A2171E"/>
    <w:rsid w:val="00A235D9"/>
    <w:rsid w:val="00A27297"/>
    <w:rsid w:val="00A3246D"/>
    <w:rsid w:val="00A36FA7"/>
    <w:rsid w:val="00A42F6C"/>
    <w:rsid w:val="00A46801"/>
    <w:rsid w:val="00A475B7"/>
    <w:rsid w:val="00A47AF7"/>
    <w:rsid w:val="00A47C3E"/>
    <w:rsid w:val="00A50226"/>
    <w:rsid w:val="00A562C2"/>
    <w:rsid w:val="00A56AC0"/>
    <w:rsid w:val="00A6065C"/>
    <w:rsid w:val="00A60BAD"/>
    <w:rsid w:val="00A65D65"/>
    <w:rsid w:val="00A7593F"/>
    <w:rsid w:val="00A77E09"/>
    <w:rsid w:val="00A80A5B"/>
    <w:rsid w:val="00A827BB"/>
    <w:rsid w:val="00A84BC9"/>
    <w:rsid w:val="00A93B04"/>
    <w:rsid w:val="00A96444"/>
    <w:rsid w:val="00A964D1"/>
    <w:rsid w:val="00A966C6"/>
    <w:rsid w:val="00A968A1"/>
    <w:rsid w:val="00AA0ED0"/>
    <w:rsid w:val="00AA2B10"/>
    <w:rsid w:val="00AA3499"/>
    <w:rsid w:val="00AA42DD"/>
    <w:rsid w:val="00AA52D5"/>
    <w:rsid w:val="00AB465B"/>
    <w:rsid w:val="00AB5983"/>
    <w:rsid w:val="00AB70CA"/>
    <w:rsid w:val="00AC2B40"/>
    <w:rsid w:val="00AC2BB2"/>
    <w:rsid w:val="00AC2C3C"/>
    <w:rsid w:val="00AC2E8D"/>
    <w:rsid w:val="00AC512D"/>
    <w:rsid w:val="00AD34FE"/>
    <w:rsid w:val="00AD7815"/>
    <w:rsid w:val="00AE01C2"/>
    <w:rsid w:val="00AE52DB"/>
    <w:rsid w:val="00AE65EB"/>
    <w:rsid w:val="00AE67A7"/>
    <w:rsid w:val="00AE716B"/>
    <w:rsid w:val="00AF08B9"/>
    <w:rsid w:val="00AF11CA"/>
    <w:rsid w:val="00AF1D94"/>
    <w:rsid w:val="00AF2299"/>
    <w:rsid w:val="00AF2A3B"/>
    <w:rsid w:val="00AF60C5"/>
    <w:rsid w:val="00B009C6"/>
    <w:rsid w:val="00B01548"/>
    <w:rsid w:val="00B02208"/>
    <w:rsid w:val="00B10D4E"/>
    <w:rsid w:val="00B1228A"/>
    <w:rsid w:val="00B122AD"/>
    <w:rsid w:val="00B12BEC"/>
    <w:rsid w:val="00B1425E"/>
    <w:rsid w:val="00B1523F"/>
    <w:rsid w:val="00B16AF5"/>
    <w:rsid w:val="00B21D29"/>
    <w:rsid w:val="00B23CBC"/>
    <w:rsid w:val="00B23EAF"/>
    <w:rsid w:val="00B24F0B"/>
    <w:rsid w:val="00B25034"/>
    <w:rsid w:val="00B27195"/>
    <w:rsid w:val="00B275F4"/>
    <w:rsid w:val="00B27A1A"/>
    <w:rsid w:val="00B30181"/>
    <w:rsid w:val="00B33588"/>
    <w:rsid w:val="00B33863"/>
    <w:rsid w:val="00B3567E"/>
    <w:rsid w:val="00B37D17"/>
    <w:rsid w:val="00B4175E"/>
    <w:rsid w:val="00B452CE"/>
    <w:rsid w:val="00B46316"/>
    <w:rsid w:val="00B50545"/>
    <w:rsid w:val="00B54C25"/>
    <w:rsid w:val="00B6173B"/>
    <w:rsid w:val="00B61BF9"/>
    <w:rsid w:val="00B63962"/>
    <w:rsid w:val="00B72334"/>
    <w:rsid w:val="00B74A82"/>
    <w:rsid w:val="00B74CC4"/>
    <w:rsid w:val="00B75A7B"/>
    <w:rsid w:val="00B76B91"/>
    <w:rsid w:val="00B779C7"/>
    <w:rsid w:val="00B77EB1"/>
    <w:rsid w:val="00B811C6"/>
    <w:rsid w:val="00B85A87"/>
    <w:rsid w:val="00B92E08"/>
    <w:rsid w:val="00B93B96"/>
    <w:rsid w:val="00B95200"/>
    <w:rsid w:val="00B96EBE"/>
    <w:rsid w:val="00BA2C62"/>
    <w:rsid w:val="00BB2B65"/>
    <w:rsid w:val="00BC00DE"/>
    <w:rsid w:val="00BC4666"/>
    <w:rsid w:val="00BC622A"/>
    <w:rsid w:val="00BD45E3"/>
    <w:rsid w:val="00BE05B2"/>
    <w:rsid w:val="00BE0A78"/>
    <w:rsid w:val="00BE32A6"/>
    <w:rsid w:val="00BE5B4E"/>
    <w:rsid w:val="00BE6252"/>
    <w:rsid w:val="00BE79F0"/>
    <w:rsid w:val="00BF046D"/>
    <w:rsid w:val="00BF1190"/>
    <w:rsid w:val="00BF39D2"/>
    <w:rsid w:val="00BF4FAD"/>
    <w:rsid w:val="00BF54F4"/>
    <w:rsid w:val="00BF5D04"/>
    <w:rsid w:val="00BF6B48"/>
    <w:rsid w:val="00C00746"/>
    <w:rsid w:val="00C1164D"/>
    <w:rsid w:val="00C137CE"/>
    <w:rsid w:val="00C16762"/>
    <w:rsid w:val="00C16861"/>
    <w:rsid w:val="00C1687C"/>
    <w:rsid w:val="00C22678"/>
    <w:rsid w:val="00C23AC2"/>
    <w:rsid w:val="00C24259"/>
    <w:rsid w:val="00C24BF9"/>
    <w:rsid w:val="00C31B4E"/>
    <w:rsid w:val="00C404A6"/>
    <w:rsid w:val="00C40A36"/>
    <w:rsid w:val="00C44419"/>
    <w:rsid w:val="00C45E7B"/>
    <w:rsid w:val="00C4625F"/>
    <w:rsid w:val="00C471B1"/>
    <w:rsid w:val="00C51ED2"/>
    <w:rsid w:val="00C61364"/>
    <w:rsid w:val="00C618F7"/>
    <w:rsid w:val="00C62F2A"/>
    <w:rsid w:val="00C6316B"/>
    <w:rsid w:val="00C634A9"/>
    <w:rsid w:val="00C64586"/>
    <w:rsid w:val="00C66B0C"/>
    <w:rsid w:val="00C70289"/>
    <w:rsid w:val="00C70D53"/>
    <w:rsid w:val="00C73D0B"/>
    <w:rsid w:val="00C772FF"/>
    <w:rsid w:val="00C801AF"/>
    <w:rsid w:val="00C80256"/>
    <w:rsid w:val="00C811C0"/>
    <w:rsid w:val="00C81CA2"/>
    <w:rsid w:val="00C83D84"/>
    <w:rsid w:val="00C870F4"/>
    <w:rsid w:val="00C87E20"/>
    <w:rsid w:val="00C90CCF"/>
    <w:rsid w:val="00C94C92"/>
    <w:rsid w:val="00CA0420"/>
    <w:rsid w:val="00CB2D7E"/>
    <w:rsid w:val="00CB6BC0"/>
    <w:rsid w:val="00CC0FC0"/>
    <w:rsid w:val="00CC1B7C"/>
    <w:rsid w:val="00CC6492"/>
    <w:rsid w:val="00CC727F"/>
    <w:rsid w:val="00CD3F1C"/>
    <w:rsid w:val="00CD5AB6"/>
    <w:rsid w:val="00CD5AC0"/>
    <w:rsid w:val="00CE46EB"/>
    <w:rsid w:val="00CE55D3"/>
    <w:rsid w:val="00CF031C"/>
    <w:rsid w:val="00CF078D"/>
    <w:rsid w:val="00CF095C"/>
    <w:rsid w:val="00CF15C3"/>
    <w:rsid w:val="00CF2B6F"/>
    <w:rsid w:val="00CF58B6"/>
    <w:rsid w:val="00CF6C6B"/>
    <w:rsid w:val="00D00520"/>
    <w:rsid w:val="00D017ED"/>
    <w:rsid w:val="00D0231E"/>
    <w:rsid w:val="00D040D3"/>
    <w:rsid w:val="00D04C65"/>
    <w:rsid w:val="00D070DB"/>
    <w:rsid w:val="00D10524"/>
    <w:rsid w:val="00D14360"/>
    <w:rsid w:val="00D16DD2"/>
    <w:rsid w:val="00D1733A"/>
    <w:rsid w:val="00D224FE"/>
    <w:rsid w:val="00D22AB5"/>
    <w:rsid w:val="00D256D3"/>
    <w:rsid w:val="00D41EFE"/>
    <w:rsid w:val="00D53A31"/>
    <w:rsid w:val="00D60751"/>
    <w:rsid w:val="00D62B76"/>
    <w:rsid w:val="00D645C7"/>
    <w:rsid w:val="00D6493E"/>
    <w:rsid w:val="00D7301E"/>
    <w:rsid w:val="00D82798"/>
    <w:rsid w:val="00D83AE1"/>
    <w:rsid w:val="00D855D4"/>
    <w:rsid w:val="00D862B3"/>
    <w:rsid w:val="00D87961"/>
    <w:rsid w:val="00D93466"/>
    <w:rsid w:val="00DA1124"/>
    <w:rsid w:val="00DA33C5"/>
    <w:rsid w:val="00DA71CC"/>
    <w:rsid w:val="00DB1790"/>
    <w:rsid w:val="00DB31CD"/>
    <w:rsid w:val="00DB4914"/>
    <w:rsid w:val="00DB75B7"/>
    <w:rsid w:val="00DC156B"/>
    <w:rsid w:val="00DC1A8D"/>
    <w:rsid w:val="00DC6E02"/>
    <w:rsid w:val="00DD0AD2"/>
    <w:rsid w:val="00DD553F"/>
    <w:rsid w:val="00DE02AE"/>
    <w:rsid w:val="00DE255F"/>
    <w:rsid w:val="00DE4967"/>
    <w:rsid w:val="00DE726E"/>
    <w:rsid w:val="00DF1D7F"/>
    <w:rsid w:val="00DF1DD2"/>
    <w:rsid w:val="00DF4BE4"/>
    <w:rsid w:val="00DF5C2C"/>
    <w:rsid w:val="00E02D25"/>
    <w:rsid w:val="00E02FB4"/>
    <w:rsid w:val="00E07F15"/>
    <w:rsid w:val="00E131C1"/>
    <w:rsid w:val="00E202DE"/>
    <w:rsid w:val="00E20571"/>
    <w:rsid w:val="00E235F7"/>
    <w:rsid w:val="00E23659"/>
    <w:rsid w:val="00E239D4"/>
    <w:rsid w:val="00E243A4"/>
    <w:rsid w:val="00E25C48"/>
    <w:rsid w:val="00E26130"/>
    <w:rsid w:val="00E2741C"/>
    <w:rsid w:val="00E31AFA"/>
    <w:rsid w:val="00E35417"/>
    <w:rsid w:val="00E35488"/>
    <w:rsid w:val="00E407A3"/>
    <w:rsid w:val="00E40B22"/>
    <w:rsid w:val="00E45619"/>
    <w:rsid w:val="00E4588F"/>
    <w:rsid w:val="00E46DA3"/>
    <w:rsid w:val="00E51857"/>
    <w:rsid w:val="00E51BB1"/>
    <w:rsid w:val="00E558F7"/>
    <w:rsid w:val="00E6213A"/>
    <w:rsid w:val="00E624A5"/>
    <w:rsid w:val="00E6492D"/>
    <w:rsid w:val="00E709F7"/>
    <w:rsid w:val="00E7344E"/>
    <w:rsid w:val="00E76E3D"/>
    <w:rsid w:val="00E77B22"/>
    <w:rsid w:val="00E912FA"/>
    <w:rsid w:val="00E936E3"/>
    <w:rsid w:val="00E979F4"/>
    <w:rsid w:val="00E97EEE"/>
    <w:rsid w:val="00EB0769"/>
    <w:rsid w:val="00EB0798"/>
    <w:rsid w:val="00EB23FC"/>
    <w:rsid w:val="00EB2B60"/>
    <w:rsid w:val="00EB30D2"/>
    <w:rsid w:val="00EB40AD"/>
    <w:rsid w:val="00EB4658"/>
    <w:rsid w:val="00EB586E"/>
    <w:rsid w:val="00EB5FC8"/>
    <w:rsid w:val="00EB7086"/>
    <w:rsid w:val="00EC7215"/>
    <w:rsid w:val="00ED31C5"/>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12670"/>
    <w:rsid w:val="00F14B27"/>
    <w:rsid w:val="00F16618"/>
    <w:rsid w:val="00F207B3"/>
    <w:rsid w:val="00F242EE"/>
    <w:rsid w:val="00F24FBD"/>
    <w:rsid w:val="00F3148D"/>
    <w:rsid w:val="00F325C5"/>
    <w:rsid w:val="00F32FE0"/>
    <w:rsid w:val="00F35298"/>
    <w:rsid w:val="00F35B51"/>
    <w:rsid w:val="00F40D0B"/>
    <w:rsid w:val="00F413F7"/>
    <w:rsid w:val="00F4267E"/>
    <w:rsid w:val="00F458EC"/>
    <w:rsid w:val="00F47333"/>
    <w:rsid w:val="00F47E37"/>
    <w:rsid w:val="00F522EA"/>
    <w:rsid w:val="00F532C7"/>
    <w:rsid w:val="00F53C07"/>
    <w:rsid w:val="00F54B65"/>
    <w:rsid w:val="00F555AA"/>
    <w:rsid w:val="00F562B2"/>
    <w:rsid w:val="00F57D39"/>
    <w:rsid w:val="00F63152"/>
    <w:rsid w:val="00F63744"/>
    <w:rsid w:val="00F640B6"/>
    <w:rsid w:val="00F64744"/>
    <w:rsid w:val="00F70541"/>
    <w:rsid w:val="00F716B9"/>
    <w:rsid w:val="00F7213E"/>
    <w:rsid w:val="00F75B73"/>
    <w:rsid w:val="00F80E40"/>
    <w:rsid w:val="00F8171B"/>
    <w:rsid w:val="00F81E90"/>
    <w:rsid w:val="00F822F2"/>
    <w:rsid w:val="00F82A28"/>
    <w:rsid w:val="00F848D9"/>
    <w:rsid w:val="00F87E50"/>
    <w:rsid w:val="00F905A6"/>
    <w:rsid w:val="00F93C9C"/>
    <w:rsid w:val="00F948E8"/>
    <w:rsid w:val="00F96131"/>
    <w:rsid w:val="00FA5B82"/>
    <w:rsid w:val="00FA5CFB"/>
    <w:rsid w:val="00FA639E"/>
    <w:rsid w:val="00FB64F6"/>
    <w:rsid w:val="00FC25E4"/>
    <w:rsid w:val="00FC4EF7"/>
    <w:rsid w:val="00FE1DEE"/>
    <w:rsid w:val="00FE25A7"/>
    <w:rsid w:val="00FF1759"/>
    <w:rsid w:val="00FF2126"/>
    <w:rsid w:val="00FF403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E71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rsid w:val="00B95200"/>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E71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rsid w:val="00B95200"/>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yperlink" Target="https://www.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info@tga.gov.au" TargetMode="External"/><Relationship Id="rId28"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header" Target="header3.xm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8E44FD2-3F85-4AFB-A0CD-9CD104742263}"/>
      </w:docPartPr>
      <w:docPartBody>
        <w:p w:rsidR="005C587F" w:rsidRDefault="00A82851">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39E"/>
    <w:rsid w:val="000D3EF9"/>
    <w:rsid w:val="000E2EED"/>
    <w:rsid w:val="00134DEB"/>
    <w:rsid w:val="00173899"/>
    <w:rsid w:val="001C507B"/>
    <w:rsid w:val="002125CB"/>
    <w:rsid w:val="00227F2E"/>
    <w:rsid w:val="002526A9"/>
    <w:rsid w:val="00263271"/>
    <w:rsid w:val="003C6526"/>
    <w:rsid w:val="003D6723"/>
    <w:rsid w:val="003F6DA8"/>
    <w:rsid w:val="00410FA6"/>
    <w:rsid w:val="00412FDF"/>
    <w:rsid w:val="0047218C"/>
    <w:rsid w:val="005C139E"/>
    <w:rsid w:val="005C587F"/>
    <w:rsid w:val="006152E9"/>
    <w:rsid w:val="006A0654"/>
    <w:rsid w:val="006D1591"/>
    <w:rsid w:val="00770156"/>
    <w:rsid w:val="007A139B"/>
    <w:rsid w:val="008568B3"/>
    <w:rsid w:val="00924360"/>
    <w:rsid w:val="00963B20"/>
    <w:rsid w:val="00971883"/>
    <w:rsid w:val="0098454C"/>
    <w:rsid w:val="009C7BE8"/>
    <w:rsid w:val="00A41F50"/>
    <w:rsid w:val="00A53898"/>
    <w:rsid w:val="00A82851"/>
    <w:rsid w:val="00AB01C4"/>
    <w:rsid w:val="00B62BC8"/>
    <w:rsid w:val="00B8364D"/>
    <w:rsid w:val="00B94F88"/>
    <w:rsid w:val="00BA2BFA"/>
    <w:rsid w:val="00CA621B"/>
    <w:rsid w:val="00CB31F0"/>
    <w:rsid w:val="00CC1689"/>
    <w:rsid w:val="00D45CF2"/>
    <w:rsid w:val="00E04F34"/>
    <w:rsid w:val="00E460F5"/>
    <w:rsid w:val="00E57D58"/>
    <w:rsid w:val="00EF6A77"/>
    <w:rsid w:val="00FA43F9"/>
    <w:rsid w:val="00FD3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E3881-81C3-4C26-94EF-9B0167D7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34</TotalTime>
  <Pages>28</Pages>
  <Words>10431</Words>
  <Characters>57685</Characters>
  <Application>Microsoft Office Word</Application>
  <DocSecurity>0</DocSecurity>
  <Lines>1131</Lines>
  <Paragraphs>587</Paragraphs>
  <ScaleCrop>false</ScaleCrop>
  <HeadingPairs>
    <vt:vector size="2" baseType="variant">
      <vt:variant>
        <vt:lpstr>Title</vt:lpstr>
      </vt:variant>
      <vt:variant>
        <vt:i4>1</vt:i4>
      </vt:variant>
    </vt:vector>
  </HeadingPairs>
  <TitlesOfParts>
    <vt:vector size="1" baseType="lpstr">
      <vt:lpstr>Attachment: Extract from Clinical Evaluation Report: Nine trace elements including chromic chloride</vt:lpstr>
    </vt:vector>
  </TitlesOfParts>
  <Company>Department of Health</Company>
  <LinksUpToDate>false</LinksUpToDate>
  <CharactersWithSpaces>67529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Nine trace elements including chromic chloride</dc:title>
  <dc:subject>prescription medicines</dc:subject>
  <dc:creator>Therapeutic Goods Administration</dc:creator>
  <cp:keywords>AusPARs</cp:keywords>
  <cp:lastModifiedBy>LACK, Janet</cp:lastModifiedBy>
  <cp:revision>3</cp:revision>
  <cp:lastPrinted>2015-09-22T23:53:00Z</cp:lastPrinted>
  <dcterms:created xsi:type="dcterms:W3CDTF">2017-04-19T03:14:00Z</dcterms:created>
  <dcterms:modified xsi:type="dcterms:W3CDTF">2017-04-19T06:49:00Z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