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E5CF5" w14:textId="76904190" w:rsidR="00AC053C" w:rsidRPr="00BC7299" w:rsidRDefault="00AC053C" w:rsidP="00C06991">
      <w:pPr>
        <w:pStyle w:val="BodyText"/>
        <w:tabs>
          <w:tab w:val="left" w:pos="1418"/>
        </w:tabs>
        <w:spacing w:line="245" w:lineRule="auto"/>
        <w:ind w:left="0" w:right="172"/>
      </w:pPr>
      <w:bookmarkStart w:id="0" w:name="_GoBack"/>
      <w:bookmarkEnd w:id="0"/>
      <w:r>
        <w:rPr>
          <w:noProof/>
          <w:lang w:val="en-AU" w:eastAsia="en-AU"/>
        </w:rPr>
        <w:drawing>
          <wp:inline distT="0" distB="0" distL="0" distR="0" wp14:anchorId="7750E516" wp14:editId="75718522">
            <wp:extent cx="153670" cy="132080"/>
            <wp:effectExtent l="0" t="0" r="0" b="0"/>
            <wp:docPr id="2" name="Picture 2" descr="Black triangl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triangle sym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 cy="132080"/>
                    </a:xfrm>
                    <a:prstGeom prst="rect">
                      <a:avLst/>
                    </a:prstGeom>
                    <a:noFill/>
                    <a:ln>
                      <a:noFill/>
                    </a:ln>
                  </pic:spPr>
                </pic:pic>
              </a:graphicData>
            </a:graphic>
          </wp:inline>
        </w:drawing>
      </w:r>
      <w:r>
        <w:t xml:space="preserve"> This </w:t>
      </w:r>
      <w:r>
        <w:rPr>
          <w:spacing w:val="-1"/>
        </w:rPr>
        <w:t>medicinal</w:t>
      </w:r>
      <w:r>
        <w:rPr>
          <w:spacing w:val="1"/>
        </w:rPr>
        <w:t xml:space="preserve"> </w:t>
      </w:r>
      <w:r>
        <w:t>product</w:t>
      </w:r>
      <w:r>
        <w:rPr>
          <w:spacing w:val="1"/>
        </w:rPr>
        <w:t xml:space="preserve"> </w:t>
      </w:r>
      <w:r>
        <w:t>is subject</w:t>
      </w:r>
      <w:r>
        <w:rPr>
          <w:spacing w:val="1"/>
        </w:rPr>
        <w:t xml:space="preserve"> </w:t>
      </w:r>
      <w:r>
        <w:t>to additional</w:t>
      </w:r>
      <w:r>
        <w:rPr>
          <w:spacing w:val="1"/>
        </w:rPr>
        <w:t xml:space="preserve"> </w:t>
      </w:r>
      <w:r>
        <w:rPr>
          <w:spacing w:val="-1"/>
        </w:rPr>
        <w:t>monitoring</w:t>
      </w:r>
      <w:r w:rsidR="00E82565">
        <w:rPr>
          <w:spacing w:val="-1"/>
        </w:rPr>
        <w:t xml:space="preserve"> in Australia</w:t>
      </w:r>
      <w:r>
        <w:rPr>
          <w:spacing w:val="-1"/>
        </w:rPr>
        <w:t>.</w:t>
      </w:r>
      <w:r>
        <w:t xml:space="preserve"> This will</w:t>
      </w:r>
      <w:r>
        <w:rPr>
          <w:spacing w:val="1"/>
        </w:rPr>
        <w:t xml:space="preserve"> </w:t>
      </w:r>
      <w:r>
        <w:t>allow</w:t>
      </w:r>
      <w:r>
        <w:rPr>
          <w:spacing w:val="-1"/>
        </w:rPr>
        <w:t xml:space="preserve"> </w:t>
      </w:r>
      <w:r>
        <w:t>quick</w:t>
      </w:r>
      <w:r>
        <w:rPr>
          <w:spacing w:val="-3"/>
        </w:rPr>
        <w:t xml:space="preserve"> </w:t>
      </w:r>
      <w:r>
        <w:t>identification of</w:t>
      </w:r>
      <w:r>
        <w:rPr>
          <w:spacing w:val="1"/>
        </w:rPr>
        <w:t xml:space="preserve"> </w:t>
      </w:r>
      <w:r>
        <w:t>new</w:t>
      </w:r>
      <w:r>
        <w:rPr>
          <w:spacing w:val="72"/>
        </w:rPr>
        <w:t xml:space="preserve"> </w:t>
      </w:r>
      <w:r>
        <w:t>safety</w:t>
      </w:r>
      <w:r>
        <w:rPr>
          <w:spacing w:val="-3"/>
        </w:rPr>
        <w:t xml:space="preserve"> </w:t>
      </w:r>
      <w:r>
        <w:rPr>
          <w:spacing w:val="-1"/>
        </w:rPr>
        <w:t>information.</w:t>
      </w:r>
      <w:r>
        <w:t xml:space="preserve"> Healthcare professionals are </w:t>
      </w:r>
      <w:r>
        <w:rPr>
          <w:spacing w:val="-1"/>
        </w:rPr>
        <w:t>asked</w:t>
      </w:r>
      <w:r>
        <w:t xml:space="preserve"> to </w:t>
      </w:r>
      <w:r>
        <w:rPr>
          <w:spacing w:val="-1"/>
        </w:rPr>
        <w:t>report</w:t>
      </w:r>
      <w:r>
        <w:rPr>
          <w:spacing w:val="1"/>
        </w:rPr>
        <w:t xml:space="preserve"> </w:t>
      </w:r>
      <w:r>
        <w:t>any</w:t>
      </w:r>
      <w:r>
        <w:rPr>
          <w:spacing w:val="-3"/>
        </w:rPr>
        <w:t xml:space="preserve"> </w:t>
      </w:r>
      <w:r>
        <w:t xml:space="preserve">suspected </w:t>
      </w:r>
      <w:r>
        <w:rPr>
          <w:spacing w:val="-1"/>
        </w:rPr>
        <w:t>adverse</w:t>
      </w:r>
      <w:r>
        <w:t xml:space="preserve"> reactions</w:t>
      </w:r>
      <w:r w:rsidR="006773A3">
        <w:t xml:space="preserve"> at </w:t>
      </w:r>
      <w:r w:rsidR="007A5CB6" w:rsidRPr="007A5CB6">
        <w:t>www.tga.gov.au/reporting-problems</w:t>
      </w:r>
      <w:r>
        <w:t xml:space="preserve">. </w:t>
      </w:r>
      <w:r>
        <w:rPr>
          <w:spacing w:val="-1"/>
        </w:rPr>
        <w:t>See</w:t>
      </w:r>
      <w:r>
        <w:t xml:space="preserve"> </w:t>
      </w:r>
      <w:r w:rsidRPr="0067076B">
        <w:rPr>
          <w:b/>
          <w:i/>
        </w:rPr>
        <w:t>Section 4.8 Adverse Effects (Undesirable Effects)</w:t>
      </w:r>
      <w:r>
        <w:t xml:space="preserve"> for</w:t>
      </w:r>
      <w:r>
        <w:rPr>
          <w:spacing w:val="1"/>
        </w:rPr>
        <w:t xml:space="preserve"> </w:t>
      </w:r>
      <w:r>
        <w:t>how</w:t>
      </w:r>
      <w:r>
        <w:rPr>
          <w:spacing w:val="-1"/>
        </w:rPr>
        <w:t xml:space="preserve"> </w:t>
      </w:r>
      <w:r>
        <w:t>to report</w:t>
      </w:r>
      <w:r>
        <w:rPr>
          <w:spacing w:val="1"/>
        </w:rPr>
        <w:t xml:space="preserve"> </w:t>
      </w:r>
      <w:r>
        <w:rPr>
          <w:spacing w:val="-1"/>
        </w:rPr>
        <w:t>adverse</w:t>
      </w:r>
      <w:r>
        <w:t xml:space="preserve"> reactions.</w:t>
      </w:r>
    </w:p>
    <w:p w14:paraId="504EE25A" w14:textId="77777777" w:rsidR="001A3992" w:rsidRDefault="001A3992" w:rsidP="00966670">
      <w:pPr>
        <w:pStyle w:val="Heading1"/>
        <w:spacing w:before="0"/>
        <w:ind w:left="0" w:hanging="426"/>
        <w:rPr>
          <w:rFonts w:ascii="Times New Roman" w:hAnsi="Times New Roman" w:cs="Times New Roman"/>
          <w:b w:val="0"/>
        </w:rPr>
      </w:pPr>
      <w:r w:rsidRPr="00BC7299">
        <w:rPr>
          <w:rFonts w:ascii="Times New Roman" w:hAnsi="Times New Roman" w:cs="Times New Roman"/>
          <w:b w:val="0"/>
        </w:rPr>
        <w:t>Name of the medicine</w:t>
      </w:r>
    </w:p>
    <w:p w14:paraId="7D4E6870" w14:textId="472E54F9" w:rsidR="00BC7299" w:rsidRPr="00DD45C5" w:rsidRDefault="00BC7299" w:rsidP="00DD45C5">
      <w:pPr>
        <w:pStyle w:val="C-BodyText"/>
      </w:pPr>
      <w:r>
        <w:t>NERLYNX</w:t>
      </w:r>
      <w:r w:rsidR="00AF331A">
        <w:t xml:space="preserve"> (neratinib)</w:t>
      </w:r>
    </w:p>
    <w:p w14:paraId="2DE3A9A6" w14:textId="77777777" w:rsidR="00DD45C5" w:rsidRDefault="001A3992" w:rsidP="00966670">
      <w:pPr>
        <w:pStyle w:val="Heading1"/>
        <w:spacing w:before="0"/>
        <w:ind w:left="0" w:hanging="426"/>
        <w:rPr>
          <w:rFonts w:ascii="Times New Roman" w:hAnsi="Times New Roman" w:cs="Times New Roman"/>
          <w:b w:val="0"/>
        </w:rPr>
      </w:pPr>
      <w:r w:rsidRPr="00BC7299">
        <w:rPr>
          <w:rFonts w:ascii="Times New Roman" w:hAnsi="Times New Roman" w:cs="Times New Roman"/>
          <w:b w:val="0"/>
        </w:rPr>
        <w:t>Qualitative and quantitative composition</w:t>
      </w:r>
    </w:p>
    <w:p w14:paraId="6CE8926B" w14:textId="77777777" w:rsidR="00DD45C5" w:rsidRDefault="00BC7299" w:rsidP="00DD45C5">
      <w:pPr>
        <w:pStyle w:val="C-BodyText"/>
      </w:pPr>
      <w:r>
        <w:t>E</w:t>
      </w:r>
      <w:r w:rsidRPr="00BC7299">
        <w:t>ach</w:t>
      </w:r>
      <w:r w:rsidRPr="00BC7299">
        <w:rPr>
          <w:spacing w:val="-6"/>
        </w:rPr>
        <w:t xml:space="preserve"> </w:t>
      </w:r>
      <w:r w:rsidRPr="00BC7299">
        <w:t>film-coated tablet contains neratinib maleate, equivalent to 40 mg neratinib.</w:t>
      </w:r>
    </w:p>
    <w:p w14:paraId="429A6633" w14:textId="77777777" w:rsidR="00DD45C5" w:rsidRDefault="00BC7299" w:rsidP="00DD45C5">
      <w:pPr>
        <w:pStyle w:val="C-BodyText"/>
        <w:rPr>
          <w:i/>
          <w:spacing w:val="-1"/>
        </w:rPr>
      </w:pPr>
      <w:r w:rsidRPr="00B23D4D">
        <w:rPr>
          <w:spacing w:val="-1"/>
        </w:rPr>
        <w:t xml:space="preserve">For the full list of </w:t>
      </w:r>
      <w:r>
        <w:rPr>
          <w:spacing w:val="-1"/>
        </w:rPr>
        <w:t xml:space="preserve">excipients, see </w:t>
      </w:r>
      <w:r w:rsidR="00321EF8">
        <w:rPr>
          <w:i/>
          <w:spacing w:val="-1"/>
        </w:rPr>
        <w:t>Section 6</w:t>
      </w:r>
      <w:r w:rsidR="00EF10C7">
        <w:rPr>
          <w:i/>
          <w:spacing w:val="-1"/>
        </w:rPr>
        <w:t>.1</w:t>
      </w:r>
      <w:r w:rsidRPr="00B23D4D">
        <w:rPr>
          <w:i/>
          <w:spacing w:val="-1"/>
        </w:rPr>
        <w:t xml:space="preserve"> List of excipients.</w:t>
      </w:r>
    </w:p>
    <w:p w14:paraId="387B1E60" w14:textId="77777777" w:rsidR="00DD45C5" w:rsidRDefault="001A3992" w:rsidP="00966670">
      <w:pPr>
        <w:pStyle w:val="Heading1"/>
        <w:spacing w:before="0"/>
        <w:ind w:left="0" w:hanging="426"/>
        <w:rPr>
          <w:rFonts w:ascii="Times New Roman" w:hAnsi="Times New Roman" w:cs="Times New Roman"/>
          <w:b w:val="0"/>
        </w:rPr>
      </w:pPr>
      <w:r w:rsidRPr="00BC7299">
        <w:rPr>
          <w:rFonts w:ascii="Times New Roman" w:hAnsi="Times New Roman" w:cs="Times New Roman"/>
          <w:b w:val="0"/>
        </w:rPr>
        <w:t>Pharmaceutical form</w:t>
      </w:r>
    </w:p>
    <w:p w14:paraId="632CF3EC" w14:textId="77777777" w:rsidR="00DD45C5" w:rsidRDefault="00BC7299" w:rsidP="00DD45C5">
      <w:pPr>
        <w:pStyle w:val="C-BodyText"/>
      </w:pPr>
      <w:r>
        <w:t>F</w:t>
      </w:r>
      <w:r w:rsidRPr="00BC7299">
        <w:t>ilm-coated tablet.</w:t>
      </w:r>
    </w:p>
    <w:p w14:paraId="3F026166" w14:textId="217786E8" w:rsidR="001A3992" w:rsidRPr="00BC7299" w:rsidRDefault="00BC7299" w:rsidP="00DD45C5">
      <w:pPr>
        <w:pStyle w:val="C-BodyText"/>
        <w:rPr>
          <w:b/>
        </w:rPr>
      </w:pPr>
      <w:r w:rsidRPr="00BC7299">
        <w:t>Oval</w:t>
      </w:r>
      <w:r w:rsidR="00B21C06">
        <w:t>, red film</w:t>
      </w:r>
      <w:r w:rsidR="00B21C06">
        <w:noBreakHyphen/>
        <w:t>coated tablet with ‘W</w:t>
      </w:r>
      <w:r w:rsidRPr="00BC7299">
        <w:t>104’ debossed on one side</w:t>
      </w:r>
      <w:r w:rsidR="00FD762B">
        <w:t xml:space="preserve"> and plain on the other side</w:t>
      </w:r>
      <w:r w:rsidRPr="00BC7299">
        <w:t>. Tablet dimensions are 10.5 mm x 4.3 mm with thickness of 3.1 mm.</w:t>
      </w:r>
    </w:p>
    <w:p w14:paraId="595F601E" w14:textId="77777777" w:rsidR="001A3992" w:rsidRPr="00BC7299" w:rsidRDefault="001A3992" w:rsidP="00966670">
      <w:pPr>
        <w:pStyle w:val="Heading1"/>
        <w:spacing w:before="0"/>
        <w:ind w:left="0" w:hanging="426"/>
        <w:rPr>
          <w:rFonts w:ascii="Times New Roman" w:hAnsi="Times New Roman" w:cs="Times New Roman"/>
          <w:b w:val="0"/>
        </w:rPr>
      </w:pPr>
      <w:r w:rsidRPr="00BC7299">
        <w:rPr>
          <w:rFonts w:ascii="Times New Roman" w:hAnsi="Times New Roman" w:cs="Times New Roman"/>
          <w:b w:val="0"/>
        </w:rPr>
        <w:t>Clinical particulars</w:t>
      </w:r>
    </w:p>
    <w:p w14:paraId="1514B380" w14:textId="77777777" w:rsidR="00DD45C5" w:rsidRPr="00DD45C5" w:rsidRDefault="00BC7299" w:rsidP="00966670">
      <w:pPr>
        <w:pStyle w:val="Heading2"/>
        <w:spacing w:before="0" w:after="0"/>
        <w:ind w:left="0" w:hanging="426"/>
        <w:rPr>
          <w:rFonts w:ascii="Times New Roman" w:eastAsiaTheme="majorEastAsia" w:hAnsi="Times New Roman" w:cs="Times New Roman"/>
          <w:b w:val="0"/>
          <w:bCs/>
          <w:caps/>
          <w:smallCaps w:val="0"/>
          <w:sz w:val="26"/>
          <w:szCs w:val="26"/>
        </w:rPr>
      </w:pPr>
      <w:r w:rsidRPr="00BC7299">
        <w:rPr>
          <w:rFonts w:ascii="Times New Roman" w:eastAsiaTheme="majorEastAsia" w:hAnsi="Times New Roman" w:cs="Times New Roman"/>
          <w:b w:val="0"/>
          <w:bCs/>
          <w:smallCaps w:val="0"/>
          <w:sz w:val="26"/>
          <w:szCs w:val="26"/>
        </w:rPr>
        <w:t>T</w:t>
      </w:r>
      <w:r w:rsidR="00966670">
        <w:rPr>
          <w:rFonts w:ascii="Times New Roman" w:eastAsiaTheme="majorEastAsia" w:hAnsi="Times New Roman" w:cs="Times New Roman"/>
          <w:b w:val="0"/>
          <w:bCs/>
          <w:smallCaps w:val="0"/>
          <w:sz w:val="26"/>
          <w:szCs w:val="26"/>
        </w:rPr>
        <w:t>herapeutic indication</w:t>
      </w:r>
    </w:p>
    <w:p w14:paraId="3AF7457A" w14:textId="70DD950E" w:rsidR="00BC7299" w:rsidRPr="00BC7299" w:rsidRDefault="00BC7299" w:rsidP="00DD45C5">
      <w:pPr>
        <w:pStyle w:val="C-BodyText"/>
        <w:rPr>
          <w:rFonts w:eastAsiaTheme="majorEastAsia"/>
          <w:b/>
          <w:caps/>
          <w:smallCaps/>
          <w:sz w:val="26"/>
          <w:szCs w:val="26"/>
        </w:rPr>
      </w:pPr>
      <w:r>
        <w:rPr>
          <w:rFonts w:eastAsiaTheme="majorEastAsia"/>
        </w:rPr>
        <w:t>NERLYNX</w:t>
      </w:r>
      <w:r w:rsidRPr="00BC7299">
        <w:rPr>
          <w:rFonts w:eastAsiaTheme="majorEastAsia"/>
        </w:rPr>
        <w:t xml:space="preserve"> is indicated for the extended adjuvant treatment of adult patients with early</w:t>
      </w:r>
      <w:r w:rsidRPr="00BC7299">
        <w:rPr>
          <w:rFonts w:eastAsiaTheme="majorEastAsia"/>
        </w:rPr>
        <w:noBreakHyphen/>
        <w:t>stage HER2-overexpressed/amplified breast cancer</w:t>
      </w:r>
      <w:r w:rsidR="00B73C99">
        <w:rPr>
          <w:rFonts w:eastAsiaTheme="majorEastAsia"/>
        </w:rPr>
        <w:t>,</w:t>
      </w:r>
      <w:r w:rsidRPr="00BC7299">
        <w:rPr>
          <w:rFonts w:eastAsiaTheme="majorEastAsia"/>
        </w:rPr>
        <w:t xml:space="preserve"> </w:t>
      </w:r>
      <w:r w:rsidR="00B73C99">
        <w:rPr>
          <w:rFonts w:eastAsiaTheme="majorEastAsia"/>
        </w:rPr>
        <w:t>to follow</w:t>
      </w:r>
      <w:r w:rsidRPr="00BC7299">
        <w:rPr>
          <w:rFonts w:eastAsiaTheme="majorEastAsia"/>
        </w:rPr>
        <w:t xml:space="preserve"> adjuvant trastuzumab based therapy.</w:t>
      </w:r>
    </w:p>
    <w:p w14:paraId="020DDD64" w14:textId="77777777" w:rsidR="00DD45C5" w:rsidRPr="00DD45C5" w:rsidRDefault="00BC7299" w:rsidP="00966670">
      <w:pPr>
        <w:pStyle w:val="Heading2"/>
        <w:spacing w:before="0" w:after="0"/>
        <w:ind w:left="0" w:hanging="426"/>
        <w:rPr>
          <w:rFonts w:ascii="Times New Roman" w:eastAsiaTheme="majorEastAsia" w:hAnsi="Times New Roman" w:cs="Times New Roman"/>
          <w:b w:val="0"/>
          <w:bCs/>
          <w:smallCaps w:val="0"/>
          <w:sz w:val="22"/>
        </w:rPr>
      </w:pPr>
      <w:r>
        <w:rPr>
          <w:rFonts w:ascii="Times New Roman" w:eastAsiaTheme="majorEastAsia" w:hAnsi="Times New Roman" w:cs="Times New Roman"/>
          <w:b w:val="0"/>
          <w:bCs/>
          <w:smallCaps w:val="0"/>
          <w:sz w:val="26"/>
          <w:szCs w:val="26"/>
        </w:rPr>
        <w:t>Dose and method of a</w:t>
      </w:r>
      <w:r w:rsidR="00DD45C5">
        <w:rPr>
          <w:rFonts w:ascii="Times New Roman" w:eastAsiaTheme="majorEastAsia" w:hAnsi="Times New Roman" w:cs="Times New Roman"/>
          <w:b w:val="0"/>
          <w:bCs/>
          <w:smallCaps w:val="0"/>
          <w:sz w:val="26"/>
          <w:szCs w:val="26"/>
        </w:rPr>
        <w:t>dministration</w:t>
      </w:r>
    </w:p>
    <w:p w14:paraId="1D42EEE3" w14:textId="407AF7AB" w:rsidR="00A676D5" w:rsidRPr="00A676D5" w:rsidRDefault="00A676D5" w:rsidP="00DD45C5">
      <w:pPr>
        <w:pStyle w:val="C-BodyText"/>
        <w:spacing w:before="0"/>
        <w:rPr>
          <w:rFonts w:eastAsiaTheme="majorEastAsia"/>
          <w:bCs/>
          <w:szCs w:val="22"/>
          <w:lang w:val="en-AU"/>
        </w:rPr>
      </w:pPr>
      <w:r>
        <w:rPr>
          <w:rFonts w:eastAsiaTheme="majorEastAsia"/>
        </w:rPr>
        <w:t>NERLYNX</w:t>
      </w:r>
      <w:r w:rsidRPr="00A676D5">
        <w:rPr>
          <w:rFonts w:eastAsiaTheme="majorEastAsia"/>
        </w:rPr>
        <w:t xml:space="preserve"> treatment should be initiated and supervised by a physician experienced in the administration of anti-cancer medicinal products.</w:t>
      </w:r>
    </w:p>
    <w:p w14:paraId="54FAB7A7" w14:textId="45AE19FC" w:rsidR="0064429D" w:rsidRPr="0064429D" w:rsidRDefault="00A676D5" w:rsidP="00966670">
      <w:pPr>
        <w:spacing w:line="240" w:lineRule="auto"/>
        <w:rPr>
          <w:rFonts w:ascii="Times New Roman" w:eastAsiaTheme="majorEastAsia" w:hAnsi="Times New Roman" w:cs="Times New Roman"/>
          <w:bCs/>
          <w:u w:val="single"/>
        </w:rPr>
      </w:pPr>
      <w:r>
        <w:rPr>
          <w:rFonts w:ascii="Times New Roman" w:eastAsiaTheme="majorEastAsia" w:hAnsi="Times New Roman" w:cs="Times New Roman"/>
          <w:bCs/>
        </w:rPr>
        <w:t>The recommended dose of NERLYNX</w:t>
      </w:r>
      <w:r w:rsidRPr="00A676D5">
        <w:rPr>
          <w:rFonts w:ascii="Times New Roman" w:eastAsiaTheme="majorEastAsia" w:hAnsi="Times New Roman" w:cs="Times New Roman"/>
          <w:bCs/>
        </w:rPr>
        <w:t xml:space="preserve"> is 240 mg (six </w:t>
      </w:r>
      <w:r w:rsidR="009130F0">
        <w:rPr>
          <w:rFonts w:ascii="Times New Roman" w:eastAsiaTheme="majorEastAsia" w:hAnsi="Times New Roman" w:cs="Times New Roman"/>
          <w:bCs/>
        </w:rPr>
        <w:t xml:space="preserve">x </w:t>
      </w:r>
      <w:r w:rsidRPr="00A676D5">
        <w:rPr>
          <w:rFonts w:ascii="Times New Roman" w:eastAsiaTheme="majorEastAsia" w:hAnsi="Times New Roman" w:cs="Times New Roman"/>
          <w:bCs/>
        </w:rPr>
        <w:t>40 mg tablets) taken orally once daily, continuously for one year</w:t>
      </w:r>
      <w:r>
        <w:rPr>
          <w:rFonts w:ascii="Times New Roman" w:eastAsiaTheme="majorEastAsia" w:hAnsi="Times New Roman" w:cs="Times New Roman"/>
          <w:bCs/>
        </w:rPr>
        <w:t>.</w:t>
      </w:r>
      <w:r w:rsidR="0064429D">
        <w:rPr>
          <w:rFonts w:ascii="Times New Roman" w:eastAsiaTheme="majorEastAsia" w:hAnsi="Times New Roman" w:cs="Times New Roman"/>
          <w:bCs/>
        </w:rPr>
        <w:t xml:space="preserve"> </w:t>
      </w:r>
      <w:r w:rsidR="0064429D" w:rsidRPr="00A676D5">
        <w:rPr>
          <w:rFonts w:ascii="Times New Roman" w:eastAsiaTheme="majorEastAsia" w:hAnsi="Times New Roman" w:cs="Times New Roman"/>
          <w:bCs/>
        </w:rPr>
        <w:t xml:space="preserve">The tablets should be swallowed whole preferably with water and should not be crushed or dissolved, </w:t>
      </w:r>
      <w:r w:rsidR="007B2AF9">
        <w:rPr>
          <w:rFonts w:ascii="Times New Roman" w:eastAsiaTheme="majorEastAsia" w:hAnsi="Times New Roman" w:cs="Times New Roman"/>
          <w:bCs/>
        </w:rPr>
        <w:t xml:space="preserve">and </w:t>
      </w:r>
      <w:r w:rsidR="0064429D">
        <w:rPr>
          <w:rFonts w:ascii="Times New Roman" w:eastAsiaTheme="majorEastAsia" w:hAnsi="Times New Roman" w:cs="Times New Roman"/>
          <w:bCs/>
        </w:rPr>
        <w:t>should be taken with food</w:t>
      </w:r>
      <w:r w:rsidR="00704D72">
        <w:rPr>
          <w:rFonts w:ascii="Times New Roman" w:eastAsiaTheme="majorEastAsia" w:hAnsi="Times New Roman" w:cs="Times New Roman"/>
          <w:bCs/>
        </w:rPr>
        <w:t xml:space="preserve">, </w:t>
      </w:r>
      <w:r w:rsidR="0064429D">
        <w:rPr>
          <w:rFonts w:ascii="Times New Roman" w:eastAsiaTheme="majorEastAsia" w:hAnsi="Times New Roman" w:cs="Times New Roman"/>
          <w:bCs/>
        </w:rPr>
        <w:t>preferably in the morning</w:t>
      </w:r>
      <w:r w:rsidR="007B2AF9">
        <w:rPr>
          <w:rFonts w:ascii="Times New Roman" w:eastAsiaTheme="majorEastAsia" w:hAnsi="Times New Roman" w:cs="Times New Roman"/>
          <w:bCs/>
        </w:rPr>
        <w:t>.</w:t>
      </w:r>
      <w:r w:rsidR="0064429D">
        <w:rPr>
          <w:rFonts w:ascii="Times New Roman" w:eastAsiaTheme="majorEastAsia" w:hAnsi="Times New Roman" w:cs="Times New Roman"/>
          <w:bCs/>
        </w:rPr>
        <w:t xml:space="preserve"> </w:t>
      </w:r>
      <w:r w:rsidR="007B2AF9">
        <w:rPr>
          <w:rFonts w:ascii="Times New Roman" w:eastAsiaTheme="majorEastAsia" w:hAnsi="Times New Roman" w:cs="Times New Roman"/>
          <w:bCs/>
        </w:rPr>
        <w:t xml:space="preserve"> </w:t>
      </w:r>
      <w:r w:rsidRPr="00A676D5">
        <w:rPr>
          <w:rFonts w:ascii="Times New Roman" w:eastAsiaTheme="majorEastAsia" w:hAnsi="Times New Roman" w:cs="Times New Roman"/>
          <w:bCs/>
        </w:rPr>
        <w:t>Patients should initiate treatment within 1 year after completion of trastuzumab therapy.</w:t>
      </w:r>
    </w:p>
    <w:p w14:paraId="5484119B" w14:textId="54453E7A" w:rsidR="00DD45C5" w:rsidRPr="009E03A7" w:rsidRDefault="006B5B05" w:rsidP="009E03A7">
      <w:pPr>
        <w:pStyle w:val="Heading3"/>
      </w:pPr>
      <w:r w:rsidRPr="009E03A7">
        <w:t>Anti-diarrhoeal prophylaxis</w:t>
      </w:r>
    </w:p>
    <w:p w14:paraId="0C440BFB" w14:textId="75298299" w:rsidR="006B5B05" w:rsidRPr="00A676D5" w:rsidRDefault="006B5B05" w:rsidP="00DD45C5">
      <w:pPr>
        <w:pStyle w:val="C-BodyText"/>
        <w:rPr>
          <w:rFonts w:eastAsiaTheme="majorEastAsia"/>
        </w:rPr>
      </w:pPr>
      <w:r w:rsidRPr="00A676D5">
        <w:rPr>
          <w:rFonts w:eastAsiaTheme="majorEastAsia"/>
        </w:rPr>
        <w:t>Anti-diarrhoeal prophylaxis is recommended during the first 2 cycles (56 days) of treatment and should be initiate</w:t>
      </w:r>
      <w:r>
        <w:rPr>
          <w:rFonts w:eastAsiaTheme="majorEastAsia"/>
        </w:rPr>
        <w:t>d with the first dose of NERLYNX</w:t>
      </w:r>
      <w:r w:rsidRPr="00A676D5">
        <w:rPr>
          <w:rFonts w:eastAsiaTheme="majorEastAsia"/>
        </w:rPr>
        <w:t>.</w:t>
      </w:r>
    </w:p>
    <w:p w14:paraId="05E48310" w14:textId="59720154" w:rsidR="006B5B05" w:rsidRPr="00A676D5" w:rsidRDefault="006B5B05" w:rsidP="00DD45C5">
      <w:pPr>
        <w:pStyle w:val="C-BodyText"/>
        <w:rPr>
          <w:rFonts w:eastAsiaTheme="majorEastAsia"/>
          <w:lang w:val="en-AU"/>
        </w:rPr>
      </w:pPr>
      <w:r w:rsidRPr="00A676D5">
        <w:rPr>
          <w:rFonts w:eastAsiaTheme="majorEastAsia"/>
          <w:lang w:val="en-AU"/>
        </w:rPr>
        <w:t>Instruct patients to take l</w:t>
      </w:r>
      <w:r w:rsidR="00CB2CF9">
        <w:rPr>
          <w:rFonts w:eastAsiaTheme="majorEastAsia"/>
          <w:lang w:val="en-AU"/>
        </w:rPr>
        <w:t>operamide as directed in Table 1</w:t>
      </w:r>
      <w:r w:rsidRPr="00A676D5">
        <w:rPr>
          <w:rFonts w:eastAsiaTheme="majorEastAsia"/>
          <w:lang w:val="en-AU"/>
        </w:rPr>
        <w:t>, titrating to 1</w:t>
      </w:r>
      <w:r w:rsidRPr="00A676D5">
        <w:rPr>
          <w:rFonts w:eastAsiaTheme="majorEastAsia"/>
          <w:lang w:val="en-AU"/>
        </w:rPr>
        <w:noBreakHyphen/>
        <w:t>2 bowel movements per day.</w:t>
      </w:r>
    </w:p>
    <w:p w14:paraId="401B30AB" w14:textId="40F1768F" w:rsidR="006B5B05" w:rsidRPr="002F13FA" w:rsidRDefault="00CB2CF9" w:rsidP="00DD45C5">
      <w:pPr>
        <w:pStyle w:val="Caption"/>
      </w:pPr>
      <w:r>
        <w:lastRenderedPageBreak/>
        <w:t>Table 1</w:t>
      </w:r>
      <w:r w:rsidR="006B5B05" w:rsidRPr="002F13FA">
        <w:t>.</w:t>
      </w:r>
      <w:r w:rsidR="006B5B05" w:rsidRPr="002F13FA">
        <w:tab/>
        <w:t>Loperamide Prophylaxis</w:t>
      </w:r>
    </w:p>
    <w:tbl>
      <w:tblPr>
        <w:tblW w:w="913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9"/>
        <w:gridCol w:w="3063"/>
        <w:gridCol w:w="3102"/>
      </w:tblGrid>
      <w:tr w:rsidR="006B5B05" w:rsidRPr="00A676D5" w14:paraId="72AE92C8" w14:textId="77777777" w:rsidTr="006B5B05">
        <w:trPr>
          <w:tblHeader/>
        </w:trPr>
        <w:tc>
          <w:tcPr>
            <w:tcW w:w="2969" w:type="dxa"/>
            <w:shd w:val="clear" w:color="auto" w:fill="auto"/>
          </w:tcPr>
          <w:p w14:paraId="62AB996A" w14:textId="77777777" w:rsidR="006B5B05" w:rsidRPr="002F13FA" w:rsidRDefault="006B5B05" w:rsidP="00DD45C5">
            <w:pPr>
              <w:pStyle w:val="C-TableHeader"/>
              <w:keepLines/>
              <w:rPr>
                <w:rFonts w:eastAsiaTheme="majorEastAsia"/>
                <w:bCs/>
                <w:szCs w:val="22"/>
                <w:lang w:val="en-AU"/>
              </w:rPr>
            </w:pPr>
            <w:r w:rsidRPr="002F13FA">
              <w:rPr>
                <w:rFonts w:eastAsiaTheme="majorEastAsia"/>
                <w:bCs/>
                <w:szCs w:val="22"/>
                <w:lang w:val="en-AU"/>
              </w:rPr>
              <w:t>Time on N</w:t>
            </w:r>
            <w:r>
              <w:rPr>
                <w:rFonts w:eastAsiaTheme="majorEastAsia"/>
                <w:bCs/>
                <w:szCs w:val="22"/>
                <w:lang w:val="en-AU"/>
              </w:rPr>
              <w:t>ERLYNX</w:t>
            </w:r>
          </w:p>
        </w:tc>
        <w:tc>
          <w:tcPr>
            <w:tcW w:w="3063" w:type="dxa"/>
            <w:shd w:val="clear" w:color="auto" w:fill="auto"/>
          </w:tcPr>
          <w:p w14:paraId="6C2952B1" w14:textId="77777777" w:rsidR="006B5B05" w:rsidRPr="002F13FA" w:rsidRDefault="006B5B05" w:rsidP="00DD45C5">
            <w:pPr>
              <w:pStyle w:val="C-TableHeader"/>
              <w:keepLines/>
              <w:rPr>
                <w:rFonts w:eastAsiaTheme="majorEastAsia"/>
                <w:bCs/>
                <w:szCs w:val="22"/>
                <w:lang w:val="en-AU"/>
              </w:rPr>
            </w:pPr>
            <w:r w:rsidRPr="002F13FA">
              <w:rPr>
                <w:rFonts w:eastAsiaTheme="majorEastAsia"/>
                <w:bCs/>
                <w:szCs w:val="22"/>
                <w:lang w:val="en-AU"/>
              </w:rPr>
              <w:t xml:space="preserve">Dose </w:t>
            </w:r>
          </w:p>
        </w:tc>
        <w:tc>
          <w:tcPr>
            <w:tcW w:w="3102" w:type="dxa"/>
            <w:shd w:val="clear" w:color="auto" w:fill="auto"/>
          </w:tcPr>
          <w:p w14:paraId="085652AE" w14:textId="77777777" w:rsidR="006B5B05" w:rsidRPr="002F13FA" w:rsidRDefault="006B5B05" w:rsidP="00DD45C5">
            <w:pPr>
              <w:pStyle w:val="C-TableHeader"/>
              <w:keepLines/>
              <w:rPr>
                <w:rFonts w:eastAsiaTheme="majorEastAsia"/>
                <w:bCs/>
                <w:szCs w:val="22"/>
                <w:lang w:val="en-AU"/>
              </w:rPr>
            </w:pPr>
            <w:r w:rsidRPr="002F13FA">
              <w:rPr>
                <w:rFonts w:eastAsiaTheme="majorEastAsia"/>
                <w:bCs/>
                <w:szCs w:val="22"/>
                <w:lang w:val="en-AU"/>
              </w:rPr>
              <w:t>Frequency</w:t>
            </w:r>
          </w:p>
        </w:tc>
      </w:tr>
      <w:tr w:rsidR="006B5B05" w:rsidRPr="00A676D5" w14:paraId="0133A081" w14:textId="77777777" w:rsidTr="006B5B05">
        <w:tc>
          <w:tcPr>
            <w:tcW w:w="2969" w:type="dxa"/>
            <w:shd w:val="clear" w:color="auto" w:fill="auto"/>
          </w:tcPr>
          <w:p w14:paraId="2E41FDFD" w14:textId="77777777" w:rsidR="006B5B05" w:rsidRPr="00A676D5" w:rsidRDefault="006B5B05" w:rsidP="00DD45C5">
            <w:pPr>
              <w:pStyle w:val="C-TableText"/>
              <w:keepNext/>
              <w:keepLines/>
              <w:rPr>
                <w:rFonts w:eastAsiaTheme="majorEastAsia"/>
                <w:bCs/>
                <w:szCs w:val="22"/>
                <w:lang w:val="en-AU"/>
              </w:rPr>
            </w:pPr>
            <w:r w:rsidRPr="00A676D5">
              <w:rPr>
                <w:rFonts w:eastAsiaTheme="majorEastAsia"/>
                <w:bCs/>
                <w:szCs w:val="22"/>
                <w:lang w:val="en-AU"/>
              </w:rPr>
              <w:t xml:space="preserve">Weeks 1-2 (days 1 </w:t>
            </w:r>
            <w:r w:rsidRPr="00A676D5">
              <w:rPr>
                <w:rFonts w:eastAsiaTheme="majorEastAsia"/>
                <w:bCs/>
                <w:szCs w:val="22"/>
                <w:lang w:val="en-AU"/>
              </w:rPr>
              <w:noBreakHyphen/>
              <w:t xml:space="preserve"> 14)</w:t>
            </w:r>
          </w:p>
        </w:tc>
        <w:tc>
          <w:tcPr>
            <w:tcW w:w="3063" w:type="dxa"/>
            <w:shd w:val="clear" w:color="auto" w:fill="auto"/>
          </w:tcPr>
          <w:p w14:paraId="34B9AC27" w14:textId="77777777" w:rsidR="006B5B05" w:rsidRPr="00A676D5" w:rsidRDefault="006B5B05" w:rsidP="00DD45C5">
            <w:pPr>
              <w:pStyle w:val="C-TableText"/>
              <w:keepNext/>
              <w:keepLines/>
              <w:rPr>
                <w:rFonts w:eastAsiaTheme="majorEastAsia"/>
                <w:bCs/>
                <w:szCs w:val="22"/>
                <w:lang w:val="en-AU"/>
              </w:rPr>
            </w:pPr>
            <w:r w:rsidRPr="00A676D5">
              <w:rPr>
                <w:rFonts w:eastAsiaTheme="majorEastAsia"/>
                <w:bCs/>
                <w:szCs w:val="22"/>
                <w:lang w:val="en-AU"/>
              </w:rPr>
              <w:t xml:space="preserve">4 mg </w:t>
            </w:r>
          </w:p>
        </w:tc>
        <w:tc>
          <w:tcPr>
            <w:tcW w:w="3102" w:type="dxa"/>
            <w:shd w:val="clear" w:color="auto" w:fill="auto"/>
          </w:tcPr>
          <w:p w14:paraId="520E1475" w14:textId="77777777" w:rsidR="006B5B05" w:rsidRPr="00A676D5" w:rsidRDefault="006B5B05" w:rsidP="00DD45C5">
            <w:pPr>
              <w:pStyle w:val="C-TableText"/>
              <w:keepNext/>
              <w:keepLines/>
              <w:rPr>
                <w:rFonts w:eastAsiaTheme="majorEastAsia"/>
                <w:bCs/>
                <w:szCs w:val="22"/>
                <w:lang w:val="en-AU"/>
              </w:rPr>
            </w:pPr>
            <w:r w:rsidRPr="00A676D5">
              <w:rPr>
                <w:rFonts w:eastAsiaTheme="majorEastAsia"/>
                <w:bCs/>
                <w:szCs w:val="22"/>
                <w:lang w:val="en-AU"/>
              </w:rPr>
              <w:t>Three times daily</w:t>
            </w:r>
          </w:p>
        </w:tc>
      </w:tr>
      <w:tr w:rsidR="006B5B05" w:rsidRPr="00A676D5" w14:paraId="172421E9" w14:textId="77777777" w:rsidTr="006B5B05">
        <w:tc>
          <w:tcPr>
            <w:tcW w:w="2969" w:type="dxa"/>
            <w:shd w:val="clear" w:color="auto" w:fill="auto"/>
          </w:tcPr>
          <w:p w14:paraId="34A119BB" w14:textId="77777777" w:rsidR="006B5B05" w:rsidRPr="00A676D5" w:rsidRDefault="006B5B05" w:rsidP="006B5B05">
            <w:pPr>
              <w:pStyle w:val="C-TableText"/>
              <w:rPr>
                <w:rFonts w:eastAsiaTheme="majorEastAsia"/>
                <w:bCs/>
                <w:szCs w:val="22"/>
                <w:lang w:val="en-AU"/>
              </w:rPr>
            </w:pPr>
            <w:r w:rsidRPr="00A676D5">
              <w:rPr>
                <w:rFonts w:eastAsiaTheme="majorEastAsia"/>
                <w:bCs/>
                <w:szCs w:val="22"/>
                <w:lang w:val="en-AU"/>
              </w:rPr>
              <w:t xml:space="preserve">Weeks 3-8 (days 15 </w:t>
            </w:r>
            <w:r w:rsidRPr="00A676D5">
              <w:rPr>
                <w:rFonts w:eastAsiaTheme="majorEastAsia"/>
                <w:bCs/>
                <w:szCs w:val="22"/>
                <w:lang w:val="en-AU"/>
              </w:rPr>
              <w:noBreakHyphen/>
              <w:t xml:space="preserve"> 56)</w:t>
            </w:r>
          </w:p>
        </w:tc>
        <w:tc>
          <w:tcPr>
            <w:tcW w:w="3063" w:type="dxa"/>
            <w:shd w:val="clear" w:color="auto" w:fill="auto"/>
          </w:tcPr>
          <w:p w14:paraId="2364DC80" w14:textId="77777777" w:rsidR="006B5B05" w:rsidRPr="00A676D5" w:rsidRDefault="006B5B05" w:rsidP="006B5B05">
            <w:pPr>
              <w:pStyle w:val="C-TableText"/>
              <w:rPr>
                <w:rFonts w:eastAsiaTheme="majorEastAsia"/>
                <w:bCs/>
                <w:szCs w:val="22"/>
                <w:lang w:val="en-AU"/>
              </w:rPr>
            </w:pPr>
            <w:r w:rsidRPr="00A676D5">
              <w:rPr>
                <w:rFonts w:eastAsiaTheme="majorEastAsia"/>
                <w:bCs/>
                <w:szCs w:val="22"/>
                <w:lang w:val="en-AU"/>
              </w:rPr>
              <w:t>4 mg</w:t>
            </w:r>
          </w:p>
        </w:tc>
        <w:tc>
          <w:tcPr>
            <w:tcW w:w="3102" w:type="dxa"/>
            <w:shd w:val="clear" w:color="auto" w:fill="auto"/>
          </w:tcPr>
          <w:p w14:paraId="6F6BD701" w14:textId="77777777" w:rsidR="006B5B05" w:rsidRPr="00A676D5" w:rsidRDefault="006B5B05" w:rsidP="006B5B05">
            <w:pPr>
              <w:pStyle w:val="C-TableText"/>
              <w:rPr>
                <w:rFonts w:eastAsiaTheme="majorEastAsia"/>
                <w:bCs/>
                <w:szCs w:val="22"/>
                <w:lang w:val="en-AU"/>
              </w:rPr>
            </w:pPr>
            <w:r w:rsidRPr="00A676D5">
              <w:rPr>
                <w:rFonts w:eastAsiaTheme="majorEastAsia"/>
                <w:bCs/>
                <w:szCs w:val="22"/>
                <w:lang w:val="en-AU"/>
              </w:rPr>
              <w:t>Twice daily</w:t>
            </w:r>
          </w:p>
        </w:tc>
      </w:tr>
      <w:tr w:rsidR="006B5B05" w:rsidRPr="00A676D5" w14:paraId="026E33FC" w14:textId="77777777" w:rsidTr="006B5B05">
        <w:tc>
          <w:tcPr>
            <w:tcW w:w="2969" w:type="dxa"/>
            <w:shd w:val="clear" w:color="auto" w:fill="auto"/>
          </w:tcPr>
          <w:p w14:paraId="6035B019" w14:textId="77777777" w:rsidR="006B5B05" w:rsidRPr="00A676D5" w:rsidRDefault="006B5B05" w:rsidP="006B5B05">
            <w:pPr>
              <w:pStyle w:val="C-TableText"/>
              <w:rPr>
                <w:rFonts w:eastAsiaTheme="majorEastAsia"/>
                <w:bCs/>
                <w:szCs w:val="22"/>
                <w:lang w:val="en-AU"/>
              </w:rPr>
            </w:pPr>
            <w:r w:rsidRPr="00A676D5">
              <w:rPr>
                <w:rFonts w:eastAsiaTheme="majorEastAsia"/>
                <w:bCs/>
                <w:szCs w:val="22"/>
                <w:lang w:val="en-AU"/>
              </w:rPr>
              <w:t>Weeks 9-52 (days 57 - 365)</w:t>
            </w:r>
          </w:p>
        </w:tc>
        <w:tc>
          <w:tcPr>
            <w:tcW w:w="3063" w:type="dxa"/>
            <w:shd w:val="clear" w:color="auto" w:fill="auto"/>
          </w:tcPr>
          <w:p w14:paraId="06B1A1BA" w14:textId="77777777" w:rsidR="006B5B05" w:rsidRPr="00A676D5" w:rsidRDefault="006B5B05" w:rsidP="006B5B05">
            <w:pPr>
              <w:pStyle w:val="C-TableText"/>
              <w:rPr>
                <w:rFonts w:eastAsiaTheme="majorEastAsia"/>
                <w:bCs/>
                <w:szCs w:val="22"/>
                <w:lang w:val="en-AU"/>
              </w:rPr>
            </w:pPr>
            <w:r w:rsidRPr="00A676D5">
              <w:rPr>
                <w:rFonts w:eastAsiaTheme="majorEastAsia"/>
                <w:bCs/>
                <w:szCs w:val="22"/>
                <w:lang w:val="en-AU"/>
              </w:rPr>
              <w:t>4 mg</w:t>
            </w:r>
          </w:p>
        </w:tc>
        <w:tc>
          <w:tcPr>
            <w:tcW w:w="3102" w:type="dxa"/>
            <w:shd w:val="clear" w:color="auto" w:fill="auto"/>
          </w:tcPr>
          <w:p w14:paraId="67960C99" w14:textId="77777777" w:rsidR="006B5B05" w:rsidRPr="00A676D5" w:rsidRDefault="006B5B05" w:rsidP="006B5B05">
            <w:pPr>
              <w:pStyle w:val="C-TableText"/>
              <w:rPr>
                <w:rFonts w:eastAsiaTheme="majorEastAsia"/>
                <w:bCs/>
                <w:szCs w:val="22"/>
                <w:lang w:val="en-AU"/>
              </w:rPr>
            </w:pPr>
            <w:r w:rsidRPr="00A676D5">
              <w:rPr>
                <w:rFonts w:eastAsiaTheme="majorEastAsia"/>
                <w:bCs/>
                <w:szCs w:val="22"/>
                <w:lang w:val="en-AU"/>
              </w:rPr>
              <w:t>As needed</w:t>
            </w:r>
          </w:p>
        </w:tc>
      </w:tr>
    </w:tbl>
    <w:p w14:paraId="4AD28282" w14:textId="77777777" w:rsidR="006B5B05" w:rsidRPr="00A676D5" w:rsidRDefault="006B5B05" w:rsidP="00DD45C5">
      <w:pPr>
        <w:pStyle w:val="C-BodyText"/>
        <w:rPr>
          <w:rFonts w:eastAsiaTheme="majorEastAsia"/>
          <w:lang w:val="en-AU"/>
        </w:rPr>
      </w:pPr>
      <w:r w:rsidRPr="00A676D5">
        <w:rPr>
          <w:rFonts w:eastAsiaTheme="majorEastAsia"/>
          <w:lang w:val="en-AU"/>
        </w:rPr>
        <w:t>Additional anti-diarrhoeal agents may be required to manage diarrhoea in patients with loperami</w:t>
      </w:r>
      <w:r>
        <w:rPr>
          <w:rFonts w:eastAsiaTheme="majorEastAsia"/>
          <w:lang w:val="en-AU"/>
        </w:rPr>
        <w:t>de-refractory diarrhoea. NERLYNX</w:t>
      </w:r>
      <w:r w:rsidRPr="00A676D5">
        <w:rPr>
          <w:rFonts w:eastAsiaTheme="majorEastAsia"/>
          <w:lang w:val="en-AU"/>
        </w:rPr>
        <w:t xml:space="preserve"> dose interruptions and dose reductions may also be required to manage diarrhoea.</w:t>
      </w:r>
    </w:p>
    <w:p w14:paraId="6C4C12B6" w14:textId="60881316" w:rsidR="006B5B05" w:rsidRPr="00A676D5" w:rsidRDefault="006B5B05" w:rsidP="00DD45C5">
      <w:pPr>
        <w:pStyle w:val="C-BodyText"/>
        <w:rPr>
          <w:rFonts w:eastAsiaTheme="majorEastAsia"/>
        </w:rPr>
      </w:pPr>
      <w:r w:rsidRPr="00A676D5">
        <w:rPr>
          <w:rFonts w:eastAsiaTheme="majorEastAsia"/>
        </w:rPr>
        <w:t xml:space="preserve">Diarrhoea management requires the correct use of an anti-diarrhoeal medicinal product, dietary changes, and appropriate </w:t>
      </w:r>
      <w:r>
        <w:rPr>
          <w:rFonts w:eastAsiaTheme="majorEastAsia"/>
        </w:rPr>
        <w:t xml:space="preserve">dose modifications of NERLYNX. </w:t>
      </w:r>
      <w:r w:rsidRPr="00A676D5">
        <w:rPr>
          <w:rFonts w:eastAsiaTheme="majorEastAsia"/>
        </w:rPr>
        <w:t>Guideline</w:t>
      </w:r>
      <w:r>
        <w:rPr>
          <w:rFonts w:eastAsiaTheme="majorEastAsia"/>
        </w:rPr>
        <w:t>s for adjusting doses of NERLYNX</w:t>
      </w:r>
      <w:r w:rsidRPr="00A676D5">
        <w:rPr>
          <w:rFonts w:eastAsiaTheme="majorEastAsia"/>
        </w:rPr>
        <w:t xml:space="preserve"> in the setting of diarrhoea are shown in </w:t>
      </w:r>
      <w:r w:rsidR="00CB2CF9">
        <w:rPr>
          <w:rFonts w:eastAsiaTheme="majorEastAsia"/>
        </w:rPr>
        <w:t>Table 2</w:t>
      </w:r>
      <w:r w:rsidRPr="00A676D5">
        <w:rPr>
          <w:rFonts w:eastAsiaTheme="majorEastAsia"/>
        </w:rPr>
        <w:t>.</w:t>
      </w:r>
    </w:p>
    <w:p w14:paraId="11E64E54" w14:textId="3999AF54" w:rsidR="006B5B05" w:rsidRPr="00DD45C5" w:rsidRDefault="00CB2CF9" w:rsidP="00DD45C5">
      <w:pPr>
        <w:pStyle w:val="Caption"/>
      </w:pPr>
      <w:r>
        <w:rPr>
          <w:sz w:val="22"/>
          <w:szCs w:val="22"/>
          <w:lang w:val="en-AU"/>
        </w:rPr>
        <w:t xml:space="preserve">Table </w:t>
      </w:r>
      <w:r w:rsidRPr="00DD45C5">
        <w:t>2</w:t>
      </w:r>
      <w:r w:rsidR="006B5B05" w:rsidRPr="00DD45C5">
        <w:t>:</w:t>
      </w:r>
      <w:r w:rsidR="006B5B05" w:rsidRPr="00DD45C5">
        <w:tab/>
        <w:t>Dose Modifications for Diarrhoea</w:t>
      </w:r>
    </w:p>
    <w:tbl>
      <w:tblPr>
        <w:tblW w:w="5001"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84"/>
        <w:gridCol w:w="4728"/>
      </w:tblGrid>
      <w:tr w:rsidR="006B5B05" w:rsidRPr="00A676D5" w14:paraId="0BF13AA0" w14:textId="77777777" w:rsidTr="006B5B05">
        <w:trPr>
          <w:cantSplit/>
          <w:trHeight w:hRule="exact" w:val="528"/>
          <w:tblHeader/>
        </w:trPr>
        <w:tc>
          <w:tcPr>
            <w:tcW w:w="2377" w:type="pct"/>
            <w:shd w:val="clear" w:color="auto" w:fill="auto"/>
          </w:tcPr>
          <w:p w14:paraId="7F1F9CB9" w14:textId="77777777" w:rsidR="006B5B05" w:rsidRPr="00A4179C" w:rsidRDefault="006B5B05" w:rsidP="006B5B05">
            <w:pPr>
              <w:pStyle w:val="C-TableHeader"/>
              <w:rPr>
                <w:rFonts w:eastAsiaTheme="majorEastAsia"/>
                <w:bCs/>
                <w:szCs w:val="22"/>
                <w:lang w:val="en-AU"/>
              </w:rPr>
            </w:pPr>
            <w:r w:rsidRPr="00A4179C">
              <w:rPr>
                <w:rFonts w:eastAsiaTheme="majorEastAsia"/>
                <w:bCs/>
                <w:szCs w:val="22"/>
                <w:lang w:val="en-AU"/>
              </w:rPr>
              <w:t>Severity of Diarrhoea</w:t>
            </w:r>
            <w:r w:rsidRPr="00966670">
              <w:rPr>
                <w:rFonts w:eastAsiaTheme="majorEastAsia"/>
                <w:bCs/>
                <w:szCs w:val="22"/>
                <w:vertAlign w:val="superscript"/>
                <w:lang w:val="en-AU"/>
              </w:rPr>
              <w:t>*</w:t>
            </w:r>
          </w:p>
        </w:tc>
        <w:tc>
          <w:tcPr>
            <w:tcW w:w="2623" w:type="pct"/>
            <w:shd w:val="clear" w:color="auto" w:fill="auto"/>
          </w:tcPr>
          <w:p w14:paraId="7ACC554C" w14:textId="77777777" w:rsidR="006B5B05" w:rsidRPr="00A4179C" w:rsidRDefault="006B5B05" w:rsidP="006B5B05">
            <w:pPr>
              <w:pStyle w:val="C-TableHeader"/>
              <w:rPr>
                <w:rFonts w:eastAsiaTheme="majorEastAsia"/>
                <w:bCs/>
                <w:szCs w:val="22"/>
                <w:lang w:val="en-AU"/>
              </w:rPr>
            </w:pPr>
            <w:r w:rsidRPr="00A4179C">
              <w:rPr>
                <w:rFonts w:eastAsiaTheme="majorEastAsia"/>
                <w:bCs/>
                <w:szCs w:val="22"/>
                <w:lang w:val="en-AU"/>
              </w:rPr>
              <w:t>Action</w:t>
            </w:r>
          </w:p>
        </w:tc>
      </w:tr>
      <w:tr w:rsidR="006B5B05" w:rsidRPr="00A676D5" w14:paraId="67228D8B" w14:textId="77777777" w:rsidTr="006B5B05">
        <w:trPr>
          <w:cantSplit/>
        </w:trPr>
        <w:tc>
          <w:tcPr>
            <w:tcW w:w="2377" w:type="pct"/>
            <w:shd w:val="clear" w:color="auto" w:fill="auto"/>
          </w:tcPr>
          <w:p w14:paraId="4062C2E6"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Grade 1 diarrhoea [increase of &lt; 4 stools per day over baseline]</w:t>
            </w:r>
          </w:p>
          <w:p w14:paraId="27DBC2EE"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Grade 2 diarrhoea [increase of 4</w:t>
            </w:r>
            <w:r w:rsidRPr="00A676D5">
              <w:rPr>
                <w:rFonts w:eastAsiaTheme="majorEastAsia"/>
                <w:bCs/>
                <w:szCs w:val="22"/>
                <w:lang w:val="en-AU"/>
              </w:rPr>
              <w:noBreakHyphen/>
              <w:t>6 stools per day over baseline] lasting &lt; 5 days</w:t>
            </w:r>
          </w:p>
          <w:p w14:paraId="34D1E1FA"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Grade 3 diarrhoea [increase of ≥ 7 stools per day over baseline; incontinence; hospitalization indicated; limiting self-care activities of daily living] lasting ≤ 2 days</w:t>
            </w:r>
          </w:p>
        </w:tc>
        <w:tc>
          <w:tcPr>
            <w:tcW w:w="2623" w:type="pct"/>
            <w:shd w:val="clear" w:color="auto" w:fill="auto"/>
          </w:tcPr>
          <w:p w14:paraId="72D71287"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Adjust anti-diarrhoeal treatment</w:t>
            </w:r>
          </w:p>
          <w:p w14:paraId="3FEEB5A9"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Diet modifications</w:t>
            </w:r>
          </w:p>
          <w:p w14:paraId="43BBEE89"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Fluid intake of ~2 L should be maintained to avoid dehydration</w:t>
            </w:r>
          </w:p>
          <w:p w14:paraId="1BBAC4F4"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Once event resolves to ≤ Grade 1 or baseline, start loperamide 4 mg with each subsequent N</w:t>
            </w:r>
            <w:r>
              <w:rPr>
                <w:rFonts w:eastAsiaTheme="majorEastAsia"/>
                <w:bCs/>
                <w:szCs w:val="22"/>
                <w:lang w:val="en-AU"/>
              </w:rPr>
              <w:t>ERLYNX</w:t>
            </w:r>
            <w:r w:rsidRPr="00A676D5">
              <w:rPr>
                <w:rFonts w:eastAsiaTheme="majorEastAsia"/>
                <w:bCs/>
                <w:szCs w:val="22"/>
                <w:lang w:val="en-AU"/>
              </w:rPr>
              <w:t xml:space="preserve"> administration. </w:t>
            </w:r>
          </w:p>
        </w:tc>
      </w:tr>
      <w:tr w:rsidR="006B5B05" w:rsidRPr="00A676D5" w14:paraId="70F878E5" w14:textId="77777777" w:rsidTr="006B5B05">
        <w:trPr>
          <w:cantSplit/>
        </w:trPr>
        <w:tc>
          <w:tcPr>
            <w:tcW w:w="2377" w:type="pct"/>
            <w:shd w:val="clear" w:color="auto" w:fill="auto"/>
          </w:tcPr>
          <w:p w14:paraId="339D0396"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Any grade with complicated features</w:t>
            </w:r>
            <w:r w:rsidRPr="00344DE6">
              <w:rPr>
                <w:rFonts w:eastAsiaTheme="majorEastAsia"/>
                <w:bCs/>
                <w:szCs w:val="22"/>
                <w:vertAlign w:val="superscript"/>
                <w:lang w:val="en-AU"/>
              </w:rPr>
              <w:t>†</w:t>
            </w:r>
          </w:p>
          <w:p w14:paraId="299F4F29"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Grade 2 diarrhoea lasting 5 days or longer</w:t>
            </w:r>
            <w:r w:rsidRPr="00344DE6">
              <w:rPr>
                <w:rFonts w:eastAsiaTheme="majorEastAsia"/>
                <w:bCs/>
                <w:szCs w:val="22"/>
                <w:vertAlign w:val="superscript"/>
                <w:lang w:val="en-AU"/>
              </w:rPr>
              <w:t>‡</w:t>
            </w:r>
          </w:p>
          <w:p w14:paraId="5FAC9E2D"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Grade 3 diarrhoea lasting longer than 2 days</w:t>
            </w:r>
            <w:r w:rsidRPr="00A4179C">
              <w:rPr>
                <w:rFonts w:eastAsiaTheme="majorEastAsia"/>
                <w:bCs/>
                <w:szCs w:val="22"/>
                <w:vertAlign w:val="superscript"/>
                <w:lang w:val="en-AU"/>
              </w:rPr>
              <w:t>‡</w:t>
            </w:r>
          </w:p>
        </w:tc>
        <w:tc>
          <w:tcPr>
            <w:tcW w:w="2623" w:type="pct"/>
            <w:shd w:val="clear" w:color="auto" w:fill="auto"/>
          </w:tcPr>
          <w:p w14:paraId="7C3D0CB8" w14:textId="77777777" w:rsidR="006B5B05" w:rsidRPr="00A676D5" w:rsidRDefault="006B5B05" w:rsidP="006B5B05">
            <w:pPr>
              <w:pStyle w:val="C-TableText"/>
              <w:numPr>
                <w:ilvl w:val="0"/>
                <w:numId w:val="18"/>
              </w:numPr>
              <w:ind w:left="318" w:hanging="284"/>
              <w:rPr>
                <w:rFonts w:eastAsiaTheme="majorEastAsia"/>
                <w:bCs/>
                <w:szCs w:val="22"/>
                <w:lang w:val="en-AU"/>
              </w:rPr>
            </w:pPr>
            <w:r>
              <w:rPr>
                <w:rFonts w:eastAsiaTheme="majorEastAsia"/>
                <w:bCs/>
                <w:szCs w:val="22"/>
                <w:lang w:val="en-AU"/>
              </w:rPr>
              <w:t>Interrupt NERLYNX</w:t>
            </w:r>
            <w:r w:rsidRPr="00A676D5">
              <w:rPr>
                <w:rFonts w:eastAsiaTheme="majorEastAsia"/>
                <w:bCs/>
                <w:szCs w:val="22"/>
                <w:lang w:val="en-AU"/>
              </w:rPr>
              <w:t xml:space="preserve"> treatment</w:t>
            </w:r>
          </w:p>
          <w:p w14:paraId="4D1DF005"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Diet modifications</w:t>
            </w:r>
          </w:p>
          <w:p w14:paraId="108DCF5A"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Fluid intake of ~2 L should be maintained to avoid dehydration</w:t>
            </w:r>
          </w:p>
          <w:p w14:paraId="2B5879E0"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If diarrhoea resolves to Grade 0-1 in one w</w:t>
            </w:r>
            <w:r>
              <w:rPr>
                <w:rFonts w:eastAsiaTheme="majorEastAsia"/>
                <w:bCs/>
                <w:szCs w:val="22"/>
                <w:lang w:val="en-AU"/>
              </w:rPr>
              <w:t>eek or less, then resume NERLYNX</w:t>
            </w:r>
            <w:r w:rsidRPr="00A676D5">
              <w:rPr>
                <w:rFonts w:eastAsiaTheme="majorEastAsia"/>
                <w:bCs/>
                <w:szCs w:val="22"/>
                <w:lang w:val="en-AU"/>
              </w:rPr>
              <w:t xml:space="preserve"> treatment at the same dose. </w:t>
            </w:r>
          </w:p>
          <w:p w14:paraId="7C485978"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If diarrhoea resolves to Grade 0</w:t>
            </w:r>
            <w:r w:rsidRPr="00A676D5">
              <w:rPr>
                <w:rFonts w:eastAsiaTheme="majorEastAsia"/>
                <w:bCs/>
                <w:szCs w:val="22"/>
                <w:lang w:val="en-AU"/>
              </w:rPr>
              <w:noBreakHyphen/>
              <w:t>1 in longer th</w:t>
            </w:r>
            <w:r>
              <w:rPr>
                <w:rFonts w:eastAsiaTheme="majorEastAsia"/>
                <w:bCs/>
                <w:szCs w:val="22"/>
                <w:lang w:val="en-AU"/>
              </w:rPr>
              <w:t>an one week, then resume NERLYNX</w:t>
            </w:r>
            <w:r w:rsidRPr="00A676D5">
              <w:rPr>
                <w:rFonts w:eastAsiaTheme="majorEastAsia"/>
                <w:bCs/>
                <w:szCs w:val="22"/>
                <w:lang w:val="en-AU"/>
              </w:rPr>
              <w:t xml:space="preserve"> treatment at reduced dose (see Table 1).</w:t>
            </w:r>
          </w:p>
          <w:p w14:paraId="7E9D3B4A"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Once event resolves to ≤ Grade 1 or baseline, start loperamide 4</w:t>
            </w:r>
            <w:r>
              <w:rPr>
                <w:rFonts w:eastAsiaTheme="majorEastAsia"/>
                <w:bCs/>
                <w:szCs w:val="22"/>
                <w:lang w:val="en-AU"/>
              </w:rPr>
              <w:t xml:space="preserve"> mg with each subsequent NERLYNX</w:t>
            </w:r>
            <w:r w:rsidRPr="00A676D5">
              <w:rPr>
                <w:rFonts w:eastAsiaTheme="majorEastAsia"/>
                <w:bCs/>
                <w:szCs w:val="22"/>
                <w:lang w:val="en-AU"/>
              </w:rPr>
              <w:t xml:space="preserve"> administration.</w:t>
            </w:r>
          </w:p>
        </w:tc>
      </w:tr>
      <w:tr w:rsidR="006B5B05" w:rsidRPr="00A676D5" w14:paraId="69BD301A" w14:textId="77777777" w:rsidTr="006B5B05">
        <w:trPr>
          <w:cantSplit/>
        </w:trPr>
        <w:tc>
          <w:tcPr>
            <w:tcW w:w="2377" w:type="pct"/>
            <w:shd w:val="clear" w:color="auto" w:fill="auto"/>
          </w:tcPr>
          <w:p w14:paraId="0742E281"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Grade 4 diarrhoea [life-threatening consequences; urgent intervention indicated]</w:t>
            </w:r>
          </w:p>
        </w:tc>
        <w:tc>
          <w:tcPr>
            <w:tcW w:w="2623" w:type="pct"/>
            <w:shd w:val="clear" w:color="auto" w:fill="auto"/>
          </w:tcPr>
          <w:p w14:paraId="2BF82556" w14:textId="77777777" w:rsidR="006B5B05" w:rsidRPr="00A676D5" w:rsidRDefault="006B5B05" w:rsidP="006B5B05">
            <w:pPr>
              <w:pStyle w:val="C-TableText"/>
              <w:numPr>
                <w:ilvl w:val="0"/>
                <w:numId w:val="18"/>
              </w:numPr>
              <w:ind w:left="318" w:hanging="284"/>
              <w:rPr>
                <w:rFonts w:eastAsiaTheme="majorEastAsia"/>
                <w:bCs/>
                <w:szCs w:val="22"/>
                <w:lang w:val="en-AU"/>
              </w:rPr>
            </w:pPr>
            <w:r>
              <w:rPr>
                <w:rFonts w:eastAsiaTheme="majorEastAsia"/>
                <w:bCs/>
                <w:szCs w:val="22"/>
                <w:lang w:val="en-AU"/>
              </w:rPr>
              <w:t>Permanently discontinue NERLYNX</w:t>
            </w:r>
            <w:r w:rsidRPr="00A676D5">
              <w:rPr>
                <w:rFonts w:eastAsiaTheme="majorEastAsia"/>
                <w:bCs/>
                <w:szCs w:val="22"/>
                <w:lang w:val="en-AU"/>
              </w:rPr>
              <w:t xml:space="preserve"> treatment</w:t>
            </w:r>
          </w:p>
        </w:tc>
      </w:tr>
      <w:tr w:rsidR="006B5B05" w:rsidRPr="00A676D5" w14:paraId="033AFF7D" w14:textId="77777777" w:rsidTr="006B5B05">
        <w:trPr>
          <w:cantSplit/>
        </w:trPr>
        <w:tc>
          <w:tcPr>
            <w:tcW w:w="2377" w:type="pct"/>
            <w:tcBorders>
              <w:bottom w:val="single" w:sz="6" w:space="0" w:color="auto"/>
            </w:tcBorders>
            <w:shd w:val="clear" w:color="auto" w:fill="auto"/>
          </w:tcPr>
          <w:p w14:paraId="19EB49D0" w14:textId="77777777" w:rsidR="006B5B05" w:rsidRPr="00A676D5" w:rsidRDefault="006B5B05" w:rsidP="006B5B05">
            <w:pPr>
              <w:pStyle w:val="C-TableText"/>
              <w:numPr>
                <w:ilvl w:val="0"/>
                <w:numId w:val="18"/>
              </w:numPr>
              <w:ind w:left="318" w:hanging="284"/>
              <w:rPr>
                <w:rFonts w:eastAsiaTheme="majorEastAsia"/>
                <w:bCs/>
                <w:szCs w:val="22"/>
                <w:lang w:val="en-AU"/>
              </w:rPr>
            </w:pPr>
            <w:r w:rsidRPr="00A676D5">
              <w:rPr>
                <w:rFonts w:eastAsiaTheme="majorEastAsia"/>
                <w:bCs/>
                <w:szCs w:val="22"/>
                <w:lang w:val="en-AU"/>
              </w:rPr>
              <w:t>Diarrhoea recurs to Grade 2 or higher at 120 mg per day</w:t>
            </w:r>
          </w:p>
        </w:tc>
        <w:tc>
          <w:tcPr>
            <w:tcW w:w="2623" w:type="pct"/>
            <w:tcBorders>
              <w:bottom w:val="single" w:sz="6" w:space="0" w:color="auto"/>
            </w:tcBorders>
            <w:shd w:val="clear" w:color="auto" w:fill="auto"/>
          </w:tcPr>
          <w:p w14:paraId="727B6768" w14:textId="77777777" w:rsidR="006B5B05" w:rsidRPr="00A676D5" w:rsidRDefault="006B5B05" w:rsidP="006B5B05">
            <w:pPr>
              <w:pStyle w:val="C-TableText"/>
              <w:numPr>
                <w:ilvl w:val="0"/>
                <w:numId w:val="18"/>
              </w:numPr>
              <w:ind w:left="318" w:hanging="284"/>
              <w:rPr>
                <w:rFonts w:eastAsiaTheme="majorEastAsia"/>
                <w:bCs/>
                <w:szCs w:val="22"/>
                <w:lang w:val="en-AU"/>
              </w:rPr>
            </w:pPr>
            <w:r>
              <w:rPr>
                <w:rFonts w:eastAsiaTheme="majorEastAsia"/>
                <w:bCs/>
                <w:szCs w:val="22"/>
                <w:lang w:val="en-AU"/>
              </w:rPr>
              <w:t>Permanently discontinue NERLYNX</w:t>
            </w:r>
            <w:r w:rsidRPr="00A676D5">
              <w:rPr>
                <w:rFonts w:eastAsiaTheme="majorEastAsia"/>
                <w:bCs/>
                <w:szCs w:val="22"/>
                <w:lang w:val="en-AU"/>
              </w:rPr>
              <w:t xml:space="preserve"> treatment</w:t>
            </w:r>
          </w:p>
        </w:tc>
      </w:tr>
    </w:tbl>
    <w:p w14:paraId="096817E2" w14:textId="77777777" w:rsidR="006B5B05" w:rsidRPr="00344DE6" w:rsidRDefault="006B5B05" w:rsidP="006B5B05">
      <w:pPr>
        <w:pStyle w:val="C-Footnote"/>
        <w:rPr>
          <w:rFonts w:eastAsiaTheme="majorEastAsia" w:cs="Times New Roman"/>
          <w:bCs/>
          <w:szCs w:val="22"/>
          <w:lang w:val="en-AU"/>
        </w:rPr>
      </w:pPr>
      <w:r>
        <w:rPr>
          <w:rFonts w:eastAsiaTheme="majorEastAsia" w:cs="Times New Roman"/>
          <w:bCs/>
          <w:szCs w:val="22"/>
          <w:lang w:val="en-AU"/>
        </w:rPr>
        <w:t xml:space="preserve">*  </w:t>
      </w:r>
      <w:r w:rsidRPr="00344DE6">
        <w:rPr>
          <w:rFonts w:eastAsiaTheme="majorEastAsia" w:cs="Times New Roman"/>
          <w:bCs/>
          <w:szCs w:val="22"/>
          <w:lang w:val="en-AU"/>
        </w:rPr>
        <w:t>Per CTCAE v4.0</w:t>
      </w:r>
    </w:p>
    <w:p w14:paraId="7968F8CA" w14:textId="77777777" w:rsidR="006B5B05" w:rsidRPr="00344DE6" w:rsidRDefault="006B5B05" w:rsidP="006B5B05">
      <w:pPr>
        <w:pStyle w:val="C-Footnote"/>
        <w:rPr>
          <w:rFonts w:eastAsiaTheme="majorEastAsia" w:cs="Times New Roman"/>
          <w:bCs/>
          <w:szCs w:val="22"/>
          <w:lang w:val="en-AU"/>
        </w:rPr>
      </w:pPr>
      <w:r>
        <w:rPr>
          <w:rFonts w:eastAsiaTheme="majorEastAsia" w:cs="Times New Roman"/>
          <w:bCs/>
          <w:szCs w:val="22"/>
          <w:lang w:val="en-AU"/>
        </w:rPr>
        <w:lastRenderedPageBreak/>
        <w:t xml:space="preserve">†  </w:t>
      </w:r>
      <w:r w:rsidRPr="00344DE6">
        <w:rPr>
          <w:rFonts w:eastAsiaTheme="majorEastAsia" w:cs="Times New Roman"/>
          <w:bCs/>
          <w:szCs w:val="22"/>
          <w:lang w:val="en-AU"/>
        </w:rPr>
        <w:t>Complicated features include dehydration, fever, hypotension, renal failure, or Grade 3 or 4 neutropenia</w:t>
      </w:r>
    </w:p>
    <w:p w14:paraId="4B1D5D5A" w14:textId="77777777" w:rsidR="006B5B05" w:rsidRPr="00344DE6" w:rsidRDefault="006B5B05" w:rsidP="006B5B05">
      <w:pPr>
        <w:pStyle w:val="C-Footnote"/>
        <w:rPr>
          <w:rFonts w:eastAsiaTheme="majorEastAsia" w:cs="Times New Roman"/>
          <w:bCs/>
          <w:szCs w:val="22"/>
          <w:lang w:val="en-AU"/>
        </w:rPr>
      </w:pPr>
      <w:r>
        <w:rPr>
          <w:rFonts w:eastAsiaTheme="majorEastAsia" w:cs="Times New Roman"/>
          <w:bCs/>
          <w:szCs w:val="22"/>
          <w:lang w:val="en-AU"/>
        </w:rPr>
        <w:t xml:space="preserve">‡  </w:t>
      </w:r>
      <w:r w:rsidRPr="00344DE6">
        <w:rPr>
          <w:rFonts w:eastAsiaTheme="majorEastAsia" w:cs="Times New Roman"/>
          <w:bCs/>
          <w:szCs w:val="22"/>
          <w:lang w:val="en-AU"/>
        </w:rPr>
        <w:t>Despite being treated with optimal medical therapy</w:t>
      </w:r>
    </w:p>
    <w:p w14:paraId="7180B182" w14:textId="77777777" w:rsidR="00A676D5" w:rsidRPr="00A676D5" w:rsidRDefault="00A676D5" w:rsidP="009E03A7">
      <w:pPr>
        <w:pStyle w:val="Heading3"/>
      </w:pPr>
      <w:r w:rsidRPr="00A676D5">
        <w:t>Dose Modifications for Adverse Reactions</w:t>
      </w:r>
    </w:p>
    <w:p w14:paraId="7126BCF6" w14:textId="6612C4B4" w:rsidR="00A676D5" w:rsidRPr="00A676D5" w:rsidRDefault="00A676D5" w:rsidP="00DD45C5">
      <w:pPr>
        <w:pStyle w:val="C-BodyText"/>
        <w:rPr>
          <w:rFonts w:eastAsiaTheme="majorEastAsia"/>
          <w:lang w:val="en-AU"/>
        </w:rPr>
      </w:pPr>
      <w:r>
        <w:rPr>
          <w:rFonts w:eastAsiaTheme="majorEastAsia"/>
          <w:lang w:val="en-AU"/>
        </w:rPr>
        <w:t>NERLYNX</w:t>
      </w:r>
      <w:r w:rsidRPr="00A676D5">
        <w:rPr>
          <w:rFonts w:eastAsiaTheme="majorEastAsia"/>
          <w:lang w:val="en-AU"/>
        </w:rPr>
        <w:t xml:space="preserve"> dose modification is recommended based on indi</w:t>
      </w:r>
      <w:r w:rsidR="00966670">
        <w:rPr>
          <w:rFonts w:eastAsiaTheme="majorEastAsia"/>
          <w:lang w:val="en-AU"/>
        </w:rPr>
        <w:t xml:space="preserve">vidual safety and tolerability. </w:t>
      </w:r>
      <w:r w:rsidRPr="00A676D5">
        <w:rPr>
          <w:rFonts w:eastAsiaTheme="majorEastAsia"/>
          <w:lang w:val="en-AU"/>
        </w:rPr>
        <w:t xml:space="preserve">Management of some adverse reactions may require dose interruption and/or dose reduction as shown in Table </w:t>
      </w:r>
      <w:r w:rsidR="008266BC">
        <w:rPr>
          <w:rFonts w:eastAsiaTheme="majorEastAsia"/>
          <w:lang w:val="en-AU"/>
        </w:rPr>
        <w:t>2</w:t>
      </w:r>
      <w:r w:rsidRPr="00A676D5">
        <w:rPr>
          <w:rFonts w:eastAsiaTheme="majorEastAsia"/>
          <w:lang w:val="en-AU"/>
        </w:rPr>
        <w:t xml:space="preserve">, Table </w:t>
      </w:r>
      <w:r w:rsidR="00D27214">
        <w:rPr>
          <w:rFonts w:eastAsiaTheme="majorEastAsia"/>
          <w:lang w:val="en-AU"/>
        </w:rPr>
        <w:t>3</w:t>
      </w:r>
      <w:r w:rsidRPr="00A676D5">
        <w:rPr>
          <w:rFonts w:eastAsiaTheme="majorEastAsia"/>
          <w:lang w:val="en-AU"/>
        </w:rPr>
        <w:t>, Table 4, and Table 5.</w:t>
      </w:r>
    </w:p>
    <w:p w14:paraId="174397CA" w14:textId="4FE9564B" w:rsidR="00A676D5" w:rsidRPr="00A676D5" w:rsidRDefault="00966670" w:rsidP="00DD45C5">
      <w:pPr>
        <w:pStyle w:val="C-BodyText"/>
        <w:rPr>
          <w:rFonts w:eastAsiaTheme="majorEastAsia"/>
          <w:lang w:val="en-AU"/>
        </w:rPr>
      </w:pPr>
      <w:r>
        <w:rPr>
          <w:rFonts w:eastAsiaTheme="majorEastAsia"/>
          <w:lang w:val="en-AU"/>
        </w:rPr>
        <w:t>Discontinue NERLYNX</w:t>
      </w:r>
      <w:r w:rsidR="00A676D5" w:rsidRPr="00A676D5">
        <w:rPr>
          <w:rFonts w:eastAsiaTheme="majorEastAsia"/>
          <w:lang w:val="en-AU"/>
        </w:rPr>
        <w:t xml:space="preserve"> for patients who:</w:t>
      </w:r>
    </w:p>
    <w:p w14:paraId="1722DA74" w14:textId="77777777" w:rsidR="00A676D5" w:rsidRPr="00A676D5" w:rsidRDefault="00A676D5" w:rsidP="00966670">
      <w:pPr>
        <w:pStyle w:val="C-BodyText"/>
        <w:numPr>
          <w:ilvl w:val="0"/>
          <w:numId w:val="16"/>
        </w:numPr>
        <w:spacing w:before="0" w:after="0" w:line="240" w:lineRule="auto"/>
        <w:ind w:left="426" w:firstLine="0"/>
        <w:rPr>
          <w:rFonts w:eastAsiaTheme="majorEastAsia"/>
          <w:bCs/>
          <w:szCs w:val="22"/>
          <w:lang w:val="en-AU"/>
        </w:rPr>
      </w:pPr>
      <w:r w:rsidRPr="00A676D5">
        <w:rPr>
          <w:rFonts w:eastAsiaTheme="majorEastAsia"/>
          <w:bCs/>
          <w:szCs w:val="22"/>
          <w:lang w:val="en-AU"/>
        </w:rPr>
        <w:t>Fail to recover to Grade 0 to 1 from treatment-related toxicity,</w:t>
      </w:r>
    </w:p>
    <w:p w14:paraId="2F236537" w14:textId="77777777" w:rsidR="00A676D5" w:rsidRPr="00A676D5" w:rsidRDefault="00A676D5" w:rsidP="00966670">
      <w:pPr>
        <w:pStyle w:val="C-BodyText"/>
        <w:numPr>
          <w:ilvl w:val="0"/>
          <w:numId w:val="16"/>
        </w:numPr>
        <w:spacing w:before="0" w:after="0" w:line="240" w:lineRule="auto"/>
        <w:ind w:left="426" w:firstLine="0"/>
        <w:rPr>
          <w:rFonts w:eastAsiaTheme="majorEastAsia"/>
          <w:bCs/>
          <w:szCs w:val="22"/>
          <w:lang w:val="en-AU"/>
        </w:rPr>
      </w:pPr>
      <w:r w:rsidRPr="00A676D5">
        <w:rPr>
          <w:rFonts w:eastAsiaTheme="majorEastAsia"/>
          <w:bCs/>
          <w:szCs w:val="22"/>
          <w:lang w:val="en-AU"/>
        </w:rPr>
        <w:t xml:space="preserve">For toxicities that result in a treatment delay &gt; 3 weeks, or </w:t>
      </w:r>
    </w:p>
    <w:p w14:paraId="7BEEB6FC" w14:textId="77777777" w:rsidR="00A676D5" w:rsidRPr="00A676D5" w:rsidRDefault="00A676D5" w:rsidP="00966670">
      <w:pPr>
        <w:pStyle w:val="C-BodyText"/>
        <w:numPr>
          <w:ilvl w:val="0"/>
          <w:numId w:val="16"/>
        </w:numPr>
        <w:spacing w:before="0" w:after="0" w:line="240" w:lineRule="auto"/>
        <w:ind w:left="426" w:firstLine="0"/>
        <w:rPr>
          <w:rFonts w:eastAsiaTheme="majorEastAsia"/>
          <w:bCs/>
          <w:szCs w:val="22"/>
          <w:lang w:val="en-AU"/>
        </w:rPr>
      </w:pPr>
      <w:r w:rsidRPr="00A676D5">
        <w:rPr>
          <w:rFonts w:eastAsiaTheme="majorEastAsia"/>
          <w:bCs/>
          <w:szCs w:val="22"/>
          <w:lang w:val="en-AU"/>
        </w:rPr>
        <w:t xml:space="preserve">For patients that are unable to tolerate 120 mg daily </w:t>
      </w:r>
    </w:p>
    <w:p w14:paraId="57CAD1C7" w14:textId="77777777" w:rsidR="00A676D5" w:rsidRPr="00A676D5" w:rsidRDefault="00A676D5" w:rsidP="00DD45C5">
      <w:pPr>
        <w:pStyle w:val="C-BodyText"/>
        <w:rPr>
          <w:rFonts w:eastAsiaTheme="majorEastAsia"/>
          <w:lang w:val="en-AU"/>
        </w:rPr>
      </w:pPr>
      <w:r w:rsidRPr="00A676D5">
        <w:rPr>
          <w:rFonts w:eastAsiaTheme="majorEastAsia"/>
          <w:lang w:val="en-AU"/>
        </w:rPr>
        <w:t>Additional clinical situations may result in dose adjustments as clinically indicated (e.g. intolerable toxicities, persistent Grade 2 adverse reactions, etc.).</w:t>
      </w:r>
    </w:p>
    <w:p w14:paraId="6ACA8652" w14:textId="791110AB" w:rsidR="00A676D5" w:rsidRPr="002F13FA" w:rsidRDefault="00A676D5" w:rsidP="00DD45C5">
      <w:pPr>
        <w:pStyle w:val="Caption"/>
      </w:pPr>
      <w:bookmarkStart w:id="1" w:name="_Ref485131000"/>
      <w:r w:rsidRPr="002F13FA">
        <w:t>Table</w:t>
      </w:r>
      <w:bookmarkEnd w:id="1"/>
      <w:r w:rsidR="002F13FA">
        <w:t xml:space="preserve"> </w:t>
      </w:r>
      <w:r w:rsidR="00D27214">
        <w:t>3</w:t>
      </w:r>
      <w:r w:rsidR="002F13FA">
        <w:t>:</w:t>
      </w:r>
      <w:r w:rsidR="002F13FA">
        <w:tab/>
        <w:t>NERLYNX</w:t>
      </w:r>
      <w:r w:rsidRPr="002F13FA">
        <w:t xml:space="preserve"> Dose Modifications for Adverse Reactions</w:t>
      </w:r>
    </w:p>
    <w:tbl>
      <w:tblPr>
        <w:tblW w:w="494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509"/>
      </w:tblGrid>
      <w:tr w:rsidR="00A676D5" w:rsidRPr="00A676D5" w14:paraId="714F7C7B" w14:textId="77777777" w:rsidTr="00966670">
        <w:tc>
          <w:tcPr>
            <w:tcW w:w="2470" w:type="pct"/>
            <w:shd w:val="clear" w:color="auto" w:fill="auto"/>
          </w:tcPr>
          <w:p w14:paraId="091E9FFF" w14:textId="77777777" w:rsidR="00A676D5" w:rsidRPr="002F13FA" w:rsidRDefault="00A676D5" w:rsidP="002F13FA">
            <w:pPr>
              <w:pStyle w:val="C-TableHeader"/>
              <w:ind w:left="34"/>
              <w:rPr>
                <w:rFonts w:eastAsiaTheme="majorEastAsia"/>
                <w:bCs/>
                <w:szCs w:val="22"/>
                <w:lang w:val="en-AU"/>
              </w:rPr>
            </w:pPr>
            <w:r w:rsidRPr="002F13FA">
              <w:rPr>
                <w:rFonts w:eastAsiaTheme="majorEastAsia"/>
                <w:bCs/>
                <w:szCs w:val="22"/>
                <w:lang w:val="en-AU"/>
              </w:rPr>
              <w:t xml:space="preserve">Dose Level </w:t>
            </w:r>
          </w:p>
        </w:tc>
        <w:tc>
          <w:tcPr>
            <w:tcW w:w="2530" w:type="pct"/>
            <w:shd w:val="clear" w:color="auto" w:fill="auto"/>
          </w:tcPr>
          <w:p w14:paraId="76ECB101" w14:textId="78414C44" w:rsidR="00A676D5" w:rsidRPr="002F13FA" w:rsidRDefault="002F13FA" w:rsidP="002F13FA">
            <w:pPr>
              <w:pStyle w:val="C-TableHeader"/>
              <w:ind w:left="34"/>
              <w:rPr>
                <w:rFonts w:eastAsiaTheme="majorEastAsia"/>
                <w:bCs/>
                <w:szCs w:val="22"/>
                <w:lang w:val="en-AU"/>
              </w:rPr>
            </w:pPr>
            <w:r>
              <w:rPr>
                <w:rFonts w:eastAsiaTheme="majorEastAsia"/>
                <w:bCs/>
                <w:szCs w:val="22"/>
                <w:lang w:val="en-AU"/>
              </w:rPr>
              <w:t>NERLYNX</w:t>
            </w:r>
            <w:r w:rsidR="00A676D5" w:rsidRPr="002F13FA">
              <w:rPr>
                <w:rFonts w:eastAsiaTheme="majorEastAsia"/>
                <w:bCs/>
                <w:szCs w:val="22"/>
                <w:lang w:val="en-AU"/>
              </w:rPr>
              <w:t xml:space="preserve"> Dose </w:t>
            </w:r>
          </w:p>
        </w:tc>
      </w:tr>
      <w:tr w:rsidR="00A676D5" w:rsidRPr="00A676D5" w14:paraId="108FC137" w14:textId="77777777" w:rsidTr="00966670">
        <w:tc>
          <w:tcPr>
            <w:tcW w:w="2470" w:type="pct"/>
            <w:shd w:val="clear" w:color="auto" w:fill="auto"/>
          </w:tcPr>
          <w:p w14:paraId="1167641C" w14:textId="77777777" w:rsidR="00A676D5" w:rsidRPr="00A676D5" w:rsidRDefault="00A676D5" w:rsidP="002F13FA">
            <w:pPr>
              <w:pStyle w:val="C-TableText"/>
              <w:ind w:left="34"/>
              <w:rPr>
                <w:rFonts w:eastAsiaTheme="majorEastAsia"/>
                <w:bCs/>
                <w:szCs w:val="22"/>
                <w:lang w:val="en-AU"/>
              </w:rPr>
            </w:pPr>
            <w:r w:rsidRPr="00A676D5">
              <w:rPr>
                <w:rFonts w:eastAsiaTheme="majorEastAsia"/>
                <w:bCs/>
                <w:szCs w:val="22"/>
                <w:lang w:val="en-AU"/>
              </w:rPr>
              <w:t>Recommended starting dose</w:t>
            </w:r>
          </w:p>
        </w:tc>
        <w:tc>
          <w:tcPr>
            <w:tcW w:w="2530" w:type="pct"/>
            <w:shd w:val="clear" w:color="auto" w:fill="auto"/>
          </w:tcPr>
          <w:p w14:paraId="46784F87" w14:textId="77777777" w:rsidR="00A676D5" w:rsidRPr="00A676D5" w:rsidRDefault="00A676D5" w:rsidP="002F13FA">
            <w:pPr>
              <w:pStyle w:val="C-TableText"/>
              <w:ind w:left="34"/>
              <w:rPr>
                <w:rFonts w:eastAsiaTheme="majorEastAsia"/>
                <w:bCs/>
                <w:szCs w:val="22"/>
                <w:lang w:val="en-AU"/>
              </w:rPr>
            </w:pPr>
            <w:r w:rsidRPr="00A676D5">
              <w:rPr>
                <w:rFonts w:eastAsiaTheme="majorEastAsia"/>
                <w:bCs/>
                <w:szCs w:val="22"/>
                <w:lang w:val="en-AU"/>
              </w:rPr>
              <w:t>240 mg daily</w:t>
            </w:r>
          </w:p>
        </w:tc>
      </w:tr>
      <w:tr w:rsidR="00A676D5" w:rsidRPr="00A676D5" w14:paraId="2EE2D0F8" w14:textId="77777777" w:rsidTr="00966670">
        <w:tc>
          <w:tcPr>
            <w:tcW w:w="2470" w:type="pct"/>
            <w:shd w:val="clear" w:color="auto" w:fill="auto"/>
          </w:tcPr>
          <w:p w14:paraId="75F42648" w14:textId="77777777" w:rsidR="00A676D5" w:rsidRPr="00A676D5" w:rsidRDefault="00A676D5" w:rsidP="002F13FA">
            <w:pPr>
              <w:pStyle w:val="C-TableText"/>
              <w:ind w:left="34"/>
              <w:rPr>
                <w:rFonts w:eastAsiaTheme="majorEastAsia"/>
                <w:bCs/>
                <w:szCs w:val="22"/>
                <w:lang w:val="en-AU"/>
              </w:rPr>
            </w:pPr>
            <w:r w:rsidRPr="00A676D5">
              <w:rPr>
                <w:rFonts w:eastAsiaTheme="majorEastAsia"/>
                <w:bCs/>
                <w:szCs w:val="22"/>
                <w:lang w:val="en-AU"/>
              </w:rPr>
              <w:t>First dose reduction</w:t>
            </w:r>
          </w:p>
        </w:tc>
        <w:tc>
          <w:tcPr>
            <w:tcW w:w="2530" w:type="pct"/>
            <w:shd w:val="clear" w:color="auto" w:fill="auto"/>
          </w:tcPr>
          <w:p w14:paraId="326D870D" w14:textId="77777777" w:rsidR="00A676D5" w:rsidRPr="00A676D5" w:rsidRDefault="00A676D5" w:rsidP="002F13FA">
            <w:pPr>
              <w:pStyle w:val="C-TableText"/>
              <w:ind w:left="34"/>
              <w:rPr>
                <w:rFonts w:eastAsiaTheme="majorEastAsia"/>
                <w:bCs/>
                <w:szCs w:val="22"/>
                <w:lang w:val="en-AU"/>
              </w:rPr>
            </w:pPr>
            <w:r w:rsidRPr="00A676D5">
              <w:rPr>
                <w:rFonts w:eastAsiaTheme="majorEastAsia"/>
                <w:bCs/>
                <w:szCs w:val="22"/>
                <w:lang w:val="en-AU"/>
              </w:rPr>
              <w:t>200 mg daily</w:t>
            </w:r>
          </w:p>
        </w:tc>
      </w:tr>
      <w:tr w:rsidR="00A676D5" w:rsidRPr="00A676D5" w14:paraId="42785F92" w14:textId="77777777" w:rsidTr="00966670">
        <w:tc>
          <w:tcPr>
            <w:tcW w:w="2470" w:type="pct"/>
            <w:shd w:val="clear" w:color="auto" w:fill="auto"/>
          </w:tcPr>
          <w:p w14:paraId="4E778C5D" w14:textId="77777777" w:rsidR="00A676D5" w:rsidRPr="00A676D5" w:rsidRDefault="00A676D5" w:rsidP="002F13FA">
            <w:pPr>
              <w:pStyle w:val="C-TableText"/>
              <w:ind w:left="34"/>
              <w:rPr>
                <w:rFonts w:eastAsiaTheme="majorEastAsia"/>
                <w:bCs/>
                <w:szCs w:val="22"/>
                <w:lang w:val="en-AU"/>
              </w:rPr>
            </w:pPr>
            <w:r w:rsidRPr="00A676D5">
              <w:rPr>
                <w:rFonts w:eastAsiaTheme="majorEastAsia"/>
                <w:bCs/>
                <w:szCs w:val="22"/>
                <w:lang w:val="en-AU"/>
              </w:rPr>
              <w:t>Second dose reduction</w:t>
            </w:r>
          </w:p>
        </w:tc>
        <w:tc>
          <w:tcPr>
            <w:tcW w:w="2530" w:type="pct"/>
            <w:shd w:val="clear" w:color="auto" w:fill="auto"/>
          </w:tcPr>
          <w:p w14:paraId="5B50B68E" w14:textId="77777777" w:rsidR="00A676D5" w:rsidRPr="00A676D5" w:rsidRDefault="00A676D5" w:rsidP="002F13FA">
            <w:pPr>
              <w:pStyle w:val="C-TableText"/>
              <w:ind w:left="34"/>
              <w:rPr>
                <w:rFonts w:eastAsiaTheme="majorEastAsia"/>
                <w:bCs/>
                <w:szCs w:val="22"/>
                <w:lang w:val="en-AU"/>
              </w:rPr>
            </w:pPr>
            <w:r w:rsidRPr="00A676D5">
              <w:rPr>
                <w:rFonts w:eastAsiaTheme="majorEastAsia"/>
                <w:bCs/>
                <w:szCs w:val="22"/>
                <w:lang w:val="en-AU"/>
              </w:rPr>
              <w:t>160 mg daily</w:t>
            </w:r>
          </w:p>
        </w:tc>
      </w:tr>
      <w:tr w:rsidR="00A676D5" w:rsidRPr="00A676D5" w14:paraId="7DCD07B6" w14:textId="77777777" w:rsidTr="00966670">
        <w:tc>
          <w:tcPr>
            <w:tcW w:w="2470" w:type="pct"/>
            <w:shd w:val="clear" w:color="auto" w:fill="auto"/>
          </w:tcPr>
          <w:p w14:paraId="1EF732CB" w14:textId="77777777" w:rsidR="00A676D5" w:rsidRPr="00A676D5" w:rsidRDefault="00A676D5" w:rsidP="002F13FA">
            <w:pPr>
              <w:pStyle w:val="C-TableText"/>
              <w:ind w:left="34"/>
              <w:rPr>
                <w:rFonts w:eastAsiaTheme="majorEastAsia"/>
                <w:bCs/>
                <w:szCs w:val="22"/>
                <w:lang w:val="en-AU"/>
              </w:rPr>
            </w:pPr>
            <w:r w:rsidRPr="00A676D5">
              <w:rPr>
                <w:rFonts w:eastAsiaTheme="majorEastAsia"/>
                <w:bCs/>
                <w:szCs w:val="22"/>
                <w:lang w:val="en-AU"/>
              </w:rPr>
              <w:t>Third dose reduction</w:t>
            </w:r>
          </w:p>
        </w:tc>
        <w:tc>
          <w:tcPr>
            <w:tcW w:w="2530" w:type="pct"/>
            <w:shd w:val="clear" w:color="auto" w:fill="auto"/>
          </w:tcPr>
          <w:p w14:paraId="0C64458E" w14:textId="77777777" w:rsidR="00A676D5" w:rsidRPr="00A676D5" w:rsidRDefault="00A676D5" w:rsidP="002F13FA">
            <w:pPr>
              <w:pStyle w:val="C-TableText"/>
              <w:ind w:left="34"/>
              <w:rPr>
                <w:rFonts w:eastAsiaTheme="majorEastAsia"/>
                <w:bCs/>
                <w:szCs w:val="22"/>
                <w:lang w:val="en-AU"/>
              </w:rPr>
            </w:pPr>
            <w:r w:rsidRPr="00A676D5">
              <w:rPr>
                <w:rFonts w:eastAsiaTheme="majorEastAsia"/>
                <w:bCs/>
                <w:szCs w:val="22"/>
                <w:lang w:val="en-AU"/>
              </w:rPr>
              <w:t>120 mg daily</w:t>
            </w:r>
          </w:p>
        </w:tc>
      </w:tr>
    </w:tbl>
    <w:p w14:paraId="51B6D7C7" w14:textId="1EB963D0" w:rsidR="00A676D5" w:rsidRPr="002F13FA" w:rsidRDefault="002F13FA" w:rsidP="00DD45C5">
      <w:pPr>
        <w:pStyle w:val="Caption"/>
      </w:pPr>
      <w:r>
        <w:t xml:space="preserve">Table </w:t>
      </w:r>
      <w:r w:rsidR="00D27214">
        <w:t>4</w:t>
      </w:r>
      <w:r>
        <w:t>:</w:t>
      </w:r>
      <w:r>
        <w:tab/>
        <w:t>NERLYNX</w:t>
      </w:r>
      <w:r w:rsidR="00A676D5" w:rsidRPr="002F13FA">
        <w:t xml:space="preserve"> Dose Modifications and Management – General Toxicities</w:t>
      </w:r>
      <w:r w:rsidR="00A676D5" w:rsidRPr="00966670">
        <w:rPr>
          <w:vertAlign w:val="superscript"/>
        </w:rPr>
        <w:t>*</w:t>
      </w:r>
    </w:p>
    <w:tbl>
      <w:tblPr>
        <w:tblW w:w="494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421"/>
      </w:tblGrid>
      <w:tr w:rsidR="00A676D5" w:rsidRPr="00A676D5" w14:paraId="30458CB9" w14:textId="77777777" w:rsidTr="00966670">
        <w:tc>
          <w:tcPr>
            <w:tcW w:w="1397" w:type="pct"/>
            <w:shd w:val="clear" w:color="auto" w:fill="auto"/>
          </w:tcPr>
          <w:p w14:paraId="5E24CC5B" w14:textId="77777777" w:rsidR="00A676D5" w:rsidRPr="002F13FA" w:rsidRDefault="00A676D5" w:rsidP="002F13FA">
            <w:pPr>
              <w:pStyle w:val="C-TableHeader"/>
              <w:ind w:left="34"/>
              <w:rPr>
                <w:rFonts w:eastAsiaTheme="majorEastAsia"/>
                <w:bCs/>
                <w:szCs w:val="22"/>
                <w:lang w:val="en-AU"/>
              </w:rPr>
            </w:pPr>
            <w:r w:rsidRPr="002F13FA">
              <w:rPr>
                <w:rFonts w:eastAsiaTheme="majorEastAsia"/>
                <w:bCs/>
                <w:szCs w:val="22"/>
                <w:lang w:val="en-AU"/>
              </w:rPr>
              <w:t>Severity of Toxicity</w:t>
            </w:r>
            <w:r w:rsidRPr="002F13FA">
              <w:rPr>
                <w:rFonts w:eastAsiaTheme="majorEastAsia"/>
                <w:bCs/>
                <w:szCs w:val="22"/>
                <w:vertAlign w:val="superscript"/>
                <w:lang w:val="en-AU"/>
              </w:rPr>
              <w:t>†</w:t>
            </w:r>
          </w:p>
        </w:tc>
        <w:tc>
          <w:tcPr>
            <w:tcW w:w="3603" w:type="pct"/>
            <w:shd w:val="clear" w:color="auto" w:fill="auto"/>
          </w:tcPr>
          <w:p w14:paraId="44C0B752" w14:textId="77777777" w:rsidR="00A676D5" w:rsidRPr="002F13FA" w:rsidRDefault="00A676D5" w:rsidP="002F13FA">
            <w:pPr>
              <w:pStyle w:val="C-TableHeader"/>
              <w:ind w:left="34"/>
              <w:rPr>
                <w:rFonts w:eastAsiaTheme="majorEastAsia"/>
                <w:bCs/>
                <w:szCs w:val="22"/>
                <w:lang w:val="en-AU"/>
              </w:rPr>
            </w:pPr>
            <w:r w:rsidRPr="002F13FA">
              <w:rPr>
                <w:rFonts w:eastAsiaTheme="majorEastAsia"/>
                <w:bCs/>
                <w:szCs w:val="22"/>
                <w:lang w:val="en-AU"/>
              </w:rPr>
              <w:t>Action</w:t>
            </w:r>
          </w:p>
        </w:tc>
      </w:tr>
      <w:tr w:rsidR="00A676D5" w:rsidRPr="00A676D5" w14:paraId="61EB3C6E" w14:textId="77777777" w:rsidTr="00966670">
        <w:tc>
          <w:tcPr>
            <w:tcW w:w="1397" w:type="pct"/>
            <w:shd w:val="clear" w:color="auto" w:fill="auto"/>
          </w:tcPr>
          <w:p w14:paraId="77345711" w14:textId="77777777" w:rsidR="00A676D5" w:rsidRPr="00A676D5" w:rsidRDefault="00A676D5" w:rsidP="002F13FA">
            <w:pPr>
              <w:pStyle w:val="C-TableText"/>
              <w:ind w:left="34"/>
              <w:rPr>
                <w:rFonts w:eastAsiaTheme="majorEastAsia"/>
                <w:bCs/>
                <w:szCs w:val="22"/>
                <w:lang w:val="en-AU"/>
              </w:rPr>
            </w:pPr>
            <w:r w:rsidRPr="00A676D5">
              <w:rPr>
                <w:rFonts w:eastAsiaTheme="majorEastAsia"/>
                <w:bCs/>
                <w:szCs w:val="22"/>
                <w:lang w:val="en-AU"/>
              </w:rPr>
              <w:t xml:space="preserve">Grade 3 </w:t>
            </w:r>
          </w:p>
        </w:tc>
        <w:tc>
          <w:tcPr>
            <w:tcW w:w="3603" w:type="pct"/>
            <w:shd w:val="clear" w:color="auto" w:fill="auto"/>
          </w:tcPr>
          <w:p w14:paraId="2DFD1A6B" w14:textId="19B9BEE2" w:rsidR="00A676D5" w:rsidRPr="00A676D5" w:rsidRDefault="002F13FA" w:rsidP="002F13FA">
            <w:pPr>
              <w:pStyle w:val="C-TableText"/>
              <w:ind w:left="34"/>
              <w:rPr>
                <w:rFonts w:eastAsiaTheme="majorEastAsia"/>
                <w:bCs/>
                <w:szCs w:val="22"/>
                <w:lang w:val="en-AU"/>
              </w:rPr>
            </w:pPr>
            <w:r>
              <w:rPr>
                <w:rFonts w:eastAsiaTheme="majorEastAsia"/>
                <w:bCs/>
                <w:szCs w:val="22"/>
                <w:lang w:val="en-AU"/>
              </w:rPr>
              <w:t>Stop NERLYNX</w:t>
            </w:r>
            <w:r w:rsidR="00A676D5" w:rsidRPr="00A676D5">
              <w:rPr>
                <w:rFonts w:eastAsiaTheme="majorEastAsia"/>
                <w:bCs/>
                <w:szCs w:val="22"/>
                <w:lang w:val="en-AU"/>
              </w:rPr>
              <w:t xml:space="preserve"> until recovery to Grade ≤1 or baseline within 3 weeks of stoppin</w:t>
            </w:r>
            <w:r>
              <w:rPr>
                <w:rFonts w:eastAsiaTheme="majorEastAsia"/>
                <w:bCs/>
                <w:szCs w:val="22"/>
                <w:lang w:val="en-AU"/>
              </w:rPr>
              <w:t>g treatment. Then resume NERLYNX</w:t>
            </w:r>
            <w:r w:rsidR="00A676D5" w:rsidRPr="00A676D5">
              <w:rPr>
                <w:rFonts w:eastAsiaTheme="majorEastAsia"/>
                <w:bCs/>
                <w:szCs w:val="22"/>
                <w:lang w:val="en-AU"/>
              </w:rPr>
              <w:t xml:space="preserve"> at the next lower dose level. </w:t>
            </w:r>
          </w:p>
        </w:tc>
      </w:tr>
      <w:tr w:rsidR="00A676D5" w:rsidRPr="00A676D5" w14:paraId="47609175" w14:textId="77777777" w:rsidTr="00966670">
        <w:tc>
          <w:tcPr>
            <w:tcW w:w="1397" w:type="pct"/>
            <w:shd w:val="clear" w:color="auto" w:fill="auto"/>
          </w:tcPr>
          <w:p w14:paraId="187A45B1" w14:textId="77777777" w:rsidR="00A676D5" w:rsidRPr="00A676D5" w:rsidRDefault="00A676D5" w:rsidP="002F13FA">
            <w:pPr>
              <w:pStyle w:val="C-TableText"/>
              <w:ind w:left="34"/>
              <w:rPr>
                <w:rFonts w:eastAsiaTheme="majorEastAsia"/>
                <w:bCs/>
                <w:szCs w:val="22"/>
                <w:lang w:val="en-AU"/>
              </w:rPr>
            </w:pPr>
            <w:r w:rsidRPr="00A676D5">
              <w:rPr>
                <w:rFonts w:eastAsiaTheme="majorEastAsia"/>
                <w:bCs/>
                <w:szCs w:val="22"/>
                <w:lang w:val="en-AU"/>
              </w:rPr>
              <w:t>Grade 4</w:t>
            </w:r>
          </w:p>
        </w:tc>
        <w:tc>
          <w:tcPr>
            <w:tcW w:w="3603" w:type="pct"/>
            <w:shd w:val="clear" w:color="auto" w:fill="auto"/>
          </w:tcPr>
          <w:p w14:paraId="25D06933" w14:textId="7C5F0709" w:rsidR="00A676D5" w:rsidRPr="00A676D5" w:rsidRDefault="002F13FA" w:rsidP="002F13FA">
            <w:pPr>
              <w:pStyle w:val="C-TableText"/>
              <w:ind w:left="34"/>
              <w:rPr>
                <w:rFonts w:eastAsiaTheme="majorEastAsia"/>
                <w:bCs/>
                <w:szCs w:val="22"/>
                <w:lang w:val="en-AU"/>
              </w:rPr>
            </w:pPr>
            <w:r>
              <w:rPr>
                <w:rFonts w:eastAsiaTheme="majorEastAsia"/>
                <w:bCs/>
                <w:szCs w:val="22"/>
                <w:lang w:val="en-AU"/>
              </w:rPr>
              <w:t>Discontinue NERLYNX</w:t>
            </w:r>
            <w:r w:rsidR="00A676D5" w:rsidRPr="00A676D5">
              <w:rPr>
                <w:rFonts w:eastAsiaTheme="majorEastAsia"/>
                <w:bCs/>
                <w:szCs w:val="22"/>
                <w:lang w:val="en-AU"/>
              </w:rPr>
              <w:t xml:space="preserve"> permanently.</w:t>
            </w:r>
          </w:p>
        </w:tc>
      </w:tr>
    </w:tbl>
    <w:p w14:paraId="5EB91DBA" w14:textId="4DE38239" w:rsidR="00A676D5" w:rsidRPr="00966670" w:rsidRDefault="00BE6765" w:rsidP="00966670">
      <w:pPr>
        <w:pStyle w:val="C-Footnote"/>
        <w:tabs>
          <w:tab w:val="clear" w:pos="144"/>
          <w:tab w:val="left" w:pos="-3686"/>
        </w:tabs>
        <w:rPr>
          <w:rFonts w:eastAsiaTheme="majorEastAsia" w:cs="Times New Roman"/>
          <w:bCs/>
          <w:szCs w:val="22"/>
          <w:lang w:val="en-AU"/>
        </w:rPr>
      </w:pPr>
      <w:r w:rsidRPr="00966670">
        <w:rPr>
          <w:rFonts w:eastAsiaTheme="majorEastAsia" w:cs="Times New Roman"/>
          <w:bCs/>
          <w:szCs w:val="22"/>
          <w:lang w:val="en-AU"/>
        </w:rPr>
        <w:t xml:space="preserve">*  </w:t>
      </w:r>
      <w:r w:rsidR="00A676D5" w:rsidRPr="00966670">
        <w:rPr>
          <w:rFonts w:eastAsiaTheme="majorEastAsia" w:cs="Times New Roman"/>
          <w:bCs/>
          <w:szCs w:val="22"/>
          <w:lang w:val="en-AU"/>
        </w:rPr>
        <w:t>Refer to Table 4 and Table 5 below for management of diarrhoea and hepatotoxicity</w:t>
      </w:r>
    </w:p>
    <w:p w14:paraId="7EB65BCE" w14:textId="3B1DD53F" w:rsidR="00A676D5" w:rsidRPr="00966670" w:rsidRDefault="00BE6765" w:rsidP="00966670">
      <w:pPr>
        <w:pStyle w:val="C-Footnote"/>
        <w:tabs>
          <w:tab w:val="clear" w:pos="144"/>
          <w:tab w:val="left" w:pos="-3686"/>
        </w:tabs>
        <w:rPr>
          <w:rFonts w:eastAsiaTheme="majorEastAsia" w:cs="Times New Roman"/>
          <w:bCs/>
          <w:szCs w:val="22"/>
          <w:lang w:val="en-AU"/>
        </w:rPr>
      </w:pPr>
      <w:r w:rsidRPr="00966670">
        <w:rPr>
          <w:rFonts w:eastAsiaTheme="majorEastAsia" w:cs="Times New Roman"/>
          <w:bCs/>
          <w:szCs w:val="22"/>
          <w:lang w:val="en-AU"/>
        </w:rPr>
        <w:t xml:space="preserve">†  </w:t>
      </w:r>
      <w:r w:rsidR="00A676D5" w:rsidRPr="00966670">
        <w:rPr>
          <w:rFonts w:eastAsiaTheme="majorEastAsia" w:cs="Times New Roman"/>
          <w:bCs/>
          <w:szCs w:val="22"/>
          <w:lang w:val="en-AU"/>
        </w:rPr>
        <w:t>Per CTCAE v4.0</w:t>
      </w:r>
    </w:p>
    <w:p w14:paraId="22AB6BC5" w14:textId="77777777" w:rsidR="00A676D5" w:rsidRPr="00DD45C5" w:rsidRDefault="00A676D5" w:rsidP="009E03A7">
      <w:pPr>
        <w:pStyle w:val="Heading3"/>
      </w:pPr>
      <w:bookmarkStart w:id="2" w:name="_Table_1:_Modifications"/>
      <w:bookmarkEnd w:id="2"/>
      <w:r w:rsidRPr="00DD45C5">
        <w:t>Missed dose</w:t>
      </w:r>
    </w:p>
    <w:p w14:paraId="255223A8" w14:textId="7DB63761" w:rsidR="00A676D5" w:rsidRPr="00A676D5" w:rsidRDefault="00A676D5" w:rsidP="00DD45C5">
      <w:pPr>
        <w:pStyle w:val="C-BodyText"/>
        <w:rPr>
          <w:rFonts w:eastAsiaTheme="majorEastAsia"/>
        </w:rPr>
      </w:pPr>
      <w:r w:rsidRPr="00A676D5">
        <w:rPr>
          <w:rFonts w:eastAsiaTheme="majorEastAsia"/>
        </w:rPr>
        <w:t xml:space="preserve">Missed doses should not be replaced and treatment should resume with the </w:t>
      </w:r>
      <w:r w:rsidR="005C3F31">
        <w:rPr>
          <w:rFonts w:eastAsiaTheme="majorEastAsia"/>
        </w:rPr>
        <w:t>next scheduled daily dose</w:t>
      </w:r>
      <w:r w:rsidR="009326D2">
        <w:rPr>
          <w:rFonts w:eastAsiaTheme="majorEastAsia"/>
        </w:rPr>
        <w:t>.</w:t>
      </w:r>
    </w:p>
    <w:p w14:paraId="3B138F45" w14:textId="0CFDD218" w:rsidR="00E771EB" w:rsidRPr="009E03A7" w:rsidRDefault="00E771EB" w:rsidP="009E03A7">
      <w:pPr>
        <w:pStyle w:val="Heading3"/>
      </w:pPr>
      <w:r w:rsidRPr="009E03A7">
        <w:t>Use o</w:t>
      </w:r>
      <w:r w:rsidR="009E03A7">
        <w:t>f Gastric Acid- Reducing Agents</w:t>
      </w:r>
    </w:p>
    <w:p w14:paraId="5717C60F" w14:textId="3ABBC0E8" w:rsidR="00E771EB" w:rsidRDefault="00E771EB" w:rsidP="00E771EB">
      <w:pPr>
        <w:pStyle w:val="BodyText"/>
        <w:ind w:right="384"/>
        <w:rPr>
          <w:rFonts w:eastAsiaTheme="majorEastAsia"/>
          <w:bCs/>
          <w:i/>
          <w:iCs/>
        </w:rPr>
      </w:pPr>
      <w:r w:rsidRPr="00E771EB">
        <w:rPr>
          <w:rFonts w:eastAsiaTheme="majorEastAsia"/>
          <w:bCs/>
          <w:iCs/>
        </w:rPr>
        <w:t>Proton pump inhibitors (PPI):</w:t>
      </w:r>
      <w:r w:rsidRPr="00E771EB">
        <w:rPr>
          <w:rFonts w:eastAsiaTheme="majorEastAsia"/>
          <w:bCs/>
          <w:i/>
          <w:iCs/>
        </w:rPr>
        <w:t xml:space="preserve"> </w:t>
      </w:r>
      <w:r w:rsidRPr="00E771EB">
        <w:rPr>
          <w:rFonts w:eastAsiaTheme="majorEastAsia"/>
          <w:bCs/>
        </w:rPr>
        <w:t>Avoi</w:t>
      </w:r>
      <w:r>
        <w:rPr>
          <w:rFonts w:eastAsiaTheme="majorEastAsia"/>
          <w:bCs/>
        </w:rPr>
        <w:t>d concomitant use with NERLYNX (</w:t>
      </w:r>
      <w:r w:rsidRPr="00E771EB">
        <w:rPr>
          <w:rFonts w:eastAsiaTheme="majorEastAsia"/>
          <w:bCs/>
          <w:i/>
          <w:iCs/>
        </w:rPr>
        <w:t xml:space="preserve">see </w:t>
      </w:r>
      <w:r w:rsidRPr="00E771EB">
        <w:rPr>
          <w:rFonts w:eastAsiaTheme="majorEastAsia"/>
          <w:b/>
          <w:bCs/>
          <w:i/>
          <w:iCs/>
        </w:rPr>
        <w:t>Section 4.5 Interactions with other medicines and other forms of interactions</w:t>
      </w:r>
      <w:r>
        <w:rPr>
          <w:rFonts w:eastAsiaTheme="majorEastAsia"/>
          <w:bCs/>
        </w:rPr>
        <w:t>)</w:t>
      </w:r>
      <w:r w:rsidR="009E03A7">
        <w:rPr>
          <w:rFonts w:eastAsiaTheme="majorEastAsia"/>
          <w:bCs/>
        </w:rPr>
        <w:t>.</w:t>
      </w:r>
    </w:p>
    <w:p w14:paraId="46161EAA" w14:textId="1FE8BD64" w:rsidR="00E771EB" w:rsidRDefault="00E771EB" w:rsidP="009E03A7">
      <w:pPr>
        <w:pStyle w:val="BodyText"/>
        <w:ind w:right="384"/>
        <w:rPr>
          <w:rFonts w:eastAsiaTheme="majorEastAsia"/>
          <w:bCs/>
          <w:i/>
          <w:iCs/>
          <w:lang w:val="en-AU"/>
        </w:rPr>
      </w:pPr>
      <w:r w:rsidRPr="00E771EB">
        <w:rPr>
          <w:rFonts w:eastAsiaTheme="majorEastAsia"/>
          <w:bCs/>
          <w:iCs/>
        </w:rPr>
        <w:t>H</w:t>
      </w:r>
      <w:r w:rsidRPr="003B55B5">
        <w:rPr>
          <w:rFonts w:eastAsiaTheme="majorEastAsia"/>
        </w:rPr>
        <w:t>2</w:t>
      </w:r>
      <w:r w:rsidRPr="00E771EB">
        <w:rPr>
          <w:rFonts w:eastAsiaTheme="majorEastAsia"/>
          <w:bCs/>
          <w:iCs/>
        </w:rPr>
        <w:t>-receptor antagonists:</w:t>
      </w:r>
      <w:r w:rsidR="008F7D6A">
        <w:rPr>
          <w:rFonts w:eastAsiaTheme="majorEastAsia"/>
          <w:bCs/>
          <w:iCs/>
        </w:rPr>
        <w:t xml:space="preserve"> </w:t>
      </w:r>
      <w:r w:rsidR="008F7D6A" w:rsidRPr="008F7D6A">
        <w:rPr>
          <w:rFonts w:eastAsiaTheme="majorEastAsia"/>
          <w:bCs/>
          <w:iCs/>
          <w:lang w:val="en-AU"/>
        </w:rPr>
        <w:t>NERLYNX must be taken at least 2 hours before the next dose of the H</w:t>
      </w:r>
      <w:r w:rsidR="008F7D6A" w:rsidRPr="003B55B5">
        <w:rPr>
          <w:rFonts w:eastAsiaTheme="majorEastAsia"/>
          <w:lang w:val="en-AU"/>
        </w:rPr>
        <w:t>2</w:t>
      </w:r>
      <w:r w:rsidR="008F7D6A" w:rsidRPr="008F7D6A">
        <w:rPr>
          <w:rFonts w:eastAsiaTheme="majorEastAsia"/>
          <w:bCs/>
          <w:iCs/>
          <w:lang w:val="en-AU"/>
        </w:rPr>
        <w:t>-receptor antagonist or 10 hours after the H</w:t>
      </w:r>
      <w:r w:rsidR="008F7D6A" w:rsidRPr="003B55B5">
        <w:rPr>
          <w:rFonts w:eastAsiaTheme="majorEastAsia"/>
          <w:lang w:val="en-AU"/>
        </w:rPr>
        <w:t>2</w:t>
      </w:r>
      <w:r w:rsidR="008F7D6A">
        <w:rPr>
          <w:rFonts w:eastAsiaTheme="majorEastAsia"/>
          <w:bCs/>
          <w:iCs/>
          <w:lang w:val="en-AU"/>
        </w:rPr>
        <w:t>-receptor antagonist</w:t>
      </w:r>
      <w:r w:rsidRPr="00E771EB">
        <w:rPr>
          <w:rFonts w:eastAsiaTheme="majorEastAsia"/>
          <w:bCs/>
          <w:i/>
          <w:iCs/>
        </w:rPr>
        <w:t xml:space="preserve"> </w:t>
      </w:r>
      <w:r>
        <w:rPr>
          <w:rFonts w:eastAsiaTheme="majorEastAsia"/>
          <w:bCs/>
        </w:rPr>
        <w:t>(</w:t>
      </w:r>
      <w:r w:rsidRPr="00E771EB">
        <w:rPr>
          <w:rFonts w:eastAsiaTheme="majorEastAsia"/>
          <w:bCs/>
          <w:i/>
          <w:iCs/>
        </w:rPr>
        <w:t xml:space="preserve">see </w:t>
      </w:r>
      <w:r w:rsidRPr="00E771EB">
        <w:rPr>
          <w:rFonts w:eastAsiaTheme="majorEastAsia"/>
          <w:b/>
          <w:bCs/>
          <w:i/>
          <w:iCs/>
        </w:rPr>
        <w:t>Section 4.5 Interactions with other medicines and other forms of interactions</w:t>
      </w:r>
      <w:r>
        <w:rPr>
          <w:rFonts w:eastAsiaTheme="majorEastAsia"/>
          <w:bCs/>
        </w:rPr>
        <w:t>)</w:t>
      </w:r>
      <w:r w:rsidR="009E03A7">
        <w:rPr>
          <w:rFonts w:eastAsiaTheme="majorEastAsia"/>
          <w:bCs/>
        </w:rPr>
        <w:t>.</w:t>
      </w:r>
    </w:p>
    <w:p w14:paraId="220B0D17" w14:textId="7D91A299" w:rsidR="00E771EB" w:rsidRDefault="00E771EB" w:rsidP="00E771EB">
      <w:pPr>
        <w:pStyle w:val="BodyText"/>
        <w:ind w:left="0" w:right="384"/>
        <w:rPr>
          <w:rFonts w:eastAsiaTheme="majorEastAsia"/>
          <w:bCs/>
          <w:lang w:val="en-AU"/>
        </w:rPr>
      </w:pPr>
      <w:r w:rsidRPr="00E771EB">
        <w:rPr>
          <w:rFonts w:eastAsiaTheme="majorEastAsia"/>
          <w:bCs/>
          <w:iCs/>
          <w:lang w:val="en-AU"/>
        </w:rPr>
        <w:t>Antacids</w:t>
      </w:r>
      <w:r w:rsidRPr="00E771EB">
        <w:rPr>
          <w:rFonts w:eastAsiaTheme="majorEastAsia"/>
          <w:bCs/>
          <w:i/>
          <w:iCs/>
          <w:lang w:val="en-AU"/>
        </w:rPr>
        <w:t xml:space="preserve">: </w:t>
      </w:r>
      <w:r w:rsidRPr="00E771EB">
        <w:rPr>
          <w:rFonts w:eastAsiaTheme="majorEastAsia"/>
          <w:bCs/>
          <w:lang w:val="en-AU"/>
        </w:rPr>
        <w:t xml:space="preserve">Separate dosing of NERLYNX and antacids by 3 hours after antacids </w:t>
      </w:r>
      <w:r>
        <w:rPr>
          <w:rFonts w:eastAsiaTheme="majorEastAsia"/>
          <w:bCs/>
          <w:lang w:val="en-AU"/>
        </w:rPr>
        <w:t>(</w:t>
      </w:r>
      <w:r w:rsidRPr="00E771EB">
        <w:rPr>
          <w:rFonts w:eastAsiaTheme="majorEastAsia"/>
          <w:bCs/>
          <w:i/>
          <w:iCs/>
        </w:rPr>
        <w:t xml:space="preserve">see </w:t>
      </w:r>
      <w:r w:rsidRPr="00E771EB">
        <w:rPr>
          <w:rFonts w:eastAsiaTheme="majorEastAsia"/>
          <w:b/>
          <w:bCs/>
          <w:i/>
          <w:iCs/>
        </w:rPr>
        <w:t>Section 4.5 Interactions with other medicines and other forms of interactions</w:t>
      </w:r>
      <w:r>
        <w:rPr>
          <w:rFonts w:eastAsiaTheme="majorEastAsia"/>
          <w:b/>
          <w:bCs/>
          <w:i/>
          <w:iCs/>
        </w:rPr>
        <w:t>)</w:t>
      </w:r>
      <w:r w:rsidRPr="00E771EB">
        <w:rPr>
          <w:rFonts w:eastAsiaTheme="majorEastAsia"/>
          <w:bCs/>
          <w:lang w:val="en-AU"/>
        </w:rPr>
        <w:t>.</w:t>
      </w:r>
    </w:p>
    <w:p w14:paraId="2AE0A991" w14:textId="77777777" w:rsidR="00A676D5" w:rsidRPr="002F22E5" w:rsidRDefault="00A676D5" w:rsidP="009E03A7">
      <w:pPr>
        <w:pStyle w:val="Heading3"/>
      </w:pPr>
      <w:r w:rsidRPr="002F22E5">
        <w:lastRenderedPageBreak/>
        <w:t>Use of CYP3A4 inhibitors</w:t>
      </w:r>
    </w:p>
    <w:p w14:paraId="07D5DB3F" w14:textId="6117307F" w:rsidR="00A676D5" w:rsidRPr="00A676D5" w:rsidRDefault="00A676D5" w:rsidP="00344DE6">
      <w:pPr>
        <w:pStyle w:val="C-BodyText"/>
        <w:spacing w:before="0" w:after="0" w:line="240" w:lineRule="auto"/>
        <w:rPr>
          <w:rFonts w:eastAsiaTheme="majorEastAsia"/>
          <w:bCs/>
          <w:szCs w:val="22"/>
          <w:lang w:val="en-AU"/>
        </w:rPr>
      </w:pPr>
      <w:r w:rsidRPr="00A676D5">
        <w:rPr>
          <w:rFonts w:eastAsiaTheme="majorEastAsia"/>
          <w:bCs/>
          <w:szCs w:val="22"/>
          <w:lang w:val="en-AU"/>
        </w:rPr>
        <w:t>If the inhibitor c</w:t>
      </w:r>
      <w:r w:rsidR="002D213E">
        <w:rPr>
          <w:rFonts w:eastAsiaTheme="majorEastAsia"/>
          <w:bCs/>
          <w:szCs w:val="22"/>
          <w:lang w:val="en-AU"/>
        </w:rPr>
        <w:t>annot be avoided, reduce NERLYNX</w:t>
      </w:r>
      <w:r w:rsidRPr="00A676D5">
        <w:rPr>
          <w:rFonts w:eastAsiaTheme="majorEastAsia"/>
          <w:bCs/>
          <w:szCs w:val="22"/>
          <w:lang w:val="en-AU"/>
        </w:rPr>
        <w:t xml:space="preserve"> dose to 40 mg (one 40 mg tablet) taken once daily with a strong CYP3A4 inhibitor or 200 mg (five 40 mg tablets) taken once daily with a moderate CYP3A4 inhibitor. After discontinuation of a strong or moderate CYP3A4 inhibitor,</w:t>
      </w:r>
      <w:r w:rsidR="002D213E">
        <w:rPr>
          <w:rFonts w:eastAsiaTheme="majorEastAsia"/>
          <w:bCs/>
          <w:szCs w:val="22"/>
          <w:lang w:val="en-AU"/>
        </w:rPr>
        <w:t xml:space="preserve"> resume previous dose of NERLYNX</w:t>
      </w:r>
      <w:r w:rsidR="005C3F31">
        <w:rPr>
          <w:rFonts w:eastAsiaTheme="majorEastAsia"/>
          <w:bCs/>
          <w:szCs w:val="22"/>
          <w:lang w:val="en-AU"/>
        </w:rPr>
        <w:t xml:space="preserve"> 240 mg (see </w:t>
      </w:r>
      <w:r w:rsidR="005C3F31" w:rsidRPr="005C3F31">
        <w:rPr>
          <w:rFonts w:eastAsiaTheme="majorEastAsia"/>
          <w:b/>
          <w:bCs/>
          <w:i/>
          <w:szCs w:val="22"/>
          <w:lang w:val="en-AU"/>
        </w:rPr>
        <w:t>Section</w:t>
      </w:r>
      <w:r w:rsidRPr="005C3F31">
        <w:rPr>
          <w:rFonts w:eastAsiaTheme="majorEastAsia"/>
          <w:b/>
          <w:bCs/>
          <w:i/>
          <w:szCs w:val="22"/>
          <w:lang w:val="en-AU"/>
        </w:rPr>
        <w:t xml:space="preserve"> 4.4</w:t>
      </w:r>
      <w:r w:rsidR="005C3F31" w:rsidRPr="005C3F31">
        <w:rPr>
          <w:rFonts w:eastAsiaTheme="majorEastAsia"/>
          <w:b/>
          <w:bCs/>
          <w:i/>
          <w:szCs w:val="22"/>
          <w:lang w:val="en-AU"/>
        </w:rPr>
        <w:t xml:space="preserve"> Special warnings and precautions for use</w:t>
      </w:r>
      <w:r w:rsidRPr="005C3F31">
        <w:rPr>
          <w:rFonts w:eastAsiaTheme="majorEastAsia"/>
          <w:b/>
          <w:bCs/>
          <w:i/>
          <w:szCs w:val="22"/>
          <w:lang w:val="en-AU"/>
        </w:rPr>
        <w:t xml:space="preserve"> and</w:t>
      </w:r>
      <w:r w:rsidR="005C3F31" w:rsidRPr="005C3F31">
        <w:rPr>
          <w:rFonts w:eastAsiaTheme="majorEastAsia"/>
          <w:b/>
          <w:bCs/>
          <w:i/>
          <w:szCs w:val="22"/>
          <w:lang w:val="en-AU"/>
        </w:rPr>
        <w:t xml:space="preserve"> Section</w:t>
      </w:r>
      <w:r w:rsidRPr="005C3F31">
        <w:rPr>
          <w:rFonts w:eastAsiaTheme="majorEastAsia"/>
          <w:b/>
          <w:bCs/>
          <w:i/>
          <w:szCs w:val="22"/>
          <w:lang w:val="en-AU"/>
        </w:rPr>
        <w:t xml:space="preserve"> 4.5</w:t>
      </w:r>
      <w:r w:rsidR="005C3F31" w:rsidRPr="005C3F31">
        <w:rPr>
          <w:rFonts w:eastAsiaTheme="majorEastAsia"/>
          <w:b/>
          <w:bCs/>
          <w:i/>
          <w:szCs w:val="22"/>
          <w:lang w:val="en-AU"/>
        </w:rPr>
        <w:t xml:space="preserve"> Interactions with other medicines and other forms of interactions</w:t>
      </w:r>
      <w:r w:rsidRPr="00A676D5">
        <w:rPr>
          <w:rFonts w:eastAsiaTheme="majorEastAsia"/>
          <w:bCs/>
          <w:szCs w:val="22"/>
          <w:lang w:val="en-AU"/>
        </w:rPr>
        <w:t>).</w:t>
      </w:r>
    </w:p>
    <w:p w14:paraId="2C68CDB0" w14:textId="77777777" w:rsidR="00A676D5" w:rsidRPr="002F22E5" w:rsidRDefault="00A676D5" w:rsidP="009E03A7">
      <w:pPr>
        <w:pStyle w:val="Heading3"/>
      </w:pPr>
      <w:r w:rsidRPr="002F22E5">
        <w:t>Use of CYP3A4 inducers</w:t>
      </w:r>
    </w:p>
    <w:p w14:paraId="5F4867E2" w14:textId="1E05D021" w:rsidR="00A676D5" w:rsidRPr="00A676D5" w:rsidRDefault="00A676D5" w:rsidP="002D213E">
      <w:pPr>
        <w:pStyle w:val="C-BodyText"/>
        <w:spacing w:before="0" w:after="0" w:line="240" w:lineRule="auto"/>
        <w:rPr>
          <w:rFonts w:eastAsiaTheme="majorEastAsia"/>
          <w:bCs/>
          <w:szCs w:val="22"/>
          <w:lang w:val="en-AU"/>
        </w:rPr>
      </w:pPr>
      <w:r w:rsidRPr="00A676D5">
        <w:rPr>
          <w:rFonts w:eastAsiaTheme="majorEastAsia"/>
          <w:bCs/>
          <w:szCs w:val="22"/>
          <w:lang w:val="en-AU"/>
        </w:rPr>
        <w:t>If a potent or moderate CYP3A4 inducer can</w:t>
      </w:r>
      <w:r w:rsidR="002D213E">
        <w:rPr>
          <w:rFonts w:eastAsiaTheme="majorEastAsia"/>
          <w:bCs/>
          <w:szCs w:val="22"/>
          <w:lang w:val="en-AU"/>
        </w:rPr>
        <w:t>not be avoided, increase NERLYNX</w:t>
      </w:r>
      <w:r w:rsidRPr="00A676D5">
        <w:rPr>
          <w:rFonts w:eastAsiaTheme="majorEastAsia"/>
          <w:bCs/>
          <w:szCs w:val="22"/>
          <w:lang w:val="en-AU"/>
        </w:rPr>
        <w:t xml:space="preserve"> dose to 320 mg (eight 40 mg tablets) taken once daily. After discontinuation of a CYP3A4 inducer,</w:t>
      </w:r>
      <w:r w:rsidR="002D213E">
        <w:rPr>
          <w:rFonts w:eastAsiaTheme="majorEastAsia"/>
          <w:bCs/>
          <w:szCs w:val="22"/>
          <w:lang w:val="en-AU"/>
        </w:rPr>
        <w:t xml:space="preserve"> resume previous dose of NERLYNX 240 mg. </w:t>
      </w:r>
      <w:r w:rsidRPr="00A676D5">
        <w:rPr>
          <w:rFonts w:eastAsiaTheme="majorEastAsia"/>
          <w:bCs/>
          <w:szCs w:val="22"/>
          <w:lang w:val="en-AU"/>
        </w:rPr>
        <w:t>The daily dose of N</w:t>
      </w:r>
      <w:r w:rsidR="002D213E">
        <w:rPr>
          <w:rFonts w:eastAsiaTheme="majorEastAsia"/>
          <w:bCs/>
          <w:szCs w:val="22"/>
          <w:lang w:val="en-AU"/>
        </w:rPr>
        <w:t>ERLYNX</w:t>
      </w:r>
      <w:r w:rsidRPr="00A676D5">
        <w:rPr>
          <w:rFonts w:eastAsiaTheme="majorEastAsia"/>
          <w:bCs/>
          <w:szCs w:val="22"/>
          <w:lang w:val="en-AU"/>
        </w:rPr>
        <w:t xml:space="preserve"> should not exceed 320 mg (see </w:t>
      </w:r>
      <w:r w:rsidR="005C3F31" w:rsidRPr="005C3F31">
        <w:rPr>
          <w:rFonts w:eastAsiaTheme="majorEastAsia"/>
          <w:b/>
          <w:bCs/>
          <w:i/>
          <w:szCs w:val="22"/>
          <w:lang w:val="en-AU"/>
        </w:rPr>
        <w:t>Section</w:t>
      </w:r>
      <w:r w:rsidRPr="005C3F31">
        <w:rPr>
          <w:rFonts w:eastAsiaTheme="majorEastAsia"/>
          <w:b/>
          <w:bCs/>
          <w:i/>
          <w:szCs w:val="22"/>
          <w:lang w:val="en-AU"/>
        </w:rPr>
        <w:t xml:space="preserve"> 4.4</w:t>
      </w:r>
      <w:r w:rsidR="005C3F31" w:rsidRPr="005C3F31">
        <w:rPr>
          <w:rFonts w:eastAsiaTheme="majorEastAsia"/>
          <w:b/>
          <w:bCs/>
          <w:i/>
          <w:szCs w:val="22"/>
          <w:lang w:val="en-AU"/>
        </w:rPr>
        <w:t xml:space="preserve"> Special warnings and precautions for use</w:t>
      </w:r>
      <w:r w:rsidRPr="005C3F31">
        <w:rPr>
          <w:rFonts w:eastAsiaTheme="majorEastAsia"/>
          <w:b/>
          <w:bCs/>
          <w:i/>
          <w:szCs w:val="22"/>
          <w:lang w:val="en-AU"/>
        </w:rPr>
        <w:t xml:space="preserve"> and </w:t>
      </w:r>
      <w:r w:rsidR="005C3F31" w:rsidRPr="005C3F31">
        <w:rPr>
          <w:rFonts w:eastAsiaTheme="majorEastAsia"/>
          <w:b/>
          <w:bCs/>
          <w:i/>
          <w:szCs w:val="22"/>
          <w:lang w:val="en-AU"/>
        </w:rPr>
        <w:t xml:space="preserve">Section </w:t>
      </w:r>
      <w:r w:rsidRPr="005C3F31">
        <w:rPr>
          <w:rFonts w:eastAsiaTheme="majorEastAsia"/>
          <w:b/>
          <w:bCs/>
          <w:i/>
          <w:szCs w:val="22"/>
          <w:lang w:val="en-AU"/>
        </w:rPr>
        <w:t>4.5</w:t>
      </w:r>
      <w:r w:rsidR="005C3F31" w:rsidRPr="005C3F31">
        <w:rPr>
          <w:rFonts w:eastAsiaTheme="majorEastAsia"/>
          <w:b/>
          <w:bCs/>
          <w:i/>
          <w:szCs w:val="22"/>
          <w:lang w:val="en-AU"/>
        </w:rPr>
        <w:t xml:space="preserve"> Interactions with other medicines and other forms of interactions</w:t>
      </w:r>
      <w:r w:rsidRPr="00A676D5">
        <w:rPr>
          <w:rFonts w:eastAsiaTheme="majorEastAsia"/>
          <w:bCs/>
          <w:szCs w:val="22"/>
          <w:lang w:val="en-AU"/>
        </w:rPr>
        <w:t>).</w:t>
      </w:r>
    </w:p>
    <w:p w14:paraId="77C63C0A" w14:textId="77777777" w:rsidR="00A676D5" w:rsidRPr="002F22E5" w:rsidRDefault="00A676D5" w:rsidP="009E03A7">
      <w:pPr>
        <w:pStyle w:val="Heading3"/>
      </w:pPr>
      <w:r w:rsidRPr="002F22E5">
        <w:t>Patients with hepatic impairment</w:t>
      </w:r>
    </w:p>
    <w:p w14:paraId="3D257A8B" w14:textId="1F3C5749" w:rsidR="00A676D5" w:rsidRPr="002F22E5" w:rsidRDefault="00A676D5" w:rsidP="009E03A7">
      <w:pPr>
        <w:pStyle w:val="C-BodyText"/>
        <w:rPr>
          <w:rFonts w:eastAsiaTheme="majorEastAsia"/>
          <w:lang w:val="en-AU"/>
        </w:rPr>
      </w:pPr>
      <w:r w:rsidRPr="00A676D5">
        <w:rPr>
          <w:rFonts w:eastAsiaTheme="majorEastAsia"/>
          <w:lang w:val="en-AU"/>
        </w:rPr>
        <w:t>No dose adjustment is required in patients with Child Pugh A or B (mild to moderate) hepatic imp</w:t>
      </w:r>
      <w:r w:rsidR="002D213E">
        <w:rPr>
          <w:rFonts w:eastAsiaTheme="majorEastAsia"/>
          <w:lang w:val="en-AU"/>
        </w:rPr>
        <w:t xml:space="preserve">airment. </w:t>
      </w:r>
      <w:r w:rsidR="00156DE3" w:rsidRPr="00156DE3">
        <w:t>Treatment of patients with Child Pugh C hepatic impairment is not recommended</w:t>
      </w:r>
      <w:r w:rsidR="00156DE3" w:rsidRPr="00156DE3">
        <w:rPr>
          <w:rFonts w:eastAsiaTheme="majorEastAsia"/>
          <w:lang w:val="en-AU"/>
        </w:rPr>
        <w:t xml:space="preserve"> </w:t>
      </w:r>
      <w:r w:rsidR="005C3F31">
        <w:rPr>
          <w:rFonts w:eastAsiaTheme="majorEastAsia"/>
          <w:lang w:val="en-AU"/>
        </w:rPr>
        <w:t xml:space="preserve">(see </w:t>
      </w:r>
      <w:r w:rsidR="005C3F31" w:rsidRPr="005C3F31">
        <w:rPr>
          <w:rFonts w:eastAsiaTheme="majorEastAsia"/>
          <w:b/>
          <w:i/>
          <w:lang w:val="en-AU"/>
        </w:rPr>
        <w:t>S</w:t>
      </w:r>
      <w:r w:rsidRPr="005C3F31">
        <w:rPr>
          <w:rFonts w:eastAsiaTheme="majorEastAsia"/>
          <w:b/>
          <w:i/>
          <w:lang w:val="en-AU"/>
        </w:rPr>
        <w:t>ection 4.4</w:t>
      </w:r>
      <w:r w:rsidR="005C3F31" w:rsidRPr="005C3F31">
        <w:rPr>
          <w:rFonts w:eastAsiaTheme="majorEastAsia"/>
          <w:b/>
          <w:i/>
          <w:lang w:val="en-AU"/>
        </w:rPr>
        <w:t xml:space="preserve"> Special warnings and precautions for use</w:t>
      </w:r>
      <w:r w:rsidR="00156DE3">
        <w:rPr>
          <w:rFonts w:eastAsiaTheme="majorEastAsia"/>
          <w:b/>
          <w:i/>
          <w:lang w:val="en-AU"/>
        </w:rPr>
        <w:t xml:space="preserve"> and 4.3 Contraindications</w:t>
      </w:r>
      <w:r w:rsidRPr="00A676D5">
        <w:rPr>
          <w:rFonts w:eastAsiaTheme="majorEastAsia"/>
          <w:lang w:val="en-AU"/>
        </w:rPr>
        <w:t>).</w:t>
      </w:r>
    </w:p>
    <w:p w14:paraId="57DEB687" w14:textId="77777777" w:rsidR="009E03A7" w:rsidRDefault="00A676D5" w:rsidP="009E03A7">
      <w:pPr>
        <w:pStyle w:val="Heading3"/>
      </w:pPr>
      <w:r w:rsidRPr="002F22E5">
        <w:t>Dose modifications for hepatotoxicity</w:t>
      </w:r>
    </w:p>
    <w:p w14:paraId="771C8D8B" w14:textId="77777777" w:rsidR="009E03A7" w:rsidRDefault="00A676D5" w:rsidP="002D213E">
      <w:pPr>
        <w:tabs>
          <w:tab w:val="left" w:pos="1418"/>
        </w:tabs>
        <w:spacing w:line="240" w:lineRule="auto"/>
        <w:rPr>
          <w:rFonts w:ascii="Times New Roman" w:eastAsiaTheme="majorEastAsia" w:hAnsi="Times New Roman" w:cs="Times New Roman"/>
          <w:bCs/>
        </w:rPr>
      </w:pPr>
      <w:r w:rsidRPr="00A676D5">
        <w:rPr>
          <w:rFonts w:ascii="Times New Roman" w:eastAsiaTheme="majorEastAsia" w:hAnsi="Times New Roman" w:cs="Times New Roman"/>
          <w:bCs/>
        </w:rPr>
        <w:t>Guideline</w:t>
      </w:r>
      <w:r w:rsidR="002D213E">
        <w:rPr>
          <w:rFonts w:ascii="Times New Roman" w:eastAsiaTheme="majorEastAsia" w:hAnsi="Times New Roman" w:cs="Times New Roman"/>
          <w:bCs/>
        </w:rPr>
        <w:t>s for dose adjustment of NERLYNX</w:t>
      </w:r>
      <w:r w:rsidRPr="00A676D5">
        <w:rPr>
          <w:rFonts w:ascii="Times New Roman" w:eastAsiaTheme="majorEastAsia" w:hAnsi="Times New Roman" w:cs="Times New Roman"/>
          <w:bCs/>
        </w:rPr>
        <w:t xml:space="preserve"> in the event of liver toxicity are shown in Table 5. Patients who experience ≥ Grade 3 diarrhoea requiring IV fluid treatment or any signs or symptoms of hepatotoxicity, such as worsening of fatigue, nausea, vomiting, right upper quadrant pain or tenderness, fever, rash, or eosinophilia, should be evaluated for changes in liver function tests. Fractionated bilirubin and prothrombin time should also be collected during </w:t>
      </w:r>
      <w:r w:rsidR="005C3F31">
        <w:rPr>
          <w:rFonts w:ascii="Times New Roman" w:eastAsiaTheme="majorEastAsia" w:hAnsi="Times New Roman" w:cs="Times New Roman"/>
          <w:bCs/>
        </w:rPr>
        <w:t xml:space="preserve">hepatotoxicity evaluation (see </w:t>
      </w:r>
      <w:r w:rsidR="005C3F31" w:rsidRPr="005C3F31">
        <w:rPr>
          <w:rFonts w:ascii="Times New Roman" w:eastAsiaTheme="majorEastAsia" w:hAnsi="Times New Roman" w:cs="Times New Roman"/>
          <w:b/>
          <w:bCs/>
          <w:i/>
        </w:rPr>
        <w:t>S</w:t>
      </w:r>
      <w:r w:rsidRPr="005C3F31">
        <w:rPr>
          <w:rFonts w:ascii="Times New Roman" w:eastAsiaTheme="majorEastAsia" w:hAnsi="Times New Roman" w:cs="Times New Roman"/>
          <w:b/>
          <w:bCs/>
          <w:i/>
        </w:rPr>
        <w:t>ection 4.4</w:t>
      </w:r>
      <w:r w:rsidR="005C3F31" w:rsidRPr="005C3F31">
        <w:rPr>
          <w:rFonts w:ascii="Times New Roman" w:eastAsiaTheme="majorEastAsia" w:hAnsi="Times New Roman" w:cs="Times New Roman"/>
          <w:b/>
          <w:bCs/>
          <w:i/>
        </w:rPr>
        <w:t xml:space="preserve"> Special warnings and precautions for use</w:t>
      </w:r>
      <w:r w:rsidRPr="00A676D5">
        <w:rPr>
          <w:rFonts w:ascii="Times New Roman" w:eastAsiaTheme="majorEastAsia" w:hAnsi="Times New Roman" w:cs="Times New Roman"/>
          <w:bCs/>
        </w:rPr>
        <w:t>).</w:t>
      </w:r>
      <w:bookmarkStart w:id="3" w:name="_Ref485131783"/>
    </w:p>
    <w:p w14:paraId="6562F665" w14:textId="21F3A971" w:rsidR="00A676D5" w:rsidRPr="00A676D5" w:rsidRDefault="00A676D5" w:rsidP="002D213E">
      <w:pPr>
        <w:tabs>
          <w:tab w:val="left" w:pos="1418"/>
        </w:tabs>
        <w:spacing w:line="240" w:lineRule="auto"/>
        <w:rPr>
          <w:rFonts w:ascii="Times New Roman" w:eastAsiaTheme="majorEastAsia" w:hAnsi="Times New Roman" w:cs="Times New Roman"/>
          <w:bCs/>
        </w:rPr>
      </w:pPr>
      <w:r w:rsidRPr="002F22E5">
        <w:rPr>
          <w:rFonts w:ascii="Times New Roman" w:eastAsiaTheme="majorEastAsia" w:hAnsi="Times New Roman" w:cs="Times New Roman"/>
          <w:b/>
          <w:bCs/>
        </w:rPr>
        <w:t>Table</w:t>
      </w:r>
      <w:bookmarkEnd w:id="3"/>
      <w:r w:rsidR="002D213E">
        <w:rPr>
          <w:rFonts w:ascii="Times New Roman" w:eastAsiaTheme="majorEastAsia" w:hAnsi="Times New Roman" w:cs="Times New Roman"/>
          <w:b/>
          <w:bCs/>
        </w:rPr>
        <w:t xml:space="preserve"> 5:</w:t>
      </w:r>
      <w:r w:rsidR="002D213E">
        <w:rPr>
          <w:rFonts w:ascii="Times New Roman" w:eastAsiaTheme="majorEastAsia" w:hAnsi="Times New Roman" w:cs="Times New Roman"/>
          <w:b/>
          <w:bCs/>
        </w:rPr>
        <w:tab/>
      </w:r>
      <w:r w:rsidRPr="002F22E5">
        <w:rPr>
          <w:rFonts w:ascii="Times New Roman" w:eastAsiaTheme="majorEastAsia" w:hAnsi="Times New Roman" w:cs="Times New Roman"/>
          <w:b/>
          <w:bCs/>
        </w:rPr>
        <w:t>Dose Modifications for Hepatotoxicity</w:t>
      </w:r>
    </w:p>
    <w:tbl>
      <w:tblPr>
        <w:tblW w:w="4999"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84"/>
        <w:gridCol w:w="4724"/>
      </w:tblGrid>
      <w:tr w:rsidR="00A676D5" w:rsidRPr="00A676D5" w14:paraId="7E0511BD" w14:textId="77777777" w:rsidTr="002D213E">
        <w:trPr>
          <w:tblHeader/>
        </w:trPr>
        <w:tc>
          <w:tcPr>
            <w:tcW w:w="2378" w:type="pct"/>
            <w:shd w:val="clear" w:color="auto" w:fill="auto"/>
          </w:tcPr>
          <w:p w14:paraId="20936C4A" w14:textId="77777777" w:rsidR="00A676D5" w:rsidRPr="002F22E5" w:rsidRDefault="00A676D5" w:rsidP="002F22E5">
            <w:pPr>
              <w:keepNext/>
              <w:spacing w:before="60" w:after="60" w:line="240" w:lineRule="auto"/>
              <w:rPr>
                <w:rFonts w:ascii="Times New Roman" w:eastAsiaTheme="majorEastAsia" w:hAnsi="Times New Roman" w:cs="Times New Roman"/>
                <w:b/>
                <w:bCs/>
              </w:rPr>
            </w:pPr>
            <w:r w:rsidRPr="002F22E5">
              <w:rPr>
                <w:rFonts w:ascii="Times New Roman" w:eastAsiaTheme="majorEastAsia" w:hAnsi="Times New Roman" w:cs="Times New Roman"/>
                <w:b/>
                <w:bCs/>
              </w:rPr>
              <w:t>Severity of Hepatotoxicity</w:t>
            </w:r>
            <w:r w:rsidRPr="002D213E">
              <w:rPr>
                <w:rFonts w:ascii="Times New Roman" w:eastAsiaTheme="majorEastAsia" w:hAnsi="Times New Roman" w:cs="Times New Roman"/>
                <w:b/>
                <w:bCs/>
                <w:vertAlign w:val="superscript"/>
              </w:rPr>
              <w:t>*</w:t>
            </w:r>
            <w:r w:rsidRPr="002F22E5">
              <w:rPr>
                <w:rFonts w:ascii="Times New Roman" w:eastAsiaTheme="majorEastAsia" w:hAnsi="Times New Roman" w:cs="Times New Roman"/>
                <w:b/>
                <w:bCs/>
              </w:rPr>
              <w:t xml:space="preserve"> </w:t>
            </w:r>
          </w:p>
        </w:tc>
        <w:tc>
          <w:tcPr>
            <w:tcW w:w="2622" w:type="pct"/>
            <w:shd w:val="clear" w:color="auto" w:fill="auto"/>
          </w:tcPr>
          <w:p w14:paraId="52AE266D" w14:textId="77777777" w:rsidR="00A676D5" w:rsidRPr="002F22E5" w:rsidRDefault="00A676D5" w:rsidP="002F22E5">
            <w:pPr>
              <w:keepNext/>
              <w:spacing w:before="60" w:after="60" w:line="240" w:lineRule="auto"/>
              <w:rPr>
                <w:rFonts w:ascii="Times New Roman" w:eastAsiaTheme="majorEastAsia" w:hAnsi="Times New Roman" w:cs="Times New Roman"/>
                <w:b/>
                <w:bCs/>
              </w:rPr>
            </w:pPr>
            <w:r w:rsidRPr="002F22E5">
              <w:rPr>
                <w:rFonts w:ascii="Times New Roman" w:eastAsiaTheme="majorEastAsia" w:hAnsi="Times New Roman" w:cs="Times New Roman"/>
                <w:b/>
                <w:bCs/>
              </w:rPr>
              <w:t>Action</w:t>
            </w:r>
          </w:p>
        </w:tc>
      </w:tr>
      <w:tr w:rsidR="00A676D5" w:rsidRPr="00A676D5" w14:paraId="208CD8AA" w14:textId="77777777" w:rsidTr="002D213E">
        <w:tc>
          <w:tcPr>
            <w:tcW w:w="2378" w:type="pct"/>
            <w:shd w:val="clear" w:color="auto" w:fill="auto"/>
          </w:tcPr>
          <w:p w14:paraId="23868050" w14:textId="77777777" w:rsidR="00A676D5" w:rsidRPr="002F22E5" w:rsidRDefault="00A676D5" w:rsidP="002D213E">
            <w:pPr>
              <w:pStyle w:val="ListParagraph"/>
              <w:numPr>
                <w:ilvl w:val="0"/>
                <w:numId w:val="20"/>
              </w:numPr>
              <w:spacing w:before="60" w:after="60" w:line="240" w:lineRule="auto"/>
              <w:ind w:left="318" w:hanging="284"/>
              <w:rPr>
                <w:rFonts w:ascii="Times New Roman" w:eastAsiaTheme="majorEastAsia" w:hAnsi="Times New Roman" w:cs="Times New Roman"/>
                <w:bCs/>
              </w:rPr>
            </w:pPr>
            <w:r w:rsidRPr="002F22E5">
              <w:rPr>
                <w:rFonts w:ascii="Times New Roman" w:eastAsiaTheme="majorEastAsia" w:hAnsi="Times New Roman" w:cs="Times New Roman"/>
                <w:bCs/>
              </w:rPr>
              <w:t>Grade 3 ALT (&gt;5-20 x ULN)</w:t>
            </w:r>
          </w:p>
          <w:p w14:paraId="79F55241" w14:textId="77777777" w:rsidR="00A676D5" w:rsidRPr="002F22E5" w:rsidRDefault="00A676D5" w:rsidP="002F22E5">
            <w:pPr>
              <w:pStyle w:val="ListParagraph"/>
              <w:spacing w:before="60" w:after="60" w:line="240" w:lineRule="auto"/>
              <w:ind w:left="318"/>
              <w:rPr>
                <w:rFonts w:ascii="Times New Roman" w:eastAsiaTheme="majorEastAsia" w:hAnsi="Times New Roman" w:cs="Times New Roman"/>
                <w:bCs/>
              </w:rPr>
            </w:pPr>
            <w:r w:rsidRPr="002F22E5">
              <w:rPr>
                <w:rFonts w:ascii="Times New Roman" w:eastAsiaTheme="majorEastAsia" w:hAnsi="Times New Roman" w:cs="Times New Roman"/>
                <w:bCs/>
              </w:rPr>
              <w:t>OR</w:t>
            </w:r>
          </w:p>
          <w:p w14:paraId="5361759B" w14:textId="77777777" w:rsidR="00A676D5" w:rsidRPr="002F22E5" w:rsidRDefault="00A676D5" w:rsidP="002D213E">
            <w:pPr>
              <w:pStyle w:val="ListParagraph"/>
              <w:numPr>
                <w:ilvl w:val="0"/>
                <w:numId w:val="20"/>
              </w:numPr>
              <w:spacing w:before="60" w:after="60" w:line="240" w:lineRule="auto"/>
              <w:ind w:left="318" w:hanging="284"/>
              <w:rPr>
                <w:rFonts w:ascii="Times New Roman" w:eastAsiaTheme="majorEastAsia" w:hAnsi="Times New Roman" w:cs="Times New Roman"/>
                <w:bCs/>
              </w:rPr>
            </w:pPr>
            <w:r w:rsidRPr="002F22E5">
              <w:rPr>
                <w:rFonts w:ascii="Times New Roman" w:eastAsiaTheme="majorEastAsia" w:hAnsi="Times New Roman" w:cs="Times New Roman"/>
                <w:bCs/>
              </w:rPr>
              <w:t>Grade 3 bilirubin (&gt;3-10 x ULN)</w:t>
            </w:r>
          </w:p>
        </w:tc>
        <w:tc>
          <w:tcPr>
            <w:tcW w:w="2622" w:type="pct"/>
            <w:shd w:val="clear" w:color="auto" w:fill="auto"/>
          </w:tcPr>
          <w:p w14:paraId="5CE9AE06" w14:textId="7B640855" w:rsidR="00A676D5" w:rsidRPr="002F22E5" w:rsidRDefault="002F22E5" w:rsidP="00B766CE">
            <w:pPr>
              <w:pStyle w:val="ListParagraph"/>
              <w:numPr>
                <w:ilvl w:val="0"/>
                <w:numId w:val="20"/>
              </w:numPr>
              <w:spacing w:before="60" w:after="60" w:line="240" w:lineRule="auto"/>
              <w:ind w:left="318" w:hanging="284"/>
              <w:rPr>
                <w:rFonts w:ascii="Times New Roman" w:eastAsiaTheme="majorEastAsia" w:hAnsi="Times New Roman" w:cs="Times New Roman"/>
                <w:bCs/>
              </w:rPr>
            </w:pPr>
            <w:r>
              <w:rPr>
                <w:rFonts w:ascii="Times New Roman" w:eastAsiaTheme="majorEastAsia" w:hAnsi="Times New Roman" w:cs="Times New Roman"/>
                <w:bCs/>
              </w:rPr>
              <w:t>Stop NERLYNX</w:t>
            </w:r>
            <w:r w:rsidR="00A676D5" w:rsidRPr="002F22E5">
              <w:rPr>
                <w:rFonts w:ascii="Times New Roman" w:eastAsiaTheme="majorEastAsia" w:hAnsi="Times New Roman" w:cs="Times New Roman"/>
                <w:bCs/>
              </w:rPr>
              <w:t xml:space="preserve"> until recovery to ≤ Grade 1</w:t>
            </w:r>
          </w:p>
          <w:p w14:paraId="0BC5F98B" w14:textId="77777777" w:rsidR="00A676D5" w:rsidRPr="002F22E5" w:rsidRDefault="00A676D5" w:rsidP="00B766CE">
            <w:pPr>
              <w:pStyle w:val="ListParagraph"/>
              <w:numPr>
                <w:ilvl w:val="0"/>
                <w:numId w:val="20"/>
              </w:numPr>
              <w:spacing w:before="60" w:after="60" w:line="240" w:lineRule="auto"/>
              <w:ind w:left="318" w:hanging="284"/>
              <w:rPr>
                <w:rFonts w:ascii="Times New Roman" w:eastAsiaTheme="majorEastAsia" w:hAnsi="Times New Roman" w:cs="Times New Roman"/>
                <w:bCs/>
              </w:rPr>
            </w:pPr>
            <w:r w:rsidRPr="002F22E5">
              <w:rPr>
                <w:rFonts w:ascii="Times New Roman" w:eastAsiaTheme="majorEastAsia" w:hAnsi="Times New Roman" w:cs="Times New Roman"/>
                <w:bCs/>
              </w:rPr>
              <w:t>Evaluate alternative causes</w:t>
            </w:r>
          </w:p>
          <w:p w14:paraId="45030969" w14:textId="55A1BFC1" w:rsidR="00A676D5" w:rsidRPr="002F22E5" w:rsidRDefault="002F22E5" w:rsidP="00B766CE">
            <w:pPr>
              <w:pStyle w:val="ListParagraph"/>
              <w:numPr>
                <w:ilvl w:val="0"/>
                <w:numId w:val="20"/>
              </w:numPr>
              <w:spacing w:before="60" w:after="60" w:line="240" w:lineRule="auto"/>
              <w:ind w:left="318" w:hanging="284"/>
              <w:rPr>
                <w:rFonts w:ascii="Times New Roman" w:eastAsiaTheme="majorEastAsia" w:hAnsi="Times New Roman" w:cs="Times New Roman"/>
                <w:bCs/>
              </w:rPr>
            </w:pPr>
            <w:r>
              <w:rPr>
                <w:rFonts w:ascii="Times New Roman" w:eastAsiaTheme="majorEastAsia" w:hAnsi="Times New Roman" w:cs="Times New Roman"/>
                <w:bCs/>
              </w:rPr>
              <w:t>Resume NERLYNX</w:t>
            </w:r>
            <w:r w:rsidR="00A676D5" w:rsidRPr="002F22E5">
              <w:rPr>
                <w:rFonts w:ascii="Times New Roman" w:eastAsiaTheme="majorEastAsia" w:hAnsi="Times New Roman" w:cs="Times New Roman"/>
                <w:bCs/>
              </w:rPr>
              <w:t xml:space="preserve"> at the next lower dose level if recovery to ≤ Grade 1 occurs within 3 weeks. If Grade 3 ALT or bilirubin occurs again despite one dose reduc</w:t>
            </w:r>
            <w:r>
              <w:rPr>
                <w:rFonts w:ascii="Times New Roman" w:eastAsiaTheme="majorEastAsia" w:hAnsi="Times New Roman" w:cs="Times New Roman"/>
                <w:bCs/>
              </w:rPr>
              <w:t>tion, permanently discontinue NERLYNX</w:t>
            </w:r>
          </w:p>
        </w:tc>
      </w:tr>
      <w:tr w:rsidR="00A676D5" w:rsidRPr="00A676D5" w14:paraId="78E9E610" w14:textId="77777777" w:rsidTr="002D213E">
        <w:tc>
          <w:tcPr>
            <w:tcW w:w="2378" w:type="pct"/>
            <w:shd w:val="clear" w:color="auto" w:fill="auto"/>
          </w:tcPr>
          <w:p w14:paraId="5660AB3A" w14:textId="77777777" w:rsidR="00A676D5" w:rsidRPr="002F22E5" w:rsidRDefault="00A676D5" w:rsidP="002D213E">
            <w:pPr>
              <w:pStyle w:val="ListParagraph"/>
              <w:numPr>
                <w:ilvl w:val="0"/>
                <w:numId w:val="20"/>
              </w:numPr>
              <w:spacing w:before="60" w:after="60" w:line="240" w:lineRule="auto"/>
              <w:ind w:left="318" w:hanging="284"/>
              <w:rPr>
                <w:rFonts w:ascii="Times New Roman" w:eastAsiaTheme="majorEastAsia" w:hAnsi="Times New Roman" w:cs="Times New Roman"/>
                <w:bCs/>
              </w:rPr>
            </w:pPr>
            <w:r w:rsidRPr="002F22E5">
              <w:rPr>
                <w:rFonts w:ascii="Times New Roman" w:eastAsiaTheme="majorEastAsia" w:hAnsi="Times New Roman" w:cs="Times New Roman"/>
                <w:bCs/>
              </w:rPr>
              <w:t>Grade 4 ALT (&gt;20 x ULN)</w:t>
            </w:r>
          </w:p>
          <w:p w14:paraId="5595B61F" w14:textId="77777777" w:rsidR="00A676D5" w:rsidRPr="002F22E5" w:rsidRDefault="00A676D5" w:rsidP="002F22E5">
            <w:pPr>
              <w:pStyle w:val="ListParagraph"/>
              <w:spacing w:before="60" w:after="60" w:line="240" w:lineRule="auto"/>
              <w:ind w:left="318"/>
              <w:rPr>
                <w:rFonts w:ascii="Times New Roman" w:eastAsiaTheme="majorEastAsia" w:hAnsi="Times New Roman" w:cs="Times New Roman"/>
                <w:bCs/>
              </w:rPr>
            </w:pPr>
            <w:r w:rsidRPr="002F22E5">
              <w:rPr>
                <w:rFonts w:ascii="Times New Roman" w:eastAsiaTheme="majorEastAsia" w:hAnsi="Times New Roman" w:cs="Times New Roman"/>
                <w:bCs/>
              </w:rPr>
              <w:t>OR</w:t>
            </w:r>
          </w:p>
          <w:p w14:paraId="6B78AC3C" w14:textId="77777777" w:rsidR="00A676D5" w:rsidRPr="002F22E5" w:rsidRDefault="00A676D5" w:rsidP="00BF33E0">
            <w:pPr>
              <w:pStyle w:val="ListParagraph"/>
              <w:numPr>
                <w:ilvl w:val="0"/>
                <w:numId w:val="20"/>
              </w:numPr>
              <w:spacing w:before="60" w:after="60" w:line="240" w:lineRule="auto"/>
              <w:ind w:left="318" w:hanging="284"/>
              <w:rPr>
                <w:rFonts w:ascii="Times New Roman" w:eastAsiaTheme="majorEastAsia" w:hAnsi="Times New Roman" w:cs="Times New Roman"/>
                <w:bCs/>
              </w:rPr>
            </w:pPr>
            <w:r w:rsidRPr="002F22E5">
              <w:rPr>
                <w:rFonts w:ascii="Times New Roman" w:eastAsiaTheme="majorEastAsia" w:hAnsi="Times New Roman" w:cs="Times New Roman"/>
                <w:bCs/>
              </w:rPr>
              <w:t>Grade 4 bilirubin (&gt;10 x ULN)</w:t>
            </w:r>
          </w:p>
        </w:tc>
        <w:tc>
          <w:tcPr>
            <w:tcW w:w="2622" w:type="pct"/>
            <w:shd w:val="clear" w:color="auto" w:fill="auto"/>
          </w:tcPr>
          <w:p w14:paraId="0F7465FF" w14:textId="46699F43" w:rsidR="00A676D5" w:rsidRPr="002F22E5" w:rsidRDefault="002F22E5" w:rsidP="00B766CE">
            <w:pPr>
              <w:pStyle w:val="ListParagraph"/>
              <w:numPr>
                <w:ilvl w:val="0"/>
                <w:numId w:val="20"/>
              </w:numPr>
              <w:spacing w:before="60" w:after="60" w:line="240" w:lineRule="auto"/>
              <w:ind w:left="318" w:hanging="284"/>
              <w:rPr>
                <w:rFonts w:ascii="Times New Roman" w:eastAsiaTheme="majorEastAsia" w:hAnsi="Times New Roman" w:cs="Times New Roman"/>
                <w:bCs/>
              </w:rPr>
            </w:pPr>
            <w:r>
              <w:rPr>
                <w:rFonts w:ascii="Times New Roman" w:eastAsiaTheme="majorEastAsia" w:hAnsi="Times New Roman" w:cs="Times New Roman"/>
                <w:bCs/>
              </w:rPr>
              <w:t>Permanently discontinue NERLYNX</w:t>
            </w:r>
          </w:p>
          <w:p w14:paraId="7F79A633" w14:textId="77777777" w:rsidR="00A676D5" w:rsidRPr="002F22E5" w:rsidRDefault="00A676D5" w:rsidP="00B766CE">
            <w:pPr>
              <w:pStyle w:val="ListParagraph"/>
              <w:numPr>
                <w:ilvl w:val="0"/>
                <w:numId w:val="20"/>
              </w:numPr>
              <w:spacing w:before="60" w:after="60" w:line="240" w:lineRule="auto"/>
              <w:ind w:left="318" w:hanging="284"/>
              <w:rPr>
                <w:rFonts w:ascii="Times New Roman" w:eastAsiaTheme="majorEastAsia" w:hAnsi="Times New Roman" w:cs="Times New Roman"/>
                <w:bCs/>
              </w:rPr>
            </w:pPr>
            <w:r w:rsidRPr="002F22E5">
              <w:rPr>
                <w:rFonts w:ascii="Times New Roman" w:eastAsiaTheme="majorEastAsia" w:hAnsi="Times New Roman" w:cs="Times New Roman"/>
                <w:bCs/>
              </w:rPr>
              <w:t>Evaluate alternative causes</w:t>
            </w:r>
          </w:p>
        </w:tc>
      </w:tr>
    </w:tbl>
    <w:p w14:paraId="402BF79D" w14:textId="77777777" w:rsidR="00A676D5" w:rsidRPr="00B766CE" w:rsidRDefault="00A676D5" w:rsidP="002D213E">
      <w:pPr>
        <w:pStyle w:val="C-Footnote"/>
        <w:rPr>
          <w:rFonts w:eastAsiaTheme="majorEastAsia" w:cs="Times New Roman"/>
          <w:bCs/>
          <w:szCs w:val="22"/>
          <w:lang w:val="en-AU"/>
        </w:rPr>
      </w:pPr>
      <w:r w:rsidRPr="00B766CE">
        <w:rPr>
          <w:rFonts w:eastAsiaTheme="majorEastAsia" w:cs="Times New Roman"/>
          <w:bCs/>
          <w:szCs w:val="22"/>
          <w:lang w:val="en-AU"/>
        </w:rPr>
        <w:t xml:space="preserve">ULN=Upper Limit Normal; ALT= Alanine Aminotransferase </w:t>
      </w:r>
    </w:p>
    <w:p w14:paraId="3B312659" w14:textId="3A7799F1" w:rsidR="001A3992" w:rsidRPr="002F22E5" w:rsidRDefault="00B766CE" w:rsidP="000A0D43">
      <w:pPr>
        <w:pStyle w:val="C-Footnote"/>
        <w:rPr>
          <w:rFonts w:eastAsiaTheme="majorEastAsia"/>
          <w:i/>
        </w:rPr>
      </w:pPr>
      <w:r>
        <w:rPr>
          <w:rFonts w:eastAsiaTheme="majorEastAsia" w:cs="Times New Roman"/>
          <w:bCs/>
          <w:szCs w:val="22"/>
          <w:lang w:val="en-AU"/>
        </w:rPr>
        <w:t xml:space="preserve">*  </w:t>
      </w:r>
      <w:r w:rsidR="00A676D5" w:rsidRPr="00B766CE">
        <w:rPr>
          <w:rFonts w:eastAsiaTheme="majorEastAsia" w:cs="Times New Roman"/>
          <w:bCs/>
          <w:szCs w:val="22"/>
          <w:lang w:val="en-AU"/>
        </w:rPr>
        <w:t>Per C</w:t>
      </w:r>
      <w:r w:rsidR="00A676D5" w:rsidRPr="009E03A7">
        <w:rPr>
          <w:rFonts w:eastAsiaTheme="majorEastAsia"/>
        </w:rPr>
        <w:t>TCAE v4.</w:t>
      </w:r>
      <w:r w:rsidR="00A676D5" w:rsidRPr="00B766CE">
        <w:rPr>
          <w:rFonts w:eastAsiaTheme="majorEastAsia" w:cs="Times New Roman"/>
          <w:bCs/>
          <w:szCs w:val="22"/>
          <w:lang w:val="en-AU"/>
        </w:rPr>
        <w:t>0</w:t>
      </w:r>
    </w:p>
    <w:p w14:paraId="32FE23E6" w14:textId="77777777" w:rsidR="009E03A7" w:rsidRDefault="00BC7299" w:rsidP="009E03A7">
      <w:pPr>
        <w:pStyle w:val="Heading2"/>
        <w:spacing w:before="0" w:after="0"/>
        <w:ind w:left="0" w:hanging="426"/>
        <w:rPr>
          <w:rFonts w:ascii="Times New Roman" w:eastAsiaTheme="majorEastAsia" w:hAnsi="Times New Roman" w:cs="Times New Roman"/>
          <w:b w:val="0"/>
          <w:bCs/>
          <w:smallCaps w:val="0"/>
          <w:spacing w:val="-1"/>
          <w:sz w:val="22"/>
          <w:szCs w:val="28"/>
          <w:lang w:val="en-US"/>
        </w:rPr>
      </w:pPr>
      <w:r w:rsidRPr="00BC7299">
        <w:rPr>
          <w:rFonts w:ascii="Times New Roman" w:eastAsiaTheme="majorEastAsia" w:hAnsi="Times New Roman" w:cs="Times New Roman"/>
          <w:b w:val="0"/>
          <w:bCs/>
          <w:smallCaps w:val="0"/>
          <w:sz w:val="26"/>
          <w:szCs w:val="26"/>
        </w:rPr>
        <w:t>Contraindications</w:t>
      </w:r>
    </w:p>
    <w:p w14:paraId="2CDA4C05" w14:textId="7E357F28" w:rsidR="003171B2" w:rsidRPr="009E03A7" w:rsidRDefault="00BC7299" w:rsidP="009E03A7">
      <w:pPr>
        <w:pStyle w:val="C-BodyText"/>
        <w:rPr>
          <w:rFonts w:eastAsiaTheme="majorEastAsia"/>
        </w:rPr>
      </w:pPr>
      <w:r w:rsidRPr="009E03A7">
        <w:rPr>
          <w:rFonts w:eastAsiaTheme="majorEastAsia"/>
        </w:rPr>
        <w:t xml:space="preserve">Hypersensitivity to the active substance or to any of the excipients </w:t>
      </w:r>
      <w:r w:rsidR="00B76A9B" w:rsidRPr="009E03A7">
        <w:rPr>
          <w:rFonts w:eastAsiaTheme="majorEastAsia"/>
        </w:rPr>
        <w:t xml:space="preserve">contained in </w:t>
      </w:r>
      <w:r w:rsidR="00C933D9" w:rsidRPr="009E03A7">
        <w:rPr>
          <w:rFonts w:eastAsiaTheme="majorEastAsia"/>
        </w:rPr>
        <w:t>NERLYNX.</w:t>
      </w:r>
    </w:p>
    <w:p w14:paraId="29370466" w14:textId="796E59DA" w:rsidR="00F30596" w:rsidRPr="00D61AFC" w:rsidRDefault="00F30596" w:rsidP="009E03A7">
      <w:pPr>
        <w:pStyle w:val="C-BodyText"/>
      </w:pPr>
      <w:r w:rsidRPr="00D61AFC">
        <w:t>Co-administration with the following medical products that are strong inducers of the CYP3A4/</w:t>
      </w:r>
      <w:r w:rsidR="009E03A7">
        <w:t>Pgp isoform of cytochrome P450:</w:t>
      </w:r>
    </w:p>
    <w:p w14:paraId="3EB08A02" w14:textId="7A202359" w:rsidR="00F30596" w:rsidRPr="00D61AFC" w:rsidRDefault="00F30596" w:rsidP="00F30596">
      <w:pPr>
        <w:pStyle w:val="Default"/>
        <w:numPr>
          <w:ilvl w:val="0"/>
          <w:numId w:val="27"/>
        </w:numPr>
        <w:spacing w:after="37"/>
        <w:rPr>
          <w:rFonts w:ascii="Times New Roman" w:hAnsi="Times New Roman" w:cs="Times New Roman"/>
          <w:sz w:val="22"/>
          <w:szCs w:val="22"/>
        </w:rPr>
      </w:pPr>
      <w:r w:rsidRPr="00D61AFC">
        <w:rPr>
          <w:rFonts w:ascii="Times New Roman" w:hAnsi="Times New Roman" w:cs="Times New Roman"/>
          <w:sz w:val="22"/>
          <w:szCs w:val="22"/>
        </w:rPr>
        <w:t>carbamazepine, phenobarbi</w:t>
      </w:r>
      <w:r w:rsidR="009E03A7">
        <w:rPr>
          <w:rFonts w:ascii="Times New Roman" w:hAnsi="Times New Roman" w:cs="Times New Roman"/>
          <w:sz w:val="22"/>
          <w:szCs w:val="22"/>
        </w:rPr>
        <w:t>tal, phenytoin (antiepileptics)</w:t>
      </w:r>
    </w:p>
    <w:p w14:paraId="15AB371C" w14:textId="761FDC38" w:rsidR="00F30596" w:rsidRPr="00D61AFC" w:rsidRDefault="00F30596" w:rsidP="00F30596">
      <w:pPr>
        <w:pStyle w:val="Default"/>
        <w:numPr>
          <w:ilvl w:val="0"/>
          <w:numId w:val="27"/>
        </w:numPr>
        <w:spacing w:after="37"/>
        <w:rPr>
          <w:rFonts w:ascii="Times New Roman" w:hAnsi="Times New Roman" w:cs="Times New Roman"/>
          <w:sz w:val="22"/>
          <w:szCs w:val="22"/>
        </w:rPr>
      </w:pPr>
      <w:r w:rsidRPr="00D61AFC">
        <w:rPr>
          <w:rFonts w:ascii="Times New Roman" w:hAnsi="Times New Roman" w:cs="Times New Roman"/>
          <w:sz w:val="22"/>
          <w:szCs w:val="22"/>
        </w:rPr>
        <w:lastRenderedPageBreak/>
        <w:t>St John’s wort (</w:t>
      </w:r>
      <w:r w:rsidRPr="00D61AFC">
        <w:rPr>
          <w:rFonts w:ascii="Times New Roman" w:hAnsi="Times New Roman" w:cs="Times New Roman"/>
          <w:i/>
          <w:iCs/>
          <w:sz w:val="22"/>
          <w:szCs w:val="22"/>
        </w:rPr>
        <w:t>Hypericum perforatum</w:t>
      </w:r>
      <w:r w:rsidR="009E03A7">
        <w:rPr>
          <w:rFonts w:ascii="Times New Roman" w:hAnsi="Times New Roman" w:cs="Times New Roman"/>
          <w:sz w:val="22"/>
          <w:szCs w:val="22"/>
        </w:rPr>
        <w:t>) (herbal product)</w:t>
      </w:r>
    </w:p>
    <w:p w14:paraId="68FC3332" w14:textId="3E8A0048" w:rsidR="00F30596" w:rsidRPr="009E03A7" w:rsidRDefault="00F30596" w:rsidP="00024471">
      <w:pPr>
        <w:pStyle w:val="Default"/>
        <w:numPr>
          <w:ilvl w:val="0"/>
          <w:numId w:val="27"/>
        </w:numPr>
        <w:rPr>
          <w:rFonts w:ascii="Times New Roman" w:hAnsi="Times New Roman" w:cs="Times New Roman"/>
          <w:sz w:val="22"/>
          <w:szCs w:val="22"/>
        </w:rPr>
      </w:pPr>
      <w:r w:rsidRPr="009E03A7">
        <w:rPr>
          <w:rFonts w:ascii="Times New Roman" w:hAnsi="Times New Roman" w:cs="Times New Roman"/>
          <w:sz w:val="22"/>
          <w:szCs w:val="22"/>
        </w:rPr>
        <w:t>rifampin (antimy</w:t>
      </w:r>
      <w:r w:rsidR="009E03A7" w:rsidRPr="009E03A7">
        <w:rPr>
          <w:rFonts w:ascii="Times New Roman" w:hAnsi="Times New Roman" w:cs="Times New Roman"/>
          <w:sz w:val="22"/>
          <w:szCs w:val="22"/>
        </w:rPr>
        <w:t>cobacterial)</w:t>
      </w:r>
    </w:p>
    <w:p w14:paraId="2E44EF30" w14:textId="5ACBB3F1" w:rsidR="00F30596" w:rsidRPr="00D61AFC" w:rsidRDefault="00F30596" w:rsidP="009E03A7">
      <w:pPr>
        <w:pStyle w:val="C-BodyText"/>
      </w:pPr>
      <w:r w:rsidRPr="00D61AFC">
        <w:t>Co-administration with m</w:t>
      </w:r>
      <w:r w:rsidR="009E03A7">
        <w:t>oderate CYP3A4/P-gp inhibitors:</w:t>
      </w:r>
    </w:p>
    <w:p w14:paraId="2598DF1A" w14:textId="71655842" w:rsidR="00F30596" w:rsidRPr="00D61AFC" w:rsidRDefault="009E03A7" w:rsidP="00F30596">
      <w:pPr>
        <w:pStyle w:val="Default"/>
        <w:numPr>
          <w:ilvl w:val="0"/>
          <w:numId w:val="28"/>
        </w:numPr>
        <w:spacing w:after="38"/>
        <w:rPr>
          <w:rFonts w:ascii="Times New Roman" w:hAnsi="Times New Roman" w:cs="Times New Roman"/>
          <w:sz w:val="22"/>
          <w:szCs w:val="22"/>
        </w:rPr>
      </w:pPr>
      <w:r>
        <w:rPr>
          <w:rFonts w:ascii="Times New Roman" w:hAnsi="Times New Roman" w:cs="Times New Roman"/>
          <w:sz w:val="22"/>
          <w:szCs w:val="22"/>
        </w:rPr>
        <w:t>fluconazole (antifungal)</w:t>
      </w:r>
    </w:p>
    <w:p w14:paraId="74B3BA0A" w14:textId="3E003971" w:rsidR="00F30596" w:rsidRPr="00D61AFC" w:rsidRDefault="00F30596" w:rsidP="00F30596">
      <w:pPr>
        <w:pStyle w:val="Default"/>
        <w:numPr>
          <w:ilvl w:val="0"/>
          <w:numId w:val="28"/>
        </w:numPr>
        <w:spacing w:after="38"/>
        <w:rPr>
          <w:rFonts w:ascii="Times New Roman" w:hAnsi="Times New Roman" w:cs="Times New Roman"/>
          <w:sz w:val="22"/>
          <w:szCs w:val="22"/>
        </w:rPr>
      </w:pPr>
      <w:r w:rsidRPr="00D61AFC">
        <w:rPr>
          <w:rFonts w:ascii="Times New Roman" w:hAnsi="Times New Roman" w:cs="Times New Roman"/>
          <w:sz w:val="22"/>
          <w:szCs w:val="22"/>
        </w:rPr>
        <w:t>diltiazem, verap</w:t>
      </w:r>
      <w:r w:rsidR="009E03A7">
        <w:rPr>
          <w:rFonts w:ascii="Times New Roman" w:hAnsi="Times New Roman" w:cs="Times New Roman"/>
          <w:sz w:val="22"/>
          <w:szCs w:val="22"/>
        </w:rPr>
        <w:t>amil (calcium-channel blockers)</w:t>
      </w:r>
    </w:p>
    <w:p w14:paraId="2C9D7D38" w14:textId="186A8615" w:rsidR="00F30596" w:rsidRPr="009E03A7" w:rsidRDefault="009E03A7" w:rsidP="00024471">
      <w:pPr>
        <w:pStyle w:val="Default"/>
        <w:numPr>
          <w:ilvl w:val="0"/>
          <w:numId w:val="28"/>
        </w:numPr>
        <w:rPr>
          <w:rFonts w:ascii="Times New Roman" w:hAnsi="Times New Roman" w:cs="Times New Roman"/>
          <w:sz w:val="22"/>
          <w:szCs w:val="22"/>
        </w:rPr>
      </w:pPr>
      <w:r w:rsidRPr="009E03A7">
        <w:rPr>
          <w:rFonts w:ascii="Times New Roman" w:hAnsi="Times New Roman" w:cs="Times New Roman"/>
          <w:sz w:val="22"/>
          <w:szCs w:val="22"/>
        </w:rPr>
        <w:t>erythromycin (antibiotic)</w:t>
      </w:r>
    </w:p>
    <w:p w14:paraId="6F4AF21C" w14:textId="30D998B9" w:rsidR="00F30596" w:rsidRPr="00F30596" w:rsidRDefault="00F30596" w:rsidP="009E03A7">
      <w:pPr>
        <w:pStyle w:val="C-BodyText"/>
      </w:pPr>
      <w:r w:rsidRPr="00D61AFC">
        <w:t>Severe hepatic impairment (Child-Pugh C).</w:t>
      </w:r>
    </w:p>
    <w:p w14:paraId="1A2FE90A" w14:textId="77777777" w:rsidR="009E03A7" w:rsidRPr="009E03A7" w:rsidRDefault="00A3708B" w:rsidP="00D916AC">
      <w:pPr>
        <w:pStyle w:val="Heading2"/>
        <w:ind w:left="0" w:hanging="426"/>
        <w:rPr>
          <w:rFonts w:ascii="Times New Roman" w:eastAsiaTheme="majorEastAsia" w:hAnsi="Times New Roman" w:cs="Times New Roman"/>
          <w:b w:val="0"/>
          <w:bCs/>
          <w:smallCaps w:val="0"/>
          <w:spacing w:val="-1"/>
          <w:sz w:val="22"/>
          <w:szCs w:val="28"/>
          <w:lang w:val="en-US"/>
        </w:rPr>
      </w:pPr>
      <w:r w:rsidRPr="003171B2">
        <w:rPr>
          <w:rFonts w:ascii="Times New Roman" w:eastAsiaTheme="majorEastAsia" w:hAnsi="Times New Roman" w:cs="Times New Roman"/>
          <w:b w:val="0"/>
          <w:bCs/>
          <w:smallCaps w:val="0"/>
          <w:spacing w:val="-1"/>
          <w:sz w:val="26"/>
          <w:szCs w:val="26"/>
          <w:lang w:val="en-US"/>
        </w:rPr>
        <w:t>Special warnings and precautions for u</w:t>
      </w:r>
      <w:r w:rsidR="00BC7299" w:rsidRPr="003171B2">
        <w:rPr>
          <w:rFonts w:ascii="Times New Roman" w:eastAsiaTheme="majorEastAsia" w:hAnsi="Times New Roman" w:cs="Times New Roman"/>
          <w:b w:val="0"/>
          <w:bCs/>
          <w:smallCaps w:val="0"/>
          <w:spacing w:val="-1"/>
          <w:sz w:val="26"/>
          <w:szCs w:val="26"/>
          <w:lang w:val="en-US"/>
        </w:rPr>
        <w:t>se</w:t>
      </w:r>
    </w:p>
    <w:p w14:paraId="1F82AC2A" w14:textId="77777777" w:rsidR="009E03A7" w:rsidRPr="009E03A7" w:rsidRDefault="00AF331A" w:rsidP="009E03A7">
      <w:pPr>
        <w:pStyle w:val="Heading4"/>
      </w:pPr>
      <w:r w:rsidRPr="009E03A7">
        <w:t>Diarrhoea</w:t>
      </w:r>
    </w:p>
    <w:p w14:paraId="008C95B2" w14:textId="0267CAD3" w:rsidR="00D10AB4" w:rsidRPr="00D10AB4" w:rsidRDefault="00D10AB4" w:rsidP="009E03A7">
      <w:pPr>
        <w:pStyle w:val="C-BodyText"/>
        <w:rPr>
          <w:rFonts w:eastAsiaTheme="majorEastAsia"/>
          <w:b/>
          <w:smallCaps/>
        </w:rPr>
      </w:pPr>
      <w:r w:rsidRPr="00D10AB4">
        <w:rPr>
          <w:rFonts w:eastAsiaTheme="majorEastAsia"/>
        </w:rPr>
        <w:t>Diarrhoea has been report</w:t>
      </w:r>
      <w:r>
        <w:rPr>
          <w:rFonts w:eastAsiaTheme="majorEastAsia"/>
        </w:rPr>
        <w:t>ed during treatment with NERLYNX</w:t>
      </w:r>
      <w:r w:rsidR="002F3BF6">
        <w:rPr>
          <w:rFonts w:eastAsiaTheme="majorEastAsia"/>
        </w:rPr>
        <w:t>.</w:t>
      </w:r>
      <w:r w:rsidR="005C3F31">
        <w:rPr>
          <w:rFonts w:eastAsiaTheme="majorEastAsia"/>
        </w:rPr>
        <w:t xml:space="preserve"> </w:t>
      </w:r>
      <w:r w:rsidRPr="00D10AB4">
        <w:rPr>
          <w:rFonts w:eastAsiaTheme="majorEastAsia"/>
        </w:rPr>
        <w:t>The diarrhoea may be severe and associated with dehydration.</w:t>
      </w:r>
      <w:r>
        <w:rPr>
          <w:rFonts w:eastAsiaTheme="majorEastAsia"/>
        </w:rPr>
        <w:t xml:space="preserve"> </w:t>
      </w:r>
      <w:r w:rsidRPr="00D10AB4">
        <w:rPr>
          <w:rFonts w:eastAsiaTheme="majorEastAsia"/>
        </w:rPr>
        <w:t>Diarrhoea generally occurs early during the first or second week of treatment wit</w:t>
      </w:r>
      <w:r>
        <w:rPr>
          <w:rFonts w:eastAsiaTheme="majorEastAsia"/>
        </w:rPr>
        <w:t>h NERLYNX</w:t>
      </w:r>
      <w:r w:rsidRPr="00D10AB4">
        <w:rPr>
          <w:rFonts w:eastAsiaTheme="majorEastAsia"/>
        </w:rPr>
        <w:t xml:space="preserve"> and may be recurrent.</w:t>
      </w:r>
      <w:r w:rsidR="0064429D">
        <w:rPr>
          <w:rFonts w:eastAsiaTheme="majorEastAsia"/>
        </w:rPr>
        <w:t xml:space="preserve"> (see </w:t>
      </w:r>
      <w:r w:rsidR="0064429D" w:rsidRPr="005C3F31">
        <w:rPr>
          <w:rFonts w:eastAsiaTheme="majorEastAsia"/>
          <w:i/>
        </w:rPr>
        <w:t>Section 4.2 Dose and method of administration and Section 4.8 Adverse effects [Undesirable effects]).</w:t>
      </w:r>
    </w:p>
    <w:p w14:paraId="31E5AC11" w14:textId="7F5B4686" w:rsidR="00D10AB4" w:rsidRPr="00D10AB4" w:rsidRDefault="00D10AB4" w:rsidP="009E03A7">
      <w:pPr>
        <w:pStyle w:val="C-BodyText"/>
        <w:rPr>
          <w:rFonts w:eastAsiaTheme="majorEastAsia"/>
          <w:b/>
          <w:smallCaps/>
        </w:rPr>
      </w:pPr>
      <w:r w:rsidRPr="00D10AB4">
        <w:rPr>
          <w:rFonts w:eastAsiaTheme="majorEastAsia"/>
        </w:rPr>
        <w:t>Patients should be instructed to initiate prophylactic treatment with an anti-dia</w:t>
      </w:r>
      <w:r w:rsidR="00D916AC">
        <w:rPr>
          <w:rFonts w:eastAsiaTheme="majorEastAsia"/>
        </w:rPr>
        <w:t>rrhoeal medicinal product (e.g.,</w:t>
      </w:r>
      <w:r w:rsidRPr="00D10AB4">
        <w:rPr>
          <w:rFonts w:eastAsiaTheme="majorEastAsia"/>
        </w:rPr>
        <w:t xml:space="preserve"> loperamide)</w:t>
      </w:r>
      <w:r>
        <w:rPr>
          <w:rFonts w:eastAsiaTheme="majorEastAsia"/>
        </w:rPr>
        <w:t xml:space="preserve"> with the first dose of NERLYNX</w:t>
      </w:r>
      <w:r w:rsidRPr="00D10AB4">
        <w:rPr>
          <w:rFonts w:eastAsiaTheme="majorEastAsia"/>
        </w:rPr>
        <w:t>, and maintain regular dosing of the anti-diarrhoeal medicinal product during</w:t>
      </w:r>
      <w:r>
        <w:rPr>
          <w:rFonts w:eastAsiaTheme="majorEastAsia"/>
        </w:rPr>
        <w:t xml:space="preserve"> the first 1-2 months of NERLYNX</w:t>
      </w:r>
      <w:r w:rsidRPr="00D10AB4">
        <w:rPr>
          <w:rFonts w:eastAsiaTheme="majorEastAsia"/>
        </w:rPr>
        <w:t xml:space="preserve"> treatment, titrating to 1-2 bowel movements per day, and continue prophylactic anti-diarrhoeal medicinal product (e.g., loperamide) for su</w:t>
      </w:r>
      <w:r w:rsidR="00C55469">
        <w:rPr>
          <w:rFonts w:eastAsiaTheme="majorEastAsia"/>
        </w:rPr>
        <w:t xml:space="preserve">bsequent months as needed </w:t>
      </w:r>
      <w:r w:rsidR="00194641">
        <w:rPr>
          <w:rFonts w:eastAsiaTheme="majorEastAsia"/>
        </w:rPr>
        <w:t>p</w:t>
      </w:r>
      <w:r w:rsidRPr="00D10AB4">
        <w:rPr>
          <w:rFonts w:eastAsiaTheme="majorEastAsia"/>
        </w:rPr>
        <w:t>roactive management of diarrhoea including adequate hydration combined with anti-diarrhoeal medicinal product</w:t>
      </w:r>
      <w:r w:rsidR="00C933D9">
        <w:rPr>
          <w:rFonts w:eastAsiaTheme="majorEastAsia"/>
        </w:rPr>
        <w:t>,</w:t>
      </w:r>
      <w:r w:rsidR="00E41FEC">
        <w:rPr>
          <w:rFonts w:eastAsiaTheme="majorEastAsia"/>
        </w:rPr>
        <w:t xml:space="preserve"> </w:t>
      </w:r>
      <w:r w:rsidRPr="00D10AB4">
        <w:rPr>
          <w:rFonts w:eastAsiaTheme="majorEastAsia"/>
        </w:rPr>
        <w:t>especially within</w:t>
      </w:r>
      <w:r>
        <w:rPr>
          <w:rFonts w:eastAsiaTheme="majorEastAsia"/>
        </w:rPr>
        <w:t xml:space="preserve"> the first 1-2 months of NERLYNX</w:t>
      </w:r>
      <w:r w:rsidRPr="00D10AB4">
        <w:rPr>
          <w:rFonts w:eastAsiaTheme="majorEastAsia"/>
        </w:rPr>
        <w:t xml:space="preserve"> treatment, should start at the first signs of diarrhoea. As necessary, the dose of anti-diarrhoeal medicinal product should be escalated to the highest recommended approved dose; they should be readily available to patients </w:t>
      </w:r>
      <w:r w:rsidR="00194641">
        <w:rPr>
          <w:rFonts w:eastAsiaTheme="majorEastAsia"/>
        </w:rPr>
        <w:t xml:space="preserve">and </w:t>
      </w:r>
      <w:r w:rsidRPr="00D10AB4">
        <w:rPr>
          <w:rFonts w:eastAsiaTheme="majorEastAsia"/>
        </w:rPr>
        <w:t>continued until loose bowel movements cease for 12 hours.</w:t>
      </w:r>
    </w:p>
    <w:p w14:paraId="3769617D" w14:textId="77777777" w:rsidR="009E03A7" w:rsidRDefault="00D10AB4" w:rsidP="009E03A7">
      <w:pPr>
        <w:pStyle w:val="C-BodyText"/>
        <w:rPr>
          <w:rFonts w:eastAsiaTheme="majorEastAsia"/>
          <w:b/>
          <w:smallCaps/>
        </w:rPr>
      </w:pPr>
      <w:r w:rsidRPr="00D10AB4">
        <w:rPr>
          <w:rFonts w:eastAsiaTheme="majorEastAsia"/>
        </w:rPr>
        <w:t>Severe diarrhoea occurrences, despite prophylaxis treatment, should be aggressively managed with electrolytes and fluids replacement, and/or interruption, reduction, or discont</w:t>
      </w:r>
      <w:r>
        <w:rPr>
          <w:rFonts w:eastAsiaTheme="majorEastAsia"/>
        </w:rPr>
        <w:t>inuation of therapy with NERLYNX</w:t>
      </w:r>
      <w:r w:rsidR="0081559A">
        <w:rPr>
          <w:rFonts w:eastAsiaTheme="majorEastAsia"/>
        </w:rPr>
        <w:t>.</w:t>
      </w:r>
    </w:p>
    <w:p w14:paraId="14844191" w14:textId="77777777" w:rsidR="009E03A7" w:rsidRDefault="008258F4" w:rsidP="009E03A7">
      <w:pPr>
        <w:pStyle w:val="Heading4"/>
        <w:rPr>
          <w:b/>
          <w:smallCaps/>
        </w:rPr>
      </w:pPr>
      <w:r w:rsidRPr="003171B2">
        <w:t>Patients with a significant chronic gastrointestinal disorder</w:t>
      </w:r>
    </w:p>
    <w:p w14:paraId="5F88012E" w14:textId="77777777" w:rsidR="009E03A7" w:rsidRDefault="008258F4" w:rsidP="009E03A7">
      <w:pPr>
        <w:pStyle w:val="C-BodyText"/>
        <w:rPr>
          <w:rFonts w:eastAsiaTheme="majorEastAsia"/>
          <w:b/>
          <w:smallCaps/>
        </w:rPr>
      </w:pPr>
      <w:r w:rsidRPr="003171B2">
        <w:rPr>
          <w:rFonts w:eastAsiaTheme="majorEastAsia"/>
        </w:rPr>
        <w:t xml:space="preserve">Patients with a significant chronic gastrointestinal disorder with diarrhoea as a major symptom were not included in the pivotal </w:t>
      </w:r>
      <w:r w:rsidR="00BC1A45" w:rsidRPr="003171B2">
        <w:rPr>
          <w:rFonts w:eastAsiaTheme="majorEastAsia"/>
        </w:rPr>
        <w:t>study and</w:t>
      </w:r>
      <w:r w:rsidRPr="003171B2">
        <w:rPr>
          <w:rFonts w:eastAsiaTheme="majorEastAsia"/>
        </w:rPr>
        <w:t xml:space="preserve"> should be carefully monitored.</w:t>
      </w:r>
    </w:p>
    <w:p w14:paraId="40501C8F" w14:textId="77777777" w:rsidR="009E03A7" w:rsidRDefault="003171B2" w:rsidP="009E03A7">
      <w:pPr>
        <w:pStyle w:val="Heading4"/>
        <w:rPr>
          <w:b/>
          <w:smallCaps/>
        </w:rPr>
      </w:pPr>
      <w:r w:rsidRPr="003171B2">
        <w:t>Left ventricular function</w:t>
      </w:r>
    </w:p>
    <w:p w14:paraId="250B8DB6" w14:textId="292C6AD1" w:rsidR="003171B2" w:rsidRPr="003171B2" w:rsidRDefault="003171B2" w:rsidP="009E03A7">
      <w:pPr>
        <w:pStyle w:val="C-BodyText"/>
        <w:rPr>
          <w:rFonts w:eastAsiaTheme="majorEastAsia"/>
        </w:rPr>
      </w:pPr>
      <w:r w:rsidRPr="00C40C4A">
        <w:rPr>
          <w:rFonts w:eastAsiaTheme="majorEastAsia"/>
        </w:rPr>
        <w:t>Left ventricular dysfunction has been associat</w:t>
      </w:r>
      <w:r w:rsidR="00C40C4A">
        <w:rPr>
          <w:rFonts w:eastAsiaTheme="majorEastAsia"/>
        </w:rPr>
        <w:t>ed with HER2 inhibition. NERLYNX</w:t>
      </w:r>
      <w:r w:rsidRPr="00C40C4A">
        <w:rPr>
          <w:rFonts w:eastAsiaTheme="majorEastAsia"/>
        </w:rPr>
        <w:t xml:space="preserve"> has not been studied in patients with less than lower limit of normal left ventricular ejection fraction (LVEF) or with significant cardiac history. In patients with known cardiac risk factors, conduct cardiac monitoring, including assessment of LVEF, as clinically indicated.</w:t>
      </w:r>
    </w:p>
    <w:p w14:paraId="4748476C" w14:textId="77777777" w:rsidR="003171B2" w:rsidRPr="003171B2" w:rsidRDefault="003171B2" w:rsidP="00E50C4B">
      <w:pPr>
        <w:pStyle w:val="Heading4"/>
      </w:pPr>
      <w:r w:rsidRPr="003171B2">
        <w:t>Skin and subcutaneous tissue disorders</w:t>
      </w:r>
    </w:p>
    <w:p w14:paraId="3AE8DEF0" w14:textId="1D69A43D" w:rsidR="003171B2" w:rsidRPr="003171B2" w:rsidRDefault="00C40C4A" w:rsidP="00E50C4B">
      <w:pPr>
        <w:pStyle w:val="C-BodyText"/>
        <w:rPr>
          <w:rFonts w:eastAsiaTheme="majorEastAsia"/>
        </w:rPr>
      </w:pPr>
      <w:r>
        <w:rPr>
          <w:rFonts w:eastAsiaTheme="majorEastAsia"/>
        </w:rPr>
        <w:t>NERLYNX</w:t>
      </w:r>
      <w:r w:rsidR="003171B2" w:rsidRPr="003171B2">
        <w:rPr>
          <w:rFonts w:eastAsiaTheme="majorEastAsia"/>
        </w:rPr>
        <w:t xml:space="preserve"> is associated with skin and subcutaneous tissue disorders. Patients with symptomatic skin and subcutaneous tissue disorders shou</w:t>
      </w:r>
      <w:r w:rsidR="005C3F31">
        <w:rPr>
          <w:rFonts w:eastAsiaTheme="majorEastAsia"/>
        </w:rPr>
        <w:t>ld be carefully monitored</w:t>
      </w:r>
      <w:r w:rsidR="00DE21FC">
        <w:rPr>
          <w:rFonts w:eastAsiaTheme="majorEastAsia"/>
        </w:rPr>
        <w:t>.</w:t>
      </w:r>
    </w:p>
    <w:p w14:paraId="6B790B79" w14:textId="77777777" w:rsidR="00E50C4B" w:rsidRDefault="008258F4" w:rsidP="00E50C4B">
      <w:pPr>
        <w:pStyle w:val="Heading4"/>
      </w:pPr>
      <w:r w:rsidRPr="003171B2">
        <w:lastRenderedPageBreak/>
        <w:t>Use in hepatic impairment</w:t>
      </w:r>
    </w:p>
    <w:p w14:paraId="535931DD" w14:textId="77777777" w:rsidR="00E50C4B" w:rsidRDefault="008258F4" w:rsidP="00E50C4B">
      <w:pPr>
        <w:pStyle w:val="C-BodyText"/>
        <w:rPr>
          <w:rFonts w:eastAsiaTheme="majorEastAsia"/>
        </w:rPr>
      </w:pPr>
      <w:r w:rsidRPr="00866EF3">
        <w:rPr>
          <w:rFonts w:eastAsiaTheme="majorEastAsia"/>
        </w:rPr>
        <w:t>In patients with severe hepatic impairment (Child-Pugh C) there is a 2.8-fold increase</w:t>
      </w:r>
      <w:r w:rsidR="00F96C71">
        <w:rPr>
          <w:rFonts w:eastAsiaTheme="majorEastAsia"/>
        </w:rPr>
        <w:t xml:space="preserve"> of exposure to neratinib (see </w:t>
      </w:r>
      <w:r w:rsidR="00F96C71" w:rsidRPr="00DF7AB9">
        <w:rPr>
          <w:rFonts w:eastAsiaTheme="majorEastAsia"/>
          <w:b/>
          <w:i/>
        </w:rPr>
        <w:t>S</w:t>
      </w:r>
      <w:r w:rsidRPr="00DF7AB9">
        <w:rPr>
          <w:rFonts w:eastAsiaTheme="majorEastAsia"/>
          <w:b/>
          <w:i/>
        </w:rPr>
        <w:t>ection 5.2</w:t>
      </w:r>
      <w:r w:rsidR="00F96C71" w:rsidRPr="00DF7AB9">
        <w:rPr>
          <w:rFonts w:eastAsiaTheme="majorEastAsia"/>
          <w:b/>
          <w:i/>
        </w:rPr>
        <w:t xml:space="preserve"> Pharmacokinetic properties</w:t>
      </w:r>
      <w:r w:rsidRPr="00866EF3">
        <w:rPr>
          <w:rFonts w:eastAsiaTheme="majorEastAsia"/>
        </w:rPr>
        <w:t>).</w:t>
      </w:r>
    </w:p>
    <w:p w14:paraId="640E5AD9" w14:textId="77777777" w:rsidR="00E50C4B" w:rsidRDefault="008258F4" w:rsidP="00E50C4B">
      <w:pPr>
        <w:pStyle w:val="C-BodyText"/>
        <w:rPr>
          <w:rFonts w:eastAsiaTheme="majorEastAsia"/>
        </w:rPr>
      </w:pPr>
      <w:r w:rsidRPr="00866EF3">
        <w:rPr>
          <w:rFonts w:eastAsiaTheme="majorEastAsia"/>
        </w:rPr>
        <w:t xml:space="preserve">Hepatotoxicity has been reported </w:t>
      </w:r>
      <w:r w:rsidR="00C40C4A">
        <w:rPr>
          <w:rFonts w:eastAsiaTheme="majorEastAsia"/>
        </w:rPr>
        <w:t>in patients treated with NERLYNX</w:t>
      </w:r>
      <w:r w:rsidRPr="00866EF3">
        <w:rPr>
          <w:rFonts w:eastAsiaTheme="majorEastAsia"/>
        </w:rPr>
        <w:t>. Liver function tests including alanine aminotransferase (ALT), aspartate aminotransferase (AST), and total bilirubin should be monitored at 1 week, then monthly for the first 3 months and every 6 weeks thereafter while on treatment o</w:t>
      </w:r>
      <w:r w:rsidR="00F96C71">
        <w:rPr>
          <w:rFonts w:eastAsiaTheme="majorEastAsia"/>
        </w:rPr>
        <w:t xml:space="preserve">r as clinically indicated (see </w:t>
      </w:r>
      <w:r w:rsidR="00F96C71" w:rsidRPr="001A1F4B">
        <w:rPr>
          <w:rFonts w:eastAsiaTheme="majorEastAsia"/>
          <w:b/>
          <w:i/>
        </w:rPr>
        <w:t>S</w:t>
      </w:r>
      <w:r w:rsidRPr="001A1F4B">
        <w:rPr>
          <w:rFonts w:eastAsiaTheme="majorEastAsia"/>
          <w:b/>
          <w:i/>
        </w:rPr>
        <w:t>ection 4.2</w:t>
      </w:r>
      <w:r w:rsidR="00F96C71" w:rsidRPr="001A1F4B">
        <w:rPr>
          <w:rFonts w:eastAsiaTheme="majorEastAsia"/>
          <w:b/>
          <w:i/>
        </w:rPr>
        <w:t xml:space="preserve"> Dose and method of administration</w:t>
      </w:r>
      <w:r w:rsidRPr="00866EF3">
        <w:rPr>
          <w:rFonts w:eastAsiaTheme="majorEastAsia"/>
        </w:rPr>
        <w:t>).</w:t>
      </w:r>
    </w:p>
    <w:p w14:paraId="5AA45019" w14:textId="77777777" w:rsidR="00E50C4B" w:rsidRDefault="00866EF3" w:rsidP="00E50C4B">
      <w:pPr>
        <w:pStyle w:val="Heading4"/>
      </w:pPr>
      <w:r w:rsidRPr="003171B2">
        <w:t>Use in renal impairment</w:t>
      </w:r>
    </w:p>
    <w:p w14:paraId="64F19AC4" w14:textId="59F5ACC6" w:rsidR="009326D2" w:rsidRDefault="00866EF3" w:rsidP="00E50C4B">
      <w:pPr>
        <w:pStyle w:val="C-BodyText"/>
        <w:rPr>
          <w:rFonts w:eastAsiaTheme="majorEastAsia"/>
        </w:rPr>
      </w:pPr>
      <w:r w:rsidRPr="00866EF3">
        <w:rPr>
          <w:rFonts w:eastAsiaTheme="majorEastAsia"/>
        </w:rPr>
        <w:t>Patients with renal impairment are at a higher risk of complications of dehydration if they develop diarrhoea, and these patients shou</w:t>
      </w:r>
      <w:r w:rsidR="00F96C71">
        <w:rPr>
          <w:rFonts w:eastAsiaTheme="majorEastAsia"/>
        </w:rPr>
        <w:t xml:space="preserve">ld be carefully monitored (see </w:t>
      </w:r>
      <w:r w:rsidR="00F96C71" w:rsidRPr="001A1F4B">
        <w:rPr>
          <w:rFonts w:eastAsiaTheme="majorEastAsia"/>
          <w:b/>
          <w:i/>
        </w:rPr>
        <w:t>S</w:t>
      </w:r>
      <w:r w:rsidRPr="001A1F4B">
        <w:rPr>
          <w:rFonts w:eastAsiaTheme="majorEastAsia"/>
          <w:b/>
          <w:i/>
        </w:rPr>
        <w:t>ection 4.2</w:t>
      </w:r>
      <w:r w:rsidR="00F96C71" w:rsidRPr="001A1F4B">
        <w:rPr>
          <w:rFonts w:eastAsiaTheme="majorEastAsia"/>
          <w:b/>
          <w:i/>
        </w:rPr>
        <w:t xml:space="preserve"> Dose and method of administration</w:t>
      </w:r>
      <w:r w:rsidRPr="009326D2">
        <w:rPr>
          <w:rFonts w:eastAsiaTheme="majorEastAsia"/>
        </w:rPr>
        <w:t>).</w:t>
      </w:r>
    </w:p>
    <w:p w14:paraId="22DF122E" w14:textId="511BDE6A" w:rsidR="00866EF3" w:rsidRPr="009326D2" w:rsidRDefault="009326D2" w:rsidP="00E50C4B">
      <w:pPr>
        <w:pStyle w:val="C-BodyText"/>
        <w:rPr>
          <w:rFonts w:eastAsiaTheme="majorEastAsia"/>
          <w:b/>
          <w:smallCaps/>
          <w:spacing w:val="-1"/>
        </w:rPr>
      </w:pPr>
      <w:r w:rsidRPr="004939EE">
        <w:rPr>
          <w:rFonts w:eastAsiaTheme="majorEastAsia"/>
        </w:rPr>
        <w:t xml:space="preserve">NERLYNX has not been studied in patients with severe renal impairment including patients on dialysis. Treatment of patients with severe renal impairment or on dialysis is not recommended (see </w:t>
      </w:r>
      <w:r w:rsidRPr="00E50C4B">
        <w:rPr>
          <w:rFonts w:eastAsiaTheme="majorEastAsia"/>
          <w:b/>
          <w:i/>
        </w:rPr>
        <w:t>Section 5.2 Pharmacokinetic properties</w:t>
      </w:r>
      <w:r w:rsidRPr="004939EE">
        <w:rPr>
          <w:rFonts w:eastAsiaTheme="majorEastAsia"/>
        </w:rPr>
        <w:t>).</w:t>
      </w:r>
    </w:p>
    <w:p w14:paraId="2E4B888F" w14:textId="77777777" w:rsidR="00E50C4B" w:rsidRDefault="00077EC3" w:rsidP="00E50C4B">
      <w:pPr>
        <w:pStyle w:val="Heading4"/>
        <w:rPr>
          <w:b/>
          <w:smallCaps/>
        </w:rPr>
      </w:pPr>
      <w:r w:rsidRPr="003171B2">
        <w:t>Use in the elderly</w:t>
      </w:r>
    </w:p>
    <w:p w14:paraId="03961C30" w14:textId="37160E7C" w:rsidR="00077EC3" w:rsidRPr="003171B2" w:rsidRDefault="00077EC3" w:rsidP="00E50C4B">
      <w:pPr>
        <w:pStyle w:val="C-BodyText"/>
        <w:rPr>
          <w:rFonts w:eastAsiaTheme="majorEastAsia"/>
          <w:b/>
          <w:smallCaps/>
        </w:rPr>
      </w:pPr>
      <w:r w:rsidRPr="003171B2">
        <w:rPr>
          <w:rFonts w:eastAsiaTheme="majorEastAsia"/>
        </w:rPr>
        <w:t>Elderly patients (≥65 years of age) are at a higher risk of renal insufficiency and dehydration which may be a complication of diarrhoea and these patients should be carefully monitored.</w:t>
      </w:r>
    </w:p>
    <w:p w14:paraId="0BD2CCBF" w14:textId="40871D5C" w:rsidR="00B42C60" w:rsidRPr="00D10F1C" w:rsidRDefault="00866EF3" w:rsidP="00E50C4B">
      <w:pPr>
        <w:pStyle w:val="Heading4"/>
        <w:rPr>
          <w:b/>
          <w:smallCaps/>
        </w:rPr>
      </w:pPr>
      <w:r w:rsidRPr="00D10F1C">
        <w:t>Paediatric use</w:t>
      </w:r>
    </w:p>
    <w:p w14:paraId="31B7CFF4" w14:textId="77777777" w:rsidR="00573CAB" w:rsidRDefault="00447A8F" w:rsidP="00E50C4B">
      <w:pPr>
        <w:pStyle w:val="C-BodyText"/>
        <w:rPr>
          <w:b/>
          <w:smallCaps/>
        </w:rPr>
      </w:pPr>
      <w:r w:rsidRPr="00447A8F">
        <w:t xml:space="preserve">The safety and efficacy of </w:t>
      </w:r>
      <w:r>
        <w:t>NERLYNX</w:t>
      </w:r>
      <w:r w:rsidRPr="00447A8F">
        <w:t xml:space="preserve"> in the paediatric population has not been studied in</w:t>
      </w:r>
      <w:r>
        <w:t xml:space="preserve"> breast cancer.</w:t>
      </w:r>
    </w:p>
    <w:p w14:paraId="461185C9" w14:textId="77777777" w:rsidR="00573CAB" w:rsidRDefault="00573CAB" w:rsidP="00E50C4B">
      <w:pPr>
        <w:pStyle w:val="Heading4"/>
        <w:rPr>
          <w:b/>
          <w:smallCaps/>
        </w:rPr>
      </w:pPr>
      <w:r>
        <w:t>Effects on laboratory tests</w:t>
      </w:r>
    </w:p>
    <w:p w14:paraId="669AAB2B" w14:textId="256BB147" w:rsidR="00077EC3" w:rsidRPr="00573CAB" w:rsidRDefault="00573CAB" w:rsidP="00E50C4B">
      <w:pPr>
        <w:pStyle w:val="C-BodyText"/>
        <w:rPr>
          <w:rFonts w:eastAsiaTheme="majorEastAsia"/>
          <w:b/>
          <w:smallCaps/>
        </w:rPr>
      </w:pPr>
      <w:r w:rsidRPr="00573CAB">
        <w:rPr>
          <w:rFonts w:eastAsiaTheme="majorEastAsia"/>
        </w:rPr>
        <w:t>No data available.</w:t>
      </w:r>
    </w:p>
    <w:p w14:paraId="21566B78" w14:textId="77777777" w:rsidR="00E50C4B" w:rsidRPr="00E50C4B" w:rsidRDefault="001A3992" w:rsidP="0050117A">
      <w:pPr>
        <w:pStyle w:val="Heading2"/>
        <w:spacing w:before="0" w:after="0"/>
        <w:ind w:left="0" w:hanging="426"/>
        <w:rPr>
          <w:rFonts w:ascii="Times New Roman" w:eastAsiaTheme="majorEastAsia" w:hAnsi="Times New Roman" w:cs="Times New Roman"/>
          <w:b w:val="0"/>
          <w:bCs/>
          <w:smallCaps w:val="0"/>
          <w:spacing w:val="-1"/>
          <w:sz w:val="22"/>
          <w:szCs w:val="28"/>
          <w:lang w:val="en-US"/>
        </w:rPr>
      </w:pPr>
      <w:r w:rsidRPr="00077EC3">
        <w:rPr>
          <w:rFonts w:ascii="Times New Roman" w:eastAsiaTheme="majorEastAsia" w:hAnsi="Times New Roman" w:cs="Times New Roman"/>
          <w:b w:val="0"/>
          <w:bCs/>
          <w:smallCaps w:val="0"/>
          <w:sz w:val="26"/>
          <w:szCs w:val="26"/>
        </w:rPr>
        <w:t>Interactions with other medicines and other forms of interactions</w:t>
      </w:r>
    </w:p>
    <w:p w14:paraId="2C9F6E69" w14:textId="77777777" w:rsidR="00E50C4B" w:rsidRDefault="00156494" w:rsidP="00E50C4B">
      <w:pPr>
        <w:pStyle w:val="Heading4"/>
        <w:rPr>
          <w:b/>
          <w:smallCaps/>
        </w:rPr>
      </w:pPr>
      <w:r w:rsidRPr="00077EC3">
        <w:t>Effects of other substances on neratinib</w:t>
      </w:r>
    </w:p>
    <w:p w14:paraId="50C57EF0" w14:textId="77777777" w:rsidR="00E50C4B" w:rsidRDefault="00156494" w:rsidP="00E50C4B">
      <w:pPr>
        <w:pStyle w:val="Heading3"/>
        <w:rPr>
          <w:b/>
          <w:smallCaps/>
        </w:rPr>
      </w:pPr>
      <w:r w:rsidRPr="00077EC3">
        <w:t>CYP3A4 inhibitors</w:t>
      </w:r>
    </w:p>
    <w:p w14:paraId="0D05378D" w14:textId="77777777" w:rsidR="00E50C4B" w:rsidRDefault="00156494" w:rsidP="00E50C4B">
      <w:pPr>
        <w:pStyle w:val="C-BodyText"/>
        <w:rPr>
          <w:rFonts w:eastAsiaTheme="majorEastAsia"/>
        </w:rPr>
      </w:pPr>
      <w:r w:rsidRPr="00077EC3">
        <w:rPr>
          <w:rFonts w:eastAsiaTheme="majorEastAsia"/>
        </w:rPr>
        <w:t>Co-administration of a single oral dose of 240 mg of neratinib in the presence of ketoconazole (400 mg once daily for 5 days), a strong CYP3A4 inhibitor, increased neratinib systemic exposure. The C</w:t>
      </w:r>
      <w:r w:rsidRPr="0050117A">
        <w:rPr>
          <w:rFonts w:eastAsiaTheme="majorEastAsia"/>
          <w:vertAlign w:val="subscript"/>
        </w:rPr>
        <w:t>max</w:t>
      </w:r>
      <w:r w:rsidRPr="00077EC3">
        <w:rPr>
          <w:rFonts w:eastAsiaTheme="majorEastAsia"/>
        </w:rPr>
        <w:t xml:space="preserve"> of neratinib increased by </w:t>
      </w:r>
      <w:r w:rsidR="000951B4" w:rsidRPr="00077EC3">
        <w:rPr>
          <w:rFonts w:eastAsiaTheme="majorEastAsia"/>
        </w:rPr>
        <w:t>3.2-fold</w:t>
      </w:r>
      <w:r w:rsidRPr="00077EC3">
        <w:rPr>
          <w:rFonts w:eastAsiaTheme="majorEastAsia"/>
        </w:rPr>
        <w:t xml:space="preserve"> and AUC increased by </w:t>
      </w:r>
      <w:r w:rsidR="000951B4" w:rsidRPr="00077EC3">
        <w:rPr>
          <w:rFonts w:eastAsiaTheme="majorEastAsia"/>
        </w:rPr>
        <w:t>4.8-fold</w:t>
      </w:r>
      <w:r w:rsidRPr="00077EC3">
        <w:rPr>
          <w:rFonts w:eastAsiaTheme="majorEastAsia"/>
        </w:rPr>
        <w:t xml:space="preserve"> when co-administered with ketoconazole, compared with neratinib administered alone. Simulations using physiologically-based pharmacokinetic (PBPK) models suggested that a moderate CYP3A4 inhibitor (fluconazole) may increase the C</w:t>
      </w:r>
      <w:r w:rsidRPr="0050117A">
        <w:rPr>
          <w:rFonts w:eastAsiaTheme="majorEastAsia"/>
          <w:vertAlign w:val="subscript"/>
        </w:rPr>
        <w:t>max</w:t>
      </w:r>
      <w:r w:rsidRPr="00077EC3">
        <w:rPr>
          <w:rFonts w:eastAsiaTheme="majorEastAsia"/>
        </w:rPr>
        <w:t xml:space="preserve"> and AUC of neratinib by 6% and 19%, respectively.</w:t>
      </w:r>
    </w:p>
    <w:p w14:paraId="78479909" w14:textId="77777777" w:rsidR="00E50C4B" w:rsidRDefault="00156494" w:rsidP="00E50C4B">
      <w:pPr>
        <w:pStyle w:val="C-BodyText"/>
        <w:rPr>
          <w:rFonts w:eastAsiaTheme="majorEastAsia"/>
        </w:rPr>
      </w:pPr>
      <w:r w:rsidRPr="00077EC3">
        <w:rPr>
          <w:rFonts w:eastAsiaTheme="majorEastAsia"/>
        </w:rPr>
        <w:t xml:space="preserve">Concomitant use of strong CYP3A4 inhibitors (e.g. atazanavir, indinavir, nefazodone, nelfinavir, ritonavir, saquinavir, ketoconazole, itraconazole, clarithromycin, telithromycin, and voriconazole) should be avoided. </w:t>
      </w:r>
      <w:r w:rsidR="009E6E85" w:rsidRPr="00077EC3">
        <w:rPr>
          <w:rFonts w:eastAsiaTheme="majorEastAsia"/>
        </w:rPr>
        <w:t>Grapefruit</w:t>
      </w:r>
      <w:r w:rsidR="009E6E85">
        <w:rPr>
          <w:rFonts w:eastAsiaTheme="majorEastAsia"/>
        </w:rPr>
        <w:t>,</w:t>
      </w:r>
      <w:r w:rsidR="009E6E85" w:rsidRPr="00077EC3">
        <w:rPr>
          <w:rFonts w:eastAsiaTheme="majorEastAsia"/>
        </w:rPr>
        <w:t xml:space="preserve"> grapefruit juice</w:t>
      </w:r>
      <w:r w:rsidR="009E6E85">
        <w:rPr>
          <w:rFonts w:eastAsiaTheme="majorEastAsia"/>
        </w:rPr>
        <w:t>, grapefruit hybrids, pomelos, star-fruit, and Seville oranges</w:t>
      </w:r>
      <w:r w:rsidR="009E6E85" w:rsidRPr="00077EC3">
        <w:rPr>
          <w:rFonts w:eastAsiaTheme="majorEastAsia"/>
        </w:rPr>
        <w:t xml:space="preserve"> may also increase neratinib plasma concentrations and should be avoided</w:t>
      </w:r>
      <w:r w:rsidRPr="00077EC3">
        <w:rPr>
          <w:rFonts w:eastAsiaTheme="majorEastAsia"/>
        </w:rPr>
        <w:t>.</w:t>
      </w:r>
    </w:p>
    <w:p w14:paraId="10F5492D" w14:textId="77777777" w:rsidR="00E50C4B" w:rsidRDefault="00156494" w:rsidP="00E50C4B">
      <w:pPr>
        <w:pStyle w:val="Heading3"/>
      </w:pPr>
      <w:r w:rsidRPr="00077EC3">
        <w:lastRenderedPageBreak/>
        <w:t>Proton pump inhibitors, H2-receptor antagonists and antacids</w:t>
      </w:r>
    </w:p>
    <w:p w14:paraId="6890D2F0" w14:textId="234EDF0B" w:rsidR="00E50C4B" w:rsidRDefault="00B90496" w:rsidP="00E50C4B">
      <w:pPr>
        <w:pStyle w:val="C-BodyText"/>
        <w:rPr>
          <w:rFonts w:eastAsiaTheme="majorEastAsia"/>
        </w:rPr>
      </w:pPr>
      <w:r w:rsidRPr="00B90496">
        <w:rPr>
          <w:rFonts w:eastAsiaTheme="majorEastAsia"/>
        </w:rPr>
        <w:t>Neratinib solubility decreases with increasing pH</w:t>
      </w:r>
      <w:r>
        <w:rPr>
          <w:rFonts w:eastAsiaTheme="majorEastAsia"/>
        </w:rPr>
        <w:t xml:space="preserve">. </w:t>
      </w:r>
      <w:r w:rsidR="00C85880" w:rsidRPr="00C85880">
        <w:rPr>
          <w:rFonts w:eastAsiaTheme="majorEastAsia"/>
        </w:rPr>
        <w:t xml:space="preserve">Drugs that alter the pH of the upper GI tract may alter the solubility of neratinib and hence its bioavailability. </w:t>
      </w:r>
      <w:r w:rsidR="00E771EB" w:rsidRPr="00E771EB">
        <w:rPr>
          <w:rFonts w:eastAsiaTheme="majorEastAsia"/>
        </w:rPr>
        <w:t>When a proton pump inhibitor (lansoprazole) was co-administered with NERLYNX the neratinib C</w:t>
      </w:r>
      <w:r w:rsidR="00E771EB" w:rsidRPr="00E771EB">
        <w:rPr>
          <w:rFonts w:eastAsiaTheme="majorEastAsia"/>
          <w:vertAlign w:val="subscript"/>
        </w:rPr>
        <w:t xml:space="preserve">max </w:t>
      </w:r>
      <w:r w:rsidR="00E771EB" w:rsidRPr="00E771EB">
        <w:rPr>
          <w:rFonts w:eastAsiaTheme="majorEastAsia"/>
        </w:rPr>
        <w:t>and AUC decreased by 71% and 65%, respectively</w:t>
      </w:r>
      <w:r w:rsidR="00C85880">
        <w:rPr>
          <w:rFonts w:eastAsiaTheme="majorEastAsia"/>
        </w:rPr>
        <w:t>.</w:t>
      </w:r>
      <w:r w:rsidR="00E771EB" w:rsidRPr="00E771EB">
        <w:rPr>
          <w:rFonts w:eastAsiaTheme="majorEastAsia"/>
        </w:rPr>
        <w:t xml:space="preserve"> When NERLYNX was administered 2 hours following a 300 mg dose of an H-2 receptor antagonist (ranitidine), the neratinib C</w:t>
      </w:r>
      <w:r w:rsidR="00E771EB" w:rsidRPr="00E771EB">
        <w:rPr>
          <w:rFonts w:eastAsiaTheme="majorEastAsia"/>
          <w:vertAlign w:val="subscript"/>
        </w:rPr>
        <w:t xml:space="preserve">max </w:t>
      </w:r>
      <w:r w:rsidR="00E771EB" w:rsidRPr="00E771EB">
        <w:rPr>
          <w:rFonts w:eastAsiaTheme="majorEastAsia"/>
        </w:rPr>
        <w:t>and AUC were reduced by 55% and 47%, respectively. When NERLYNX was administered 2 hours prior to ranitidine 150 mg twice daily (administered in the morning and evening, approximately 12 hours apart), the neratinib C</w:t>
      </w:r>
      <w:r w:rsidR="00E771EB" w:rsidRPr="00E771EB">
        <w:rPr>
          <w:rFonts w:eastAsiaTheme="majorEastAsia"/>
          <w:vertAlign w:val="subscript"/>
        </w:rPr>
        <w:t xml:space="preserve">max </w:t>
      </w:r>
      <w:r w:rsidR="00E771EB" w:rsidRPr="00E771EB">
        <w:rPr>
          <w:rFonts w:eastAsiaTheme="majorEastAsia"/>
        </w:rPr>
        <w:t>and AUC were reduced by 40% and 30%, respectively. Increasing the dose of NERLYNX when co-administered with gastric acid reducing agents is not likely to compensate for this loss of exposure</w:t>
      </w:r>
      <w:r w:rsidR="00DB4F2D">
        <w:rPr>
          <w:rFonts w:eastAsiaTheme="majorEastAsia"/>
        </w:rPr>
        <w:t xml:space="preserve"> (see </w:t>
      </w:r>
      <w:r w:rsidR="00DB4F2D" w:rsidRPr="00F96C71">
        <w:rPr>
          <w:rFonts w:eastAsiaTheme="majorEastAsia"/>
          <w:i/>
          <w:spacing w:val="-1"/>
          <w:szCs w:val="28"/>
        </w:rPr>
        <w:t>Section 4.2 Dose and method of administration</w:t>
      </w:r>
      <w:r w:rsidR="00DB4F2D">
        <w:rPr>
          <w:rFonts w:eastAsiaTheme="majorEastAsia"/>
          <w:i/>
        </w:rPr>
        <w:t>)</w:t>
      </w:r>
      <w:r w:rsidR="00E771EB" w:rsidRPr="00E771EB">
        <w:rPr>
          <w:rFonts w:eastAsiaTheme="majorEastAsia"/>
        </w:rPr>
        <w:t>.</w:t>
      </w:r>
    </w:p>
    <w:p w14:paraId="08F30C9D" w14:textId="07945F88" w:rsidR="00E50C4B" w:rsidRDefault="00156494" w:rsidP="00E50C4B">
      <w:pPr>
        <w:pStyle w:val="Heading3"/>
      </w:pPr>
      <w:r w:rsidRPr="00077EC3">
        <w:t>CYP3A4 inducers</w:t>
      </w:r>
    </w:p>
    <w:p w14:paraId="7E83F388" w14:textId="77777777" w:rsidR="00E50C4B" w:rsidRDefault="00156494" w:rsidP="00E50C4B">
      <w:pPr>
        <w:pStyle w:val="C-BodyText"/>
        <w:rPr>
          <w:rFonts w:eastAsiaTheme="majorEastAsia"/>
        </w:rPr>
      </w:pPr>
      <w:r w:rsidRPr="00077EC3">
        <w:rPr>
          <w:rFonts w:eastAsiaTheme="majorEastAsia"/>
        </w:rPr>
        <w:t>Following concomitant administration with repeated doses of 600 mg rifampin, a strong CYP3A4 inducer, neratinib exposures were significantly decreased with mean values that were 24% and 13% of reference values (neratinib administered alone) for C</w:t>
      </w:r>
      <w:r w:rsidRPr="0050117A">
        <w:rPr>
          <w:rFonts w:eastAsiaTheme="majorEastAsia"/>
          <w:vertAlign w:val="subscript"/>
        </w:rPr>
        <w:t>max</w:t>
      </w:r>
      <w:r w:rsidRPr="00077EC3">
        <w:rPr>
          <w:rFonts w:eastAsiaTheme="majorEastAsia"/>
        </w:rPr>
        <w:t xml:space="preserve"> and AUC, respectively.</w:t>
      </w:r>
    </w:p>
    <w:p w14:paraId="6C6720C3" w14:textId="77777777" w:rsidR="00E50C4B" w:rsidRDefault="00156494" w:rsidP="00E50C4B">
      <w:pPr>
        <w:pStyle w:val="C-BodyText"/>
        <w:rPr>
          <w:rFonts w:eastAsiaTheme="majorEastAsia"/>
        </w:rPr>
      </w:pPr>
      <w:r w:rsidRPr="00077EC3">
        <w:rPr>
          <w:rFonts w:eastAsiaTheme="majorEastAsia"/>
        </w:rPr>
        <w:t>Concurrent use of neratinib with potent CYP3A4 inducers (e.g. dexamethasone, phenytoin, carbamazepine, rifampin, phenobarbital or herbal preparations containing St John’s Wort/Hypericum perforatum) should be avoided.</w:t>
      </w:r>
    </w:p>
    <w:p w14:paraId="52DEB3EA" w14:textId="77777777" w:rsidR="00E50C4B" w:rsidRDefault="00156494" w:rsidP="00E50C4B">
      <w:pPr>
        <w:pStyle w:val="C-BodyText"/>
        <w:rPr>
          <w:rFonts w:eastAsiaTheme="majorEastAsia"/>
        </w:rPr>
      </w:pPr>
      <w:r w:rsidRPr="00077EC3">
        <w:rPr>
          <w:rFonts w:eastAsiaTheme="majorEastAsia"/>
        </w:rPr>
        <w:t>Simulations using PBPK models suggested that a moderate CYP3A4 inducer (efavirenz) may decrease the C</w:t>
      </w:r>
      <w:r w:rsidRPr="0050117A">
        <w:rPr>
          <w:rFonts w:eastAsiaTheme="majorEastAsia"/>
          <w:vertAlign w:val="subscript"/>
        </w:rPr>
        <w:t>max</w:t>
      </w:r>
      <w:r w:rsidRPr="00077EC3">
        <w:rPr>
          <w:rFonts w:eastAsiaTheme="majorEastAsia"/>
        </w:rPr>
        <w:t xml:space="preserve"> and AUC of neratinib by 12% and 32%, respectively.</w:t>
      </w:r>
    </w:p>
    <w:p w14:paraId="0BF7208C" w14:textId="2E25FCC4" w:rsidR="00E50C4B" w:rsidRDefault="00156494" w:rsidP="00E50C4B">
      <w:pPr>
        <w:pStyle w:val="Heading4"/>
      </w:pPr>
      <w:r w:rsidRPr="00077EC3">
        <w:t>Effects of neratinib on other substances</w:t>
      </w:r>
    </w:p>
    <w:p w14:paraId="1B3127BD" w14:textId="77777777" w:rsidR="00E50C4B" w:rsidRDefault="00156494" w:rsidP="00E50C4B">
      <w:pPr>
        <w:pStyle w:val="Heading3"/>
      </w:pPr>
      <w:r w:rsidRPr="0050117A">
        <w:t>Hormonal contraceptives</w:t>
      </w:r>
    </w:p>
    <w:p w14:paraId="7BD0CDA3" w14:textId="0F9F90C9" w:rsidR="00156494" w:rsidRPr="0050117A" w:rsidRDefault="00156494" w:rsidP="00E50C4B">
      <w:pPr>
        <w:pStyle w:val="C-BodyText"/>
        <w:rPr>
          <w:rFonts w:eastAsiaTheme="majorEastAsia"/>
          <w:b/>
          <w:smallCaps/>
          <w:spacing w:val="-1"/>
          <w:szCs w:val="28"/>
        </w:rPr>
      </w:pPr>
      <w:r w:rsidRPr="0050117A">
        <w:rPr>
          <w:rFonts w:eastAsiaTheme="majorEastAsia"/>
        </w:rPr>
        <w:t>It i</w:t>
      </w:r>
      <w:r w:rsidR="0050117A">
        <w:rPr>
          <w:rFonts w:eastAsiaTheme="majorEastAsia"/>
        </w:rPr>
        <w:t>s currently unknown whether NERLYNX</w:t>
      </w:r>
      <w:r w:rsidRPr="0050117A">
        <w:rPr>
          <w:rFonts w:eastAsiaTheme="majorEastAsia"/>
        </w:rPr>
        <w:t xml:space="preserve"> reduces the effectiveness of systemically acting hormonal contraceptives. Therefore, women using systemically acting hormonal contraceptives sh</w:t>
      </w:r>
      <w:r w:rsidR="001E41D8">
        <w:rPr>
          <w:rFonts w:eastAsiaTheme="majorEastAsia"/>
        </w:rPr>
        <w:t xml:space="preserve">ould add a barrier method (see </w:t>
      </w:r>
      <w:r w:rsidR="001E41D8" w:rsidRPr="00E50C4B">
        <w:rPr>
          <w:rFonts w:eastAsiaTheme="majorEastAsia"/>
          <w:b/>
          <w:i/>
        </w:rPr>
        <w:t>S</w:t>
      </w:r>
      <w:r w:rsidRPr="00E50C4B">
        <w:rPr>
          <w:rFonts w:eastAsiaTheme="majorEastAsia"/>
          <w:b/>
          <w:i/>
        </w:rPr>
        <w:t>ection 4.6</w:t>
      </w:r>
      <w:r w:rsidR="001E41D8" w:rsidRPr="00E50C4B">
        <w:rPr>
          <w:rFonts w:eastAsiaTheme="majorEastAsia"/>
          <w:b/>
          <w:i/>
        </w:rPr>
        <w:t xml:space="preserve"> Fertility, pregnancy and lactation</w:t>
      </w:r>
      <w:r w:rsidRPr="0050117A">
        <w:rPr>
          <w:rFonts w:eastAsiaTheme="majorEastAsia"/>
        </w:rPr>
        <w:t>).</w:t>
      </w:r>
    </w:p>
    <w:p w14:paraId="7FDA6B0D" w14:textId="77777777" w:rsidR="00E50C4B" w:rsidRDefault="00156494" w:rsidP="00E50C4B">
      <w:pPr>
        <w:pStyle w:val="Heading3"/>
        <w:rPr>
          <w:b/>
          <w:smallCaps/>
        </w:rPr>
      </w:pPr>
      <w:r w:rsidRPr="006B0BA1">
        <w:t>Breast cancer resistance protein inhibitors</w:t>
      </w:r>
    </w:p>
    <w:p w14:paraId="5378D34B" w14:textId="164A270B" w:rsidR="00156494" w:rsidRPr="006B0BA1" w:rsidRDefault="00156494" w:rsidP="00E50C4B">
      <w:pPr>
        <w:pStyle w:val="C-BodyText"/>
        <w:rPr>
          <w:rFonts w:eastAsiaTheme="majorEastAsia"/>
          <w:b/>
          <w:i/>
          <w:smallCaps/>
        </w:rPr>
      </w:pPr>
      <w:r w:rsidRPr="00156494">
        <w:rPr>
          <w:rFonts w:eastAsiaTheme="majorEastAsia"/>
        </w:rPr>
        <w:t xml:space="preserve">Neratinib may inhibit breast cancer resistance protein (BCRP) moderately as suggested by </w:t>
      </w:r>
      <w:r w:rsidRPr="00383122">
        <w:rPr>
          <w:rFonts w:eastAsiaTheme="majorEastAsia"/>
          <w:i/>
        </w:rPr>
        <w:t>in vitro</w:t>
      </w:r>
      <w:r w:rsidRPr="00156494">
        <w:rPr>
          <w:rFonts w:eastAsiaTheme="majorEastAsia"/>
        </w:rPr>
        <w:t xml:space="preserve"> studies. Clinical studies with BCRP substrates have not been conducted. Patients who are treated with BCRP </w:t>
      </w:r>
      <w:r w:rsidR="001E126F">
        <w:rPr>
          <w:rFonts w:eastAsiaTheme="majorEastAsia"/>
        </w:rPr>
        <w:t xml:space="preserve">substrates </w:t>
      </w:r>
      <w:r w:rsidRPr="00156494">
        <w:rPr>
          <w:rFonts w:eastAsiaTheme="majorEastAsia"/>
        </w:rPr>
        <w:t>(e.g., rosuvastatin and sulfasalazine) should be monitored carefully.</w:t>
      </w:r>
    </w:p>
    <w:p w14:paraId="1FD9FE25" w14:textId="77777777" w:rsidR="00E50C4B" w:rsidRDefault="00156494" w:rsidP="00E50C4B">
      <w:pPr>
        <w:pStyle w:val="Heading3"/>
        <w:rPr>
          <w:b/>
          <w:smallCaps/>
        </w:rPr>
      </w:pPr>
      <w:r w:rsidRPr="006B0BA1">
        <w:t>P-glycoprotein transporters</w:t>
      </w:r>
    </w:p>
    <w:p w14:paraId="16F711BB" w14:textId="59F1C863" w:rsidR="00156494" w:rsidRDefault="00156494" w:rsidP="00E50C4B">
      <w:pPr>
        <w:pStyle w:val="C-BodyText"/>
        <w:rPr>
          <w:rFonts w:eastAsiaTheme="majorEastAsia"/>
          <w:b/>
          <w:smallCaps/>
        </w:rPr>
      </w:pPr>
      <w:r w:rsidRPr="00156494">
        <w:rPr>
          <w:rFonts w:eastAsiaTheme="majorEastAsia"/>
        </w:rPr>
        <w:t xml:space="preserve">In </w:t>
      </w:r>
      <w:r w:rsidRPr="006B0BA1">
        <w:rPr>
          <w:rFonts w:eastAsiaTheme="majorEastAsia"/>
          <w:i/>
        </w:rPr>
        <w:t>in-vitro</w:t>
      </w:r>
      <w:r w:rsidRPr="00156494">
        <w:rPr>
          <w:rFonts w:eastAsiaTheme="majorEastAsia"/>
        </w:rPr>
        <w:t xml:space="preserve"> studies, neratinib is an inhibitor of P-glycoprotein (P-gp) substrates. In healthy subjects, digoxin increased C</w:t>
      </w:r>
      <w:r w:rsidRPr="0050117A">
        <w:rPr>
          <w:rFonts w:eastAsiaTheme="majorEastAsia"/>
          <w:vertAlign w:val="subscript"/>
        </w:rPr>
        <w:t>max</w:t>
      </w:r>
      <w:r w:rsidRPr="00156494">
        <w:rPr>
          <w:rFonts w:eastAsiaTheme="majorEastAsia"/>
        </w:rPr>
        <w:t xml:space="preserve"> by 54% and AUC increased by 32% when co-administered with multiple oral doses of neratinib 240 mg compared with exposures of digoxin alone. The clearance values of digoxin were equivalent following digoxin and digoxin plus neratinib. It appeared that the inhibitory effect of neratinib was primarily on P</w:t>
      </w:r>
      <w:r w:rsidRPr="00156494">
        <w:rPr>
          <w:rFonts w:eastAsiaTheme="majorEastAsia"/>
        </w:rPr>
        <w:noBreakHyphen/>
        <w:t>gp activity in the gastrointestinal tract as a result of pre-systemic inhibition. This pre-systemic interaction of neratinib with digoxin might be clinically relevant for P-gp substrates with a narrow therapeutic window (e.g. dabigatran, digoxin, and fexofenadine). Patients who are treated concomitantly with therapeutic agents whose metabolism involves P-gp substrates in the gastrointestinal tract should be monitored carefully.</w:t>
      </w:r>
    </w:p>
    <w:p w14:paraId="2632FDD1" w14:textId="3ABF14F0" w:rsidR="00092B1E" w:rsidRDefault="00092B1E" w:rsidP="00E50C4B">
      <w:pPr>
        <w:pStyle w:val="Heading3"/>
      </w:pPr>
      <w:r w:rsidRPr="00054291">
        <w:lastRenderedPageBreak/>
        <w:t>Other transporters</w:t>
      </w:r>
    </w:p>
    <w:p w14:paraId="4F931E04" w14:textId="13792924" w:rsidR="00092B1E" w:rsidRDefault="003A11E7" w:rsidP="00E50C4B">
      <w:pPr>
        <w:pStyle w:val="C-BodyText"/>
      </w:pPr>
      <w:r>
        <w:t xml:space="preserve">In </w:t>
      </w:r>
      <w:r w:rsidRPr="00A32B34">
        <w:rPr>
          <w:i/>
        </w:rPr>
        <w:t>in vitro</w:t>
      </w:r>
      <w:r>
        <w:rPr>
          <w:i/>
        </w:rPr>
        <w:t xml:space="preserve"> </w:t>
      </w:r>
      <w:r>
        <w:t>studies, neratinib had no clinically-relev</w:t>
      </w:r>
      <w:r w:rsidR="00CC51F1">
        <w:t>ant inhibitory activity on BSEP, OATP1B1, OATP1B3, OAT1, OAT3 and O</w:t>
      </w:r>
      <w:r w:rsidR="00722328">
        <w:t>C</w:t>
      </w:r>
      <w:r w:rsidR="00CC51F1">
        <w:t>T2.</w:t>
      </w:r>
    </w:p>
    <w:p w14:paraId="7016F761" w14:textId="7FF53B4B" w:rsidR="000F460E" w:rsidRPr="000E33B7" w:rsidRDefault="000F460E" w:rsidP="00E50C4B">
      <w:pPr>
        <w:pStyle w:val="Heading3"/>
      </w:pPr>
      <w:r w:rsidRPr="000E33B7">
        <w:t>CYP3A4 substrates</w:t>
      </w:r>
    </w:p>
    <w:p w14:paraId="7DF09A2A" w14:textId="0163D9FC" w:rsidR="000F460E" w:rsidRPr="000F460E" w:rsidRDefault="000F460E" w:rsidP="00E50C4B">
      <w:pPr>
        <w:pStyle w:val="C-BodyText"/>
      </w:pPr>
      <w:r w:rsidRPr="004F1909">
        <w:rPr>
          <w:i/>
        </w:rPr>
        <w:t>In vitro</w:t>
      </w:r>
      <w:r>
        <w:rPr>
          <w:i/>
        </w:rPr>
        <w:t xml:space="preserve"> </w:t>
      </w:r>
      <w:r w:rsidR="004F1909">
        <w:t xml:space="preserve">studies indicate neratinib may </w:t>
      </w:r>
      <w:r w:rsidR="00B66CF7">
        <w:t>al</w:t>
      </w:r>
      <w:r w:rsidR="004F1909">
        <w:t>ter the pharmacokinetics of orally-administered CYP3A4 substrates.</w:t>
      </w:r>
    </w:p>
    <w:p w14:paraId="794F32C2" w14:textId="77777777" w:rsidR="00E50C4B" w:rsidRPr="00E50C4B" w:rsidRDefault="001A3992" w:rsidP="0050117A">
      <w:pPr>
        <w:pStyle w:val="Heading2"/>
        <w:ind w:left="0" w:hanging="426"/>
        <w:rPr>
          <w:rFonts w:ascii="Times New Roman" w:eastAsiaTheme="majorEastAsia" w:hAnsi="Times New Roman" w:cs="Times New Roman"/>
          <w:bCs/>
        </w:rPr>
      </w:pPr>
      <w:r w:rsidRPr="00A3708B">
        <w:rPr>
          <w:rFonts w:ascii="Times New Roman" w:eastAsiaTheme="majorEastAsia" w:hAnsi="Times New Roman" w:cs="Times New Roman"/>
          <w:b w:val="0"/>
          <w:bCs/>
          <w:smallCaps w:val="0"/>
          <w:sz w:val="26"/>
          <w:szCs w:val="26"/>
        </w:rPr>
        <w:t>Fer</w:t>
      </w:r>
      <w:r w:rsidR="00E50C4B">
        <w:rPr>
          <w:rFonts w:ascii="Times New Roman" w:eastAsiaTheme="majorEastAsia" w:hAnsi="Times New Roman" w:cs="Times New Roman"/>
          <w:b w:val="0"/>
          <w:bCs/>
          <w:smallCaps w:val="0"/>
          <w:sz w:val="26"/>
          <w:szCs w:val="26"/>
        </w:rPr>
        <w:t>tility, pregnancy and lactation</w:t>
      </w:r>
    </w:p>
    <w:p w14:paraId="381C874F" w14:textId="77777777" w:rsidR="00E50C4B" w:rsidRDefault="0043134B" w:rsidP="00E50C4B">
      <w:pPr>
        <w:pStyle w:val="Heading4"/>
        <w:rPr>
          <w:b/>
          <w:smallCaps/>
        </w:rPr>
      </w:pPr>
      <w:r>
        <w:t>Women of childbearing potential/Contraception in females and males</w:t>
      </w:r>
    </w:p>
    <w:p w14:paraId="6F3BC4B3" w14:textId="77777777" w:rsidR="00E50C4B" w:rsidRDefault="0043134B" w:rsidP="00E50C4B">
      <w:pPr>
        <w:pStyle w:val="C-BodyText"/>
        <w:rPr>
          <w:rFonts w:eastAsiaTheme="majorEastAsia"/>
          <w:b/>
          <w:smallCaps/>
        </w:rPr>
      </w:pPr>
      <w:r w:rsidRPr="0043134B">
        <w:rPr>
          <w:rFonts w:eastAsiaTheme="majorEastAsia"/>
        </w:rPr>
        <w:t xml:space="preserve">Based on findings in animals, neratinib may cause </w:t>
      </w:r>
      <w:r w:rsidR="007D2F22">
        <w:rPr>
          <w:rFonts w:eastAsiaTheme="majorEastAsia"/>
        </w:rPr>
        <w:t xml:space="preserve">fetal </w:t>
      </w:r>
      <w:r w:rsidRPr="0043134B">
        <w:rPr>
          <w:rFonts w:eastAsiaTheme="majorEastAsia"/>
        </w:rPr>
        <w:t>harm when administered to pregnant women. Women should avoid becoming pregnant while taking N</w:t>
      </w:r>
      <w:r w:rsidR="00E05CC8">
        <w:rPr>
          <w:rFonts w:eastAsiaTheme="majorEastAsia"/>
        </w:rPr>
        <w:t>ERLYNX</w:t>
      </w:r>
      <w:r w:rsidRPr="0043134B">
        <w:rPr>
          <w:rFonts w:eastAsiaTheme="majorEastAsia"/>
        </w:rPr>
        <w:t xml:space="preserve"> and for up to 1 month after ending treatment. Therefore, women of child-bearing potential must use highly effective contracepti</w:t>
      </w:r>
      <w:r w:rsidR="00E05CC8">
        <w:rPr>
          <w:rFonts w:eastAsiaTheme="majorEastAsia"/>
        </w:rPr>
        <w:t>ve measures while taking NERLYNX</w:t>
      </w:r>
      <w:r w:rsidRPr="0043134B">
        <w:rPr>
          <w:rFonts w:eastAsiaTheme="majorEastAsia"/>
        </w:rPr>
        <w:t xml:space="preserve"> and for 1 month after stopping treatment.</w:t>
      </w:r>
    </w:p>
    <w:p w14:paraId="59F68AF1" w14:textId="77777777" w:rsidR="00E50C4B" w:rsidRDefault="0043134B" w:rsidP="00E50C4B">
      <w:pPr>
        <w:pStyle w:val="C-BodyText"/>
        <w:rPr>
          <w:rFonts w:eastAsiaTheme="majorEastAsia"/>
          <w:b/>
          <w:smallCaps/>
        </w:rPr>
      </w:pPr>
      <w:r w:rsidRPr="0043134B">
        <w:rPr>
          <w:rFonts w:eastAsiaTheme="majorEastAsia"/>
        </w:rPr>
        <w:t>It is currently unknown whether neratinib may reduce the effectiveness of systemically acting hormonal contraceptives, and therefore women using systemically acting hormonal contraceptives should add a barrier method.</w:t>
      </w:r>
    </w:p>
    <w:p w14:paraId="1B035ABF" w14:textId="77777777" w:rsidR="00E50C4B" w:rsidRDefault="0043134B" w:rsidP="00E50C4B">
      <w:pPr>
        <w:pStyle w:val="C-BodyText"/>
        <w:rPr>
          <w:rFonts w:eastAsiaTheme="majorEastAsia"/>
          <w:b/>
          <w:smallCaps/>
        </w:rPr>
      </w:pPr>
      <w:r w:rsidRPr="0043134B">
        <w:rPr>
          <w:rFonts w:eastAsiaTheme="majorEastAsia"/>
        </w:rPr>
        <w:t>Men should use a barrier method of contraception during treatment and</w:t>
      </w:r>
      <w:r w:rsidR="00E05CC8">
        <w:rPr>
          <w:rFonts w:eastAsiaTheme="majorEastAsia"/>
        </w:rPr>
        <w:t xml:space="preserve"> </w:t>
      </w:r>
      <w:r w:rsidRPr="0043134B">
        <w:rPr>
          <w:rFonts w:eastAsiaTheme="majorEastAsia"/>
        </w:rPr>
        <w:t>for 3 months after stopping treatment.</w:t>
      </w:r>
    </w:p>
    <w:p w14:paraId="505BBA6D" w14:textId="77777777" w:rsidR="00E50C4B" w:rsidRDefault="001A3992" w:rsidP="00E50C4B">
      <w:pPr>
        <w:pStyle w:val="Heading4"/>
        <w:rPr>
          <w:b/>
          <w:smallCaps/>
        </w:rPr>
      </w:pPr>
      <w:r w:rsidRPr="00274B5E">
        <w:t>Effects on fertility</w:t>
      </w:r>
    </w:p>
    <w:p w14:paraId="7759534B" w14:textId="003E42E4" w:rsidR="00E05CC8" w:rsidRPr="00E05CC8" w:rsidRDefault="0043134B" w:rsidP="00E50C4B">
      <w:pPr>
        <w:pStyle w:val="C-BodyText"/>
        <w:rPr>
          <w:rFonts w:eastAsiaTheme="majorEastAsia"/>
        </w:rPr>
      </w:pPr>
      <w:r w:rsidRPr="00274B5E">
        <w:rPr>
          <w:rFonts w:eastAsiaTheme="majorEastAsia"/>
        </w:rPr>
        <w:t xml:space="preserve">No fertility studies in women or men have been conducted. No significant changes in fertility parameters in male and female rats were detected </w:t>
      </w:r>
      <w:r w:rsidR="005B23B6">
        <w:rPr>
          <w:rFonts w:eastAsiaTheme="majorEastAsia"/>
        </w:rPr>
        <w:t>following oral</w:t>
      </w:r>
      <w:r w:rsidRPr="00274B5E">
        <w:rPr>
          <w:rFonts w:eastAsiaTheme="majorEastAsia"/>
        </w:rPr>
        <w:t xml:space="preserve"> dosing up to 12 mg/kg/day</w:t>
      </w:r>
      <w:r w:rsidR="005B23B6">
        <w:rPr>
          <w:rFonts w:eastAsiaTheme="majorEastAsia"/>
        </w:rPr>
        <w:t xml:space="preserve"> resulting in estimated exposures</w:t>
      </w:r>
      <w:r w:rsidR="00F172D4">
        <w:rPr>
          <w:rFonts w:eastAsiaTheme="majorEastAsia"/>
        </w:rPr>
        <w:t xml:space="preserve"> 22 times the clinical AUC</w:t>
      </w:r>
      <w:r w:rsidRPr="00274B5E">
        <w:rPr>
          <w:rFonts w:eastAsiaTheme="majorEastAsia"/>
        </w:rPr>
        <w:t xml:space="preserve"> (see </w:t>
      </w:r>
      <w:r w:rsidR="001E41D8" w:rsidRPr="001E41D8">
        <w:rPr>
          <w:rFonts w:eastAsiaTheme="majorEastAsia"/>
          <w:i/>
        </w:rPr>
        <w:t>S</w:t>
      </w:r>
      <w:r w:rsidRPr="001E41D8">
        <w:rPr>
          <w:rFonts w:eastAsiaTheme="majorEastAsia"/>
          <w:i/>
        </w:rPr>
        <w:t>ection 5.3</w:t>
      </w:r>
      <w:r w:rsidR="001E41D8" w:rsidRPr="001E41D8">
        <w:rPr>
          <w:rFonts w:eastAsiaTheme="majorEastAsia"/>
          <w:i/>
        </w:rPr>
        <w:t xml:space="preserve"> Preclinical safety data</w:t>
      </w:r>
      <w:r w:rsidRPr="00AF331A">
        <w:rPr>
          <w:rFonts w:eastAsiaTheme="majorEastAsia"/>
        </w:rPr>
        <w:t>).</w:t>
      </w:r>
    </w:p>
    <w:p w14:paraId="0987F76E" w14:textId="77777777" w:rsidR="00E50C4B" w:rsidRDefault="001A3992" w:rsidP="00E50C4B">
      <w:pPr>
        <w:pStyle w:val="Heading4"/>
        <w:rPr>
          <w:smallCaps/>
        </w:rPr>
      </w:pPr>
      <w:r w:rsidRPr="00274B5E">
        <w:t xml:space="preserve">Use in pregnancy </w:t>
      </w:r>
      <w:r w:rsidR="00C7365C">
        <w:t>-</w:t>
      </w:r>
      <w:r w:rsidR="00C7365C" w:rsidRPr="00E50C4B">
        <w:rPr>
          <w:b/>
        </w:rPr>
        <w:t xml:space="preserve"> Category </w:t>
      </w:r>
      <w:r w:rsidR="00EE411C" w:rsidRPr="00E50C4B">
        <w:rPr>
          <w:b/>
        </w:rPr>
        <w:t>D</w:t>
      </w:r>
    </w:p>
    <w:p w14:paraId="7F2123CF" w14:textId="3A2686AF" w:rsidR="00C47438" w:rsidRDefault="0043134B" w:rsidP="00E50C4B">
      <w:pPr>
        <w:pStyle w:val="C-BodyText"/>
        <w:rPr>
          <w:rFonts w:eastAsiaTheme="majorEastAsia"/>
          <w:b/>
          <w:smallCaps/>
        </w:rPr>
      </w:pPr>
      <w:r w:rsidRPr="00274B5E">
        <w:rPr>
          <w:rFonts w:eastAsiaTheme="majorEastAsia"/>
        </w:rPr>
        <w:t>There are</w:t>
      </w:r>
      <w:r w:rsidR="00E05CC8">
        <w:rPr>
          <w:rFonts w:eastAsiaTheme="majorEastAsia"/>
        </w:rPr>
        <w:t xml:space="preserve"> no data from the use of NERLYNX</w:t>
      </w:r>
      <w:r w:rsidRPr="00274B5E">
        <w:rPr>
          <w:rFonts w:eastAsiaTheme="majorEastAsia"/>
        </w:rPr>
        <w:t xml:space="preserve"> in pregnant women. Studies in animals have shown </w:t>
      </w:r>
      <w:r w:rsidR="00B256CA">
        <w:rPr>
          <w:rFonts w:eastAsiaTheme="majorEastAsia"/>
        </w:rPr>
        <w:t>embryofet</w:t>
      </w:r>
      <w:r w:rsidR="001F3F39">
        <w:rPr>
          <w:rFonts w:eastAsiaTheme="majorEastAsia"/>
        </w:rPr>
        <w:t>al</w:t>
      </w:r>
      <w:r w:rsidRPr="00274B5E">
        <w:rPr>
          <w:rFonts w:eastAsiaTheme="majorEastAsia"/>
        </w:rPr>
        <w:t xml:space="preserve"> lethality and </w:t>
      </w:r>
      <w:r w:rsidR="001F3F39">
        <w:rPr>
          <w:rFonts w:eastAsiaTheme="majorEastAsia"/>
        </w:rPr>
        <w:t xml:space="preserve">fetal </w:t>
      </w:r>
      <w:r w:rsidR="001E41D8">
        <w:rPr>
          <w:rFonts w:eastAsiaTheme="majorEastAsia"/>
        </w:rPr>
        <w:t>morphological anomalies</w:t>
      </w:r>
      <w:r w:rsidR="003960B8">
        <w:rPr>
          <w:rFonts w:eastAsiaTheme="majorEastAsia"/>
        </w:rPr>
        <w:t xml:space="preserve">. </w:t>
      </w:r>
      <w:r w:rsidR="006B2C13">
        <w:rPr>
          <w:rFonts w:eastAsiaTheme="majorEastAsia"/>
        </w:rPr>
        <w:t>In rabbits, an i</w:t>
      </w:r>
      <w:r w:rsidR="001A67D5">
        <w:rPr>
          <w:rFonts w:eastAsiaTheme="majorEastAsia"/>
        </w:rPr>
        <w:t xml:space="preserve">ncreased </w:t>
      </w:r>
      <w:r w:rsidR="00E83517">
        <w:rPr>
          <w:rFonts w:eastAsiaTheme="majorEastAsia"/>
        </w:rPr>
        <w:t>incidence</w:t>
      </w:r>
      <w:r w:rsidR="001A67D5">
        <w:rPr>
          <w:rFonts w:eastAsiaTheme="majorEastAsia"/>
        </w:rPr>
        <w:t xml:space="preserve"> of fetal skeletal variations/ abnormalities ((fetal</w:t>
      </w:r>
      <w:r w:rsidR="0019022A">
        <w:rPr>
          <w:rFonts w:eastAsiaTheme="majorEastAsia"/>
        </w:rPr>
        <w:t xml:space="preserve"> gross external (domed head), soft tissue (dilation of the brain ventricles</w:t>
      </w:r>
      <w:r w:rsidR="00F51412">
        <w:rPr>
          <w:rFonts w:eastAsiaTheme="majorEastAsia"/>
        </w:rPr>
        <w:t xml:space="preserve"> </w:t>
      </w:r>
      <w:r w:rsidR="00B627D6">
        <w:rPr>
          <w:rFonts w:eastAsiaTheme="majorEastAsia"/>
        </w:rPr>
        <w:t>a</w:t>
      </w:r>
      <w:r w:rsidR="00F51412">
        <w:rPr>
          <w:rFonts w:eastAsiaTheme="majorEastAsia"/>
        </w:rPr>
        <w:t>nd a ventricular septal defect), skeletal (misshapen anterior f</w:t>
      </w:r>
      <w:r w:rsidR="001405E5">
        <w:rPr>
          <w:rFonts w:eastAsiaTheme="majorEastAsia"/>
        </w:rPr>
        <w:t xml:space="preserve">ontanelles and enlarged anterior and/or posterior fontanelles) abnormalities, ventricular septum defect of heart) were observed </w:t>
      </w:r>
      <w:r w:rsidR="00D03510">
        <w:rPr>
          <w:rFonts w:eastAsiaTheme="majorEastAsia"/>
        </w:rPr>
        <w:t xml:space="preserve">at an oral dose of </w:t>
      </w:r>
      <w:r w:rsidR="00FC7B9F" w:rsidRPr="006F24D4">
        <w:rPr>
          <w:rFonts w:eastAsiaTheme="majorEastAsia"/>
        </w:rPr>
        <w:t>≥</w:t>
      </w:r>
      <w:r w:rsidR="00B02DBE">
        <w:rPr>
          <w:rFonts w:eastAsiaTheme="majorEastAsia"/>
        </w:rPr>
        <w:t xml:space="preserve"> 6 mg/kg/day, with exposures below</w:t>
      </w:r>
      <w:r w:rsidR="00193B8F">
        <w:rPr>
          <w:rFonts w:eastAsiaTheme="majorEastAsia"/>
        </w:rPr>
        <w:t xml:space="preserve"> </w:t>
      </w:r>
      <w:r w:rsidR="00497427">
        <w:rPr>
          <w:rFonts w:eastAsiaTheme="majorEastAsia"/>
        </w:rPr>
        <w:t xml:space="preserve">(based on AUC) </w:t>
      </w:r>
      <w:r w:rsidR="00193B8F">
        <w:rPr>
          <w:rFonts w:eastAsiaTheme="majorEastAsia"/>
        </w:rPr>
        <w:t>the clinical exposure</w:t>
      </w:r>
      <w:r w:rsidR="00497427">
        <w:rPr>
          <w:rFonts w:eastAsiaTheme="majorEastAsia"/>
        </w:rPr>
        <w:t>.</w:t>
      </w:r>
    </w:p>
    <w:p w14:paraId="6696F28A" w14:textId="77777777" w:rsidR="00E50C4B" w:rsidRDefault="0043134B" w:rsidP="00E50C4B">
      <w:pPr>
        <w:pStyle w:val="C-BodyText"/>
        <w:rPr>
          <w:rFonts w:eastAsiaTheme="majorEastAsia"/>
          <w:b/>
          <w:smallCaps/>
        </w:rPr>
      </w:pPr>
      <w:r w:rsidRPr="00274B5E">
        <w:rPr>
          <w:rFonts w:eastAsiaTheme="majorEastAsia"/>
        </w:rPr>
        <w:t>The potential ris</w:t>
      </w:r>
      <w:r w:rsidR="00E05CC8">
        <w:rPr>
          <w:rFonts w:eastAsiaTheme="majorEastAsia"/>
        </w:rPr>
        <w:t>k for humans is unknown. NERLYNX</w:t>
      </w:r>
      <w:r w:rsidRPr="00274B5E">
        <w:rPr>
          <w:rFonts w:eastAsiaTheme="majorEastAsia"/>
        </w:rPr>
        <w:t xml:space="preserve"> </w:t>
      </w:r>
      <w:r w:rsidR="00C47438">
        <w:rPr>
          <w:rFonts w:eastAsiaTheme="majorEastAsia"/>
        </w:rPr>
        <w:t>is not recommended</w:t>
      </w:r>
      <w:r w:rsidRPr="00274B5E">
        <w:rPr>
          <w:rFonts w:eastAsiaTheme="majorEastAsia"/>
        </w:rPr>
        <w:t xml:space="preserve"> during pregnancy </w:t>
      </w:r>
      <w:r w:rsidR="006E5D86">
        <w:rPr>
          <w:rFonts w:eastAsiaTheme="majorEastAsia"/>
        </w:rPr>
        <w:t>and in women of childbearing potential no</w:t>
      </w:r>
      <w:r w:rsidR="006B2C13">
        <w:rPr>
          <w:rFonts w:eastAsiaTheme="majorEastAsia"/>
        </w:rPr>
        <w:t>t using contraception</w:t>
      </w:r>
      <w:r w:rsidRPr="00274B5E">
        <w:rPr>
          <w:rFonts w:eastAsiaTheme="majorEastAsia"/>
        </w:rPr>
        <w:t>.</w:t>
      </w:r>
    </w:p>
    <w:p w14:paraId="4410BAA6" w14:textId="77777777" w:rsidR="00E50C4B" w:rsidRDefault="0043134B" w:rsidP="00E50C4B">
      <w:pPr>
        <w:pStyle w:val="C-BodyText"/>
        <w:rPr>
          <w:rFonts w:eastAsiaTheme="majorEastAsia"/>
          <w:b/>
          <w:smallCaps/>
        </w:rPr>
      </w:pPr>
      <w:r w:rsidRPr="00274B5E">
        <w:rPr>
          <w:rFonts w:eastAsiaTheme="majorEastAsia"/>
        </w:rPr>
        <w:t>If neratinib is used during pregnancy, or if the patient becom</w:t>
      </w:r>
      <w:r w:rsidR="004D4B92">
        <w:rPr>
          <w:rFonts w:eastAsiaTheme="majorEastAsia"/>
        </w:rPr>
        <w:t>es pregnant while taking NERLYNX</w:t>
      </w:r>
      <w:r w:rsidRPr="00274B5E">
        <w:rPr>
          <w:rFonts w:eastAsiaTheme="majorEastAsia"/>
        </w:rPr>
        <w:t>, the patient should be informed of the potential hazard to the f</w:t>
      </w:r>
      <w:r w:rsidR="003960B8">
        <w:rPr>
          <w:rFonts w:eastAsiaTheme="majorEastAsia"/>
        </w:rPr>
        <w:t>et</w:t>
      </w:r>
      <w:r w:rsidR="00AD2533">
        <w:rPr>
          <w:rFonts w:eastAsiaTheme="majorEastAsia"/>
        </w:rPr>
        <w:t>us.”</w:t>
      </w:r>
    </w:p>
    <w:p w14:paraId="20E31065" w14:textId="77777777" w:rsidR="00E50C4B" w:rsidRDefault="001A3992" w:rsidP="00E50C4B">
      <w:pPr>
        <w:pStyle w:val="Heading4"/>
        <w:rPr>
          <w:b/>
          <w:smallCaps/>
        </w:rPr>
      </w:pPr>
      <w:r w:rsidRPr="00274B5E">
        <w:t>U</w:t>
      </w:r>
      <w:r w:rsidR="0043134B" w:rsidRPr="00274B5E">
        <w:t>se in lactation</w:t>
      </w:r>
    </w:p>
    <w:p w14:paraId="32742DC4" w14:textId="0758939F" w:rsidR="001A3992" w:rsidRPr="00E163D3" w:rsidRDefault="0043134B" w:rsidP="00E50C4B">
      <w:pPr>
        <w:pStyle w:val="C-BodyText"/>
        <w:rPr>
          <w:rFonts w:eastAsiaTheme="majorEastAsia"/>
          <w:b/>
          <w:smallCaps/>
        </w:rPr>
      </w:pPr>
      <w:r w:rsidRPr="00274B5E">
        <w:rPr>
          <w:rFonts w:eastAsiaTheme="majorEastAsia"/>
        </w:rPr>
        <w:t>It is not known whether neratinib is excreted in human milk. A risk to the breast</w:t>
      </w:r>
      <w:r w:rsidRPr="00274B5E">
        <w:rPr>
          <w:rFonts w:eastAsiaTheme="majorEastAsia"/>
        </w:rPr>
        <w:noBreakHyphen/>
        <w:t>fed infant cannot be excluded. A decision must be made whether to discontinue breast-f</w:t>
      </w:r>
      <w:r w:rsidR="004D4B92">
        <w:rPr>
          <w:rFonts w:eastAsiaTheme="majorEastAsia"/>
        </w:rPr>
        <w:t>eeding or to discontinue NERLYNX</w:t>
      </w:r>
      <w:r w:rsidRPr="00274B5E">
        <w:rPr>
          <w:rFonts w:eastAsiaTheme="majorEastAsia"/>
        </w:rPr>
        <w:t>, taking into a</w:t>
      </w:r>
      <w:r w:rsidR="004D4B92">
        <w:rPr>
          <w:rFonts w:eastAsiaTheme="majorEastAsia"/>
        </w:rPr>
        <w:t>ccount the importance of NERLYNX</w:t>
      </w:r>
      <w:r w:rsidRPr="00274B5E">
        <w:rPr>
          <w:rFonts w:eastAsiaTheme="majorEastAsia"/>
        </w:rPr>
        <w:t xml:space="preserve"> to the mother and the benefit of breast</w:t>
      </w:r>
      <w:r w:rsidRPr="00274B5E">
        <w:rPr>
          <w:rFonts w:eastAsiaTheme="majorEastAsia"/>
        </w:rPr>
        <w:noBreakHyphen/>
        <w:t>feeding to the child.</w:t>
      </w:r>
    </w:p>
    <w:p w14:paraId="4AA0631A" w14:textId="18CCE712" w:rsidR="00E50C4B" w:rsidRPr="00E50C4B" w:rsidRDefault="001A3992" w:rsidP="008B475C">
      <w:pPr>
        <w:pStyle w:val="Heading2"/>
        <w:spacing w:before="0" w:after="0"/>
        <w:ind w:left="0" w:hanging="425"/>
        <w:rPr>
          <w:rFonts w:ascii="Times New Roman" w:eastAsiaTheme="majorEastAsia" w:hAnsi="Times New Roman" w:cs="Times New Roman"/>
          <w:bCs/>
          <w:sz w:val="26"/>
          <w:szCs w:val="26"/>
        </w:rPr>
      </w:pPr>
      <w:r w:rsidRPr="00A3708B">
        <w:rPr>
          <w:rFonts w:ascii="Times New Roman" w:eastAsiaTheme="majorEastAsia" w:hAnsi="Times New Roman" w:cs="Times New Roman"/>
          <w:b w:val="0"/>
          <w:bCs/>
          <w:smallCaps w:val="0"/>
          <w:sz w:val="26"/>
          <w:szCs w:val="26"/>
        </w:rPr>
        <w:lastRenderedPageBreak/>
        <w:t>Effects on ab</w:t>
      </w:r>
      <w:r w:rsidR="00E50C4B">
        <w:rPr>
          <w:rFonts w:ascii="Times New Roman" w:eastAsiaTheme="majorEastAsia" w:hAnsi="Times New Roman" w:cs="Times New Roman"/>
          <w:b w:val="0"/>
          <w:bCs/>
          <w:smallCaps w:val="0"/>
          <w:sz w:val="26"/>
          <w:szCs w:val="26"/>
        </w:rPr>
        <w:t>ility to drive and use machines</w:t>
      </w:r>
    </w:p>
    <w:p w14:paraId="55720E0D" w14:textId="473DACD9" w:rsidR="00743F1C" w:rsidRDefault="00743F1C" w:rsidP="00E50C4B">
      <w:pPr>
        <w:pStyle w:val="C-BodyText"/>
        <w:rPr>
          <w:rFonts w:eastAsiaTheme="majorEastAsia"/>
          <w:sz w:val="26"/>
          <w:szCs w:val="26"/>
        </w:rPr>
      </w:pPr>
      <w:r>
        <w:rPr>
          <w:rFonts w:eastAsiaTheme="majorEastAsia"/>
        </w:rPr>
        <w:t>NERLYNX</w:t>
      </w:r>
      <w:r w:rsidRPr="00743F1C">
        <w:rPr>
          <w:rFonts w:eastAsiaTheme="majorEastAsia"/>
        </w:rPr>
        <w:t xml:space="preserve"> has minor or moderate influence on the ability to drive and use machines. Fatigue, dizziness, dehydration, and syncope have been reported as adverse reactions with neratinib. The clinical status of the patient should be considered when assessing the patient’s ability to perform tasks that require judgment, motor, or cognitive skills</w:t>
      </w:r>
      <w:r>
        <w:rPr>
          <w:rFonts w:eastAsiaTheme="majorEastAsia"/>
        </w:rPr>
        <w:t>.</w:t>
      </w:r>
    </w:p>
    <w:p w14:paraId="26678E42" w14:textId="77777777" w:rsidR="00E50C4B" w:rsidRPr="00E50C4B" w:rsidRDefault="001A3992" w:rsidP="008B475C">
      <w:pPr>
        <w:pStyle w:val="Heading2"/>
        <w:tabs>
          <w:tab w:val="left" w:pos="1418"/>
        </w:tabs>
        <w:spacing w:before="0" w:after="0"/>
        <w:ind w:left="0" w:hanging="425"/>
        <w:rPr>
          <w:rFonts w:ascii="Times New Roman" w:eastAsiaTheme="majorEastAsia" w:hAnsi="Times New Roman" w:cs="Times New Roman"/>
          <w:bCs/>
          <w:smallCaps w:val="0"/>
          <w:sz w:val="22"/>
        </w:rPr>
      </w:pPr>
      <w:r w:rsidRPr="00743F1C">
        <w:rPr>
          <w:rFonts w:ascii="Times New Roman" w:eastAsiaTheme="majorEastAsia" w:hAnsi="Times New Roman" w:cs="Times New Roman"/>
          <w:b w:val="0"/>
          <w:bCs/>
          <w:smallCaps w:val="0"/>
          <w:sz w:val="26"/>
          <w:szCs w:val="26"/>
        </w:rPr>
        <w:t>Adverse effects (Undesirable effects)</w:t>
      </w:r>
    </w:p>
    <w:p w14:paraId="29ACA632" w14:textId="77777777" w:rsidR="00E50C4B" w:rsidRDefault="00084042" w:rsidP="00E50C4B">
      <w:pPr>
        <w:pStyle w:val="Heading4"/>
        <w:rPr>
          <w:b/>
          <w:smallCaps/>
        </w:rPr>
      </w:pPr>
      <w:r w:rsidRPr="00084042">
        <w:t>Summary of the safety profile</w:t>
      </w:r>
    </w:p>
    <w:p w14:paraId="7478ADCD" w14:textId="77777777" w:rsidR="00E50C4B" w:rsidRDefault="00084042" w:rsidP="00E50C4B">
      <w:pPr>
        <w:pStyle w:val="C-BodyText"/>
        <w:rPr>
          <w:rFonts w:eastAsiaTheme="majorEastAsia"/>
          <w:b/>
          <w:smallCaps/>
        </w:rPr>
      </w:pPr>
      <w:r w:rsidRPr="00084042">
        <w:rPr>
          <w:rFonts w:eastAsiaTheme="majorEastAsia"/>
        </w:rPr>
        <w:t>The most common adverse reactions of any grade</w:t>
      </w:r>
      <w:r w:rsidR="003C313E">
        <w:rPr>
          <w:rFonts w:eastAsiaTheme="majorEastAsia"/>
        </w:rPr>
        <w:t xml:space="preserve"> in the pooled </w:t>
      </w:r>
      <w:r w:rsidR="00CB47A6">
        <w:rPr>
          <w:rFonts w:eastAsiaTheme="majorEastAsia"/>
        </w:rPr>
        <w:t>data from</w:t>
      </w:r>
      <w:r w:rsidR="0052596B">
        <w:rPr>
          <w:rFonts w:eastAsiaTheme="majorEastAsia"/>
        </w:rPr>
        <w:t xml:space="preserve"> 1,710</w:t>
      </w:r>
      <w:r w:rsidR="00CB47A6">
        <w:rPr>
          <w:rFonts w:eastAsiaTheme="majorEastAsia"/>
        </w:rPr>
        <w:t xml:space="preserve"> patients</w:t>
      </w:r>
      <w:r w:rsidRPr="00084042">
        <w:rPr>
          <w:rFonts w:eastAsiaTheme="majorEastAsia"/>
        </w:rPr>
        <w:t xml:space="preserve"> were diarrhoea (93.6%), nausea (42.5%), fatigue (27.3%), vomiting (26.8%), abdominal pain (22.7%), rash (15.4%), decreased appetite (13.7%), abdominal pain upper (13.2%), stomatitis (11.2%), and muscle spasms (10.0%).</w:t>
      </w:r>
    </w:p>
    <w:p w14:paraId="0AF40CC6" w14:textId="77777777" w:rsidR="00E50C4B" w:rsidRDefault="00084042" w:rsidP="00E50C4B">
      <w:pPr>
        <w:pStyle w:val="C-BodyText"/>
        <w:rPr>
          <w:rFonts w:eastAsiaTheme="majorEastAsia"/>
          <w:b/>
          <w:smallCaps/>
        </w:rPr>
      </w:pPr>
      <w:r w:rsidRPr="00084042">
        <w:rPr>
          <w:rFonts w:eastAsiaTheme="majorEastAsia"/>
        </w:rPr>
        <w:t xml:space="preserve">The most common Grade 3-4 adverse reactions </w:t>
      </w:r>
      <w:r w:rsidR="00CB47A6">
        <w:rPr>
          <w:rFonts w:eastAsiaTheme="majorEastAsia"/>
        </w:rPr>
        <w:t xml:space="preserve">in the pooled data from </w:t>
      </w:r>
      <w:r w:rsidR="0052596B">
        <w:rPr>
          <w:rFonts w:eastAsiaTheme="majorEastAsia"/>
        </w:rPr>
        <w:t>1,710</w:t>
      </w:r>
      <w:r w:rsidR="00341A7B">
        <w:rPr>
          <w:rFonts w:eastAsiaTheme="majorEastAsia"/>
        </w:rPr>
        <w:t xml:space="preserve"> </w:t>
      </w:r>
      <w:r w:rsidR="00CB47A6">
        <w:rPr>
          <w:rFonts w:eastAsiaTheme="majorEastAsia"/>
        </w:rPr>
        <w:t>patients</w:t>
      </w:r>
      <w:r w:rsidR="003C313E">
        <w:rPr>
          <w:rFonts w:eastAsiaTheme="majorEastAsia"/>
        </w:rPr>
        <w:t xml:space="preserve"> </w:t>
      </w:r>
      <w:r w:rsidRPr="00084042">
        <w:rPr>
          <w:rFonts w:eastAsiaTheme="majorEastAsia"/>
        </w:rPr>
        <w:t>were diarrhoea (Grade 3, 36.9% and Grade 4, 0.2%) and vomiting (Grade 3, 3.4% and Grade 4, 0.1%).</w:t>
      </w:r>
      <w:r w:rsidR="009506D9">
        <w:rPr>
          <w:rFonts w:eastAsiaTheme="majorEastAsia"/>
        </w:rPr>
        <w:t xml:space="preserve">  Patients who received </w:t>
      </w:r>
      <w:r w:rsidR="003C313E">
        <w:rPr>
          <w:rFonts w:eastAsiaTheme="majorEastAsia"/>
        </w:rPr>
        <w:t>NERLYNX</w:t>
      </w:r>
      <w:r w:rsidR="009506D9">
        <w:rPr>
          <w:rFonts w:eastAsiaTheme="majorEastAsia"/>
        </w:rPr>
        <w:t xml:space="preserve"> in th</w:t>
      </w:r>
      <w:r w:rsidR="00F56267">
        <w:rPr>
          <w:rFonts w:eastAsiaTheme="majorEastAsia"/>
        </w:rPr>
        <w:t>e pivotal Phase</w:t>
      </w:r>
      <w:r w:rsidR="009506D9">
        <w:rPr>
          <w:rFonts w:eastAsiaTheme="majorEastAsia"/>
        </w:rPr>
        <w:t xml:space="preserve"> </w:t>
      </w:r>
      <w:r w:rsidR="0052596B">
        <w:rPr>
          <w:rFonts w:eastAsiaTheme="majorEastAsia"/>
        </w:rPr>
        <w:t xml:space="preserve">ExteNET </w:t>
      </w:r>
      <w:r w:rsidR="009506D9">
        <w:rPr>
          <w:rFonts w:eastAsiaTheme="majorEastAsia"/>
        </w:rPr>
        <w:t>trial were not required to receive prophylaxis with anti-diarrhoeal agents to prevent diarrhoea.</w:t>
      </w:r>
    </w:p>
    <w:p w14:paraId="14215E34" w14:textId="77777777" w:rsidR="00E50C4B" w:rsidRDefault="00084042" w:rsidP="00E50C4B">
      <w:pPr>
        <w:pStyle w:val="C-BodyText"/>
        <w:rPr>
          <w:rFonts w:eastAsiaTheme="majorEastAsia"/>
          <w:b/>
          <w:smallCaps/>
        </w:rPr>
      </w:pPr>
      <w:r w:rsidRPr="00084042">
        <w:rPr>
          <w:rFonts w:eastAsiaTheme="majorEastAsia"/>
        </w:rPr>
        <w:t>Adverse reactions reported as serious included diarrhoea (1.9%), vomiting (1.3%), dehydration (1.1%), nausea (0.5%), alanine aminotransferase increased (0.4%), aspartate aminotransferase increased (0.4%), abdominal pain (0.3%), fatigue (0.3%) and decreased appetite (0.2%).</w:t>
      </w:r>
    </w:p>
    <w:p w14:paraId="59936C9A" w14:textId="77777777" w:rsidR="00E50C4B" w:rsidRDefault="00084042" w:rsidP="00E50C4B">
      <w:pPr>
        <w:pStyle w:val="Heading4"/>
        <w:rPr>
          <w:b/>
          <w:smallCaps/>
        </w:rPr>
      </w:pPr>
      <w:r w:rsidRPr="00084042">
        <w:t>Tabulated list of adverse reactions</w:t>
      </w:r>
    </w:p>
    <w:p w14:paraId="130236FC" w14:textId="77777777" w:rsidR="00E50C4B" w:rsidRDefault="00084042" w:rsidP="00E50C4B">
      <w:pPr>
        <w:pStyle w:val="C-BodyText"/>
        <w:rPr>
          <w:rFonts w:eastAsiaTheme="majorEastAsia"/>
          <w:b/>
          <w:smallCaps/>
        </w:rPr>
      </w:pPr>
      <w:r w:rsidRPr="00084042">
        <w:rPr>
          <w:rFonts w:eastAsiaTheme="majorEastAsia"/>
        </w:rPr>
        <w:t>The table below lists adverse reactions observed with neratinib based on the assessment of pooled data from 1,710 patients.</w:t>
      </w:r>
    </w:p>
    <w:p w14:paraId="4389EABF" w14:textId="77777777" w:rsidR="00E50C4B" w:rsidRDefault="00084042" w:rsidP="00E50C4B">
      <w:pPr>
        <w:pStyle w:val="C-BodyText"/>
        <w:rPr>
          <w:rFonts w:eastAsiaTheme="majorEastAsia"/>
          <w:b/>
          <w:smallCaps/>
        </w:rPr>
      </w:pPr>
      <w:r w:rsidRPr="00084042">
        <w:rPr>
          <w:rFonts w:eastAsiaTheme="majorEastAsia"/>
        </w:rPr>
        <w:t>The following convention has been utilised for the classification of frequency: very common ≥ 1/10, common ≥ 1/100 but &lt; 1/10, uncommon ≥ 1/1,000 but &lt; 1/100, rare ≥ 1/10,000 but &lt; 1/1,000, very rare &lt; 1/10,000.</w:t>
      </w:r>
    </w:p>
    <w:p w14:paraId="6D06ECAA" w14:textId="46ECDB18" w:rsidR="00D11D59" w:rsidRDefault="00084042" w:rsidP="00E50C4B">
      <w:pPr>
        <w:pStyle w:val="C-BodyText"/>
        <w:rPr>
          <w:rFonts w:eastAsiaTheme="majorEastAsia"/>
          <w:smallCaps/>
        </w:rPr>
      </w:pPr>
      <w:r w:rsidRPr="00084042">
        <w:rPr>
          <w:rFonts w:eastAsiaTheme="majorEastAsia"/>
        </w:rPr>
        <w:t>Within each frequency grouping, adverse reactions are presented in order</w:t>
      </w:r>
      <w:r w:rsidR="00E50C4B">
        <w:rPr>
          <w:rFonts w:eastAsiaTheme="majorEastAsia"/>
          <w:b/>
          <w:smallCaps/>
        </w:rPr>
        <w:t xml:space="preserve"> of decreasing seriousness.</w:t>
      </w:r>
    </w:p>
    <w:p w14:paraId="2513CED2" w14:textId="3DB2160B" w:rsidR="00084042" w:rsidRPr="001E41D8" w:rsidRDefault="004D4B92" w:rsidP="00E50C4B">
      <w:pPr>
        <w:pStyle w:val="C-TableHeader"/>
        <w:rPr>
          <w:rFonts w:eastAsiaTheme="majorEastAsia"/>
          <w:smallCaps/>
        </w:rPr>
      </w:pPr>
      <w:r w:rsidRPr="001E41D8">
        <w:rPr>
          <w:rFonts w:eastAsiaTheme="majorEastAsia"/>
        </w:rPr>
        <w:t>Table 6.</w:t>
      </w:r>
      <w:r w:rsidRPr="001E41D8">
        <w:rPr>
          <w:rFonts w:eastAsiaTheme="majorEastAsia"/>
        </w:rPr>
        <w:tab/>
      </w:r>
      <w:r w:rsidR="00084042" w:rsidRPr="001E41D8">
        <w:rPr>
          <w:rFonts w:eastAsiaTheme="majorEastAsia"/>
        </w:rPr>
        <w:t>Adver</w:t>
      </w:r>
      <w:r w:rsidRPr="001E41D8">
        <w:rPr>
          <w:rFonts w:eastAsiaTheme="majorEastAsia"/>
        </w:rPr>
        <w:t>se drug reactions due to NERLYNX</w:t>
      </w:r>
      <w:r w:rsidR="00084042" w:rsidRPr="001E41D8">
        <w:rPr>
          <w:rFonts w:eastAsiaTheme="majorEastAsia"/>
        </w:rPr>
        <w:t xml:space="preserve"> in monotherapy breast cancer studies</w:t>
      </w:r>
    </w:p>
    <w:tbl>
      <w:tblPr>
        <w:tblW w:w="9072" w:type="dxa"/>
        <w:tblInd w:w="10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1883"/>
        <w:gridCol w:w="3714"/>
      </w:tblGrid>
      <w:tr w:rsidR="00084042" w:rsidRPr="00084042" w14:paraId="2F8684F2" w14:textId="77777777" w:rsidTr="00D11D59">
        <w:trPr>
          <w:tblHeader/>
        </w:trPr>
        <w:tc>
          <w:tcPr>
            <w:tcW w:w="3475" w:type="dxa"/>
            <w:tcBorders>
              <w:top w:val="single" w:sz="4" w:space="0" w:color="auto"/>
            </w:tcBorders>
            <w:vAlign w:val="center"/>
          </w:tcPr>
          <w:p w14:paraId="03F20DC2" w14:textId="77777777" w:rsidR="00084042" w:rsidRPr="00084042" w:rsidRDefault="00084042" w:rsidP="004D4B92">
            <w:pPr>
              <w:spacing w:after="0" w:line="240" w:lineRule="auto"/>
              <w:rPr>
                <w:rFonts w:ascii="Times New Roman" w:eastAsiaTheme="majorEastAsia" w:hAnsi="Times New Roman" w:cs="Times New Roman"/>
                <w:b/>
                <w:bCs/>
              </w:rPr>
            </w:pPr>
            <w:r w:rsidRPr="00084042">
              <w:rPr>
                <w:rFonts w:ascii="Times New Roman" w:eastAsiaTheme="majorEastAsia" w:hAnsi="Times New Roman" w:cs="Times New Roman"/>
                <w:b/>
                <w:bCs/>
              </w:rPr>
              <w:t>System Organ Class</w:t>
            </w:r>
          </w:p>
        </w:tc>
        <w:tc>
          <w:tcPr>
            <w:tcW w:w="1883" w:type="dxa"/>
            <w:tcBorders>
              <w:top w:val="single" w:sz="4" w:space="0" w:color="auto"/>
            </w:tcBorders>
          </w:tcPr>
          <w:p w14:paraId="7806792E" w14:textId="77777777" w:rsidR="00084042" w:rsidRPr="00084042" w:rsidRDefault="00084042" w:rsidP="004D4B92">
            <w:pPr>
              <w:spacing w:after="0" w:line="240" w:lineRule="auto"/>
              <w:rPr>
                <w:rFonts w:ascii="Times New Roman" w:eastAsiaTheme="majorEastAsia" w:hAnsi="Times New Roman" w:cs="Times New Roman"/>
                <w:b/>
                <w:bCs/>
              </w:rPr>
            </w:pPr>
            <w:r w:rsidRPr="00084042">
              <w:rPr>
                <w:rFonts w:ascii="Times New Roman" w:eastAsiaTheme="majorEastAsia" w:hAnsi="Times New Roman" w:cs="Times New Roman"/>
                <w:b/>
                <w:bCs/>
              </w:rPr>
              <w:t>Frequency</w:t>
            </w:r>
          </w:p>
        </w:tc>
        <w:tc>
          <w:tcPr>
            <w:tcW w:w="3714" w:type="dxa"/>
            <w:tcBorders>
              <w:top w:val="single" w:sz="4" w:space="0" w:color="auto"/>
            </w:tcBorders>
            <w:vAlign w:val="center"/>
          </w:tcPr>
          <w:p w14:paraId="2B63D246" w14:textId="77777777" w:rsidR="00084042" w:rsidRPr="00084042" w:rsidRDefault="00084042" w:rsidP="004D4B92">
            <w:pPr>
              <w:spacing w:after="0" w:line="240" w:lineRule="auto"/>
              <w:rPr>
                <w:rFonts w:ascii="Times New Roman" w:eastAsiaTheme="majorEastAsia" w:hAnsi="Times New Roman" w:cs="Times New Roman"/>
                <w:b/>
                <w:bCs/>
              </w:rPr>
            </w:pPr>
            <w:r w:rsidRPr="00084042">
              <w:rPr>
                <w:rFonts w:ascii="Times New Roman" w:eastAsiaTheme="majorEastAsia" w:hAnsi="Times New Roman" w:cs="Times New Roman"/>
                <w:b/>
                <w:bCs/>
              </w:rPr>
              <w:t>Adverse Drug Reaction</w:t>
            </w:r>
          </w:p>
        </w:tc>
      </w:tr>
      <w:tr w:rsidR="00084042" w:rsidRPr="00084042" w14:paraId="11C2B98D" w14:textId="77777777" w:rsidTr="00D11D59">
        <w:tc>
          <w:tcPr>
            <w:tcW w:w="3475" w:type="dxa"/>
            <w:vAlign w:val="center"/>
          </w:tcPr>
          <w:p w14:paraId="56A7169F" w14:textId="77777777" w:rsidR="00084042" w:rsidRPr="00084042" w:rsidRDefault="00084042" w:rsidP="004D4B92">
            <w:pPr>
              <w:spacing w:after="0" w:line="240" w:lineRule="auto"/>
              <w:rPr>
                <w:rFonts w:ascii="Times New Roman" w:eastAsiaTheme="majorEastAsia" w:hAnsi="Times New Roman" w:cs="Times New Roman"/>
                <w:b/>
                <w:bCs/>
              </w:rPr>
            </w:pPr>
            <w:r w:rsidRPr="00084042">
              <w:rPr>
                <w:rFonts w:ascii="Times New Roman" w:eastAsiaTheme="majorEastAsia" w:hAnsi="Times New Roman" w:cs="Times New Roman"/>
                <w:b/>
                <w:bCs/>
              </w:rPr>
              <w:t>Infections and infestations</w:t>
            </w:r>
          </w:p>
        </w:tc>
        <w:tc>
          <w:tcPr>
            <w:tcW w:w="1883" w:type="dxa"/>
            <w:vAlign w:val="center"/>
          </w:tcPr>
          <w:p w14:paraId="631BC261"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Common</w:t>
            </w:r>
          </w:p>
        </w:tc>
        <w:tc>
          <w:tcPr>
            <w:tcW w:w="3714" w:type="dxa"/>
            <w:vAlign w:val="center"/>
          </w:tcPr>
          <w:p w14:paraId="3AFCDD4D"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Urinary tract infection</w:t>
            </w:r>
          </w:p>
        </w:tc>
      </w:tr>
      <w:tr w:rsidR="00084042" w:rsidRPr="00084042" w14:paraId="5C9CF91C" w14:textId="77777777" w:rsidTr="00D11D59">
        <w:tc>
          <w:tcPr>
            <w:tcW w:w="3475" w:type="dxa"/>
            <w:vMerge w:val="restart"/>
            <w:vAlign w:val="center"/>
          </w:tcPr>
          <w:p w14:paraId="7655233F" w14:textId="77777777" w:rsidR="00084042" w:rsidRPr="00084042" w:rsidRDefault="00084042" w:rsidP="004D4B92">
            <w:pPr>
              <w:spacing w:after="0" w:line="240" w:lineRule="auto"/>
              <w:rPr>
                <w:rFonts w:ascii="Times New Roman" w:eastAsiaTheme="majorEastAsia" w:hAnsi="Times New Roman" w:cs="Times New Roman"/>
                <w:b/>
                <w:bCs/>
              </w:rPr>
            </w:pPr>
            <w:r w:rsidRPr="00084042">
              <w:rPr>
                <w:rFonts w:ascii="Times New Roman" w:eastAsiaTheme="majorEastAsia" w:hAnsi="Times New Roman" w:cs="Times New Roman"/>
                <w:b/>
                <w:bCs/>
              </w:rPr>
              <w:t>Metabolism and nutrition disorders</w:t>
            </w:r>
          </w:p>
        </w:tc>
        <w:tc>
          <w:tcPr>
            <w:tcW w:w="1883" w:type="dxa"/>
            <w:vAlign w:val="center"/>
          </w:tcPr>
          <w:p w14:paraId="3B361D9A"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Very Common</w:t>
            </w:r>
          </w:p>
        </w:tc>
        <w:tc>
          <w:tcPr>
            <w:tcW w:w="3714" w:type="dxa"/>
            <w:vAlign w:val="center"/>
          </w:tcPr>
          <w:p w14:paraId="261A5E36"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Decreased appetite</w:t>
            </w:r>
          </w:p>
        </w:tc>
      </w:tr>
      <w:tr w:rsidR="00084042" w:rsidRPr="00084042" w14:paraId="15AFCFC7" w14:textId="77777777" w:rsidTr="00D11D59">
        <w:tc>
          <w:tcPr>
            <w:tcW w:w="3475" w:type="dxa"/>
            <w:vMerge/>
            <w:vAlign w:val="center"/>
          </w:tcPr>
          <w:p w14:paraId="0D0D898E" w14:textId="77777777" w:rsidR="00084042" w:rsidRPr="00084042" w:rsidRDefault="00084042" w:rsidP="004D4B92">
            <w:pPr>
              <w:spacing w:after="0" w:line="240" w:lineRule="auto"/>
              <w:rPr>
                <w:rFonts w:ascii="Times New Roman" w:eastAsiaTheme="majorEastAsia" w:hAnsi="Times New Roman" w:cs="Times New Roman"/>
                <w:b/>
                <w:bCs/>
              </w:rPr>
            </w:pPr>
          </w:p>
        </w:tc>
        <w:tc>
          <w:tcPr>
            <w:tcW w:w="1883" w:type="dxa"/>
            <w:vAlign w:val="center"/>
          </w:tcPr>
          <w:p w14:paraId="5B62D304"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Common</w:t>
            </w:r>
          </w:p>
        </w:tc>
        <w:tc>
          <w:tcPr>
            <w:tcW w:w="3714" w:type="dxa"/>
            <w:vAlign w:val="center"/>
          </w:tcPr>
          <w:p w14:paraId="794636C3"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Dehydration</w:t>
            </w:r>
          </w:p>
        </w:tc>
      </w:tr>
      <w:tr w:rsidR="00084042" w:rsidRPr="00084042" w14:paraId="06EF514C" w14:textId="77777777" w:rsidTr="00D11D59">
        <w:tc>
          <w:tcPr>
            <w:tcW w:w="3475" w:type="dxa"/>
            <w:vAlign w:val="center"/>
          </w:tcPr>
          <w:p w14:paraId="14C2BF5E" w14:textId="77777777" w:rsidR="00084042" w:rsidRPr="00084042" w:rsidRDefault="00084042" w:rsidP="004D4B92">
            <w:pPr>
              <w:spacing w:after="0" w:line="240" w:lineRule="auto"/>
              <w:rPr>
                <w:rFonts w:ascii="Times New Roman" w:eastAsiaTheme="majorEastAsia" w:hAnsi="Times New Roman" w:cs="Times New Roman"/>
                <w:b/>
                <w:bCs/>
              </w:rPr>
            </w:pPr>
            <w:r w:rsidRPr="00084042">
              <w:rPr>
                <w:rFonts w:ascii="Times New Roman" w:eastAsiaTheme="majorEastAsia" w:hAnsi="Times New Roman" w:cs="Times New Roman"/>
                <w:b/>
                <w:bCs/>
              </w:rPr>
              <w:t>Respiratory, thoracic and mediastinal disorders</w:t>
            </w:r>
          </w:p>
        </w:tc>
        <w:tc>
          <w:tcPr>
            <w:tcW w:w="1883" w:type="dxa"/>
            <w:vAlign w:val="center"/>
          </w:tcPr>
          <w:p w14:paraId="0E3423DC"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Common</w:t>
            </w:r>
          </w:p>
        </w:tc>
        <w:tc>
          <w:tcPr>
            <w:tcW w:w="3714" w:type="dxa"/>
            <w:vAlign w:val="center"/>
          </w:tcPr>
          <w:p w14:paraId="015076EF"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Epistaxis</w:t>
            </w:r>
          </w:p>
        </w:tc>
      </w:tr>
      <w:tr w:rsidR="00084042" w:rsidRPr="00084042" w14:paraId="010A1005" w14:textId="77777777" w:rsidTr="00D11D59">
        <w:tc>
          <w:tcPr>
            <w:tcW w:w="3475" w:type="dxa"/>
            <w:vMerge w:val="restart"/>
            <w:vAlign w:val="center"/>
          </w:tcPr>
          <w:p w14:paraId="260E7301" w14:textId="77777777" w:rsidR="00084042" w:rsidRPr="00084042" w:rsidRDefault="00084042" w:rsidP="004D4B92">
            <w:pPr>
              <w:spacing w:after="0" w:line="240" w:lineRule="auto"/>
              <w:rPr>
                <w:rFonts w:ascii="Times New Roman" w:eastAsiaTheme="majorEastAsia" w:hAnsi="Times New Roman" w:cs="Times New Roman"/>
                <w:b/>
                <w:bCs/>
              </w:rPr>
            </w:pPr>
            <w:r w:rsidRPr="00084042">
              <w:rPr>
                <w:rFonts w:ascii="Times New Roman" w:eastAsiaTheme="majorEastAsia" w:hAnsi="Times New Roman" w:cs="Times New Roman"/>
                <w:b/>
                <w:bCs/>
              </w:rPr>
              <w:t>Gastrointestinal disorders</w:t>
            </w:r>
          </w:p>
        </w:tc>
        <w:tc>
          <w:tcPr>
            <w:tcW w:w="1883" w:type="dxa"/>
            <w:vAlign w:val="center"/>
          </w:tcPr>
          <w:p w14:paraId="135EBAA8"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Very Common</w:t>
            </w:r>
          </w:p>
        </w:tc>
        <w:tc>
          <w:tcPr>
            <w:tcW w:w="3714" w:type="dxa"/>
            <w:vAlign w:val="center"/>
          </w:tcPr>
          <w:p w14:paraId="342B6D3A"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Diarrhoea, vomiting, nausea, abdominal pain, abdominal pain upper, and stomatitis</w:t>
            </w:r>
            <w:r w:rsidRPr="00FB65D1">
              <w:rPr>
                <w:rFonts w:ascii="Times New Roman" w:eastAsiaTheme="majorEastAsia" w:hAnsi="Times New Roman" w:cs="Times New Roman"/>
                <w:bCs/>
                <w:vertAlign w:val="superscript"/>
              </w:rPr>
              <w:t>1</w:t>
            </w:r>
          </w:p>
        </w:tc>
      </w:tr>
      <w:tr w:rsidR="00084042" w:rsidRPr="00084042" w14:paraId="799B1E78" w14:textId="77777777" w:rsidTr="00D11D59">
        <w:tc>
          <w:tcPr>
            <w:tcW w:w="3475" w:type="dxa"/>
            <w:vMerge/>
            <w:vAlign w:val="center"/>
          </w:tcPr>
          <w:p w14:paraId="7A1545A6" w14:textId="77777777" w:rsidR="00084042" w:rsidRPr="00084042" w:rsidRDefault="00084042" w:rsidP="004D4B92">
            <w:pPr>
              <w:spacing w:after="0" w:line="240" w:lineRule="auto"/>
              <w:rPr>
                <w:rFonts w:ascii="Times New Roman" w:eastAsiaTheme="majorEastAsia" w:hAnsi="Times New Roman" w:cs="Times New Roman"/>
                <w:b/>
                <w:bCs/>
              </w:rPr>
            </w:pPr>
          </w:p>
        </w:tc>
        <w:tc>
          <w:tcPr>
            <w:tcW w:w="1883" w:type="dxa"/>
            <w:vAlign w:val="center"/>
          </w:tcPr>
          <w:p w14:paraId="1D1DF1D9"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Common</w:t>
            </w:r>
          </w:p>
        </w:tc>
        <w:tc>
          <w:tcPr>
            <w:tcW w:w="3714" w:type="dxa"/>
            <w:vAlign w:val="center"/>
          </w:tcPr>
          <w:p w14:paraId="20D3D4E5"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Abdominal distension, dry mouth and dyspepsia</w:t>
            </w:r>
          </w:p>
        </w:tc>
      </w:tr>
      <w:tr w:rsidR="00084042" w:rsidRPr="00084042" w14:paraId="325E6993" w14:textId="77777777" w:rsidTr="00D11D59">
        <w:tc>
          <w:tcPr>
            <w:tcW w:w="3475" w:type="dxa"/>
            <w:vMerge w:val="restart"/>
            <w:vAlign w:val="center"/>
          </w:tcPr>
          <w:p w14:paraId="4EECD429" w14:textId="77777777" w:rsidR="00084042" w:rsidRPr="00084042" w:rsidRDefault="00084042" w:rsidP="004D4B92">
            <w:pPr>
              <w:spacing w:after="0" w:line="240" w:lineRule="auto"/>
              <w:rPr>
                <w:rFonts w:ascii="Times New Roman" w:eastAsiaTheme="majorEastAsia" w:hAnsi="Times New Roman" w:cs="Times New Roman"/>
                <w:b/>
                <w:bCs/>
              </w:rPr>
            </w:pPr>
            <w:r w:rsidRPr="00084042">
              <w:rPr>
                <w:rFonts w:ascii="Times New Roman" w:eastAsiaTheme="majorEastAsia" w:hAnsi="Times New Roman" w:cs="Times New Roman"/>
                <w:b/>
                <w:bCs/>
              </w:rPr>
              <w:t>Hepatobiliary disorders</w:t>
            </w:r>
          </w:p>
        </w:tc>
        <w:tc>
          <w:tcPr>
            <w:tcW w:w="1883" w:type="dxa"/>
            <w:vAlign w:val="center"/>
          </w:tcPr>
          <w:p w14:paraId="6E93F864"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Common</w:t>
            </w:r>
          </w:p>
        </w:tc>
        <w:tc>
          <w:tcPr>
            <w:tcW w:w="3714" w:type="dxa"/>
            <w:vAlign w:val="center"/>
          </w:tcPr>
          <w:p w14:paraId="3DAD09D1"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Alanine aminotransferase increased, and aspartate aminotransferase increased</w:t>
            </w:r>
          </w:p>
        </w:tc>
      </w:tr>
      <w:tr w:rsidR="00084042" w:rsidRPr="00084042" w14:paraId="1CFF572A" w14:textId="77777777" w:rsidTr="00D11D59">
        <w:tc>
          <w:tcPr>
            <w:tcW w:w="3475" w:type="dxa"/>
            <w:vMerge/>
            <w:vAlign w:val="center"/>
          </w:tcPr>
          <w:p w14:paraId="6B04ED4A" w14:textId="77777777" w:rsidR="00084042" w:rsidRPr="00084042" w:rsidRDefault="00084042" w:rsidP="004D4B92">
            <w:pPr>
              <w:spacing w:after="0" w:line="240" w:lineRule="auto"/>
              <w:rPr>
                <w:rFonts w:ascii="Times New Roman" w:eastAsiaTheme="majorEastAsia" w:hAnsi="Times New Roman" w:cs="Times New Roman"/>
                <w:b/>
                <w:bCs/>
              </w:rPr>
            </w:pPr>
          </w:p>
        </w:tc>
        <w:tc>
          <w:tcPr>
            <w:tcW w:w="1883" w:type="dxa"/>
            <w:vAlign w:val="center"/>
          </w:tcPr>
          <w:p w14:paraId="37101543"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Uncommon</w:t>
            </w:r>
          </w:p>
        </w:tc>
        <w:tc>
          <w:tcPr>
            <w:tcW w:w="3714" w:type="dxa"/>
            <w:vAlign w:val="center"/>
          </w:tcPr>
          <w:p w14:paraId="7F0C7C09"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Blood bilirubin increased</w:t>
            </w:r>
          </w:p>
        </w:tc>
      </w:tr>
      <w:tr w:rsidR="00084042" w:rsidRPr="00084042" w14:paraId="60492614" w14:textId="77777777" w:rsidTr="00D11D59">
        <w:tc>
          <w:tcPr>
            <w:tcW w:w="3475" w:type="dxa"/>
            <w:vMerge w:val="restart"/>
            <w:vAlign w:val="center"/>
          </w:tcPr>
          <w:p w14:paraId="0ABF9D55" w14:textId="77777777" w:rsidR="00084042" w:rsidRPr="00084042" w:rsidRDefault="00084042" w:rsidP="004D4B92">
            <w:pPr>
              <w:spacing w:after="0" w:line="240" w:lineRule="auto"/>
              <w:rPr>
                <w:rFonts w:ascii="Times New Roman" w:eastAsiaTheme="majorEastAsia" w:hAnsi="Times New Roman" w:cs="Times New Roman"/>
                <w:b/>
                <w:bCs/>
              </w:rPr>
            </w:pPr>
            <w:r w:rsidRPr="00084042">
              <w:rPr>
                <w:rFonts w:ascii="Times New Roman" w:eastAsiaTheme="majorEastAsia" w:hAnsi="Times New Roman" w:cs="Times New Roman"/>
                <w:b/>
                <w:bCs/>
              </w:rPr>
              <w:lastRenderedPageBreak/>
              <w:t>Skin and subcutaneous tissue disorders</w:t>
            </w:r>
          </w:p>
        </w:tc>
        <w:tc>
          <w:tcPr>
            <w:tcW w:w="1883" w:type="dxa"/>
            <w:vAlign w:val="center"/>
          </w:tcPr>
          <w:p w14:paraId="74038CC2"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Very Common</w:t>
            </w:r>
          </w:p>
        </w:tc>
        <w:tc>
          <w:tcPr>
            <w:tcW w:w="3714" w:type="dxa"/>
            <w:vAlign w:val="center"/>
          </w:tcPr>
          <w:p w14:paraId="473BE83C"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Rash</w:t>
            </w:r>
            <w:r w:rsidRPr="00FB65D1">
              <w:rPr>
                <w:rFonts w:ascii="Times New Roman" w:eastAsiaTheme="majorEastAsia" w:hAnsi="Times New Roman" w:cs="Times New Roman"/>
                <w:bCs/>
                <w:vertAlign w:val="superscript"/>
              </w:rPr>
              <w:t>2</w:t>
            </w:r>
          </w:p>
        </w:tc>
      </w:tr>
      <w:tr w:rsidR="00084042" w:rsidRPr="00084042" w14:paraId="6FACF160" w14:textId="77777777" w:rsidTr="00D11D59">
        <w:tc>
          <w:tcPr>
            <w:tcW w:w="3475" w:type="dxa"/>
            <w:vMerge/>
            <w:vAlign w:val="center"/>
          </w:tcPr>
          <w:p w14:paraId="7146B6C3" w14:textId="77777777" w:rsidR="00084042" w:rsidRPr="00084042" w:rsidRDefault="00084042" w:rsidP="004D4B92">
            <w:pPr>
              <w:spacing w:after="0" w:line="240" w:lineRule="auto"/>
              <w:rPr>
                <w:rFonts w:ascii="Times New Roman" w:eastAsiaTheme="majorEastAsia" w:hAnsi="Times New Roman" w:cs="Times New Roman"/>
                <w:b/>
                <w:bCs/>
              </w:rPr>
            </w:pPr>
          </w:p>
        </w:tc>
        <w:tc>
          <w:tcPr>
            <w:tcW w:w="1883" w:type="dxa"/>
            <w:vAlign w:val="center"/>
          </w:tcPr>
          <w:p w14:paraId="40DE4D74"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Common</w:t>
            </w:r>
          </w:p>
        </w:tc>
        <w:tc>
          <w:tcPr>
            <w:tcW w:w="3714" w:type="dxa"/>
            <w:vAlign w:val="center"/>
          </w:tcPr>
          <w:p w14:paraId="2B4E234C" w14:textId="1556475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Nail disorder</w:t>
            </w:r>
            <w:r w:rsidRPr="00FB65D1">
              <w:rPr>
                <w:rFonts w:ascii="Times New Roman" w:eastAsiaTheme="majorEastAsia" w:hAnsi="Times New Roman" w:cs="Times New Roman"/>
                <w:bCs/>
                <w:vertAlign w:val="superscript"/>
              </w:rPr>
              <w:t>3</w:t>
            </w:r>
            <w:r w:rsidR="00FB65D1" w:rsidRPr="00084042">
              <w:rPr>
                <w:rFonts w:ascii="Times New Roman" w:eastAsiaTheme="majorEastAsia" w:hAnsi="Times New Roman" w:cs="Times New Roman"/>
                <w:bCs/>
              </w:rPr>
              <w:t>, skin</w:t>
            </w:r>
            <w:r w:rsidRPr="00084042">
              <w:rPr>
                <w:rFonts w:ascii="Times New Roman" w:eastAsiaTheme="majorEastAsia" w:hAnsi="Times New Roman" w:cs="Times New Roman"/>
                <w:bCs/>
              </w:rPr>
              <w:t xml:space="preserve"> fissures and dry skin</w:t>
            </w:r>
          </w:p>
        </w:tc>
      </w:tr>
      <w:tr w:rsidR="00084042" w:rsidRPr="00084042" w14:paraId="51461158" w14:textId="77777777" w:rsidTr="00D11D59">
        <w:trPr>
          <w:trHeight w:val="645"/>
        </w:trPr>
        <w:tc>
          <w:tcPr>
            <w:tcW w:w="3475" w:type="dxa"/>
            <w:vAlign w:val="center"/>
          </w:tcPr>
          <w:p w14:paraId="58B4D6C0" w14:textId="77777777" w:rsidR="00084042" w:rsidRPr="00084042" w:rsidRDefault="00084042" w:rsidP="004D4B92">
            <w:pPr>
              <w:spacing w:after="0" w:line="240" w:lineRule="auto"/>
              <w:rPr>
                <w:rFonts w:ascii="Times New Roman" w:eastAsiaTheme="majorEastAsia" w:hAnsi="Times New Roman" w:cs="Times New Roman"/>
                <w:b/>
                <w:bCs/>
              </w:rPr>
            </w:pPr>
            <w:r w:rsidRPr="00084042">
              <w:rPr>
                <w:rFonts w:ascii="Times New Roman" w:eastAsiaTheme="majorEastAsia" w:hAnsi="Times New Roman" w:cs="Times New Roman"/>
                <w:b/>
                <w:bCs/>
              </w:rPr>
              <w:t>Musculoskeletal and connective tissue disorders</w:t>
            </w:r>
          </w:p>
        </w:tc>
        <w:tc>
          <w:tcPr>
            <w:tcW w:w="1883" w:type="dxa"/>
            <w:vAlign w:val="center"/>
          </w:tcPr>
          <w:p w14:paraId="2C9F6CBA"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Very Common</w:t>
            </w:r>
          </w:p>
        </w:tc>
        <w:tc>
          <w:tcPr>
            <w:tcW w:w="3714" w:type="dxa"/>
            <w:vAlign w:val="center"/>
          </w:tcPr>
          <w:p w14:paraId="7B1AE166"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Muscle spasms</w:t>
            </w:r>
          </w:p>
        </w:tc>
      </w:tr>
      <w:tr w:rsidR="00084042" w:rsidRPr="00084042" w14:paraId="188CCB66" w14:textId="77777777" w:rsidTr="00D11D59">
        <w:tc>
          <w:tcPr>
            <w:tcW w:w="3475" w:type="dxa"/>
            <w:vMerge w:val="restart"/>
            <w:vAlign w:val="center"/>
          </w:tcPr>
          <w:p w14:paraId="08145096" w14:textId="77777777" w:rsidR="00084042" w:rsidRPr="00084042" w:rsidRDefault="00084042" w:rsidP="004D4B92">
            <w:pPr>
              <w:spacing w:after="0" w:line="240" w:lineRule="auto"/>
              <w:rPr>
                <w:rFonts w:ascii="Times New Roman" w:eastAsiaTheme="majorEastAsia" w:hAnsi="Times New Roman" w:cs="Times New Roman"/>
                <w:b/>
                <w:bCs/>
              </w:rPr>
            </w:pPr>
            <w:r w:rsidRPr="00084042">
              <w:rPr>
                <w:rFonts w:ascii="Times New Roman" w:eastAsiaTheme="majorEastAsia" w:hAnsi="Times New Roman" w:cs="Times New Roman"/>
                <w:b/>
                <w:bCs/>
              </w:rPr>
              <w:t>Renal and urinary disorders</w:t>
            </w:r>
          </w:p>
        </w:tc>
        <w:tc>
          <w:tcPr>
            <w:tcW w:w="1883" w:type="dxa"/>
            <w:vAlign w:val="center"/>
          </w:tcPr>
          <w:p w14:paraId="0E644863"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Common</w:t>
            </w:r>
          </w:p>
        </w:tc>
        <w:tc>
          <w:tcPr>
            <w:tcW w:w="3714" w:type="dxa"/>
            <w:vAlign w:val="center"/>
          </w:tcPr>
          <w:p w14:paraId="3839B2CA"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Blood creatinine increased</w:t>
            </w:r>
          </w:p>
        </w:tc>
      </w:tr>
      <w:tr w:rsidR="00084042" w:rsidRPr="00084042" w14:paraId="2C18AAAD" w14:textId="77777777" w:rsidTr="00D11D59">
        <w:tc>
          <w:tcPr>
            <w:tcW w:w="3475" w:type="dxa"/>
            <w:vMerge/>
            <w:vAlign w:val="center"/>
          </w:tcPr>
          <w:p w14:paraId="6C63BDA0" w14:textId="77777777" w:rsidR="00084042" w:rsidRPr="00084042" w:rsidRDefault="00084042" w:rsidP="004D4B92">
            <w:pPr>
              <w:spacing w:after="0" w:line="240" w:lineRule="auto"/>
              <w:rPr>
                <w:rFonts w:ascii="Times New Roman" w:eastAsiaTheme="majorEastAsia" w:hAnsi="Times New Roman" w:cs="Times New Roman"/>
                <w:b/>
                <w:bCs/>
              </w:rPr>
            </w:pPr>
          </w:p>
        </w:tc>
        <w:tc>
          <w:tcPr>
            <w:tcW w:w="1883" w:type="dxa"/>
            <w:vAlign w:val="center"/>
          </w:tcPr>
          <w:p w14:paraId="496E9E75"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Uncommon</w:t>
            </w:r>
          </w:p>
        </w:tc>
        <w:tc>
          <w:tcPr>
            <w:tcW w:w="3714" w:type="dxa"/>
            <w:vAlign w:val="center"/>
          </w:tcPr>
          <w:p w14:paraId="33C1C7BF"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 xml:space="preserve">Renal failure </w:t>
            </w:r>
          </w:p>
        </w:tc>
      </w:tr>
      <w:tr w:rsidR="00084042" w:rsidRPr="00084042" w14:paraId="5780F739" w14:textId="77777777" w:rsidTr="00D11D59">
        <w:tc>
          <w:tcPr>
            <w:tcW w:w="3475" w:type="dxa"/>
            <w:vAlign w:val="center"/>
          </w:tcPr>
          <w:p w14:paraId="495882D8" w14:textId="77777777" w:rsidR="00084042" w:rsidRPr="00084042" w:rsidRDefault="00084042" w:rsidP="004D4B92">
            <w:pPr>
              <w:spacing w:after="0" w:line="240" w:lineRule="auto"/>
              <w:rPr>
                <w:rFonts w:ascii="Times New Roman" w:eastAsiaTheme="majorEastAsia" w:hAnsi="Times New Roman" w:cs="Times New Roman"/>
                <w:b/>
                <w:bCs/>
              </w:rPr>
            </w:pPr>
            <w:r w:rsidRPr="00084042">
              <w:rPr>
                <w:rFonts w:ascii="Times New Roman" w:eastAsiaTheme="majorEastAsia" w:hAnsi="Times New Roman" w:cs="Times New Roman"/>
                <w:b/>
                <w:bCs/>
              </w:rPr>
              <w:t>General disorders and administration site conditions</w:t>
            </w:r>
          </w:p>
        </w:tc>
        <w:tc>
          <w:tcPr>
            <w:tcW w:w="1883" w:type="dxa"/>
            <w:vAlign w:val="center"/>
          </w:tcPr>
          <w:p w14:paraId="63A063B2"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Very common</w:t>
            </w:r>
          </w:p>
        </w:tc>
        <w:tc>
          <w:tcPr>
            <w:tcW w:w="3714" w:type="dxa"/>
            <w:vAlign w:val="center"/>
          </w:tcPr>
          <w:p w14:paraId="1B1D8B98"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Fatigue</w:t>
            </w:r>
          </w:p>
        </w:tc>
      </w:tr>
      <w:tr w:rsidR="00084042" w:rsidRPr="00084042" w14:paraId="599B03D7" w14:textId="77777777" w:rsidTr="00D11D59">
        <w:tc>
          <w:tcPr>
            <w:tcW w:w="3475" w:type="dxa"/>
            <w:tcBorders>
              <w:bottom w:val="single" w:sz="4" w:space="0" w:color="auto"/>
            </w:tcBorders>
            <w:vAlign w:val="center"/>
          </w:tcPr>
          <w:p w14:paraId="0999179B" w14:textId="77777777" w:rsidR="00084042" w:rsidRPr="00084042" w:rsidRDefault="00084042" w:rsidP="004D4B92">
            <w:pPr>
              <w:spacing w:after="0" w:line="240" w:lineRule="auto"/>
              <w:rPr>
                <w:rFonts w:ascii="Times New Roman" w:eastAsiaTheme="majorEastAsia" w:hAnsi="Times New Roman" w:cs="Times New Roman"/>
                <w:b/>
                <w:bCs/>
              </w:rPr>
            </w:pPr>
            <w:r w:rsidRPr="00084042">
              <w:rPr>
                <w:rFonts w:ascii="Times New Roman" w:eastAsiaTheme="majorEastAsia" w:hAnsi="Times New Roman" w:cs="Times New Roman"/>
                <w:b/>
                <w:bCs/>
              </w:rPr>
              <w:t>Investigations</w:t>
            </w:r>
          </w:p>
        </w:tc>
        <w:tc>
          <w:tcPr>
            <w:tcW w:w="1883" w:type="dxa"/>
            <w:tcBorders>
              <w:bottom w:val="single" w:sz="4" w:space="0" w:color="auto"/>
            </w:tcBorders>
            <w:vAlign w:val="center"/>
          </w:tcPr>
          <w:p w14:paraId="512B5D3D"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Common</w:t>
            </w:r>
          </w:p>
        </w:tc>
        <w:tc>
          <w:tcPr>
            <w:tcW w:w="3714" w:type="dxa"/>
            <w:tcBorders>
              <w:bottom w:val="single" w:sz="4" w:space="0" w:color="auto"/>
            </w:tcBorders>
            <w:vAlign w:val="center"/>
          </w:tcPr>
          <w:p w14:paraId="07A4D564" w14:textId="77777777" w:rsidR="00084042" w:rsidRPr="00084042" w:rsidRDefault="00084042" w:rsidP="004D4B92">
            <w:pPr>
              <w:spacing w:after="0" w:line="240" w:lineRule="auto"/>
              <w:rPr>
                <w:rFonts w:ascii="Times New Roman" w:eastAsiaTheme="majorEastAsia" w:hAnsi="Times New Roman" w:cs="Times New Roman"/>
                <w:bCs/>
              </w:rPr>
            </w:pPr>
            <w:r w:rsidRPr="00084042">
              <w:rPr>
                <w:rFonts w:ascii="Times New Roman" w:eastAsiaTheme="majorEastAsia" w:hAnsi="Times New Roman" w:cs="Times New Roman"/>
                <w:bCs/>
              </w:rPr>
              <w:t>Weight decreased</w:t>
            </w:r>
          </w:p>
        </w:tc>
      </w:tr>
      <w:tr w:rsidR="00084042" w:rsidRPr="00084042" w14:paraId="01BE5E0C" w14:textId="77777777" w:rsidTr="00D11D59">
        <w:trPr>
          <w:trHeight w:val="485"/>
        </w:trPr>
        <w:tc>
          <w:tcPr>
            <w:tcW w:w="9072" w:type="dxa"/>
            <w:gridSpan w:val="3"/>
            <w:tcBorders>
              <w:top w:val="single" w:sz="4" w:space="0" w:color="auto"/>
              <w:left w:val="nil"/>
              <w:bottom w:val="nil"/>
              <w:right w:val="nil"/>
            </w:tcBorders>
          </w:tcPr>
          <w:p w14:paraId="2AEF36E2" w14:textId="77777777" w:rsidR="00084042" w:rsidRPr="00FB65D1" w:rsidRDefault="00084042" w:rsidP="00084042">
            <w:pPr>
              <w:adjustRightInd w:val="0"/>
              <w:spacing w:before="20" w:after="20" w:line="240" w:lineRule="auto"/>
              <w:rPr>
                <w:rFonts w:ascii="Times New Roman" w:eastAsiaTheme="majorEastAsia" w:hAnsi="Times New Roman" w:cs="Times New Roman"/>
                <w:bCs/>
                <w:sz w:val="20"/>
              </w:rPr>
            </w:pPr>
            <w:r w:rsidRPr="00FB65D1">
              <w:rPr>
                <w:rFonts w:ascii="Times New Roman" w:eastAsiaTheme="majorEastAsia" w:hAnsi="Times New Roman" w:cs="Times New Roman"/>
                <w:bCs/>
                <w:sz w:val="20"/>
                <w:vertAlign w:val="superscript"/>
              </w:rPr>
              <w:t xml:space="preserve">1 </w:t>
            </w:r>
            <w:r w:rsidRPr="00FB65D1">
              <w:rPr>
                <w:rFonts w:ascii="Times New Roman" w:eastAsiaTheme="majorEastAsia" w:hAnsi="Times New Roman" w:cs="Times New Roman"/>
                <w:bCs/>
                <w:sz w:val="20"/>
              </w:rPr>
              <w:t>Includes stomatitis, aphthous stomatitis, mouth ulceration, oral mucosal blistering, and mucosal inflammation.</w:t>
            </w:r>
          </w:p>
          <w:p w14:paraId="028D4C8D" w14:textId="7516641D" w:rsidR="00084042" w:rsidRPr="00FB65D1" w:rsidRDefault="00084042" w:rsidP="00084042">
            <w:pPr>
              <w:pStyle w:val="CommentText"/>
              <w:rPr>
                <w:rFonts w:ascii="Times New Roman" w:eastAsiaTheme="majorEastAsia" w:hAnsi="Times New Roman" w:cs="Times New Roman"/>
                <w:bCs/>
                <w:szCs w:val="22"/>
              </w:rPr>
            </w:pPr>
            <w:r w:rsidRPr="00FB65D1">
              <w:rPr>
                <w:rFonts w:ascii="Times New Roman" w:eastAsiaTheme="majorEastAsia" w:hAnsi="Times New Roman" w:cs="Times New Roman"/>
                <w:bCs/>
                <w:szCs w:val="22"/>
                <w:vertAlign w:val="superscript"/>
              </w:rPr>
              <w:t xml:space="preserve">2 </w:t>
            </w:r>
            <w:r w:rsidRPr="00FB65D1">
              <w:rPr>
                <w:rFonts w:ascii="Times New Roman" w:eastAsiaTheme="majorEastAsia" w:hAnsi="Times New Roman" w:cs="Times New Roman"/>
                <w:bCs/>
                <w:szCs w:val="22"/>
              </w:rPr>
              <w:t>Includes rash, rash erythematous, rash follicular, rash generalized, rash pruritic, and rash pustular.</w:t>
            </w:r>
            <w:r w:rsidR="00FB65D1">
              <w:rPr>
                <w:rFonts w:ascii="Times New Roman" w:eastAsiaTheme="majorEastAsia" w:hAnsi="Times New Roman" w:cs="Times New Roman"/>
                <w:bCs/>
                <w:szCs w:val="22"/>
              </w:rPr>
              <w:br/>
            </w:r>
            <w:r w:rsidR="00FB65D1" w:rsidRPr="00FB65D1">
              <w:rPr>
                <w:rFonts w:ascii="Times New Roman" w:eastAsiaTheme="majorEastAsia" w:hAnsi="Times New Roman" w:cs="Times New Roman"/>
                <w:bCs/>
                <w:szCs w:val="22"/>
                <w:vertAlign w:val="superscript"/>
              </w:rPr>
              <w:t xml:space="preserve">3 </w:t>
            </w:r>
            <w:r w:rsidRPr="00FB65D1">
              <w:rPr>
                <w:rFonts w:ascii="Times New Roman" w:eastAsiaTheme="majorEastAsia" w:hAnsi="Times New Roman" w:cs="Times New Roman"/>
                <w:bCs/>
                <w:szCs w:val="22"/>
              </w:rPr>
              <w:t>Includes nail disorder, paronychia, onychoclasis, and nail discolouration.</w:t>
            </w:r>
          </w:p>
        </w:tc>
      </w:tr>
    </w:tbl>
    <w:p w14:paraId="1F9F48A4" w14:textId="77777777" w:rsidR="00084042" w:rsidRPr="00FB65D1" w:rsidRDefault="00084042" w:rsidP="00E50C4B">
      <w:pPr>
        <w:pStyle w:val="Heading4"/>
      </w:pPr>
      <w:r w:rsidRPr="00FB65D1">
        <w:t>Description of selected adverse reactions</w:t>
      </w:r>
    </w:p>
    <w:p w14:paraId="2923C6AB" w14:textId="77777777" w:rsidR="00084042" w:rsidRPr="00FB65D1" w:rsidRDefault="00084042" w:rsidP="00E50C4B">
      <w:pPr>
        <w:pStyle w:val="Heading3"/>
      </w:pPr>
      <w:r w:rsidRPr="00FB65D1">
        <w:t>Diarrhoea</w:t>
      </w:r>
    </w:p>
    <w:p w14:paraId="4F2F2678" w14:textId="77777777" w:rsidR="00E50C4B" w:rsidRDefault="00084042" w:rsidP="00E50C4B">
      <w:pPr>
        <w:pStyle w:val="C-BodyText"/>
        <w:rPr>
          <w:rFonts w:eastAsiaTheme="majorEastAsia"/>
        </w:rPr>
      </w:pPr>
      <w:r w:rsidRPr="00084042">
        <w:rPr>
          <w:rFonts w:eastAsiaTheme="majorEastAsia"/>
        </w:rPr>
        <w:t>Of the 1,6</w:t>
      </w:r>
      <w:r w:rsidR="00FB65D1">
        <w:rPr>
          <w:rFonts w:eastAsiaTheme="majorEastAsia"/>
        </w:rPr>
        <w:t>60 patients treated with NERLYNX</w:t>
      </w:r>
      <w:r w:rsidRPr="00084042">
        <w:rPr>
          <w:rFonts w:eastAsiaTheme="majorEastAsia"/>
        </w:rPr>
        <w:t xml:space="preserve"> monotherapy without loperamide prophylaxis, 94.6% experienced at least 1 episode of diarrhoea. 2.0% of patients experienced serious diarrhoea. Grade 3 diarrhoea </w:t>
      </w:r>
      <w:r w:rsidR="00FB65D1">
        <w:rPr>
          <w:rFonts w:eastAsiaTheme="majorEastAsia"/>
        </w:rPr>
        <w:t>was reported in 37.5% of NERLYNX</w:t>
      </w:r>
      <w:r w:rsidRPr="00084042">
        <w:rPr>
          <w:rFonts w:eastAsiaTheme="majorEastAsia"/>
        </w:rPr>
        <w:t xml:space="preserve"> patients. 0.2% of patients had diarrhoea classified as Grade 4. Diarrhoea led to ho</w:t>
      </w:r>
      <w:r w:rsidR="00FB65D1">
        <w:rPr>
          <w:rFonts w:eastAsiaTheme="majorEastAsia"/>
        </w:rPr>
        <w:t>spitalisation in 1.9% of NERLYNX</w:t>
      </w:r>
      <w:r w:rsidRPr="00084042">
        <w:rPr>
          <w:rFonts w:eastAsiaTheme="majorEastAsia"/>
        </w:rPr>
        <w:t>-treated patients.</w:t>
      </w:r>
    </w:p>
    <w:p w14:paraId="213D2D00" w14:textId="77777777" w:rsidR="00E50C4B" w:rsidRDefault="00084042" w:rsidP="00E50C4B">
      <w:pPr>
        <w:pStyle w:val="C-BodyText"/>
        <w:rPr>
          <w:rFonts w:eastAsiaTheme="majorEastAsia"/>
        </w:rPr>
      </w:pPr>
      <w:r w:rsidRPr="00084042">
        <w:rPr>
          <w:rFonts w:eastAsiaTheme="majorEastAsia"/>
        </w:rPr>
        <w:t>Diarrhoea generally occurred in the first month, with 83.6% of patients reporting this toxicity in the first week, 46.9% in the second week, 40.2% in the third week and 43.2% in the fourth week (median time to first onset was 2 days). Thereafter, the incidence of diarrhoea remained relatively stable through month 12.</w:t>
      </w:r>
    </w:p>
    <w:p w14:paraId="2AD74C34" w14:textId="77777777" w:rsidR="00E50C4B" w:rsidRDefault="00084042" w:rsidP="00E50C4B">
      <w:pPr>
        <w:pStyle w:val="C-BodyText"/>
        <w:rPr>
          <w:rFonts w:eastAsiaTheme="majorEastAsia"/>
        </w:rPr>
      </w:pPr>
      <w:r w:rsidRPr="00084042">
        <w:rPr>
          <w:rFonts w:eastAsiaTheme="majorEastAsia"/>
        </w:rPr>
        <w:t>The median duration of a single episode of any grade diarrhoea was 2 days. The median cumulative duration of any grade diarrhoea was 59 days and the median cumulative duration of Grade 3 diarrhoea was 5 days.</w:t>
      </w:r>
    </w:p>
    <w:p w14:paraId="292656A9" w14:textId="77777777" w:rsidR="00E50C4B" w:rsidRDefault="00084042" w:rsidP="00E50C4B">
      <w:pPr>
        <w:pStyle w:val="C-BodyText"/>
        <w:rPr>
          <w:rFonts w:eastAsiaTheme="majorEastAsia"/>
        </w:rPr>
      </w:pPr>
      <w:r w:rsidRPr="00084042">
        <w:rPr>
          <w:rFonts w:eastAsiaTheme="majorEastAsia"/>
        </w:rPr>
        <w:t xml:space="preserve">Diarrhoea was also the most common adverse reaction leading to discontinuation, 14.4 % </w:t>
      </w:r>
      <w:r w:rsidR="00FB65D1">
        <w:rPr>
          <w:rFonts w:eastAsiaTheme="majorEastAsia"/>
        </w:rPr>
        <w:t>of patients treated with NERLYNX</w:t>
      </w:r>
      <w:r w:rsidRPr="00084042">
        <w:rPr>
          <w:rFonts w:eastAsiaTheme="majorEastAsia"/>
        </w:rPr>
        <w:t xml:space="preserve"> without loperamide prophylaxis discontinued treatment due to diarrhoea. Dose reductions occurred in</w:t>
      </w:r>
      <w:r w:rsidR="00FB65D1">
        <w:rPr>
          <w:rFonts w:eastAsiaTheme="majorEastAsia"/>
        </w:rPr>
        <w:t xml:space="preserve"> 24.7% of NERLYNX</w:t>
      </w:r>
      <w:r w:rsidRPr="00084042">
        <w:rPr>
          <w:rFonts w:eastAsiaTheme="majorEastAsia"/>
        </w:rPr>
        <w:t>-treated patients.</w:t>
      </w:r>
      <w:bookmarkStart w:id="4" w:name="IDX1"/>
      <w:bookmarkEnd w:id="4"/>
    </w:p>
    <w:p w14:paraId="2977EECE" w14:textId="77777777" w:rsidR="00E50C4B" w:rsidRDefault="00084042" w:rsidP="00E50C4B">
      <w:pPr>
        <w:pStyle w:val="Heading3"/>
      </w:pPr>
      <w:r w:rsidRPr="00FB65D1">
        <w:t>Rash</w:t>
      </w:r>
    </w:p>
    <w:p w14:paraId="558E9B85" w14:textId="77777777" w:rsidR="00E50C4B" w:rsidRDefault="00FB65D1" w:rsidP="00E50C4B">
      <w:pPr>
        <w:pStyle w:val="C-BodyText"/>
        <w:rPr>
          <w:rFonts w:eastAsiaTheme="majorEastAsia"/>
        </w:rPr>
      </w:pPr>
      <w:r>
        <w:rPr>
          <w:rFonts w:eastAsiaTheme="majorEastAsia"/>
        </w:rPr>
        <w:t>In the NERLYNX</w:t>
      </w:r>
      <w:r w:rsidR="00084042" w:rsidRPr="00084042">
        <w:rPr>
          <w:rFonts w:eastAsiaTheme="majorEastAsia"/>
        </w:rPr>
        <w:t xml:space="preserve"> monotherapy group, 16.7% of patients experienced rash. The incidence of Grade 1 and Grade 2 was 13.3% and 2.</w:t>
      </w:r>
      <w:r>
        <w:rPr>
          <w:rFonts w:eastAsiaTheme="majorEastAsia"/>
        </w:rPr>
        <w:t>9% respectively; 0.4% of NERLYNX</w:t>
      </w:r>
      <w:r w:rsidR="00084042" w:rsidRPr="00084042">
        <w:rPr>
          <w:rFonts w:eastAsiaTheme="majorEastAsia"/>
        </w:rPr>
        <w:t>-treated patients experienced Grade 3 rash.</w:t>
      </w:r>
    </w:p>
    <w:p w14:paraId="73A6A943" w14:textId="6FD4EECE" w:rsidR="00E50C4B" w:rsidRDefault="00084042" w:rsidP="00E50C4B">
      <w:pPr>
        <w:pStyle w:val="Heading3"/>
      </w:pPr>
      <w:r w:rsidRPr="00FB65D1">
        <w:t>Nail disorders</w:t>
      </w:r>
    </w:p>
    <w:p w14:paraId="060F0F5F" w14:textId="77777777" w:rsidR="00E50C4B" w:rsidRDefault="00FB65D1" w:rsidP="00E50C4B">
      <w:pPr>
        <w:pStyle w:val="C-BodyText"/>
        <w:rPr>
          <w:rFonts w:eastAsiaTheme="majorEastAsia"/>
        </w:rPr>
      </w:pPr>
      <w:r>
        <w:rPr>
          <w:rFonts w:eastAsiaTheme="majorEastAsia"/>
        </w:rPr>
        <w:t>In the NERLYNX</w:t>
      </w:r>
      <w:r w:rsidR="00084042" w:rsidRPr="00084042">
        <w:rPr>
          <w:rFonts w:eastAsiaTheme="majorEastAsia"/>
        </w:rPr>
        <w:t xml:space="preserve"> monotherapy group, 7.8% patients experience nail disorders. The incidence of Grade 1 and Grade 2 was 6.2% and 1.4% respecti</w:t>
      </w:r>
      <w:r>
        <w:rPr>
          <w:rFonts w:eastAsiaTheme="majorEastAsia"/>
        </w:rPr>
        <w:t>vely. There were 0.2% of NERLYNX</w:t>
      </w:r>
      <w:r w:rsidR="00084042" w:rsidRPr="00084042">
        <w:rPr>
          <w:rFonts w:eastAsiaTheme="majorEastAsia"/>
        </w:rPr>
        <w:t xml:space="preserve"> treated patients who experienced Grade 3 nail disorder.</w:t>
      </w:r>
    </w:p>
    <w:p w14:paraId="4BB04238" w14:textId="77777777" w:rsidR="00E50C4B" w:rsidRDefault="00084042" w:rsidP="00E50C4B">
      <w:pPr>
        <w:pStyle w:val="C-BodyText"/>
        <w:rPr>
          <w:rFonts w:eastAsiaTheme="majorEastAsia"/>
        </w:rPr>
      </w:pPr>
      <w:r w:rsidRPr="00084042">
        <w:rPr>
          <w:rFonts w:eastAsiaTheme="majorEastAsia"/>
        </w:rPr>
        <w:t>Both rash and nail disorders led to treatment di</w:t>
      </w:r>
      <w:r w:rsidR="00FB65D1">
        <w:rPr>
          <w:rFonts w:eastAsiaTheme="majorEastAsia"/>
        </w:rPr>
        <w:t>scontinuation in 0.6% of NERLYNX</w:t>
      </w:r>
      <w:r w:rsidRPr="00084042">
        <w:rPr>
          <w:rFonts w:eastAsiaTheme="majorEastAsia"/>
        </w:rPr>
        <w:t>-treated patients.</w:t>
      </w:r>
    </w:p>
    <w:p w14:paraId="19D1EACB" w14:textId="77777777" w:rsidR="00E50C4B" w:rsidRDefault="00084042" w:rsidP="00E50C4B">
      <w:pPr>
        <w:pStyle w:val="Heading3"/>
      </w:pPr>
      <w:r w:rsidRPr="00FB65D1">
        <w:lastRenderedPageBreak/>
        <w:t>Hepatotoxicity</w:t>
      </w:r>
    </w:p>
    <w:p w14:paraId="1D082773" w14:textId="77777777" w:rsidR="00E50C4B" w:rsidRDefault="00084042" w:rsidP="00E50C4B">
      <w:pPr>
        <w:pStyle w:val="C-BodyText"/>
        <w:rPr>
          <w:rFonts w:eastAsiaTheme="majorEastAsia"/>
        </w:rPr>
      </w:pPr>
      <w:r w:rsidRPr="00FB65D1">
        <w:rPr>
          <w:rFonts w:eastAsiaTheme="majorEastAsia"/>
        </w:rPr>
        <w:t>Hepatic-associated adverse reactions in the pivotal phase III study, ExteNET (3004), were reporte</w:t>
      </w:r>
      <w:r w:rsidR="00FB65D1">
        <w:rPr>
          <w:rFonts w:eastAsiaTheme="majorEastAsia"/>
        </w:rPr>
        <w:t>d more frequently in the NERLYNX</w:t>
      </w:r>
      <w:r w:rsidRPr="00FB65D1">
        <w:rPr>
          <w:rFonts w:eastAsiaTheme="majorEastAsia"/>
        </w:rPr>
        <w:t xml:space="preserve"> arm compared to the placebo arm (12.4% vs. 6.6%), due primarily to alanine aminotransferase (ALT) increased (8.5% vs. 3.2%), aspartate aminotransferase (AST) increased (7.4 vs 3.3%) and blood alkaline phosphatase increased (2.1% vs. 1.1%). Grade 3 adverse reactions were reported in 1.6% vs 0.5% and Grade 4 adverse reactions were re</w:t>
      </w:r>
      <w:r w:rsidR="00FB65D1">
        <w:rPr>
          <w:rFonts w:eastAsiaTheme="majorEastAsia"/>
        </w:rPr>
        <w:t>ported in 0.2% vs. 0.1%, NERLYNX</w:t>
      </w:r>
      <w:r w:rsidRPr="00FB65D1">
        <w:rPr>
          <w:rFonts w:eastAsiaTheme="majorEastAsia"/>
        </w:rPr>
        <w:t>- and placebo-treated patients, respectively. Grade 3 ALT increased was reported in 1.1% vs 0.2% and Grade 4 ALT increased was rep</w:t>
      </w:r>
      <w:r w:rsidR="00FB65D1">
        <w:rPr>
          <w:rFonts w:eastAsiaTheme="majorEastAsia"/>
        </w:rPr>
        <w:t>orted in 0.2% vs 0.0% of NERLYNX</w:t>
      </w:r>
      <w:r w:rsidRPr="00FB65D1">
        <w:rPr>
          <w:rFonts w:eastAsiaTheme="majorEastAsia"/>
        </w:rPr>
        <w:t>- vs placebo-treated patients. Grade 3 AST increased was reported in 0.5% vs 0.3% and Grade 4 AST increased was repo</w:t>
      </w:r>
      <w:r w:rsidR="00FB65D1">
        <w:rPr>
          <w:rFonts w:eastAsiaTheme="majorEastAsia"/>
        </w:rPr>
        <w:t>rted in 0.2% vs 0.0%, of NERLYNX</w:t>
      </w:r>
      <w:r w:rsidRPr="00FB65D1">
        <w:rPr>
          <w:rFonts w:eastAsiaTheme="majorEastAsia"/>
        </w:rPr>
        <w:t>- vs placebo-treated patients. There was no Grade 3 or 4 adverse reactions of blood bilirubin increased.</w:t>
      </w:r>
    </w:p>
    <w:p w14:paraId="04B63D68" w14:textId="77777777" w:rsidR="00E50C4B" w:rsidRDefault="00084042" w:rsidP="00E50C4B">
      <w:pPr>
        <w:pStyle w:val="Heading4"/>
      </w:pPr>
      <w:r w:rsidRPr="00FB65D1">
        <w:t>Other special populations</w:t>
      </w:r>
    </w:p>
    <w:p w14:paraId="0837F743" w14:textId="77777777" w:rsidR="00E50C4B" w:rsidRDefault="00084042" w:rsidP="00E50C4B">
      <w:pPr>
        <w:pStyle w:val="Heading3"/>
      </w:pPr>
      <w:r w:rsidRPr="00FB65D1">
        <w:t>Elderly</w:t>
      </w:r>
    </w:p>
    <w:p w14:paraId="19AF304A" w14:textId="77777777" w:rsidR="00E50C4B" w:rsidRDefault="00084042" w:rsidP="00E50C4B">
      <w:pPr>
        <w:pStyle w:val="C-BodyText"/>
        <w:rPr>
          <w:rFonts w:eastAsiaTheme="majorEastAsia"/>
        </w:rPr>
      </w:pPr>
      <w:r w:rsidRPr="00FB65D1">
        <w:rPr>
          <w:rFonts w:eastAsiaTheme="majorEastAsia"/>
        </w:rPr>
        <w:t>In the pivotal phase III study, ExteNET (3004), the mean</w:t>
      </w:r>
      <w:r w:rsidR="00EA3C5B">
        <w:rPr>
          <w:rFonts w:eastAsiaTheme="majorEastAsia"/>
        </w:rPr>
        <w:t xml:space="preserve"> age was 52 years in the NERLYNX</w:t>
      </w:r>
      <w:r w:rsidRPr="00FB65D1">
        <w:rPr>
          <w:rFonts w:eastAsiaTheme="majorEastAsia"/>
        </w:rPr>
        <w:t xml:space="preserve"> arm, 1236 patients were &lt;65 years, 172 were ≥65 years, of whom 25 were 75 years or older.</w:t>
      </w:r>
    </w:p>
    <w:p w14:paraId="70F89CA6" w14:textId="77777777" w:rsidR="003D6285" w:rsidRDefault="00084042" w:rsidP="00E50C4B">
      <w:pPr>
        <w:pStyle w:val="C-BodyText"/>
        <w:rPr>
          <w:rFonts w:eastAsiaTheme="majorEastAsia"/>
        </w:rPr>
      </w:pPr>
      <w:r w:rsidRPr="00FB65D1">
        <w:rPr>
          <w:rFonts w:eastAsiaTheme="majorEastAsia"/>
        </w:rPr>
        <w:t>There was a higher frequency of treatment discontinuations due to adverse reactions in the ≥65 years age group than &lt;65</w:t>
      </w:r>
      <w:r w:rsidR="00EA3C5B">
        <w:rPr>
          <w:rFonts w:eastAsiaTheme="majorEastAsia"/>
        </w:rPr>
        <w:t> years age group; in the NERLYNX</w:t>
      </w:r>
      <w:r w:rsidRPr="00FB65D1">
        <w:rPr>
          <w:rFonts w:eastAsiaTheme="majorEastAsia"/>
        </w:rPr>
        <w:t xml:space="preserve"> arm, the respective percentages were 44.8% compared with 25.2%, respectively.</w:t>
      </w:r>
    </w:p>
    <w:p w14:paraId="07AE7952" w14:textId="77777777" w:rsidR="003D6285" w:rsidRDefault="00084042" w:rsidP="00E50C4B">
      <w:pPr>
        <w:pStyle w:val="C-BodyText"/>
        <w:rPr>
          <w:rFonts w:eastAsiaTheme="majorEastAsia"/>
        </w:rPr>
      </w:pPr>
      <w:r w:rsidRPr="00FB65D1">
        <w:rPr>
          <w:rFonts w:eastAsiaTheme="majorEastAsia"/>
        </w:rPr>
        <w:t xml:space="preserve">The incidence of serious </w:t>
      </w:r>
      <w:r w:rsidR="00EA3C5B">
        <w:rPr>
          <w:rFonts w:eastAsiaTheme="majorEastAsia"/>
        </w:rPr>
        <w:t>adverse reactions in the NERLYNX</w:t>
      </w:r>
      <w:r w:rsidRPr="00FB65D1">
        <w:rPr>
          <w:rFonts w:eastAsiaTheme="majorEastAsia"/>
        </w:rPr>
        <w:t xml:space="preserve"> arm vs placebo arm was 7.0% vs. 5.7% (&lt;65 years-old) and 9.9% vs. 8.1% (≥65 years-old). The serious adverse reactions most frequently reported in the ≥65 years-old group were vomiting (2.3%), diarrhoea (1.7%), dehydration (1.2%), and renal failure (1.2%).</w:t>
      </w:r>
    </w:p>
    <w:p w14:paraId="5BA2F45C" w14:textId="77777777" w:rsidR="003D6285" w:rsidRDefault="00084042" w:rsidP="00E50C4B">
      <w:pPr>
        <w:pStyle w:val="C-BodyText"/>
        <w:rPr>
          <w:rFonts w:eastAsiaTheme="majorEastAsia"/>
        </w:rPr>
      </w:pPr>
      <w:r w:rsidRPr="00FB65D1">
        <w:rPr>
          <w:rFonts w:eastAsiaTheme="majorEastAsia"/>
        </w:rPr>
        <w:t>Treatment-emergent adverse reactions leading t</w:t>
      </w:r>
      <w:r w:rsidR="00EA3C5B">
        <w:rPr>
          <w:rFonts w:eastAsiaTheme="majorEastAsia"/>
        </w:rPr>
        <w:t>o hospitalisation in the NERLYNX</w:t>
      </w:r>
      <w:r w:rsidRPr="00FB65D1">
        <w:rPr>
          <w:rFonts w:eastAsiaTheme="majorEastAsia"/>
        </w:rPr>
        <w:t xml:space="preserve"> arms versus the placebo arm was 6.3% vs 4.9% in the &lt;65 years-old group and 8.7% vs. 8.1% in the ≥65 years-old group.</w:t>
      </w:r>
    </w:p>
    <w:p w14:paraId="6DAD4CAA" w14:textId="77777777" w:rsidR="003D6285" w:rsidRDefault="00084042" w:rsidP="003D6285">
      <w:pPr>
        <w:pStyle w:val="Heading4"/>
      </w:pPr>
      <w:r w:rsidRPr="00FB65D1">
        <w:t>Effect of race</w:t>
      </w:r>
    </w:p>
    <w:p w14:paraId="38FA251D" w14:textId="77777777" w:rsidR="003D6285" w:rsidRDefault="00084042" w:rsidP="003D6285">
      <w:pPr>
        <w:pStyle w:val="C-BodyText"/>
        <w:rPr>
          <w:rFonts w:eastAsiaTheme="majorEastAsia"/>
        </w:rPr>
      </w:pPr>
      <w:r w:rsidRPr="00FB65D1">
        <w:rPr>
          <w:rFonts w:eastAsiaTheme="majorEastAsia"/>
        </w:rPr>
        <w:t>In the pivotal phase III study, ExteNET (3004), the frequency of Treatment Emergent Adverse Events (TEAEs) in the Skin and Subcutaneous Disorders System Organ Class (SOC) in Asi</w:t>
      </w:r>
      <w:r w:rsidR="00EA3C5B">
        <w:rPr>
          <w:rFonts w:eastAsiaTheme="majorEastAsia"/>
        </w:rPr>
        <w:t>an patients treated with NERLYNX</w:t>
      </w:r>
      <w:r w:rsidRPr="00FB65D1">
        <w:rPr>
          <w:rFonts w:eastAsiaTheme="majorEastAsia"/>
        </w:rPr>
        <w:t xml:space="preserve"> was higher than in Caucasian patients (56.4% vs. 34.5%) but comparable in placebo patients (24.9% vs. 22.8%). Pooled safety data of 17</w:t>
      </w:r>
      <w:r w:rsidR="00EA3C5B">
        <w:rPr>
          <w:rFonts w:eastAsiaTheme="majorEastAsia"/>
        </w:rPr>
        <w:t>10 patients treated with NERLYNX</w:t>
      </w:r>
      <w:r w:rsidRPr="00FB65D1">
        <w:rPr>
          <w:rFonts w:eastAsiaTheme="majorEastAsia"/>
        </w:rPr>
        <w:t xml:space="preserve"> monotherapy showed a higher incidence of dermatologic toxicities in Asian patients (57.1%) versus Caucasian patients (34.6%).</w:t>
      </w:r>
    </w:p>
    <w:p w14:paraId="1AB21793" w14:textId="77777777" w:rsidR="003D6285" w:rsidRDefault="00084042" w:rsidP="003D6285">
      <w:pPr>
        <w:pStyle w:val="C-BodyText"/>
        <w:rPr>
          <w:rFonts w:eastAsiaTheme="majorEastAsia"/>
        </w:rPr>
      </w:pPr>
      <w:r w:rsidRPr="00FB65D1">
        <w:rPr>
          <w:rFonts w:eastAsiaTheme="majorEastAsia"/>
        </w:rPr>
        <w:t>In the analysis of pooled safety data, the majority of TEAEs in the Skin and Subcutaneous Disorders SOC in Asians were Grade 1 (43.3%) and Grade 2 (12.3%); in Caucasians, the incidence of Grade 1 and Grade 2 events was 25.6% and 7.8%, respectively. The frequency of Grade 3 events was similar between Asians and Caucasians (1.6% vs. 1.0%). There was no difference in frequency of SAEs in the Skin SOC between Asian and Caucasian subgroups. The most common TEAEs in the Skin SOC that occurred more frequently in Asian patients than in Caucasian patients were rash (29.4% vs. 13.5%), Palmar-plantar erythrodysaesthesia syndrome (9.9% vs. 1.0%), and dermatitis acneiform (6.0 vs. 1.0%).</w:t>
      </w:r>
    </w:p>
    <w:p w14:paraId="13DBD8A2" w14:textId="77777777" w:rsidR="003D6285" w:rsidRDefault="00084042" w:rsidP="003D6285">
      <w:pPr>
        <w:pStyle w:val="Heading4"/>
      </w:pPr>
      <w:r w:rsidRPr="00FB65D1">
        <w:lastRenderedPageBreak/>
        <w:t>Reporting of suspected adverse reactions</w:t>
      </w:r>
    </w:p>
    <w:p w14:paraId="4CBCA140" w14:textId="5E1182C4" w:rsidR="00B8015D" w:rsidRPr="00FB65D1" w:rsidRDefault="00084042" w:rsidP="003D6285">
      <w:pPr>
        <w:pStyle w:val="C-BodyText"/>
        <w:rPr>
          <w:rFonts w:eastAsiaTheme="majorEastAsia"/>
        </w:rPr>
      </w:pPr>
      <w:r w:rsidRPr="00FB65D1">
        <w:rPr>
          <w:rFonts w:eastAsiaTheme="majorEastAsia"/>
        </w:rPr>
        <w:t xml:space="preserve">Reporting suspected adverse reactions after </w:t>
      </w:r>
      <w:r w:rsidR="004D4B92">
        <w:rPr>
          <w:rFonts w:eastAsiaTheme="majorEastAsia"/>
        </w:rPr>
        <w:t>registration</w:t>
      </w:r>
      <w:r w:rsidR="004D4B92" w:rsidRPr="00FB65D1">
        <w:rPr>
          <w:rFonts w:eastAsiaTheme="majorEastAsia"/>
        </w:rPr>
        <w:t xml:space="preserve"> </w:t>
      </w:r>
      <w:r w:rsidRPr="00FB65D1">
        <w:rPr>
          <w:rFonts w:eastAsiaTheme="majorEastAsia"/>
        </w:rPr>
        <w:t>of the medicinal product is important. It allows continued monitoring of the benefit</w:t>
      </w:r>
      <w:r w:rsidR="004D4B92">
        <w:rPr>
          <w:rFonts w:eastAsiaTheme="majorEastAsia"/>
        </w:rPr>
        <w:t>-</w:t>
      </w:r>
      <w:r w:rsidRPr="00FB65D1">
        <w:rPr>
          <w:rFonts w:eastAsiaTheme="majorEastAsia"/>
        </w:rPr>
        <w:t>risk balance of the medicinal product. Healthcare professionals are asked to report any suspected adverse reactions</w:t>
      </w:r>
      <w:r w:rsidR="004D4B92">
        <w:rPr>
          <w:rFonts w:eastAsiaTheme="majorEastAsia"/>
        </w:rPr>
        <w:t xml:space="preserve"> at </w:t>
      </w:r>
      <w:hyperlink r:id="rId9" w:history="1">
        <w:r w:rsidR="004D4B92" w:rsidRPr="00206053">
          <w:rPr>
            <w:rStyle w:val="Hyperlink"/>
            <w:rFonts w:eastAsiaTheme="majorEastAsia"/>
            <w:bCs/>
          </w:rPr>
          <w:t>http://www.tga.gov.au/reporting-problems</w:t>
        </w:r>
      </w:hyperlink>
      <w:r w:rsidR="00456A82">
        <w:rPr>
          <w:rFonts w:eastAsiaTheme="majorEastAsia"/>
        </w:rPr>
        <w:t xml:space="preserve"> and</w:t>
      </w:r>
      <w:r w:rsidR="004B23ED">
        <w:rPr>
          <w:rFonts w:eastAsiaTheme="majorEastAsia"/>
        </w:rPr>
        <w:t xml:space="preserve"> </w:t>
      </w:r>
      <w:hyperlink r:id="rId10" w:history="1">
        <w:r w:rsidR="004B23ED" w:rsidRPr="00404119">
          <w:rPr>
            <w:rStyle w:val="Hyperlink"/>
            <w:rFonts w:eastAsiaTheme="majorEastAsia"/>
            <w:bCs/>
          </w:rPr>
          <w:t>drugsafety-STA@stbiopharma.com</w:t>
        </w:r>
      </w:hyperlink>
      <w:r w:rsidR="003D6285">
        <w:rPr>
          <w:rFonts w:eastAsiaTheme="majorEastAsia"/>
        </w:rPr>
        <w:t>.</w:t>
      </w:r>
    </w:p>
    <w:p w14:paraId="42A03A55" w14:textId="77777777" w:rsidR="003D6285" w:rsidRPr="003D6285" w:rsidRDefault="001A3992" w:rsidP="00D11D59">
      <w:pPr>
        <w:pStyle w:val="Heading2"/>
        <w:spacing w:before="0" w:after="0"/>
        <w:ind w:left="0" w:hanging="567"/>
        <w:rPr>
          <w:rFonts w:ascii="Times New Roman" w:eastAsiaTheme="majorEastAsia" w:hAnsi="Times New Roman" w:cs="Times New Roman"/>
          <w:b w:val="0"/>
          <w:bCs/>
          <w:smallCaps w:val="0"/>
          <w:sz w:val="22"/>
        </w:rPr>
      </w:pPr>
      <w:r w:rsidRPr="00B8015D">
        <w:rPr>
          <w:rFonts w:ascii="Times New Roman" w:eastAsiaTheme="majorEastAsia" w:hAnsi="Times New Roman" w:cs="Times New Roman"/>
          <w:b w:val="0"/>
          <w:bCs/>
          <w:smallCaps w:val="0"/>
          <w:sz w:val="26"/>
          <w:szCs w:val="26"/>
        </w:rPr>
        <w:t>Overdose</w:t>
      </w:r>
    </w:p>
    <w:p w14:paraId="5942FC59" w14:textId="77777777" w:rsidR="003D6285" w:rsidRDefault="00B8015D" w:rsidP="003D6285">
      <w:pPr>
        <w:pStyle w:val="C-BodyText"/>
        <w:rPr>
          <w:rFonts w:eastAsiaTheme="majorEastAsia"/>
        </w:rPr>
      </w:pPr>
      <w:r w:rsidRPr="00B8015D">
        <w:rPr>
          <w:rFonts w:eastAsiaTheme="majorEastAsia"/>
        </w:rPr>
        <w:t>There is no specific antidote, and the benefit of haemodial</w:t>
      </w:r>
      <w:r>
        <w:rPr>
          <w:rFonts w:eastAsiaTheme="majorEastAsia"/>
        </w:rPr>
        <w:t>ysis in the treatment of NERLYNX</w:t>
      </w:r>
      <w:r w:rsidRPr="00B8015D">
        <w:rPr>
          <w:rFonts w:eastAsiaTheme="majorEastAsia"/>
        </w:rPr>
        <w:t xml:space="preserve"> overdose is unknown. In the event of an overdose, administration should be withheld and general supportive measures undertaken.</w:t>
      </w:r>
    </w:p>
    <w:p w14:paraId="7506BCF9" w14:textId="77777777" w:rsidR="003D6285" w:rsidRDefault="00B8015D" w:rsidP="003D6285">
      <w:pPr>
        <w:pStyle w:val="C-BodyText"/>
        <w:rPr>
          <w:rFonts w:eastAsiaTheme="majorEastAsia"/>
        </w:rPr>
      </w:pPr>
      <w:r w:rsidRPr="00B8015D">
        <w:rPr>
          <w:rFonts w:eastAsiaTheme="majorEastAsia"/>
        </w:rPr>
        <w:t xml:space="preserve">In the clinical trial setting, </w:t>
      </w:r>
      <w:r w:rsidR="009506D9">
        <w:rPr>
          <w:rFonts w:eastAsiaTheme="majorEastAsia"/>
        </w:rPr>
        <w:t xml:space="preserve">a limited number of patients reported </w:t>
      </w:r>
      <w:r w:rsidRPr="00B8015D">
        <w:rPr>
          <w:rFonts w:eastAsiaTheme="majorEastAsia"/>
        </w:rPr>
        <w:t>adverse reactions associated with overdose</w:t>
      </w:r>
      <w:r w:rsidR="003D6285">
        <w:rPr>
          <w:rFonts w:eastAsiaTheme="majorEastAsia"/>
        </w:rPr>
        <w:t xml:space="preserve">. </w:t>
      </w:r>
      <w:r w:rsidR="00B76A9B">
        <w:rPr>
          <w:rFonts w:eastAsiaTheme="majorEastAsia"/>
        </w:rPr>
        <w:t>The adverse reactions</w:t>
      </w:r>
      <w:r w:rsidRPr="00B8015D">
        <w:rPr>
          <w:rFonts w:eastAsiaTheme="majorEastAsia"/>
        </w:rPr>
        <w:t xml:space="preserve"> most commonly </w:t>
      </w:r>
      <w:r w:rsidR="00B76A9B">
        <w:rPr>
          <w:rFonts w:eastAsiaTheme="majorEastAsia"/>
        </w:rPr>
        <w:t xml:space="preserve">reported were </w:t>
      </w:r>
      <w:r w:rsidRPr="00B8015D">
        <w:rPr>
          <w:rFonts w:eastAsiaTheme="majorEastAsia"/>
        </w:rPr>
        <w:t>diarrhoea, with or without nausea, vomiting and dehydration.</w:t>
      </w:r>
    </w:p>
    <w:p w14:paraId="280635F2" w14:textId="54B095E3" w:rsidR="001A3992" w:rsidRPr="00B8015D" w:rsidRDefault="00B8015D" w:rsidP="003D6285">
      <w:pPr>
        <w:pStyle w:val="C-BodyText"/>
        <w:rPr>
          <w:rFonts w:eastAsiaTheme="majorEastAsia"/>
          <w:b/>
          <w:smallCaps/>
        </w:rPr>
      </w:pPr>
      <w:r>
        <w:rPr>
          <w:rFonts w:eastAsiaTheme="majorEastAsia"/>
        </w:rPr>
        <w:t>For information on the management of overdose, contact the Poisons Information Centre on 131126 (Australia).</w:t>
      </w:r>
    </w:p>
    <w:p w14:paraId="11506008" w14:textId="77777777" w:rsidR="001A3992" w:rsidRPr="00BC7299" w:rsidRDefault="001A3992" w:rsidP="004D4B92">
      <w:pPr>
        <w:pStyle w:val="Heading1"/>
        <w:spacing w:before="0"/>
        <w:ind w:left="0" w:hanging="426"/>
        <w:rPr>
          <w:rFonts w:ascii="Times New Roman" w:hAnsi="Times New Roman" w:cs="Times New Roman"/>
          <w:b w:val="0"/>
          <w:lang w:val="en-US"/>
        </w:rPr>
      </w:pPr>
      <w:r w:rsidRPr="00BC7299">
        <w:rPr>
          <w:rFonts w:ascii="Times New Roman" w:hAnsi="Times New Roman" w:cs="Times New Roman"/>
          <w:b w:val="0"/>
          <w:lang w:val="en-US"/>
        </w:rPr>
        <w:t>Pharmacological properties</w:t>
      </w:r>
    </w:p>
    <w:p w14:paraId="6C4A4818" w14:textId="77777777" w:rsidR="003D6285" w:rsidRPr="003D6285" w:rsidRDefault="001A3992" w:rsidP="000B36E9">
      <w:pPr>
        <w:pStyle w:val="Heading2"/>
        <w:tabs>
          <w:tab w:val="left" w:pos="1418"/>
        </w:tabs>
        <w:spacing w:before="0" w:after="0"/>
        <w:ind w:left="0" w:hanging="425"/>
        <w:rPr>
          <w:rFonts w:ascii="Times New Roman" w:eastAsiaTheme="majorEastAsia" w:hAnsi="Times New Roman" w:cs="Times New Roman"/>
          <w:bCs/>
          <w:smallCaps w:val="0"/>
          <w:sz w:val="22"/>
        </w:rPr>
      </w:pPr>
      <w:r w:rsidRPr="00A3708B">
        <w:rPr>
          <w:rFonts w:ascii="Times New Roman" w:eastAsiaTheme="majorEastAsia" w:hAnsi="Times New Roman" w:cs="Times New Roman"/>
          <w:b w:val="0"/>
          <w:bCs/>
          <w:smallCaps w:val="0"/>
          <w:sz w:val="26"/>
          <w:szCs w:val="26"/>
        </w:rPr>
        <w:t>P</w:t>
      </w:r>
      <w:r w:rsidR="003D6285">
        <w:rPr>
          <w:rFonts w:ascii="Times New Roman" w:eastAsiaTheme="majorEastAsia" w:hAnsi="Times New Roman" w:cs="Times New Roman"/>
          <w:b w:val="0"/>
          <w:bCs/>
          <w:smallCaps w:val="0"/>
          <w:sz w:val="26"/>
          <w:szCs w:val="26"/>
        </w:rPr>
        <w:t>harmacodynamic properties</w:t>
      </w:r>
    </w:p>
    <w:p w14:paraId="3F69DF36" w14:textId="77777777" w:rsidR="003D6285" w:rsidRDefault="00D20CE7" w:rsidP="003D6285">
      <w:pPr>
        <w:pStyle w:val="C-BodyText"/>
        <w:rPr>
          <w:rFonts w:eastAsiaTheme="majorEastAsia"/>
        </w:rPr>
      </w:pPr>
      <w:r w:rsidRPr="00D20CE7">
        <w:rPr>
          <w:rFonts w:eastAsiaTheme="majorEastAsia"/>
        </w:rPr>
        <w:t xml:space="preserve">Pharmacotherapeutic group: Antineoplastic agent, other antineoplastic agents, protein kinase inhibitor, ATC code: </w:t>
      </w:r>
      <w:r w:rsidRPr="003C2EB5">
        <w:rPr>
          <w:rFonts w:eastAsiaTheme="majorEastAsia"/>
        </w:rPr>
        <w:t>L01XE45.</w:t>
      </w:r>
    </w:p>
    <w:p w14:paraId="7B247DAF" w14:textId="77777777" w:rsidR="003D6285" w:rsidRDefault="001A3992" w:rsidP="003D6285">
      <w:pPr>
        <w:pStyle w:val="Heading4"/>
      </w:pPr>
      <w:r w:rsidRPr="006F24D4">
        <w:t>Mechanism of action</w:t>
      </w:r>
    </w:p>
    <w:p w14:paraId="5831A7F6" w14:textId="77777777" w:rsidR="003D6285" w:rsidRDefault="00D20CE7" w:rsidP="003D6285">
      <w:pPr>
        <w:pStyle w:val="C-BodyText"/>
        <w:rPr>
          <w:rFonts w:eastAsiaTheme="majorEastAsia"/>
        </w:rPr>
      </w:pPr>
      <w:r w:rsidRPr="006F24D4">
        <w:rPr>
          <w:rFonts w:eastAsiaTheme="majorEastAsia"/>
        </w:rPr>
        <w:t>Neratinib is a</w:t>
      </w:r>
      <w:r w:rsidR="000D08CF">
        <w:rPr>
          <w:rFonts w:eastAsiaTheme="majorEastAsia"/>
        </w:rPr>
        <w:t>n</w:t>
      </w:r>
      <w:r w:rsidRPr="006F24D4">
        <w:rPr>
          <w:rFonts w:eastAsiaTheme="majorEastAsia"/>
        </w:rPr>
        <w:t xml:space="preserve"> irreversible inhibitor of 3 epidermal growth factor receptors (EGFRs): EGFR (encoded by ERBB1), HER2 (encoded by ERBB2), and HER4 (encoded by ERBB4)</w:t>
      </w:r>
      <w:r w:rsidR="00B96C4C">
        <w:rPr>
          <w:rFonts w:eastAsiaTheme="majorEastAsia"/>
        </w:rPr>
        <w:t xml:space="preserve">. </w:t>
      </w:r>
      <w:r w:rsidRPr="006F24D4">
        <w:rPr>
          <w:rFonts w:eastAsiaTheme="majorEastAsia"/>
        </w:rPr>
        <w:t xml:space="preserve">Neratinib binds to the HER2 receptor, reduces EGFR and HER2 autophosphorylation, downstream MAPK and AKT </w:t>
      </w:r>
      <w:r w:rsidR="009A0E0B" w:rsidRPr="006F24D4">
        <w:rPr>
          <w:rFonts w:eastAsiaTheme="majorEastAsia"/>
        </w:rPr>
        <w:t>signalling</w:t>
      </w:r>
      <w:r w:rsidRPr="006F24D4">
        <w:rPr>
          <w:rFonts w:eastAsiaTheme="majorEastAsia"/>
        </w:rPr>
        <w:t xml:space="preserve"> pathways, and inhibits tumour cell proliferation </w:t>
      </w:r>
      <w:r w:rsidRPr="006F24D4">
        <w:rPr>
          <w:rFonts w:eastAsiaTheme="majorEastAsia"/>
          <w:i/>
        </w:rPr>
        <w:t xml:space="preserve">in vitro. </w:t>
      </w:r>
      <w:r w:rsidR="00702764">
        <w:rPr>
          <w:rFonts w:eastAsiaTheme="majorEastAsia"/>
          <w:i/>
        </w:rPr>
        <w:t xml:space="preserve">In vivo, </w:t>
      </w:r>
      <w:r w:rsidR="00702764">
        <w:rPr>
          <w:rFonts w:eastAsiaTheme="majorEastAsia"/>
        </w:rPr>
        <w:t xml:space="preserve">oral administration of neratinib inhibited tumour growth in mouse xenograft models with tumour </w:t>
      </w:r>
      <w:r w:rsidR="003A5632">
        <w:rPr>
          <w:rFonts w:eastAsiaTheme="majorEastAsia"/>
        </w:rPr>
        <w:t>cell lines expressing HER2 and EGFR.</w:t>
      </w:r>
    </w:p>
    <w:p w14:paraId="5C326EB5" w14:textId="77777777" w:rsidR="003D6285" w:rsidRDefault="001A3992" w:rsidP="003D6285">
      <w:pPr>
        <w:pStyle w:val="Heading4"/>
      </w:pPr>
      <w:r w:rsidRPr="006F24D4">
        <w:t>Clinical trials</w:t>
      </w:r>
    </w:p>
    <w:p w14:paraId="6A77A032" w14:textId="77777777" w:rsidR="003D6285" w:rsidRDefault="007B1D09" w:rsidP="003D6285">
      <w:pPr>
        <w:pStyle w:val="C-BodyText"/>
        <w:rPr>
          <w:rFonts w:eastAsiaTheme="majorEastAsia"/>
        </w:rPr>
      </w:pPr>
      <w:r w:rsidRPr="006F24D4">
        <w:rPr>
          <w:rFonts w:eastAsiaTheme="majorEastAsia"/>
        </w:rPr>
        <w:t>In the multicentre, randomised, double-blind, placebo</w:t>
      </w:r>
      <w:r w:rsidRPr="006F24D4">
        <w:rPr>
          <w:rFonts w:eastAsiaTheme="majorEastAsia"/>
        </w:rPr>
        <w:noBreakHyphen/>
        <w:t>controlled, pivotal phase III study, ExteNET (3004), 2,840 women with early-stage HER2-positive breast cancer (as confirmed locally by assay) who had completed adjuvant treatment with trastuzumab were randomised 1:1 to receive either NERLYNX or placebo daily for one year. The median age in the intention-to-treat (ITT) population was 52.3 years (59.9% was ≥50 years old, 12.3% was ≥65 years old); 81.0% were Caucasian, 2.6% black or African American, 13.6% Asian and 2.9% other. At baseline, 57.4% had hormone receptor positive disease (defined as ER-positive and/or PgR-positive), 23.6% were node negative, 46.8% had one to three positive nodes and 29.6% had four or more positive nodes. Approximately 10% of patients had Stage I tumours, approximately 40% had Stage II tumours and approximately 30% had Stage III tumours. Median time from the last adjuvant trastuzumab treatment to randomi</w:t>
      </w:r>
      <w:r w:rsidR="009C70D6">
        <w:rPr>
          <w:rFonts w:eastAsiaTheme="majorEastAsia"/>
        </w:rPr>
        <w:t>s</w:t>
      </w:r>
      <w:r w:rsidRPr="006F24D4">
        <w:rPr>
          <w:rFonts w:eastAsiaTheme="majorEastAsia"/>
        </w:rPr>
        <w:t>ation was 4.5 months.</w:t>
      </w:r>
    </w:p>
    <w:p w14:paraId="0819B1D8" w14:textId="77777777" w:rsidR="003D6285" w:rsidRDefault="007B1D09" w:rsidP="003D6285">
      <w:pPr>
        <w:pStyle w:val="C-BodyText"/>
        <w:rPr>
          <w:rFonts w:eastAsiaTheme="majorEastAsia"/>
        </w:rPr>
      </w:pPr>
      <w:r w:rsidRPr="006F24D4">
        <w:rPr>
          <w:rFonts w:eastAsiaTheme="majorEastAsia"/>
        </w:rPr>
        <w:t xml:space="preserve">The primary endpoint of the study was invasive disease-free survival (iDFS). Secondary endpoints of the study included disease-free survival (DFS) including ductal carcinoma in situ (DFS-DCIS), time </w:t>
      </w:r>
      <w:r w:rsidRPr="006F24D4">
        <w:rPr>
          <w:rFonts w:eastAsiaTheme="majorEastAsia"/>
        </w:rPr>
        <w:lastRenderedPageBreak/>
        <w:t>to distant recurrence (TTDR), distant disease-free survival (DDFS), cumulative incidence of central nervous system recurrence and overall survival (OS).</w:t>
      </w:r>
    </w:p>
    <w:p w14:paraId="6A3D0025" w14:textId="77777777" w:rsidR="003D6285" w:rsidRDefault="007B1D09" w:rsidP="003D6285">
      <w:pPr>
        <w:pStyle w:val="C-BodyText"/>
        <w:rPr>
          <w:rFonts w:eastAsiaTheme="majorEastAsia"/>
        </w:rPr>
      </w:pPr>
      <w:r w:rsidRPr="006F24D4">
        <w:rPr>
          <w:rFonts w:eastAsiaTheme="majorEastAsia"/>
        </w:rPr>
        <w:t>The primary analysis of the study 2 years post-randomi</w:t>
      </w:r>
      <w:r w:rsidR="009C70D6">
        <w:rPr>
          <w:rFonts w:eastAsiaTheme="majorEastAsia"/>
        </w:rPr>
        <w:t>s</w:t>
      </w:r>
      <w:r w:rsidRPr="006F24D4">
        <w:rPr>
          <w:rFonts w:eastAsiaTheme="majorEastAsia"/>
        </w:rPr>
        <w:t>ation demonstrated that NERLYNX significantly reduced the risk of invasive disease recurrence or death by 34% (HR=0.66 with 95% CI (0.49, 0.90), two-sided p = 0.008).</w:t>
      </w:r>
    </w:p>
    <w:p w14:paraId="65A00A14" w14:textId="5950BE56" w:rsidR="000B36E9" w:rsidRDefault="007B1D09" w:rsidP="003D6285">
      <w:pPr>
        <w:pStyle w:val="C-BodyText"/>
        <w:rPr>
          <w:rFonts w:eastAsiaTheme="majorEastAsia"/>
          <w:smallCaps/>
        </w:rPr>
      </w:pPr>
      <w:r w:rsidRPr="006F24D4">
        <w:rPr>
          <w:rFonts w:eastAsiaTheme="majorEastAsia"/>
        </w:rPr>
        <w:t>The results for the primary and secondary endpoints are shown in Table 7. The OS data are not mature.</w:t>
      </w:r>
      <w:bookmarkStart w:id="5" w:name="_Ref450573181"/>
    </w:p>
    <w:p w14:paraId="6D530C30" w14:textId="52998276" w:rsidR="006C4CC6" w:rsidRDefault="006C4CC6" w:rsidP="003D6285">
      <w:pPr>
        <w:pStyle w:val="C-TableHeader"/>
        <w:rPr>
          <w:rFonts w:eastAsiaTheme="majorEastAsia"/>
        </w:rPr>
      </w:pPr>
      <w:bookmarkStart w:id="6" w:name="_Ref431901259"/>
      <w:bookmarkEnd w:id="5"/>
      <w:r w:rsidRPr="006C4CC6">
        <w:rPr>
          <w:rFonts w:eastAsiaTheme="majorEastAsia"/>
        </w:rPr>
        <w:t>Table 7.</w:t>
      </w:r>
      <w:r w:rsidRPr="006C4CC6">
        <w:rPr>
          <w:rFonts w:eastAsiaTheme="majorEastAsia"/>
        </w:rPr>
        <w:tab/>
        <w:t>Primary efficacy analyses – ITT population</w:t>
      </w:r>
    </w:p>
    <w:p w14:paraId="43B7CA77" w14:textId="060C3720" w:rsidR="000B36E9" w:rsidRPr="006C4CC6" w:rsidRDefault="000B36E9" w:rsidP="005408D5">
      <w:pPr>
        <w:autoSpaceDE w:val="0"/>
        <w:autoSpaceDN w:val="0"/>
        <w:adjustRightInd w:val="0"/>
        <w:spacing w:after="0" w:line="240" w:lineRule="auto"/>
        <w:rPr>
          <w:rFonts w:ascii="TimesNewRomanPSMT" w:hAnsi="TimesNewRomanPSMT" w:cs="TimesNewRomanPSMT"/>
          <w:b/>
          <w:sz w:val="20"/>
          <w:szCs w:val="20"/>
          <w:lang w:val="en-US"/>
        </w:rPr>
      </w:pPr>
      <w:r>
        <w:rPr>
          <w:rFonts w:ascii="TimesNewRomanPSMT" w:hAnsi="TimesNewRomanPSMT" w:cs="TimesNewRomanPSMT"/>
          <w:b/>
          <w:noProof/>
          <w:sz w:val="20"/>
          <w:szCs w:val="20"/>
          <w:lang w:eastAsia="en-AU"/>
        </w:rPr>
        <mc:AlternateContent>
          <mc:Choice Requires="wps">
            <w:drawing>
              <wp:anchor distT="0" distB="0" distL="114300" distR="114300" simplePos="0" relativeHeight="251662336" behindDoc="0" locked="0" layoutInCell="1" allowOverlap="1" wp14:anchorId="75C160E9" wp14:editId="40747912">
                <wp:simplePos x="0" y="0"/>
                <wp:positionH relativeFrom="column">
                  <wp:posOffset>0</wp:posOffset>
                </wp:positionH>
                <wp:positionV relativeFrom="paragraph">
                  <wp:posOffset>171450</wp:posOffset>
                </wp:positionV>
                <wp:extent cx="5486400" cy="34290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486400" cy="3429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347"/>
                              <w:gridCol w:w="1647"/>
                              <w:gridCol w:w="1837"/>
                              <w:gridCol w:w="1640"/>
                            </w:tblGrid>
                            <w:tr w:rsidR="00024471" w:rsidRPr="00E53782" w14:paraId="3C257BE1" w14:textId="77777777" w:rsidTr="0076542C">
                              <w:trPr>
                                <w:tblHeader/>
                              </w:trPr>
                              <w:tc>
                                <w:tcPr>
                                  <w:tcW w:w="1086" w:type="pct"/>
                                  <w:vMerge w:val="restart"/>
                                  <w:shd w:val="clear" w:color="auto" w:fill="auto"/>
                                  <w:vAlign w:val="center"/>
                                  <w:hideMark/>
                                </w:tcPr>
                                <w:p w14:paraId="043F5578" w14:textId="77777777" w:rsidR="00024471" w:rsidRPr="008B475C" w:rsidRDefault="00024471" w:rsidP="009E03A7">
                                  <w:pPr>
                                    <w:pStyle w:val="Heading3"/>
                                    <w:rPr>
                                      <w:lang w:val="en-US"/>
                                    </w:rPr>
                                  </w:pPr>
                                  <w:r w:rsidRPr="008B475C">
                                    <w:rPr>
                                      <w:lang w:val="en-US"/>
                                    </w:rPr>
                                    <w:t>Variable</w:t>
                                  </w:r>
                                </w:p>
                              </w:tc>
                              <w:tc>
                                <w:tcPr>
                                  <w:tcW w:w="1746" w:type="pct"/>
                                  <w:gridSpan w:val="2"/>
                                  <w:shd w:val="clear" w:color="auto" w:fill="auto"/>
                                  <w:vAlign w:val="center"/>
                                  <w:hideMark/>
                                </w:tcPr>
                                <w:p w14:paraId="0CBE9984" w14:textId="77777777" w:rsidR="00024471" w:rsidRPr="008B475C" w:rsidRDefault="00024471" w:rsidP="009E03A7">
                                  <w:pPr>
                                    <w:pStyle w:val="Heading3"/>
                                    <w:rPr>
                                      <w:lang w:val="en-US"/>
                                    </w:rPr>
                                  </w:pPr>
                                  <w:r w:rsidRPr="008B475C">
                                    <w:rPr>
                                      <w:lang w:val="en-US"/>
                                    </w:rPr>
                                    <w:t>Estimated 2 year event free rates</w:t>
                                  </w:r>
                                  <w:r w:rsidRPr="008B475C">
                                    <w:rPr>
                                      <w:vertAlign w:val="superscript"/>
                                      <w:lang w:val="en-US"/>
                                    </w:rPr>
                                    <w:t xml:space="preserve">1 </w:t>
                                  </w:r>
                                  <w:r w:rsidRPr="008B475C">
                                    <w:rPr>
                                      <w:lang w:val="en-US"/>
                                    </w:rPr>
                                    <w:t>(%)</w:t>
                                  </w:r>
                                </w:p>
                              </w:tc>
                              <w:tc>
                                <w:tcPr>
                                  <w:tcW w:w="1144" w:type="pct"/>
                                  <w:shd w:val="clear" w:color="auto" w:fill="auto"/>
                                  <w:vAlign w:val="center"/>
                                  <w:hideMark/>
                                </w:tcPr>
                                <w:p w14:paraId="071403EB" w14:textId="77777777" w:rsidR="00024471" w:rsidRPr="008B475C" w:rsidRDefault="00024471" w:rsidP="009E03A7">
                                  <w:pPr>
                                    <w:pStyle w:val="Heading3"/>
                                    <w:rPr>
                                      <w:lang w:val="en-US"/>
                                    </w:rPr>
                                  </w:pPr>
                                </w:p>
                                <w:p w14:paraId="25E7133B" w14:textId="77777777" w:rsidR="00024471" w:rsidRPr="008B475C" w:rsidRDefault="00024471" w:rsidP="009E03A7">
                                  <w:pPr>
                                    <w:pStyle w:val="Heading3"/>
                                    <w:rPr>
                                      <w:lang w:val="en-US"/>
                                    </w:rPr>
                                  </w:pPr>
                                  <w:r w:rsidRPr="008B475C">
                                    <w:rPr>
                                      <w:lang w:val="en-US"/>
                                    </w:rPr>
                                    <w:t>Stratified</w:t>
                                  </w:r>
                                  <w:r w:rsidRPr="007C0259">
                                    <w:rPr>
                                      <w:vertAlign w:val="superscript"/>
                                      <w:lang w:val="en-US"/>
                                    </w:rPr>
                                    <w:t>2</w:t>
                                  </w:r>
                                  <w:r w:rsidRPr="008B475C">
                                    <w:rPr>
                                      <w:lang w:val="en-US"/>
                                    </w:rPr>
                                    <w:t xml:space="preserve"> hazard ratio</w:t>
                                  </w:r>
                                </w:p>
                                <w:p w14:paraId="2CD99580" w14:textId="77777777" w:rsidR="00024471" w:rsidRPr="008B475C" w:rsidRDefault="00024471" w:rsidP="009E03A7">
                                  <w:pPr>
                                    <w:pStyle w:val="Heading3"/>
                                    <w:rPr>
                                      <w:lang w:val="en-US"/>
                                    </w:rPr>
                                  </w:pPr>
                                  <w:r w:rsidRPr="008B475C">
                                    <w:rPr>
                                      <w:lang w:val="en-US"/>
                                    </w:rPr>
                                    <w:t>(95 percent confidence interval)</w:t>
                                  </w:r>
                                  <w:r>
                                    <w:rPr>
                                      <w:vertAlign w:val="superscript"/>
                                      <w:lang w:val="en-US"/>
                                    </w:rPr>
                                    <w:t>3</w:t>
                                  </w:r>
                                </w:p>
                              </w:tc>
                              <w:tc>
                                <w:tcPr>
                                  <w:tcW w:w="1024" w:type="pct"/>
                                  <w:shd w:val="clear" w:color="auto" w:fill="auto"/>
                                  <w:vAlign w:val="center"/>
                                  <w:hideMark/>
                                </w:tcPr>
                                <w:p w14:paraId="32492BE3" w14:textId="77777777" w:rsidR="00024471" w:rsidRPr="008B475C" w:rsidRDefault="00024471" w:rsidP="009E03A7">
                                  <w:pPr>
                                    <w:pStyle w:val="Heading3"/>
                                    <w:rPr>
                                      <w:lang w:val="en-US"/>
                                    </w:rPr>
                                  </w:pPr>
                                  <w:r w:rsidRPr="008B475C">
                                    <w:rPr>
                                      <w:lang w:val="en-US"/>
                                    </w:rPr>
                                    <w:t>Stratified log rank test two sided p value</w:t>
                                  </w:r>
                                  <w:r>
                                    <w:rPr>
                                      <w:vertAlign w:val="superscript"/>
                                      <w:lang w:val="en-US"/>
                                    </w:rPr>
                                    <w:t>4</w:t>
                                  </w:r>
                                </w:p>
                              </w:tc>
                            </w:tr>
                            <w:tr w:rsidR="00024471" w:rsidRPr="00E53782" w14:paraId="20476201" w14:textId="77777777" w:rsidTr="0076542C">
                              <w:trPr>
                                <w:tblHeader/>
                              </w:trPr>
                              <w:tc>
                                <w:tcPr>
                                  <w:tcW w:w="1086" w:type="pct"/>
                                  <w:vMerge/>
                                  <w:tcBorders>
                                    <w:bottom w:val="single" w:sz="4" w:space="0" w:color="auto"/>
                                  </w:tcBorders>
                                  <w:shd w:val="clear" w:color="auto" w:fill="auto"/>
                                  <w:vAlign w:val="center"/>
                                  <w:hideMark/>
                                </w:tcPr>
                                <w:p w14:paraId="050E4D78" w14:textId="77777777" w:rsidR="00024471" w:rsidRPr="008B475C" w:rsidRDefault="00024471" w:rsidP="009E03A7">
                                  <w:pPr>
                                    <w:pStyle w:val="Heading3"/>
                                    <w:rPr>
                                      <w:lang w:val="en-GB"/>
                                    </w:rPr>
                                  </w:pPr>
                                </w:p>
                              </w:tc>
                              <w:tc>
                                <w:tcPr>
                                  <w:tcW w:w="717" w:type="pct"/>
                                  <w:tcBorders>
                                    <w:bottom w:val="single" w:sz="4" w:space="0" w:color="auto"/>
                                  </w:tcBorders>
                                  <w:shd w:val="clear" w:color="auto" w:fill="auto"/>
                                  <w:vAlign w:val="center"/>
                                  <w:hideMark/>
                                </w:tcPr>
                                <w:p w14:paraId="10BEA932" w14:textId="77777777" w:rsidR="00024471" w:rsidRPr="008B475C" w:rsidRDefault="00024471" w:rsidP="009E03A7">
                                  <w:pPr>
                                    <w:pStyle w:val="Heading3"/>
                                    <w:rPr>
                                      <w:lang w:val="en-US"/>
                                    </w:rPr>
                                  </w:pPr>
                                  <w:r w:rsidRPr="008B475C">
                                    <w:rPr>
                                      <w:lang w:val="en-US"/>
                                    </w:rPr>
                                    <w:t>NERLYNX</w:t>
                                  </w:r>
                                  <w:r w:rsidRPr="008B475C">
                                    <w:rPr>
                                      <w:lang w:val="en-US"/>
                                    </w:rPr>
                                    <w:br/>
                                    <w:t>(n = 1420)</w:t>
                                  </w:r>
                                </w:p>
                              </w:tc>
                              <w:tc>
                                <w:tcPr>
                                  <w:tcW w:w="1029" w:type="pct"/>
                                  <w:tcBorders>
                                    <w:bottom w:val="single" w:sz="4" w:space="0" w:color="auto"/>
                                  </w:tcBorders>
                                  <w:shd w:val="clear" w:color="auto" w:fill="auto"/>
                                  <w:vAlign w:val="center"/>
                                  <w:hideMark/>
                                </w:tcPr>
                                <w:p w14:paraId="7D6DAA45" w14:textId="77777777" w:rsidR="00024471" w:rsidRPr="008B475C" w:rsidRDefault="00024471" w:rsidP="009E03A7">
                                  <w:pPr>
                                    <w:pStyle w:val="Heading3"/>
                                    <w:rPr>
                                      <w:lang w:val="en-US"/>
                                    </w:rPr>
                                  </w:pPr>
                                  <w:r w:rsidRPr="008B475C">
                                    <w:rPr>
                                      <w:lang w:val="en-US"/>
                                    </w:rPr>
                                    <w:t>Placebo</w:t>
                                  </w:r>
                                  <w:r w:rsidRPr="008B475C">
                                    <w:rPr>
                                      <w:lang w:val="en-US"/>
                                    </w:rPr>
                                    <w:br/>
                                    <w:t>(n = 1420)</w:t>
                                  </w:r>
                                </w:p>
                              </w:tc>
                              <w:tc>
                                <w:tcPr>
                                  <w:tcW w:w="1144" w:type="pct"/>
                                  <w:tcBorders>
                                    <w:bottom w:val="single" w:sz="4" w:space="0" w:color="auto"/>
                                  </w:tcBorders>
                                  <w:shd w:val="clear" w:color="auto" w:fill="auto"/>
                                  <w:vAlign w:val="center"/>
                                  <w:hideMark/>
                                </w:tcPr>
                                <w:p w14:paraId="732A015D" w14:textId="77777777" w:rsidR="00024471" w:rsidRPr="008B475C" w:rsidRDefault="00024471" w:rsidP="009E03A7">
                                  <w:pPr>
                                    <w:pStyle w:val="Heading3"/>
                                    <w:rPr>
                                      <w:lang w:val="en-GB"/>
                                    </w:rPr>
                                  </w:pPr>
                                </w:p>
                              </w:tc>
                              <w:tc>
                                <w:tcPr>
                                  <w:tcW w:w="1024" w:type="pct"/>
                                  <w:tcBorders>
                                    <w:bottom w:val="single" w:sz="4" w:space="0" w:color="auto"/>
                                  </w:tcBorders>
                                  <w:shd w:val="clear" w:color="auto" w:fill="auto"/>
                                  <w:vAlign w:val="center"/>
                                  <w:hideMark/>
                                </w:tcPr>
                                <w:p w14:paraId="2D8346FF" w14:textId="77777777" w:rsidR="00024471" w:rsidRPr="008B475C" w:rsidRDefault="00024471" w:rsidP="009E03A7">
                                  <w:pPr>
                                    <w:pStyle w:val="Heading3"/>
                                    <w:rPr>
                                      <w:lang w:val="en-GB"/>
                                    </w:rPr>
                                  </w:pPr>
                                </w:p>
                              </w:tc>
                            </w:tr>
                            <w:tr w:rsidR="00024471" w:rsidRPr="00E53782" w14:paraId="277297AC" w14:textId="77777777" w:rsidTr="0076542C">
                              <w:tc>
                                <w:tcPr>
                                  <w:tcW w:w="1086" w:type="pct"/>
                                  <w:tcBorders>
                                    <w:top w:val="single" w:sz="4" w:space="0" w:color="auto"/>
                                  </w:tcBorders>
                                  <w:shd w:val="clear" w:color="auto" w:fill="auto"/>
                                  <w:hideMark/>
                                </w:tcPr>
                                <w:p w14:paraId="6D879122" w14:textId="77777777" w:rsidR="00024471" w:rsidRPr="008B475C" w:rsidRDefault="00024471" w:rsidP="009E03A7">
                                  <w:pPr>
                                    <w:pStyle w:val="Heading3"/>
                                    <w:rPr>
                                      <w:b/>
                                      <w:lang w:val="en-US"/>
                                    </w:rPr>
                                  </w:pPr>
                                  <w:r w:rsidRPr="008B475C">
                                    <w:rPr>
                                      <w:lang w:val="en-US"/>
                                    </w:rPr>
                                    <w:t>Invasive disease-free survival</w:t>
                                  </w:r>
                                </w:p>
                              </w:tc>
                              <w:tc>
                                <w:tcPr>
                                  <w:tcW w:w="717" w:type="pct"/>
                                  <w:tcBorders>
                                    <w:top w:val="single" w:sz="4" w:space="0" w:color="auto"/>
                                  </w:tcBorders>
                                  <w:shd w:val="clear" w:color="auto" w:fill="auto"/>
                                  <w:hideMark/>
                                </w:tcPr>
                                <w:p w14:paraId="04D7BE37" w14:textId="77777777" w:rsidR="00024471" w:rsidRPr="008B475C" w:rsidRDefault="00024471" w:rsidP="009E03A7">
                                  <w:pPr>
                                    <w:pStyle w:val="Heading3"/>
                                    <w:rPr>
                                      <w:b/>
                                      <w:lang w:val="en-US"/>
                                    </w:rPr>
                                  </w:pPr>
                                  <w:r w:rsidRPr="008B475C">
                                    <w:rPr>
                                      <w:lang w:val="en-US"/>
                                    </w:rPr>
                                    <w:t>94.2</w:t>
                                  </w:r>
                                </w:p>
                              </w:tc>
                              <w:tc>
                                <w:tcPr>
                                  <w:tcW w:w="1029" w:type="pct"/>
                                  <w:tcBorders>
                                    <w:top w:val="single" w:sz="4" w:space="0" w:color="auto"/>
                                  </w:tcBorders>
                                  <w:shd w:val="clear" w:color="auto" w:fill="auto"/>
                                  <w:hideMark/>
                                </w:tcPr>
                                <w:p w14:paraId="63A8F701" w14:textId="77777777" w:rsidR="00024471" w:rsidRPr="008B475C" w:rsidRDefault="00024471" w:rsidP="009E03A7">
                                  <w:pPr>
                                    <w:pStyle w:val="Heading3"/>
                                    <w:rPr>
                                      <w:b/>
                                      <w:lang w:val="en-US"/>
                                    </w:rPr>
                                  </w:pPr>
                                  <w:r w:rsidRPr="008B475C">
                                    <w:rPr>
                                      <w:lang w:val="en-US"/>
                                    </w:rPr>
                                    <w:t>91.9</w:t>
                                  </w:r>
                                </w:p>
                              </w:tc>
                              <w:tc>
                                <w:tcPr>
                                  <w:tcW w:w="1144" w:type="pct"/>
                                  <w:tcBorders>
                                    <w:top w:val="single" w:sz="4" w:space="0" w:color="auto"/>
                                  </w:tcBorders>
                                  <w:shd w:val="clear" w:color="auto" w:fill="auto"/>
                                  <w:hideMark/>
                                </w:tcPr>
                                <w:p w14:paraId="6418D5F3" w14:textId="77777777" w:rsidR="00024471" w:rsidRPr="008B475C" w:rsidRDefault="00024471" w:rsidP="009E03A7">
                                  <w:pPr>
                                    <w:pStyle w:val="Heading3"/>
                                    <w:rPr>
                                      <w:b/>
                                      <w:lang w:val="en-US"/>
                                    </w:rPr>
                                  </w:pPr>
                                  <w:r w:rsidRPr="008B475C">
                                    <w:rPr>
                                      <w:lang w:val="en-US"/>
                                    </w:rPr>
                                    <w:t>0.66</w:t>
                                  </w:r>
                                  <w:r w:rsidRPr="008B475C">
                                    <w:rPr>
                                      <w:lang w:val="en-US"/>
                                    </w:rPr>
                                    <w:br/>
                                    <w:t>(0.49, 0.90)</w:t>
                                  </w:r>
                                </w:p>
                              </w:tc>
                              <w:tc>
                                <w:tcPr>
                                  <w:tcW w:w="1024" w:type="pct"/>
                                  <w:tcBorders>
                                    <w:top w:val="single" w:sz="4" w:space="0" w:color="auto"/>
                                  </w:tcBorders>
                                  <w:shd w:val="clear" w:color="auto" w:fill="auto"/>
                                  <w:hideMark/>
                                </w:tcPr>
                                <w:p w14:paraId="27D4BD65" w14:textId="77777777" w:rsidR="00024471" w:rsidRPr="008B475C" w:rsidRDefault="00024471" w:rsidP="009E03A7">
                                  <w:pPr>
                                    <w:pStyle w:val="Heading3"/>
                                    <w:rPr>
                                      <w:b/>
                                      <w:lang w:val="en-US"/>
                                    </w:rPr>
                                  </w:pPr>
                                  <w:r w:rsidRPr="008B475C">
                                    <w:rPr>
                                      <w:lang w:val="en-US"/>
                                    </w:rPr>
                                    <w:t>0.008</w:t>
                                  </w:r>
                                </w:p>
                              </w:tc>
                            </w:tr>
                            <w:tr w:rsidR="00024471" w:rsidRPr="00E53782" w14:paraId="1A2CD5F4" w14:textId="77777777" w:rsidTr="0076542C">
                              <w:tc>
                                <w:tcPr>
                                  <w:tcW w:w="1086" w:type="pct"/>
                                  <w:shd w:val="clear" w:color="auto" w:fill="auto"/>
                                  <w:hideMark/>
                                </w:tcPr>
                                <w:p w14:paraId="72315C00" w14:textId="77777777" w:rsidR="00024471" w:rsidRPr="008B475C" w:rsidRDefault="00024471" w:rsidP="009E03A7">
                                  <w:pPr>
                                    <w:pStyle w:val="Heading3"/>
                                    <w:rPr>
                                      <w:b/>
                                      <w:lang w:val="en-US"/>
                                    </w:rPr>
                                  </w:pPr>
                                  <w:r w:rsidRPr="008B475C">
                                    <w:rPr>
                                      <w:lang w:val="en-US"/>
                                    </w:rPr>
                                    <w:t>Disease-free survival including ductal carcinoma in situ</w:t>
                                  </w:r>
                                </w:p>
                              </w:tc>
                              <w:tc>
                                <w:tcPr>
                                  <w:tcW w:w="717" w:type="pct"/>
                                  <w:shd w:val="clear" w:color="auto" w:fill="auto"/>
                                  <w:hideMark/>
                                </w:tcPr>
                                <w:p w14:paraId="6AA366E1" w14:textId="77777777" w:rsidR="00024471" w:rsidRPr="008B475C" w:rsidRDefault="00024471" w:rsidP="009E03A7">
                                  <w:pPr>
                                    <w:pStyle w:val="Heading3"/>
                                    <w:rPr>
                                      <w:b/>
                                      <w:lang w:val="en-US"/>
                                    </w:rPr>
                                  </w:pPr>
                                  <w:r w:rsidRPr="008B475C">
                                    <w:rPr>
                                      <w:lang w:val="en-US"/>
                                    </w:rPr>
                                    <w:t>94.2</w:t>
                                  </w:r>
                                </w:p>
                              </w:tc>
                              <w:tc>
                                <w:tcPr>
                                  <w:tcW w:w="1029" w:type="pct"/>
                                  <w:shd w:val="clear" w:color="auto" w:fill="auto"/>
                                  <w:hideMark/>
                                </w:tcPr>
                                <w:p w14:paraId="19AEC1BF" w14:textId="77777777" w:rsidR="00024471" w:rsidRPr="008B475C" w:rsidRDefault="00024471" w:rsidP="009E03A7">
                                  <w:pPr>
                                    <w:pStyle w:val="Heading3"/>
                                    <w:rPr>
                                      <w:b/>
                                      <w:lang w:val="en-US"/>
                                    </w:rPr>
                                  </w:pPr>
                                  <w:r w:rsidRPr="008B475C">
                                    <w:rPr>
                                      <w:lang w:val="en-US"/>
                                    </w:rPr>
                                    <w:t>91.3</w:t>
                                  </w:r>
                                </w:p>
                              </w:tc>
                              <w:tc>
                                <w:tcPr>
                                  <w:tcW w:w="1144" w:type="pct"/>
                                  <w:shd w:val="clear" w:color="auto" w:fill="auto"/>
                                  <w:hideMark/>
                                </w:tcPr>
                                <w:p w14:paraId="604B8777" w14:textId="77777777" w:rsidR="00024471" w:rsidRPr="008B475C" w:rsidRDefault="00024471" w:rsidP="009E03A7">
                                  <w:pPr>
                                    <w:pStyle w:val="Heading3"/>
                                    <w:rPr>
                                      <w:b/>
                                      <w:lang w:val="en-US"/>
                                    </w:rPr>
                                  </w:pPr>
                                  <w:r w:rsidRPr="008B475C">
                                    <w:rPr>
                                      <w:lang w:val="en-US"/>
                                    </w:rPr>
                                    <w:t>0.61</w:t>
                                  </w:r>
                                  <w:r w:rsidRPr="008B475C">
                                    <w:rPr>
                                      <w:lang w:val="en-US"/>
                                    </w:rPr>
                                    <w:br/>
                                    <w:t>(0.45, 0.83)</w:t>
                                  </w:r>
                                </w:p>
                              </w:tc>
                              <w:tc>
                                <w:tcPr>
                                  <w:tcW w:w="1024" w:type="pct"/>
                                  <w:shd w:val="clear" w:color="auto" w:fill="auto"/>
                                  <w:hideMark/>
                                </w:tcPr>
                                <w:p w14:paraId="4C98BA38" w14:textId="77777777" w:rsidR="00024471" w:rsidRPr="008B475C" w:rsidRDefault="00024471" w:rsidP="009E03A7">
                                  <w:pPr>
                                    <w:pStyle w:val="Heading3"/>
                                    <w:rPr>
                                      <w:b/>
                                      <w:lang w:val="en-US"/>
                                    </w:rPr>
                                  </w:pPr>
                                  <w:r w:rsidRPr="008B475C">
                                    <w:rPr>
                                      <w:lang w:val="en-US"/>
                                    </w:rPr>
                                    <w:t>0.001</w:t>
                                  </w:r>
                                </w:p>
                              </w:tc>
                            </w:tr>
                            <w:tr w:rsidR="00024471" w:rsidRPr="00E53782" w14:paraId="450258BB" w14:textId="77777777" w:rsidTr="0076542C">
                              <w:tc>
                                <w:tcPr>
                                  <w:tcW w:w="1086" w:type="pct"/>
                                  <w:shd w:val="clear" w:color="auto" w:fill="auto"/>
                                  <w:hideMark/>
                                </w:tcPr>
                                <w:p w14:paraId="4518C2CA" w14:textId="77777777" w:rsidR="00024471" w:rsidRPr="008B475C" w:rsidRDefault="00024471" w:rsidP="009E03A7">
                                  <w:pPr>
                                    <w:pStyle w:val="Heading3"/>
                                    <w:rPr>
                                      <w:b/>
                                      <w:lang w:val="en-US"/>
                                    </w:rPr>
                                  </w:pPr>
                                  <w:r w:rsidRPr="008B475C">
                                    <w:rPr>
                                      <w:lang w:val="en-US"/>
                                    </w:rPr>
                                    <w:t>Distant disease-free survival</w:t>
                                  </w:r>
                                </w:p>
                              </w:tc>
                              <w:tc>
                                <w:tcPr>
                                  <w:tcW w:w="717" w:type="pct"/>
                                  <w:shd w:val="clear" w:color="auto" w:fill="auto"/>
                                  <w:hideMark/>
                                </w:tcPr>
                                <w:p w14:paraId="61F58E5B" w14:textId="77777777" w:rsidR="00024471" w:rsidRPr="008B475C" w:rsidRDefault="00024471" w:rsidP="009E03A7">
                                  <w:pPr>
                                    <w:pStyle w:val="Heading3"/>
                                    <w:rPr>
                                      <w:b/>
                                      <w:lang w:val="en-US"/>
                                    </w:rPr>
                                  </w:pPr>
                                  <w:r w:rsidRPr="008B475C">
                                    <w:rPr>
                                      <w:lang w:val="en-US"/>
                                    </w:rPr>
                                    <w:t>95.3</w:t>
                                  </w:r>
                                </w:p>
                              </w:tc>
                              <w:tc>
                                <w:tcPr>
                                  <w:tcW w:w="1029" w:type="pct"/>
                                  <w:shd w:val="clear" w:color="auto" w:fill="auto"/>
                                  <w:hideMark/>
                                </w:tcPr>
                                <w:p w14:paraId="24632422" w14:textId="77777777" w:rsidR="00024471" w:rsidRPr="008B475C" w:rsidRDefault="00024471" w:rsidP="009E03A7">
                                  <w:pPr>
                                    <w:pStyle w:val="Heading3"/>
                                    <w:rPr>
                                      <w:b/>
                                      <w:lang w:val="en-US"/>
                                    </w:rPr>
                                  </w:pPr>
                                  <w:r w:rsidRPr="008B475C">
                                    <w:rPr>
                                      <w:lang w:val="en-US"/>
                                    </w:rPr>
                                    <w:t>94.0</w:t>
                                  </w:r>
                                </w:p>
                              </w:tc>
                              <w:tc>
                                <w:tcPr>
                                  <w:tcW w:w="1144" w:type="pct"/>
                                  <w:shd w:val="clear" w:color="auto" w:fill="auto"/>
                                  <w:hideMark/>
                                </w:tcPr>
                                <w:p w14:paraId="0A6DF57C" w14:textId="77777777" w:rsidR="00024471" w:rsidRPr="008B475C" w:rsidRDefault="00024471" w:rsidP="009E03A7">
                                  <w:pPr>
                                    <w:pStyle w:val="Heading3"/>
                                    <w:rPr>
                                      <w:b/>
                                      <w:lang w:val="en-US"/>
                                    </w:rPr>
                                  </w:pPr>
                                  <w:r w:rsidRPr="008B475C">
                                    <w:rPr>
                                      <w:lang w:val="en-US"/>
                                    </w:rPr>
                                    <w:t>0.74</w:t>
                                  </w:r>
                                  <w:r w:rsidRPr="008B475C">
                                    <w:rPr>
                                      <w:lang w:val="en-US"/>
                                    </w:rPr>
                                    <w:br/>
                                    <w:t>(0.52, 1.05)</w:t>
                                  </w:r>
                                </w:p>
                              </w:tc>
                              <w:tc>
                                <w:tcPr>
                                  <w:tcW w:w="1024" w:type="pct"/>
                                  <w:shd w:val="clear" w:color="auto" w:fill="auto"/>
                                  <w:hideMark/>
                                </w:tcPr>
                                <w:p w14:paraId="376F5450" w14:textId="77777777" w:rsidR="00024471" w:rsidRPr="008B475C" w:rsidRDefault="00024471" w:rsidP="009E03A7">
                                  <w:pPr>
                                    <w:pStyle w:val="Heading3"/>
                                    <w:rPr>
                                      <w:b/>
                                      <w:lang w:val="en-US"/>
                                    </w:rPr>
                                  </w:pPr>
                                  <w:r w:rsidRPr="008B475C">
                                    <w:rPr>
                                      <w:lang w:val="en-US"/>
                                    </w:rPr>
                                    <w:t>0.094</w:t>
                                  </w:r>
                                </w:p>
                              </w:tc>
                            </w:tr>
                            <w:tr w:rsidR="00024471" w:rsidRPr="00E53782" w14:paraId="2F92D454" w14:textId="77777777" w:rsidTr="0076542C">
                              <w:tc>
                                <w:tcPr>
                                  <w:tcW w:w="1086" w:type="pct"/>
                                  <w:shd w:val="clear" w:color="auto" w:fill="auto"/>
                                  <w:hideMark/>
                                </w:tcPr>
                                <w:p w14:paraId="0612C558" w14:textId="77777777" w:rsidR="00024471" w:rsidRPr="008B475C" w:rsidRDefault="00024471" w:rsidP="009E03A7">
                                  <w:pPr>
                                    <w:pStyle w:val="Heading3"/>
                                    <w:rPr>
                                      <w:b/>
                                      <w:lang w:val="en-US"/>
                                    </w:rPr>
                                  </w:pPr>
                                  <w:r w:rsidRPr="008B475C">
                                    <w:rPr>
                                      <w:lang w:val="en-US"/>
                                    </w:rPr>
                                    <w:t>Time to distant recurrence</w:t>
                                  </w:r>
                                </w:p>
                              </w:tc>
                              <w:tc>
                                <w:tcPr>
                                  <w:tcW w:w="717" w:type="pct"/>
                                  <w:shd w:val="clear" w:color="auto" w:fill="auto"/>
                                  <w:hideMark/>
                                </w:tcPr>
                                <w:p w14:paraId="1929786B" w14:textId="77777777" w:rsidR="00024471" w:rsidRPr="008B475C" w:rsidRDefault="00024471" w:rsidP="009E03A7">
                                  <w:pPr>
                                    <w:pStyle w:val="Heading3"/>
                                    <w:rPr>
                                      <w:b/>
                                      <w:lang w:val="en-US"/>
                                    </w:rPr>
                                  </w:pPr>
                                  <w:r w:rsidRPr="008B475C">
                                    <w:rPr>
                                      <w:lang w:val="en-US"/>
                                    </w:rPr>
                                    <w:t>95.5</w:t>
                                  </w:r>
                                </w:p>
                              </w:tc>
                              <w:tc>
                                <w:tcPr>
                                  <w:tcW w:w="1029" w:type="pct"/>
                                  <w:shd w:val="clear" w:color="auto" w:fill="auto"/>
                                  <w:hideMark/>
                                </w:tcPr>
                                <w:p w14:paraId="66FD643B" w14:textId="77777777" w:rsidR="00024471" w:rsidRPr="008B475C" w:rsidRDefault="00024471" w:rsidP="009E03A7">
                                  <w:pPr>
                                    <w:pStyle w:val="Heading3"/>
                                    <w:rPr>
                                      <w:b/>
                                      <w:lang w:val="en-US"/>
                                    </w:rPr>
                                  </w:pPr>
                                  <w:r w:rsidRPr="008B475C">
                                    <w:rPr>
                                      <w:lang w:val="en-US"/>
                                    </w:rPr>
                                    <w:t>94.2</w:t>
                                  </w:r>
                                </w:p>
                              </w:tc>
                              <w:tc>
                                <w:tcPr>
                                  <w:tcW w:w="1144" w:type="pct"/>
                                  <w:shd w:val="clear" w:color="auto" w:fill="auto"/>
                                  <w:hideMark/>
                                </w:tcPr>
                                <w:p w14:paraId="21FB1097" w14:textId="77777777" w:rsidR="00024471" w:rsidRPr="008B475C" w:rsidRDefault="00024471" w:rsidP="009E03A7">
                                  <w:pPr>
                                    <w:pStyle w:val="Heading3"/>
                                    <w:rPr>
                                      <w:b/>
                                      <w:lang w:val="en-US"/>
                                    </w:rPr>
                                  </w:pPr>
                                  <w:r w:rsidRPr="008B475C">
                                    <w:rPr>
                                      <w:lang w:val="en-US"/>
                                    </w:rPr>
                                    <w:t>0.73</w:t>
                                  </w:r>
                                  <w:r w:rsidRPr="008B475C">
                                    <w:rPr>
                                      <w:lang w:val="en-US"/>
                                    </w:rPr>
                                    <w:br/>
                                    <w:t>(0.51, 1.04)</w:t>
                                  </w:r>
                                </w:p>
                              </w:tc>
                              <w:tc>
                                <w:tcPr>
                                  <w:tcW w:w="1024" w:type="pct"/>
                                  <w:shd w:val="clear" w:color="auto" w:fill="auto"/>
                                  <w:hideMark/>
                                </w:tcPr>
                                <w:p w14:paraId="37B82C93" w14:textId="77777777" w:rsidR="00024471" w:rsidRPr="008B475C" w:rsidRDefault="00024471" w:rsidP="009E03A7">
                                  <w:pPr>
                                    <w:pStyle w:val="Heading3"/>
                                    <w:rPr>
                                      <w:b/>
                                      <w:lang w:val="en-US"/>
                                    </w:rPr>
                                  </w:pPr>
                                  <w:r w:rsidRPr="008B475C">
                                    <w:rPr>
                                      <w:lang w:val="en-US"/>
                                    </w:rPr>
                                    <w:t>0.087</w:t>
                                  </w:r>
                                </w:p>
                              </w:tc>
                            </w:tr>
                            <w:tr w:rsidR="00024471" w:rsidRPr="00E53782" w14:paraId="477DB0EB" w14:textId="77777777" w:rsidTr="0076542C">
                              <w:tc>
                                <w:tcPr>
                                  <w:tcW w:w="1086" w:type="pct"/>
                                  <w:tcBorders>
                                    <w:bottom w:val="single" w:sz="4" w:space="0" w:color="auto"/>
                                  </w:tcBorders>
                                  <w:shd w:val="clear" w:color="auto" w:fill="auto"/>
                                  <w:hideMark/>
                                </w:tcPr>
                                <w:p w14:paraId="2EE85496" w14:textId="77777777" w:rsidR="00024471" w:rsidRPr="008B475C" w:rsidRDefault="00024471" w:rsidP="009E03A7">
                                  <w:pPr>
                                    <w:pStyle w:val="Heading3"/>
                                    <w:rPr>
                                      <w:b/>
                                      <w:lang w:val="en-US"/>
                                    </w:rPr>
                                  </w:pPr>
                                  <w:r w:rsidRPr="008B475C">
                                    <w:rPr>
                                      <w:lang w:val="en-US"/>
                                    </w:rPr>
                                    <w:t>CNS recurrence</w:t>
                                  </w:r>
                                </w:p>
                              </w:tc>
                              <w:tc>
                                <w:tcPr>
                                  <w:tcW w:w="717" w:type="pct"/>
                                  <w:tcBorders>
                                    <w:bottom w:val="single" w:sz="4" w:space="0" w:color="auto"/>
                                  </w:tcBorders>
                                  <w:shd w:val="clear" w:color="auto" w:fill="auto"/>
                                  <w:hideMark/>
                                </w:tcPr>
                                <w:p w14:paraId="2201CF91" w14:textId="77777777" w:rsidR="00024471" w:rsidRPr="008B475C" w:rsidRDefault="00024471" w:rsidP="009E03A7">
                                  <w:pPr>
                                    <w:pStyle w:val="Heading3"/>
                                    <w:rPr>
                                      <w:b/>
                                      <w:lang w:val="en-US"/>
                                    </w:rPr>
                                  </w:pPr>
                                  <w:r w:rsidRPr="008B475C">
                                    <w:rPr>
                                      <w:lang w:val="en-US"/>
                                    </w:rPr>
                                    <w:t>0.92</w:t>
                                  </w:r>
                                </w:p>
                              </w:tc>
                              <w:tc>
                                <w:tcPr>
                                  <w:tcW w:w="1029" w:type="pct"/>
                                  <w:tcBorders>
                                    <w:bottom w:val="single" w:sz="4" w:space="0" w:color="auto"/>
                                  </w:tcBorders>
                                  <w:shd w:val="clear" w:color="auto" w:fill="auto"/>
                                  <w:hideMark/>
                                </w:tcPr>
                                <w:p w14:paraId="3A84B5AF" w14:textId="77777777" w:rsidR="00024471" w:rsidRPr="008B475C" w:rsidRDefault="00024471" w:rsidP="009E03A7">
                                  <w:pPr>
                                    <w:pStyle w:val="Heading3"/>
                                    <w:rPr>
                                      <w:b/>
                                      <w:lang w:val="en-US"/>
                                    </w:rPr>
                                  </w:pPr>
                                  <w:r w:rsidRPr="008B475C">
                                    <w:rPr>
                                      <w:lang w:val="en-US"/>
                                    </w:rPr>
                                    <w:t>1.16</w:t>
                                  </w:r>
                                </w:p>
                              </w:tc>
                              <w:tc>
                                <w:tcPr>
                                  <w:tcW w:w="1144" w:type="pct"/>
                                  <w:tcBorders>
                                    <w:bottom w:val="single" w:sz="4" w:space="0" w:color="auto"/>
                                  </w:tcBorders>
                                  <w:shd w:val="clear" w:color="auto" w:fill="auto"/>
                                  <w:hideMark/>
                                </w:tcPr>
                                <w:p w14:paraId="103AC368" w14:textId="77777777" w:rsidR="00024471" w:rsidRPr="008B475C" w:rsidRDefault="00024471" w:rsidP="009E03A7">
                                  <w:pPr>
                                    <w:pStyle w:val="Heading3"/>
                                    <w:rPr>
                                      <w:lang w:val="en-US"/>
                                    </w:rPr>
                                  </w:pPr>
                                  <w:r w:rsidRPr="008B475C">
                                    <w:rPr>
                                      <w:lang w:val="en-US"/>
                                    </w:rPr>
                                    <w:t>–</w:t>
                                  </w:r>
                                </w:p>
                              </w:tc>
                              <w:tc>
                                <w:tcPr>
                                  <w:tcW w:w="1024" w:type="pct"/>
                                  <w:tcBorders>
                                    <w:bottom w:val="single" w:sz="4" w:space="0" w:color="auto"/>
                                  </w:tcBorders>
                                  <w:shd w:val="clear" w:color="auto" w:fill="auto"/>
                                  <w:hideMark/>
                                </w:tcPr>
                                <w:p w14:paraId="3967358A" w14:textId="77777777" w:rsidR="00024471" w:rsidRPr="008B475C" w:rsidRDefault="00024471" w:rsidP="009E03A7">
                                  <w:pPr>
                                    <w:pStyle w:val="Heading3"/>
                                    <w:rPr>
                                      <w:b/>
                                      <w:lang w:val="en-US"/>
                                    </w:rPr>
                                  </w:pPr>
                                  <w:r w:rsidRPr="008B475C">
                                    <w:rPr>
                                      <w:lang w:val="en-US"/>
                                    </w:rPr>
                                    <w:t>0.548</w:t>
                                  </w:r>
                                </w:p>
                              </w:tc>
                            </w:tr>
                          </w:tbl>
                          <w:p w14:paraId="6FD7E63B" w14:textId="77777777" w:rsidR="00024471" w:rsidRDefault="00024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C160E9" id="_x0000_t202" coordsize="21600,21600" o:spt="202" path="m,l,21600r21600,l21600,xe">
                <v:stroke joinstyle="miter"/>
                <v:path gradientshapeok="t" o:connecttype="rect"/>
              </v:shapetype>
              <v:shape id="Text Box 4" o:spid="_x0000_s1026" type="#_x0000_t202" style="position:absolute;margin-left:0;margin-top:13.5pt;width:6in;height:27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" filled="f" stroked="f">
                <v:textbox>
                  <w:txbxContent>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347"/>
                        <w:gridCol w:w="1647"/>
                        <w:gridCol w:w="1837"/>
                        <w:gridCol w:w="1640"/>
                      </w:tblGrid>
                      <w:tr w:rsidR="00024471" w:rsidRPr="00E53782" w14:paraId="3C257BE1" w14:textId="77777777" w:rsidTr="0076542C">
                        <w:trPr>
                          <w:tblHeader/>
                        </w:trPr>
                        <w:tc>
                          <w:tcPr>
                            <w:tcW w:w="1086" w:type="pct"/>
                            <w:vMerge w:val="restart"/>
                            <w:shd w:val="clear" w:color="auto" w:fill="auto"/>
                            <w:vAlign w:val="center"/>
                            <w:hideMark/>
                          </w:tcPr>
                          <w:p w14:paraId="043F5578" w14:textId="77777777" w:rsidR="00024471" w:rsidRPr="008B475C" w:rsidRDefault="00024471" w:rsidP="009E03A7">
                            <w:pPr>
                              <w:pStyle w:val="Heading3"/>
                              <w:rPr>
                                <w:lang w:val="en-US"/>
                              </w:rPr>
                            </w:pPr>
                            <w:r w:rsidRPr="008B475C">
                              <w:rPr>
                                <w:lang w:val="en-US"/>
                              </w:rPr>
                              <w:t>Variable</w:t>
                            </w:r>
                          </w:p>
                        </w:tc>
                        <w:tc>
                          <w:tcPr>
                            <w:tcW w:w="1746" w:type="pct"/>
                            <w:gridSpan w:val="2"/>
                            <w:shd w:val="clear" w:color="auto" w:fill="auto"/>
                            <w:vAlign w:val="center"/>
                            <w:hideMark/>
                          </w:tcPr>
                          <w:p w14:paraId="0CBE9984" w14:textId="77777777" w:rsidR="00024471" w:rsidRPr="008B475C" w:rsidRDefault="00024471" w:rsidP="009E03A7">
                            <w:pPr>
                              <w:pStyle w:val="Heading3"/>
                              <w:rPr>
                                <w:lang w:val="en-US"/>
                              </w:rPr>
                            </w:pPr>
                            <w:r w:rsidRPr="008B475C">
                              <w:rPr>
                                <w:lang w:val="en-US"/>
                              </w:rPr>
                              <w:t>Estimated 2 year event free rates</w:t>
                            </w:r>
                            <w:r w:rsidRPr="008B475C">
                              <w:rPr>
                                <w:vertAlign w:val="superscript"/>
                                <w:lang w:val="en-US"/>
                              </w:rPr>
                              <w:t xml:space="preserve">1 </w:t>
                            </w:r>
                            <w:r w:rsidRPr="008B475C">
                              <w:rPr>
                                <w:lang w:val="en-US"/>
                              </w:rPr>
                              <w:t>(%)</w:t>
                            </w:r>
                          </w:p>
                        </w:tc>
                        <w:tc>
                          <w:tcPr>
                            <w:tcW w:w="1144" w:type="pct"/>
                            <w:shd w:val="clear" w:color="auto" w:fill="auto"/>
                            <w:vAlign w:val="center"/>
                            <w:hideMark/>
                          </w:tcPr>
                          <w:p w14:paraId="071403EB" w14:textId="77777777" w:rsidR="00024471" w:rsidRPr="008B475C" w:rsidRDefault="00024471" w:rsidP="009E03A7">
                            <w:pPr>
                              <w:pStyle w:val="Heading3"/>
                              <w:rPr>
                                <w:lang w:val="en-US"/>
                              </w:rPr>
                            </w:pPr>
                          </w:p>
                          <w:p w14:paraId="25E7133B" w14:textId="77777777" w:rsidR="00024471" w:rsidRPr="008B475C" w:rsidRDefault="00024471" w:rsidP="009E03A7">
                            <w:pPr>
                              <w:pStyle w:val="Heading3"/>
                              <w:rPr>
                                <w:lang w:val="en-US"/>
                              </w:rPr>
                            </w:pPr>
                            <w:r w:rsidRPr="008B475C">
                              <w:rPr>
                                <w:lang w:val="en-US"/>
                              </w:rPr>
                              <w:t>Stratified</w:t>
                            </w:r>
                            <w:r w:rsidRPr="007C0259">
                              <w:rPr>
                                <w:vertAlign w:val="superscript"/>
                                <w:lang w:val="en-US"/>
                              </w:rPr>
                              <w:t>2</w:t>
                            </w:r>
                            <w:r w:rsidRPr="008B475C">
                              <w:rPr>
                                <w:lang w:val="en-US"/>
                              </w:rPr>
                              <w:t xml:space="preserve"> hazard ratio</w:t>
                            </w:r>
                          </w:p>
                          <w:p w14:paraId="2CD99580" w14:textId="77777777" w:rsidR="00024471" w:rsidRPr="008B475C" w:rsidRDefault="00024471" w:rsidP="009E03A7">
                            <w:pPr>
                              <w:pStyle w:val="Heading3"/>
                              <w:rPr>
                                <w:lang w:val="en-US"/>
                              </w:rPr>
                            </w:pPr>
                            <w:r w:rsidRPr="008B475C">
                              <w:rPr>
                                <w:lang w:val="en-US"/>
                              </w:rPr>
                              <w:t>(95 percent confidence interval)</w:t>
                            </w:r>
                            <w:r>
                              <w:rPr>
                                <w:vertAlign w:val="superscript"/>
                                <w:lang w:val="en-US"/>
                              </w:rPr>
                              <w:t>3</w:t>
                            </w:r>
                          </w:p>
                        </w:tc>
                        <w:tc>
                          <w:tcPr>
                            <w:tcW w:w="1024" w:type="pct"/>
                            <w:shd w:val="clear" w:color="auto" w:fill="auto"/>
                            <w:vAlign w:val="center"/>
                            <w:hideMark/>
                          </w:tcPr>
                          <w:p w14:paraId="32492BE3" w14:textId="77777777" w:rsidR="00024471" w:rsidRPr="008B475C" w:rsidRDefault="00024471" w:rsidP="009E03A7">
                            <w:pPr>
                              <w:pStyle w:val="Heading3"/>
                              <w:rPr>
                                <w:lang w:val="en-US"/>
                              </w:rPr>
                            </w:pPr>
                            <w:r w:rsidRPr="008B475C">
                              <w:rPr>
                                <w:lang w:val="en-US"/>
                              </w:rPr>
                              <w:t>Stratified log rank test two sided p value</w:t>
                            </w:r>
                            <w:r>
                              <w:rPr>
                                <w:vertAlign w:val="superscript"/>
                                <w:lang w:val="en-US"/>
                              </w:rPr>
                              <w:t>4</w:t>
                            </w:r>
                          </w:p>
                        </w:tc>
                      </w:tr>
                      <w:tr w:rsidR="00024471" w:rsidRPr="00E53782" w14:paraId="20476201" w14:textId="77777777" w:rsidTr="0076542C">
                        <w:trPr>
                          <w:tblHeader/>
                        </w:trPr>
                        <w:tc>
                          <w:tcPr>
                            <w:tcW w:w="1086" w:type="pct"/>
                            <w:vMerge/>
                            <w:tcBorders>
                              <w:bottom w:val="single" w:sz="4" w:space="0" w:color="auto"/>
                            </w:tcBorders>
                            <w:shd w:val="clear" w:color="auto" w:fill="auto"/>
                            <w:vAlign w:val="center"/>
                            <w:hideMark/>
                          </w:tcPr>
                          <w:p w14:paraId="050E4D78" w14:textId="77777777" w:rsidR="00024471" w:rsidRPr="008B475C" w:rsidRDefault="00024471" w:rsidP="009E03A7">
                            <w:pPr>
                              <w:pStyle w:val="Heading3"/>
                              <w:rPr>
                                <w:lang w:val="en-GB"/>
                              </w:rPr>
                            </w:pPr>
                          </w:p>
                        </w:tc>
                        <w:tc>
                          <w:tcPr>
                            <w:tcW w:w="717" w:type="pct"/>
                            <w:tcBorders>
                              <w:bottom w:val="single" w:sz="4" w:space="0" w:color="auto"/>
                            </w:tcBorders>
                            <w:shd w:val="clear" w:color="auto" w:fill="auto"/>
                            <w:vAlign w:val="center"/>
                            <w:hideMark/>
                          </w:tcPr>
                          <w:p w14:paraId="10BEA932" w14:textId="77777777" w:rsidR="00024471" w:rsidRPr="008B475C" w:rsidRDefault="00024471" w:rsidP="009E03A7">
                            <w:pPr>
                              <w:pStyle w:val="Heading3"/>
                              <w:rPr>
                                <w:lang w:val="en-US"/>
                              </w:rPr>
                            </w:pPr>
                            <w:r w:rsidRPr="008B475C">
                              <w:rPr>
                                <w:lang w:val="en-US"/>
                              </w:rPr>
                              <w:t>NERLYNX</w:t>
                            </w:r>
                            <w:r w:rsidRPr="008B475C">
                              <w:rPr>
                                <w:lang w:val="en-US"/>
                              </w:rPr>
                              <w:br/>
                              <w:t>(n = 1420)</w:t>
                            </w:r>
                          </w:p>
                        </w:tc>
                        <w:tc>
                          <w:tcPr>
                            <w:tcW w:w="1029" w:type="pct"/>
                            <w:tcBorders>
                              <w:bottom w:val="single" w:sz="4" w:space="0" w:color="auto"/>
                            </w:tcBorders>
                            <w:shd w:val="clear" w:color="auto" w:fill="auto"/>
                            <w:vAlign w:val="center"/>
                            <w:hideMark/>
                          </w:tcPr>
                          <w:p w14:paraId="7D6DAA45" w14:textId="77777777" w:rsidR="00024471" w:rsidRPr="008B475C" w:rsidRDefault="00024471" w:rsidP="009E03A7">
                            <w:pPr>
                              <w:pStyle w:val="Heading3"/>
                              <w:rPr>
                                <w:lang w:val="en-US"/>
                              </w:rPr>
                            </w:pPr>
                            <w:r w:rsidRPr="008B475C">
                              <w:rPr>
                                <w:lang w:val="en-US"/>
                              </w:rPr>
                              <w:t>Placebo</w:t>
                            </w:r>
                            <w:r w:rsidRPr="008B475C">
                              <w:rPr>
                                <w:lang w:val="en-US"/>
                              </w:rPr>
                              <w:br/>
                              <w:t>(n = 1420)</w:t>
                            </w:r>
                          </w:p>
                        </w:tc>
                        <w:tc>
                          <w:tcPr>
                            <w:tcW w:w="1144" w:type="pct"/>
                            <w:tcBorders>
                              <w:bottom w:val="single" w:sz="4" w:space="0" w:color="auto"/>
                            </w:tcBorders>
                            <w:shd w:val="clear" w:color="auto" w:fill="auto"/>
                            <w:vAlign w:val="center"/>
                            <w:hideMark/>
                          </w:tcPr>
                          <w:p w14:paraId="732A015D" w14:textId="77777777" w:rsidR="00024471" w:rsidRPr="008B475C" w:rsidRDefault="00024471" w:rsidP="009E03A7">
                            <w:pPr>
                              <w:pStyle w:val="Heading3"/>
                              <w:rPr>
                                <w:lang w:val="en-GB"/>
                              </w:rPr>
                            </w:pPr>
                          </w:p>
                        </w:tc>
                        <w:tc>
                          <w:tcPr>
                            <w:tcW w:w="1024" w:type="pct"/>
                            <w:tcBorders>
                              <w:bottom w:val="single" w:sz="4" w:space="0" w:color="auto"/>
                            </w:tcBorders>
                            <w:shd w:val="clear" w:color="auto" w:fill="auto"/>
                            <w:vAlign w:val="center"/>
                            <w:hideMark/>
                          </w:tcPr>
                          <w:p w14:paraId="2D8346FF" w14:textId="77777777" w:rsidR="00024471" w:rsidRPr="008B475C" w:rsidRDefault="00024471" w:rsidP="009E03A7">
                            <w:pPr>
                              <w:pStyle w:val="Heading3"/>
                              <w:rPr>
                                <w:lang w:val="en-GB"/>
                              </w:rPr>
                            </w:pPr>
                          </w:p>
                        </w:tc>
                      </w:tr>
                      <w:tr w:rsidR="00024471" w:rsidRPr="00E53782" w14:paraId="277297AC" w14:textId="77777777" w:rsidTr="0076542C">
                        <w:tc>
                          <w:tcPr>
                            <w:tcW w:w="1086" w:type="pct"/>
                            <w:tcBorders>
                              <w:top w:val="single" w:sz="4" w:space="0" w:color="auto"/>
                            </w:tcBorders>
                            <w:shd w:val="clear" w:color="auto" w:fill="auto"/>
                            <w:hideMark/>
                          </w:tcPr>
                          <w:p w14:paraId="6D879122" w14:textId="77777777" w:rsidR="00024471" w:rsidRPr="008B475C" w:rsidRDefault="00024471" w:rsidP="009E03A7">
                            <w:pPr>
                              <w:pStyle w:val="Heading3"/>
                              <w:rPr>
                                <w:b/>
                                <w:lang w:val="en-US"/>
                              </w:rPr>
                            </w:pPr>
                            <w:r w:rsidRPr="008B475C">
                              <w:rPr>
                                <w:lang w:val="en-US"/>
                              </w:rPr>
                              <w:t>Invasive disease-free survival</w:t>
                            </w:r>
                          </w:p>
                        </w:tc>
                        <w:tc>
                          <w:tcPr>
                            <w:tcW w:w="717" w:type="pct"/>
                            <w:tcBorders>
                              <w:top w:val="single" w:sz="4" w:space="0" w:color="auto"/>
                            </w:tcBorders>
                            <w:shd w:val="clear" w:color="auto" w:fill="auto"/>
                            <w:hideMark/>
                          </w:tcPr>
                          <w:p w14:paraId="04D7BE37" w14:textId="77777777" w:rsidR="00024471" w:rsidRPr="008B475C" w:rsidRDefault="00024471" w:rsidP="009E03A7">
                            <w:pPr>
                              <w:pStyle w:val="Heading3"/>
                              <w:rPr>
                                <w:b/>
                                <w:lang w:val="en-US"/>
                              </w:rPr>
                            </w:pPr>
                            <w:r w:rsidRPr="008B475C">
                              <w:rPr>
                                <w:lang w:val="en-US"/>
                              </w:rPr>
                              <w:t>94.2</w:t>
                            </w:r>
                          </w:p>
                        </w:tc>
                        <w:tc>
                          <w:tcPr>
                            <w:tcW w:w="1029" w:type="pct"/>
                            <w:tcBorders>
                              <w:top w:val="single" w:sz="4" w:space="0" w:color="auto"/>
                            </w:tcBorders>
                            <w:shd w:val="clear" w:color="auto" w:fill="auto"/>
                            <w:hideMark/>
                          </w:tcPr>
                          <w:p w14:paraId="63A8F701" w14:textId="77777777" w:rsidR="00024471" w:rsidRPr="008B475C" w:rsidRDefault="00024471" w:rsidP="009E03A7">
                            <w:pPr>
                              <w:pStyle w:val="Heading3"/>
                              <w:rPr>
                                <w:b/>
                                <w:lang w:val="en-US"/>
                              </w:rPr>
                            </w:pPr>
                            <w:r w:rsidRPr="008B475C">
                              <w:rPr>
                                <w:lang w:val="en-US"/>
                              </w:rPr>
                              <w:t>91.9</w:t>
                            </w:r>
                          </w:p>
                        </w:tc>
                        <w:tc>
                          <w:tcPr>
                            <w:tcW w:w="1144" w:type="pct"/>
                            <w:tcBorders>
                              <w:top w:val="single" w:sz="4" w:space="0" w:color="auto"/>
                            </w:tcBorders>
                            <w:shd w:val="clear" w:color="auto" w:fill="auto"/>
                            <w:hideMark/>
                          </w:tcPr>
                          <w:p w14:paraId="6418D5F3" w14:textId="77777777" w:rsidR="00024471" w:rsidRPr="008B475C" w:rsidRDefault="00024471" w:rsidP="009E03A7">
                            <w:pPr>
                              <w:pStyle w:val="Heading3"/>
                              <w:rPr>
                                <w:b/>
                                <w:lang w:val="en-US"/>
                              </w:rPr>
                            </w:pPr>
                            <w:r w:rsidRPr="008B475C">
                              <w:rPr>
                                <w:lang w:val="en-US"/>
                              </w:rPr>
                              <w:t>0.66</w:t>
                            </w:r>
                            <w:r w:rsidRPr="008B475C">
                              <w:rPr>
                                <w:lang w:val="en-US"/>
                              </w:rPr>
                              <w:br/>
                              <w:t>(0.49, 0.90)</w:t>
                            </w:r>
                          </w:p>
                        </w:tc>
                        <w:tc>
                          <w:tcPr>
                            <w:tcW w:w="1024" w:type="pct"/>
                            <w:tcBorders>
                              <w:top w:val="single" w:sz="4" w:space="0" w:color="auto"/>
                            </w:tcBorders>
                            <w:shd w:val="clear" w:color="auto" w:fill="auto"/>
                            <w:hideMark/>
                          </w:tcPr>
                          <w:p w14:paraId="27D4BD65" w14:textId="77777777" w:rsidR="00024471" w:rsidRPr="008B475C" w:rsidRDefault="00024471" w:rsidP="009E03A7">
                            <w:pPr>
                              <w:pStyle w:val="Heading3"/>
                              <w:rPr>
                                <w:b/>
                                <w:lang w:val="en-US"/>
                              </w:rPr>
                            </w:pPr>
                            <w:r w:rsidRPr="008B475C">
                              <w:rPr>
                                <w:lang w:val="en-US"/>
                              </w:rPr>
                              <w:t>0.008</w:t>
                            </w:r>
                          </w:p>
                        </w:tc>
                      </w:tr>
                      <w:tr w:rsidR="00024471" w:rsidRPr="00E53782" w14:paraId="1A2CD5F4" w14:textId="77777777" w:rsidTr="0076542C">
                        <w:tc>
                          <w:tcPr>
                            <w:tcW w:w="1086" w:type="pct"/>
                            <w:shd w:val="clear" w:color="auto" w:fill="auto"/>
                            <w:hideMark/>
                          </w:tcPr>
                          <w:p w14:paraId="72315C00" w14:textId="77777777" w:rsidR="00024471" w:rsidRPr="008B475C" w:rsidRDefault="00024471" w:rsidP="009E03A7">
                            <w:pPr>
                              <w:pStyle w:val="Heading3"/>
                              <w:rPr>
                                <w:b/>
                                <w:lang w:val="en-US"/>
                              </w:rPr>
                            </w:pPr>
                            <w:r w:rsidRPr="008B475C">
                              <w:rPr>
                                <w:lang w:val="en-US"/>
                              </w:rPr>
                              <w:t>Disease-free survival including ductal carcinoma in situ</w:t>
                            </w:r>
                          </w:p>
                        </w:tc>
                        <w:tc>
                          <w:tcPr>
                            <w:tcW w:w="717" w:type="pct"/>
                            <w:shd w:val="clear" w:color="auto" w:fill="auto"/>
                            <w:hideMark/>
                          </w:tcPr>
                          <w:p w14:paraId="6AA366E1" w14:textId="77777777" w:rsidR="00024471" w:rsidRPr="008B475C" w:rsidRDefault="00024471" w:rsidP="009E03A7">
                            <w:pPr>
                              <w:pStyle w:val="Heading3"/>
                              <w:rPr>
                                <w:b/>
                                <w:lang w:val="en-US"/>
                              </w:rPr>
                            </w:pPr>
                            <w:r w:rsidRPr="008B475C">
                              <w:rPr>
                                <w:lang w:val="en-US"/>
                              </w:rPr>
                              <w:t>94.2</w:t>
                            </w:r>
                          </w:p>
                        </w:tc>
                        <w:tc>
                          <w:tcPr>
                            <w:tcW w:w="1029" w:type="pct"/>
                            <w:shd w:val="clear" w:color="auto" w:fill="auto"/>
                            <w:hideMark/>
                          </w:tcPr>
                          <w:p w14:paraId="19AEC1BF" w14:textId="77777777" w:rsidR="00024471" w:rsidRPr="008B475C" w:rsidRDefault="00024471" w:rsidP="009E03A7">
                            <w:pPr>
                              <w:pStyle w:val="Heading3"/>
                              <w:rPr>
                                <w:b/>
                                <w:lang w:val="en-US"/>
                              </w:rPr>
                            </w:pPr>
                            <w:r w:rsidRPr="008B475C">
                              <w:rPr>
                                <w:lang w:val="en-US"/>
                              </w:rPr>
                              <w:t>91.3</w:t>
                            </w:r>
                          </w:p>
                        </w:tc>
                        <w:tc>
                          <w:tcPr>
                            <w:tcW w:w="1144" w:type="pct"/>
                            <w:shd w:val="clear" w:color="auto" w:fill="auto"/>
                            <w:hideMark/>
                          </w:tcPr>
                          <w:p w14:paraId="604B8777" w14:textId="77777777" w:rsidR="00024471" w:rsidRPr="008B475C" w:rsidRDefault="00024471" w:rsidP="009E03A7">
                            <w:pPr>
                              <w:pStyle w:val="Heading3"/>
                              <w:rPr>
                                <w:b/>
                                <w:lang w:val="en-US"/>
                              </w:rPr>
                            </w:pPr>
                            <w:r w:rsidRPr="008B475C">
                              <w:rPr>
                                <w:lang w:val="en-US"/>
                              </w:rPr>
                              <w:t>0.61</w:t>
                            </w:r>
                            <w:r w:rsidRPr="008B475C">
                              <w:rPr>
                                <w:lang w:val="en-US"/>
                              </w:rPr>
                              <w:br/>
                              <w:t>(0.45, 0.83)</w:t>
                            </w:r>
                          </w:p>
                        </w:tc>
                        <w:tc>
                          <w:tcPr>
                            <w:tcW w:w="1024" w:type="pct"/>
                            <w:shd w:val="clear" w:color="auto" w:fill="auto"/>
                            <w:hideMark/>
                          </w:tcPr>
                          <w:p w14:paraId="4C98BA38" w14:textId="77777777" w:rsidR="00024471" w:rsidRPr="008B475C" w:rsidRDefault="00024471" w:rsidP="009E03A7">
                            <w:pPr>
                              <w:pStyle w:val="Heading3"/>
                              <w:rPr>
                                <w:b/>
                                <w:lang w:val="en-US"/>
                              </w:rPr>
                            </w:pPr>
                            <w:r w:rsidRPr="008B475C">
                              <w:rPr>
                                <w:lang w:val="en-US"/>
                              </w:rPr>
                              <w:t>0.001</w:t>
                            </w:r>
                          </w:p>
                        </w:tc>
                      </w:tr>
                      <w:tr w:rsidR="00024471" w:rsidRPr="00E53782" w14:paraId="450258BB" w14:textId="77777777" w:rsidTr="0076542C">
                        <w:tc>
                          <w:tcPr>
                            <w:tcW w:w="1086" w:type="pct"/>
                            <w:shd w:val="clear" w:color="auto" w:fill="auto"/>
                            <w:hideMark/>
                          </w:tcPr>
                          <w:p w14:paraId="4518C2CA" w14:textId="77777777" w:rsidR="00024471" w:rsidRPr="008B475C" w:rsidRDefault="00024471" w:rsidP="009E03A7">
                            <w:pPr>
                              <w:pStyle w:val="Heading3"/>
                              <w:rPr>
                                <w:b/>
                                <w:lang w:val="en-US"/>
                              </w:rPr>
                            </w:pPr>
                            <w:r w:rsidRPr="008B475C">
                              <w:rPr>
                                <w:lang w:val="en-US"/>
                              </w:rPr>
                              <w:t>Distant disease-free survival</w:t>
                            </w:r>
                          </w:p>
                        </w:tc>
                        <w:tc>
                          <w:tcPr>
                            <w:tcW w:w="717" w:type="pct"/>
                            <w:shd w:val="clear" w:color="auto" w:fill="auto"/>
                            <w:hideMark/>
                          </w:tcPr>
                          <w:p w14:paraId="61F58E5B" w14:textId="77777777" w:rsidR="00024471" w:rsidRPr="008B475C" w:rsidRDefault="00024471" w:rsidP="009E03A7">
                            <w:pPr>
                              <w:pStyle w:val="Heading3"/>
                              <w:rPr>
                                <w:b/>
                                <w:lang w:val="en-US"/>
                              </w:rPr>
                            </w:pPr>
                            <w:r w:rsidRPr="008B475C">
                              <w:rPr>
                                <w:lang w:val="en-US"/>
                              </w:rPr>
                              <w:t>95.3</w:t>
                            </w:r>
                          </w:p>
                        </w:tc>
                        <w:tc>
                          <w:tcPr>
                            <w:tcW w:w="1029" w:type="pct"/>
                            <w:shd w:val="clear" w:color="auto" w:fill="auto"/>
                            <w:hideMark/>
                          </w:tcPr>
                          <w:p w14:paraId="24632422" w14:textId="77777777" w:rsidR="00024471" w:rsidRPr="008B475C" w:rsidRDefault="00024471" w:rsidP="009E03A7">
                            <w:pPr>
                              <w:pStyle w:val="Heading3"/>
                              <w:rPr>
                                <w:b/>
                                <w:lang w:val="en-US"/>
                              </w:rPr>
                            </w:pPr>
                            <w:r w:rsidRPr="008B475C">
                              <w:rPr>
                                <w:lang w:val="en-US"/>
                              </w:rPr>
                              <w:t>94.0</w:t>
                            </w:r>
                          </w:p>
                        </w:tc>
                        <w:tc>
                          <w:tcPr>
                            <w:tcW w:w="1144" w:type="pct"/>
                            <w:shd w:val="clear" w:color="auto" w:fill="auto"/>
                            <w:hideMark/>
                          </w:tcPr>
                          <w:p w14:paraId="0A6DF57C" w14:textId="77777777" w:rsidR="00024471" w:rsidRPr="008B475C" w:rsidRDefault="00024471" w:rsidP="009E03A7">
                            <w:pPr>
                              <w:pStyle w:val="Heading3"/>
                              <w:rPr>
                                <w:b/>
                                <w:lang w:val="en-US"/>
                              </w:rPr>
                            </w:pPr>
                            <w:r w:rsidRPr="008B475C">
                              <w:rPr>
                                <w:lang w:val="en-US"/>
                              </w:rPr>
                              <w:t>0.74</w:t>
                            </w:r>
                            <w:r w:rsidRPr="008B475C">
                              <w:rPr>
                                <w:lang w:val="en-US"/>
                              </w:rPr>
                              <w:br/>
                              <w:t>(0.52, 1.05)</w:t>
                            </w:r>
                          </w:p>
                        </w:tc>
                        <w:tc>
                          <w:tcPr>
                            <w:tcW w:w="1024" w:type="pct"/>
                            <w:shd w:val="clear" w:color="auto" w:fill="auto"/>
                            <w:hideMark/>
                          </w:tcPr>
                          <w:p w14:paraId="376F5450" w14:textId="77777777" w:rsidR="00024471" w:rsidRPr="008B475C" w:rsidRDefault="00024471" w:rsidP="009E03A7">
                            <w:pPr>
                              <w:pStyle w:val="Heading3"/>
                              <w:rPr>
                                <w:b/>
                                <w:lang w:val="en-US"/>
                              </w:rPr>
                            </w:pPr>
                            <w:r w:rsidRPr="008B475C">
                              <w:rPr>
                                <w:lang w:val="en-US"/>
                              </w:rPr>
                              <w:t>0.094</w:t>
                            </w:r>
                          </w:p>
                        </w:tc>
                      </w:tr>
                      <w:tr w:rsidR="00024471" w:rsidRPr="00E53782" w14:paraId="2F92D454" w14:textId="77777777" w:rsidTr="0076542C">
                        <w:tc>
                          <w:tcPr>
                            <w:tcW w:w="1086" w:type="pct"/>
                            <w:shd w:val="clear" w:color="auto" w:fill="auto"/>
                            <w:hideMark/>
                          </w:tcPr>
                          <w:p w14:paraId="0612C558" w14:textId="77777777" w:rsidR="00024471" w:rsidRPr="008B475C" w:rsidRDefault="00024471" w:rsidP="009E03A7">
                            <w:pPr>
                              <w:pStyle w:val="Heading3"/>
                              <w:rPr>
                                <w:b/>
                                <w:lang w:val="en-US"/>
                              </w:rPr>
                            </w:pPr>
                            <w:r w:rsidRPr="008B475C">
                              <w:rPr>
                                <w:lang w:val="en-US"/>
                              </w:rPr>
                              <w:t>Time to distant recurrence</w:t>
                            </w:r>
                          </w:p>
                        </w:tc>
                        <w:tc>
                          <w:tcPr>
                            <w:tcW w:w="717" w:type="pct"/>
                            <w:shd w:val="clear" w:color="auto" w:fill="auto"/>
                            <w:hideMark/>
                          </w:tcPr>
                          <w:p w14:paraId="1929786B" w14:textId="77777777" w:rsidR="00024471" w:rsidRPr="008B475C" w:rsidRDefault="00024471" w:rsidP="009E03A7">
                            <w:pPr>
                              <w:pStyle w:val="Heading3"/>
                              <w:rPr>
                                <w:b/>
                                <w:lang w:val="en-US"/>
                              </w:rPr>
                            </w:pPr>
                            <w:r w:rsidRPr="008B475C">
                              <w:rPr>
                                <w:lang w:val="en-US"/>
                              </w:rPr>
                              <w:t>95.5</w:t>
                            </w:r>
                          </w:p>
                        </w:tc>
                        <w:tc>
                          <w:tcPr>
                            <w:tcW w:w="1029" w:type="pct"/>
                            <w:shd w:val="clear" w:color="auto" w:fill="auto"/>
                            <w:hideMark/>
                          </w:tcPr>
                          <w:p w14:paraId="66FD643B" w14:textId="77777777" w:rsidR="00024471" w:rsidRPr="008B475C" w:rsidRDefault="00024471" w:rsidP="009E03A7">
                            <w:pPr>
                              <w:pStyle w:val="Heading3"/>
                              <w:rPr>
                                <w:b/>
                                <w:lang w:val="en-US"/>
                              </w:rPr>
                            </w:pPr>
                            <w:r w:rsidRPr="008B475C">
                              <w:rPr>
                                <w:lang w:val="en-US"/>
                              </w:rPr>
                              <w:t>94.2</w:t>
                            </w:r>
                          </w:p>
                        </w:tc>
                        <w:tc>
                          <w:tcPr>
                            <w:tcW w:w="1144" w:type="pct"/>
                            <w:shd w:val="clear" w:color="auto" w:fill="auto"/>
                            <w:hideMark/>
                          </w:tcPr>
                          <w:p w14:paraId="21FB1097" w14:textId="77777777" w:rsidR="00024471" w:rsidRPr="008B475C" w:rsidRDefault="00024471" w:rsidP="009E03A7">
                            <w:pPr>
                              <w:pStyle w:val="Heading3"/>
                              <w:rPr>
                                <w:b/>
                                <w:lang w:val="en-US"/>
                              </w:rPr>
                            </w:pPr>
                            <w:r w:rsidRPr="008B475C">
                              <w:rPr>
                                <w:lang w:val="en-US"/>
                              </w:rPr>
                              <w:t>0.73</w:t>
                            </w:r>
                            <w:r w:rsidRPr="008B475C">
                              <w:rPr>
                                <w:lang w:val="en-US"/>
                              </w:rPr>
                              <w:br/>
                              <w:t>(0.51, 1.04)</w:t>
                            </w:r>
                          </w:p>
                        </w:tc>
                        <w:tc>
                          <w:tcPr>
                            <w:tcW w:w="1024" w:type="pct"/>
                            <w:shd w:val="clear" w:color="auto" w:fill="auto"/>
                            <w:hideMark/>
                          </w:tcPr>
                          <w:p w14:paraId="37B82C93" w14:textId="77777777" w:rsidR="00024471" w:rsidRPr="008B475C" w:rsidRDefault="00024471" w:rsidP="009E03A7">
                            <w:pPr>
                              <w:pStyle w:val="Heading3"/>
                              <w:rPr>
                                <w:b/>
                                <w:lang w:val="en-US"/>
                              </w:rPr>
                            </w:pPr>
                            <w:r w:rsidRPr="008B475C">
                              <w:rPr>
                                <w:lang w:val="en-US"/>
                              </w:rPr>
                              <w:t>0.087</w:t>
                            </w:r>
                          </w:p>
                        </w:tc>
                      </w:tr>
                      <w:tr w:rsidR="00024471" w:rsidRPr="00E53782" w14:paraId="477DB0EB" w14:textId="77777777" w:rsidTr="0076542C">
                        <w:tc>
                          <w:tcPr>
                            <w:tcW w:w="1086" w:type="pct"/>
                            <w:tcBorders>
                              <w:bottom w:val="single" w:sz="4" w:space="0" w:color="auto"/>
                            </w:tcBorders>
                            <w:shd w:val="clear" w:color="auto" w:fill="auto"/>
                            <w:hideMark/>
                          </w:tcPr>
                          <w:p w14:paraId="2EE85496" w14:textId="77777777" w:rsidR="00024471" w:rsidRPr="008B475C" w:rsidRDefault="00024471" w:rsidP="009E03A7">
                            <w:pPr>
                              <w:pStyle w:val="Heading3"/>
                              <w:rPr>
                                <w:b/>
                                <w:lang w:val="en-US"/>
                              </w:rPr>
                            </w:pPr>
                            <w:r w:rsidRPr="008B475C">
                              <w:rPr>
                                <w:lang w:val="en-US"/>
                              </w:rPr>
                              <w:t>CNS recurrence</w:t>
                            </w:r>
                          </w:p>
                        </w:tc>
                        <w:tc>
                          <w:tcPr>
                            <w:tcW w:w="717" w:type="pct"/>
                            <w:tcBorders>
                              <w:bottom w:val="single" w:sz="4" w:space="0" w:color="auto"/>
                            </w:tcBorders>
                            <w:shd w:val="clear" w:color="auto" w:fill="auto"/>
                            <w:hideMark/>
                          </w:tcPr>
                          <w:p w14:paraId="2201CF91" w14:textId="77777777" w:rsidR="00024471" w:rsidRPr="008B475C" w:rsidRDefault="00024471" w:rsidP="009E03A7">
                            <w:pPr>
                              <w:pStyle w:val="Heading3"/>
                              <w:rPr>
                                <w:b/>
                                <w:lang w:val="en-US"/>
                              </w:rPr>
                            </w:pPr>
                            <w:r w:rsidRPr="008B475C">
                              <w:rPr>
                                <w:lang w:val="en-US"/>
                              </w:rPr>
                              <w:t>0.92</w:t>
                            </w:r>
                          </w:p>
                        </w:tc>
                        <w:tc>
                          <w:tcPr>
                            <w:tcW w:w="1029" w:type="pct"/>
                            <w:tcBorders>
                              <w:bottom w:val="single" w:sz="4" w:space="0" w:color="auto"/>
                            </w:tcBorders>
                            <w:shd w:val="clear" w:color="auto" w:fill="auto"/>
                            <w:hideMark/>
                          </w:tcPr>
                          <w:p w14:paraId="3A84B5AF" w14:textId="77777777" w:rsidR="00024471" w:rsidRPr="008B475C" w:rsidRDefault="00024471" w:rsidP="009E03A7">
                            <w:pPr>
                              <w:pStyle w:val="Heading3"/>
                              <w:rPr>
                                <w:b/>
                                <w:lang w:val="en-US"/>
                              </w:rPr>
                            </w:pPr>
                            <w:r w:rsidRPr="008B475C">
                              <w:rPr>
                                <w:lang w:val="en-US"/>
                              </w:rPr>
                              <w:t>1.16</w:t>
                            </w:r>
                          </w:p>
                        </w:tc>
                        <w:tc>
                          <w:tcPr>
                            <w:tcW w:w="1144" w:type="pct"/>
                            <w:tcBorders>
                              <w:bottom w:val="single" w:sz="4" w:space="0" w:color="auto"/>
                            </w:tcBorders>
                            <w:shd w:val="clear" w:color="auto" w:fill="auto"/>
                            <w:hideMark/>
                          </w:tcPr>
                          <w:p w14:paraId="103AC368" w14:textId="77777777" w:rsidR="00024471" w:rsidRPr="008B475C" w:rsidRDefault="00024471" w:rsidP="009E03A7">
                            <w:pPr>
                              <w:pStyle w:val="Heading3"/>
                              <w:rPr>
                                <w:lang w:val="en-US"/>
                              </w:rPr>
                            </w:pPr>
                            <w:r w:rsidRPr="008B475C">
                              <w:rPr>
                                <w:lang w:val="en-US"/>
                              </w:rPr>
                              <w:t>–</w:t>
                            </w:r>
                          </w:p>
                        </w:tc>
                        <w:tc>
                          <w:tcPr>
                            <w:tcW w:w="1024" w:type="pct"/>
                            <w:tcBorders>
                              <w:bottom w:val="single" w:sz="4" w:space="0" w:color="auto"/>
                            </w:tcBorders>
                            <w:shd w:val="clear" w:color="auto" w:fill="auto"/>
                            <w:hideMark/>
                          </w:tcPr>
                          <w:p w14:paraId="3967358A" w14:textId="77777777" w:rsidR="00024471" w:rsidRPr="008B475C" w:rsidRDefault="00024471" w:rsidP="009E03A7">
                            <w:pPr>
                              <w:pStyle w:val="Heading3"/>
                              <w:rPr>
                                <w:b/>
                                <w:lang w:val="en-US"/>
                              </w:rPr>
                            </w:pPr>
                            <w:r w:rsidRPr="008B475C">
                              <w:rPr>
                                <w:lang w:val="en-US"/>
                              </w:rPr>
                              <w:t>0.548</w:t>
                            </w:r>
                          </w:p>
                        </w:tc>
                      </w:tr>
                    </w:tbl>
                    <w:p w14:paraId="6FD7E63B" w14:textId="77777777" w:rsidR="00024471" w:rsidRDefault="00024471"/>
                  </w:txbxContent>
                </v:textbox>
                <w10:wrap type="square"/>
              </v:shape>
            </w:pict>
          </mc:Fallback>
        </mc:AlternateContent>
      </w:r>
    </w:p>
    <w:p w14:paraId="557FB7F4" w14:textId="77777777" w:rsidR="005408D5" w:rsidRPr="005408D5" w:rsidRDefault="005408D5" w:rsidP="005408D5">
      <w:pPr>
        <w:autoSpaceDE w:val="0"/>
        <w:autoSpaceDN w:val="0"/>
        <w:adjustRightInd w:val="0"/>
        <w:spacing w:after="0" w:line="240" w:lineRule="auto"/>
        <w:rPr>
          <w:rFonts w:ascii="TimesNewRomanPSMT" w:hAnsi="TimesNewRomanPSMT" w:cs="TimesNewRomanPSMT"/>
          <w:sz w:val="20"/>
          <w:szCs w:val="20"/>
          <w:lang w:val="en-US"/>
        </w:rPr>
      </w:pPr>
      <w:r w:rsidRPr="005408D5">
        <w:rPr>
          <w:rFonts w:ascii="TimesNewRomanPSMT" w:hAnsi="TimesNewRomanPSMT" w:cs="TimesNewRomanPSMT"/>
          <w:sz w:val="20"/>
          <w:szCs w:val="20"/>
          <w:lang w:val="en-US"/>
        </w:rPr>
        <w:t>CNS = central nervous system.</w:t>
      </w:r>
    </w:p>
    <w:p w14:paraId="1FC0EE2C" w14:textId="77777777" w:rsidR="005408D5" w:rsidRPr="005408D5" w:rsidRDefault="005408D5" w:rsidP="005408D5">
      <w:pPr>
        <w:autoSpaceDE w:val="0"/>
        <w:autoSpaceDN w:val="0"/>
        <w:adjustRightInd w:val="0"/>
        <w:spacing w:after="0" w:line="240" w:lineRule="auto"/>
        <w:rPr>
          <w:rFonts w:ascii="TimesNewRomanPSMT" w:hAnsi="TimesNewRomanPSMT" w:cs="TimesNewRomanPSMT"/>
          <w:sz w:val="20"/>
          <w:szCs w:val="20"/>
          <w:lang w:val="en-US"/>
        </w:rPr>
      </w:pPr>
      <w:r w:rsidRPr="005408D5">
        <w:rPr>
          <w:rFonts w:ascii="TimesNewRomanPSMT" w:hAnsi="TimesNewRomanPSMT" w:cs="TimesNewRomanPSMT"/>
          <w:sz w:val="20"/>
          <w:szCs w:val="20"/>
          <w:lang w:val="en-US"/>
        </w:rPr>
        <w:t>1 Event-free rates for all endpoints, except for CNS recurrence for which cumulative incidence is reported.</w:t>
      </w:r>
    </w:p>
    <w:p w14:paraId="54704AF9" w14:textId="4F2970D0" w:rsidR="007B39AA" w:rsidRDefault="007B39AA" w:rsidP="005408D5">
      <w:pPr>
        <w:autoSpaceDE w:val="0"/>
        <w:autoSpaceDN w:val="0"/>
        <w:adjustRightInd w:val="0"/>
        <w:spacing w:after="0" w:line="240" w:lineRule="auto"/>
        <w:rPr>
          <w:rFonts w:ascii="TimesNewRomanPSMT" w:hAnsi="TimesNewRomanPSMT" w:cs="TimesNewRomanPSMT"/>
          <w:sz w:val="20"/>
          <w:szCs w:val="20"/>
          <w:lang w:val="en-US"/>
        </w:rPr>
      </w:pPr>
      <w:r>
        <w:rPr>
          <w:rFonts w:ascii="TimesNewRomanPSMT" w:hAnsi="TimesNewRomanPSMT" w:cs="TimesNewRomanPSMT"/>
          <w:sz w:val="20"/>
          <w:szCs w:val="20"/>
          <w:lang w:val="en-US"/>
        </w:rPr>
        <w:t xml:space="preserve">2 </w:t>
      </w:r>
      <w:r w:rsidRPr="007B39AA">
        <w:rPr>
          <w:rFonts w:ascii="TimesNewRomanPSMT" w:hAnsi="TimesNewRomanPSMT" w:cs="TimesNewRomanPSMT"/>
          <w:sz w:val="20"/>
          <w:szCs w:val="20"/>
          <w:lang w:val="en-US"/>
        </w:rPr>
        <w:t>Stratified by prior trastuzumab (concurrent vs. sequential), nodal status (0-3 positive nodes vs. ≥4 positive nodes), and ER/PR status (positive vs. negative)</w:t>
      </w:r>
    </w:p>
    <w:p w14:paraId="477DE25A" w14:textId="775D6172" w:rsidR="005408D5" w:rsidRPr="005408D5" w:rsidRDefault="007B39AA" w:rsidP="005408D5">
      <w:pPr>
        <w:autoSpaceDE w:val="0"/>
        <w:autoSpaceDN w:val="0"/>
        <w:adjustRightInd w:val="0"/>
        <w:spacing w:after="0" w:line="240" w:lineRule="auto"/>
        <w:rPr>
          <w:rFonts w:ascii="TimesNewRomanPSMT" w:hAnsi="TimesNewRomanPSMT" w:cs="TimesNewRomanPSMT"/>
          <w:sz w:val="20"/>
          <w:szCs w:val="20"/>
          <w:lang w:val="en-US"/>
        </w:rPr>
      </w:pPr>
      <w:r>
        <w:rPr>
          <w:rFonts w:ascii="TimesNewRomanPSMT" w:hAnsi="TimesNewRomanPSMT" w:cs="TimesNewRomanPSMT"/>
          <w:sz w:val="20"/>
          <w:szCs w:val="20"/>
          <w:lang w:val="en-US"/>
        </w:rPr>
        <w:t>3</w:t>
      </w:r>
      <w:r w:rsidR="005408D5" w:rsidRPr="005408D5">
        <w:rPr>
          <w:rFonts w:ascii="TimesNewRomanPSMT" w:hAnsi="TimesNewRomanPSMT" w:cs="TimesNewRomanPSMT"/>
          <w:sz w:val="20"/>
          <w:szCs w:val="20"/>
          <w:lang w:val="en-US"/>
        </w:rPr>
        <w:t xml:space="preserve"> Stratified Cox proportional hazards model</w:t>
      </w:r>
    </w:p>
    <w:p w14:paraId="436184C4" w14:textId="4DCAB97F" w:rsidR="005408D5" w:rsidRPr="005408D5" w:rsidRDefault="007B39AA" w:rsidP="005408D5">
      <w:pPr>
        <w:autoSpaceDE w:val="0"/>
        <w:autoSpaceDN w:val="0"/>
        <w:adjustRightInd w:val="0"/>
        <w:spacing w:after="0" w:line="240" w:lineRule="auto"/>
        <w:rPr>
          <w:rFonts w:ascii="TimesNewRomanPSMT" w:hAnsi="TimesNewRomanPSMT" w:cs="TimesNewRomanPSMT"/>
          <w:sz w:val="20"/>
          <w:szCs w:val="20"/>
          <w:lang w:val="en-US"/>
        </w:rPr>
      </w:pPr>
      <w:r>
        <w:rPr>
          <w:rFonts w:ascii="TimesNewRomanPSMT" w:hAnsi="TimesNewRomanPSMT" w:cs="TimesNewRomanPSMT"/>
          <w:sz w:val="20"/>
          <w:szCs w:val="20"/>
          <w:lang w:val="en-US"/>
        </w:rPr>
        <w:t>4</w:t>
      </w:r>
      <w:r w:rsidR="005408D5" w:rsidRPr="005408D5">
        <w:rPr>
          <w:rFonts w:ascii="TimesNewRomanPSMT" w:hAnsi="TimesNewRomanPSMT" w:cs="TimesNewRomanPSMT"/>
          <w:sz w:val="20"/>
          <w:szCs w:val="20"/>
          <w:lang w:val="en-US"/>
        </w:rPr>
        <w:t xml:space="preserve"> Stratified 2-sided log-rank test for all endpoints, except for CNS recurrence for which Gray’s method was</w:t>
      </w:r>
      <w:r>
        <w:rPr>
          <w:rFonts w:ascii="TimesNewRomanPSMT" w:hAnsi="TimesNewRomanPSMT" w:cs="TimesNewRomanPSMT"/>
          <w:sz w:val="20"/>
          <w:szCs w:val="20"/>
          <w:lang w:val="en-US"/>
        </w:rPr>
        <w:t xml:space="preserve"> used.</w:t>
      </w:r>
    </w:p>
    <w:p w14:paraId="47F986FC" w14:textId="2C546875" w:rsidR="005408D5" w:rsidRDefault="008B475C" w:rsidP="003D6285">
      <w:pPr>
        <w:pStyle w:val="C-BodyText"/>
        <w:rPr>
          <w:b/>
          <w:smallCaps/>
        </w:rPr>
      </w:pPr>
      <w:bookmarkStart w:id="7" w:name="_Figure_1:_Kaplan-Meier"/>
      <w:bookmarkStart w:id="8" w:name="_Ref450573218"/>
      <w:bookmarkEnd w:id="7"/>
      <w:r w:rsidRPr="00CA750E">
        <w:t>F</w:t>
      </w:r>
      <w:r w:rsidR="00E53782" w:rsidRPr="00CA750E">
        <w:t>igure 1 shows the Kaplan-Meier plots for iDFS for the ITT population of study ExteNET (3004).</w:t>
      </w:r>
    </w:p>
    <w:p w14:paraId="3B80EF9F" w14:textId="528845D2" w:rsidR="00BD2AA2" w:rsidRDefault="00BC624B" w:rsidP="003B19DB">
      <w:pPr>
        <w:pStyle w:val="Heading2"/>
        <w:numPr>
          <w:ilvl w:val="0"/>
          <w:numId w:val="0"/>
        </w:numPr>
        <w:tabs>
          <w:tab w:val="left" w:pos="1418"/>
        </w:tabs>
        <w:spacing w:before="0" w:after="0"/>
        <w:rPr>
          <w:rFonts w:ascii="Times New Roman" w:hAnsi="Times New Roman" w:cs="Times New Roman"/>
          <w:lang w:val="en-GB"/>
        </w:rPr>
      </w:pPr>
      <w:r w:rsidRPr="00BC624B">
        <w:rPr>
          <w:rFonts w:ascii="Times New Roman" w:hAnsi="Times New Roman" w:cs="Times New Roman"/>
          <w:smallCaps w:val="0"/>
          <w:sz w:val="22"/>
          <w:lang w:val="en-US"/>
        </w:rPr>
        <w:lastRenderedPageBreak/>
        <w:t>Figure 1 Kaplan-Meier plots for iDFS for the ITT population of study ExteNET (3004)</w:t>
      </w:r>
      <w:r w:rsidR="00AF01FA" w:rsidRPr="00BC624B">
        <w:rPr>
          <w:rFonts w:ascii="Times New Roman" w:hAnsi="Times New Roman" w:cs="Times New Roman"/>
          <w:smallCaps w:val="0"/>
          <w:sz w:val="22"/>
          <w:lang w:val="en-US"/>
        </w:rPr>
        <w:br/>
      </w:r>
      <w:bookmarkEnd w:id="6"/>
      <w:bookmarkEnd w:id="8"/>
      <w:r w:rsidR="006F24D4" w:rsidRPr="003B19DB">
        <w:rPr>
          <w:rFonts w:ascii="Times New Roman" w:hAnsi="Times New Roman" w:cs="Times New Roman"/>
          <w:lang w:val="en-GB"/>
        </w:rPr>
        <w:br/>
      </w:r>
      <w:bookmarkStart w:id="9" w:name="_Figure_2:_Kaplan-Meier"/>
      <w:bookmarkStart w:id="10" w:name="_Ref433733272"/>
      <w:bookmarkStart w:id="11" w:name="_Toc393382137"/>
      <w:bookmarkStart w:id="12" w:name="_Ref450573224"/>
      <w:bookmarkEnd w:id="9"/>
      <w:r w:rsidR="004D691D">
        <w:rPr>
          <w:rFonts w:ascii="Times New Roman" w:hAnsi="Times New Roman" w:cs="Times New Roman"/>
          <w:noProof/>
          <w:lang w:eastAsia="en-AU"/>
        </w:rPr>
        <w:drawing>
          <wp:inline distT="0" distB="0" distL="0" distR="0" wp14:anchorId="50EB6753" wp14:editId="491C7EAD">
            <wp:extent cx="5731510" cy="343916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2yr_cenhash_2side_yrightjust_auslabel_update.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3439160"/>
                    </a:xfrm>
                    <a:prstGeom prst="rect">
                      <a:avLst/>
                    </a:prstGeom>
                  </pic:spPr>
                </pic:pic>
              </a:graphicData>
            </a:graphic>
          </wp:inline>
        </w:drawing>
      </w:r>
    </w:p>
    <w:p w14:paraId="2A260335" w14:textId="7CA70AAA" w:rsidR="004D691D" w:rsidRDefault="003C78CC" w:rsidP="003D6285">
      <w:pPr>
        <w:pStyle w:val="C-BodyText"/>
        <w:rPr>
          <w:b/>
          <w:smallCaps/>
        </w:rPr>
      </w:pPr>
      <w:r>
        <w:t xml:space="preserve">Figure 2 </w:t>
      </w:r>
      <w:r w:rsidRPr="00CA750E">
        <w:t xml:space="preserve">shows the </w:t>
      </w:r>
      <w:r>
        <w:t>Forrest Plot for iDFS by pre-specified patient subgroup</w:t>
      </w:r>
      <w:r w:rsidRPr="00CA750E">
        <w:t>.</w:t>
      </w:r>
      <w:bookmarkStart w:id="13" w:name="_Figure_3:_Kaplan-Meier"/>
      <w:bookmarkStart w:id="14" w:name="_Figure_4:_Disease-Free"/>
      <w:bookmarkStart w:id="15" w:name="_Ref450573447"/>
      <w:bookmarkStart w:id="16" w:name="_Ref432000039"/>
      <w:bookmarkEnd w:id="10"/>
      <w:bookmarkEnd w:id="11"/>
      <w:bookmarkEnd w:id="12"/>
      <w:bookmarkEnd w:id="13"/>
      <w:bookmarkEnd w:id="14"/>
    </w:p>
    <w:p w14:paraId="38726EA2" w14:textId="186E52EE" w:rsidR="00395FDF" w:rsidRPr="00054B8C" w:rsidRDefault="00395FDF" w:rsidP="00395FDF">
      <w:pPr>
        <w:rPr>
          <w:rFonts w:ascii="Times New Roman" w:hAnsi="Times New Roman" w:cs="Times New Roman"/>
          <w:b/>
          <w:lang w:val="en-GB"/>
        </w:rPr>
      </w:pPr>
      <w:r w:rsidRPr="00054B8C">
        <w:rPr>
          <w:rFonts w:ascii="Times New Roman" w:hAnsi="Times New Roman" w:cs="Times New Roman"/>
          <w:b/>
          <w:lang w:val="en-GB"/>
        </w:rPr>
        <w:t>Figure 2. Disease-Free Survival by Patient Subgroup</w:t>
      </w:r>
      <w:r w:rsidR="000742FB" w:rsidRPr="00054B8C">
        <w:rPr>
          <w:rFonts w:ascii="Times New Roman" w:hAnsi="Times New Roman" w:cs="Times New Roman"/>
          <w:b/>
          <w:vertAlign w:val="superscript"/>
          <w:lang w:val="en-GB"/>
        </w:rPr>
        <w:t>a</w:t>
      </w:r>
    </w:p>
    <w:bookmarkEnd w:id="15"/>
    <w:p w14:paraId="7F32197D" w14:textId="5DEA9FE8" w:rsidR="006F24D4" w:rsidRPr="003B19DB" w:rsidRDefault="00016596" w:rsidP="003B19DB">
      <w:pPr>
        <w:pStyle w:val="Heading2"/>
        <w:numPr>
          <w:ilvl w:val="0"/>
          <w:numId w:val="0"/>
        </w:numPr>
        <w:tabs>
          <w:tab w:val="left" w:pos="1418"/>
        </w:tabs>
        <w:spacing w:before="0" w:after="0"/>
        <w:rPr>
          <w:rFonts w:ascii="Times New Roman" w:eastAsiaTheme="majorEastAsia" w:hAnsi="Times New Roman" w:cs="Times New Roman"/>
          <w:bCs/>
          <w:smallCaps w:val="0"/>
          <w:sz w:val="22"/>
        </w:rPr>
      </w:pPr>
      <w:r>
        <w:rPr>
          <w:rFonts w:ascii="Times New Roman" w:eastAsiaTheme="majorEastAsia" w:hAnsi="Times New Roman" w:cs="Times New Roman"/>
          <w:bCs/>
          <w:smallCaps w:val="0"/>
          <w:noProof/>
          <w:sz w:val="22"/>
          <w:lang w:eastAsia="en-AU"/>
        </w:rPr>
        <w:drawing>
          <wp:inline distT="0" distB="0" distL="0" distR="0" wp14:anchorId="0D056F5C" wp14:editId="3E58DFBB">
            <wp:extent cx="5731510" cy="382079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_AUS.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1E903EE4" w14:textId="77777777" w:rsidR="00E411AF" w:rsidRDefault="00E411AF" w:rsidP="00DC798B">
      <w:pPr>
        <w:pStyle w:val="CommentText"/>
        <w:rPr>
          <w:rFonts w:ascii="Times New Roman" w:hAnsi="Times New Roman" w:cs="Times New Roman"/>
          <w:sz w:val="22"/>
          <w:szCs w:val="22"/>
        </w:rPr>
      </w:pPr>
      <w:bookmarkStart w:id="17" w:name="_Figure_5:_Kaplan-Meier"/>
      <w:bookmarkStart w:id="18" w:name="_Figure_6:_Kaplan-Meier"/>
      <w:bookmarkStart w:id="19" w:name="_Figure_7:_Kaplan-Meier"/>
      <w:bookmarkStart w:id="20" w:name="_Figure_8:_Kaplan-Meier"/>
      <w:bookmarkStart w:id="21" w:name="_Figure_9:_Kaplan-Meier"/>
      <w:bookmarkEnd w:id="16"/>
      <w:bookmarkEnd w:id="17"/>
      <w:bookmarkEnd w:id="18"/>
      <w:bookmarkEnd w:id="19"/>
      <w:bookmarkEnd w:id="20"/>
      <w:bookmarkEnd w:id="21"/>
    </w:p>
    <w:p w14:paraId="4729E8B1" w14:textId="392132B9" w:rsidR="00B76A9B" w:rsidRDefault="00B76A9B" w:rsidP="003D6285">
      <w:pPr>
        <w:pStyle w:val="C-BodyText"/>
      </w:pPr>
      <w:r w:rsidRPr="00DC798B">
        <w:lastRenderedPageBreak/>
        <w:t xml:space="preserve">Approximately 75% of patients were re-consented for extended follow-up beyond 24 months.  This exploratory analysis </w:t>
      </w:r>
      <w:r w:rsidR="00341A7B">
        <w:t xml:space="preserve">confirms </w:t>
      </w:r>
      <w:r w:rsidRPr="00DC798B">
        <w:t>that the iDFS results at 5 years are</w:t>
      </w:r>
      <w:r>
        <w:t xml:space="preserve"> durable and</w:t>
      </w:r>
      <w:r w:rsidRPr="00DC798B">
        <w:t xml:space="preserve"> consistent with the 2-year iDFS results.</w:t>
      </w:r>
    </w:p>
    <w:p w14:paraId="10EDDB6C" w14:textId="0371FE00" w:rsidR="005408D5" w:rsidRDefault="00E53782" w:rsidP="003D6285">
      <w:pPr>
        <w:pStyle w:val="C-BodyText"/>
      </w:pPr>
      <w:r w:rsidRPr="0032537E">
        <w:t>Figure 3 shows a descriptive analysis of the 5-year iDFS that demonstrated the durability of the treatment effect on efficacy. The Hazard Ratio is 0.73 (95% CI 0.57, 0.92) for the ITT population.</w:t>
      </w:r>
    </w:p>
    <w:p w14:paraId="07A978B5" w14:textId="77777777" w:rsidR="00A14BD5" w:rsidRDefault="005408D5" w:rsidP="00A14BD5">
      <w:pPr>
        <w:pStyle w:val="CommentText"/>
        <w:rPr>
          <w:rFonts w:ascii="Times New Roman" w:hAnsi="Times New Roman" w:cs="Times New Roman"/>
          <w:b/>
          <w:bCs/>
          <w:sz w:val="21"/>
          <w:szCs w:val="21"/>
          <w:lang w:val="en-US"/>
        </w:rPr>
      </w:pPr>
      <w:r>
        <w:rPr>
          <w:rFonts w:ascii="Times New Roman" w:hAnsi="Times New Roman" w:cs="Times New Roman"/>
          <w:b/>
          <w:bCs/>
          <w:sz w:val="21"/>
          <w:szCs w:val="21"/>
          <w:lang w:val="en-US"/>
        </w:rPr>
        <w:t>Figure 3.  Kaplan-Meier plot of 5-year disease-free survival – ITT population</w:t>
      </w:r>
    </w:p>
    <w:p w14:paraId="6A519316" w14:textId="76549AEB" w:rsidR="00DC798B" w:rsidRPr="00054B8C" w:rsidRDefault="000F751C">
      <w:pPr>
        <w:pStyle w:val="CommentText"/>
        <w:rPr>
          <w:rFonts w:ascii="Times New Roman" w:hAnsi="Times New Roman" w:cs="Times New Roman"/>
          <w:b/>
          <w:bCs/>
          <w:sz w:val="21"/>
          <w:szCs w:val="21"/>
          <w:lang w:val="en-US"/>
        </w:rPr>
      </w:pPr>
      <w:r>
        <w:rPr>
          <w:rFonts w:ascii="Times New Roman" w:hAnsi="Times New Roman" w:cs="Times New Roman"/>
          <w:b/>
          <w:smallCaps/>
          <w:noProof/>
          <w:sz w:val="24"/>
          <w:szCs w:val="24"/>
          <w:lang w:eastAsia="en-AU"/>
        </w:rPr>
        <w:drawing>
          <wp:inline distT="0" distB="0" distL="0" distR="0" wp14:anchorId="26C81FFC" wp14:editId="68D83368">
            <wp:extent cx="5731510" cy="343916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5yr_cenhash_2side_yrightjust_auslabel.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3439160"/>
                    </a:xfrm>
                    <a:prstGeom prst="rect">
                      <a:avLst/>
                    </a:prstGeom>
                  </pic:spPr>
                </pic:pic>
              </a:graphicData>
            </a:graphic>
          </wp:inline>
        </w:drawing>
      </w:r>
      <w:r w:rsidR="00F70D95" w:rsidRPr="0032537E">
        <w:rPr>
          <w:rFonts w:ascii="Times New Roman" w:hAnsi="Times New Roman" w:cs="Times New Roman"/>
          <w:b/>
          <w:smallCaps/>
          <w:sz w:val="24"/>
          <w:szCs w:val="24"/>
          <w:lang w:val="en-GB"/>
        </w:rPr>
        <w:br/>
      </w:r>
    </w:p>
    <w:p w14:paraId="1CFC0FDA" w14:textId="77777777" w:rsidR="003D6285" w:rsidRPr="003D6285" w:rsidRDefault="001A3992" w:rsidP="00774CA7">
      <w:pPr>
        <w:pStyle w:val="Heading2"/>
        <w:ind w:left="0" w:hanging="426"/>
        <w:rPr>
          <w:rFonts w:ascii="Times New Roman" w:hAnsi="Times New Roman" w:cs="Times New Roman"/>
          <w:b w:val="0"/>
          <w:i/>
          <w:smallCaps w:val="0"/>
          <w:sz w:val="22"/>
          <w:lang w:val="en-GB"/>
        </w:rPr>
      </w:pPr>
      <w:r w:rsidRPr="00774CA7">
        <w:rPr>
          <w:rFonts w:ascii="Times New Roman" w:hAnsi="Times New Roman" w:cs="Times New Roman"/>
          <w:b w:val="0"/>
          <w:smallCaps w:val="0"/>
          <w:sz w:val="26"/>
          <w:szCs w:val="26"/>
        </w:rPr>
        <w:t>Pharmacokinetic properties</w:t>
      </w:r>
    </w:p>
    <w:p w14:paraId="4392DD68" w14:textId="77777777" w:rsidR="003D6285" w:rsidRDefault="00D20CE7" w:rsidP="003D6285">
      <w:pPr>
        <w:pStyle w:val="C-BodyText"/>
      </w:pPr>
      <w:r w:rsidRPr="00774CA7">
        <w:t>The mass balance after administration of a single oral dose of 200 mg of neratinib was studied in six healthy subjects.</w:t>
      </w:r>
    </w:p>
    <w:p w14:paraId="1B613713" w14:textId="77777777" w:rsidR="003D6285" w:rsidRDefault="001A3992" w:rsidP="003D6285">
      <w:pPr>
        <w:pStyle w:val="Heading4"/>
      </w:pPr>
      <w:r w:rsidRPr="00774CA7">
        <w:t>Absorption</w:t>
      </w:r>
    </w:p>
    <w:p w14:paraId="0E5E87E3" w14:textId="77777777" w:rsidR="003D6285" w:rsidRDefault="00D20CE7" w:rsidP="003D6285">
      <w:pPr>
        <w:pStyle w:val="C-BodyText"/>
      </w:pPr>
      <w:r w:rsidRPr="00774CA7">
        <w:t>Following oral administration of 240 mg neratinib, absorption was slow and peak plasma concentrations of neratinib occurred around 7 hours after administration. A single dose of 240 mg neratinib taken with food increased C</w:t>
      </w:r>
      <w:r w:rsidRPr="00774CA7">
        <w:rPr>
          <w:vertAlign w:val="subscript"/>
        </w:rPr>
        <w:t>max</w:t>
      </w:r>
      <w:r w:rsidRPr="00774CA7">
        <w:t xml:space="preserve"> and AUC by approximately 17% and 23%, respectively, compared with administration in the fasting state. A single oral dose of 240 mg neratinib taken with a meal high in fat increased both C</w:t>
      </w:r>
      <w:r w:rsidRPr="00774CA7">
        <w:rPr>
          <w:vertAlign w:val="subscript"/>
        </w:rPr>
        <w:t>max</w:t>
      </w:r>
      <w:r w:rsidRPr="00774CA7">
        <w:t xml:space="preserve"> and AUC by approximately 100%.</w:t>
      </w:r>
    </w:p>
    <w:p w14:paraId="6B8CD74E" w14:textId="77777777" w:rsidR="003D6285" w:rsidRDefault="001A3992" w:rsidP="003D6285">
      <w:pPr>
        <w:pStyle w:val="Heading4"/>
      </w:pPr>
      <w:r w:rsidRPr="00774CA7">
        <w:t>Distribution</w:t>
      </w:r>
    </w:p>
    <w:p w14:paraId="2B877E32" w14:textId="77777777" w:rsidR="003D6285" w:rsidRDefault="007F7495" w:rsidP="003D6285">
      <w:pPr>
        <w:pStyle w:val="C-BodyText"/>
      </w:pPr>
      <w:r w:rsidRPr="00774CA7">
        <w:t xml:space="preserve">Binding of neratinib to human plasma proteins, including covalent binding to human serum albumin (HSA), was greater than 98% and independent of concentration. Neratinib bound predominantly to HSA and human alpha-1 acid glycoprotein (AAG). </w:t>
      </w:r>
      <w:r w:rsidRPr="00774CA7">
        <w:rPr>
          <w:i/>
        </w:rPr>
        <w:t>In vitro</w:t>
      </w:r>
      <w:r w:rsidR="00D75B85">
        <w:rPr>
          <w:i/>
        </w:rPr>
        <w:t>, neratinib inhibited P-gp and BCRP at concentrations similar to the expected intestinal concentrations of neratinib</w:t>
      </w:r>
      <w:r w:rsidR="00983281">
        <w:rPr>
          <w:i/>
        </w:rPr>
        <w:t xml:space="preserve">. </w:t>
      </w:r>
      <w:r w:rsidRPr="00774CA7">
        <w:rPr>
          <w:i/>
        </w:rPr>
        <w:t xml:space="preserve"> </w:t>
      </w:r>
      <w:r w:rsidRPr="00774CA7">
        <w:t xml:space="preserve">Neratinib produced no </w:t>
      </w:r>
      <w:r w:rsidR="00983281">
        <w:t>clinically-</w:t>
      </w:r>
      <w:r w:rsidR="00DC493A">
        <w:t xml:space="preserve">relevant </w:t>
      </w:r>
      <w:r w:rsidRPr="00774CA7">
        <w:t xml:space="preserve">inhibitory activity towards the transporters, </w:t>
      </w:r>
      <w:r w:rsidR="006F29AE">
        <w:t xml:space="preserve">BSEP, </w:t>
      </w:r>
      <w:r w:rsidRPr="00774CA7">
        <w:t>OATP1B1*1a, OATP1B3, OAT1, OAT3</w:t>
      </w:r>
      <w:r w:rsidR="006F29AE">
        <w:t>, OCT1</w:t>
      </w:r>
      <w:r w:rsidRPr="00774CA7">
        <w:t xml:space="preserve"> and OCT2</w:t>
      </w:r>
      <w:r w:rsidR="006F29AE">
        <w:t>.</w:t>
      </w:r>
    </w:p>
    <w:p w14:paraId="57428C98" w14:textId="162283AB" w:rsidR="003D6285" w:rsidRDefault="001A3992" w:rsidP="003D6285">
      <w:pPr>
        <w:pStyle w:val="Heading4"/>
      </w:pPr>
      <w:r w:rsidRPr="00774CA7">
        <w:lastRenderedPageBreak/>
        <w:t>Metabolism</w:t>
      </w:r>
    </w:p>
    <w:p w14:paraId="4D66990E" w14:textId="77777777" w:rsidR="003D6285" w:rsidRDefault="00FE4536" w:rsidP="003D6285">
      <w:pPr>
        <w:pStyle w:val="C-BodyText"/>
      </w:pPr>
      <w:r w:rsidRPr="00774CA7">
        <w:t>Neratinib is metabolised primarily in liver microsomes by CYP3A4 and to a lesser extent by flavin-containing monooxygenase (FMO).</w:t>
      </w:r>
    </w:p>
    <w:p w14:paraId="775530ED" w14:textId="77777777" w:rsidR="003D6285" w:rsidRDefault="00FE4536" w:rsidP="003D6285">
      <w:pPr>
        <w:pStyle w:val="C-BodyText"/>
      </w:pPr>
      <w:r w:rsidRPr="00774CA7">
        <w:t xml:space="preserve">Metabolite profiling in human plasma indicates that after oral administration, neratinib undergoes oxidative metabolism through CYP3A4. Circulating metabolites include neratinib pyridine N-oxide (M3), N-desmethyl neratinib (M6), neratinib dimethylamine N-oxide (M7) and traces of hydroxyl neratinib N-oxide and neratinib bis-N-oxide (M11). Neratinib represents the most prominent component in plasma and systemic exposure to the metabolites (M3, M6, M7 and M11) after oral administration of neratinib is between 10% and 33% lower than parent in healthy subjects. The neratinib metabolites M3, M6, M7 and M11 were shown to have similar </w:t>
      </w:r>
      <w:r w:rsidR="00FE2523">
        <w:t xml:space="preserve">or lower </w:t>
      </w:r>
      <w:r w:rsidRPr="00774CA7">
        <w:t xml:space="preserve">potencies to neratinib in either </w:t>
      </w:r>
      <w:r w:rsidRPr="00774CA7">
        <w:rPr>
          <w:i/>
        </w:rPr>
        <w:t>in vitro</w:t>
      </w:r>
      <w:r w:rsidRPr="00774CA7">
        <w:t xml:space="preserve"> enzyme (binding assays) or cell based assays against cells expressing ERBB1, ERBB2 (HER2) and ERBB4.</w:t>
      </w:r>
    </w:p>
    <w:p w14:paraId="7345FC07" w14:textId="77777777" w:rsidR="003D6285" w:rsidRDefault="00B80398" w:rsidP="003D6285">
      <w:pPr>
        <w:pStyle w:val="Heading4"/>
      </w:pPr>
      <w:r>
        <w:t>Excretion</w:t>
      </w:r>
    </w:p>
    <w:p w14:paraId="40B3E904" w14:textId="77777777" w:rsidR="003D6285" w:rsidRDefault="00FE4536" w:rsidP="003D6285">
      <w:pPr>
        <w:pStyle w:val="C-BodyText"/>
      </w:pPr>
      <w:r w:rsidRPr="008B494A">
        <w:t>Following single doses of neratinib, the mean apparent plasma half-life of nera</w:t>
      </w:r>
      <w:r w:rsidR="003D6285">
        <w:t>tinib was 17 hours in patients.</w:t>
      </w:r>
    </w:p>
    <w:p w14:paraId="7E2104A0" w14:textId="77777777" w:rsidR="003D6285" w:rsidRDefault="00FE4536" w:rsidP="003D6285">
      <w:pPr>
        <w:pStyle w:val="C-BodyText"/>
      </w:pPr>
      <w:r w:rsidRPr="008B494A">
        <w:t xml:space="preserve">Following the administration of a single radiolabelled dose of 200 mg neratinib oral solution, 97.1% and 1.1% of the administered dose was recovered in the faeces and urine, respectively. The excretion was rapid and complete, with the majority of the radioactivity (61%) recovered within 96 hours and 98% recovered after 10 days. It is not known if elimination is as unchanged </w:t>
      </w:r>
      <w:r w:rsidR="009A4495" w:rsidRPr="008B494A">
        <w:t>medicine</w:t>
      </w:r>
      <w:r w:rsidR="003D6285">
        <w:t xml:space="preserve"> or metabolites.</w:t>
      </w:r>
    </w:p>
    <w:p w14:paraId="61DE7399" w14:textId="698B9416" w:rsidR="003D6285" w:rsidRDefault="00AF01FA" w:rsidP="003D6285">
      <w:pPr>
        <w:pStyle w:val="Heading4"/>
      </w:pPr>
      <w:r w:rsidRPr="008B494A">
        <w:t>Pharmacokinetic/pharmacodynamic relationship(s)</w:t>
      </w:r>
    </w:p>
    <w:p w14:paraId="42709ABD" w14:textId="77777777" w:rsidR="003D6285" w:rsidRDefault="00AF01FA" w:rsidP="003D6285">
      <w:pPr>
        <w:pStyle w:val="Heading3"/>
      </w:pPr>
      <w:r w:rsidRPr="008B494A">
        <w:t>Renal impairment</w:t>
      </w:r>
    </w:p>
    <w:p w14:paraId="0155F5DF" w14:textId="77777777" w:rsidR="003D6285" w:rsidRDefault="00AF01FA" w:rsidP="003D6285">
      <w:pPr>
        <w:pStyle w:val="C-BodyText"/>
      </w:pPr>
      <w:r w:rsidRPr="008B494A">
        <w:t>Pharmacokinetic studies in patients with renal impairment or undergoing dialysis have not been carried out. Population pharmacokinetic modelling revealed that creatinine clearance did not explain the variability between patients, hence, no dose modifications are recommended for patients with mild to moderate renal impairment.</w:t>
      </w:r>
    </w:p>
    <w:p w14:paraId="0E204F1A" w14:textId="77777777" w:rsidR="003D6285" w:rsidRDefault="00AF01FA" w:rsidP="003D6285">
      <w:pPr>
        <w:pStyle w:val="Heading3"/>
      </w:pPr>
      <w:r w:rsidRPr="008B494A">
        <w:t>Hepatic impairment</w:t>
      </w:r>
    </w:p>
    <w:p w14:paraId="2C146C79" w14:textId="670846AE" w:rsidR="00FE4536" w:rsidRPr="003D6285" w:rsidRDefault="00AF01FA" w:rsidP="003D6285">
      <w:pPr>
        <w:pStyle w:val="C-BodyText"/>
        <w:rPr>
          <w:u w:val="single"/>
        </w:rPr>
      </w:pPr>
      <w:r w:rsidRPr="008B494A">
        <w:t>Neratinib is extensively metabolised in the liver. In subjects with severe pre-existing hepatic impairment (Child Pugh Class C) without cancer, the clearance of neratinib was decreased by 36% and exposure to neratinib increased by about 3-fold as compared to healthy volunteers.</w:t>
      </w:r>
    </w:p>
    <w:p w14:paraId="68193EE0" w14:textId="77777777" w:rsidR="003D6285" w:rsidRDefault="006D12B9" w:rsidP="006D12B9">
      <w:pPr>
        <w:pStyle w:val="Heading2"/>
        <w:numPr>
          <w:ilvl w:val="0"/>
          <w:numId w:val="0"/>
        </w:numPr>
        <w:ind w:hanging="426"/>
        <w:rPr>
          <w:rFonts w:ascii="Times New Roman" w:eastAsiaTheme="majorEastAsia" w:hAnsi="Times New Roman" w:cs="Times New Roman"/>
          <w:b w:val="0"/>
          <w:bCs/>
          <w:smallCaps w:val="0"/>
          <w:sz w:val="26"/>
          <w:szCs w:val="26"/>
        </w:rPr>
      </w:pPr>
      <w:r>
        <w:rPr>
          <w:rFonts w:ascii="Times New Roman" w:eastAsiaTheme="majorEastAsia" w:hAnsi="Times New Roman" w:cs="Times New Roman"/>
          <w:b w:val="0"/>
          <w:bCs/>
          <w:smallCaps w:val="0"/>
          <w:sz w:val="26"/>
          <w:szCs w:val="26"/>
        </w:rPr>
        <w:t>5.3</w:t>
      </w:r>
      <w:r>
        <w:rPr>
          <w:rFonts w:ascii="Times New Roman" w:eastAsiaTheme="majorEastAsia" w:hAnsi="Times New Roman" w:cs="Times New Roman"/>
          <w:b w:val="0"/>
          <w:bCs/>
          <w:smallCaps w:val="0"/>
          <w:sz w:val="26"/>
          <w:szCs w:val="26"/>
        </w:rPr>
        <w:tab/>
      </w:r>
      <w:r w:rsidR="001A3992" w:rsidRPr="0005319A">
        <w:rPr>
          <w:rFonts w:ascii="Times New Roman" w:eastAsiaTheme="majorEastAsia" w:hAnsi="Times New Roman" w:cs="Times New Roman"/>
          <w:b w:val="0"/>
          <w:bCs/>
          <w:smallCaps w:val="0"/>
          <w:sz w:val="26"/>
          <w:szCs w:val="26"/>
        </w:rPr>
        <w:t>Preclinical safety data</w:t>
      </w:r>
    </w:p>
    <w:p w14:paraId="213BA1DD" w14:textId="77777777" w:rsidR="003D6285" w:rsidRDefault="00FE4536" w:rsidP="003D6285">
      <w:pPr>
        <w:pStyle w:val="C-BodyText"/>
        <w:rPr>
          <w:rFonts w:eastAsiaTheme="majorEastAsia"/>
        </w:rPr>
      </w:pPr>
      <w:r w:rsidRPr="0005319A">
        <w:rPr>
          <w:rFonts w:eastAsiaTheme="majorEastAsia"/>
        </w:rPr>
        <w:t xml:space="preserve">Adverse reactions not observed in clinical </w:t>
      </w:r>
      <w:r w:rsidR="008E1D0C" w:rsidRPr="0005319A">
        <w:rPr>
          <w:rFonts w:eastAsiaTheme="majorEastAsia"/>
        </w:rPr>
        <w:t>studies but</w:t>
      </w:r>
      <w:r w:rsidRPr="0005319A">
        <w:rPr>
          <w:rFonts w:eastAsiaTheme="majorEastAsia"/>
        </w:rPr>
        <w:t xml:space="preserve"> seen in animals at exposure levels </w:t>
      </w:r>
      <w:r w:rsidR="008E1D0C" w:rsidRPr="0005319A">
        <w:rPr>
          <w:rFonts w:eastAsiaTheme="majorEastAsia"/>
        </w:rPr>
        <w:t>like</w:t>
      </w:r>
      <w:r w:rsidRPr="0005319A">
        <w:rPr>
          <w:rFonts w:eastAsiaTheme="majorEastAsia"/>
        </w:rPr>
        <w:t xml:space="preserve"> clinical exposure levels and with possible relevance to clinical use were as follows:</w:t>
      </w:r>
    </w:p>
    <w:p w14:paraId="09C36539" w14:textId="77777777" w:rsidR="003D6285" w:rsidRDefault="002233DC" w:rsidP="003D6285">
      <w:pPr>
        <w:pStyle w:val="Heading4"/>
      </w:pPr>
      <w:r w:rsidRPr="00BC557E">
        <w:t>Genotoxicity</w:t>
      </w:r>
    </w:p>
    <w:p w14:paraId="15962F9F" w14:textId="1541BE15" w:rsidR="00846A72" w:rsidRPr="00BC557E" w:rsidRDefault="00846A72" w:rsidP="003D6285">
      <w:pPr>
        <w:pStyle w:val="C-BodyText"/>
        <w:rPr>
          <w:rFonts w:eastAsiaTheme="majorEastAsia"/>
          <w:b/>
          <w:smallCaps/>
        </w:rPr>
      </w:pPr>
      <w:r w:rsidRPr="00BC557E">
        <w:rPr>
          <w:rFonts w:eastAsiaTheme="majorEastAsia"/>
        </w:rPr>
        <w:t>NERLYNX was neither clastogenic nor mutagenic in the standard battery of genotoxicity studies.</w:t>
      </w:r>
    </w:p>
    <w:p w14:paraId="7FC578A7" w14:textId="789CAAD7" w:rsidR="00846A72" w:rsidRPr="00F91FF3" w:rsidRDefault="00846A72" w:rsidP="00F91FF3">
      <w:pPr>
        <w:rPr>
          <w:rFonts w:ascii="Times New Roman" w:hAnsi="Times New Roman" w:cs="Times New Roman"/>
        </w:rPr>
      </w:pPr>
      <w:r w:rsidRPr="00BC557E">
        <w:rPr>
          <w:rFonts w:ascii="Times New Roman" w:eastAsiaTheme="majorEastAsia" w:hAnsi="Times New Roman" w:cs="Times New Roman"/>
          <w:bCs/>
        </w:rPr>
        <w:t xml:space="preserve">Neratinib metabolites M3, M6, M7 and M11 are negative in the standard battery of </w:t>
      </w:r>
      <w:r w:rsidRPr="00BC557E">
        <w:rPr>
          <w:rFonts w:ascii="Times New Roman" w:eastAsiaTheme="majorEastAsia" w:hAnsi="Times New Roman" w:cs="Times New Roman"/>
          <w:bCs/>
          <w:i/>
        </w:rPr>
        <w:t>in vitro</w:t>
      </w:r>
      <w:r w:rsidRPr="00BC557E">
        <w:rPr>
          <w:rFonts w:ascii="Times New Roman" w:eastAsiaTheme="majorEastAsia" w:hAnsi="Times New Roman" w:cs="Times New Roman"/>
          <w:bCs/>
        </w:rPr>
        <w:t xml:space="preserve"> genotoxicity studies.</w:t>
      </w:r>
    </w:p>
    <w:p w14:paraId="38207787" w14:textId="77777777" w:rsidR="003D6285" w:rsidRDefault="00872145" w:rsidP="003D6285">
      <w:pPr>
        <w:pStyle w:val="Heading4"/>
        <w:rPr>
          <w:b/>
          <w:smallCaps/>
        </w:rPr>
      </w:pPr>
      <w:r w:rsidRPr="0005319A">
        <w:lastRenderedPageBreak/>
        <w:t>Carcinogen</w:t>
      </w:r>
      <w:r w:rsidR="00EC0C53">
        <w:t>icity</w:t>
      </w:r>
    </w:p>
    <w:p w14:paraId="77DA8CE1" w14:textId="46BB6143" w:rsidR="009954CD" w:rsidRPr="009954CD" w:rsidRDefault="0077790E" w:rsidP="003D6285">
      <w:pPr>
        <w:pStyle w:val="C-BodyText"/>
      </w:pPr>
      <w:r w:rsidRPr="00383F91">
        <w:t>Neratinib was not carcinogenic in rats up to 10 mg/kg/day (18-30 X the clinical AUC) administered by oral route for 24 months</w:t>
      </w:r>
      <w:r w:rsidR="008D6D01" w:rsidRPr="00383F91">
        <w:t xml:space="preserve">. Neratinib did not show any carcinogenic potential in Tg.rasH2 transgenic mice when administered at oral doses up to </w:t>
      </w:r>
      <w:r w:rsidR="00BB2A92" w:rsidRPr="00383F91">
        <w:t xml:space="preserve">≤ 50 mg/kg/day in males and </w:t>
      </w:r>
      <w:r w:rsidR="00A00FAC" w:rsidRPr="00383F91">
        <w:t>≤125 mg/kg/day in females, resulting in exposures 9-35 X the clinical AUC.</w:t>
      </w:r>
    </w:p>
    <w:p w14:paraId="582A5135" w14:textId="77777777" w:rsidR="001A3992" w:rsidRPr="00BC7299" w:rsidRDefault="001A3992" w:rsidP="001C4317">
      <w:pPr>
        <w:pStyle w:val="Heading1"/>
        <w:spacing w:before="0" w:line="240" w:lineRule="auto"/>
        <w:ind w:left="0" w:hanging="425"/>
        <w:rPr>
          <w:rFonts w:ascii="Times New Roman" w:hAnsi="Times New Roman" w:cs="Times New Roman"/>
          <w:b w:val="0"/>
          <w:lang w:val="en-US"/>
        </w:rPr>
      </w:pPr>
      <w:r w:rsidRPr="00BC7299">
        <w:rPr>
          <w:rFonts w:ascii="Times New Roman" w:hAnsi="Times New Roman" w:cs="Times New Roman"/>
          <w:b w:val="0"/>
          <w:lang w:val="en-US"/>
        </w:rPr>
        <w:t>Pharmaceutical particulars</w:t>
      </w:r>
    </w:p>
    <w:p w14:paraId="5022C367" w14:textId="77777777" w:rsidR="003D6285" w:rsidRPr="003D6285" w:rsidRDefault="003D6285" w:rsidP="009A4D32">
      <w:pPr>
        <w:pStyle w:val="Heading2"/>
        <w:tabs>
          <w:tab w:val="left" w:pos="0"/>
        </w:tabs>
        <w:spacing w:line="240" w:lineRule="auto"/>
        <w:ind w:left="0" w:hanging="425"/>
        <w:rPr>
          <w:rFonts w:ascii="Times New Roman" w:hAnsi="Times New Roman" w:cs="Times New Roman"/>
          <w:b w:val="0"/>
          <w:bCs/>
          <w:smallCaps w:val="0"/>
          <w:sz w:val="22"/>
        </w:rPr>
      </w:pPr>
      <w:r>
        <w:rPr>
          <w:rFonts w:ascii="Times New Roman" w:hAnsi="Times New Roman" w:cs="Times New Roman"/>
          <w:b w:val="0"/>
          <w:bCs/>
          <w:smallCaps w:val="0"/>
          <w:sz w:val="26"/>
          <w:szCs w:val="26"/>
        </w:rPr>
        <w:t>List of excipients</w:t>
      </w:r>
    </w:p>
    <w:p w14:paraId="037B07BD" w14:textId="77777777" w:rsidR="003D6285" w:rsidRDefault="0005319A" w:rsidP="003D6285">
      <w:pPr>
        <w:pStyle w:val="Heading4"/>
        <w:rPr>
          <w:b/>
          <w:smallCaps/>
        </w:rPr>
      </w:pPr>
      <w:r w:rsidRPr="00F576EA">
        <w:t>Tablet core</w:t>
      </w:r>
    </w:p>
    <w:p w14:paraId="2BD2063B" w14:textId="31B74AF2" w:rsidR="009A4D32" w:rsidRDefault="00FF3EB5" w:rsidP="003D6285">
      <w:pPr>
        <w:pStyle w:val="C-BodyText"/>
        <w:rPr>
          <w:b/>
          <w:smallCaps/>
        </w:rPr>
      </w:pPr>
      <w:r w:rsidRPr="00F576EA">
        <w:t>Mannitol</w:t>
      </w:r>
      <w:r w:rsidR="00FD46C4">
        <w:t xml:space="preserve">, </w:t>
      </w:r>
      <w:r w:rsidR="0005319A" w:rsidRPr="00F576EA">
        <w:t>Microcrystalline cellulose</w:t>
      </w:r>
      <w:r w:rsidR="00FD46C4">
        <w:t xml:space="preserve">, </w:t>
      </w:r>
      <w:r w:rsidR="0005319A" w:rsidRPr="00F576EA">
        <w:t>Crospovidone</w:t>
      </w:r>
      <w:r w:rsidR="00FD46C4">
        <w:t xml:space="preserve">, </w:t>
      </w:r>
      <w:r w:rsidR="0005319A" w:rsidRPr="00F576EA">
        <w:t>Povidone</w:t>
      </w:r>
      <w:r w:rsidR="00FD46C4">
        <w:t xml:space="preserve">, </w:t>
      </w:r>
      <w:r w:rsidR="0052726E" w:rsidRPr="00F576EA">
        <w:t>C</w:t>
      </w:r>
      <w:r w:rsidR="0005319A" w:rsidRPr="00F576EA">
        <w:t>olloidal anhydrous</w:t>
      </w:r>
      <w:r w:rsidR="0052726E" w:rsidRPr="00F576EA">
        <w:t xml:space="preserve"> silica</w:t>
      </w:r>
      <w:r w:rsidR="00FD46C4">
        <w:t xml:space="preserve">, </w:t>
      </w:r>
      <w:r w:rsidR="0005319A" w:rsidRPr="00F576EA">
        <w:t>Magnesium stearate</w:t>
      </w:r>
    </w:p>
    <w:p w14:paraId="506F94FC" w14:textId="77777777" w:rsidR="003D6285" w:rsidRDefault="009A4D32" w:rsidP="009A4D32">
      <w:pPr>
        <w:pStyle w:val="Heading2"/>
        <w:numPr>
          <w:ilvl w:val="0"/>
          <w:numId w:val="0"/>
        </w:numPr>
        <w:tabs>
          <w:tab w:val="left" w:pos="0"/>
        </w:tabs>
        <w:spacing w:line="240" w:lineRule="auto"/>
        <w:rPr>
          <w:rFonts w:ascii="Times New Roman" w:hAnsi="Times New Roman" w:cs="Times New Roman"/>
          <w:b w:val="0"/>
          <w:bCs/>
          <w:smallCaps w:val="0"/>
          <w:sz w:val="22"/>
          <w:u w:val="single"/>
        </w:rPr>
      </w:pPr>
      <w:r w:rsidRPr="00F576EA">
        <w:rPr>
          <w:rFonts w:ascii="Times New Roman" w:hAnsi="Times New Roman" w:cs="Times New Roman"/>
          <w:b w:val="0"/>
          <w:bCs/>
          <w:smallCaps w:val="0"/>
          <w:sz w:val="22"/>
          <w:u w:val="single"/>
        </w:rPr>
        <w:t>Tabl</w:t>
      </w:r>
      <w:r>
        <w:rPr>
          <w:rFonts w:ascii="Times New Roman" w:hAnsi="Times New Roman" w:cs="Times New Roman"/>
          <w:b w:val="0"/>
          <w:bCs/>
          <w:smallCaps w:val="0"/>
          <w:sz w:val="22"/>
          <w:u w:val="single"/>
        </w:rPr>
        <w:t>e</w:t>
      </w:r>
      <w:r w:rsidRPr="003D6285">
        <w:rPr>
          <w:rStyle w:val="Heading4Char"/>
        </w:rPr>
        <w:t>t</w:t>
      </w:r>
      <w:r>
        <w:rPr>
          <w:rFonts w:ascii="Times New Roman" w:hAnsi="Times New Roman" w:cs="Times New Roman"/>
          <w:b w:val="0"/>
          <w:bCs/>
          <w:smallCaps w:val="0"/>
          <w:sz w:val="22"/>
          <w:u w:val="single"/>
        </w:rPr>
        <w:t xml:space="preserve"> coating</w:t>
      </w:r>
    </w:p>
    <w:p w14:paraId="5751246A" w14:textId="0CED1DC3" w:rsidR="009A4D32" w:rsidRDefault="009A4D32" w:rsidP="003D6285">
      <w:pPr>
        <w:pStyle w:val="C-BodyText"/>
        <w:rPr>
          <w:b/>
          <w:smallCaps/>
          <w:u w:val="single"/>
        </w:rPr>
      </w:pPr>
      <w:r>
        <w:t>Polyvinyl alcohol</w:t>
      </w:r>
      <w:r w:rsidR="00FD46C4">
        <w:t xml:space="preserve">, </w:t>
      </w:r>
      <w:r>
        <w:t>Titanium dioxide</w:t>
      </w:r>
      <w:r w:rsidR="00FD46C4">
        <w:t xml:space="preserve">, </w:t>
      </w:r>
      <w:r w:rsidR="0055489D">
        <w:t>Macrogol 3350</w:t>
      </w:r>
      <w:r w:rsidR="00FD46C4">
        <w:t xml:space="preserve">, </w:t>
      </w:r>
      <w:r>
        <w:t>Purified talc</w:t>
      </w:r>
      <w:r w:rsidR="00FD46C4">
        <w:t xml:space="preserve">, </w:t>
      </w:r>
      <w:r>
        <w:t>Iron oxide red</w:t>
      </w:r>
    </w:p>
    <w:p w14:paraId="27A95224" w14:textId="77777777" w:rsidR="003D6285" w:rsidRPr="003D6285" w:rsidRDefault="001A3992" w:rsidP="0093560F">
      <w:pPr>
        <w:pStyle w:val="Heading2"/>
        <w:spacing w:before="0" w:after="0" w:line="240" w:lineRule="auto"/>
        <w:ind w:left="0" w:hanging="426"/>
        <w:rPr>
          <w:rFonts w:ascii="Times New Roman" w:eastAsiaTheme="majorEastAsia" w:hAnsi="Times New Roman" w:cs="Times New Roman"/>
          <w:b w:val="0"/>
          <w:bCs/>
          <w:smallCaps w:val="0"/>
          <w:sz w:val="26"/>
          <w:szCs w:val="26"/>
        </w:rPr>
      </w:pPr>
      <w:r w:rsidRPr="0093560F">
        <w:rPr>
          <w:rFonts w:ascii="Times New Roman" w:hAnsi="Times New Roman" w:cs="Times New Roman"/>
          <w:b w:val="0"/>
          <w:bCs/>
          <w:smallCaps w:val="0"/>
          <w:sz w:val="26"/>
          <w:szCs w:val="26"/>
        </w:rPr>
        <w:t>Incompatibilities</w:t>
      </w:r>
    </w:p>
    <w:p w14:paraId="4A5E45CF" w14:textId="6377E0B0" w:rsidR="0093560F" w:rsidRPr="0005319A" w:rsidRDefault="009B762C" w:rsidP="003D6285">
      <w:pPr>
        <w:pStyle w:val="C-BodyText"/>
        <w:rPr>
          <w:rFonts w:eastAsiaTheme="majorEastAsia"/>
          <w:b/>
          <w:smallCaps/>
          <w:sz w:val="26"/>
          <w:szCs w:val="26"/>
        </w:rPr>
      </w:pPr>
      <w:r>
        <w:t xml:space="preserve">Refer to section </w:t>
      </w:r>
      <w:r w:rsidRPr="009B762C">
        <w:t>4.5 Interactions with other medicines and other forms of interactions</w:t>
      </w:r>
      <w:r>
        <w:t xml:space="preserve"> for further information.</w:t>
      </w:r>
    </w:p>
    <w:p w14:paraId="094362DF" w14:textId="77777777" w:rsidR="003D6285" w:rsidRDefault="003D6285" w:rsidP="00F70D95">
      <w:pPr>
        <w:pStyle w:val="Heading2"/>
        <w:spacing w:before="0" w:after="0" w:line="240" w:lineRule="auto"/>
        <w:ind w:left="0" w:hanging="425"/>
        <w:rPr>
          <w:rFonts w:ascii="Times New Roman" w:eastAsiaTheme="majorEastAsia" w:hAnsi="Times New Roman" w:cs="Times New Roman"/>
          <w:b w:val="0"/>
          <w:bCs/>
          <w:smallCaps w:val="0"/>
          <w:sz w:val="26"/>
          <w:szCs w:val="26"/>
        </w:rPr>
      </w:pPr>
      <w:r>
        <w:rPr>
          <w:rFonts w:ascii="Times New Roman" w:eastAsiaTheme="majorEastAsia" w:hAnsi="Times New Roman" w:cs="Times New Roman"/>
          <w:b w:val="0"/>
          <w:bCs/>
          <w:smallCaps w:val="0"/>
          <w:sz w:val="26"/>
          <w:szCs w:val="26"/>
        </w:rPr>
        <w:t>Shelf life</w:t>
      </w:r>
    </w:p>
    <w:p w14:paraId="006DA36C" w14:textId="48176812" w:rsidR="001A3992" w:rsidRPr="0093560F" w:rsidRDefault="00EB5AFC" w:rsidP="003D6285">
      <w:pPr>
        <w:pStyle w:val="C-BodyText"/>
        <w:rPr>
          <w:rFonts w:eastAsiaTheme="majorEastAsia"/>
          <w:b/>
          <w:smallCaps/>
          <w:sz w:val="26"/>
        </w:rPr>
      </w:pPr>
      <w:r w:rsidRPr="0093560F">
        <w:rPr>
          <w:rFonts w:eastAsiaTheme="majorEastAsia"/>
        </w:rPr>
        <w:t xml:space="preserve">3 </w:t>
      </w:r>
      <w:r w:rsidR="0005319A" w:rsidRPr="0093560F">
        <w:rPr>
          <w:rFonts w:eastAsiaTheme="majorEastAsia"/>
        </w:rPr>
        <w:t>years.</w:t>
      </w:r>
    </w:p>
    <w:p w14:paraId="117B0D94" w14:textId="77777777" w:rsidR="003D6285" w:rsidRDefault="003D6285" w:rsidP="00F70D95">
      <w:pPr>
        <w:pStyle w:val="Heading2"/>
        <w:spacing w:before="0" w:after="0" w:line="240" w:lineRule="auto"/>
        <w:ind w:left="0" w:hanging="426"/>
        <w:rPr>
          <w:rFonts w:ascii="Times New Roman" w:eastAsiaTheme="majorEastAsia" w:hAnsi="Times New Roman" w:cs="Times New Roman"/>
          <w:b w:val="0"/>
          <w:bCs/>
          <w:smallCaps w:val="0"/>
          <w:sz w:val="26"/>
          <w:szCs w:val="26"/>
        </w:rPr>
      </w:pPr>
      <w:r>
        <w:rPr>
          <w:rFonts w:ascii="Times New Roman" w:eastAsiaTheme="majorEastAsia" w:hAnsi="Times New Roman" w:cs="Times New Roman"/>
          <w:b w:val="0"/>
          <w:bCs/>
          <w:smallCaps w:val="0"/>
          <w:sz w:val="26"/>
          <w:szCs w:val="26"/>
        </w:rPr>
        <w:t>Special precautions for storage</w:t>
      </w:r>
    </w:p>
    <w:p w14:paraId="4E588E89" w14:textId="2CA4E325" w:rsidR="0005319A" w:rsidRPr="0005319A" w:rsidRDefault="005F66C9" w:rsidP="003D6285">
      <w:pPr>
        <w:pStyle w:val="C-BodyText"/>
        <w:rPr>
          <w:rFonts w:eastAsiaTheme="majorEastAsia"/>
          <w:b/>
          <w:smallCaps/>
          <w:sz w:val="26"/>
        </w:rPr>
      </w:pPr>
      <w:r>
        <w:rPr>
          <w:rFonts w:eastAsiaTheme="majorEastAsia"/>
        </w:rPr>
        <w:t xml:space="preserve">Store below 25°C. </w:t>
      </w:r>
      <w:r w:rsidR="00F20382" w:rsidRPr="00F20382">
        <w:rPr>
          <w:rFonts w:eastAsiaTheme="majorEastAsia"/>
        </w:rPr>
        <w:t>Keep the bottle tightly closed in order to protect from moisture</w:t>
      </w:r>
      <w:r>
        <w:rPr>
          <w:rFonts w:eastAsiaTheme="majorEastAsia"/>
        </w:rPr>
        <w:t>.</w:t>
      </w:r>
    </w:p>
    <w:p w14:paraId="3157A5B4" w14:textId="77777777" w:rsidR="00F53C8C" w:rsidRPr="00F53C8C" w:rsidRDefault="001A3992" w:rsidP="00F70D95">
      <w:pPr>
        <w:pStyle w:val="Heading2"/>
        <w:spacing w:before="0" w:after="0" w:line="240" w:lineRule="auto"/>
        <w:ind w:left="0" w:hanging="426"/>
        <w:rPr>
          <w:rFonts w:ascii="Times New Roman" w:eastAsiaTheme="majorEastAsia" w:hAnsi="Times New Roman" w:cs="Times New Roman"/>
          <w:b w:val="0"/>
          <w:bCs/>
          <w:smallCaps w:val="0"/>
          <w:sz w:val="22"/>
          <w:szCs w:val="26"/>
        </w:rPr>
      </w:pPr>
      <w:r w:rsidRPr="0005319A">
        <w:rPr>
          <w:rFonts w:ascii="Times New Roman" w:eastAsiaTheme="majorEastAsia" w:hAnsi="Times New Roman" w:cs="Times New Roman"/>
          <w:b w:val="0"/>
          <w:bCs/>
          <w:smallCaps w:val="0"/>
          <w:sz w:val="26"/>
          <w:szCs w:val="26"/>
        </w:rPr>
        <w:t>Nature and contents of container</w:t>
      </w:r>
    </w:p>
    <w:p w14:paraId="7BE8E821" w14:textId="77777777" w:rsidR="00F53C8C" w:rsidRDefault="00F53C8C" w:rsidP="00F53C8C">
      <w:pPr>
        <w:pStyle w:val="C-BodyText"/>
        <w:rPr>
          <w:rFonts w:eastAsiaTheme="majorEastAsia"/>
        </w:rPr>
      </w:pPr>
      <w:r w:rsidRPr="00F53C8C">
        <w:rPr>
          <w:rFonts w:eastAsiaTheme="majorEastAsia"/>
          <w:smallCaps/>
        </w:rPr>
        <w:t>W</w:t>
      </w:r>
      <w:r w:rsidR="0005319A" w:rsidRPr="0005319A">
        <w:rPr>
          <w:rFonts w:eastAsiaTheme="majorEastAsia"/>
        </w:rPr>
        <w:t>hite, 60 mL high density polyethylene (HDPE) round bottle with child-resistant, polypropylene closure, and foil induction inner seal.</w:t>
      </w:r>
    </w:p>
    <w:p w14:paraId="7B064FD3" w14:textId="77777777" w:rsidR="00F53C8C" w:rsidRDefault="0005319A" w:rsidP="00F53C8C">
      <w:pPr>
        <w:pStyle w:val="C-BodyText"/>
        <w:rPr>
          <w:rFonts w:eastAsiaTheme="majorEastAsia"/>
        </w:rPr>
      </w:pPr>
      <w:r w:rsidRPr="0005319A">
        <w:rPr>
          <w:rFonts w:eastAsiaTheme="majorEastAsia"/>
        </w:rPr>
        <w:t>An HDPE desiccant canister with 1 g silica gel is enclosed with the tablets in each bottle.</w:t>
      </w:r>
    </w:p>
    <w:p w14:paraId="2D317F7E" w14:textId="16C041F5" w:rsidR="0005319A" w:rsidRDefault="0005319A" w:rsidP="00F53C8C">
      <w:pPr>
        <w:pStyle w:val="C-BodyText"/>
        <w:rPr>
          <w:rFonts w:eastAsiaTheme="majorEastAsia"/>
          <w:b/>
          <w:smallCaps/>
        </w:rPr>
      </w:pPr>
      <w:r w:rsidRPr="0005319A">
        <w:rPr>
          <w:rFonts w:eastAsiaTheme="majorEastAsia"/>
        </w:rPr>
        <w:t>Each bottle contains 180 tablets.</w:t>
      </w:r>
    </w:p>
    <w:p w14:paraId="07AC3640" w14:textId="77777777" w:rsidR="00F53C8C" w:rsidRPr="00F53C8C" w:rsidRDefault="001A3992" w:rsidP="001C4317">
      <w:pPr>
        <w:pStyle w:val="Heading2"/>
        <w:spacing w:before="0" w:after="0"/>
        <w:ind w:left="0" w:hanging="426"/>
        <w:rPr>
          <w:rFonts w:ascii="Times New Roman" w:eastAsiaTheme="majorEastAsia" w:hAnsi="Times New Roman" w:cs="Times New Roman"/>
          <w:b w:val="0"/>
          <w:bCs/>
          <w:smallCaps w:val="0"/>
          <w:sz w:val="22"/>
          <w:szCs w:val="26"/>
        </w:rPr>
      </w:pPr>
      <w:r w:rsidRPr="0005319A">
        <w:rPr>
          <w:rFonts w:ascii="Times New Roman" w:eastAsiaTheme="majorEastAsia" w:hAnsi="Times New Roman" w:cs="Times New Roman"/>
          <w:b w:val="0"/>
          <w:bCs/>
          <w:smallCaps w:val="0"/>
          <w:sz w:val="26"/>
          <w:szCs w:val="26"/>
        </w:rPr>
        <w:t>Special precautions for disposal</w:t>
      </w:r>
    </w:p>
    <w:p w14:paraId="730BC023" w14:textId="71ACD7C1" w:rsidR="0005319A" w:rsidRPr="0005319A" w:rsidRDefault="0005319A" w:rsidP="00F53C8C">
      <w:pPr>
        <w:pStyle w:val="C-BodyText"/>
        <w:rPr>
          <w:rFonts w:eastAsiaTheme="majorEastAsia"/>
          <w:b/>
          <w:smallCaps/>
        </w:rPr>
      </w:pPr>
      <w:r w:rsidRPr="0005319A">
        <w:rPr>
          <w:rFonts w:eastAsiaTheme="majorEastAsia"/>
        </w:rPr>
        <w:t>Any unused medicinal product or waste material should be disposed of in accordance with local requirements.</w:t>
      </w:r>
    </w:p>
    <w:p w14:paraId="28F4326B" w14:textId="77777777" w:rsidR="00341A7B" w:rsidRDefault="00341A7B">
      <w:pPr>
        <w:rPr>
          <w:rFonts w:ascii="Times New Roman" w:eastAsiaTheme="majorEastAsia" w:hAnsi="Times New Roman" w:cs="Times New Roman"/>
          <w:bCs/>
          <w:sz w:val="26"/>
          <w:szCs w:val="26"/>
        </w:rPr>
      </w:pPr>
      <w:r>
        <w:rPr>
          <w:rFonts w:ascii="Times New Roman" w:eastAsiaTheme="majorEastAsia" w:hAnsi="Times New Roman" w:cs="Times New Roman"/>
          <w:b/>
          <w:bCs/>
          <w:smallCaps/>
          <w:sz w:val="26"/>
          <w:szCs w:val="26"/>
        </w:rPr>
        <w:br w:type="page"/>
      </w:r>
    </w:p>
    <w:p w14:paraId="47BCC238" w14:textId="6B514C97" w:rsidR="001A3992" w:rsidRPr="00A3708B" w:rsidRDefault="001A3992" w:rsidP="001C4317">
      <w:pPr>
        <w:pStyle w:val="Heading2"/>
        <w:spacing w:before="0" w:after="0"/>
        <w:ind w:left="0" w:hanging="426"/>
        <w:rPr>
          <w:rFonts w:ascii="Times New Roman" w:eastAsiaTheme="majorEastAsia" w:hAnsi="Times New Roman" w:cs="Times New Roman"/>
          <w:b w:val="0"/>
          <w:bCs/>
          <w:smallCaps w:val="0"/>
          <w:sz w:val="26"/>
          <w:szCs w:val="26"/>
        </w:rPr>
      </w:pPr>
      <w:r w:rsidRPr="00A3708B">
        <w:rPr>
          <w:rFonts w:ascii="Times New Roman" w:eastAsiaTheme="majorEastAsia" w:hAnsi="Times New Roman" w:cs="Times New Roman"/>
          <w:b w:val="0"/>
          <w:bCs/>
          <w:smallCaps w:val="0"/>
          <w:sz w:val="26"/>
          <w:szCs w:val="26"/>
        </w:rPr>
        <w:lastRenderedPageBreak/>
        <w:t>Physicochemical properties</w:t>
      </w:r>
    </w:p>
    <w:p w14:paraId="2F73C765" w14:textId="35219A69" w:rsidR="001A3992" w:rsidRDefault="00F6598D" w:rsidP="00024471">
      <w:pPr>
        <w:pStyle w:val="Heading3"/>
        <w:rPr>
          <w:b/>
          <w:lang w:val="en-US"/>
        </w:rPr>
      </w:pPr>
      <w:r>
        <w:rPr>
          <w:lang w:val="en-US"/>
        </w:rPr>
        <w:t>Chemical structure</w:t>
      </w:r>
    </w:p>
    <w:p w14:paraId="26BC7250" w14:textId="6458D5D7" w:rsidR="00F6598D" w:rsidRDefault="00F6598D" w:rsidP="00F6598D">
      <w:r w:rsidRPr="00274B5E">
        <w:rPr>
          <w:rFonts w:ascii="Times New Roman" w:hAnsi="Times New Roman" w:cs="Times New Roman"/>
          <w:b/>
          <w:noProof/>
          <w:lang w:eastAsia="en-AU"/>
        </w:rPr>
        <w:drawing>
          <wp:anchor distT="0" distB="0" distL="114300" distR="114300" simplePos="0" relativeHeight="251661312" behindDoc="0" locked="0" layoutInCell="1" allowOverlap="1" wp14:anchorId="454FEE62" wp14:editId="3BFA5689">
            <wp:simplePos x="0" y="0"/>
            <wp:positionH relativeFrom="column">
              <wp:posOffset>685800</wp:posOffset>
            </wp:positionH>
            <wp:positionV relativeFrom="paragraph">
              <wp:posOffset>3175</wp:posOffset>
            </wp:positionV>
            <wp:extent cx="3657600" cy="2447925"/>
            <wp:effectExtent l="0" t="0" r="0" b="0"/>
            <wp:wrapSquare wrapText="bothSides"/>
            <wp:docPr id="1" name="Picture 1" descr="Macintosh HD:Users:Tiffany:Download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iffany:Downloads:unname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2447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A3D15" w14:textId="77777777" w:rsidR="00F6598D" w:rsidRDefault="00F6598D" w:rsidP="00F6598D"/>
    <w:p w14:paraId="3A861630" w14:textId="77777777" w:rsidR="00F6598D" w:rsidRDefault="00F6598D" w:rsidP="00F6598D"/>
    <w:p w14:paraId="450DF4D2" w14:textId="77777777" w:rsidR="00F6598D" w:rsidRDefault="00F6598D" w:rsidP="00F6598D"/>
    <w:p w14:paraId="4375FDC5" w14:textId="77777777" w:rsidR="00F6598D" w:rsidRDefault="00F6598D" w:rsidP="00F6598D"/>
    <w:p w14:paraId="20955479" w14:textId="77777777" w:rsidR="00F6598D" w:rsidRPr="00F6598D" w:rsidRDefault="00F6598D" w:rsidP="00F6598D"/>
    <w:p w14:paraId="18E8186D" w14:textId="77777777" w:rsidR="00F6598D" w:rsidRDefault="00F6598D" w:rsidP="009E03A7">
      <w:pPr>
        <w:pStyle w:val="Heading3"/>
        <w:rPr>
          <w:lang w:val="en-US"/>
        </w:rPr>
      </w:pPr>
    </w:p>
    <w:p w14:paraId="1AFDBD54" w14:textId="77777777" w:rsidR="00F6598D" w:rsidRDefault="00F6598D" w:rsidP="009E03A7">
      <w:pPr>
        <w:pStyle w:val="Heading3"/>
        <w:rPr>
          <w:lang w:val="en-US"/>
        </w:rPr>
      </w:pPr>
    </w:p>
    <w:p w14:paraId="72F26FC8" w14:textId="77777777" w:rsidR="00290ADC" w:rsidRDefault="00290ADC" w:rsidP="009E03A7">
      <w:pPr>
        <w:pStyle w:val="Heading3"/>
        <w:rPr>
          <w:lang w:val="en-US"/>
        </w:rPr>
      </w:pPr>
    </w:p>
    <w:p w14:paraId="64B6EBE9" w14:textId="5EB4956A" w:rsidR="007F5FD7" w:rsidRPr="007F5FD7" w:rsidRDefault="007F5FD7" w:rsidP="00024471">
      <w:pPr>
        <w:pStyle w:val="Heading4"/>
      </w:pPr>
      <w:r w:rsidRPr="006C4BD7">
        <w:t>C</w:t>
      </w:r>
      <w:r w:rsidR="00024471">
        <w:t>hemical Name:</w:t>
      </w:r>
    </w:p>
    <w:p w14:paraId="7E34A691" w14:textId="2D9A3AF1" w:rsidR="007F5FD7" w:rsidRPr="006C4BD7" w:rsidRDefault="007F5FD7" w:rsidP="007F5FD7">
      <w:pPr>
        <w:autoSpaceDE w:val="0"/>
        <w:autoSpaceDN w:val="0"/>
        <w:adjustRightInd w:val="0"/>
        <w:spacing w:after="0" w:line="240" w:lineRule="auto"/>
        <w:rPr>
          <w:rFonts w:ascii="Times New Roman" w:hAnsi="Times New Roman" w:cs="Times New Roman"/>
          <w:bCs/>
          <w:lang w:val="en-US"/>
        </w:rPr>
      </w:pPr>
      <w:r w:rsidRPr="006C4BD7">
        <w:rPr>
          <w:rFonts w:ascii="Times New Roman" w:hAnsi="Times New Roman" w:cs="Times New Roman"/>
          <w:bCs/>
          <w:lang w:val="en-US"/>
        </w:rPr>
        <w:t>(</w:t>
      </w:r>
      <w:r w:rsidRPr="00B73C99">
        <w:rPr>
          <w:rFonts w:ascii="Times New Roman" w:hAnsi="Times New Roman" w:cs="Times New Roman"/>
          <w:bCs/>
          <w:i/>
          <w:lang w:val="en-US"/>
        </w:rPr>
        <w:t>E</w:t>
      </w:r>
      <w:r w:rsidRPr="006C4BD7">
        <w:rPr>
          <w:rFonts w:ascii="Times New Roman" w:hAnsi="Times New Roman" w:cs="Times New Roman"/>
          <w:bCs/>
          <w:lang w:val="en-US"/>
        </w:rPr>
        <w:t>)-</w:t>
      </w:r>
      <w:r w:rsidRPr="00B73C99">
        <w:rPr>
          <w:rFonts w:ascii="Times New Roman" w:hAnsi="Times New Roman" w:cs="Times New Roman"/>
          <w:bCs/>
          <w:i/>
          <w:lang w:val="en-US"/>
        </w:rPr>
        <w:t>N</w:t>
      </w:r>
      <w:r w:rsidRPr="006C4BD7">
        <w:rPr>
          <w:rFonts w:ascii="Times New Roman" w:hAnsi="Times New Roman" w:cs="Times New Roman"/>
          <w:bCs/>
          <w:lang w:val="en-US"/>
        </w:rPr>
        <w:t>-{4-[3-chloro-4-(pyridin-2-yl methoxy)anilino]-3-cyano-7-ethoxyquinolin-6-yl}-4-</w:t>
      </w:r>
    </w:p>
    <w:p w14:paraId="2CD028AC" w14:textId="77777777" w:rsidR="007F5FD7" w:rsidRPr="006C4BD7" w:rsidRDefault="007F5FD7" w:rsidP="009E03A7">
      <w:pPr>
        <w:pStyle w:val="Heading3"/>
        <w:rPr>
          <w:b/>
          <w:lang w:val="en-US"/>
        </w:rPr>
      </w:pPr>
      <w:r w:rsidRPr="007F5FD7">
        <w:rPr>
          <w:lang w:val="en-US"/>
        </w:rPr>
        <w:t>(dimethylamino)but-2-enamide maleate</w:t>
      </w:r>
    </w:p>
    <w:p w14:paraId="6E9385FA" w14:textId="48B517C4" w:rsidR="00290ADC" w:rsidRPr="000D1546" w:rsidRDefault="00290ADC" w:rsidP="00024471">
      <w:pPr>
        <w:pStyle w:val="Heading4"/>
        <w:rPr>
          <w:b/>
        </w:rPr>
      </w:pPr>
      <w:r w:rsidRPr="000D1546">
        <w:t>Molecular Weight</w:t>
      </w:r>
    </w:p>
    <w:p w14:paraId="6D87BD27" w14:textId="3ECFA2D7" w:rsidR="00290ADC" w:rsidRPr="009F267B" w:rsidRDefault="00C27902" w:rsidP="009E03A7">
      <w:pPr>
        <w:pStyle w:val="Heading3"/>
        <w:rPr>
          <w:b/>
          <w:lang w:val="en-US"/>
        </w:rPr>
      </w:pPr>
      <w:r w:rsidRPr="009F267B">
        <w:rPr>
          <w:lang w:val="en-US"/>
        </w:rPr>
        <w:t>673.1 (neratinib maleate)</w:t>
      </w:r>
    </w:p>
    <w:p w14:paraId="3EA6D7DD" w14:textId="55746BE6" w:rsidR="00496C8D" w:rsidRPr="006C4BD7" w:rsidRDefault="00496C8D" w:rsidP="006C4BD7">
      <w:pPr>
        <w:rPr>
          <w:rFonts w:ascii="Times New Roman" w:hAnsi="Times New Roman" w:cs="Times New Roman"/>
          <w:lang w:val="en-US"/>
        </w:rPr>
      </w:pPr>
      <w:r w:rsidRPr="006C4BD7">
        <w:rPr>
          <w:rFonts w:ascii="Times New Roman" w:hAnsi="Times New Roman" w:cs="Times New Roman"/>
          <w:lang w:val="en-US"/>
        </w:rPr>
        <w:t>557.1 (neratinib)</w:t>
      </w:r>
    </w:p>
    <w:p w14:paraId="13141BCD" w14:textId="77777777" w:rsidR="00024471" w:rsidRDefault="001A3992" w:rsidP="00024471">
      <w:pPr>
        <w:pStyle w:val="Heading4"/>
      </w:pPr>
      <w:r w:rsidRPr="007F5FD7">
        <w:t xml:space="preserve">CAS </w:t>
      </w:r>
      <w:r w:rsidRPr="006C4BD7">
        <w:t>number</w:t>
      </w:r>
    </w:p>
    <w:p w14:paraId="7969957E" w14:textId="6D924395" w:rsidR="003E122D" w:rsidRPr="006C4BD7" w:rsidRDefault="00274B5E" w:rsidP="009E03A7">
      <w:pPr>
        <w:pStyle w:val="Heading3"/>
        <w:rPr>
          <w:b/>
          <w:lang w:val="en-US"/>
        </w:rPr>
      </w:pPr>
      <w:r w:rsidRPr="006C4BD7">
        <w:rPr>
          <w:lang w:val="en-US"/>
        </w:rPr>
        <w:t>915942-22-2</w:t>
      </w:r>
      <w:r w:rsidR="00286595" w:rsidRPr="006C4BD7">
        <w:rPr>
          <w:lang w:val="en-US"/>
        </w:rPr>
        <w:t xml:space="preserve"> (</w:t>
      </w:r>
      <w:r w:rsidR="003E122D" w:rsidRPr="006C4BD7">
        <w:rPr>
          <w:lang w:val="en-US"/>
        </w:rPr>
        <w:t>neratinib maleate)</w:t>
      </w:r>
    </w:p>
    <w:p w14:paraId="3EDCABE4" w14:textId="77777777" w:rsidR="000C64F3" w:rsidRPr="009F267B" w:rsidRDefault="003E122D" w:rsidP="009E03A7">
      <w:pPr>
        <w:pStyle w:val="Heading3"/>
        <w:rPr>
          <w:b/>
          <w:lang w:val="en-US"/>
        </w:rPr>
      </w:pPr>
      <w:r w:rsidRPr="009F267B">
        <w:rPr>
          <w:lang w:val="en-US"/>
        </w:rPr>
        <w:t>698387-09-6 (neratinib)</w:t>
      </w:r>
    </w:p>
    <w:p w14:paraId="5443F9D1" w14:textId="32617CF7" w:rsidR="00F20382" w:rsidRPr="00332FA2" w:rsidRDefault="00F20382" w:rsidP="00024471">
      <w:pPr>
        <w:pStyle w:val="C-BodyText"/>
      </w:pPr>
      <w:r w:rsidRPr="00332FA2">
        <w:t>The active ingredient, Neratinib maleate, is an off-white to yellow powder. Its solubility decreases as pH increases over the range 1.2 - 9.6; it is insoluble at pH above 5.0 (</w:t>
      </w:r>
      <w:r w:rsidR="00445075">
        <w:t>e.g.</w:t>
      </w:r>
      <w:r w:rsidRPr="00332FA2">
        <w:t>, in water). The API is slightly soluble in ethanol and sparingly soluble in methanol. The dissociation constant is pKa 7.65 and pKa 4.66. The partition coefficient is logP 4.72 and logP 4.47.</w:t>
      </w:r>
    </w:p>
    <w:p w14:paraId="5262D0D0" w14:textId="77777777" w:rsidR="00024471" w:rsidRDefault="001A3992" w:rsidP="00125FA8">
      <w:pPr>
        <w:pStyle w:val="Heading1"/>
        <w:spacing w:before="0"/>
        <w:ind w:left="0" w:hanging="426"/>
        <w:rPr>
          <w:rFonts w:ascii="Times New Roman" w:hAnsi="Times New Roman" w:cs="Times New Roman"/>
          <w:b w:val="0"/>
          <w:lang w:val="en-US"/>
        </w:rPr>
      </w:pPr>
      <w:r w:rsidRPr="00BC7299">
        <w:rPr>
          <w:rFonts w:ascii="Times New Roman" w:hAnsi="Times New Roman" w:cs="Times New Roman"/>
          <w:b w:val="0"/>
          <w:lang w:val="en-US"/>
        </w:rPr>
        <w:t>Medicine schedule (Poisons Standard)</w:t>
      </w:r>
    </w:p>
    <w:p w14:paraId="4E91D495" w14:textId="37FF86BC" w:rsidR="001A3992" w:rsidRPr="00BC7299" w:rsidRDefault="00274B5E" w:rsidP="00024471">
      <w:pPr>
        <w:pStyle w:val="C-BodyText"/>
        <w:rPr>
          <w:b/>
        </w:rPr>
      </w:pPr>
      <w:r w:rsidRPr="00274B5E">
        <w:t>S4 / PRESCRIPTION MEDICINE</w:t>
      </w:r>
    </w:p>
    <w:p w14:paraId="064C16D3" w14:textId="77777777" w:rsidR="00024471" w:rsidRPr="00024471" w:rsidRDefault="001A3992" w:rsidP="00125FA8">
      <w:pPr>
        <w:pStyle w:val="Heading1"/>
        <w:spacing w:before="0"/>
        <w:ind w:left="0" w:hanging="426"/>
        <w:rPr>
          <w:rFonts w:ascii="Times New Roman" w:hAnsi="Times New Roman" w:cs="Times New Roman"/>
          <w:b w:val="0"/>
          <w:caps w:val="0"/>
          <w:sz w:val="22"/>
          <w:szCs w:val="22"/>
          <w:lang w:val="en-US"/>
        </w:rPr>
      </w:pPr>
      <w:r w:rsidRPr="00BC7299">
        <w:rPr>
          <w:rFonts w:ascii="Times New Roman" w:hAnsi="Times New Roman" w:cs="Times New Roman"/>
          <w:b w:val="0"/>
          <w:lang w:val="en-US"/>
        </w:rPr>
        <w:t>Sponsor</w:t>
      </w:r>
    </w:p>
    <w:p w14:paraId="4076704E" w14:textId="6266589D" w:rsidR="009E402F" w:rsidRDefault="00274B5E" w:rsidP="00024471">
      <w:pPr>
        <w:pStyle w:val="Heading1"/>
        <w:numPr>
          <w:ilvl w:val="0"/>
          <w:numId w:val="0"/>
        </w:numPr>
        <w:spacing w:before="0"/>
        <w:rPr>
          <w:rFonts w:ascii="Times New Roman" w:hAnsi="Times New Roman" w:cs="Times New Roman"/>
          <w:b w:val="0"/>
          <w:caps w:val="0"/>
          <w:sz w:val="22"/>
          <w:szCs w:val="22"/>
          <w:lang w:val="en-US"/>
        </w:rPr>
      </w:pPr>
      <w:r>
        <w:rPr>
          <w:rFonts w:ascii="Times New Roman" w:hAnsi="Times New Roman" w:cs="Times New Roman"/>
          <w:b w:val="0"/>
          <w:caps w:val="0"/>
          <w:sz w:val="22"/>
          <w:szCs w:val="22"/>
          <w:lang w:val="en-US"/>
        </w:rPr>
        <w:t>Specialised Therapeutics PM Pty Ltd</w:t>
      </w:r>
      <w:r>
        <w:rPr>
          <w:rFonts w:ascii="Times New Roman" w:hAnsi="Times New Roman" w:cs="Times New Roman"/>
          <w:b w:val="0"/>
          <w:caps w:val="0"/>
          <w:sz w:val="22"/>
          <w:szCs w:val="22"/>
          <w:lang w:val="en-US"/>
        </w:rPr>
        <w:br/>
        <w:t>L</w:t>
      </w:r>
      <w:r w:rsidRPr="00274B5E">
        <w:rPr>
          <w:rFonts w:ascii="Times New Roman" w:hAnsi="Times New Roman" w:cs="Times New Roman"/>
          <w:b w:val="0"/>
          <w:caps w:val="0"/>
          <w:sz w:val="22"/>
          <w:szCs w:val="22"/>
          <w:lang w:val="en-US"/>
        </w:rPr>
        <w:t xml:space="preserve">evel 2, </w:t>
      </w:r>
      <w:r>
        <w:rPr>
          <w:rFonts w:ascii="Times New Roman" w:hAnsi="Times New Roman" w:cs="Times New Roman"/>
          <w:b w:val="0"/>
          <w:caps w:val="0"/>
          <w:sz w:val="22"/>
          <w:szCs w:val="22"/>
          <w:lang w:val="en-US"/>
        </w:rPr>
        <w:t>17 Cotham Road, Kew, V</w:t>
      </w:r>
      <w:r w:rsidRPr="00274B5E">
        <w:rPr>
          <w:rFonts w:ascii="Times New Roman" w:hAnsi="Times New Roman" w:cs="Times New Roman"/>
          <w:b w:val="0"/>
          <w:caps w:val="0"/>
          <w:sz w:val="22"/>
          <w:szCs w:val="22"/>
          <w:lang w:val="en-US"/>
        </w:rPr>
        <w:t>ictoria 3101</w:t>
      </w:r>
    </w:p>
    <w:p w14:paraId="2566F169" w14:textId="52169F14" w:rsidR="009E402F" w:rsidRDefault="009E402F" w:rsidP="000A190A">
      <w:pPr>
        <w:pStyle w:val="Heading1"/>
        <w:numPr>
          <w:ilvl w:val="0"/>
          <w:numId w:val="0"/>
        </w:numPr>
        <w:spacing w:before="0"/>
        <w:rPr>
          <w:rFonts w:ascii="Times New Roman" w:hAnsi="Times New Roman" w:cs="Times New Roman"/>
          <w:b w:val="0"/>
          <w:caps w:val="0"/>
          <w:sz w:val="22"/>
          <w:szCs w:val="22"/>
          <w:lang w:val="en-US"/>
        </w:rPr>
      </w:pPr>
      <w:r>
        <w:rPr>
          <w:rFonts w:ascii="Times New Roman" w:hAnsi="Times New Roman" w:cs="Times New Roman"/>
          <w:b w:val="0"/>
          <w:caps w:val="0"/>
          <w:sz w:val="22"/>
          <w:szCs w:val="22"/>
          <w:lang w:val="en-US"/>
        </w:rPr>
        <w:t>Ph: (03) 9859 1493</w:t>
      </w:r>
    </w:p>
    <w:p w14:paraId="5A2BEC00" w14:textId="48E1ADDD" w:rsidR="009E402F" w:rsidRDefault="009E402F" w:rsidP="000A190A">
      <w:pPr>
        <w:pStyle w:val="Heading1"/>
        <w:numPr>
          <w:ilvl w:val="0"/>
          <w:numId w:val="0"/>
        </w:numPr>
        <w:spacing w:before="0"/>
        <w:rPr>
          <w:rFonts w:ascii="Times New Roman" w:hAnsi="Times New Roman" w:cs="Times New Roman"/>
          <w:b w:val="0"/>
          <w:caps w:val="0"/>
          <w:sz w:val="22"/>
          <w:szCs w:val="22"/>
          <w:lang w:val="en-US"/>
        </w:rPr>
      </w:pPr>
      <w:r>
        <w:rPr>
          <w:rFonts w:ascii="Times New Roman" w:hAnsi="Times New Roman" w:cs="Times New Roman"/>
          <w:b w:val="0"/>
          <w:caps w:val="0"/>
          <w:sz w:val="22"/>
          <w:szCs w:val="22"/>
          <w:lang w:val="en-US"/>
        </w:rPr>
        <w:t>Fax: (03) 9859 6950</w:t>
      </w:r>
    </w:p>
    <w:p w14:paraId="4B9525AE" w14:textId="3868843C" w:rsidR="001A3992" w:rsidRPr="00274B5E" w:rsidRDefault="009E402F" w:rsidP="00024471">
      <w:pPr>
        <w:pStyle w:val="C-BodyText"/>
        <w:rPr>
          <w:b/>
          <w:caps/>
        </w:rPr>
      </w:pPr>
      <w:r>
        <w:t>Website:  www.stbiopharma.com</w:t>
      </w:r>
    </w:p>
    <w:p w14:paraId="441A9D9B" w14:textId="77777777" w:rsidR="00024471" w:rsidRDefault="001A3992" w:rsidP="00024471">
      <w:pPr>
        <w:pStyle w:val="Heading1"/>
        <w:spacing w:before="0"/>
        <w:ind w:left="0" w:hanging="426"/>
        <w:rPr>
          <w:rFonts w:ascii="Times New Roman" w:hAnsi="Times New Roman" w:cs="Times New Roman"/>
          <w:b w:val="0"/>
          <w:lang w:val="en-US"/>
        </w:rPr>
      </w:pPr>
      <w:r w:rsidRPr="00D60AD8">
        <w:rPr>
          <w:rFonts w:ascii="Times New Roman" w:hAnsi="Times New Roman" w:cs="Times New Roman"/>
          <w:b w:val="0"/>
          <w:lang w:val="en-US"/>
        </w:rPr>
        <w:lastRenderedPageBreak/>
        <w:t xml:space="preserve">Date of first </w:t>
      </w:r>
      <w:r w:rsidR="00AA590F" w:rsidRPr="00D60AD8">
        <w:rPr>
          <w:rFonts w:ascii="Times New Roman" w:hAnsi="Times New Roman" w:cs="Times New Roman"/>
          <w:b w:val="0"/>
          <w:lang w:val="en-US"/>
        </w:rPr>
        <w:t>APPROVAL</w:t>
      </w:r>
    </w:p>
    <w:p w14:paraId="130428F6" w14:textId="365C7EDA" w:rsidR="00D60AD8" w:rsidRPr="00D60AD8" w:rsidRDefault="00D60AD8" w:rsidP="00024471">
      <w:pPr>
        <w:pStyle w:val="C-BodyText"/>
      </w:pPr>
      <w:r>
        <w:t>14 MARCH 2019</w:t>
      </w:r>
    </w:p>
    <w:p w14:paraId="4EC90A86" w14:textId="17E67097" w:rsidR="001A3992" w:rsidRPr="00304BD2" w:rsidRDefault="001A3992" w:rsidP="00125FA8">
      <w:pPr>
        <w:pStyle w:val="Heading1"/>
        <w:spacing w:before="0"/>
        <w:ind w:left="0" w:hanging="426"/>
        <w:rPr>
          <w:rFonts w:ascii="Times New Roman" w:hAnsi="Times New Roman" w:cs="Times New Roman"/>
          <w:b w:val="0"/>
          <w:lang w:val="en-US"/>
        </w:rPr>
      </w:pPr>
      <w:r w:rsidRPr="00304BD2">
        <w:rPr>
          <w:rFonts w:ascii="Times New Roman" w:hAnsi="Times New Roman" w:cs="Times New Roman"/>
          <w:b w:val="0"/>
          <w:lang w:val="en-US"/>
        </w:rPr>
        <w:t>D</w:t>
      </w:r>
      <w:r w:rsidR="00024471">
        <w:rPr>
          <w:rFonts w:ascii="Times New Roman" w:hAnsi="Times New Roman" w:cs="Times New Roman"/>
          <w:b w:val="0"/>
          <w:lang w:val="en-US"/>
        </w:rPr>
        <w:t>ate of revision</w:t>
      </w:r>
    </w:p>
    <w:p w14:paraId="11A59431" w14:textId="5928C441" w:rsidR="001A3992" w:rsidRPr="00A3708B" w:rsidRDefault="001A3992" w:rsidP="00EC11F3">
      <w:pPr>
        <w:pStyle w:val="Heading2"/>
        <w:numPr>
          <w:ilvl w:val="0"/>
          <w:numId w:val="0"/>
        </w:numPr>
        <w:spacing w:before="0" w:after="0"/>
        <w:rPr>
          <w:rFonts w:ascii="Times New Roman" w:eastAsiaTheme="majorEastAsia" w:hAnsi="Times New Roman" w:cs="Times New Roman"/>
          <w:b w:val="0"/>
          <w:bCs/>
          <w:smallCaps w:val="0"/>
          <w:sz w:val="26"/>
          <w:szCs w:val="26"/>
        </w:rPr>
      </w:pPr>
      <w:r w:rsidRPr="00A3708B">
        <w:rPr>
          <w:rFonts w:ascii="Times New Roman" w:eastAsiaTheme="majorEastAsia" w:hAnsi="Times New Roman" w:cs="Times New Roman"/>
          <w:b w:val="0"/>
          <w:bCs/>
          <w:smallCaps w:val="0"/>
          <w:sz w:val="26"/>
          <w:szCs w:val="26"/>
        </w:rPr>
        <w:t>Summary table of changes</w:t>
      </w:r>
    </w:p>
    <w:tbl>
      <w:tblPr>
        <w:tblStyle w:val="LightGrid"/>
        <w:tblW w:w="9242" w:type="dxa"/>
        <w:tblInd w:w="108" w:type="dxa"/>
        <w:tblCellMar>
          <w:top w:w="57" w:type="dxa"/>
          <w:bottom w:w="57" w:type="dxa"/>
        </w:tblCellMar>
        <w:tblLook w:val="06A0" w:firstRow="1" w:lastRow="0" w:firstColumn="1" w:lastColumn="0" w:noHBand="1" w:noVBand="1"/>
      </w:tblPr>
      <w:tblGrid>
        <w:gridCol w:w="1384"/>
        <w:gridCol w:w="7858"/>
      </w:tblGrid>
      <w:tr w:rsidR="00ED0937" w:rsidRPr="00BC7299" w14:paraId="028B5023" w14:textId="77777777" w:rsidTr="008B475C">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1832E9A7" w14:textId="77777777" w:rsidR="00ED0937" w:rsidRPr="00BC7299" w:rsidRDefault="00ED0937" w:rsidP="00BC7299">
            <w:pPr>
              <w:rPr>
                <w:rFonts w:ascii="Times New Roman" w:hAnsi="Times New Roman" w:cs="Times New Roman"/>
                <w:b w:val="0"/>
                <w:sz w:val="20"/>
                <w:lang w:val="en-US"/>
              </w:rPr>
            </w:pPr>
            <w:r w:rsidRPr="00BC7299">
              <w:rPr>
                <w:rFonts w:ascii="Times New Roman" w:hAnsi="Times New Roman" w:cs="Times New Roman"/>
                <w:b w:val="0"/>
                <w:sz w:val="20"/>
                <w:lang w:val="en-US"/>
              </w:rPr>
              <w:t>Section Changed</w:t>
            </w:r>
          </w:p>
        </w:tc>
        <w:tc>
          <w:tcPr>
            <w:tcW w:w="7858" w:type="dxa"/>
            <w:shd w:val="clear" w:color="auto" w:fill="F2F2F2" w:themeFill="background1" w:themeFillShade="F2"/>
            <w:vAlign w:val="center"/>
          </w:tcPr>
          <w:p w14:paraId="743A7AF0" w14:textId="77777777" w:rsidR="00ED0937" w:rsidRPr="00BC7299" w:rsidRDefault="00ED0937" w:rsidP="00BC72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lang w:val="en-US"/>
              </w:rPr>
            </w:pPr>
            <w:r w:rsidRPr="00BC7299">
              <w:rPr>
                <w:rFonts w:ascii="Times New Roman" w:hAnsi="Times New Roman" w:cs="Times New Roman"/>
                <w:b w:val="0"/>
                <w:sz w:val="20"/>
                <w:lang w:val="en-US"/>
              </w:rPr>
              <w:t>Summary of new information</w:t>
            </w:r>
          </w:p>
        </w:tc>
      </w:tr>
      <w:tr w:rsidR="00ED0937" w:rsidRPr="00BC7299" w14:paraId="78C27DB1" w14:textId="77777777" w:rsidTr="00EC11F3">
        <w:tc>
          <w:tcPr>
            <w:cnfStyle w:val="001000000000" w:firstRow="0" w:lastRow="0" w:firstColumn="1" w:lastColumn="0" w:oddVBand="0" w:evenVBand="0" w:oddHBand="0" w:evenHBand="0" w:firstRowFirstColumn="0" w:firstRowLastColumn="0" w:lastRowFirstColumn="0" w:lastRowLastColumn="0"/>
            <w:tcW w:w="1384" w:type="dxa"/>
            <w:vAlign w:val="center"/>
          </w:tcPr>
          <w:p w14:paraId="358E0770" w14:textId="77777777" w:rsidR="00ED0937" w:rsidRPr="00BC7299" w:rsidRDefault="00ED0937" w:rsidP="00BC7299">
            <w:pPr>
              <w:rPr>
                <w:rFonts w:ascii="Times New Roman" w:hAnsi="Times New Roman" w:cs="Times New Roman"/>
                <w:b w:val="0"/>
                <w:lang w:val="en-US"/>
              </w:rPr>
            </w:pPr>
          </w:p>
        </w:tc>
        <w:tc>
          <w:tcPr>
            <w:tcW w:w="7858" w:type="dxa"/>
            <w:vAlign w:val="center"/>
          </w:tcPr>
          <w:p w14:paraId="24C01A6D" w14:textId="77777777" w:rsidR="00ED0937" w:rsidRPr="00BC7299" w:rsidRDefault="00ED0937" w:rsidP="00BC72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ED0937" w:rsidRPr="00BC7299" w14:paraId="6A3B51F0" w14:textId="77777777" w:rsidTr="00EC11F3">
        <w:tc>
          <w:tcPr>
            <w:cnfStyle w:val="001000000000" w:firstRow="0" w:lastRow="0" w:firstColumn="1" w:lastColumn="0" w:oddVBand="0" w:evenVBand="0" w:oddHBand="0" w:evenHBand="0" w:firstRowFirstColumn="0" w:firstRowLastColumn="0" w:lastRowFirstColumn="0" w:lastRowLastColumn="0"/>
            <w:tcW w:w="1384" w:type="dxa"/>
            <w:vAlign w:val="center"/>
          </w:tcPr>
          <w:p w14:paraId="585CF50C" w14:textId="77777777" w:rsidR="00ED0937" w:rsidRPr="00BC7299" w:rsidRDefault="00ED0937" w:rsidP="00BC7299">
            <w:pPr>
              <w:rPr>
                <w:rFonts w:ascii="Times New Roman" w:hAnsi="Times New Roman" w:cs="Times New Roman"/>
                <w:b w:val="0"/>
                <w:lang w:val="en-US"/>
              </w:rPr>
            </w:pPr>
          </w:p>
        </w:tc>
        <w:tc>
          <w:tcPr>
            <w:tcW w:w="7858" w:type="dxa"/>
            <w:vAlign w:val="center"/>
          </w:tcPr>
          <w:p w14:paraId="0131B00B" w14:textId="77777777" w:rsidR="00ED0937" w:rsidRPr="00BC7299" w:rsidRDefault="00ED0937" w:rsidP="00BC72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ED0937" w:rsidRPr="00BC7299" w14:paraId="6BDE6617" w14:textId="77777777" w:rsidTr="00EC11F3">
        <w:tc>
          <w:tcPr>
            <w:cnfStyle w:val="001000000000" w:firstRow="0" w:lastRow="0" w:firstColumn="1" w:lastColumn="0" w:oddVBand="0" w:evenVBand="0" w:oddHBand="0" w:evenHBand="0" w:firstRowFirstColumn="0" w:firstRowLastColumn="0" w:lastRowFirstColumn="0" w:lastRowLastColumn="0"/>
            <w:tcW w:w="1384" w:type="dxa"/>
            <w:vAlign w:val="center"/>
          </w:tcPr>
          <w:p w14:paraId="00C34A05" w14:textId="77777777" w:rsidR="00ED0937" w:rsidRPr="00BC7299" w:rsidRDefault="00ED0937" w:rsidP="00BC7299">
            <w:pPr>
              <w:rPr>
                <w:rFonts w:ascii="Times New Roman" w:hAnsi="Times New Roman" w:cs="Times New Roman"/>
                <w:b w:val="0"/>
                <w:lang w:val="en-US"/>
              </w:rPr>
            </w:pPr>
          </w:p>
        </w:tc>
        <w:tc>
          <w:tcPr>
            <w:tcW w:w="7858" w:type="dxa"/>
            <w:vAlign w:val="center"/>
          </w:tcPr>
          <w:p w14:paraId="5EFB5AFC" w14:textId="77777777" w:rsidR="00ED0937" w:rsidRPr="00BC7299" w:rsidRDefault="00ED0937" w:rsidP="00BC72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bl>
    <w:p w14:paraId="58E919D6" w14:textId="77777777" w:rsidR="00960CD5" w:rsidRPr="00BC7299" w:rsidRDefault="00960CD5" w:rsidP="00024471">
      <w:pPr>
        <w:spacing w:after="0"/>
        <w:rPr>
          <w:rFonts w:ascii="Times New Roman" w:hAnsi="Times New Roman" w:cs="Times New Roman"/>
        </w:rPr>
      </w:pPr>
    </w:p>
    <w:sectPr w:rsidR="00960CD5" w:rsidRPr="00BC7299" w:rsidSect="002D213E">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4285F" w14:textId="77777777" w:rsidR="00024471" w:rsidRDefault="00024471" w:rsidP="001A3992">
      <w:pPr>
        <w:spacing w:after="0" w:line="240" w:lineRule="auto"/>
      </w:pPr>
      <w:r>
        <w:separator/>
      </w:r>
    </w:p>
  </w:endnote>
  <w:endnote w:type="continuationSeparator" w:id="0">
    <w:p w14:paraId="6A1115CA" w14:textId="77777777" w:rsidR="00024471" w:rsidRDefault="00024471"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593163430"/>
      <w:docPartObj>
        <w:docPartGallery w:val="Page Numbers (Bottom of Page)"/>
        <w:docPartUnique/>
      </w:docPartObj>
    </w:sdtPr>
    <w:sdtEndPr>
      <w:rPr>
        <w:noProof/>
      </w:rPr>
    </w:sdtEndPr>
    <w:sdtContent>
      <w:p w14:paraId="18C664BE" w14:textId="7572DDC8" w:rsidR="00024471" w:rsidRPr="007F407B" w:rsidRDefault="00024471" w:rsidP="00B73C99">
        <w:pPr>
          <w:pStyle w:val="Footer"/>
          <w:rPr>
            <w:sz w:val="18"/>
            <w:szCs w:val="18"/>
          </w:rPr>
        </w:pPr>
        <w:r>
          <w:rPr>
            <w:sz w:val="18"/>
            <w:szCs w:val="18"/>
          </w:rPr>
          <w:t>20190313_NER_</w:t>
        </w:r>
        <w:r w:rsidDel="00806799">
          <w:rPr>
            <w:sz w:val="18"/>
            <w:szCs w:val="18"/>
          </w:rPr>
          <w:t xml:space="preserve"> </w:t>
        </w:r>
        <w:r>
          <w:rPr>
            <w:sz w:val="18"/>
            <w:szCs w:val="18"/>
          </w:rPr>
          <w:t>PI_AU_CAT1-</w:t>
        </w:r>
        <w:r w:rsidRPr="00D60AD8">
          <w:rPr>
            <w:sz w:val="18"/>
            <w:szCs w:val="18"/>
          </w:rPr>
          <w:t xml:space="preserve"> </w:t>
        </w:r>
        <w:r>
          <w:rPr>
            <w:sz w:val="18"/>
            <w:szCs w:val="18"/>
          </w:rPr>
          <w:t>Approved</w:t>
        </w:r>
      </w:p>
      <w:p w14:paraId="39743E6A" w14:textId="47929A1F" w:rsidR="00024471" w:rsidRPr="007F407B" w:rsidRDefault="00024471" w:rsidP="007F407B">
        <w:pPr>
          <w:pStyle w:val="Footer"/>
          <w:rPr>
            <w:sz w:val="18"/>
            <w:szCs w:val="18"/>
          </w:rPr>
        </w:pPr>
        <w:r w:rsidRPr="007F407B">
          <w:rPr>
            <w:sz w:val="18"/>
            <w:szCs w:val="18"/>
          </w:rPr>
          <w:tab/>
        </w:r>
        <w:r w:rsidRPr="007F407B">
          <w:rPr>
            <w:sz w:val="18"/>
            <w:szCs w:val="18"/>
          </w:rPr>
          <w:tab/>
        </w:r>
        <w:r w:rsidRPr="007F407B">
          <w:rPr>
            <w:sz w:val="18"/>
            <w:szCs w:val="18"/>
          </w:rPr>
          <w:fldChar w:fldCharType="begin"/>
        </w:r>
        <w:r w:rsidRPr="007F407B">
          <w:rPr>
            <w:sz w:val="18"/>
            <w:szCs w:val="18"/>
          </w:rPr>
          <w:instrText xml:space="preserve"> PAGE   \* MERGEFORMAT </w:instrText>
        </w:r>
        <w:r w:rsidRPr="007F407B">
          <w:rPr>
            <w:sz w:val="18"/>
            <w:szCs w:val="18"/>
          </w:rPr>
          <w:fldChar w:fldCharType="separate"/>
        </w:r>
        <w:r w:rsidR="00276B03">
          <w:rPr>
            <w:noProof/>
            <w:sz w:val="18"/>
            <w:szCs w:val="18"/>
          </w:rPr>
          <w:t>19</w:t>
        </w:r>
        <w:r w:rsidRPr="007F407B">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263A2" w14:textId="4F7D545F" w:rsidR="00024471" w:rsidRPr="00B73C99" w:rsidRDefault="00024471" w:rsidP="00B73C99">
    <w:pPr>
      <w:pStyle w:val="Footer"/>
      <w:rPr>
        <w:sz w:val="18"/>
        <w:szCs w:val="18"/>
      </w:rPr>
    </w:pPr>
    <w:r>
      <w:rPr>
        <w:sz w:val="18"/>
        <w:szCs w:val="18"/>
      </w:rPr>
      <w:t>20190313_NER_</w:t>
    </w:r>
    <w:r w:rsidDel="00806799">
      <w:rPr>
        <w:sz w:val="18"/>
        <w:szCs w:val="18"/>
      </w:rPr>
      <w:t xml:space="preserve"> </w:t>
    </w:r>
    <w:r>
      <w:rPr>
        <w:sz w:val="18"/>
        <w:szCs w:val="18"/>
      </w:rPr>
      <w:t>PI_AU_CAT1-Approved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BF57D" w14:textId="77777777" w:rsidR="00024471" w:rsidRDefault="00024471" w:rsidP="001A3992">
      <w:pPr>
        <w:spacing w:after="0" w:line="240" w:lineRule="auto"/>
      </w:pPr>
      <w:r>
        <w:separator/>
      </w:r>
    </w:p>
  </w:footnote>
  <w:footnote w:type="continuationSeparator" w:id="0">
    <w:p w14:paraId="0CEF258A" w14:textId="77777777" w:rsidR="00024471" w:rsidRDefault="00024471"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024471" w14:paraId="1D08CD6B" w14:textId="77777777" w:rsidTr="00024471">
      <w:tc>
        <w:tcPr>
          <w:tcW w:w="8720" w:type="dxa"/>
          <w:shd w:val="clear" w:color="auto" w:fill="E4F2E0"/>
        </w:tcPr>
        <w:p w14:paraId="63826926" w14:textId="2AC6E23C" w:rsidR="00024471" w:rsidRPr="00FB03BD" w:rsidRDefault="00024471" w:rsidP="00DD45C5">
          <w:r w:rsidRPr="00D361CA">
            <w:rPr>
              <w:b/>
              <w:sz w:val="20"/>
              <w:szCs w:val="20"/>
            </w:rPr>
            <w:t xml:space="preserve">Attachment 1: Product information for </w:t>
          </w:r>
          <w:r w:rsidRPr="00DD45C5">
            <w:rPr>
              <w:b/>
              <w:sz w:val="20"/>
              <w:szCs w:val="20"/>
            </w:rPr>
            <w:t>AusPAR - NERLYNX - neratinib maleate - Specialised Therapeutics PM Pty Ltd - PM-2018-00968-1-4</w:t>
          </w:r>
          <w:r>
            <w:rPr>
              <w:b/>
              <w:sz w:val="20"/>
              <w:szCs w:val="20"/>
            </w:rPr>
            <w:t xml:space="preserve"> </w:t>
          </w:r>
          <w:r w:rsidRPr="00DD45C5">
            <w:rPr>
              <w:b/>
              <w:sz w:val="20"/>
              <w:szCs w:val="20"/>
            </w:rPr>
            <w:t>FINAL 12 May 2020</w:t>
          </w:r>
          <w:r w:rsidRPr="00D361CA">
            <w:rPr>
              <w:b/>
              <w:sz w:val="20"/>
              <w:szCs w:val="20"/>
            </w:rPr>
            <w:t xml:space="preserve">. </w:t>
          </w:r>
          <w:r w:rsidRPr="006918A5">
            <w:rPr>
              <w:b/>
              <w:sz w:val="18"/>
              <w:szCs w:val="18"/>
            </w:rPr>
            <w:t>This is the Product Information that was approved with the submission described in this AusPAR. It may have been superseded. For the most recent PI, please refer to the TGA website at</w:t>
          </w:r>
          <w:r>
            <w:rPr>
              <w:b/>
              <w:sz w:val="18"/>
              <w:szCs w:val="18"/>
            </w:rPr>
            <w:t xml:space="preserve"> &lt;</w:t>
          </w:r>
          <w:hyperlink r:id="rId1" w:history="1">
            <w:r w:rsidRPr="006918A5">
              <w:rPr>
                <w:rStyle w:val="Hyperlink"/>
                <w:sz w:val="18"/>
                <w:szCs w:val="18"/>
              </w:rPr>
              <w:t>https://www.tga.gov.au/product-information-pi</w:t>
            </w:r>
          </w:hyperlink>
          <w:r w:rsidRPr="00FB03BD">
            <w:rPr>
              <w:rStyle w:val="Hyperlink"/>
              <w:sz w:val="18"/>
              <w:szCs w:val="18"/>
            </w:rPr>
            <w:t>&gt;</w:t>
          </w:r>
        </w:p>
      </w:tc>
    </w:tr>
  </w:tbl>
  <w:p w14:paraId="1B568F4C" w14:textId="77777777" w:rsidR="00024471" w:rsidRDefault="00024471" w:rsidP="00AF5566">
    <w:pPr>
      <w:pStyle w:val="Header"/>
      <w:jc w:val="center"/>
      <w:rPr>
        <w:rFonts w:ascii="Times New Roman" w:hAnsi="Times New Roman" w:cs="Times New Roman"/>
        <w:sz w:val="28"/>
      </w:rPr>
    </w:pPr>
  </w:p>
  <w:p w14:paraId="77DC5362" w14:textId="18449D63" w:rsidR="00024471" w:rsidRDefault="00024471" w:rsidP="00AF5566">
    <w:pPr>
      <w:pStyle w:val="Header"/>
      <w:jc w:val="center"/>
      <w:rPr>
        <w:rFonts w:ascii="Times New Roman" w:hAnsi="Times New Roman" w:cs="Times New Roman"/>
        <w:sz w:val="28"/>
      </w:rPr>
    </w:pPr>
    <w:r>
      <w:rPr>
        <w:rFonts w:ascii="Times New Roman" w:hAnsi="Times New Roman" w:cs="Times New Roman"/>
        <w:sz w:val="28"/>
      </w:rPr>
      <w:t>Australian Product Information</w:t>
    </w:r>
  </w:p>
  <w:p w14:paraId="0D5D4CF0" w14:textId="535AA38C" w:rsidR="00024471" w:rsidRDefault="00024471" w:rsidP="00A3708B">
    <w:pPr>
      <w:pStyle w:val="Header"/>
      <w:jc w:val="center"/>
      <w:rPr>
        <w:rFonts w:ascii="Times New Roman" w:hAnsi="Times New Roman" w:cs="Times New Roman"/>
        <w:sz w:val="28"/>
      </w:rPr>
    </w:pPr>
    <w:r>
      <w:rPr>
        <w:rFonts w:ascii="Times New Roman" w:hAnsi="Times New Roman" w:cs="Times New Roman"/>
        <w:sz w:val="28"/>
      </w:rPr>
      <w:t>NERLYNX</w:t>
    </w:r>
    <w:r w:rsidRPr="00DC23EA">
      <w:rPr>
        <w:rFonts w:ascii="Times New Roman" w:hAnsi="Times New Roman" w:cs="Times New Roman"/>
        <w:sz w:val="28"/>
        <w:vertAlign w:val="superscript"/>
      </w:rPr>
      <w:t>®</w:t>
    </w:r>
    <w:r>
      <w:rPr>
        <w:rFonts w:ascii="Times New Roman" w:hAnsi="Times New Roman" w:cs="Times New Roman"/>
        <w:sz w:val="28"/>
      </w:rPr>
      <w:t xml:space="preserve"> (neratinib) Tablets</w:t>
    </w:r>
  </w:p>
  <w:p w14:paraId="2E1E79C8" w14:textId="77777777" w:rsidR="00024471" w:rsidRDefault="00024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5C455B"/>
    <w:multiLevelType w:val="hybridMultilevel"/>
    <w:tmpl w:val="03FC1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C0349B"/>
    <w:multiLevelType w:val="hybridMultilevel"/>
    <w:tmpl w:val="DB1A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233A1"/>
    <w:multiLevelType w:val="hybridMultilevel"/>
    <w:tmpl w:val="ABA0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87222"/>
    <w:multiLevelType w:val="hybridMultilevel"/>
    <w:tmpl w:val="956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9320C"/>
    <w:multiLevelType w:val="multilevel"/>
    <w:tmpl w:val="27E4DAC8"/>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val="0"/>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80F3C7D"/>
    <w:multiLevelType w:val="multilevel"/>
    <w:tmpl w:val="B7F6F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064BAF"/>
    <w:multiLevelType w:val="multilevel"/>
    <w:tmpl w:val="05AA95D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val="0"/>
        <w:i w:val="0"/>
        <w:color w:val="auto"/>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1F5D4A"/>
    <w:multiLevelType w:val="hybridMultilevel"/>
    <w:tmpl w:val="B7F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C1B49"/>
    <w:multiLevelType w:val="hybridMultilevel"/>
    <w:tmpl w:val="F74CE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A11AAA"/>
    <w:multiLevelType w:val="hybridMultilevel"/>
    <w:tmpl w:val="52AE73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740E73"/>
    <w:multiLevelType w:val="hybridMultilevel"/>
    <w:tmpl w:val="09F43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BB7AF6"/>
    <w:multiLevelType w:val="multilevel"/>
    <w:tmpl w:val="05AA95D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val="0"/>
        <w:i w:val="0"/>
        <w:color w:val="auto"/>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FE030C9"/>
    <w:multiLevelType w:val="hybridMultilevel"/>
    <w:tmpl w:val="92FC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32797"/>
    <w:multiLevelType w:val="multilevel"/>
    <w:tmpl w:val="AC00EA2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Times New Roman" w:hAnsi="Times New Roman" w:cs="Times New Roman" w:hint="default"/>
        <w:b w:val="0"/>
        <w:i w:val="0"/>
        <w:color w:val="auto"/>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8579EC"/>
    <w:multiLevelType w:val="hybridMultilevel"/>
    <w:tmpl w:val="336E7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C32A73"/>
    <w:multiLevelType w:val="hybridMultilevel"/>
    <w:tmpl w:val="64E0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0"/>
  </w:num>
  <w:num w:numId="4">
    <w:abstractNumId w:val="10"/>
  </w:num>
  <w:num w:numId="5">
    <w:abstractNumId w:val="24"/>
  </w:num>
  <w:num w:numId="6">
    <w:abstractNumId w:val="20"/>
  </w:num>
  <w:num w:numId="7">
    <w:abstractNumId w:val="15"/>
  </w:num>
  <w:num w:numId="8">
    <w:abstractNumId w:val="21"/>
  </w:num>
  <w:num w:numId="9">
    <w:abstractNumId w:val="3"/>
  </w:num>
  <w:num w:numId="10">
    <w:abstractNumId w:val="14"/>
  </w:num>
  <w:num w:numId="11">
    <w:abstractNumId w:val="19"/>
  </w:num>
  <w:num w:numId="12">
    <w:abstractNumId w:val="19"/>
  </w:num>
  <w:num w:numId="13">
    <w:abstractNumId w:val="19"/>
  </w:num>
  <w:num w:numId="14">
    <w:abstractNumId w:val="23"/>
  </w:num>
  <w:num w:numId="15">
    <w:abstractNumId w:val="16"/>
  </w:num>
  <w:num w:numId="16">
    <w:abstractNumId w:val="13"/>
  </w:num>
  <w:num w:numId="17">
    <w:abstractNumId w:val="5"/>
  </w:num>
  <w:num w:numId="18">
    <w:abstractNumId w:val="11"/>
  </w:num>
  <w:num w:numId="19">
    <w:abstractNumId w:val="4"/>
  </w:num>
  <w:num w:numId="20">
    <w:abstractNumId w:val="1"/>
  </w:num>
  <w:num w:numId="21">
    <w:abstractNumId w:val="7"/>
  </w:num>
  <w:num w:numId="22">
    <w:abstractNumId w:val="9"/>
  </w:num>
  <w:num w:numId="23">
    <w:abstractNumId w:val="17"/>
  </w:num>
  <w:num w:numId="24">
    <w:abstractNumId w:val="8"/>
  </w:num>
  <w:num w:numId="25">
    <w:abstractNumId w:val="12"/>
  </w:num>
  <w:num w:numId="26">
    <w:abstractNumId w:val="22"/>
  </w:num>
  <w:num w:numId="27">
    <w:abstractNumId w:val="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73"/>
    <w:rsid w:val="00005F70"/>
    <w:rsid w:val="00016596"/>
    <w:rsid w:val="0002377C"/>
    <w:rsid w:val="00024471"/>
    <w:rsid w:val="000313A3"/>
    <w:rsid w:val="00033000"/>
    <w:rsid w:val="00043609"/>
    <w:rsid w:val="00043D01"/>
    <w:rsid w:val="0005319A"/>
    <w:rsid w:val="00054291"/>
    <w:rsid w:val="00054B8C"/>
    <w:rsid w:val="000604C6"/>
    <w:rsid w:val="000663A0"/>
    <w:rsid w:val="000727C2"/>
    <w:rsid w:val="000742FB"/>
    <w:rsid w:val="00077EC3"/>
    <w:rsid w:val="00084042"/>
    <w:rsid w:val="00084471"/>
    <w:rsid w:val="00092B1E"/>
    <w:rsid w:val="00094CCC"/>
    <w:rsid w:val="000951B4"/>
    <w:rsid w:val="00097D9C"/>
    <w:rsid w:val="000A0D43"/>
    <w:rsid w:val="000A190A"/>
    <w:rsid w:val="000A66CB"/>
    <w:rsid w:val="000B30EE"/>
    <w:rsid w:val="000B36E9"/>
    <w:rsid w:val="000C08B1"/>
    <w:rsid w:val="000C1269"/>
    <w:rsid w:val="000C2EEB"/>
    <w:rsid w:val="000C64F3"/>
    <w:rsid w:val="000D08CF"/>
    <w:rsid w:val="000D1546"/>
    <w:rsid w:val="000D7C27"/>
    <w:rsid w:val="000E33B7"/>
    <w:rsid w:val="000E369A"/>
    <w:rsid w:val="000F460E"/>
    <w:rsid w:val="000F751C"/>
    <w:rsid w:val="00101D07"/>
    <w:rsid w:val="001020C1"/>
    <w:rsid w:val="00105046"/>
    <w:rsid w:val="00107B83"/>
    <w:rsid w:val="0011220F"/>
    <w:rsid w:val="00116FDB"/>
    <w:rsid w:val="0012291A"/>
    <w:rsid w:val="00125FA8"/>
    <w:rsid w:val="001405E5"/>
    <w:rsid w:val="00145CE7"/>
    <w:rsid w:val="00147554"/>
    <w:rsid w:val="00156494"/>
    <w:rsid w:val="00156DE3"/>
    <w:rsid w:val="00170012"/>
    <w:rsid w:val="0017115C"/>
    <w:rsid w:val="00177B35"/>
    <w:rsid w:val="00186CDD"/>
    <w:rsid w:val="0019022A"/>
    <w:rsid w:val="00191582"/>
    <w:rsid w:val="00193B8F"/>
    <w:rsid w:val="00194641"/>
    <w:rsid w:val="0019625F"/>
    <w:rsid w:val="001A1505"/>
    <w:rsid w:val="001A1B8F"/>
    <w:rsid w:val="001A1DED"/>
    <w:rsid w:val="001A1F4B"/>
    <w:rsid w:val="001A3992"/>
    <w:rsid w:val="001A67D5"/>
    <w:rsid w:val="001B49B0"/>
    <w:rsid w:val="001B50AD"/>
    <w:rsid w:val="001C4317"/>
    <w:rsid w:val="001D10A0"/>
    <w:rsid w:val="001D4603"/>
    <w:rsid w:val="001E126F"/>
    <w:rsid w:val="001E41D8"/>
    <w:rsid w:val="001F0B45"/>
    <w:rsid w:val="001F3F39"/>
    <w:rsid w:val="00203B3D"/>
    <w:rsid w:val="00217DCD"/>
    <w:rsid w:val="00221F30"/>
    <w:rsid w:val="002233DC"/>
    <w:rsid w:val="00226246"/>
    <w:rsid w:val="00234DE2"/>
    <w:rsid w:val="00237DFC"/>
    <w:rsid w:val="0025090D"/>
    <w:rsid w:val="002660FE"/>
    <w:rsid w:val="00274B5E"/>
    <w:rsid w:val="00276B03"/>
    <w:rsid w:val="002846BA"/>
    <w:rsid w:val="00286595"/>
    <w:rsid w:val="00286E45"/>
    <w:rsid w:val="00290ADC"/>
    <w:rsid w:val="002928C3"/>
    <w:rsid w:val="0029722C"/>
    <w:rsid w:val="002A0C65"/>
    <w:rsid w:val="002B6EA0"/>
    <w:rsid w:val="002B71E6"/>
    <w:rsid w:val="002B7F68"/>
    <w:rsid w:val="002C2C69"/>
    <w:rsid w:val="002C6905"/>
    <w:rsid w:val="002D213E"/>
    <w:rsid w:val="002D5965"/>
    <w:rsid w:val="002D5D42"/>
    <w:rsid w:val="002D6BA0"/>
    <w:rsid w:val="002D6E89"/>
    <w:rsid w:val="002E0509"/>
    <w:rsid w:val="002E277D"/>
    <w:rsid w:val="002E4BA4"/>
    <w:rsid w:val="002E6AC3"/>
    <w:rsid w:val="002F13FA"/>
    <w:rsid w:val="002F22E5"/>
    <w:rsid w:val="002F3BF6"/>
    <w:rsid w:val="002F7C15"/>
    <w:rsid w:val="00301BEA"/>
    <w:rsid w:val="0030317F"/>
    <w:rsid w:val="00303DAF"/>
    <w:rsid w:val="00304BD2"/>
    <w:rsid w:val="003102D2"/>
    <w:rsid w:val="003171B2"/>
    <w:rsid w:val="00321EF8"/>
    <w:rsid w:val="0032335A"/>
    <w:rsid w:val="0032537E"/>
    <w:rsid w:val="00332FA2"/>
    <w:rsid w:val="00333613"/>
    <w:rsid w:val="00341A7B"/>
    <w:rsid w:val="00344167"/>
    <w:rsid w:val="00344DE6"/>
    <w:rsid w:val="00346269"/>
    <w:rsid w:val="00347EB6"/>
    <w:rsid w:val="003528B7"/>
    <w:rsid w:val="0035462F"/>
    <w:rsid w:val="00354A3D"/>
    <w:rsid w:val="00364AF1"/>
    <w:rsid w:val="00364B02"/>
    <w:rsid w:val="0036619E"/>
    <w:rsid w:val="0036677E"/>
    <w:rsid w:val="0037350A"/>
    <w:rsid w:val="0037488D"/>
    <w:rsid w:val="00376719"/>
    <w:rsid w:val="0038056A"/>
    <w:rsid w:val="00381C1D"/>
    <w:rsid w:val="00383122"/>
    <w:rsid w:val="00383F91"/>
    <w:rsid w:val="0038793F"/>
    <w:rsid w:val="00395FDF"/>
    <w:rsid w:val="003960B8"/>
    <w:rsid w:val="003A11E7"/>
    <w:rsid w:val="003A5632"/>
    <w:rsid w:val="003A6CC8"/>
    <w:rsid w:val="003A770C"/>
    <w:rsid w:val="003B19DB"/>
    <w:rsid w:val="003B55B5"/>
    <w:rsid w:val="003C00AD"/>
    <w:rsid w:val="003C2EB5"/>
    <w:rsid w:val="003C313E"/>
    <w:rsid w:val="003C78CC"/>
    <w:rsid w:val="003D518F"/>
    <w:rsid w:val="003D6285"/>
    <w:rsid w:val="003D7588"/>
    <w:rsid w:val="003D77D5"/>
    <w:rsid w:val="003E072E"/>
    <w:rsid w:val="003E122D"/>
    <w:rsid w:val="003F00F0"/>
    <w:rsid w:val="003F15AD"/>
    <w:rsid w:val="003F4088"/>
    <w:rsid w:val="004032BD"/>
    <w:rsid w:val="00414FDF"/>
    <w:rsid w:val="00426912"/>
    <w:rsid w:val="0043134B"/>
    <w:rsid w:val="00431ACD"/>
    <w:rsid w:val="004331A8"/>
    <w:rsid w:val="00434131"/>
    <w:rsid w:val="00445075"/>
    <w:rsid w:val="0044698F"/>
    <w:rsid w:val="00447A8F"/>
    <w:rsid w:val="0045304F"/>
    <w:rsid w:val="00456A82"/>
    <w:rsid w:val="00464609"/>
    <w:rsid w:val="004915BA"/>
    <w:rsid w:val="004939EE"/>
    <w:rsid w:val="00496C8D"/>
    <w:rsid w:val="00497427"/>
    <w:rsid w:val="004A64BE"/>
    <w:rsid w:val="004B23ED"/>
    <w:rsid w:val="004B4313"/>
    <w:rsid w:val="004B55C6"/>
    <w:rsid w:val="004B766C"/>
    <w:rsid w:val="004D4B92"/>
    <w:rsid w:val="004D540A"/>
    <w:rsid w:val="004D691D"/>
    <w:rsid w:val="004D7A70"/>
    <w:rsid w:val="004E1CE0"/>
    <w:rsid w:val="004E20FC"/>
    <w:rsid w:val="004E3AA0"/>
    <w:rsid w:val="004E50DF"/>
    <w:rsid w:val="004F1909"/>
    <w:rsid w:val="004F1ED3"/>
    <w:rsid w:val="0050117A"/>
    <w:rsid w:val="005029BF"/>
    <w:rsid w:val="00504AC2"/>
    <w:rsid w:val="00511C26"/>
    <w:rsid w:val="00512AED"/>
    <w:rsid w:val="00512BA0"/>
    <w:rsid w:val="00523117"/>
    <w:rsid w:val="00523ECC"/>
    <w:rsid w:val="0052596B"/>
    <w:rsid w:val="0052726E"/>
    <w:rsid w:val="005403EE"/>
    <w:rsid w:val="005408D5"/>
    <w:rsid w:val="00543E73"/>
    <w:rsid w:val="00547035"/>
    <w:rsid w:val="00547F54"/>
    <w:rsid w:val="00551905"/>
    <w:rsid w:val="0055489D"/>
    <w:rsid w:val="00562CBF"/>
    <w:rsid w:val="00563827"/>
    <w:rsid w:val="005725A1"/>
    <w:rsid w:val="00573CAB"/>
    <w:rsid w:val="00577191"/>
    <w:rsid w:val="00582F68"/>
    <w:rsid w:val="00593D39"/>
    <w:rsid w:val="005A10D3"/>
    <w:rsid w:val="005B0156"/>
    <w:rsid w:val="005B23B6"/>
    <w:rsid w:val="005B383A"/>
    <w:rsid w:val="005B3EC1"/>
    <w:rsid w:val="005B3FFC"/>
    <w:rsid w:val="005B4AFC"/>
    <w:rsid w:val="005B4FFC"/>
    <w:rsid w:val="005C3F31"/>
    <w:rsid w:val="005E1BFD"/>
    <w:rsid w:val="005E315D"/>
    <w:rsid w:val="005F478D"/>
    <w:rsid w:val="005F66C9"/>
    <w:rsid w:val="005F6EB7"/>
    <w:rsid w:val="006018DA"/>
    <w:rsid w:val="006073C1"/>
    <w:rsid w:val="00634737"/>
    <w:rsid w:val="00635C31"/>
    <w:rsid w:val="006362F4"/>
    <w:rsid w:val="006418C3"/>
    <w:rsid w:val="00643A2F"/>
    <w:rsid w:val="0064429D"/>
    <w:rsid w:val="00644C29"/>
    <w:rsid w:val="00646ADE"/>
    <w:rsid w:val="0065255A"/>
    <w:rsid w:val="006542DA"/>
    <w:rsid w:val="0066076F"/>
    <w:rsid w:val="006610B6"/>
    <w:rsid w:val="006614B4"/>
    <w:rsid w:val="006773A3"/>
    <w:rsid w:val="00682CE8"/>
    <w:rsid w:val="00687B66"/>
    <w:rsid w:val="00693C69"/>
    <w:rsid w:val="006960D1"/>
    <w:rsid w:val="00697EA9"/>
    <w:rsid w:val="006A0D94"/>
    <w:rsid w:val="006A4EAB"/>
    <w:rsid w:val="006B003C"/>
    <w:rsid w:val="006B0BA1"/>
    <w:rsid w:val="006B2C13"/>
    <w:rsid w:val="006B5B05"/>
    <w:rsid w:val="006C4BD7"/>
    <w:rsid w:val="006C4CC6"/>
    <w:rsid w:val="006C674C"/>
    <w:rsid w:val="006D0B29"/>
    <w:rsid w:val="006D12B9"/>
    <w:rsid w:val="006D45AE"/>
    <w:rsid w:val="006D4EC4"/>
    <w:rsid w:val="006E5D86"/>
    <w:rsid w:val="006F24D4"/>
    <w:rsid w:val="006F29AE"/>
    <w:rsid w:val="006F54B1"/>
    <w:rsid w:val="00701B11"/>
    <w:rsid w:val="00702764"/>
    <w:rsid w:val="00704D72"/>
    <w:rsid w:val="00707253"/>
    <w:rsid w:val="00710899"/>
    <w:rsid w:val="0071275D"/>
    <w:rsid w:val="007221CF"/>
    <w:rsid w:val="00722328"/>
    <w:rsid w:val="00743F1C"/>
    <w:rsid w:val="0074615A"/>
    <w:rsid w:val="007618E7"/>
    <w:rsid w:val="007635B2"/>
    <w:rsid w:val="0076542C"/>
    <w:rsid w:val="00772176"/>
    <w:rsid w:val="00774CA7"/>
    <w:rsid w:val="00775089"/>
    <w:rsid w:val="0077790E"/>
    <w:rsid w:val="00777EBD"/>
    <w:rsid w:val="00787270"/>
    <w:rsid w:val="00790683"/>
    <w:rsid w:val="00791674"/>
    <w:rsid w:val="007952A9"/>
    <w:rsid w:val="007A1A5C"/>
    <w:rsid w:val="007A5CB6"/>
    <w:rsid w:val="007B1D09"/>
    <w:rsid w:val="007B2AF9"/>
    <w:rsid w:val="007B39AA"/>
    <w:rsid w:val="007B4448"/>
    <w:rsid w:val="007B5FE8"/>
    <w:rsid w:val="007C0259"/>
    <w:rsid w:val="007C10A7"/>
    <w:rsid w:val="007C2400"/>
    <w:rsid w:val="007C39F5"/>
    <w:rsid w:val="007D2F22"/>
    <w:rsid w:val="007D3F2C"/>
    <w:rsid w:val="007D580A"/>
    <w:rsid w:val="007E12EF"/>
    <w:rsid w:val="007E1A7E"/>
    <w:rsid w:val="007E392A"/>
    <w:rsid w:val="007E5672"/>
    <w:rsid w:val="007E693C"/>
    <w:rsid w:val="007F407B"/>
    <w:rsid w:val="007F5FD7"/>
    <w:rsid w:val="007F7495"/>
    <w:rsid w:val="008019E0"/>
    <w:rsid w:val="00803AD7"/>
    <w:rsid w:val="008057D7"/>
    <w:rsid w:val="00806799"/>
    <w:rsid w:val="0081559A"/>
    <w:rsid w:val="0082220D"/>
    <w:rsid w:val="008258F4"/>
    <w:rsid w:val="008266BC"/>
    <w:rsid w:val="00830329"/>
    <w:rsid w:val="00837C69"/>
    <w:rsid w:val="00837DF5"/>
    <w:rsid w:val="0084556C"/>
    <w:rsid w:val="00846A72"/>
    <w:rsid w:val="00852167"/>
    <w:rsid w:val="0085258E"/>
    <w:rsid w:val="008528DC"/>
    <w:rsid w:val="008543AC"/>
    <w:rsid w:val="008623D5"/>
    <w:rsid w:val="00864D49"/>
    <w:rsid w:val="0086592E"/>
    <w:rsid w:val="00866EF3"/>
    <w:rsid w:val="00872145"/>
    <w:rsid w:val="00880379"/>
    <w:rsid w:val="00881220"/>
    <w:rsid w:val="00885EBB"/>
    <w:rsid w:val="008904AA"/>
    <w:rsid w:val="008A124B"/>
    <w:rsid w:val="008A2639"/>
    <w:rsid w:val="008B475C"/>
    <w:rsid w:val="008B494A"/>
    <w:rsid w:val="008B5F93"/>
    <w:rsid w:val="008C203F"/>
    <w:rsid w:val="008C2B17"/>
    <w:rsid w:val="008C6E5B"/>
    <w:rsid w:val="008D4834"/>
    <w:rsid w:val="008D6D01"/>
    <w:rsid w:val="008E1D0C"/>
    <w:rsid w:val="008F381D"/>
    <w:rsid w:val="008F6B23"/>
    <w:rsid w:val="008F7D6A"/>
    <w:rsid w:val="00902D63"/>
    <w:rsid w:val="009044AC"/>
    <w:rsid w:val="009130F0"/>
    <w:rsid w:val="0091574E"/>
    <w:rsid w:val="0092354B"/>
    <w:rsid w:val="00927A52"/>
    <w:rsid w:val="009325DF"/>
    <w:rsid w:val="009326D2"/>
    <w:rsid w:val="0093560F"/>
    <w:rsid w:val="00937A1F"/>
    <w:rsid w:val="009506D9"/>
    <w:rsid w:val="00950CD6"/>
    <w:rsid w:val="009578A5"/>
    <w:rsid w:val="009602FE"/>
    <w:rsid w:val="00960503"/>
    <w:rsid w:val="00960CD5"/>
    <w:rsid w:val="00966670"/>
    <w:rsid w:val="00980916"/>
    <w:rsid w:val="009814FC"/>
    <w:rsid w:val="00983281"/>
    <w:rsid w:val="00987501"/>
    <w:rsid w:val="00992A68"/>
    <w:rsid w:val="009932AD"/>
    <w:rsid w:val="009954CD"/>
    <w:rsid w:val="009A0E0B"/>
    <w:rsid w:val="009A354C"/>
    <w:rsid w:val="009A3968"/>
    <w:rsid w:val="009A4495"/>
    <w:rsid w:val="009A4D32"/>
    <w:rsid w:val="009A5162"/>
    <w:rsid w:val="009A5F04"/>
    <w:rsid w:val="009A6825"/>
    <w:rsid w:val="009B3715"/>
    <w:rsid w:val="009B762C"/>
    <w:rsid w:val="009C70D6"/>
    <w:rsid w:val="009D5E25"/>
    <w:rsid w:val="009E03A7"/>
    <w:rsid w:val="009E402F"/>
    <w:rsid w:val="009E6E85"/>
    <w:rsid w:val="009F267B"/>
    <w:rsid w:val="009F4DD1"/>
    <w:rsid w:val="009F7631"/>
    <w:rsid w:val="00A00E5B"/>
    <w:rsid w:val="00A00FAC"/>
    <w:rsid w:val="00A06C3F"/>
    <w:rsid w:val="00A07D03"/>
    <w:rsid w:val="00A107D9"/>
    <w:rsid w:val="00A14BD5"/>
    <w:rsid w:val="00A17A22"/>
    <w:rsid w:val="00A30D15"/>
    <w:rsid w:val="00A31875"/>
    <w:rsid w:val="00A32B34"/>
    <w:rsid w:val="00A3708B"/>
    <w:rsid w:val="00A4179C"/>
    <w:rsid w:val="00A4414B"/>
    <w:rsid w:val="00A4498F"/>
    <w:rsid w:val="00A555D3"/>
    <w:rsid w:val="00A57B88"/>
    <w:rsid w:val="00A676D5"/>
    <w:rsid w:val="00A95E45"/>
    <w:rsid w:val="00A970CF"/>
    <w:rsid w:val="00AA2585"/>
    <w:rsid w:val="00AA347E"/>
    <w:rsid w:val="00AA4CA1"/>
    <w:rsid w:val="00AA590F"/>
    <w:rsid w:val="00AB7664"/>
    <w:rsid w:val="00AC02E4"/>
    <w:rsid w:val="00AC053C"/>
    <w:rsid w:val="00AD00F7"/>
    <w:rsid w:val="00AD2533"/>
    <w:rsid w:val="00AD383B"/>
    <w:rsid w:val="00AE05C8"/>
    <w:rsid w:val="00AE1655"/>
    <w:rsid w:val="00AE2209"/>
    <w:rsid w:val="00AE73AA"/>
    <w:rsid w:val="00AF01FA"/>
    <w:rsid w:val="00AF331A"/>
    <w:rsid w:val="00AF3B23"/>
    <w:rsid w:val="00AF5566"/>
    <w:rsid w:val="00AF7C70"/>
    <w:rsid w:val="00AF7CFA"/>
    <w:rsid w:val="00B02DBE"/>
    <w:rsid w:val="00B045C2"/>
    <w:rsid w:val="00B068BE"/>
    <w:rsid w:val="00B16930"/>
    <w:rsid w:val="00B17EF2"/>
    <w:rsid w:val="00B21C06"/>
    <w:rsid w:val="00B256CA"/>
    <w:rsid w:val="00B276C4"/>
    <w:rsid w:val="00B33112"/>
    <w:rsid w:val="00B4115B"/>
    <w:rsid w:val="00B42C60"/>
    <w:rsid w:val="00B4618C"/>
    <w:rsid w:val="00B627D6"/>
    <w:rsid w:val="00B66CF7"/>
    <w:rsid w:val="00B67FF2"/>
    <w:rsid w:val="00B73C99"/>
    <w:rsid w:val="00B766CE"/>
    <w:rsid w:val="00B76A9B"/>
    <w:rsid w:val="00B8015D"/>
    <w:rsid w:val="00B80398"/>
    <w:rsid w:val="00B85FBB"/>
    <w:rsid w:val="00B90496"/>
    <w:rsid w:val="00B96C4C"/>
    <w:rsid w:val="00BA3AC8"/>
    <w:rsid w:val="00BA4CAE"/>
    <w:rsid w:val="00BB2A92"/>
    <w:rsid w:val="00BB69EA"/>
    <w:rsid w:val="00BC1A45"/>
    <w:rsid w:val="00BC557E"/>
    <w:rsid w:val="00BC624B"/>
    <w:rsid w:val="00BC7299"/>
    <w:rsid w:val="00BD2AA2"/>
    <w:rsid w:val="00BD5C78"/>
    <w:rsid w:val="00BE5D4A"/>
    <w:rsid w:val="00BE6765"/>
    <w:rsid w:val="00BF0F86"/>
    <w:rsid w:val="00BF16E4"/>
    <w:rsid w:val="00BF33E0"/>
    <w:rsid w:val="00BF416C"/>
    <w:rsid w:val="00BF499C"/>
    <w:rsid w:val="00C010B8"/>
    <w:rsid w:val="00C027B2"/>
    <w:rsid w:val="00C065F5"/>
    <w:rsid w:val="00C06991"/>
    <w:rsid w:val="00C14A7D"/>
    <w:rsid w:val="00C21C8F"/>
    <w:rsid w:val="00C22D13"/>
    <w:rsid w:val="00C27902"/>
    <w:rsid w:val="00C31518"/>
    <w:rsid w:val="00C36764"/>
    <w:rsid w:val="00C40C4A"/>
    <w:rsid w:val="00C43AD0"/>
    <w:rsid w:val="00C43D50"/>
    <w:rsid w:val="00C465FD"/>
    <w:rsid w:val="00C47438"/>
    <w:rsid w:val="00C55469"/>
    <w:rsid w:val="00C559A5"/>
    <w:rsid w:val="00C56643"/>
    <w:rsid w:val="00C56CF2"/>
    <w:rsid w:val="00C66977"/>
    <w:rsid w:val="00C7365C"/>
    <w:rsid w:val="00C768D1"/>
    <w:rsid w:val="00C826CB"/>
    <w:rsid w:val="00C83F5C"/>
    <w:rsid w:val="00C85880"/>
    <w:rsid w:val="00C91A9B"/>
    <w:rsid w:val="00C933D9"/>
    <w:rsid w:val="00C9518D"/>
    <w:rsid w:val="00CA0607"/>
    <w:rsid w:val="00CA430B"/>
    <w:rsid w:val="00CA65F5"/>
    <w:rsid w:val="00CA6CCF"/>
    <w:rsid w:val="00CA750E"/>
    <w:rsid w:val="00CB2CF9"/>
    <w:rsid w:val="00CB47A6"/>
    <w:rsid w:val="00CB66F8"/>
    <w:rsid w:val="00CC0BEF"/>
    <w:rsid w:val="00CC51F1"/>
    <w:rsid w:val="00CD482E"/>
    <w:rsid w:val="00CE5B57"/>
    <w:rsid w:val="00CF0219"/>
    <w:rsid w:val="00CF3E51"/>
    <w:rsid w:val="00CF7B45"/>
    <w:rsid w:val="00D03510"/>
    <w:rsid w:val="00D03EEA"/>
    <w:rsid w:val="00D07565"/>
    <w:rsid w:val="00D10AB4"/>
    <w:rsid w:val="00D10F1C"/>
    <w:rsid w:val="00D11A1D"/>
    <w:rsid w:val="00D11D59"/>
    <w:rsid w:val="00D1371C"/>
    <w:rsid w:val="00D20CE7"/>
    <w:rsid w:val="00D21C3B"/>
    <w:rsid w:val="00D245E5"/>
    <w:rsid w:val="00D26C99"/>
    <w:rsid w:val="00D26D42"/>
    <w:rsid w:val="00D27214"/>
    <w:rsid w:val="00D312A2"/>
    <w:rsid w:val="00D32961"/>
    <w:rsid w:val="00D429D4"/>
    <w:rsid w:val="00D44BA0"/>
    <w:rsid w:val="00D46EB8"/>
    <w:rsid w:val="00D54C1F"/>
    <w:rsid w:val="00D60620"/>
    <w:rsid w:val="00D60AD8"/>
    <w:rsid w:val="00D61D42"/>
    <w:rsid w:val="00D64667"/>
    <w:rsid w:val="00D65FCE"/>
    <w:rsid w:val="00D667E5"/>
    <w:rsid w:val="00D720E1"/>
    <w:rsid w:val="00D75B85"/>
    <w:rsid w:val="00D7793E"/>
    <w:rsid w:val="00D80E3B"/>
    <w:rsid w:val="00D85691"/>
    <w:rsid w:val="00D86A6C"/>
    <w:rsid w:val="00D916AC"/>
    <w:rsid w:val="00D934E9"/>
    <w:rsid w:val="00D94465"/>
    <w:rsid w:val="00D945DD"/>
    <w:rsid w:val="00D94E00"/>
    <w:rsid w:val="00D97047"/>
    <w:rsid w:val="00D97FF5"/>
    <w:rsid w:val="00DA52F7"/>
    <w:rsid w:val="00DA73AD"/>
    <w:rsid w:val="00DB383F"/>
    <w:rsid w:val="00DB4F2D"/>
    <w:rsid w:val="00DB78E5"/>
    <w:rsid w:val="00DC23EA"/>
    <w:rsid w:val="00DC493A"/>
    <w:rsid w:val="00DC798B"/>
    <w:rsid w:val="00DD38AC"/>
    <w:rsid w:val="00DD45C5"/>
    <w:rsid w:val="00DD6C36"/>
    <w:rsid w:val="00DE1C00"/>
    <w:rsid w:val="00DE1CD5"/>
    <w:rsid w:val="00DE1CFE"/>
    <w:rsid w:val="00DE21FC"/>
    <w:rsid w:val="00DE7C2B"/>
    <w:rsid w:val="00DF025B"/>
    <w:rsid w:val="00DF5E99"/>
    <w:rsid w:val="00DF7AB9"/>
    <w:rsid w:val="00E04A73"/>
    <w:rsid w:val="00E05CC8"/>
    <w:rsid w:val="00E13E1F"/>
    <w:rsid w:val="00E163D3"/>
    <w:rsid w:val="00E22E45"/>
    <w:rsid w:val="00E31708"/>
    <w:rsid w:val="00E411AF"/>
    <w:rsid w:val="00E41FEC"/>
    <w:rsid w:val="00E50C4B"/>
    <w:rsid w:val="00E52A60"/>
    <w:rsid w:val="00E53782"/>
    <w:rsid w:val="00E545D4"/>
    <w:rsid w:val="00E646A8"/>
    <w:rsid w:val="00E662D7"/>
    <w:rsid w:val="00E74A56"/>
    <w:rsid w:val="00E771EB"/>
    <w:rsid w:val="00E82565"/>
    <w:rsid w:val="00E83517"/>
    <w:rsid w:val="00E84862"/>
    <w:rsid w:val="00E84C33"/>
    <w:rsid w:val="00E86B82"/>
    <w:rsid w:val="00E94119"/>
    <w:rsid w:val="00EA212C"/>
    <w:rsid w:val="00EA3300"/>
    <w:rsid w:val="00EA3C5B"/>
    <w:rsid w:val="00EA466C"/>
    <w:rsid w:val="00EB104E"/>
    <w:rsid w:val="00EB52C9"/>
    <w:rsid w:val="00EB5AFC"/>
    <w:rsid w:val="00EB5C21"/>
    <w:rsid w:val="00EB7EB7"/>
    <w:rsid w:val="00EC0C53"/>
    <w:rsid w:val="00EC11F3"/>
    <w:rsid w:val="00EC3EB5"/>
    <w:rsid w:val="00ED0937"/>
    <w:rsid w:val="00EE411C"/>
    <w:rsid w:val="00EF10C7"/>
    <w:rsid w:val="00EF6059"/>
    <w:rsid w:val="00F164EA"/>
    <w:rsid w:val="00F172D4"/>
    <w:rsid w:val="00F20382"/>
    <w:rsid w:val="00F23E12"/>
    <w:rsid w:val="00F30596"/>
    <w:rsid w:val="00F31E8F"/>
    <w:rsid w:val="00F4132D"/>
    <w:rsid w:val="00F41F41"/>
    <w:rsid w:val="00F43007"/>
    <w:rsid w:val="00F51412"/>
    <w:rsid w:val="00F51E3E"/>
    <w:rsid w:val="00F53C8C"/>
    <w:rsid w:val="00F56267"/>
    <w:rsid w:val="00F576EA"/>
    <w:rsid w:val="00F6598D"/>
    <w:rsid w:val="00F70D95"/>
    <w:rsid w:val="00F83A42"/>
    <w:rsid w:val="00F91FF3"/>
    <w:rsid w:val="00F94571"/>
    <w:rsid w:val="00F947F3"/>
    <w:rsid w:val="00F96C71"/>
    <w:rsid w:val="00F96D1E"/>
    <w:rsid w:val="00FB1F34"/>
    <w:rsid w:val="00FB65D1"/>
    <w:rsid w:val="00FC7B9F"/>
    <w:rsid w:val="00FD46C4"/>
    <w:rsid w:val="00FD762B"/>
    <w:rsid w:val="00FE05BC"/>
    <w:rsid w:val="00FE2523"/>
    <w:rsid w:val="00FE3D77"/>
    <w:rsid w:val="00FE4536"/>
    <w:rsid w:val="00FF3EB5"/>
    <w:rsid w:val="00FF55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BC0FD74"/>
  <w15:docId w15:val="{D786D3C5-52C9-4A19-B9CC-CB8DF428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BodyText"/>
    <w:next w:val="Normal"/>
    <w:link w:val="Heading3Char"/>
    <w:uiPriority w:val="9"/>
    <w:unhideWhenUsed/>
    <w:qFormat/>
    <w:rsid w:val="009E03A7"/>
    <w:pPr>
      <w:keepNext/>
      <w:tabs>
        <w:tab w:val="right" w:pos="8850"/>
      </w:tabs>
      <w:ind w:left="0" w:right="176"/>
      <w:outlineLvl w:val="2"/>
    </w:pPr>
    <w:rPr>
      <w:rFonts w:eastAsiaTheme="majorEastAsia"/>
      <w:bCs/>
      <w:i/>
      <w:lang w:val="en-AU"/>
    </w:rPr>
  </w:style>
  <w:style w:type="paragraph" w:styleId="Heading4">
    <w:name w:val="heading 4"/>
    <w:basedOn w:val="C-BodyText"/>
    <w:next w:val="Normal"/>
    <w:link w:val="Heading4Char"/>
    <w:uiPriority w:val="9"/>
    <w:unhideWhenUsed/>
    <w:qFormat/>
    <w:rsid w:val="003D6285"/>
    <w:pPr>
      <w:keepNext/>
      <w:spacing w:after="120"/>
      <w:outlineLvl w:val="3"/>
    </w:pPr>
    <w:rPr>
      <w:rFonts w:eastAsiaTheme="majorEastAsia"/>
      <w:u w:val="single"/>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9E03A7"/>
    <w:rPr>
      <w:rFonts w:ascii="Times New Roman" w:eastAsiaTheme="majorEastAsia" w:hAnsi="Times New Roman" w:cs="Times New Roman"/>
      <w:bCs/>
      <w:i/>
    </w:rPr>
  </w:style>
  <w:style w:type="character" w:customStyle="1" w:styleId="Heading4Char">
    <w:name w:val="Heading 4 Char"/>
    <w:basedOn w:val="DefaultParagraphFont"/>
    <w:link w:val="Heading4"/>
    <w:uiPriority w:val="9"/>
    <w:rsid w:val="003D6285"/>
    <w:rPr>
      <w:rFonts w:ascii="Times New Roman" w:eastAsiaTheme="majorEastAsia" w:hAnsi="Times New Roman" w:cs="Times New Roman"/>
      <w:szCs w:val="20"/>
      <w:u w:val="single"/>
      <w:lang w:val="en-US"/>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BodyText">
    <w:name w:val="Body Text"/>
    <w:basedOn w:val="Normal"/>
    <w:link w:val="BodyTextChar"/>
    <w:uiPriority w:val="1"/>
    <w:qFormat/>
    <w:rsid w:val="00DD45C5"/>
    <w:pPr>
      <w:widowControl w:val="0"/>
      <w:autoSpaceDE w:val="0"/>
      <w:autoSpaceDN w:val="0"/>
      <w:adjustRightInd w:val="0"/>
      <w:spacing w:before="120" w:after="180" w:line="240" w:lineRule="auto"/>
      <w:ind w:left="40"/>
    </w:pPr>
    <w:rPr>
      <w:rFonts w:ascii="Times New Roman" w:hAnsi="Times New Roman" w:cs="Times New Roman"/>
      <w:lang w:val="en-US"/>
    </w:rPr>
  </w:style>
  <w:style w:type="character" w:customStyle="1" w:styleId="BodyTextChar">
    <w:name w:val="Body Text Char"/>
    <w:basedOn w:val="DefaultParagraphFont"/>
    <w:link w:val="BodyText"/>
    <w:uiPriority w:val="1"/>
    <w:rsid w:val="00DD45C5"/>
    <w:rPr>
      <w:rFonts w:ascii="Times New Roman" w:hAnsi="Times New Roman" w:cs="Times New Roman"/>
      <w:lang w:val="en-US"/>
    </w:rPr>
  </w:style>
  <w:style w:type="paragraph" w:customStyle="1" w:styleId="C-BodyText">
    <w:name w:val="C-Body Text"/>
    <w:link w:val="C-BodyTextChar"/>
    <w:rsid w:val="00DD45C5"/>
    <w:pPr>
      <w:spacing w:before="120" w:after="240" w:line="280" w:lineRule="atLeast"/>
    </w:pPr>
    <w:rPr>
      <w:rFonts w:ascii="Times New Roman" w:eastAsia="Times New Roman" w:hAnsi="Times New Roman" w:cs="Times New Roman"/>
      <w:szCs w:val="20"/>
      <w:lang w:val="en-US"/>
    </w:rPr>
  </w:style>
  <w:style w:type="character" w:customStyle="1" w:styleId="C-BodyTextChar">
    <w:name w:val="C-Body Text Char"/>
    <w:link w:val="C-BodyText"/>
    <w:rsid w:val="00DD45C5"/>
    <w:rPr>
      <w:rFonts w:ascii="Times New Roman" w:eastAsia="Times New Roman" w:hAnsi="Times New Roman" w:cs="Times New Roman"/>
      <w:szCs w:val="20"/>
      <w:lang w:val="en-US"/>
    </w:rPr>
  </w:style>
  <w:style w:type="paragraph" w:styleId="CommentSubject">
    <w:name w:val="annotation subject"/>
    <w:basedOn w:val="CommentText"/>
    <w:next w:val="CommentText"/>
    <w:link w:val="CommentSubjectChar"/>
    <w:uiPriority w:val="99"/>
    <w:semiHidden/>
    <w:unhideWhenUsed/>
    <w:rsid w:val="00BC7299"/>
    <w:rPr>
      <w:rFonts w:asciiTheme="minorHAnsi" w:hAnsiTheme="minorHAnsi"/>
      <w:b/>
      <w:bCs/>
    </w:rPr>
  </w:style>
  <w:style w:type="character" w:customStyle="1" w:styleId="CommentSubjectChar">
    <w:name w:val="Comment Subject Char"/>
    <w:basedOn w:val="CommentTextChar"/>
    <w:link w:val="CommentSubject"/>
    <w:uiPriority w:val="99"/>
    <w:semiHidden/>
    <w:rsid w:val="00BC7299"/>
    <w:rPr>
      <w:rFonts w:ascii="Cambria" w:hAnsi="Cambria"/>
      <w:b/>
      <w:bCs/>
      <w:sz w:val="20"/>
      <w:szCs w:val="20"/>
    </w:rPr>
  </w:style>
  <w:style w:type="character" w:customStyle="1" w:styleId="C-Hyperlink">
    <w:name w:val="C-Hyperlink"/>
    <w:rsid w:val="0043134B"/>
    <w:rPr>
      <w:color w:val="0000FF"/>
    </w:rPr>
  </w:style>
  <w:style w:type="paragraph" w:customStyle="1" w:styleId="C-Footnote">
    <w:name w:val="C-Footnote"/>
    <w:basedOn w:val="Normal"/>
    <w:qFormat/>
    <w:rsid w:val="009E03A7"/>
    <w:pPr>
      <w:tabs>
        <w:tab w:val="left" w:pos="144"/>
      </w:tabs>
      <w:spacing w:after="180" w:line="240" w:lineRule="auto"/>
    </w:pPr>
    <w:rPr>
      <w:rFonts w:ascii="Times New Roman" w:eastAsia="Times New Roman" w:hAnsi="Times New Roman" w:cs="Arial"/>
      <w:sz w:val="20"/>
      <w:szCs w:val="20"/>
      <w:lang w:val="en-US"/>
    </w:rPr>
  </w:style>
  <w:style w:type="paragraph" w:customStyle="1" w:styleId="C-TableHeader">
    <w:name w:val="C-Table Header"/>
    <w:next w:val="C-TableText"/>
    <w:rsid w:val="00A676D5"/>
    <w:pPr>
      <w:keepNext/>
      <w:spacing w:before="60" w:after="60" w:line="240" w:lineRule="auto"/>
    </w:pPr>
    <w:rPr>
      <w:rFonts w:ascii="Times New Roman" w:eastAsia="Times New Roman" w:hAnsi="Times New Roman" w:cs="Times New Roman"/>
      <w:b/>
      <w:szCs w:val="20"/>
      <w:lang w:val="en-US"/>
    </w:rPr>
  </w:style>
  <w:style w:type="paragraph" w:customStyle="1" w:styleId="C-TableText">
    <w:name w:val="C-Table Text"/>
    <w:link w:val="C-TableTextChar"/>
    <w:rsid w:val="00A676D5"/>
    <w:pPr>
      <w:spacing w:before="60" w:after="60" w:line="240" w:lineRule="auto"/>
    </w:pPr>
    <w:rPr>
      <w:rFonts w:ascii="Times New Roman" w:eastAsia="Times New Roman" w:hAnsi="Times New Roman" w:cs="Times New Roman"/>
      <w:szCs w:val="20"/>
      <w:lang w:val="en-US"/>
    </w:rPr>
  </w:style>
  <w:style w:type="character" w:customStyle="1" w:styleId="C-TableTextChar">
    <w:name w:val="C-Table Text Char"/>
    <w:link w:val="C-TableText"/>
    <w:locked/>
    <w:rsid w:val="00A676D5"/>
    <w:rPr>
      <w:rFonts w:ascii="Times New Roman" w:eastAsia="Times New Roman" w:hAnsi="Times New Roman" w:cs="Times New Roman"/>
      <w:szCs w:val="20"/>
      <w:lang w:val="en-US"/>
    </w:rPr>
  </w:style>
  <w:style w:type="paragraph" w:customStyle="1" w:styleId="Default">
    <w:name w:val="Default"/>
    <w:rsid w:val="00A676D5"/>
    <w:pPr>
      <w:autoSpaceDE w:val="0"/>
      <w:autoSpaceDN w:val="0"/>
      <w:adjustRightInd w:val="0"/>
      <w:spacing w:after="0" w:line="240" w:lineRule="auto"/>
    </w:pPr>
    <w:rPr>
      <w:rFonts w:ascii="Verdana" w:eastAsia="SimSun" w:hAnsi="Verdana" w:cs="Verdana"/>
      <w:color w:val="000000"/>
      <w:sz w:val="24"/>
      <w:szCs w:val="24"/>
      <w:lang w:val="en-US"/>
    </w:rPr>
  </w:style>
  <w:style w:type="paragraph" w:styleId="Caption">
    <w:name w:val="caption"/>
    <w:aliases w:val="Vion Caption,Company Caption,Bayer Caption,IB Caption,IB Caption + ...,Figure heading"/>
    <w:next w:val="C-BodyText"/>
    <w:link w:val="CaptionChar"/>
    <w:qFormat/>
    <w:rsid w:val="00DD45C5"/>
    <w:pPr>
      <w:keepNext/>
      <w:tabs>
        <w:tab w:val="left" w:pos="3660"/>
      </w:tabs>
      <w:spacing w:before="120" w:after="240" w:line="240" w:lineRule="auto"/>
      <w:ind w:left="1417" w:hanging="1440"/>
    </w:pPr>
    <w:rPr>
      <w:rFonts w:ascii="Times New Roman" w:eastAsiaTheme="majorEastAsia" w:hAnsi="Times New Roman" w:cs="Times New Roman"/>
      <w:b/>
      <w:bCs/>
      <w:sz w:val="24"/>
      <w:szCs w:val="24"/>
      <w:lang w:val="en-US"/>
    </w:rPr>
  </w:style>
  <w:style w:type="character" w:customStyle="1" w:styleId="CaptionChar">
    <w:name w:val="Caption Char"/>
    <w:aliases w:val="Vion Caption Char,Company Caption Char,Bayer Caption Char,IB Caption Char,IB Caption + ... Char,Figure heading Char"/>
    <w:link w:val="Caption"/>
    <w:locked/>
    <w:rsid w:val="00DD45C5"/>
    <w:rPr>
      <w:rFonts w:ascii="Times New Roman" w:eastAsiaTheme="majorEastAsia" w:hAnsi="Times New Roman" w:cs="Times New Roman"/>
      <w:b/>
      <w:bCs/>
      <w:sz w:val="24"/>
      <w:szCs w:val="24"/>
      <w:lang w:val="en-US"/>
    </w:rPr>
  </w:style>
  <w:style w:type="character" w:styleId="FollowedHyperlink">
    <w:name w:val="FollowedHyperlink"/>
    <w:basedOn w:val="DefaultParagraphFont"/>
    <w:uiPriority w:val="99"/>
    <w:semiHidden/>
    <w:unhideWhenUsed/>
    <w:rsid w:val="004D4B92"/>
    <w:rPr>
      <w:color w:val="800080" w:themeColor="followedHyperlink"/>
      <w:u w:val="single"/>
    </w:rPr>
  </w:style>
  <w:style w:type="paragraph" w:styleId="Revision">
    <w:name w:val="Revision"/>
    <w:hidden/>
    <w:uiPriority w:val="99"/>
    <w:semiHidden/>
    <w:rsid w:val="000A0D43"/>
    <w:pPr>
      <w:spacing w:after="0" w:line="240" w:lineRule="auto"/>
    </w:pPr>
  </w:style>
  <w:style w:type="table" w:styleId="TableGrid">
    <w:name w:val="Table Grid"/>
    <w:basedOn w:val="TableNormal"/>
    <w:uiPriority w:val="59"/>
    <w:rsid w:val="002C690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705">
      <w:bodyDiv w:val="1"/>
      <w:marLeft w:val="0"/>
      <w:marRight w:val="0"/>
      <w:marTop w:val="0"/>
      <w:marBottom w:val="0"/>
      <w:divBdr>
        <w:top w:val="none" w:sz="0" w:space="0" w:color="auto"/>
        <w:left w:val="none" w:sz="0" w:space="0" w:color="auto"/>
        <w:bottom w:val="none" w:sz="0" w:space="0" w:color="auto"/>
        <w:right w:val="none" w:sz="0" w:space="0" w:color="auto"/>
      </w:divBdr>
    </w:div>
    <w:div w:id="645889854">
      <w:bodyDiv w:val="1"/>
      <w:marLeft w:val="0"/>
      <w:marRight w:val="0"/>
      <w:marTop w:val="0"/>
      <w:marBottom w:val="0"/>
      <w:divBdr>
        <w:top w:val="none" w:sz="0" w:space="0" w:color="auto"/>
        <w:left w:val="none" w:sz="0" w:space="0" w:color="auto"/>
        <w:bottom w:val="none" w:sz="0" w:space="0" w:color="auto"/>
        <w:right w:val="none" w:sz="0" w:space="0" w:color="auto"/>
      </w:divBdr>
    </w:div>
    <w:div w:id="930622422">
      <w:bodyDiv w:val="1"/>
      <w:marLeft w:val="0"/>
      <w:marRight w:val="0"/>
      <w:marTop w:val="0"/>
      <w:marBottom w:val="0"/>
      <w:divBdr>
        <w:top w:val="none" w:sz="0" w:space="0" w:color="auto"/>
        <w:left w:val="none" w:sz="0" w:space="0" w:color="auto"/>
        <w:bottom w:val="none" w:sz="0" w:space="0" w:color="auto"/>
        <w:right w:val="none" w:sz="0" w:space="0" w:color="auto"/>
      </w:divBdr>
    </w:div>
    <w:div w:id="169714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rugsafety-STA@stbiopharm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BBF63-3579-4C03-B2E0-BDD70071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19</Pages>
  <Words>5732</Words>
  <Characters>32677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AusPAR Attachment 1: Product Information for Neratinib (as maleate)</vt:lpstr>
    </vt:vector>
  </TitlesOfParts>
  <Company/>
  <LinksUpToDate>false</LinksUpToDate>
  <CharactersWithSpaces>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Neratinib (as maleate)</dc:title>
  <dc:subject>prescription medicines</dc:subject>
  <dc:creator>Specialised Therapeutics PM Pty Ltd</dc:creator>
  <cp:keywords>AusPARs</cp:keywords>
  <cp:lastPrinted>2018-12-19T02:32:00Z</cp:lastPrinted>
  <dcterms:created xsi:type="dcterms:W3CDTF">2020-05-12T04:49:00Z</dcterms:created>
  <dcterms:modified xsi:type="dcterms:W3CDTF">2020-05-15T00:45:00Z</dcterms:modified>
</cp:coreProperties>
</file>