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6B" w:rsidRPr="00A5114C" w:rsidRDefault="0095276B" w:rsidP="00562463">
      <w:pPr>
        <w:pStyle w:val="Heading1"/>
      </w:pPr>
      <w:bookmarkStart w:id="0" w:name="_GoBack"/>
      <w:bookmarkEnd w:id="0"/>
      <w:r w:rsidRPr="00A5114C">
        <w:t>PRODUCT INFORMATION</w:t>
      </w:r>
    </w:p>
    <w:p w:rsidR="0095276B" w:rsidRPr="00A5114C" w:rsidRDefault="00BD6605" w:rsidP="00DB2DFF">
      <w:pPr>
        <w:pStyle w:val="Heading1"/>
        <w:rPr>
          <w:rFonts w:ascii="Times New Roman" w:hAnsi="Times New Roman" w:cs="Times New Roman"/>
        </w:rPr>
      </w:pPr>
      <w:r w:rsidRPr="00A5114C">
        <w:rPr>
          <w:rFonts w:ascii="Times New Roman" w:hAnsi="Times New Roman" w:cs="Times New Roman"/>
        </w:rPr>
        <w:t>SELINCRO</w:t>
      </w:r>
      <w:r w:rsidR="0095276B" w:rsidRPr="00A5114C">
        <w:rPr>
          <w:rFonts w:ascii="Times New Roman" w:hAnsi="Times New Roman" w:cs="Times New Roman"/>
        </w:rPr>
        <w:t>®</w:t>
      </w:r>
    </w:p>
    <w:p w:rsidR="0095276B" w:rsidRPr="00A5114C" w:rsidRDefault="0095276B" w:rsidP="003D5480">
      <w:pPr>
        <w:pStyle w:val="Heading2"/>
        <w:spacing w:line="240" w:lineRule="auto"/>
        <w:rPr>
          <w:rFonts w:ascii="Times New Roman" w:hAnsi="Times New Roman" w:cs="Times New Roman"/>
        </w:rPr>
      </w:pPr>
      <w:r w:rsidRPr="00A5114C">
        <w:rPr>
          <w:rFonts w:ascii="Times New Roman" w:hAnsi="Times New Roman" w:cs="Times New Roman"/>
        </w:rPr>
        <w:t>NAME OF THE MEDICINE</w:t>
      </w:r>
    </w:p>
    <w:p w:rsidR="008D0196" w:rsidRPr="00A5114C" w:rsidRDefault="006055C6" w:rsidP="003D5480">
      <w:pPr>
        <w:spacing w:line="240" w:lineRule="auto"/>
        <w:rPr>
          <w:rFonts w:ascii="Times New Roman" w:hAnsi="Times New Roman" w:cs="Times New Roman"/>
        </w:rPr>
      </w:pPr>
      <w:r>
        <w:rPr>
          <w:rFonts w:ascii="Times New Roman" w:hAnsi="Times New Roman" w:cs="Times New Roman"/>
        </w:rPr>
        <w:t>Nalmefene</w:t>
      </w:r>
    </w:p>
    <w:p w:rsidR="008D0196" w:rsidRPr="00A5114C" w:rsidRDefault="0022121D" w:rsidP="00761EEF">
      <w:pPr>
        <w:spacing w:line="240" w:lineRule="auto"/>
        <w:rPr>
          <w:rFonts w:ascii="Times New Roman" w:hAnsi="Times New Roman" w:cs="Times New Roman"/>
          <w:spacing w:val="0"/>
          <w:lang w:eastAsia="en-AU"/>
        </w:rPr>
      </w:pPr>
      <w:r w:rsidRPr="00A5114C">
        <w:rPr>
          <w:rFonts w:ascii="Times New Roman" w:hAnsi="Times New Roman" w:cs="Times New Roman"/>
          <w:lang w:val="en" w:eastAsia="en-AU"/>
        </w:rPr>
        <w:t xml:space="preserve">Nalmefene is present in </w:t>
      </w:r>
      <w:r w:rsidR="00761EEF">
        <w:rPr>
          <w:rFonts w:ascii="Times New Roman" w:hAnsi="Times New Roman" w:cs="Times New Roman"/>
          <w:lang w:val="en" w:eastAsia="en-AU"/>
        </w:rPr>
        <w:t>n</w:t>
      </w:r>
      <w:r w:rsidR="00257C41" w:rsidRPr="00257C41">
        <w:rPr>
          <w:rFonts w:ascii="Times New Roman" w:hAnsi="Times New Roman" w:cs="Times New Roman"/>
          <w:lang w:val="en" w:eastAsia="en-AU"/>
        </w:rPr>
        <w:t>almefene film-coated tablets</w:t>
      </w:r>
      <w:r w:rsidRPr="00A5114C">
        <w:rPr>
          <w:rFonts w:ascii="Times New Roman" w:hAnsi="Times New Roman" w:cs="Times New Roman"/>
          <w:lang w:val="en" w:eastAsia="en-AU"/>
        </w:rPr>
        <w:t xml:space="preserve"> as n</w:t>
      </w:r>
      <w:r w:rsidR="003D5480" w:rsidRPr="00A5114C">
        <w:rPr>
          <w:rFonts w:ascii="Times New Roman" w:hAnsi="Times New Roman" w:cs="Times New Roman"/>
          <w:lang w:val="en" w:eastAsia="en-AU"/>
        </w:rPr>
        <w:t>almefene hydrochloride dihydrate</w:t>
      </w:r>
      <w:r w:rsidRPr="00A5114C">
        <w:rPr>
          <w:rFonts w:ascii="Times New Roman" w:hAnsi="Times New Roman" w:cs="Times New Roman"/>
          <w:lang w:val="en" w:eastAsia="en-AU"/>
        </w:rPr>
        <w:t>.  The chemical name of nalmefene hydrochloride dihydrate</w:t>
      </w:r>
      <w:r w:rsidR="003D5480" w:rsidRPr="00A5114C">
        <w:rPr>
          <w:rFonts w:ascii="Times New Roman" w:hAnsi="Times New Roman" w:cs="Times New Roman"/>
          <w:lang w:val="en" w:eastAsia="en-AU"/>
        </w:rPr>
        <w:t xml:space="preserve"> is </w:t>
      </w:r>
      <w:r w:rsidR="00761EEF">
        <w:rPr>
          <w:rFonts w:ascii="Times New Roman" w:hAnsi="Times New Roman" w:cs="Times New Roman"/>
          <w:lang w:val="en" w:eastAsia="en-AU"/>
        </w:rPr>
        <w:br/>
      </w:r>
      <w:r w:rsidR="006F3CA3" w:rsidRPr="00A5114C">
        <w:rPr>
          <w:rFonts w:ascii="Times New Roman" w:hAnsi="Times New Roman" w:cs="Times New Roman"/>
          <w:spacing w:val="0"/>
          <w:lang w:eastAsia="en-AU"/>
        </w:rPr>
        <w:t>17-(c</w:t>
      </w:r>
      <w:r w:rsidR="003D5480" w:rsidRPr="00A5114C">
        <w:rPr>
          <w:rFonts w:ascii="Times New Roman" w:hAnsi="Times New Roman" w:cs="Times New Roman"/>
          <w:spacing w:val="0"/>
          <w:lang w:eastAsia="en-AU"/>
        </w:rPr>
        <w:t>yclopropylmethyl)-4</w:t>
      </w:r>
      <w:proofErr w:type="gramStart"/>
      <w:r w:rsidR="003D5480" w:rsidRPr="00A5114C">
        <w:rPr>
          <w:rFonts w:ascii="Times New Roman" w:hAnsi="Times New Roman" w:cs="Times New Roman"/>
          <w:spacing w:val="0"/>
          <w:lang w:eastAsia="en-AU"/>
        </w:rPr>
        <w:t>,5</w:t>
      </w:r>
      <w:r w:rsidR="00DA45E7" w:rsidRPr="00A5114C">
        <w:rPr>
          <w:rFonts w:ascii="Times New Roman" w:hAnsi="Times New Roman" w:cs="Times New Roman"/>
          <w:spacing w:val="0"/>
          <w:lang w:eastAsia="en-AU"/>
        </w:rPr>
        <w:t>α</w:t>
      </w:r>
      <w:proofErr w:type="gramEnd"/>
      <w:r w:rsidR="003D5480" w:rsidRPr="00A5114C">
        <w:rPr>
          <w:rFonts w:ascii="Times New Roman" w:hAnsi="Times New Roman" w:cs="Times New Roman"/>
          <w:spacing w:val="0"/>
          <w:lang w:eastAsia="en-AU"/>
        </w:rPr>
        <w:t>-epoxy-6-methylene-morp</w:t>
      </w:r>
      <w:r w:rsidR="006F3CA3" w:rsidRPr="00A5114C">
        <w:rPr>
          <w:rFonts w:ascii="Times New Roman" w:hAnsi="Times New Roman" w:cs="Times New Roman"/>
          <w:spacing w:val="0"/>
          <w:lang w:eastAsia="en-AU"/>
        </w:rPr>
        <w:t>hinan-3,14-diol</w:t>
      </w:r>
      <w:r w:rsidR="00761EEF">
        <w:rPr>
          <w:rFonts w:ascii="Times New Roman" w:hAnsi="Times New Roman" w:cs="Times New Roman"/>
          <w:spacing w:val="0"/>
          <w:lang w:eastAsia="en-AU"/>
        </w:rPr>
        <w:t xml:space="preserve"> </w:t>
      </w:r>
      <w:r w:rsidR="006F3CA3" w:rsidRPr="00A5114C">
        <w:rPr>
          <w:rFonts w:ascii="Times New Roman" w:hAnsi="Times New Roman" w:cs="Times New Roman"/>
          <w:spacing w:val="0"/>
          <w:lang w:eastAsia="en-AU"/>
        </w:rPr>
        <w:t>hydrochloride</w:t>
      </w:r>
      <w:r w:rsidR="00761EEF">
        <w:rPr>
          <w:rFonts w:ascii="Times New Roman" w:hAnsi="Times New Roman" w:cs="Times New Roman"/>
          <w:spacing w:val="0"/>
          <w:lang w:eastAsia="en-AU"/>
        </w:rPr>
        <w:t xml:space="preserve"> </w:t>
      </w:r>
      <w:r w:rsidR="006F3CA3" w:rsidRPr="00A5114C">
        <w:rPr>
          <w:rFonts w:ascii="Times New Roman" w:hAnsi="Times New Roman" w:cs="Times New Roman"/>
          <w:spacing w:val="0"/>
          <w:lang w:eastAsia="en-AU"/>
        </w:rPr>
        <w:t>di</w:t>
      </w:r>
      <w:r w:rsidR="003D5480" w:rsidRPr="00A5114C">
        <w:rPr>
          <w:rFonts w:ascii="Times New Roman" w:hAnsi="Times New Roman" w:cs="Times New Roman"/>
          <w:spacing w:val="0"/>
          <w:lang w:eastAsia="en-AU"/>
        </w:rPr>
        <w:t>hydrate and has the following structural formula:</w:t>
      </w:r>
    </w:p>
    <w:p w:rsidR="008D0196" w:rsidRPr="00A5114C" w:rsidRDefault="008D0196" w:rsidP="0058001B">
      <w:pPr>
        <w:spacing w:line="240" w:lineRule="auto"/>
        <w:outlineLvl w:val="3"/>
        <w:rPr>
          <w:rFonts w:ascii="Times New Roman" w:hAnsi="Times New Roman" w:cs="Times New Roman"/>
          <w:lang w:val="en" w:eastAsia="en-AU"/>
        </w:rPr>
      </w:pPr>
      <w:r w:rsidRPr="00A5114C">
        <w:rPr>
          <w:rFonts w:ascii="Times New Roman" w:hAnsi="Times New Roman" w:cs="Times New Roman"/>
        </w:rPr>
        <w:object w:dxaOrig="3600"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21.5pt" o:ole="">
            <v:imagedata r:id="rId8" o:title="" cropbottom="6499f" cropleft="-583f"/>
          </v:shape>
          <o:OLEObject Type="Embed" ProgID="ISISServer" ShapeID="_x0000_i1025" DrawAspect="Content" ObjectID="_1534323694" r:id="rId9"/>
        </w:object>
      </w:r>
    </w:p>
    <w:p w:rsidR="00761EEF" w:rsidRDefault="0095276B" w:rsidP="00761EEF">
      <w:pPr>
        <w:spacing w:after="0" w:line="240" w:lineRule="auto"/>
        <w:outlineLvl w:val="3"/>
        <w:rPr>
          <w:rFonts w:ascii="Times New Roman" w:hAnsi="Times New Roman" w:cs="Times New Roman"/>
          <w:lang w:val="en-US" w:eastAsia="en-AU"/>
        </w:rPr>
      </w:pPr>
      <w:r w:rsidRPr="00A5114C">
        <w:rPr>
          <w:rFonts w:ascii="Times New Roman" w:hAnsi="Times New Roman" w:cs="Times New Roman"/>
          <w:snapToGrid w:val="0"/>
          <w:lang w:val="pt-BR"/>
        </w:rPr>
        <w:t xml:space="preserve">Molecular formula: </w:t>
      </w:r>
      <w:r w:rsidR="003D5480" w:rsidRPr="00A5114C">
        <w:rPr>
          <w:rFonts w:ascii="Times New Roman" w:hAnsi="Times New Roman" w:cs="Times New Roman"/>
          <w:spacing w:val="0"/>
          <w:lang w:eastAsia="en-AU"/>
        </w:rPr>
        <w:t>C</w:t>
      </w:r>
      <w:r w:rsidR="003D5480" w:rsidRPr="00A5114C">
        <w:rPr>
          <w:rFonts w:ascii="Times New Roman" w:hAnsi="Times New Roman" w:cs="Times New Roman"/>
          <w:spacing w:val="0"/>
          <w:vertAlign w:val="subscript"/>
          <w:lang w:eastAsia="en-AU"/>
        </w:rPr>
        <w:t>21</w:t>
      </w:r>
      <w:r w:rsidR="003D5480" w:rsidRPr="00A5114C">
        <w:rPr>
          <w:rFonts w:ascii="Times New Roman" w:hAnsi="Times New Roman" w:cs="Times New Roman"/>
          <w:spacing w:val="0"/>
          <w:lang w:eastAsia="en-AU"/>
        </w:rPr>
        <w:t>H</w:t>
      </w:r>
      <w:r w:rsidR="003D5480" w:rsidRPr="00A5114C">
        <w:rPr>
          <w:rFonts w:ascii="Times New Roman" w:hAnsi="Times New Roman" w:cs="Times New Roman"/>
          <w:spacing w:val="0"/>
          <w:vertAlign w:val="subscript"/>
          <w:lang w:eastAsia="en-AU"/>
        </w:rPr>
        <w:t>25</w:t>
      </w:r>
      <w:r w:rsidR="003D5480" w:rsidRPr="00A5114C">
        <w:rPr>
          <w:rFonts w:ascii="Times New Roman" w:hAnsi="Times New Roman" w:cs="Times New Roman"/>
          <w:spacing w:val="0"/>
          <w:lang w:eastAsia="en-AU"/>
        </w:rPr>
        <w:t>NO</w:t>
      </w:r>
      <w:r w:rsidR="003D5480" w:rsidRPr="00A5114C">
        <w:rPr>
          <w:rFonts w:ascii="Times New Roman" w:hAnsi="Times New Roman" w:cs="Times New Roman"/>
          <w:spacing w:val="0"/>
          <w:vertAlign w:val="subscript"/>
          <w:lang w:eastAsia="en-AU"/>
        </w:rPr>
        <w:t>3</w:t>
      </w:r>
      <w:r w:rsidR="003D5480" w:rsidRPr="00A5114C">
        <w:rPr>
          <w:rFonts w:ascii="Times New Roman" w:hAnsi="Times New Roman" w:cs="Times New Roman"/>
          <w:spacing w:val="0"/>
          <w:lang w:eastAsia="en-AU"/>
        </w:rPr>
        <w:t xml:space="preserve"> HCl</w:t>
      </w:r>
      <w:r w:rsidR="00761EEF">
        <w:rPr>
          <w:rFonts w:ascii="Times New Roman" w:hAnsi="Times New Roman" w:cs="Times New Roman"/>
          <w:spacing w:val="0"/>
          <w:lang w:eastAsia="en-AU"/>
        </w:rPr>
        <w:t>.</w:t>
      </w:r>
      <w:r w:rsidR="003D5480" w:rsidRPr="00A5114C">
        <w:rPr>
          <w:rFonts w:ascii="Times New Roman" w:hAnsi="Times New Roman" w:cs="Times New Roman"/>
          <w:spacing w:val="0"/>
          <w:lang w:eastAsia="en-AU"/>
        </w:rPr>
        <w:t>2H</w:t>
      </w:r>
      <w:r w:rsidR="003D5480" w:rsidRPr="00A5114C">
        <w:rPr>
          <w:rFonts w:ascii="Times New Roman" w:hAnsi="Times New Roman" w:cs="Times New Roman"/>
          <w:spacing w:val="0"/>
          <w:vertAlign w:val="subscript"/>
          <w:lang w:eastAsia="en-AU"/>
        </w:rPr>
        <w:t>2</w:t>
      </w:r>
      <w:r w:rsidR="003D5480" w:rsidRPr="00A5114C">
        <w:rPr>
          <w:rFonts w:ascii="Times New Roman" w:hAnsi="Times New Roman" w:cs="Times New Roman"/>
          <w:spacing w:val="0"/>
          <w:lang w:eastAsia="en-AU"/>
        </w:rPr>
        <w:t>O</w:t>
      </w:r>
      <w:r w:rsidR="00761EEF">
        <w:rPr>
          <w:rFonts w:ascii="Times New Roman" w:hAnsi="Times New Roman" w:cs="Times New Roman"/>
          <w:spacing w:val="0"/>
          <w:lang w:eastAsia="en-AU"/>
        </w:rPr>
        <w:br/>
      </w:r>
      <w:r w:rsidR="00761EEF">
        <w:rPr>
          <w:rFonts w:ascii="Times New Roman" w:hAnsi="Times New Roman" w:cs="Times New Roman"/>
          <w:snapToGrid w:val="0"/>
        </w:rPr>
        <w:t>M</w:t>
      </w:r>
      <w:r w:rsidR="003D5480" w:rsidRPr="00A5114C">
        <w:rPr>
          <w:rFonts w:ascii="Times New Roman" w:hAnsi="Times New Roman" w:cs="Times New Roman"/>
          <w:snapToGrid w:val="0"/>
        </w:rPr>
        <w:t xml:space="preserve">olecular mass: </w:t>
      </w:r>
      <w:r w:rsidR="003D5480" w:rsidRPr="00A5114C">
        <w:rPr>
          <w:rFonts w:ascii="Times New Roman" w:hAnsi="Times New Roman" w:cs="Times New Roman"/>
          <w:spacing w:val="0"/>
          <w:lang w:eastAsia="en-AU"/>
        </w:rPr>
        <w:t>411.92</w:t>
      </w:r>
      <w:r w:rsidR="00761EEF">
        <w:rPr>
          <w:rFonts w:ascii="Times New Roman" w:hAnsi="Times New Roman" w:cs="Times New Roman"/>
          <w:spacing w:val="0"/>
          <w:lang w:eastAsia="en-AU"/>
        </w:rPr>
        <w:br/>
      </w:r>
      <w:r w:rsidR="00761EEF" w:rsidRPr="00A5114C">
        <w:rPr>
          <w:rFonts w:ascii="Times New Roman" w:hAnsi="Times New Roman" w:cs="Times New Roman"/>
          <w:snapToGrid w:val="0"/>
        </w:rPr>
        <w:t xml:space="preserve">CAS number: </w:t>
      </w:r>
      <w:r w:rsidR="00761EEF" w:rsidRPr="00A5114C">
        <w:rPr>
          <w:rFonts w:ascii="Times New Roman" w:hAnsi="Times New Roman" w:cs="Times New Roman"/>
          <w:lang w:val="en-US" w:eastAsia="en-AU"/>
        </w:rPr>
        <w:t>1228646-70-5</w:t>
      </w:r>
    </w:p>
    <w:p w:rsidR="00761EEF" w:rsidRDefault="00761EEF" w:rsidP="00AB1BE8">
      <w:pPr>
        <w:spacing w:after="0"/>
        <w:rPr>
          <w:rFonts w:ascii="Times New Roman" w:hAnsi="Times New Roman" w:cs="Times New Roman"/>
          <w:snapToGrid w:val="0"/>
        </w:rPr>
      </w:pPr>
    </w:p>
    <w:p w:rsidR="00257C41" w:rsidRPr="00A5114C" w:rsidRDefault="00257C41" w:rsidP="00AB1BE8">
      <w:pPr>
        <w:spacing w:after="0"/>
        <w:rPr>
          <w:rFonts w:ascii="Times New Roman" w:hAnsi="Times New Roman" w:cs="Times New Roman"/>
          <w:snapToGrid w:val="0"/>
        </w:rPr>
      </w:pPr>
      <w:r w:rsidRPr="00257C41">
        <w:rPr>
          <w:rFonts w:ascii="Times New Roman" w:hAnsi="Times New Roman" w:cs="Times New Roman"/>
          <w:snapToGrid w:val="0"/>
        </w:rPr>
        <w:t xml:space="preserve">Molecular </w:t>
      </w:r>
      <w:r w:rsidR="00761EEF">
        <w:rPr>
          <w:rFonts w:ascii="Times New Roman" w:hAnsi="Times New Roman" w:cs="Times New Roman"/>
          <w:snapToGrid w:val="0"/>
        </w:rPr>
        <w:t>m</w:t>
      </w:r>
      <w:r w:rsidRPr="00257C41">
        <w:rPr>
          <w:rFonts w:ascii="Times New Roman" w:hAnsi="Times New Roman" w:cs="Times New Roman"/>
          <w:snapToGrid w:val="0"/>
        </w:rPr>
        <w:t xml:space="preserve">ass </w:t>
      </w:r>
      <w:r w:rsidR="00761EEF">
        <w:rPr>
          <w:rFonts w:ascii="Times New Roman" w:hAnsi="Times New Roman" w:cs="Times New Roman"/>
          <w:snapToGrid w:val="0"/>
        </w:rPr>
        <w:t>(</w:t>
      </w:r>
      <w:r w:rsidRPr="00257C41">
        <w:rPr>
          <w:rFonts w:ascii="Times New Roman" w:hAnsi="Times New Roman" w:cs="Times New Roman"/>
          <w:snapToGrid w:val="0"/>
        </w:rPr>
        <w:t xml:space="preserve">anhydrous </w:t>
      </w:r>
      <w:r w:rsidR="000C380B">
        <w:rPr>
          <w:rFonts w:ascii="Times New Roman" w:hAnsi="Times New Roman" w:cs="Times New Roman"/>
          <w:snapToGrid w:val="0"/>
        </w:rPr>
        <w:t xml:space="preserve">nalmefene </w:t>
      </w:r>
      <w:r w:rsidRPr="00257C41">
        <w:rPr>
          <w:rFonts w:ascii="Times New Roman" w:hAnsi="Times New Roman" w:cs="Times New Roman"/>
          <w:snapToGrid w:val="0"/>
        </w:rPr>
        <w:t>free base</w:t>
      </w:r>
      <w:r w:rsidR="00761EEF">
        <w:rPr>
          <w:rFonts w:ascii="Times New Roman" w:hAnsi="Times New Roman" w:cs="Times New Roman"/>
          <w:snapToGrid w:val="0"/>
        </w:rPr>
        <w:t>)</w:t>
      </w:r>
      <w:r w:rsidRPr="00257C41">
        <w:rPr>
          <w:rFonts w:ascii="Times New Roman" w:hAnsi="Times New Roman" w:cs="Times New Roman"/>
          <w:snapToGrid w:val="0"/>
        </w:rPr>
        <w:t>: 339.43</w:t>
      </w:r>
    </w:p>
    <w:p w:rsidR="00257C41" w:rsidRPr="00A5114C" w:rsidRDefault="00257C41" w:rsidP="00AB1BE8">
      <w:pPr>
        <w:spacing w:after="0" w:line="240" w:lineRule="auto"/>
        <w:outlineLvl w:val="3"/>
        <w:rPr>
          <w:rFonts w:ascii="Times New Roman" w:hAnsi="Times New Roman" w:cs="Times New Roman"/>
          <w:lang w:val="en-US" w:eastAsia="en-AU"/>
        </w:rPr>
      </w:pPr>
      <w:r w:rsidRPr="00257C41">
        <w:rPr>
          <w:rFonts w:ascii="Times New Roman" w:hAnsi="Times New Roman" w:cs="Times New Roman"/>
          <w:lang w:val="en-US" w:eastAsia="en-AU"/>
        </w:rPr>
        <w:t xml:space="preserve">CAS number </w:t>
      </w:r>
      <w:r w:rsidR="00761EEF">
        <w:rPr>
          <w:rFonts w:ascii="Times New Roman" w:hAnsi="Times New Roman" w:cs="Times New Roman"/>
          <w:lang w:val="en-US" w:eastAsia="en-AU"/>
        </w:rPr>
        <w:t>(</w:t>
      </w:r>
      <w:r w:rsidRPr="00257C41">
        <w:rPr>
          <w:rFonts w:ascii="Times New Roman" w:hAnsi="Times New Roman" w:cs="Times New Roman"/>
          <w:lang w:val="en-US" w:eastAsia="en-AU"/>
        </w:rPr>
        <w:t xml:space="preserve">anhydrous </w:t>
      </w:r>
      <w:r w:rsidR="000C380B">
        <w:rPr>
          <w:rFonts w:ascii="Times New Roman" w:hAnsi="Times New Roman" w:cs="Times New Roman"/>
          <w:lang w:val="en-US" w:eastAsia="en-AU"/>
        </w:rPr>
        <w:t xml:space="preserve">nalmefene </w:t>
      </w:r>
      <w:r w:rsidRPr="00257C41">
        <w:rPr>
          <w:rFonts w:ascii="Times New Roman" w:hAnsi="Times New Roman" w:cs="Times New Roman"/>
          <w:lang w:val="en-US" w:eastAsia="en-AU"/>
        </w:rPr>
        <w:t>free base</w:t>
      </w:r>
      <w:r w:rsidR="00761EEF">
        <w:rPr>
          <w:rFonts w:ascii="Times New Roman" w:hAnsi="Times New Roman" w:cs="Times New Roman"/>
          <w:lang w:val="en-US" w:eastAsia="en-AU"/>
        </w:rPr>
        <w:t>)</w:t>
      </w:r>
      <w:r w:rsidRPr="00257C41">
        <w:rPr>
          <w:rFonts w:ascii="Times New Roman" w:hAnsi="Times New Roman" w:cs="Times New Roman"/>
          <w:lang w:val="en-US" w:eastAsia="en-AU"/>
        </w:rPr>
        <w:t>: 55096-26-9</w:t>
      </w:r>
    </w:p>
    <w:p w:rsidR="0033439C" w:rsidRDefault="0033439C" w:rsidP="00793413">
      <w:pPr>
        <w:pStyle w:val="Heading2"/>
        <w:rPr>
          <w:rFonts w:ascii="Times New Roman" w:hAnsi="Times New Roman" w:cs="Times New Roman"/>
        </w:rPr>
      </w:pPr>
    </w:p>
    <w:p w:rsidR="008D0196" w:rsidRPr="00A5114C" w:rsidRDefault="0095276B" w:rsidP="00793413">
      <w:pPr>
        <w:pStyle w:val="Heading2"/>
        <w:rPr>
          <w:rFonts w:ascii="Times New Roman" w:hAnsi="Times New Roman" w:cs="Times New Roman"/>
        </w:rPr>
      </w:pPr>
      <w:r w:rsidRPr="00A5114C">
        <w:rPr>
          <w:rFonts w:ascii="Times New Roman" w:hAnsi="Times New Roman" w:cs="Times New Roman"/>
        </w:rPr>
        <w:t>DESCRIPTION</w:t>
      </w:r>
    </w:p>
    <w:p w:rsidR="00682F31" w:rsidRPr="00682F31" w:rsidRDefault="00682F31" w:rsidP="00682F31">
      <w:pPr>
        <w:spacing w:line="240" w:lineRule="auto"/>
        <w:jc w:val="both"/>
        <w:rPr>
          <w:rFonts w:ascii="Times New Roman" w:hAnsi="Times New Roman" w:cs="Times New Roman"/>
          <w:lang w:eastAsia="en-AU"/>
        </w:rPr>
      </w:pPr>
      <w:r w:rsidRPr="00682F31">
        <w:rPr>
          <w:rFonts w:ascii="Times New Roman" w:hAnsi="Times New Roman" w:cs="Times New Roman"/>
          <w:lang w:eastAsia="en-AU"/>
        </w:rPr>
        <w:t>Nalmefene hydrochloride dihydrate</w:t>
      </w:r>
      <w:r w:rsidR="00FA56BB">
        <w:rPr>
          <w:rFonts w:ascii="Times New Roman" w:hAnsi="Times New Roman" w:cs="Times New Roman"/>
          <w:lang w:eastAsia="en-AU"/>
        </w:rPr>
        <w:t xml:space="preserve"> </w:t>
      </w:r>
      <w:r w:rsidRPr="00682F31">
        <w:rPr>
          <w:rFonts w:ascii="Times New Roman" w:hAnsi="Times New Roman" w:cs="Times New Roman"/>
          <w:lang w:eastAsia="en-AU"/>
        </w:rPr>
        <w:t>is a white to almost white crystalline powder.  It is an alkaloid derivative from a natural source; the configuration of the chiral centres is therefore fixed and defined by the natural structure.  Only one crystal form of nalmefene hydrochloride dihydrate has been identified.</w:t>
      </w:r>
    </w:p>
    <w:p w:rsidR="00682F31" w:rsidRPr="00682F31" w:rsidRDefault="00682F31" w:rsidP="00682F31">
      <w:pPr>
        <w:spacing w:line="240" w:lineRule="auto"/>
        <w:jc w:val="both"/>
        <w:rPr>
          <w:rFonts w:ascii="Times New Roman" w:hAnsi="Times New Roman" w:cs="Times New Roman"/>
          <w:lang w:eastAsia="en-AU"/>
        </w:rPr>
      </w:pPr>
      <w:r w:rsidRPr="00682F31">
        <w:rPr>
          <w:rFonts w:ascii="Times New Roman" w:hAnsi="Times New Roman" w:cs="Times New Roman"/>
          <w:lang w:eastAsia="en-AU"/>
        </w:rPr>
        <w:t>Nalmefene hydrochloride dihydrate</w:t>
      </w:r>
      <w:r w:rsidR="00FA56BB">
        <w:rPr>
          <w:rFonts w:ascii="Times New Roman" w:hAnsi="Times New Roman" w:cs="Times New Roman"/>
          <w:lang w:eastAsia="en-AU"/>
        </w:rPr>
        <w:t xml:space="preserve"> </w:t>
      </w:r>
      <w:r w:rsidRPr="00682F31">
        <w:rPr>
          <w:rFonts w:ascii="Times New Roman" w:hAnsi="Times New Roman" w:cs="Times New Roman"/>
          <w:lang w:eastAsia="en-AU"/>
        </w:rPr>
        <w:t>is not hygroscopic and water is not absorbed, even at 95% relative humidity.  Nalmefene hydrochloride dihydrate is very soluble in water: 132</w:t>
      </w:r>
      <w:r w:rsidR="003444D0">
        <w:rPr>
          <w:rFonts w:ascii="Times New Roman" w:hAnsi="Times New Roman" w:cs="Times New Roman"/>
          <w:lang w:eastAsia="en-AU"/>
        </w:rPr>
        <w:t> </w:t>
      </w:r>
      <w:r w:rsidRPr="00682F31">
        <w:rPr>
          <w:rFonts w:ascii="Times New Roman" w:hAnsi="Times New Roman" w:cs="Times New Roman"/>
          <w:lang w:eastAsia="en-AU"/>
        </w:rPr>
        <w:t xml:space="preserve">mg/mL corresponding to 109 mg of nalmefene base/mL, giving pH = 5.9 in the </w:t>
      </w:r>
      <w:proofErr w:type="gramStart"/>
      <w:r w:rsidRPr="00682F31">
        <w:rPr>
          <w:rFonts w:ascii="Times New Roman" w:hAnsi="Times New Roman" w:cs="Times New Roman"/>
          <w:lang w:eastAsia="en-AU"/>
        </w:rPr>
        <w:t>saturated</w:t>
      </w:r>
      <w:proofErr w:type="gramEnd"/>
      <w:r w:rsidRPr="00682F31">
        <w:rPr>
          <w:rFonts w:ascii="Times New Roman" w:hAnsi="Times New Roman" w:cs="Times New Roman"/>
          <w:lang w:eastAsia="en-AU"/>
        </w:rPr>
        <w:t xml:space="preserve"> solution. </w:t>
      </w:r>
    </w:p>
    <w:p w:rsidR="00682F31" w:rsidRDefault="00682F31" w:rsidP="00682F31">
      <w:pPr>
        <w:spacing w:line="240" w:lineRule="auto"/>
        <w:jc w:val="both"/>
        <w:rPr>
          <w:rFonts w:ascii="Times New Roman" w:hAnsi="Times New Roman" w:cs="Times New Roman"/>
          <w:lang w:eastAsia="en-AU"/>
        </w:rPr>
      </w:pPr>
      <w:r w:rsidRPr="00682F31">
        <w:rPr>
          <w:rFonts w:ascii="Times New Roman" w:hAnsi="Times New Roman" w:cs="Times New Roman"/>
          <w:lang w:eastAsia="en-AU"/>
        </w:rPr>
        <w:lastRenderedPageBreak/>
        <w:t>Nalmefene is an ampholyte with pKa= 9.9 (</w:t>
      </w:r>
      <w:r w:rsidR="006055C6">
        <w:rPr>
          <w:rFonts w:ascii="Times New Roman" w:hAnsi="Times New Roman" w:cs="Times New Roman"/>
          <w:lang w:eastAsia="en-AU"/>
        </w:rPr>
        <w:t>±</w:t>
      </w:r>
      <w:r w:rsidR="003D1A36">
        <w:rPr>
          <w:rFonts w:ascii="Times New Roman" w:hAnsi="Times New Roman" w:cs="Times New Roman"/>
          <w:lang w:eastAsia="en-AU"/>
        </w:rPr>
        <w:t xml:space="preserve"> </w:t>
      </w:r>
      <w:r w:rsidRPr="00682F31">
        <w:rPr>
          <w:rFonts w:ascii="Times New Roman" w:hAnsi="Times New Roman" w:cs="Times New Roman"/>
          <w:lang w:eastAsia="en-AU"/>
        </w:rPr>
        <w:t>0.3) for the acid, and pKa= 9.2 (</w:t>
      </w:r>
      <w:r w:rsidR="006055C6">
        <w:rPr>
          <w:rFonts w:ascii="Times New Roman" w:hAnsi="Times New Roman" w:cs="Times New Roman"/>
          <w:lang w:eastAsia="en-AU"/>
        </w:rPr>
        <w:t>±</w:t>
      </w:r>
      <w:r w:rsidR="003D1A36">
        <w:rPr>
          <w:rFonts w:ascii="Times New Roman" w:hAnsi="Times New Roman" w:cs="Times New Roman"/>
          <w:lang w:eastAsia="en-AU"/>
        </w:rPr>
        <w:t xml:space="preserve"> </w:t>
      </w:r>
      <w:r w:rsidRPr="00682F31">
        <w:rPr>
          <w:rFonts w:ascii="Times New Roman" w:hAnsi="Times New Roman" w:cs="Times New Roman"/>
          <w:lang w:eastAsia="en-AU"/>
        </w:rPr>
        <w:t>0.1) for the base.</w:t>
      </w:r>
    </w:p>
    <w:p w:rsidR="003D1A36" w:rsidRDefault="003D1A36" w:rsidP="003D1A36">
      <w:pPr>
        <w:spacing w:line="240" w:lineRule="auto"/>
        <w:jc w:val="both"/>
        <w:rPr>
          <w:rFonts w:ascii="Times New Roman" w:hAnsi="Times New Roman" w:cs="Times New Roman"/>
          <w:lang w:eastAsia="en-AU"/>
        </w:rPr>
      </w:pPr>
      <w:r w:rsidRPr="00682F31">
        <w:rPr>
          <w:rFonts w:ascii="Times New Roman" w:hAnsi="Times New Roman" w:cs="Times New Roman"/>
          <w:lang w:eastAsia="en-AU"/>
        </w:rPr>
        <w:t>At pH values less than 7.4, nalmefene has a log D (n-octanol/water) between 0.05 and 1.3</w:t>
      </w:r>
      <w:r>
        <w:rPr>
          <w:rFonts w:ascii="Times New Roman" w:hAnsi="Times New Roman" w:cs="Times New Roman"/>
          <w:lang w:eastAsia="en-AU"/>
        </w:rPr>
        <w:t>.</w:t>
      </w:r>
    </w:p>
    <w:p w:rsidR="00F23AE7" w:rsidRDefault="00682F31" w:rsidP="00682F31">
      <w:pPr>
        <w:spacing w:line="240" w:lineRule="auto"/>
        <w:jc w:val="both"/>
        <w:rPr>
          <w:rFonts w:ascii="Times New Roman" w:hAnsi="Times New Roman" w:cs="Times New Roman"/>
          <w:lang w:eastAsia="en-AU"/>
        </w:rPr>
      </w:pPr>
      <w:r w:rsidRPr="003D1A36">
        <w:rPr>
          <w:rFonts w:ascii="Times New Roman" w:hAnsi="Times New Roman" w:cs="Times New Roman"/>
          <w:lang w:eastAsia="en-AU"/>
        </w:rPr>
        <w:t>SELINCRO</w:t>
      </w:r>
      <w:r w:rsidRPr="00682F31">
        <w:rPr>
          <w:rFonts w:ascii="Times New Roman" w:hAnsi="Times New Roman" w:cs="Times New Roman"/>
          <w:lang w:eastAsia="en-AU"/>
        </w:rPr>
        <w:t xml:space="preserve"> is available as film-coated tablets each containing</w:t>
      </w:r>
      <w:r w:rsidR="00F23AE7">
        <w:rPr>
          <w:rFonts w:ascii="Times New Roman" w:hAnsi="Times New Roman" w:cs="Times New Roman"/>
          <w:lang w:eastAsia="en-AU"/>
        </w:rPr>
        <w:t xml:space="preserve"> </w:t>
      </w:r>
      <w:r w:rsidRPr="00682F31">
        <w:rPr>
          <w:rFonts w:ascii="Times New Roman" w:hAnsi="Times New Roman" w:cs="Times New Roman"/>
          <w:lang w:eastAsia="en-AU"/>
        </w:rPr>
        <w:t>nalmefene hydrochloride dihydrate 21.9 mg equivalent to nalmefene 18 mg</w:t>
      </w:r>
      <w:r w:rsidR="00FA56BB">
        <w:rPr>
          <w:rFonts w:ascii="Times New Roman" w:hAnsi="Times New Roman" w:cs="Times New Roman"/>
          <w:lang w:eastAsia="en-AU"/>
        </w:rPr>
        <w:t>.</w:t>
      </w:r>
    </w:p>
    <w:p w:rsidR="00C824BD" w:rsidRPr="00A5114C" w:rsidRDefault="00C824BD" w:rsidP="00C824BD">
      <w:pPr>
        <w:pStyle w:val="Heading3"/>
        <w:rPr>
          <w:rFonts w:ascii="Times New Roman" w:hAnsi="Times New Roman" w:cs="Times New Roman"/>
          <w:lang w:eastAsia="en-AU"/>
        </w:rPr>
      </w:pPr>
      <w:r w:rsidRPr="00A5114C">
        <w:rPr>
          <w:rFonts w:ascii="Times New Roman" w:hAnsi="Times New Roman" w:cs="Times New Roman"/>
          <w:lang w:eastAsia="en-AU"/>
        </w:rPr>
        <w:t>Excipients</w:t>
      </w:r>
    </w:p>
    <w:p w:rsidR="009813C3" w:rsidRDefault="009813C3" w:rsidP="009E5E3D">
      <w:pPr>
        <w:spacing w:line="240" w:lineRule="auto"/>
        <w:jc w:val="both"/>
        <w:rPr>
          <w:rFonts w:ascii="Times New Roman" w:hAnsi="Times New Roman" w:cs="Times New Roman"/>
          <w:lang w:eastAsia="en-AU"/>
        </w:rPr>
      </w:pPr>
      <w:r w:rsidRPr="00BA7DCF">
        <w:rPr>
          <w:rFonts w:ascii="Times New Roman" w:hAnsi="Times New Roman" w:cs="Times New Roman"/>
          <w:lang w:eastAsia="en-AU"/>
        </w:rPr>
        <w:t xml:space="preserve">Nalmefene film-coated </w:t>
      </w:r>
      <w:r w:rsidR="00EF0847" w:rsidRPr="00BA7DCF">
        <w:rPr>
          <w:rFonts w:ascii="Times New Roman" w:hAnsi="Times New Roman" w:cs="Times New Roman"/>
          <w:lang w:eastAsia="en-AU"/>
        </w:rPr>
        <w:t>tablet</w:t>
      </w:r>
      <w:r w:rsidR="00C824BD" w:rsidRPr="00BA7DCF">
        <w:rPr>
          <w:rFonts w:ascii="Times New Roman" w:hAnsi="Times New Roman" w:cs="Times New Roman"/>
          <w:lang w:eastAsia="en-AU"/>
        </w:rPr>
        <w:t>s</w:t>
      </w:r>
      <w:r w:rsidRPr="00BA7DCF">
        <w:rPr>
          <w:rFonts w:ascii="Times New Roman" w:hAnsi="Times New Roman" w:cs="Times New Roman"/>
          <w:lang w:eastAsia="en-AU"/>
        </w:rPr>
        <w:t xml:space="preserve"> contain </w:t>
      </w:r>
      <w:r w:rsidR="007B39E2">
        <w:rPr>
          <w:rFonts w:ascii="Times New Roman" w:hAnsi="Times New Roman" w:cs="Times New Roman"/>
          <w:lang w:eastAsia="en-AU"/>
        </w:rPr>
        <w:t xml:space="preserve">microcrystalline </w:t>
      </w:r>
      <w:r w:rsidRPr="00BA7DCF">
        <w:rPr>
          <w:rFonts w:ascii="Times New Roman" w:hAnsi="Times New Roman" w:cs="Times New Roman"/>
          <w:lang w:eastAsia="en-AU"/>
        </w:rPr>
        <w:t>cellulose, lactose anhydrous, crospovidone, magnesium stearate</w:t>
      </w:r>
      <w:r w:rsidR="007B39E2">
        <w:rPr>
          <w:rFonts w:ascii="Times New Roman" w:hAnsi="Times New Roman" w:cs="Times New Roman"/>
          <w:lang w:eastAsia="en-AU"/>
        </w:rPr>
        <w:t xml:space="preserve"> </w:t>
      </w:r>
      <w:r w:rsidR="007B39E2" w:rsidRPr="007B39E2">
        <w:rPr>
          <w:rFonts w:ascii="Times New Roman" w:hAnsi="Times New Roman" w:cs="Times New Roman"/>
          <w:lang w:eastAsia="en-AU"/>
        </w:rPr>
        <w:t xml:space="preserve">and </w:t>
      </w:r>
      <w:r w:rsidR="007B39E2">
        <w:rPr>
          <w:rFonts w:ascii="Times New Roman" w:hAnsi="Times New Roman" w:cs="Times New Roman"/>
          <w:lang w:eastAsia="en-AU"/>
        </w:rPr>
        <w:t>Opadry</w:t>
      </w:r>
      <w:r w:rsidR="007B39E2" w:rsidRPr="007B39E2">
        <w:rPr>
          <w:rFonts w:ascii="Times New Roman" w:hAnsi="Times New Roman" w:cs="Times New Roman"/>
          <w:lang w:eastAsia="en-AU"/>
        </w:rPr>
        <w:t xml:space="preserve"> complete film coating system Opadry OY-S-28849 White</w:t>
      </w:r>
      <w:r w:rsidRPr="00BA7DCF">
        <w:rPr>
          <w:rFonts w:ascii="Times New Roman" w:hAnsi="Times New Roman" w:cs="Times New Roman"/>
          <w:lang w:eastAsia="en-AU"/>
        </w:rPr>
        <w:t>.</w:t>
      </w:r>
    </w:p>
    <w:p w:rsidR="0095276B" w:rsidRPr="00A5114C" w:rsidRDefault="0095276B" w:rsidP="009E5E3D">
      <w:pPr>
        <w:pStyle w:val="Heading2"/>
        <w:jc w:val="both"/>
        <w:rPr>
          <w:rFonts w:ascii="Times New Roman" w:hAnsi="Times New Roman" w:cs="Times New Roman"/>
        </w:rPr>
      </w:pPr>
      <w:r w:rsidRPr="00A5114C">
        <w:rPr>
          <w:rFonts w:ascii="Times New Roman" w:hAnsi="Times New Roman" w:cs="Times New Roman"/>
        </w:rPr>
        <w:t>PHARMACOLOGY</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 xml:space="preserve">Pharmacodynamics </w:t>
      </w:r>
    </w:p>
    <w:p w:rsidR="008C1D02" w:rsidRPr="00A5114C" w:rsidRDefault="008C1D02" w:rsidP="00616AA0">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Nalmefene is an opioid system modulator with a distinct μ, δ, and κ receptor profile.</w:t>
      </w:r>
    </w:p>
    <w:p w:rsidR="006F3CA3" w:rsidRPr="00A5114C" w:rsidRDefault="008C1D02" w:rsidP="00616AA0">
      <w:pPr>
        <w:numPr>
          <w:ilvl w:val="0"/>
          <w:numId w:val="8"/>
        </w:numPr>
        <w:spacing w:after="0" w:line="240" w:lineRule="auto"/>
        <w:jc w:val="both"/>
        <w:rPr>
          <w:rFonts w:ascii="Times New Roman" w:hAnsi="Times New Roman" w:cs="Times New Roman"/>
          <w:spacing w:val="0"/>
          <w:lang w:eastAsia="en-AU"/>
        </w:rPr>
      </w:pPr>
      <w:r w:rsidRPr="00A5114C">
        <w:rPr>
          <w:rFonts w:ascii="Times New Roman" w:hAnsi="Times New Roman" w:cs="Times New Roman"/>
          <w:i/>
          <w:iCs/>
          <w:spacing w:val="0"/>
          <w:lang w:eastAsia="en-AU"/>
        </w:rPr>
        <w:t xml:space="preserve">In vitro </w:t>
      </w:r>
      <w:r w:rsidRPr="00A5114C">
        <w:rPr>
          <w:rFonts w:ascii="Times New Roman" w:hAnsi="Times New Roman" w:cs="Times New Roman"/>
          <w:spacing w:val="0"/>
          <w:lang w:eastAsia="en-AU"/>
        </w:rPr>
        <w:t>studies have demonstrated that nalmefene is a selective opioid receptor ligand with</w:t>
      </w:r>
      <w:r w:rsidR="00EF084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antagonist activity at the μ and δ receptors and partial agonist activity at the κ receptor.</w:t>
      </w:r>
    </w:p>
    <w:p w:rsidR="0095276B" w:rsidRPr="00A5114C" w:rsidRDefault="008C1D02" w:rsidP="00616AA0">
      <w:pPr>
        <w:numPr>
          <w:ilvl w:val="0"/>
          <w:numId w:val="8"/>
        </w:numPr>
        <w:spacing w:after="0" w:line="240" w:lineRule="auto"/>
        <w:jc w:val="both"/>
        <w:rPr>
          <w:rFonts w:ascii="Times New Roman" w:hAnsi="Times New Roman" w:cs="Times New Roman"/>
          <w:spacing w:val="0"/>
          <w:lang w:eastAsia="en-AU"/>
        </w:rPr>
      </w:pPr>
      <w:r w:rsidRPr="00A5114C">
        <w:rPr>
          <w:rFonts w:ascii="Times New Roman" w:hAnsi="Times New Roman" w:cs="Times New Roman"/>
          <w:i/>
          <w:iCs/>
          <w:spacing w:val="0"/>
          <w:lang w:eastAsia="en-AU"/>
        </w:rPr>
        <w:t xml:space="preserve">In vivo </w:t>
      </w:r>
      <w:r w:rsidRPr="00A5114C">
        <w:rPr>
          <w:rFonts w:ascii="Times New Roman" w:hAnsi="Times New Roman" w:cs="Times New Roman"/>
          <w:spacing w:val="0"/>
          <w:lang w:eastAsia="en-AU"/>
        </w:rPr>
        <w:t>studies have demonstrated that nalmefene reduces alcohol consumption, possibly by</w:t>
      </w:r>
      <w:r w:rsidR="00EF084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modulating cortico-mesolimbic functions.</w:t>
      </w:r>
    </w:p>
    <w:p w:rsidR="00EC6029" w:rsidRPr="00A5114C" w:rsidRDefault="00EC6029" w:rsidP="00EC6029">
      <w:pPr>
        <w:spacing w:after="0" w:line="240" w:lineRule="auto"/>
        <w:jc w:val="both"/>
        <w:rPr>
          <w:rFonts w:ascii="Times New Roman" w:hAnsi="Times New Roman" w:cs="Times New Roman"/>
          <w:spacing w:val="0"/>
          <w:lang w:eastAsia="en-AU"/>
        </w:rPr>
      </w:pPr>
    </w:p>
    <w:p w:rsidR="00F570BA" w:rsidRPr="00A5114C" w:rsidRDefault="001836ED" w:rsidP="0058001B">
      <w:pPr>
        <w:spacing w:line="240" w:lineRule="auto"/>
        <w:jc w:val="both"/>
        <w:rPr>
          <w:rFonts w:ascii="Times New Roman" w:hAnsi="Times New Roman" w:cs="Times New Roman"/>
          <w:lang w:eastAsia="en-AU"/>
        </w:rPr>
      </w:pPr>
      <w:r w:rsidRPr="00A5114C">
        <w:rPr>
          <w:rFonts w:ascii="Times New Roman" w:hAnsi="Times New Roman" w:cs="Times New Roman"/>
          <w:lang w:eastAsia="en-AU"/>
        </w:rPr>
        <w:t xml:space="preserve">A positron emission tomography (PET) study in healthy subjects was used to assess the brain occupancy of nalmefene at the opioid receptors. </w:t>
      </w:r>
      <w:r w:rsidR="00C57F5A" w:rsidRPr="00A5114C">
        <w:rPr>
          <w:rFonts w:ascii="Times New Roman" w:hAnsi="Times New Roman" w:cs="Times New Roman"/>
          <w:lang w:eastAsia="en-AU"/>
        </w:rPr>
        <w:t xml:space="preserve"> </w:t>
      </w:r>
      <w:r w:rsidRPr="00A5114C">
        <w:rPr>
          <w:rFonts w:ascii="Times New Roman" w:hAnsi="Times New Roman" w:cs="Times New Roman"/>
          <w:lang w:eastAsia="en-AU"/>
        </w:rPr>
        <w:t xml:space="preserve">In this study, a very high occupancy at the µ opioid receptors (94% to 100%) was observed 3 hours after single and repeated daily dosing with 18 mg nalmefene. </w:t>
      </w:r>
      <w:r w:rsidR="00C57F5A" w:rsidRPr="00A5114C">
        <w:rPr>
          <w:rFonts w:ascii="Times New Roman" w:hAnsi="Times New Roman" w:cs="Times New Roman"/>
          <w:lang w:eastAsia="en-AU"/>
        </w:rPr>
        <w:t xml:space="preserve"> </w:t>
      </w:r>
      <w:r w:rsidRPr="00A5114C">
        <w:rPr>
          <w:rFonts w:ascii="Times New Roman" w:hAnsi="Times New Roman" w:cs="Times New Roman"/>
          <w:lang w:eastAsia="en-AU"/>
        </w:rPr>
        <w:t>The high occupancy (83% to 100%) persisted 26 hours after dosing.</w:t>
      </w:r>
    </w:p>
    <w:p w:rsidR="00492106" w:rsidRPr="00A5114C" w:rsidRDefault="00492106" w:rsidP="00D370F1">
      <w:pPr>
        <w:spacing w:after="0" w:line="240" w:lineRule="auto"/>
        <w:jc w:val="both"/>
        <w:rPr>
          <w:rFonts w:ascii="Times New Roman" w:hAnsi="Times New Roman" w:cs="Times New Roman"/>
          <w:lang w:eastAsia="en-AU"/>
        </w:rPr>
      </w:pPr>
      <w:r>
        <w:rPr>
          <w:rFonts w:ascii="Times New Roman" w:hAnsi="Times New Roman" w:cs="Times New Roman"/>
          <w:lang w:eastAsia="en-AU"/>
        </w:rPr>
        <w:t xml:space="preserve">The administration of nalmefene is not associated with development of tolerance or dependence. </w:t>
      </w:r>
      <w:r w:rsidR="00A61590">
        <w:rPr>
          <w:rFonts w:ascii="Times New Roman" w:hAnsi="Times New Roman" w:cs="Times New Roman"/>
          <w:lang w:eastAsia="en-AU"/>
        </w:rPr>
        <w:t xml:space="preserve"> </w:t>
      </w:r>
      <w:r>
        <w:rPr>
          <w:rFonts w:ascii="Times New Roman" w:hAnsi="Times New Roman" w:cs="Times New Roman"/>
          <w:lang w:eastAsia="en-AU"/>
        </w:rPr>
        <w:t xml:space="preserve">In subjects physically dependent on opioids, nalmefene will precipitate withdrawal symptomatology. </w:t>
      </w:r>
      <w:r w:rsidR="00A61590">
        <w:rPr>
          <w:rFonts w:ascii="Times New Roman" w:hAnsi="Times New Roman" w:cs="Times New Roman"/>
          <w:lang w:eastAsia="en-AU"/>
        </w:rPr>
        <w:t xml:space="preserve"> </w:t>
      </w:r>
      <w:r>
        <w:rPr>
          <w:rFonts w:ascii="Times New Roman" w:hAnsi="Times New Roman" w:cs="Times New Roman"/>
          <w:lang w:eastAsia="en-AU"/>
        </w:rPr>
        <w:t xml:space="preserve">Nalmefene is a competitive antagonist at </w:t>
      </w:r>
      <w:r>
        <w:rPr>
          <w:rFonts w:ascii="Times New Roman" w:hAnsi="Times New Roman" w:cs="Times New Roman"/>
          <w:spacing w:val="0"/>
          <w:lang w:eastAsia="en-AU"/>
        </w:rPr>
        <w:t>μ and</w:t>
      </w:r>
      <w:r w:rsidRPr="00A5114C">
        <w:rPr>
          <w:rFonts w:ascii="Times New Roman" w:hAnsi="Times New Roman" w:cs="Times New Roman"/>
          <w:spacing w:val="0"/>
          <w:lang w:eastAsia="en-AU"/>
        </w:rPr>
        <w:t xml:space="preserve"> δ</w:t>
      </w:r>
      <w:r>
        <w:rPr>
          <w:rFonts w:ascii="Times New Roman" w:hAnsi="Times New Roman" w:cs="Times New Roman"/>
          <w:spacing w:val="0"/>
          <w:lang w:eastAsia="en-AU"/>
        </w:rPr>
        <w:t xml:space="preserve"> opioid receptors and when co-administered with </w:t>
      </w:r>
      <w:proofErr w:type="gramStart"/>
      <w:r>
        <w:rPr>
          <w:rFonts w:ascii="Times New Roman" w:hAnsi="Times New Roman" w:cs="Times New Roman"/>
          <w:spacing w:val="0"/>
          <w:lang w:eastAsia="en-AU"/>
        </w:rPr>
        <w:t>opioids is</w:t>
      </w:r>
      <w:proofErr w:type="gramEnd"/>
      <w:r>
        <w:rPr>
          <w:rFonts w:ascii="Times New Roman" w:hAnsi="Times New Roman" w:cs="Times New Roman"/>
          <w:spacing w:val="0"/>
          <w:lang w:eastAsia="en-AU"/>
        </w:rPr>
        <w:t xml:space="preserve"> anticipated to reduce the action of opioids given for analgesia.</w:t>
      </w:r>
    </w:p>
    <w:p w:rsidR="0095276B" w:rsidRPr="00A5114C" w:rsidRDefault="0095276B" w:rsidP="001836ED">
      <w:pPr>
        <w:pStyle w:val="Heading3"/>
        <w:jc w:val="both"/>
        <w:rPr>
          <w:rFonts w:ascii="Times New Roman" w:hAnsi="Times New Roman" w:cs="Times New Roman"/>
        </w:rPr>
      </w:pPr>
      <w:r w:rsidRPr="00A5114C">
        <w:rPr>
          <w:rFonts w:ascii="Times New Roman" w:hAnsi="Times New Roman" w:cs="Times New Roman"/>
        </w:rPr>
        <w:t>Pharmacokinetics</w:t>
      </w:r>
    </w:p>
    <w:p w:rsidR="00F570BA" w:rsidRPr="00A5114C" w:rsidRDefault="0058001B" w:rsidP="0058001B">
      <w:pPr>
        <w:pStyle w:val="Heading4"/>
        <w:jc w:val="both"/>
        <w:rPr>
          <w:rFonts w:ascii="Times New Roman" w:hAnsi="Times New Roman" w:cs="Times New Roman"/>
        </w:rPr>
      </w:pPr>
      <w:r w:rsidRPr="00A5114C">
        <w:rPr>
          <w:rFonts w:ascii="Times New Roman" w:hAnsi="Times New Roman" w:cs="Times New Roman"/>
        </w:rPr>
        <w:t>Absorption</w:t>
      </w:r>
    </w:p>
    <w:p w:rsidR="00584E4A" w:rsidRDefault="008A5219" w:rsidP="00BC7D22">
      <w:pPr>
        <w:spacing w:line="240" w:lineRule="auto"/>
        <w:jc w:val="both"/>
        <w:rPr>
          <w:lang w:eastAsia="en-AU"/>
        </w:rPr>
      </w:pPr>
      <w:r w:rsidRPr="00BC7D22">
        <w:rPr>
          <w:rFonts w:ascii="Times New Roman" w:hAnsi="Times New Roman" w:cs="Times New Roman"/>
          <w:lang w:eastAsia="en-AU"/>
        </w:rPr>
        <w:t>Nalmefene is rapidly absorbed after a sin</w:t>
      </w:r>
      <w:r w:rsidR="001836ED" w:rsidRPr="00BC7D22">
        <w:rPr>
          <w:rFonts w:ascii="Times New Roman" w:hAnsi="Times New Roman" w:cs="Times New Roman"/>
          <w:lang w:eastAsia="en-AU"/>
        </w:rPr>
        <w:t>gle oral administration of 18</w:t>
      </w:r>
      <w:r w:rsidRPr="00BC7D22">
        <w:rPr>
          <w:rFonts w:ascii="Times New Roman" w:hAnsi="Times New Roman" w:cs="Times New Roman"/>
          <w:lang w:eastAsia="en-AU"/>
        </w:rPr>
        <w:t xml:space="preserve"> mg, with a peak</w:t>
      </w:r>
      <w:r w:rsidR="00EF0847" w:rsidRPr="00BC7D22">
        <w:rPr>
          <w:rFonts w:ascii="Times New Roman" w:hAnsi="Times New Roman" w:cs="Times New Roman"/>
          <w:lang w:eastAsia="en-AU"/>
        </w:rPr>
        <w:t xml:space="preserve"> </w:t>
      </w:r>
      <w:r w:rsidRPr="00BC7D22">
        <w:rPr>
          <w:rFonts w:ascii="Times New Roman" w:hAnsi="Times New Roman" w:cs="Times New Roman"/>
          <w:lang w:eastAsia="en-AU"/>
        </w:rPr>
        <w:t>concentration (C</w:t>
      </w:r>
      <w:r w:rsidRPr="00BC7D22">
        <w:rPr>
          <w:rFonts w:ascii="Times New Roman" w:hAnsi="Times New Roman" w:cs="Times New Roman"/>
          <w:vertAlign w:val="subscript"/>
          <w:lang w:eastAsia="en-AU"/>
        </w:rPr>
        <w:t>max</w:t>
      </w:r>
      <w:r w:rsidRPr="00BC7D22">
        <w:rPr>
          <w:rFonts w:ascii="Times New Roman" w:hAnsi="Times New Roman" w:cs="Times New Roman"/>
          <w:lang w:eastAsia="en-AU"/>
        </w:rPr>
        <w:t>) of 16.5 ng/ml after approximately 1.5 hours and an exposure (AUC) of</w:t>
      </w:r>
      <w:r w:rsidR="00EF0847" w:rsidRPr="00BC7D22">
        <w:rPr>
          <w:rFonts w:ascii="Times New Roman" w:hAnsi="Times New Roman" w:cs="Times New Roman"/>
          <w:lang w:eastAsia="en-AU"/>
        </w:rPr>
        <w:t xml:space="preserve"> </w:t>
      </w:r>
      <w:r w:rsidRPr="00BC7D22">
        <w:rPr>
          <w:rFonts w:ascii="Times New Roman" w:hAnsi="Times New Roman" w:cs="Times New Roman"/>
          <w:lang w:eastAsia="en-AU"/>
        </w:rPr>
        <w:t>131 ng</w:t>
      </w:r>
      <w:r w:rsidR="00C824BD" w:rsidRPr="00BC7D22">
        <w:rPr>
          <w:rFonts w:ascii="Times New Roman" w:hAnsi="Times New Roman" w:cs="Times New Roman"/>
          <w:lang w:eastAsia="en-AU"/>
        </w:rPr>
        <w:t>·h/mL</w:t>
      </w:r>
      <w:r w:rsidRPr="00BC7D22">
        <w:rPr>
          <w:rFonts w:ascii="Times New Roman" w:hAnsi="Times New Roman" w:cs="Times New Roman"/>
          <w:lang w:eastAsia="en-AU"/>
        </w:rPr>
        <w:t>.</w:t>
      </w:r>
      <w:r w:rsidR="00EF0847" w:rsidRPr="00BC7D22">
        <w:rPr>
          <w:rFonts w:ascii="Times New Roman" w:hAnsi="Times New Roman" w:cs="Times New Roman"/>
          <w:lang w:eastAsia="en-AU"/>
        </w:rPr>
        <w:t xml:space="preserve">  </w:t>
      </w:r>
      <w:r w:rsidR="006F03D1" w:rsidRPr="00BC7D22">
        <w:rPr>
          <w:rFonts w:ascii="Times New Roman" w:hAnsi="Times New Roman" w:cs="Times New Roman"/>
          <w:lang w:eastAsia="en-AU"/>
        </w:rPr>
        <w:t xml:space="preserve">The absolute </w:t>
      </w:r>
      <w:r w:rsidR="00CD7E20" w:rsidRPr="00BC7D22">
        <w:rPr>
          <w:rFonts w:ascii="Times New Roman" w:hAnsi="Times New Roman" w:cs="Times New Roman"/>
          <w:lang w:eastAsia="en-AU"/>
        </w:rPr>
        <w:t xml:space="preserve">oral </w:t>
      </w:r>
      <w:r w:rsidR="006F03D1" w:rsidRPr="00BC7D22">
        <w:rPr>
          <w:rFonts w:ascii="Times New Roman" w:hAnsi="Times New Roman" w:cs="Times New Roman"/>
          <w:lang w:eastAsia="en-AU"/>
        </w:rPr>
        <w:t>bioavailability of nalmefene has not been fully assessed but has been estimated to be ~40%</w:t>
      </w:r>
      <w:r w:rsidRPr="00BC7D22">
        <w:rPr>
          <w:rFonts w:ascii="Times New Roman" w:hAnsi="Times New Roman" w:cs="Times New Roman"/>
          <w:lang w:eastAsia="en-AU"/>
        </w:rPr>
        <w:t xml:space="preserve">. </w:t>
      </w:r>
      <w:r w:rsidR="00C57F5A" w:rsidRPr="00BC7D22">
        <w:rPr>
          <w:rFonts w:ascii="Times New Roman" w:hAnsi="Times New Roman" w:cs="Times New Roman"/>
          <w:lang w:eastAsia="en-AU"/>
        </w:rPr>
        <w:t xml:space="preserve"> </w:t>
      </w:r>
      <w:r w:rsidRPr="00BC7D22">
        <w:rPr>
          <w:rFonts w:ascii="Times New Roman" w:hAnsi="Times New Roman" w:cs="Times New Roman"/>
          <w:lang w:eastAsia="en-AU"/>
        </w:rPr>
        <w:t>Administration of high-fat food increases the</w:t>
      </w:r>
      <w:r w:rsidR="00EF0847" w:rsidRPr="00BC7D22">
        <w:rPr>
          <w:rFonts w:ascii="Times New Roman" w:hAnsi="Times New Roman" w:cs="Times New Roman"/>
          <w:lang w:eastAsia="en-AU"/>
        </w:rPr>
        <w:t xml:space="preserve"> </w:t>
      </w:r>
      <w:r w:rsidRPr="00BC7D22">
        <w:rPr>
          <w:rFonts w:ascii="Times New Roman" w:hAnsi="Times New Roman" w:cs="Times New Roman"/>
          <w:lang w:eastAsia="en-AU"/>
        </w:rPr>
        <w:t xml:space="preserve">total exposure </w:t>
      </w:r>
      <w:r w:rsidRPr="00BC7D22">
        <w:rPr>
          <w:rFonts w:ascii="Times New Roman" w:hAnsi="Times New Roman" w:cs="Times New Roman"/>
          <w:lang w:eastAsia="en-AU"/>
        </w:rPr>
        <w:lastRenderedPageBreak/>
        <w:t>(AUC) by 30% and the peak concentration (C</w:t>
      </w:r>
      <w:r w:rsidRPr="00BC7D22">
        <w:rPr>
          <w:rFonts w:ascii="Times New Roman" w:hAnsi="Times New Roman" w:cs="Times New Roman"/>
          <w:vertAlign w:val="subscript"/>
          <w:lang w:eastAsia="en-AU"/>
        </w:rPr>
        <w:t>max</w:t>
      </w:r>
      <w:r w:rsidRPr="00BC7D22">
        <w:rPr>
          <w:rFonts w:ascii="Times New Roman" w:hAnsi="Times New Roman" w:cs="Times New Roman"/>
          <w:lang w:eastAsia="en-AU"/>
        </w:rPr>
        <w:t>) by 50%; the time to peak</w:t>
      </w:r>
      <w:r w:rsidR="00EF0847" w:rsidRPr="00BC7D22">
        <w:rPr>
          <w:rFonts w:ascii="Times New Roman" w:hAnsi="Times New Roman" w:cs="Times New Roman"/>
          <w:lang w:eastAsia="en-AU"/>
        </w:rPr>
        <w:t xml:space="preserve"> </w:t>
      </w:r>
      <w:r w:rsidRPr="00BC7D22">
        <w:rPr>
          <w:rFonts w:ascii="Times New Roman" w:hAnsi="Times New Roman" w:cs="Times New Roman"/>
          <w:lang w:eastAsia="en-AU"/>
        </w:rPr>
        <w:t>concentration (t</w:t>
      </w:r>
      <w:r w:rsidRPr="00BC7D22">
        <w:rPr>
          <w:rFonts w:ascii="Times New Roman" w:hAnsi="Times New Roman" w:cs="Times New Roman"/>
          <w:vertAlign w:val="subscript"/>
          <w:lang w:eastAsia="en-AU"/>
        </w:rPr>
        <w:t>max</w:t>
      </w:r>
      <w:r w:rsidRPr="00BC7D22">
        <w:rPr>
          <w:rFonts w:ascii="Times New Roman" w:hAnsi="Times New Roman" w:cs="Times New Roman"/>
          <w:lang w:eastAsia="en-AU"/>
        </w:rPr>
        <w:t>) is delayed by 30 min (t</w:t>
      </w:r>
      <w:r w:rsidRPr="00BC7D22">
        <w:rPr>
          <w:rFonts w:ascii="Times New Roman" w:hAnsi="Times New Roman" w:cs="Times New Roman"/>
          <w:vertAlign w:val="subscript"/>
          <w:lang w:eastAsia="en-AU"/>
        </w:rPr>
        <w:t>max</w:t>
      </w:r>
      <w:r w:rsidRPr="00BC7D22">
        <w:rPr>
          <w:rFonts w:ascii="Times New Roman" w:hAnsi="Times New Roman" w:cs="Times New Roman"/>
          <w:lang w:eastAsia="en-AU"/>
        </w:rPr>
        <w:t xml:space="preserve"> is 1.5</w:t>
      </w:r>
      <w:r w:rsidR="003271B8" w:rsidRPr="00BC7D22">
        <w:rPr>
          <w:rFonts w:ascii="Times New Roman" w:hAnsi="Times New Roman" w:cs="Times New Roman"/>
          <w:lang w:eastAsia="en-AU"/>
        </w:rPr>
        <w:t> </w:t>
      </w:r>
      <w:r w:rsidRPr="00BC7D22">
        <w:rPr>
          <w:rFonts w:ascii="Times New Roman" w:hAnsi="Times New Roman" w:cs="Times New Roman"/>
          <w:lang w:eastAsia="en-AU"/>
        </w:rPr>
        <w:t xml:space="preserve">hours). </w:t>
      </w:r>
      <w:r w:rsidR="00C57F5A" w:rsidRPr="00BC7D22">
        <w:rPr>
          <w:rFonts w:ascii="Times New Roman" w:hAnsi="Times New Roman" w:cs="Times New Roman"/>
          <w:lang w:eastAsia="en-AU"/>
        </w:rPr>
        <w:t xml:space="preserve"> </w:t>
      </w:r>
      <w:r w:rsidRPr="00BC7D22">
        <w:rPr>
          <w:rFonts w:ascii="Times New Roman" w:hAnsi="Times New Roman" w:cs="Times New Roman"/>
          <w:lang w:eastAsia="en-AU"/>
        </w:rPr>
        <w:t xml:space="preserve">This change is considered </w:t>
      </w:r>
      <w:r w:rsidR="00EF0847" w:rsidRPr="00BC7D22">
        <w:rPr>
          <w:rFonts w:ascii="Times New Roman" w:hAnsi="Times New Roman" w:cs="Times New Roman"/>
          <w:lang w:eastAsia="en-AU"/>
        </w:rPr>
        <w:t>u</w:t>
      </w:r>
      <w:r w:rsidRPr="00BC7D22">
        <w:rPr>
          <w:rFonts w:ascii="Times New Roman" w:hAnsi="Times New Roman" w:cs="Times New Roman"/>
          <w:lang w:eastAsia="en-AU"/>
        </w:rPr>
        <w:t>nlikely to be of</w:t>
      </w:r>
      <w:r w:rsidR="00EF0847" w:rsidRPr="00BC7D22">
        <w:rPr>
          <w:rFonts w:ascii="Times New Roman" w:hAnsi="Times New Roman" w:cs="Times New Roman"/>
          <w:lang w:eastAsia="en-AU"/>
        </w:rPr>
        <w:t xml:space="preserve"> </w:t>
      </w:r>
      <w:r w:rsidRPr="00BC7D22">
        <w:rPr>
          <w:rFonts w:ascii="Times New Roman" w:hAnsi="Times New Roman" w:cs="Times New Roman"/>
          <w:lang w:eastAsia="en-AU"/>
        </w:rPr>
        <w:t>clinical relevance.</w:t>
      </w:r>
    </w:p>
    <w:p w:rsidR="003444D0" w:rsidRPr="00BC7D22" w:rsidRDefault="003444D0" w:rsidP="00BC7D22">
      <w:pPr>
        <w:rPr>
          <w:lang w:eastAsia="en-AU"/>
        </w:rPr>
      </w:pPr>
    </w:p>
    <w:p w:rsidR="008A5219" w:rsidRPr="00A5114C" w:rsidRDefault="008A5219"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Distribution</w:t>
      </w:r>
    </w:p>
    <w:p w:rsidR="00D4544E"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The average protein-bound fraction of nalmefene in plasma is approximately 30%. </w:t>
      </w:r>
      <w:r w:rsidR="00C57F5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 estimated</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volume of distribution (Vd/F</w:t>
      </w:r>
      <w:r w:rsidR="00C824BD" w:rsidRPr="00A5114C">
        <w:rPr>
          <w:rFonts w:ascii="Times New Roman" w:hAnsi="Times New Roman" w:cs="Times New Roman"/>
          <w:spacing w:val="0"/>
          <w:lang w:eastAsia="en-AU"/>
        </w:rPr>
        <w:t>) is approximately 3200 L</w:t>
      </w:r>
      <w:r w:rsidRPr="00A5114C">
        <w:rPr>
          <w:rFonts w:ascii="Times New Roman" w:hAnsi="Times New Roman" w:cs="Times New Roman"/>
          <w:spacing w:val="0"/>
          <w:lang w:eastAsia="en-AU"/>
        </w:rPr>
        <w:t>.</w:t>
      </w:r>
      <w:r w:rsidR="00D4544E" w:rsidRPr="00A5114C">
        <w:rPr>
          <w:rFonts w:ascii="Times New Roman" w:hAnsi="Times New Roman" w:cs="Times New Roman"/>
          <w:spacing w:val="0"/>
          <w:lang w:eastAsia="en-AU"/>
        </w:rPr>
        <w:t xml:space="preserve">  </w:t>
      </w:r>
      <w:r w:rsidR="00492106">
        <w:rPr>
          <w:rFonts w:ascii="Times New Roman" w:hAnsi="Times New Roman" w:cs="Times New Roman"/>
          <w:spacing w:val="0"/>
          <w:lang w:eastAsia="en-AU"/>
        </w:rPr>
        <w:t>Nalmefene crosses the blood-brain</w:t>
      </w:r>
      <w:r w:rsidR="002531BF">
        <w:rPr>
          <w:rFonts w:ascii="Times New Roman" w:hAnsi="Times New Roman" w:cs="Times New Roman"/>
          <w:spacing w:val="0"/>
          <w:lang w:eastAsia="en-AU"/>
        </w:rPr>
        <w:t xml:space="preserve"> barrier</w:t>
      </w:r>
      <w:r w:rsidR="00492106">
        <w:rPr>
          <w:rFonts w:ascii="Times New Roman" w:hAnsi="Times New Roman" w:cs="Times New Roman"/>
          <w:spacing w:val="0"/>
          <w:lang w:eastAsia="en-AU"/>
        </w:rPr>
        <w:t>.</w:t>
      </w:r>
    </w:p>
    <w:p w:rsidR="00D90644" w:rsidRPr="00A5114C" w:rsidRDefault="00D90644" w:rsidP="009E5E3D">
      <w:pPr>
        <w:spacing w:after="0" w:line="240" w:lineRule="auto"/>
        <w:jc w:val="both"/>
        <w:rPr>
          <w:rFonts w:ascii="Times New Roman" w:hAnsi="Times New Roman" w:cs="Times New Roman"/>
          <w:spacing w:val="0"/>
          <w:lang w:eastAsia="en-AU"/>
        </w:rPr>
      </w:pPr>
    </w:p>
    <w:p w:rsidR="008A5219" w:rsidRPr="00A5114C" w:rsidRDefault="003D52B4"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Metabolism</w:t>
      </w:r>
    </w:p>
    <w:p w:rsidR="00D4544E" w:rsidRPr="00A5114C" w:rsidRDefault="00937A2A" w:rsidP="009E5E3D">
      <w:pPr>
        <w:spacing w:after="0" w:line="240" w:lineRule="auto"/>
        <w:jc w:val="both"/>
        <w:rPr>
          <w:rFonts w:ascii="Times New Roman" w:hAnsi="Times New Roman" w:cs="Times New Roman"/>
          <w:spacing w:val="0"/>
          <w:lang w:eastAsia="en-AU"/>
        </w:rPr>
      </w:pPr>
      <w:r w:rsidRPr="00937A2A">
        <w:rPr>
          <w:rFonts w:ascii="Times New Roman" w:hAnsi="Times New Roman" w:cs="Times New Roman"/>
          <w:spacing w:val="0"/>
          <w:lang w:eastAsia="en-AU"/>
        </w:rPr>
        <w:t>Following oral administration, nalmefene undergoes extensive, rapid metabolism to the major metabolite nalmefene 3-O-glucuronide</w:t>
      </w:r>
      <w:r w:rsidR="007B4D45">
        <w:rPr>
          <w:rFonts w:ascii="Times New Roman" w:hAnsi="Times New Roman" w:cs="Times New Roman"/>
          <w:spacing w:val="0"/>
          <w:lang w:eastAsia="en-AU"/>
        </w:rPr>
        <w:t>.</w:t>
      </w:r>
      <w:r w:rsidRPr="00937A2A">
        <w:rPr>
          <w:rFonts w:ascii="Times New Roman" w:hAnsi="Times New Roman" w:cs="Times New Roman"/>
          <w:spacing w:val="0"/>
          <w:lang w:eastAsia="en-AU"/>
        </w:rPr>
        <w:t xml:space="preserve"> </w:t>
      </w:r>
      <w:r w:rsidR="00F9542A">
        <w:rPr>
          <w:rFonts w:ascii="Times New Roman" w:hAnsi="Times New Roman" w:cs="Times New Roman"/>
          <w:spacing w:val="0"/>
          <w:lang w:eastAsia="en-AU"/>
        </w:rPr>
        <w:t xml:space="preserve"> </w:t>
      </w:r>
      <w:r w:rsidRPr="00937A2A">
        <w:rPr>
          <w:rFonts w:ascii="Times New Roman" w:hAnsi="Times New Roman" w:cs="Times New Roman"/>
          <w:spacing w:val="0"/>
          <w:lang w:eastAsia="en-AU"/>
        </w:rPr>
        <w:t xml:space="preserve">UGT2B7 </w:t>
      </w:r>
      <w:r w:rsidR="00D129B1">
        <w:rPr>
          <w:rFonts w:ascii="Times New Roman" w:hAnsi="Times New Roman" w:cs="Times New Roman"/>
          <w:spacing w:val="0"/>
          <w:lang w:eastAsia="en-AU"/>
        </w:rPr>
        <w:t xml:space="preserve">is the primary liver </w:t>
      </w:r>
      <w:r w:rsidRPr="00937A2A">
        <w:rPr>
          <w:rFonts w:ascii="Times New Roman" w:hAnsi="Times New Roman" w:cs="Times New Roman"/>
          <w:spacing w:val="0"/>
          <w:lang w:eastAsia="en-AU"/>
        </w:rPr>
        <w:t xml:space="preserve">enzyme responsible for the conversion </w:t>
      </w:r>
      <w:r w:rsidR="00D129B1">
        <w:rPr>
          <w:rFonts w:ascii="Times New Roman" w:hAnsi="Times New Roman" w:cs="Times New Roman"/>
          <w:spacing w:val="0"/>
          <w:lang w:eastAsia="en-AU"/>
        </w:rPr>
        <w:t xml:space="preserve">of nalmefene to nalmefene 3-O-glucuronide </w:t>
      </w:r>
      <w:r w:rsidR="00D129B1">
        <w:rPr>
          <w:rFonts w:ascii="Times New Roman" w:hAnsi="Times New Roman" w:cs="Times New Roman"/>
          <w:i/>
          <w:spacing w:val="0"/>
          <w:lang w:eastAsia="en-AU"/>
        </w:rPr>
        <w:t xml:space="preserve">in vitro.  </w:t>
      </w:r>
      <w:r w:rsidR="00D129B1">
        <w:rPr>
          <w:rFonts w:ascii="Times New Roman" w:hAnsi="Times New Roman" w:cs="Times New Roman"/>
          <w:spacing w:val="0"/>
          <w:lang w:eastAsia="en-AU"/>
        </w:rPr>
        <w:t xml:space="preserve">Furthermore, </w:t>
      </w:r>
      <w:r w:rsidRPr="00937A2A">
        <w:rPr>
          <w:rFonts w:ascii="Times New Roman" w:hAnsi="Times New Roman" w:cs="Times New Roman"/>
          <w:spacing w:val="0"/>
          <w:lang w:eastAsia="en-AU"/>
        </w:rPr>
        <w:t xml:space="preserve">UGT1A3 and UGT1A8 </w:t>
      </w:r>
      <w:r w:rsidR="00D129B1">
        <w:rPr>
          <w:rFonts w:ascii="Times New Roman" w:hAnsi="Times New Roman" w:cs="Times New Roman"/>
          <w:spacing w:val="0"/>
          <w:lang w:eastAsia="en-AU"/>
        </w:rPr>
        <w:t>may also contribute to this pathway</w:t>
      </w:r>
      <w:r w:rsidRPr="00937A2A">
        <w:rPr>
          <w:rFonts w:ascii="Times New Roman" w:hAnsi="Times New Roman" w:cs="Times New Roman"/>
          <w:spacing w:val="0"/>
          <w:lang w:eastAsia="en-AU"/>
        </w:rPr>
        <w:t xml:space="preserve">. </w:t>
      </w:r>
      <w:r w:rsidR="00A61590">
        <w:rPr>
          <w:rFonts w:ascii="Times New Roman" w:hAnsi="Times New Roman" w:cs="Times New Roman"/>
          <w:spacing w:val="0"/>
          <w:lang w:eastAsia="en-AU"/>
        </w:rPr>
        <w:t xml:space="preserve"> </w:t>
      </w:r>
      <w:r w:rsidRPr="00937A2A">
        <w:rPr>
          <w:rFonts w:ascii="Times New Roman" w:hAnsi="Times New Roman" w:cs="Times New Roman"/>
          <w:spacing w:val="0"/>
          <w:lang w:eastAsia="en-AU"/>
        </w:rPr>
        <w:t xml:space="preserve">A small proportion of nalmefene is converted to nalmefene 3-O-sulphate by sulphation and to nornalmefene by CYP3A4/5. </w:t>
      </w:r>
      <w:r w:rsidR="00A61590">
        <w:rPr>
          <w:rFonts w:ascii="Times New Roman" w:hAnsi="Times New Roman" w:cs="Times New Roman"/>
          <w:spacing w:val="0"/>
          <w:lang w:eastAsia="en-AU"/>
        </w:rPr>
        <w:t xml:space="preserve"> </w:t>
      </w:r>
      <w:r w:rsidRPr="00937A2A">
        <w:rPr>
          <w:rFonts w:ascii="Times New Roman" w:hAnsi="Times New Roman" w:cs="Times New Roman"/>
          <w:spacing w:val="0"/>
          <w:lang w:eastAsia="en-AU"/>
        </w:rPr>
        <w:t xml:space="preserve">Nornalmefene is further converted to nornalmefene 3-O-glucuronide and nornalmefene 3-O-sulphate. </w:t>
      </w:r>
      <w:r w:rsidR="00A61590">
        <w:rPr>
          <w:rFonts w:ascii="Times New Roman" w:hAnsi="Times New Roman" w:cs="Times New Roman"/>
          <w:spacing w:val="0"/>
          <w:lang w:eastAsia="en-AU"/>
        </w:rPr>
        <w:t xml:space="preserve"> </w:t>
      </w:r>
      <w:r w:rsidRPr="00937A2A">
        <w:rPr>
          <w:rFonts w:ascii="Times New Roman" w:hAnsi="Times New Roman" w:cs="Times New Roman"/>
          <w:spacing w:val="0"/>
          <w:lang w:eastAsia="en-AU"/>
        </w:rPr>
        <w:t xml:space="preserve">The metabolites are considered </w:t>
      </w:r>
      <w:r w:rsidR="00D129B1">
        <w:rPr>
          <w:rFonts w:ascii="Times New Roman" w:hAnsi="Times New Roman" w:cs="Times New Roman"/>
          <w:spacing w:val="0"/>
          <w:lang w:eastAsia="en-AU"/>
        </w:rPr>
        <w:t xml:space="preserve">unlikely </w:t>
      </w:r>
      <w:r w:rsidRPr="00937A2A">
        <w:rPr>
          <w:rFonts w:ascii="Times New Roman" w:hAnsi="Times New Roman" w:cs="Times New Roman"/>
          <w:spacing w:val="0"/>
          <w:lang w:eastAsia="en-AU"/>
        </w:rPr>
        <w:t>to contribute significant</w:t>
      </w:r>
      <w:r w:rsidR="00D129B1">
        <w:rPr>
          <w:rFonts w:ascii="Times New Roman" w:hAnsi="Times New Roman" w:cs="Times New Roman"/>
          <w:spacing w:val="0"/>
          <w:lang w:eastAsia="en-AU"/>
        </w:rPr>
        <w:t>ly to the</w:t>
      </w:r>
      <w:r w:rsidRPr="00937A2A">
        <w:rPr>
          <w:rFonts w:ascii="Times New Roman" w:hAnsi="Times New Roman" w:cs="Times New Roman"/>
          <w:spacing w:val="0"/>
          <w:lang w:eastAsia="en-AU"/>
        </w:rPr>
        <w:t xml:space="preserve"> pharmacological effect </w:t>
      </w:r>
      <w:r w:rsidR="00D129B1">
        <w:rPr>
          <w:rFonts w:ascii="Times New Roman" w:hAnsi="Times New Roman" w:cs="Times New Roman"/>
          <w:spacing w:val="0"/>
          <w:lang w:eastAsia="en-AU"/>
        </w:rPr>
        <w:t xml:space="preserve">of nalmefene </w:t>
      </w:r>
      <w:r w:rsidRPr="00937A2A">
        <w:rPr>
          <w:rFonts w:ascii="Times New Roman" w:hAnsi="Times New Roman" w:cs="Times New Roman"/>
          <w:spacing w:val="0"/>
          <w:lang w:eastAsia="en-AU"/>
        </w:rPr>
        <w:t xml:space="preserve">on the opioid receptors in humans. </w:t>
      </w:r>
      <w:r w:rsidR="00A61590">
        <w:rPr>
          <w:rFonts w:ascii="Times New Roman" w:hAnsi="Times New Roman" w:cs="Times New Roman"/>
          <w:spacing w:val="0"/>
          <w:lang w:eastAsia="en-AU"/>
        </w:rPr>
        <w:t xml:space="preserve"> </w:t>
      </w:r>
      <w:r w:rsidR="00C91365">
        <w:rPr>
          <w:rFonts w:ascii="Times New Roman" w:hAnsi="Times New Roman" w:cs="Times New Roman"/>
          <w:spacing w:val="0"/>
          <w:lang w:eastAsia="en-AU"/>
        </w:rPr>
        <w:t xml:space="preserve">Although </w:t>
      </w:r>
      <w:r w:rsidRPr="00937A2A">
        <w:rPr>
          <w:rFonts w:ascii="Times New Roman" w:hAnsi="Times New Roman" w:cs="Times New Roman"/>
          <w:spacing w:val="0"/>
          <w:lang w:eastAsia="en-AU"/>
        </w:rPr>
        <w:t xml:space="preserve">nalmefene 3-O-sulphate </w:t>
      </w:r>
      <w:r w:rsidR="00C91365">
        <w:rPr>
          <w:rFonts w:ascii="Times New Roman" w:hAnsi="Times New Roman" w:cs="Times New Roman"/>
          <w:spacing w:val="0"/>
          <w:lang w:eastAsia="en-AU"/>
        </w:rPr>
        <w:t xml:space="preserve">has similar affinity for opioid receptors as nalmefene, it </w:t>
      </w:r>
      <w:r w:rsidRPr="00937A2A">
        <w:rPr>
          <w:rFonts w:ascii="Times New Roman" w:hAnsi="Times New Roman" w:cs="Times New Roman"/>
          <w:spacing w:val="0"/>
          <w:lang w:eastAsia="en-AU"/>
        </w:rPr>
        <w:t xml:space="preserve">is present in </w:t>
      </w:r>
      <w:r w:rsidR="00C91365">
        <w:rPr>
          <w:rFonts w:ascii="Times New Roman" w:hAnsi="Times New Roman" w:cs="Times New Roman"/>
          <w:spacing w:val="0"/>
          <w:lang w:eastAsia="en-AU"/>
        </w:rPr>
        <w:t xml:space="preserve">human plasma at </w:t>
      </w:r>
      <w:r w:rsidRPr="00937A2A">
        <w:rPr>
          <w:rFonts w:ascii="Times New Roman" w:hAnsi="Times New Roman" w:cs="Times New Roman"/>
          <w:spacing w:val="0"/>
          <w:lang w:eastAsia="en-AU"/>
        </w:rPr>
        <w:t xml:space="preserve">concentrations less than 10% of that of nalmefene and </w:t>
      </w:r>
      <w:r w:rsidR="00C91365">
        <w:rPr>
          <w:rFonts w:ascii="Times New Roman" w:hAnsi="Times New Roman" w:cs="Times New Roman"/>
          <w:spacing w:val="0"/>
          <w:lang w:eastAsia="en-AU"/>
        </w:rPr>
        <w:t xml:space="preserve">is </w:t>
      </w:r>
      <w:r w:rsidRPr="00937A2A">
        <w:rPr>
          <w:rFonts w:ascii="Times New Roman" w:hAnsi="Times New Roman" w:cs="Times New Roman"/>
          <w:spacing w:val="0"/>
          <w:lang w:eastAsia="en-AU"/>
        </w:rPr>
        <w:t>thus considered unlikely to be a major contributor to the pharmacological effect of nalmefene.</w:t>
      </w:r>
      <w:r w:rsidR="00C91365">
        <w:rPr>
          <w:rFonts w:ascii="Times New Roman" w:hAnsi="Times New Roman" w:cs="Times New Roman"/>
          <w:spacing w:val="0"/>
          <w:lang w:eastAsia="en-AU"/>
        </w:rPr>
        <w:t xml:space="preserve">  Other metabolites, including nornalmefene 3-O-glucuronide and nornalmefene 3-O-sulfate, as well as nalmefene 3-O-glucuronide, have much lower affinities for the opio</w:t>
      </w:r>
      <w:r w:rsidR="005B4668">
        <w:rPr>
          <w:rFonts w:ascii="Times New Roman" w:hAnsi="Times New Roman" w:cs="Times New Roman"/>
          <w:spacing w:val="0"/>
          <w:lang w:eastAsia="en-AU"/>
        </w:rPr>
        <w:t>i</w:t>
      </w:r>
      <w:r w:rsidR="00C91365">
        <w:rPr>
          <w:rFonts w:ascii="Times New Roman" w:hAnsi="Times New Roman" w:cs="Times New Roman"/>
          <w:spacing w:val="0"/>
          <w:lang w:eastAsia="en-AU"/>
        </w:rPr>
        <w:t>d receptors than nalmefene.</w:t>
      </w:r>
    </w:p>
    <w:p w:rsidR="00E031EA" w:rsidRDefault="00E031EA" w:rsidP="00BC7D22">
      <w:pPr>
        <w:pStyle w:val="Heading4"/>
        <w:spacing w:after="0"/>
        <w:jc w:val="both"/>
        <w:rPr>
          <w:rFonts w:ascii="Times New Roman" w:hAnsi="Times New Roman" w:cs="Times New Roman"/>
          <w:lang w:eastAsia="en-AU"/>
        </w:rPr>
      </w:pPr>
    </w:p>
    <w:p w:rsidR="008A5219" w:rsidRPr="00A5114C" w:rsidRDefault="003D52B4"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Excretion</w:t>
      </w:r>
    </w:p>
    <w:p w:rsidR="00A5715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Metabolism by glucuronide conjugation is the primary mechanism of clearance for nalmefene, with</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renal excretion being the main route of elimination of nalmefene and its metabolites. </w:t>
      </w:r>
      <w:r w:rsidR="00C57F5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54% of the total</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dose is excreted in the urine as nalmefene 3-O-glucuronide, while nalmefene and its other metabolites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are present in the urine in amounts of less than 3% each.</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 oral clearance of nalmefe</w:t>
      </w:r>
      <w:r w:rsidR="00DA45E7" w:rsidRPr="00A5114C">
        <w:rPr>
          <w:rFonts w:ascii="Times New Roman" w:hAnsi="Times New Roman" w:cs="Times New Roman"/>
          <w:spacing w:val="0"/>
          <w:lang w:eastAsia="en-AU"/>
        </w:rPr>
        <w:t>ne (CL/F) was estimated as 169 L</w:t>
      </w:r>
      <w:r w:rsidRPr="00A5114C">
        <w:rPr>
          <w:rFonts w:ascii="Times New Roman" w:hAnsi="Times New Roman" w:cs="Times New Roman"/>
          <w:spacing w:val="0"/>
          <w:lang w:eastAsia="en-AU"/>
        </w:rPr>
        <w:t>/h and the terminal half-life was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estimated as 12.5 hours.</w:t>
      </w:r>
      <w:r w:rsidR="00D4544E" w:rsidRPr="00A5114C">
        <w:rPr>
          <w:rFonts w:ascii="Times New Roman" w:hAnsi="Times New Roman" w:cs="Times New Roman"/>
          <w:spacing w:val="0"/>
          <w:lang w:eastAsia="en-AU"/>
        </w:rPr>
        <w:t xml:space="preserve"> </w:t>
      </w:r>
    </w:p>
    <w:p w:rsidR="00D4544E" w:rsidRPr="00A5114C" w:rsidRDefault="00D4544E"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 </w:t>
      </w:r>
    </w:p>
    <w:p w:rsidR="008A5219" w:rsidRPr="00A5114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From distribution, metabolism, and excretion data, it appears that nalmefene has a high hepatic</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extraction ratio.</w:t>
      </w:r>
    </w:p>
    <w:p w:rsidR="00D4544E" w:rsidRPr="00A5114C" w:rsidRDefault="00D4544E" w:rsidP="009E5E3D">
      <w:pPr>
        <w:spacing w:after="0" w:line="240" w:lineRule="auto"/>
        <w:jc w:val="both"/>
        <w:rPr>
          <w:rFonts w:ascii="Times New Roman" w:hAnsi="Times New Roman" w:cs="Times New Roman"/>
          <w:spacing w:val="0"/>
          <w:lang w:eastAsia="en-AU"/>
        </w:rPr>
      </w:pPr>
    </w:p>
    <w:p w:rsidR="008A5219" w:rsidRPr="00A5114C" w:rsidRDefault="008A5219" w:rsidP="008276AF">
      <w:pPr>
        <w:pStyle w:val="Heading4"/>
        <w:pageBreakBefore/>
        <w:jc w:val="both"/>
        <w:rPr>
          <w:rFonts w:ascii="Times New Roman" w:hAnsi="Times New Roman" w:cs="Times New Roman"/>
          <w:lang w:eastAsia="en-AU"/>
        </w:rPr>
      </w:pPr>
      <w:r w:rsidRPr="00A5114C">
        <w:rPr>
          <w:rFonts w:ascii="Times New Roman" w:hAnsi="Times New Roman" w:cs="Times New Roman"/>
          <w:lang w:eastAsia="en-AU"/>
        </w:rPr>
        <w:lastRenderedPageBreak/>
        <w:t>Linearity/non-linearity</w:t>
      </w:r>
    </w:p>
    <w:p w:rsidR="008A5219" w:rsidRPr="00A5114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Nalmefene exhibits a dose-independent linear pharmacokinetic profile in the dose interval of 18.06 mg</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to 72.24 mg, with a 4.4 times increase in C</w:t>
      </w:r>
      <w:r w:rsidRPr="00A5114C">
        <w:rPr>
          <w:rFonts w:ascii="Times New Roman" w:hAnsi="Times New Roman" w:cs="Times New Roman"/>
          <w:spacing w:val="0"/>
          <w:vertAlign w:val="subscript"/>
          <w:lang w:eastAsia="en-AU"/>
        </w:rPr>
        <w:t>max</w:t>
      </w:r>
      <w:r w:rsidRPr="00A5114C">
        <w:rPr>
          <w:rFonts w:ascii="Times New Roman" w:hAnsi="Times New Roman" w:cs="Times New Roman"/>
          <w:spacing w:val="0"/>
          <w:lang w:eastAsia="en-AU"/>
        </w:rPr>
        <w:t xml:space="preserve"> and a 4.3 times increase in AUC</w:t>
      </w:r>
      <w:r w:rsidRPr="00A5114C">
        <w:rPr>
          <w:rFonts w:ascii="Times New Roman" w:hAnsi="Times New Roman" w:cs="Times New Roman"/>
          <w:spacing w:val="0"/>
          <w:vertAlign w:val="subscript"/>
          <w:lang w:eastAsia="en-AU"/>
        </w:rPr>
        <w:t xml:space="preserve">0-tau </w:t>
      </w:r>
      <w:r w:rsidRPr="00A5114C">
        <w:rPr>
          <w:rFonts w:ascii="Times New Roman" w:hAnsi="Times New Roman" w:cs="Times New Roman"/>
          <w:spacing w:val="0"/>
          <w:lang w:eastAsia="en-AU"/>
        </w:rPr>
        <w:t>(at or near steady</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state).</w:t>
      </w:r>
    </w:p>
    <w:p w:rsidR="0061667A" w:rsidRPr="00A5114C" w:rsidRDefault="0061667A" w:rsidP="009E5E3D">
      <w:pPr>
        <w:spacing w:after="0" w:line="240" w:lineRule="auto"/>
        <w:jc w:val="both"/>
        <w:rPr>
          <w:rFonts w:ascii="Times New Roman" w:hAnsi="Times New Roman" w:cs="Times New Roman"/>
          <w:spacing w:val="0"/>
          <w:lang w:eastAsia="en-AU"/>
        </w:rPr>
      </w:pPr>
    </w:p>
    <w:p w:rsidR="008A5219"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Nalmefene does not exhibit substantial pharmacokinetic differences between sexes, between</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young and elderly, or between ethnic groups.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However, body size seems to affect the clearance of nalmefene to a minor degree (clearance increases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with increasing body size), but this is considered unlikely to be of clinical relevance.</w:t>
      </w:r>
    </w:p>
    <w:p w:rsidR="00492106" w:rsidRPr="00A5114C" w:rsidRDefault="00492106" w:rsidP="009E5E3D">
      <w:pPr>
        <w:spacing w:after="0" w:line="240" w:lineRule="auto"/>
        <w:jc w:val="both"/>
        <w:rPr>
          <w:rFonts w:ascii="Times New Roman" w:hAnsi="Times New Roman" w:cs="Times New Roman"/>
          <w:spacing w:val="0"/>
          <w:lang w:eastAsia="en-AU"/>
        </w:rPr>
      </w:pPr>
      <w:r>
        <w:rPr>
          <w:rFonts w:ascii="Times New Roman" w:hAnsi="Times New Roman" w:cs="Times New Roman"/>
          <w:spacing w:val="0"/>
          <w:lang w:eastAsia="en-AU"/>
        </w:rPr>
        <w:t>The variability of the pharmacokinetic parameters was up to</w:t>
      </w:r>
      <w:r w:rsidRPr="00492106">
        <w:t xml:space="preserve"> </w:t>
      </w:r>
      <w:r w:rsidRPr="00492106">
        <w:rPr>
          <w:rFonts w:ascii="Times New Roman" w:hAnsi="Times New Roman" w:cs="Times New Roman"/>
          <w:spacing w:val="0"/>
          <w:lang w:eastAsia="en-AU"/>
        </w:rPr>
        <w:t>~</w:t>
      </w:r>
      <w:r>
        <w:rPr>
          <w:rFonts w:ascii="Times New Roman" w:hAnsi="Times New Roman" w:cs="Times New Roman"/>
          <w:spacing w:val="0"/>
          <w:lang w:eastAsia="en-AU"/>
        </w:rPr>
        <w:t xml:space="preserve"> 45% for the inter-subject variability, and up </w:t>
      </w:r>
      <w:r w:rsidRPr="00492106">
        <w:rPr>
          <w:rFonts w:ascii="Times New Roman" w:hAnsi="Times New Roman" w:cs="Times New Roman"/>
          <w:spacing w:val="0"/>
          <w:lang w:eastAsia="en-AU"/>
        </w:rPr>
        <w:t>to ~</w:t>
      </w:r>
      <w:r>
        <w:rPr>
          <w:rFonts w:ascii="Times New Roman" w:hAnsi="Times New Roman" w:cs="Times New Roman"/>
          <w:spacing w:val="0"/>
          <w:lang w:eastAsia="en-AU"/>
        </w:rPr>
        <w:t xml:space="preserve"> 31% for the intra-subject variability.</w:t>
      </w:r>
    </w:p>
    <w:p w:rsidR="00D4544E" w:rsidRPr="00A5114C" w:rsidRDefault="00D4544E" w:rsidP="009E5E3D">
      <w:pPr>
        <w:spacing w:after="0" w:line="240" w:lineRule="auto"/>
        <w:jc w:val="both"/>
        <w:rPr>
          <w:rFonts w:ascii="Times New Roman" w:hAnsi="Times New Roman" w:cs="Times New Roman"/>
          <w:b/>
          <w:spacing w:val="0"/>
          <w:lang w:eastAsia="en-AU"/>
        </w:rPr>
      </w:pPr>
    </w:p>
    <w:p w:rsidR="00C824BD" w:rsidRPr="00A5114C" w:rsidRDefault="00C824BD" w:rsidP="00C824BD">
      <w:pPr>
        <w:pStyle w:val="Heading3"/>
        <w:rPr>
          <w:rFonts w:ascii="Times New Roman" w:hAnsi="Times New Roman" w:cs="Times New Roman"/>
          <w:lang w:eastAsia="en-AU"/>
        </w:rPr>
      </w:pPr>
      <w:r w:rsidRPr="00A5114C">
        <w:rPr>
          <w:rFonts w:ascii="Times New Roman" w:hAnsi="Times New Roman" w:cs="Times New Roman"/>
          <w:lang w:eastAsia="en-AU"/>
        </w:rPr>
        <w:t>Special populations</w:t>
      </w:r>
    </w:p>
    <w:p w:rsidR="008A5219" w:rsidRPr="00A5114C" w:rsidRDefault="008A5219"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Renal impairment</w:t>
      </w:r>
    </w:p>
    <w:p w:rsidR="008A5219" w:rsidRPr="00A5114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No data after oral administration in patients with renal impairment are available. </w:t>
      </w:r>
      <w:r w:rsidR="00C57F5A" w:rsidRPr="00A5114C">
        <w:rPr>
          <w:rFonts w:ascii="Times New Roman" w:hAnsi="Times New Roman" w:cs="Times New Roman"/>
          <w:spacing w:val="0"/>
          <w:lang w:eastAsia="en-AU"/>
        </w:rPr>
        <w:t xml:space="preserve"> </w:t>
      </w:r>
      <w:r w:rsidR="006F03D1" w:rsidRPr="006F03D1">
        <w:rPr>
          <w:rFonts w:ascii="Times New Roman" w:hAnsi="Times New Roman" w:cs="Times New Roman"/>
        </w:rPr>
        <w:t>Administration of 1 mg nalmefene IV in patients with severe renal impairment resulted in a 1.6-fold larger exposure (dose-adjusted AUC</w:t>
      </w:r>
      <w:r w:rsidR="006F03D1" w:rsidRPr="00BC7D22">
        <w:rPr>
          <w:rFonts w:ascii="Times New Roman" w:hAnsi="Times New Roman" w:cs="Times New Roman"/>
          <w:vertAlign w:val="subscript"/>
        </w:rPr>
        <w:t>inf</w:t>
      </w:r>
      <w:r w:rsidR="006F03D1" w:rsidRPr="006F03D1">
        <w:rPr>
          <w:rFonts w:ascii="Times New Roman" w:hAnsi="Times New Roman" w:cs="Times New Roman"/>
        </w:rPr>
        <w:t>), and a lower dose-adjusted C</w:t>
      </w:r>
      <w:r w:rsidR="006F03D1" w:rsidRPr="00BC7D22">
        <w:rPr>
          <w:rFonts w:ascii="Times New Roman" w:hAnsi="Times New Roman" w:cs="Times New Roman"/>
          <w:vertAlign w:val="subscript"/>
        </w:rPr>
        <w:t>max</w:t>
      </w:r>
      <w:r w:rsidR="006F03D1" w:rsidRPr="006F03D1">
        <w:rPr>
          <w:rFonts w:ascii="Times New Roman" w:hAnsi="Times New Roman" w:cs="Times New Roman"/>
        </w:rPr>
        <w:t xml:space="preserve"> (by a factor of approximately 2.1 to 4.6) than </w:t>
      </w:r>
      <w:r w:rsidR="004F1D79">
        <w:rPr>
          <w:rFonts w:ascii="Times New Roman" w:hAnsi="Times New Roman" w:cs="Times New Roman"/>
        </w:rPr>
        <w:t>those</w:t>
      </w:r>
      <w:r w:rsidR="006F03D1" w:rsidRPr="006F03D1">
        <w:rPr>
          <w:rFonts w:ascii="Times New Roman" w:hAnsi="Times New Roman" w:cs="Times New Roman"/>
        </w:rPr>
        <w:t xml:space="preserve"> in healthy control subjects given 2 mg nalmefene IV in a different study</w:t>
      </w:r>
      <w:r w:rsidRPr="00A5114C">
        <w:rPr>
          <w:rFonts w:ascii="Times New Roman" w:hAnsi="Times New Roman" w:cs="Times New Roman"/>
          <w:spacing w:val="0"/>
          <w:lang w:eastAsia="en-AU"/>
        </w:rPr>
        <w:t xml:space="preserve">. </w:t>
      </w:r>
      <w:r w:rsidR="00C57F5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 elimination half-life (26</w:t>
      </w:r>
      <w:r w:rsidR="003271B8" w:rsidRPr="00A5114C">
        <w:rPr>
          <w:rFonts w:ascii="Times New Roman" w:hAnsi="Times New Roman" w:cs="Times New Roman"/>
          <w:spacing w:val="0"/>
          <w:lang w:eastAsia="en-AU"/>
        </w:rPr>
        <w:t> </w:t>
      </w:r>
      <w:r w:rsidRPr="00A5114C">
        <w:rPr>
          <w:rFonts w:ascii="Times New Roman" w:hAnsi="Times New Roman" w:cs="Times New Roman"/>
          <w:spacing w:val="0"/>
          <w:lang w:eastAsia="en-AU"/>
        </w:rPr>
        <w:t>hours) was longer than that in healthy subjects (10</w:t>
      </w:r>
      <w:r w:rsidR="003271B8" w:rsidRPr="00A5114C">
        <w:rPr>
          <w:rFonts w:ascii="Times New Roman" w:hAnsi="Times New Roman" w:cs="Times New Roman"/>
          <w:spacing w:val="0"/>
          <w:lang w:eastAsia="en-AU"/>
        </w:rPr>
        <w:t> </w:t>
      </w:r>
      <w:r w:rsidRPr="00A5114C">
        <w:rPr>
          <w:rFonts w:ascii="Times New Roman" w:hAnsi="Times New Roman" w:cs="Times New Roman"/>
          <w:spacing w:val="0"/>
          <w:lang w:eastAsia="en-AU"/>
        </w:rPr>
        <w:t>hours) (see</w:t>
      </w:r>
      <w:r w:rsidR="00D4544E" w:rsidRPr="00A5114C">
        <w:rPr>
          <w:rFonts w:ascii="Times New Roman" w:hAnsi="Times New Roman" w:cs="Times New Roman"/>
          <w:spacing w:val="0"/>
          <w:lang w:eastAsia="en-AU"/>
        </w:rPr>
        <w:t xml:space="preserve"> </w:t>
      </w:r>
      <w:r w:rsidR="00C824BD" w:rsidRPr="00A5114C">
        <w:rPr>
          <w:rFonts w:ascii="Times New Roman" w:hAnsi="Times New Roman" w:cs="Times New Roman"/>
          <w:spacing w:val="0"/>
          <w:lang w:eastAsia="en-AU"/>
        </w:rPr>
        <w:t>CONTRAINDICATIONS and PRECAUTIONS</w:t>
      </w:r>
      <w:r w:rsidRPr="00A5114C">
        <w:rPr>
          <w:rFonts w:ascii="Times New Roman" w:hAnsi="Times New Roman" w:cs="Times New Roman"/>
          <w:spacing w:val="0"/>
          <w:lang w:eastAsia="en-AU"/>
        </w:rPr>
        <w:t>).</w:t>
      </w:r>
    </w:p>
    <w:p w:rsidR="00D4544E" w:rsidRPr="00A5114C" w:rsidRDefault="00D4544E" w:rsidP="009E5E3D">
      <w:pPr>
        <w:spacing w:after="0" w:line="240" w:lineRule="auto"/>
        <w:jc w:val="both"/>
        <w:rPr>
          <w:rFonts w:ascii="Times New Roman" w:hAnsi="Times New Roman" w:cs="Times New Roman"/>
          <w:spacing w:val="0"/>
          <w:lang w:eastAsia="en-AU"/>
        </w:rPr>
      </w:pPr>
    </w:p>
    <w:p w:rsidR="008A5219" w:rsidRPr="00A5114C" w:rsidRDefault="008A5219"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Hepatic impairment</w:t>
      </w:r>
    </w:p>
    <w:p w:rsidR="00D4544E" w:rsidRPr="00A5114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Administration of a single dose of nalmefene 18.06 mg to patients with mild or moderate hepatic</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impairment increased exposure relative to that in healthy subjects. </w:t>
      </w:r>
      <w:r w:rsidR="0057238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In patients with mild hepatic</w:t>
      </w:r>
      <w:r w:rsidR="00D4544E" w:rsidRPr="00A5114C">
        <w:rPr>
          <w:rFonts w:ascii="Times New Roman" w:hAnsi="Times New Roman" w:cs="Times New Roman"/>
          <w:spacing w:val="0"/>
          <w:lang w:eastAsia="en-AU"/>
        </w:rPr>
        <w:t xml:space="preserve"> </w:t>
      </w:r>
      <w:r w:rsidR="00C824BD" w:rsidRPr="00A5114C">
        <w:rPr>
          <w:rFonts w:ascii="Times New Roman" w:hAnsi="Times New Roman" w:cs="Times New Roman"/>
          <w:spacing w:val="0"/>
          <w:lang w:eastAsia="en-AU"/>
        </w:rPr>
        <w:t>i</w:t>
      </w:r>
      <w:r w:rsidRPr="00A5114C">
        <w:rPr>
          <w:rFonts w:ascii="Times New Roman" w:hAnsi="Times New Roman" w:cs="Times New Roman"/>
          <w:spacing w:val="0"/>
          <w:lang w:eastAsia="en-AU"/>
        </w:rPr>
        <w:t xml:space="preserve">mpairment, exposure increased 1.5 times and oral clearance decreased by approximately 35%. </w:t>
      </w:r>
      <w:r w:rsidR="0057238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In</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patients with moderate hepatic impairment, exposure increased 2.9 times for AUC and 1.7 times for</w:t>
      </w:r>
      <w:r w:rsidR="0061667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C</w:t>
      </w:r>
      <w:r w:rsidRPr="00A5114C">
        <w:rPr>
          <w:rFonts w:ascii="Times New Roman" w:hAnsi="Times New Roman" w:cs="Times New Roman"/>
          <w:spacing w:val="0"/>
          <w:vertAlign w:val="subscript"/>
          <w:lang w:eastAsia="en-AU"/>
        </w:rPr>
        <w:t>max</w:t>
      </w:r>
      <w:r w:rsidRPr="00A5114C">
        <w:rPr>
          <w:rFonts w:ascii="Times New Roman" w:hAnsi="Times New Roman" w:cs="Times New Roman"/>
          <w:spacing w:val="0"/>
          <w:lang w:eastAsia="en-AU"/>
        </w:rPr>
        <w:t xml:space="preserve">, while oral clearance decreased by approximately 60%. </w:t>
      </w:r>
      <w:r w:rsidR="0057238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No clinically relevant changes were seen</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in t</w:t>
      </w:r>
      <w:r w:rsidRPr="00A5114C">
        <w:rPr>
          <w:rFonts w:ascii="Times New Roman" w:hAnsi="Times New Roman" w:cs="Times New Roman"/>
          <w:spacing w:val="0"/>
          <w:vertAlign w:val="subscript"/>
          <w:lang w:eastAsia="en-AU"/>
        </w:rPr>
        <w:t>max</w:t>
      </w:r>
      <w:r w:rsidRPr="00A5114C">
        <w:rPr>
          <w:rFonts w:ascii="Times New Roman" w:hAnsi="Times New Roman" w:cs="Times New Roman"/>
          <w:spacing w:val="0"/>
          <w:lang w:eastAsia="en-AU"/>
        </w:rPr>
        <w:t xml:space="preserve"> or elimination half-life for any of the groups.</w:t>
      </w:r>
      <w:r w:rsidR="0057238E" w:rsidRPr="00A5114C">
        <w:rPr>
          <w:rFonts w:ascii="Times New Roman" w:hAnsi="Times New Roman" w:cs="Times New Roman"/>
          <w:spacing w:val="0"/>
          <w:lang w:eastAsia="en-AU"/>
        </w:rPr>
        <w:t xml:space="preserve"> </w:t>
      </w:r>
    </w:p>
    <w:p w:rsidR="0061667A" w:rsidRPr="00A5114C" w:rsidRDefault="0061667A" w:rsidP="009E5E3D">
      <w:pPr>
        <w:spacing w:after="0" w:line="240" w:lineRule="auto"/>
        <w:jc w:val="both"/>
        <w:rPr>
          <w:rFonts w:ascii="Times New Roman" w:hAnsi="Times New Roman" w:cs="Times New Roman"/>
          <w:spacing w:val="0"/>
          <w:lang w:eastAsia="en-AU"/>
        </w:rPr>
      </w:pPr>
    </w:p>
    <w:p w:rsidR="008A5219" w:rsidRPr="00A5114C" w:rsidRDefault="008A5219"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Pharmacokinetic data after oral administration of nalmefene to patients with severe hepatic</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impairment are not available </w:t>
      </w:r>
      <w:r w:rsidR="00C824BD" w:rsidRPr="00A5114C">
        <w:rPr>
          <w:rFonts w:ascii="Times New Roman" w:hAnsi="Times New Roman" w:cs="Times New Roman"/>
          <w:spacing w:val="0"/>
          <w:lang w:eastAsia="en-AU"/>
        </w:rPr>
        <w:t>(see CONTRAINDICATIONS and PRECAUTIONS).</w:t>
      </w:r>
    </w:p>
    <w:p w:rsidR="00957E5E" w:rsidRPr="00A5114C" w:rsidRDefault="00957E5E" w:rsidP="0021441D">
      <w:pPr>
        <w:pStyle w:val="Heading4"/>
        <w:spacing w:after="0"/>
        <w:jc w:val="both"/>
        <w:rPr>
          <w:rFonts w:ascii="Times New Roman" w:hAnsi="Times New Roman" w:cs="Times New Roman"/>
          <w:lang w:eastAsia="en-AU"/>
        </w:rPr>
      </w:pPr>
    </w:p>
    <w:p w:rsidR="008A5219" w:rsidRPr="00A5114C" w:rsidRDefault="008A5219"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Elderly</w:t>
      </w:r>
    </w:p>
    <w:p w:rsidR="00CE7FA5" w:rsidRPr="00B522F3" w:rsidRDefault="008A5219" w:rsidP="00BD4C27">
      <w:pPr>
        <w:pStyle w:val="Body"/>
        <w:jc w:val="both"/>
        <w:rPr>
          <w:i/>
        </w:rPr>
      </w:pPr>
      <w:r w:rsidRPr="00A5114C">
        <w:rPr>
          <w:lang w:eastAsia="en-AU"/>
        </w:rPr>
        <w:t xml:space="preserve">No specific study with oral dosing has been conducted in </w:t>
      </w:r>
      <w:proofErr w:type="gramStart"/>
      <w:r w:rsidRPr="00A5114C">
        <w:rPr>
          <w:lang w:eastAsia="en-AU"/>
        </w:rPr>
        <w:t>patients</w:t>
      </w:r>
      <w:proofErr w:type="gramEnd"/>
      <w:r w:rsidRPr="00A5114C">
        <w:rPr>
          <w:lang w:eastAsia="en-AU"/>
        </w:rPr>
        <w:t xml:space="preserve"> ≥65 years of age. </w:t>
      </w:r>
      <w:r w:rsidR="00A61590">
        <w:rPr>
          <w:i/>
        </w:rPr>
        <w:t xml:space="preserve"> </w:t>
      </w:r>
      <w:r w:rsidR="00CE7FA5" w:rsidRPr="00CE7FA5">
        <w:t>A study with IV administration in the elderly suggested that there were no relevant chan</w:t>
      </w:r>
      <w:r w:rsidR="00CE7FA5" w:rsidRPr="00CE7FA5">
        <w:t>g</w:t>
      </w:r>
      <w:r w:rsidR="00CE7FA5" w:rsidRPr="00CE7FA5">
        <w:t xml:space="preserve">es </w:t>
      </w:r>
      <w:r w:rsidR="00CE7FA5" w:rsidRPr="00CE7FA5">
        <w:lastRenderedPageBreak/>
        <w:t>in the pharmacokinetics as compared to results observed in other studies (see DOSAGE &amp; ADMINISTRATION and PRECAUTIONS).</w:t>
      </w:r>
    </w:p>
    <w:p w:rsidR="008A5219" w:rsidRPr="00A5114C" w:rsidRDefault="008A5219" w:rsidP="009E5E3D">
      <w:pPr>
        <w:spacing w:after="0" w:line="240" w:lineRule="auto"/>
        <w:jc w:val="both"/>
        <w:rPr>
          <w:rFonts w:ascii="Times New Roman" w:hAnsi="Times New Roman" w:cs="Times New Roman"/>
          <w:spacing w:val="0"/>
          <w:lang w:eastAsia="en-AU"/>
        </w:rPr>
      </w:pPr>
    </w:p>
    <w:p w:rsidR="007901FF" w:rsidRPr="00A5114C" w:rsidRDefault="0058001B" w:rsidP="0058001B">
      <w:pPr>
        <w:pStyle w:val="Heading2"/>
        <w:jc w:val="both"/>
        <w:rPr>
          <w:rFonts w:ascii="Times New Roman" w:hAnsi="Times New Roman" w:cs="Times New Roman"/>
        </w:rPr>
      </w:pPr>
      <w:r w:rsidRPr="00A5114C">
        <w:rPr>
          <w:rFonts w:ascii="Times New Roman" w:hAnsi="Times New Roman" w:cs="Times New Roman"/>
        </w:rPr>
        <w:t>CLINICAL TRIALS</w:t>
      </w:r>
    </w:p>
    <w:p w:rsidR="008C1D02" w:rsidRPr="00A5114C" w:rsidRDefault="008C1D02"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The efficacy 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in reducing alcohol consumption in patients with alcohol dependence (DSM</w:t>
      </w:r>
      <w:r w:rsidR="003D52B4" w:rsidRPr="00A5114C">
        <w:rPr>
          <w:rFonts w:ascii="Times New Roman" w:hAnsi="Times New Roman" w:cs="Times New Roman"/>
          <w:spacing w:val="0"/>
          <w:lang w:eastAsia="en-AU"/>
        </w:rPr>
        <w:t>-</w:t>
      </w:r>
      <w:r w:rsidRPr="00A5114C">
        <w:rPr>
          <w:rFonts w:ascii="Times New Roman" w:hAnsi="Times New Roman" w:cs="Times New Roman"/>
          <w:spacing w:val="0"/>
          <w:lang w:eastAsia="en-AU"/>
        </w:rPr>
        <w:t>IV)</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was evaluated in two efficacy studies</w:t>
      </w:r>
      <w:r w:rsidR="00A05186">
        <w:rPr>
          <w:rFonts w:ascii="Times New Roman" w:hAnsi="Times New Roman" w:cs="Times New Roman"/>
          <w:spacing w:val="0"/>
          <w:lang w:eastAsia="en-AU"/>
        </w:rPr>
        <w:t>, Study 1</w:t>
      </w:r>
      <w:r w:rsidR="00C57F5A" w:rsidRPr="00A5114C">
        <w:rPr>
          <w:rFonts w:ascii="Times New Roman" w:hAnsi="Times New Roman" w:cs="Times New Roman"/>
          <w:spacing w:val="0"/>
          <w:lang w:eastAsia="en-AU"/>
        </w:rPr>
        <w:t xml:space="preserve"> (12014A</w:t>
      </w:r>
      <w:r w:rsidR="00A05186">
        <w:rPr>
          <w:rFonts w:ascii="Times New Roman" w:hAnsi="Times New Roman" w:cs="Times New Roman"/>
          <w:spacing w:val="0"/>
          <w:lang w:eastAsia="en-AU"/>
        </w:rPr>
        <w:t>)</w:t>
      </w:r>
      <w:r w:rsidR="00C57F5A" w:rsidRPr="00A5114C">
        <w:rPr>
          <w:rFonts w:ascii="Times New Roman" w:hAnsi="Times New Roman" w:cs="Times New Roman"/>
          <w:spacing w:val="0"/>
          <w:lang w:eastAsia="en-AU"/>
        </w:rPr>
        <w:t xml:space="preserve"> and</w:t>
      </w:r>
      <w:r w:rsidR="00A05186">
        <w:rPr>
          <w:rFonts w:ascii="Times New Roman" w:hAnsi="Times New Roman" w:cs="Times New Roman"/>
          <w:spacing w:val="0"/>
          <w:lang w:eastAsia="en-AU"/>
        </w:rPr>
        <w:t xml:space="preserve"> Study 2</w:t>
      </w:r>
      <w:r w:rsidR="00C57F5A" w:rsidRPr="00A5114C">
        <w:rPr>
          <w:rFonts w:ascii="Times New Roman" w:hAnsi="Times New Roman" w:cs="Times New Roman"/>
          <w:spacing w:val="0"/>
          <w:lang w:eastAsia="en-AU"/>
        </w:rPr>
        <w:t xml:space="preserve"> </w:t>
      </w:r>
      <w:r w:rsidR="00A05186">
        <w:rPr>
          <w:rFonts w:ascii="Times New Roman" w:hAnsi="Times New Roman" w:cs="Times New Roman"/>
          <w:spacing w:val="0"/>
          <w:lang w:eastAsia="en-AU"/>
        </w:rPr>
        <w:t>(</w:t>
      </w:r>
      <w:r w:rsidR="00C57F5A" w:rsidRPr="00A5114C">
        <w:rPr>
          <w:rFonts w:ascii="Times New Roman" w:hAnsi="Times New Roman" w:cs="Times New Roman"/>
          <w:spacing w:val="0"/>
          <w:lang w:eastAsia="en-AU"/>
        </w:rPr>
        <w:t>12023A)</w:t>
      </w:r>
      <w:r w:rsidRPr="00A5114C">
        <w:rPr>
          <w:rFonts w:ascii="Times New Roman" w:hAnsi="Times New Roman" w:cs="Times New Roman"/>
          <w:spacing w:val="0"/>
          <w:lang w:eastAsia="en-AU"/>
        </w:rPr>
        <w:t xml:space="preserve">. </w:t>
      </w:r>
      <w:r w:rsidR="00C57F5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Patients with a history of delirium tremens, hallucinations,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seizures, significant psychiatric comorbidity, or significant abnormalities of liver function as well as</w:t>
      </w:r>
      <w:r w:rsidR="00D4544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those with significant physical withdrawal </w:t>
      </w:r>
      <w:r w:rsidR="00347E56" w:rsidRPr="00A5114C">
        <w:rPr>
          <w:rFonts w:ascii="Times New Roman" w:hAnsi="Times New Roman" w:cs="Times New Roman"/>
          <w:spacing w:val="0"/>
          <w:lang w:eastAsia="en-AU"/>
        </w:rPr>
        <w:t xml:space="preserve">symptoms </w:t>
      </w:r>
      <w:r w:rsidRPr="00A5114C">
        <w:rPr>
          <w:rFonts w:ascii="Times New Roman" w:hAnsi="Times New Roman" w:cs="Times New Roman"/>
          <w:spacing w:val="0"/>
          <w:lang w:eastAsia="en-AU"/>
        </w:rPr>
        <w:t>at screening or randomisation were excluded.</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The majority (80%) of the patients included had a high or very high </w:t>
      </w:r>
      <w:r w:rsidR="00EC6029" w:rsidRPr="00A5114C">
        <w:rPr>
          <w:rFonts w:ascii="Times New Roman" w:hAnsi="Times New Roman" w:cs="Times New Roman"/>
          <w:spacing w:val="0"/>
          <w:lang w:eastAsia="en-AU"/>
        </w:rPr>
        <w:t>Drinking Risk Level (</w:t>
      </w:r>
      <w:r w:rsidRPr="00A5114C">
        <w:rPr>
          <w:rFonts w:ascii="Times New Roman" w:hAnsi="Times New Roman" w:cs="Times New Roman"/>
          <w:spacing w:val="0"/>
          <w:lang w:eastAsia="en-AU"/>
        </w:rPr>
        <w:t>DRL</w:t>
      </w:r>
      <w:r w:rsidR="00EC6029" w:rsidRPr="00A5114C">
        <w:rPr>
          <w:rFonts w:ascii="Times New Roman" w:hAnsi="Times New Roman" w:cs="Times New Roman"/>
          <w:spacing w:val="0"/>
          <w:lang w:eastAsia="en-AU"/>
        </w:rPr>
        <w:t>)</w:t>
      </w:r>
      <w:r w:rsidRPr="00A5114C">
        <w:rPr>
          <w:rFonts w:ascii="Times New Roman" w:hAnsi="Times New Roman" w:cs="Times New Roman"/>
          <w:spacing w:val="0"/>
          <w:lang w:eastAsia="en-AU"/>
        </w:rPr>
        <w:t xml:space="preserve"> (alcohol consumption &gt;60</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g/day for men and &gt;40 g/day for women according to the WHO DRLs of alcohol consumption</w:t>
      </w:r>
      <w:r w:rsidR="006675E3" w:rsidRPr="00A5114C">
        <w:rPr>
          <w:rFonts w:ascii="Times New Roman" w:hAnsi="Times New Roman" w:cs="Times New Roman"/>
          <w:spacing w:val="0"/>
          <w:lang w:eastAsia="en-AU"/>
        </w:rPr>
        <w:t>.  10</w:t>
      </w:r>
      <w:r w:rsidR="0033439C">
        <w:rPr>
          <w:rFonts w:ascii="Times New Roman" w:hAnsi="Times New Roman" w:cs="Times New Roman"/>
          <w:spacing w:val="0"/>
          <w:lang w:eastAsia="en-AU"/>
        </w:rPr>
        <w:t xml:space="preserve"> </w:t>
      </w:r>
      <w:r w:rsidR="006675E3" w:rsidRPr="00A5114C">
        <w:rPr>
          <w:rFonts w:ascii="Times New Roman" w:hAnsi="Times New Roman" w:cs="Times New Roman"/>
          <w:spacing w:val="0"/>
          <w:lang w:eastAsia="en-AU"/>
        </w:rPr>
        <w:t>g alcohol = 1 standard drink</w:t>
      </w:r>
      <w:r w:rsidRPr="00A5114C">
        <w:rPr>
          <w:rFonts w:ascii="Times New Roman" w:hAnsi="Times New Roman" w:cs="Times New Roman"/>
          <w:spacing w:val="0"/>
          <w:lang w:eastAsia="en-AU"/>
        </w:rPr>
        <w:t>) at</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screening, of these 65% maintained a high or very high DRL between screening and randomisation.</w:t>
      </w:r>
    </w:p>
    <w:p w:rsidR="00D4544E" w:rsidRPr="00A5114C" w:rsidRDefault="00D4544E" w:rsidP="009E5E3D">
      <w:pPr>
        <w:spacing w:after="0" w:line="240" w:lineRule="auto"/>
        <w:jc w:val="both"/>
        <w:rPr>
          <w:rFonts w:ascii="Times New Roman" w:hAnsi="Times New Roman" w:cs="Times New Roman"/>
          <w:spacing w:val="0"/>
          <w:lang w:eastAsia="en-AU"/>
        </w:rPr>
      </w:pPr>
    </w:p>
    <w:p w:rsidR="008C1D02" w:rsidRPr="00A5114C" w:rsidRDefault="008C1D02"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Both studies were randomised, double-blind, parallel-group and placebo-controlled, and after 6</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months of treatment, patients who received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were re-randomised to receive either placebo or</w:t>
      </w:r>
      <w:r w:rsidR="00CF31CE" w:rsidRPr="00A5114C">
        <w:rPr>
          <w:rFonts w:ascii="Times New Roman" w:hAnsi="Times New Roman" w:cs="Times New Roman"/>
          <w:spacing w:val="0"/>
          <w:lang w:eastAsia="en-AU"/>
        </w:rPr>
        <w:t xml:space="preserv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in a 1-month run-out period. </w:t>
      </w:r>
      <w:r w:rsidR="0057238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At the initial visit, the patients’ clinical status, social situation, and alcohol consumption pattern were</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evaluated (based on patient reporting). </w:t>
      </w:r>
      <w:r w:rsidR="0057238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At the randomisation visit, which occurred 1 to 2 weeks later,</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the DRL was re-assessed and treatment with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was initiated together with a psychosocial</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intervention (BRENDA) focused on treatment adherence and reduction of alcohol consumption.</w:t>
      </w:r>
      <w:r w:rsidR="00CF31CE" w:rsidRPr="00A5114C">
        <w:rPr>
          <w:rFonts w:ascii="Times New Roman" w:hAnsi="Times New Roman" w:cs="Times New Roman"/>
          <w:spacing w:val="0"/>
          <w:lang w:eastAsia="en-AU"/>
        </w:rPr>
        <w:t xml:space="preserv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was prescribed as-needed, which resulted in patients taking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on average,</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approximately half of the days.</w:t>
      </w:r>
    </w:p>
    <w:p w:rsidR="00D4544E" w:rsidRPr="00A5114C" w:rsidRDefault="00D4544E" w:rsidP="009E5E3D">
      <w:pPr>
        <w:spacing w:after="0" w:line="240" w:lineRule="auto"/>
        <w:jc w:val="both"/>
        <w:rPr>
          <w:rFonts w:ascii="Times New Roman" w:hAnsi="Times New Roman" w:cs="Times New Roman"/>
          <w:spacing w:val="0"/>
          <w:lang w:eastAsia="en-AU"/>
        </w:rPr>
      </w:pPr>
    </w:p>
    <w:p w:rsidR="008C1D02" w:rsidRPr="00A5114C" w:rsidRDefault="008C1D02"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The efficacy 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was measured using two co-primary endpoints: the change from baseline to</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Month 6 in the monthly number of heavy drinking days (HDDs) and the change from baseline to</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Month 6 in the daily total alcohol consumption (TAC). </w:t>
      </w:r>
      <w:r w:rsidR="003D52B4"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An HDD was defined as a day with a</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consumption ≥60</w:t>
      </w:r>
      <w:r w:rsidR="00014029">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g of pure alcohol for men and ≥40</w:t>
      </w:r>
      <w:r w:rsidR="00014029">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g for women.</w:t>
      </w:r>
    </w:p>
    <w:p w:rsidR="00D4544E" w:rsidRPr="00A5114C" w:rsidRDefault="00D4544E" w:rsidP="009E5E3D">
      <w:pPr>
        <w:spacing w:after="0" w:line="240" w:lineRule="auto"/>
        <w:jc w:val="both"/>
        <w:rPr>
          <w:rFonts w:ascii="Times New Roman" w:hAnsi="Times New Roman" w:cs="Times New Roman"/>
          <w:spacing w:val="0"/>
          <w:lang w:eastAsia="en-AU"/>
        </w:rPr>
      </w:pPr>
    </w:p>
    <w:p w:rsidR="008C1D02" w:rsidRPr="00A5114C" w:rsidRDefault="008C1D02"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A significant reduction in the number of HDDs and TAC occurred in some patients in the period</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between the initial visit (screening) and randomisation due to non-pharmacological effects.</w:t>
      </w:r>
    </w:p>
    <w:p w:rsidR="003A60D9" w:rsidRPr="00A5114C" w:rsidRDefault="003A60D9" w:rsidP="009E5E3D">
      <w:pPr>
        <w:spacing w:after="0" w:line="240" w:lineRule="auto"/>
        <w:jc w:val="both"/>
        <w:rPr>
          <w:rFonts w:ascii="Times New Roman" w:hAnsi="Times New Roman" w:cs="Times New Roman"/>
          <w:spacing w:val="0"/>
          <w:lang w:eastAsia="en-AU"/>
        </w:rPr>
      </w:pPr>
    </w:p>
    <w:p w:rsidR="00261F25" w:rsidRDefault="008C1D02" w:rsidP="00A05186">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In Studies 1 (</w:t>
      </w:r>
      <w:r w:rsidR="00C57F5A" w:rsidRPr="00A5114C">
        <w:rPr>
          <w:rFonts w:ascii="Times New Roman" w:hAnsi="Times New Roman" w:cs="Times New Roman"/>
          <w:spacing w:val="0"/>
          <w:lang w:eastAsia="en-AU"/>
        </w:rPr>
        <w:t xml:space="preserve">12014A; </w:t>
      </w:r>
      <w:r w:rsidRPr="00A5114C">
        <w:rPr>
          <w:rFonts w:ascii="Times New Roman" w:hAnsi="Times New Roman" w:cs="Times New Roman"/>
          <w:spacing w:val="0"/>
          <w:lang w:eastAsia="en-AU"/>
        </w:rPr>
        <w:t>n=579</w:t>
      </w:r>
      <w:r w:rsidR="00C57F5A"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and 2 (</w:t>
      </w:r>
      <w:r w:rsidR="00C57F5A" w:rsidRPr="00A5114C">
        <w:rPr>
          <w:rFonts w:ascii="Times New Roman" w:hAnsi="Times New Roman" w:cs="Times New Roman"/>
          <w:spacing w:val="0"/>
          <w:lang w:eastAsia="en-AU"/>
        </w:rPr>
        <w:t xml:space="preserve">12023A; </w:t>
      </w:r>
      <w:r w:rsidRPr="00A5114C">
        <w:rPr>
          <w:rFonts w:ascii="Times New Roman" w:hAnsi="Times New Roman" w:cs="Times New Roman"/>
          <w:spacing w:val="0"/>
          <w:lang w:eastAsia="en-AU"/>
        </w:rPr>
        <w:t>n=655), 18%, and 33%, of the total population, respectively, considerably</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reduced their alcohol consumption in the period between screening and randomisation. </w:t>
      </w:r>
      <w:r w:rsidR="00C57F5A" w:rsidRPr="00A5114C">
        <w:rPr>
          <w:rFonts w:ascii="Times New Roman" w:hAnsi="Times New Roman" w:cs="Times New Roman"/>
          <w:spacing w:val="0"/>
          <w:lang w:eastAsia="en-AU"/>
        </w:rPr>
        <w:t xml:space="preserve"> </w:t>
      </w:r>
      <w:r w:rsidR="0099558F" w:rsidRPr="00A5114C">
        <w:rPr>
          <w:rFonts w:ascii="Times New Roman" w:hAnsi="Times New Roman" w:cs="Times New Roman"/>
          <w:spacing w:val="0"/>
          <w:lang w:eastAsia="en-AU"/>
        </w:rPr>
        <w:t>Of</w:t>
      </w:r>
      <w:r w:rsidR="00577FC9" w:rsidRPr="00A5114C">
        <w:rPr>
          <w:rFonts w:ascii="Times New Roman" w:hAnsi="Times New Roman" w:cs="Times New Roman"/>
          <w:spacing w:val="0"/>
          <w:lang w:eastAsia="en-AU"/>
        </w:rPr>
        <w:t xml:space="preserve"> </w:t>
      </w:r>
      <w:r w:rsidR="00086E15" w:rsidRPr="00A5114C">
        <w:rPr>
          <w:rFonts w:ascii="Times New Roman" w:hAnsi="Times New Roman" w:cs="Times New Roman"/>
          <w:spacing w:val="0"/>
          <w:lang w:eastAsia="en-AU"/>
        </w:rPr>
        <w:t xml:space="preserve">the patients with </w:t>
      </w:r>
      <w:r w:rsidR="0099558F" w:rsidRPr="00A5114C">
        <w:rPr>
          <w:rFonts w:ascii="Times New Roman" w:hAnsi="Times New Roman" w:cs="Times New Roman"/>
          <w:spacing w:val="0"/>
          <w:lang w:eastAsia="en-AU"/>
        </w:rPr>
        <w:t xml:space="preserve">a </w:t>
      </w:r>
      <w:r w:rsidR="00086E15" w:rsidRPr="00A5114C">
        <w:rPr>
          <w:rFonts w:ascii="Times New Roman" w:hAnsi="Times New Roman" w:cs="Times New Roman"/>
          <w:spacing w:val="0"/>
          <w:lang w:eastAsia="en-AU"/>
        </w:rPr>
        <w:t>high or very high DRL at baseline, 35% experienced improvement due to</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non-pharmacological effects in the period between the initial visit (screening) and randomisation. </w:t>
      </w:r>
      <w:r w:rsidR="003D52B4"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 </w:t>
      </w:r>
    </w:p>
    <w:p w:rsidR="00261F25" w:rsidRDefault="00261F25" w:rsidP="009E5E3D">
      <w:pPr>
        <w:spacing w:after="0" w:line="240" w:lineRule="auto"/>
        <w:jc w:val="both"/>
        <w:rPr>
          <w:rFonts w:ascii="Times New Roman" w:hAnsi="Times New Roman" w:cs="Times New Roman"/>
          <w:spacing w:val="0"/>
          <w:lang w:eastAsia="en-AU"/>
        </w:rPr>
      </w:pPr>
    </w:p>
    <w:p w:rsidR="00D4544E" w:rsidRPr="006C5B77" w:rsidRDefault="008C1D02" w:rsidP="009E5E3D">
      <w:pPr>
        <w:spacing w:after="0" w:line="240" w:lineRule="auto"/>
        <w:jc w:val="both"/>
        <w:rPr>
          <w:rFonts w:ascii="Times New Roman" w:hAnsi="Times New Roman" w:cs="Times New Roman"/>
          <w:i/>
          <w:iCs/>
          <w:spacing w:val="0"/>
          <w:lang w:eastAsia="en-AU"/>
        </w:rPr>
      </w:pPr>
      <w:r w:rsidRPr="00A5114C">
        <w:rPr>
          <w:rFonts w:ascii="Times New Roman" w:hAnsi="Times New Roman" w:cs="Times New Roman"/>
          <w:spacing w:val="0"/>
          <w:lang w:eastAsia="en-AU"/>
        </w:rPr>
        <w:lastRenderedPageBreak/>
        <w:t>Therefore, the patients who maintained a high or very high DRL at</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randomisation were defined </w:t>
      </w:r>
      <w:r w:rsidRPr="00A5114C">
        <w:rPr>
          <w:rFonts w:ascii="Times New Roman" w:hAnsi="Times New Roman" w:cs="Times New Roman"/>
          <w:i/>
          <w:spacing w:val="0"/>
          <w:lang w:eastAsia="en-AU"/>
        </w:rPr>
        <w:t>post</w:t>
      </w:r>
      <w:r w:rsidR="00347E56" w:rsidRPr="00A5114C">
        <w:rPr>
          <w:rFonts w:ascii="Times New Roman" w:hAnsi="Times New Roman" w:cs="Times New Roman"/>
          <w:i/>
          <w:spacing w:val="0"/>
          <w:lang w:eastAsia="en-AU"/>
        </w:rPr>
        <w:t xml:space="preserve"> </w:t>
      </w:r>
      <w:r w:rsidRPr="00A5114C">
        <w:rPr>
          <w:rFonts w:ascii="Times New Roman" w:hAnsi="Times New Roman" w:cs="Times New Roman"/>
          <w:i/>
          <w:spacing w:val="0"/>
          <w:lang w:eastAsia="en-AU"/>
        </w:rPr>
        <w:t>hoc</w:t>
      </w:r>
      <w:r w:rsidRPr="00A5114C">
        <w:rPr>
          <w:rFonts w:ascii="Times New Roman" w:hAnsi="Times New Roman" w:cs="Times New Roman"/>
          <w:spacing w:val="0"/>
          <w:lang w:eastAsia="en-AU"/>
        </w:rPr>
        <w:t xml:space="preserve"> as the target population.</w:t>
      </w:r>
      <w:r w:rsidR="003D52B4" w:rsidRPr="00A5114C">
        <w:rPr>
          <w:rFonts w:ascii="Times New Roman" w:hAnsi="Times New Roman" w:cs="Times New Roman"/>
          <w:spacing w:val="0"/>
          <w:lang w:eastAsia="en-AU"/>
        </w:rPr>
        <w:t xml:space="preserve"> </w:t>
      </w:r>
      <w:r w:rsidR="007209A0">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In this </w:t>
      </w:r>
      <w:r w:rsidRPr="00A5114C">
        <w:rPr>
          <w:rFonts w:ascii="Times New Roman" w:hAnsi="Times New Roman" w:cs="Times New Roman"/>
          <w:i/>
          <w:spacing w:val="0"/>
          <w:lang w:eastAsia="en-AU"/>
        </w:rPr>
        <w:t>post hoc</w:t>
      </w:r>
      <w:r w:rsidRPr="00A5114C">
        <w:rPr>
          <w:rFonts w:ascii="Times New Roman" w:hAnsi="Times New Roman" w:cs="Times New Roman"/>
          <w:spacing w:val="0"/>
          <w:lang w:eastAsia="en-AU"/>
        </w:rPr>
        <w:t xml:space="preserve"> population, the</w:t>
      </w:r>
      <w:r w:rsidR="00CF31C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treatment effect was </w:t>
      </w:r>
      <w:r w:rsidRPr="006C5B77">
        <w:rPr>
          <w:rFonts w:ascii="Times New Roman" w:hAnsi="Times New Roman" w:cs="Times New Roman"/>
          <w:spacing w:val="0"/>
          <w:lang w:eastAsia="en-AU"/>
        </w:rPr>
        <w:t>larger than that in the total population</w:t>
      </w:r>
      <w:r w:rsidR="00A27251" w:rsidRPr="006C5B77">
        <w:rPr>
          <w:rFonts w:ascii="Times New Roman" w:hAnsi="Times New Roman" w:cs="Times New Roman"/>
          <w:spacing w:val="0"/>
          <w:lang w:eastAsia="en-AU"/>
        </w:rPr>
        <w:t xml:space="preserve"> (patients with at least medium DRL at screening)</w:t>
      </w:r>
      <w:r w:rsidRPr="006C5B77">
        <w:rPr>
          <w:rFonts w:ascii="Times New Roman" w:hAnsi="Times New Roman" w:cs="Times New Roman"/>
          <w:spacing w:val="0"/>
          <w:lang w:eastAsia="en-AU"/>
        </w:rPr>
        <w:t>.</w:t>
      </w:r>
      <w:r w:rsidR="00261F25" w:rsidRPr="006C5B77">
        <w:rPr>
          <w:rFonts w:ascii="Times New Roman" w:hAnsi="Times New Roman" w:cs="Times New Roman"/>
          <w:spacing w:val="0"/>
          <w:lang w:eastAsia="en-AU"/>
        </w:rPr>
        <w:t xml:space="preserve"> </w:t>
      </w:r>
      <w:r w:rsidR="00A61590">
        <w:rPr>
          <w:rFonts w:ascii="Times New Roman" w:hAnsi="Times New Roman" w:cs="Times New Roman"/>
          <w:spacing w:val="0"/>
          <w:lang w:eastAsia="en-AU"/>
        </w:rPr>
        <w:t xml:space="preserve"> </w:t>
      </w:r>
      <w:r w:rsidR="00A27251" w:rsidRPr="006C5B77">
        <w:rPr>
          <w:rFonts w:ascii="Times New Roman" w:hAnsi="Times New Roman" w:cs="Times New Roman"/>
          <w:spacing w:val="0"/>
          <w:lang w:eastAsia="en-AU"/>
        </w:rPr>
        <w:t xml:space="preserve">The efficacy results for the total population are presented below followed by the results of the target population. </w:t>
      </w:r>
    </w:p>
    <w:p w:rsidR="005C684F" w:rsidRPr="00A05186" w:rsidRDefault="005C684F" w:rsidP="00A05186">
      <w:pPr>
        <w:pStyle w:val="Heading3"/>
        <w:jc w:val="both"/>
        <w:rPr>
          <w:rFonts w:ascii="Times New Roman" w:hAnsi="Times New Roman" w:cs="Times New Roman"/>
          <w:spacing w:val="-6"/>
          <w:lang w:eastAsia="en-AU"/>
        </w:rPr>
      </w:pPr>
      <w:r w:rsidRPr="00A05186">
        <w:rPr>
          <w:rFonts w:ascii="Times New Roman" w:hAnsi="Times New Roman" w:cs="Times New Roman"/>
          <w:spacing w:val="-6"/>
          <w:lang w:eastAsia="en-AU"/>
        </w:rPr>
        <w:t>Efficacy results for the total population - Patients with at least medium DRL at Screening</w:t>
      </w:r>
    </w:p>
    <w:p w:rsidR="005C684F" w:rsidRDefault="005C684F" w:rsidP="00D14728">
      <w:pPr>
        <w:spacing w:after="0" w:line="240" w:lineRule="auto"/>
        <w:jc w:val="both"/>
        <w:rPr>
          <w:rFonts w:ascii="Times New Roman" w:hAnsi="Times New Roman" w:cs="Times New Roman"/>
          <w:spacing w:val="0"/>
          <w:lang w:eastAsia="en-AU"/>
        </w:rPr>
      </w:pPr>
      <w:r w:rsidRPr="006C5B77">
        <w:rPr>
          <w:rFonts w:ascii="Times New Roman" w:hAnsi="Times New Roman" w:cs="Times New Roman"/>
          <w:spacing w:val="0"/>
          <w:lang w:eastAsia="en-AU"/>
        </w:rPr>
        <w:t xml:space="preserve">In Study 1, the proportion of patients who withdrew was higher in the SELINCRO group than in the placebo group (48% versus 26%, respectively).  In Study 2, the proportion of patients who withdrew was similar in the SELINCRO group and the placebo group (36% versus 30%, respectively).  </w:t>
      </w:r>
    </w:p>
    <w:p w:rsidR="00A05186" w:rsidRPr="006C5B77" w:rsidRDefault="00A05186" w:rsidP="005C684F">
      <w:pPr>
        <w:spacing w:after="0" w:line="240" w:lineRule="auto"/>
        <w:jc w:val="both"/>
        <w:rPr>
          <w:rFonts w:ascii="Times New Roman" w:eastAsia="TimesNewRoman" w:hAnsi="Times New Roman" w:cs="Times New Roman"/>
          <w:spacing w:val="0"/>
          <w:lang w:val="en-US"/>
        </w:rPr>
      </w:pPr>
    </w:p>
    <w:p w:rsidR="005C684F" w:rsidRPr="00D14728" w:rsidRDefault="005C684F" w:rsidP="00D14728">
      <w:pPr>
        <w:spacing w:after="0" w:line="240" w:lineRule="auto"/>
        <w:jc w:val="both"/>
        <w:rPr>
          <w:rFonts w:ascii="Times New Roman" w:hAnsi="Times New Roman" w:cs="Times New Roman"/>
          <w:spacing w:val="0"/>
          <w:lang w:eastAsia="en-AU"/>
        </w:rPr>
      </w:pPr>
      <w:r w:rsidRPr="00D14728">
        <w:rPr>
          <w:rFonts w:ascii="Times New Roman" w:hAnsi="Times New Roman" w:cs="Times New Roman"/>
          <w:spacing w:val="0"/>
          <w:lang w:eastAsia="en-AU"/>
        </w:rPr>
        <w:t xml:space="preserve">Table 1 shows efficacy results at Month 6 based on the primary mixed model repeated measures (MMRM) analysis. </w:t>
      </w:r>
    </w:p>
    <w:p w:rsidR="00A05186" w:rsidRPr="006C5B77" w:rsidRDefault="00A05186" w:rsidP="00A05186">
      <w:pPr>
        <w:spacing w:after="0" w:line="240" w:lineRule="auto"/>
        <w:rPr>
          <w:rFonts w:ascii="Times New Roman" w:eastAsia="TimesNewRoman" w:hAnsi="Times New Roman" w:cs="Times New Roman"/>
          <w:spacing w:val="0"/>
          <w:lang w:val="en-US"/>
        </w:rPr>
      </w:pPr>
    </w:p>
    <w:p w:rsidR="00FF73E2" w:rsidRPr="00FF73E2" w:rsidRDefault="00FF73E2" w:rsidP="00FF73E2">
      <w:pPr>
        <w:pStyle w:val="Caption"/>
        <w:keepNext/>
        <w:rPr>
          <w:rFonts w:ascii="Times New Roman" w:hAnsi="Times New Roman" w:cs="Times New Roman"/>
          <w:sz w:val="22"/>
          <w:szCs w:val="22"/>
        </w:rPr>
      </w:pPr>
      <w:r w:rsidRPr="00FF73E2">
        <w:rPr>
          <w:rFonts w:ascii="Times New Roman" w:hAnsi="Times New Roman" w:cs="Times New Roman"/>
          <w:sz w:val="22"/>
          <w:szCs w:val="22"/>
        </w:rPr>
        <w:t xml:space="preserve">Table </w:t>
      </w:r>
      <w:r w:rsidRPr="00FF73E2">
        <w:rPr>
          <w:rFonts w:ascii="Times New Roman" w:hAnsi="Times New Roman" w:cs="Times New Roman"/>
          <w:sz w:val="22"/>
          <w:szCs w:val="22"/>
        </w:rPr>
        <w:fldChar w:fldCharType="begin"/>
      </w:r>
      <w:r w:rsidRPr="00FF73E2">
        <w:rPr>
          <w:rFonts w:ascii="Times New Roman" w:hAnsi="Times New Roman" w:cs="Times New Roman"/>
          <w:sz w:val="22"/>
          <w:szCs w:val="22"/>
        </w:rPr>
        <w:instrText xml:space="preserve"> SEQ Table \* ARABIC </w:instrText>
      </w:r>
      <w:r w:rsidRPr="00FF73E2">
        <w:rPr>
          <w:rFonts w:ascii="Times New Roman" w:hAnsi="Times New Roman" w:cs="Times New Roman"/>
          <w:sz w:val="22"/>
          <w:szCs w:val="22"/>
        </w:rPr>
        <w:fldChar w:fldCharType="separate"/>
      </w:r>
      <w:r w:rsidR="002B4AA9">
        <w:rPr>
          <w:rFonts w:ascii="Times New Roman" w:hAnsi="Times New Roman" w:cs="Times New Roman"/>
          <w:noProof/>
          <w:sz w:val="22"/>
          <w:szCs w:val="22"/>
        </w:rPr>
        <w:t>1</w:t>
      </w:r>
      <w:r w:rsidRPr="00FF73E2">
        <w:rPr>
          <w:rFonts w:ascii="Times New Roman" w:hAnsi="Times New Roman" w:cs="Times New Roman"/>
          <w:sz w:val="22"/>
          <w:szCs w:val="22"/>
        </w:rPr>
        <w:fldChar w:fldCharType="end"/>
      </w:r>
      <w:r w:rsidR="00557FD7">
        <w:rPr>
          <w:rFonts w:ascii="Times New Roman" w:hAnsi="Times New Roman" w:cs="Times New Roman"/>
          <w:sz w:val="22"/>
          <w:szCs w:val="22"/>
        </w:rPr>
        <w:t>:</w:t>
      </w:r>
      <w:r w:rsidRPr="00FF73E2">
        <w:rPr>
          <w:rFonts w:ascii="Times New Roman" w:hAnsi="Times New Roman" w:cs="Times New Roman"/>
          <w:sz w:val="22"/>
          <w:szCs w:val="22"/>
        </w:rPr>
        <w:t xml:space="preserve"> Results for the Co-primary Efficacy Variables at Month 6 (FAS, MMRM) – Total Population</w:t>
      </w:r>
    </w:p>
    <w:tbl>
      <w:tblPr>
        <w:tblW w:w="8820" w:type="dxa"/>
        <w:tblInd w:w="40" w:type="dxa"/>
        <w:tblLayout w:type="fixed"/>
        <w:tblCellMar>
          <w:top w:w="60" w:type="dxa"/>
          <w:left w:w="40" w:type="dxa"/>
          <w:bottom w:w="20" w:type="dxa"/>
          <w:right w:w="40" w:type="dxa"/>
        </w:tblCellMar>
        <w:tblLook w:val="04A0" w:firstRow="1" w:lastRow="0" w:firstColumn="1" w:lastColumn="0" w:noHBand="0" w:noVBand="1"/>
      </w:tblPr>
      <w:tblGrid>
        <w:gridCol w:w="1700"/>
        <w:gridCol w:w="560"/>
        <w:gridCol w:w="1120"/>
        <w:gridCol w:w="560"/>
        <w:gridCol w:w="1700"/>
        <w:gridCol w:w="881"/>
        <w:gridCol w:w="1120"/>
        <w:gridCol w:w="1179"/>
      </w:tblGrid>
      <w:tr w:rsidR="005C684F" w:rsidTr="0086609B">
        <w:tc>
          <w:tcPr>
            <w:tcW w:w="1700" w:type="dxa"/>
            <w:vMerge w:val="restart"/>
            <w:tcBorders>
              <w:top w:val="single" w:sz="4" w:space="0" w:color="000000"/>
              <w:left w:val="nil"/>
              <w:bottom w:val="single" w:sz="4" w:space="0" w:color="000000"/>
              <w:right w:val="nil"/>
            </w:tcBorders>
            <w:tcMar>
              <w:top w:w="80" w:type="dxa"/>
              <w:left w:w="40" w:type="dxa"/>
              <w:bottom w:w="60" w:type="dxa"/>
              <w:right w:w="40" w:type="dxa"/>
            </w:tcMar>
            <w:vAlign w:val="center"/>
          </w:tcPr>
          <w:p w:rsidR="005C684F" w:rsidRPr="00A321D8" w:rsidRDefault="005C684F" w:rsidP="005C684F">
            <w:pPr>
              <w:pStyle w:val="CellHeadingLeft"/>
              <w:rPr>
                <w:w w:val="100"/>
              </w:rPr>
            </w:pPr>
            <w:r>
              <w:rPr>
                <w:w w:val="100"/>
              </w:rPr>
              <w:t>Variable</w:t>
            </w:r>
            <w:r>
              <w:rPr>
                <w:w w:val="100"/>
              </w:rPr>
              <w:br/>
              <w:t>Treatment Group</w:t>
            </w:r>
          </w:p>
        </w:tc>
        <w:tc>
          <w:tcPr>
            <w:tcW w:w="1680" w:type="dxa"/>
            <w:gridSpan w:val="2"/>
            <w:tcBorders>
              <w:top w:val="single" w:sz="4" w:space="0" w:color="000000"/>
              <w:left w:val="nil"/>
              <w:bottom w:val="single" w:sz="2" w:space="0" w:color="000000"/>
              <w:right w:val="nil"/>
            </w:tcBorders>
            <w:tcMar>
              <w:top w:w="80" w:type="dxa"/>
              <w:left w:w="40" w:type="dxa"/>
              <w:bottom w:w="60" w:type="dxa"/>
              <w:right w:w="40" w:type="dxa"/>
            </w:tcMar>
            <w:vAlign w:val="center"/>
          </w:tcPr>
          <w:p w:rsidR="005C684F" w:rsidRPr="00A321D8" w:rsidRDefault="005C684F" w:rsidP="005C684F">
            <w:pPr>
              <w:pStyle w:val="CellHeading"/>
              <w:rPr>
                <w:w w:val="100"/>
              </w:rPr>
            </w:pPr>
            <w:r>
              <w:rPr>
                <w:w w:val="100"/>
              </w:rPr>
              <w:t>Baseline</w:t>
            </w:r>
          </w:p>
        </w:tc>
        <w:tc>
          <w:tcPr>
            <w:tcW w:w="2260" w:type="dxa"/>
            <w:gridSpan w:val="2"/>
            <w:tcBorders>
              <w:top w:val="single" w:sz="4" w:space="0" w:color="000000"/>
              <w:left w:val="nil"/>
              <w:bottom w:val="single" w:sz="2" w:space="0" w:color="000000"/>
              <w:right w:val="nil"/>
            </w:tcBorders>
            <w:tcMar>
              <w:top w:w="80" w:type="dxa"/>
              <w:left w:w="40" w:type="dxa"/>
              <w:bottom w:w="60" w:type="dxa"/>
              <w:right w:w="40" w:type="dxa"/>
            </w:tcMar>
            <w:vAlign w:val="center"/>
          </w:tcPr>
          <w:p w:rsidR="005C684F" w:rsidRPr="00A321D8" w:rsidRDefault="005C684F" w:rsidP="005C684F">
            <w:pPr>
              <w:pStyle w:val="CellHeading"/>
              <w:rPr>
                <w:w w:val="100"/>
              </w:rPr>
            </w:pPr>
            <w:r>
              <w:rPr>
                <w:w w:val="100"/>
              </w:rPr>
              <w:t>Change from Baseline</w:t>
            </w:r>
            <w:r>
              <w:rPr>
                <w:w w:val="100"/>
              </w:rPr>
              <w:br/>
              <w:t>to Month 6</w:t>
            </w:r>
          </w:p>
        </w:tc>
        <w:tc>
          <w:tcPr>
            <w:tcW w:w="3180" w:type="dxa"/>
            <w:gridSpan w:val="3"/>
            <w:tcBorders>
              <w:top w:val="single" w:sz="4" w:space="0" w:color="000000"/>
              <w:left w:val="nil"/>
              <w:bottom w:val="single" w:sz="2" w:space="0" w:color="000000"/>
              <w:right w:val="nil"/>
            </w:tcBorders>
            <w:tcMar>
              <w:top w:w="80" w:type="dxa"/>
              <w:left w:w="40" w:type="dxa"/>
              <w:bottom w:w="60" w:type="dxa"/>
              <w:right w:w="40" w:type="dxa"/>
            </w:tcMar>
            <w:vAlign w:val="center"/>
          </w:tcPr>
          <w:p w:rsidR="005C684F" w:rsidRPr="00A321D8" w:rsidRDefault="005C684F" w:rsidP="005C684F">
            <w:pPr>
              <w:pStyle w:val="CellHeading"/>
              <w:rPr>
                <w:w w:val="100"/>
              </w:rPr>
            </w:pPr>
            <w:r>
              <w:rPr>
                <w:w w:val="100"/>
              </w:rPr>
              <w:t>Difference to PBO</w:t>
            </w:r>
          </w:p>
        </w:tc>
      </w:tr>
      <w:tr w:rsidR="005C684F" w:rsidTr="0086609B">
        <w:tblPrEx>
          <w:tblLook w:val="0000" w:firstRow="0" w:lastRow="0" w:firstColumn="0" w:lastColumn="0" w:noHBand="0" w:noVBand="0"/>
        </w:tblPrEx>
        <w:tc>
          <w:tcPr>
            <w:tcW w:w="1700" w:type="dxa"/>
            <w:vMerge/>
            <w:tcBorders>
              <w:top w:val="single" w:sz="4" w:space="0" w:color="000000"/>
              <w:left w:val="nil"/>
              <w:bottom w:val="single" w:sz="4" w:space="0" w:color="000000"/>
              <w:right w:val="nil"/>
            </w:tcBorders>
          </w:tcPr>
          <w:p w:rsidR="005C684F" w:rsidRDefault="005C684F" w:rsidP="005C684F">
            <w:pPr>
              <w:pStyle w:val="ListBullet"/>
              <w:widowControl w:val="0"/>
              <w:tabs>
                <w:tab w:val="clear" w:pos="280"/>
              </w:tabs>
              <w:suppressAutoHyphens w:val="0"/>
              <w:spacing w:before="0" w:line="240" w:lineRule="auto"/>
              <w:ind w:left="0" w:firstLine="0"/>
              <w:rPr>
                <w:rFonts w:ascii="Courier" w:hAnsi="Courier"/>
                <w:color w:val="auto"/>
                <w:w w:val="100"/>
              </w:rPr>
            </w:pPr>
          </w:p>
        </w:tc>
        <w:tc>
          <w:tcPr>
            <w:tcW w:w="560"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N</w:t>
            </w:r>
          </w:p>
        </w:tc>
        <w:tc>
          <w:tcPr>
            <w:tcW w:w="1120"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Mean ± SD</w:t>
            </w:r>
          </w:p>
        </w:tc>
        <w:tc>
          <w:tcPr>
            <w:tcW w:w="560"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N</w:t>
            </w:r>
          </w:p>
        </w:tc>
        <w:tc>
          <w:tcPr>
            <w:tcW w:w="1700"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Mean ± SE</w:t>
            </w:r>
          </w:p>
        </w:tc>
        <w:tc>
          <w:tcPr>
            <w:tcW w:w="881"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Mean</w:t>
            </w:r>
          </w:p>
        </w:tc>
        <w:tc>
          <w:tcPr>
            <w:tcW w:w="1120"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95% CI</w:t>
            </w:r>
          </w:p>
        </w:tc>
        <w:tc>
          <w:tcPr>
            <w:tcW w:w="1179" w:type="dxa"/>
            <w:tcBorders>
              <w:top w:val="nil"/>
              <w:left w:val="nil"/>
              <w:bottom w:val="single" w:sz="4" w:space="0" w:color="000000"/>
              <w:right w:val="nil"/>
            </w:tcBorders>
            <w:tcMar>
              <w:top w:w="80" w:type="dxa"/>
              <w:left w:w="40" w:type="dxa"/>
              <w:bottom w:w="60" w:type="dxa"/>
              <w:right w:w="40" w:type="dxa"/>
            </w:tcMar>
            <w:vAlign w:val="center"/>
          </w:tcPr>
          <w:p w:rsidR="005C684F" w:rsidRDefault="005C684F" w:rsidP="005C684F">
            <w:pPr>
              <w:pStyle w:val="CellHeading"/>
            </w:pPr>
            <w:r>
              <w:rPr>
                <w:w w:val="100"/>
              </w:rPr>
              <w:t>p-value</w:t>
            </w:r>
          </w:p>
        </w:tc>
      </w:tr>
      <w:tr w:rsidR="005C684F" w:rsidTr="0086609B">
        <w:tblPrEx>
          <w:tblLook w:val="0000" w:firstRow="0" w:lastRow="0" w:firstColumn="0" w:lastColumn="0" w:noHBand="0" w:noVBand="0"/>
        </w:tblPrEx>
        <w:tc>
          <w:tcPr>
            <w:tcW w:w="3380" w:type="dxa"/>
            <w:gridSpan w:val="3"/>
            <w:tcBorders>
              <w:top w:val="nil"/>
              <w:left w:val="nil"/>
              <w:bottom w:val="nil"/>
              <w:right w:val="nil"/>
            </w:tcBorders>
            <w:vAlign w:val="center"/>
          </w:tcPr>
          <w:p w:rsidR="005C684F" w:rsidRDefault="005C684F" w:rsidP="005C684F">
            <w:pPr>
              <w:pStyle w:val="CellHeadingLeft"/>
            </w:pPr>
            <w:r>
              <w:rPr>
                <w:w w:val="100"/>
              </w:rPr>
              <w:t>Number of HDDs (days/month)</w:t>
            </w:r>
          </w:p>
        </w:tc>
        <w:tc>
          <w:tcPr>
            <w:tcW w:w="560" w:type="dxa"/>
            <w:tcBorders>
              <w:top w:val="nil"/>
              <w:left w:val="nil"/>
              <w:bottom w:val="nil"/>
              <w:right w:val="nil"/>
            </w:tcBorders>
          </w:tcPr>
          <w:p w:rsidR="005C684F" w:rsidRDefault="005C684F" w:rsidP="005C684F">
            <w:pPr>
              <w:pStyle w:val="CellBody"/>
            </w:pPr>
          </w:p>
        </w:tc>
        <w:tc>
          <w:tcPr>
            <w:tcW w:w="1700" w:type="dxa"/>
            <w:tcBorders>
              <w:top w:val="nil"/>
              <w:left w:val="nil"/>
              <w:bottom w:val="nil"/>
              <w:right w:val="nil"/>
            </w:tcBorders>
          </w:tcPr>
          <w:p w:rsidR="005C684F" w:rsidRDefault="005C684F" w:rsidP="005C684F">
            <w:pPr>
              <w:pStyle w:val="CellBody"/>
            </w:pPr>
          </w:p>
        </w:tc>
        <w:tc>
          <w:tcPr>
            <w:tcW w:w="881" w:type="dxa"/>
            <w:tcBorders>
              <w:top w:val="nil"/>
              <w:left w:val="nil"/>
              <w:bottom w:val="nil"/>
              <w:right w:val="nil"/>
            </w:tcBorders>
          </w:tcPr>
          <w:p w:rsidR="005C684F" w:rsidRDefault="005C684F" w:rsidP="005C684F">
            <w:pPr>
              <w:pStyle w:val="CellBody"/>
            </w:pPr>
          </w:p>
        </w:tc>
        <w:tc>
          <w:tcPr>
            <w:tcW w:w="1120" w:type="dxa"/>
            <w:tcBorders>
              <w:top w:val="nil"/>
              <w:left w:val="nil"/>
              <w:bottom w:val="nil"/>
              <w:right w:val="nil"/>
            </w:tcBorders>
            <w:tcMar>
              <w:top w:w="80" w:type="dxa"/>
              <w:left w:w="40" w:type="dxa"/>
              <w:bottom w:w="6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CC24F7">
            <w:pPr>
              <w:pStyle w:val="CellBodyIndent1"/>
              <w:rPr>
                <w:w w:val="100"/>
              </w:rPr>
            </w:pPr>
            <w:r>
              <w:rPr>
                <w:w w:val="100"/>
              </w:rPr>
              <w:t>Study 1</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Left"/>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Left"/>
            </w:pP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Indent2"/>
            </w:pPr>
            <w:r>
              <w:rPr>
                <w:w w:val="100"/>
              </w:rPr>
              <w:t>PBO</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289</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19.6 ± 6.9</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213</w:t>
            </w: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-8.9 ± 0.6</w:t>
            </w: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Indent2"/>
            </w:pPr>
            <w:r>
              <w:rPr>
                <w:w w:val="100"/>
              </w:rPr>
              <w:t>NMF</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290</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19.4 ± 7.3</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152</w:t>
            </w: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-11.2 ± 0.6</w:t>
            </w: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-2.3</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 xml:space="preserve">[-3.8; -0.8] </w:t>
            </w: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0.002</w:t>
            </w: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CC24F7">
            <w:pPr>
              <w:pStyle w:val="CellBodyIndent1"/>
            </w:pPr>
            <w:r>
              <w:rPr>
                <w:w w:val="100"/>
              </w:rPr>
              <w:t xml:space="preserve">Study </w:t>
            </w:r>
            <w:r w:rsidR="00CC24F7">
              <w:rPr>
                <w:w w:val="100"/>
              </w:rPr>
              <w:t>2</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Left"/>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Left"/>
            </w:pP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Indent2"/>
            </w:pPr>
            <w:r>
              <w:rPr>
                <w:w w:val="100"/>
              </w:rPr>
              <w:t>PBO</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326</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18.3 ± 7.0</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229</w:t>
            </w: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-10.6 ± 0.5</w:t>
            </w: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Indent2"/>
            </w:pPr>
            <w:r>
              <w:rPr>
                <w:w w:val="100"/>
              </w:rPr>
              <w:t>NMF</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329</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19.8 ± 6.8</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212</w:t>
            </w: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-12.3 ± 0.5</w:t>
            </w: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-1.7</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 xml:space="preserve">[-3.1; -0.4] </w:t>
            </w: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0.012</w:t>
            </w:r>
          </w:p>
        </w:tc>
      </w:tr>
      <w:tr w:rsidR="005C684F" w:rsidTr="0086609B">
        <w:tblPrEx>
          <w:tblLook w:val="0000" w:firstRow="0" w:lastRow="0" w:firstColumn="0" w:lastColumn="0" w:noHBand="0" w:noVBand="0"/>
        </w:tblPrEx>
        <w:tc>
          <w:tcPr>
            <w:tcW w:w="1700" w:type="dxa"/>
            <w:tcBorders>
              <w:top w:val="nil"/>
              <w:left w:val="nil"/>
              <w:bottom w:val="nil"/>
              <w:right w:val="nil"/>
            </w:tcBorders>
            <w:vAlign w:val="center"/>
          </w:tcPr>
          <w:p w:rsidR="005C684F" w:rsidRDefault="005C684F" w:rsidP="005C684F">
            <w:pPr>
              <w:pStyle w:val="CellHeadingLeft"/>
            </w:pPr>
            <w:r>
              <w:rPr>
                <w:w w:val="100"/>
              </w:rPr>
              <w:t>TAC (g/day)</w:t>
            </w:r>
          </w:p>
        </w:tc>
        <w:tc>
          <w:tcPr>
            <w:tcW w:w="560" w:type="dxa"/>
            <w:tcBorders>
              <w:top w:val="nil"/>
              <w:left w:val="nil"/>
              <w:bottom w:val="nil"/>
              <w:right w:val="nil"/>
            </w:tcBorders>
          </w:tcPr>
          <w:p w:rsidR="005C684F" w:rsidRDefault="005C684F" w:rsidP="005C684F">
            <w:pPr>
              <w:pStyle w:val="CellBody"/>
            </w:pPr>
          </w:p>
        </w:tc>
        <w:tc>
          <w:tcPr>
            <w:tcW w:w="1120" w:type="dxa"/>
            <w:tcBorders>
              <w:top w:val="nil"/>
              <w:left w:val="nil"/>
              <w:bottom w:val="nil"/>
              <w:right w:val="nil"/>
            </w:tcBorders>
          </w:tcPr>
          <w:p w:rsidR="005C684F" w:rsidRDefault="005C684F" w:rsidP="005C684F">
            <w:pPr>
              <w:pStyle w:val="CellBody"/>
            </w:pPr>
          </w:p>
        </w:tc>
        <w:tc>
          <w:tcPr>
            <w:tcW w:w="560" w:type="dxa"/>
            <w:tcBorders>
              <w:top w:val="nil"/>
              <w:left w:val="nil"/>
              <w:bottom w:val="nil"/>
              <w:right w:val="nil"/>
            </w:tcBorders>
          </w:tcPr>
          <w:p w:rsidR="005C684F" w:rsidRDefault="005C684F" w:rsidP="005C684F">
            <w:pPr>
              <w:pStyle w:val="CellBody"/>
            </w:pPr>
          </w:p>
        </w:tc>
        <w:tc>
          <w:tcPr>
            <w:tcW w:w="1700" w:type="dxa"/>
            <w:tcBorders>
              <w:top w:val="nil"/>
              <w:left w:val="nil"/>
              <w:bottom w:val="nil"/>
              <w:right w:val="nil"/>
            </w:tcBorders>
          </w:tcPr>
          <w:p w:rsidR="005C684F" w:rsidRDefault="005C684F" w:rsidP="005C684F">
            <w:pPr>
              <w:pStyle w:val="CellBody"/>
            </w:pPr>
          </w:p>
        </w:tc>
        <w:tc>
          <w:tcPr>
            <w:tcW w:w="881" w:type="dxa"/>
            <w:tcBorders>
              <w:top w:val="nil"/>
              <w:left w:val="nil"/>
              <w:bottom w:val="nil"/>
              <w:right w:val="nil"/>
            </w:tcBorders>
          </w:tcPr>
          <w:p w:rsidR="005C684F" w:rsidRDefault="005C684F" w:rsidP="005C684F">
            <w:pPr>
              <w:pStyle w:val="CellBody"/>
            </w:pPr>
          </w:p>
        </w:tc>
        <w:tc>
          <w:tcPr>
            <w:tcW w:w="1120" w:type="dxa"/>
            <w:tcBorders>
              <w:top w:val="nil"/>
              <w:left w:val="nil"/>
              <w:bottom w:val="nil"/>
              <w:right w:val="nil"/>
            </w:tcBorders>
            <w:tcMar>
              <w:top w:w="80" w:type="dxa"/>
              <w:left w:w="40" w:type="dxa"/>
              <w:bottom w:w="6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Pr>
          <w:p w:rsidR="005C684F" w:rsidRDefault="005C684F" w:rsidP="00CC24F7">
            <w:pPr>
              <w:pStyle w:val="CellBodyIndent1"/>
              <w:rPr>
                <w:w w:val="100"/>
              </w:rPr>
            </w:pPr>
            <w:r>
              <w:rPr>
                <w:w w:val="100"/>
              </w:rPr>
              <w:t>Study 1</w:t>
            </w:r>
          </w:p>
        </w:tc>
        <w:tc>
          <w:tcPr>
            <w:tcW w:w="560" w:type="dxa"/>
            <w:tcBorders>
              <w:top w:val="nil"/>
              <w:left w:val="nil"/>
              <w:bottom w:val="nil"/>
              <w:right w:val="nil"/>
            </w:tcBorders>
          </w:tcPr>
          <w:p w:rsidR="005C684F" w:rsidRDefault="005C684F" w:rsidP="005C684F">
            <w:pPr>
              <w:pStyle w:val="CellBody"/>
            </w:pPr>
          </w:p>
        </w:tc>
        <w:tc>
          <w:tcPr>
            <w:tcW w:w="1120" w:type="dxa"/>
            <w:tcBorders>
              <w:top w:val="nil"/>
              <w:left w:val="nil"/>
              <w:bottom w:val="nil"/>
              <w:right w:val="nil"/>
            </w:tcBorders>
          </w:tcPr>
          <w:p w:rsidR="005C684F" w:rsidRDefault="005C684F" w:rsidP="005C684F">
            <w:pPr>
              <w:pStyle w:val="CellBody"/>
            </w:pPr>
          </w:p>
        </w:tc>
        <w:tc>
          <w:tcPr>
            <w:tcW w:w="560" w:type="dxa"/>
            <w:tcBorders>
              <w:top w:val="nil"/>
              <w:left w:val="nil"/>
              <w:bottom w:val="nil"/>
              <w:right w:val="nil"/>
            </w:tcBorders>
          </w:tcPr>
          <w:p w:rsidR="005C684F" w:rsidRDefault="005C684F" w:rsidP="005C684F">
            <w:pPr>
              <w:pStyle w:val="CellBody"/>
            </w:pPr>
          </w:p>
        </w:tc>
        <w:tc>
          <w:tcPr>
            <w:tcW w:w="1700" w:type="dxa"/>
            <w:tcBorders>
              <w:top w:val="nil"/>
              <w:left w:val="nil"/>
              <w:bottom w:val="nil"/>
              <w:right w:val="nil"/>
            </w:tcBorders>
          </w:tcPr>
          <w:p w:rsidR="005C684F" w:rsidRDefault="005C684F" w:rsidP="005C684F">
            <w:pPr>
              <w:pStyle w:val="CellBody"/>
            </w:pPr>
          </w:p>
        </w:tc>
        <w:tc>
          <w:tcPr>
            <w:tcW w:w="881" w:type="dxa"/>
            <w:tcBorders>
              <w:top w:val="nil"/>
              <w:left w:val="nil"/>
              <w:bottom w:val="nil"/>
              <w:right w:val="nil"/>
            </w:tcBorders>
          </w:tcPr>
          <w:p w:rsidR="005C684F" w:rsidRDefault="005C684F" w:rsidP="005C684F">
            <w:pPr>
              <w:pStyle w:val="CellBody"/>
            </w:pPr>
          </w:p>
        </w:tc>
        <w:tc>
          <w:tcPr>
            <w:tcW w:w="1120" w:type="dxa"/>
            <w:tcBorders>
              <w:top w:val="nil"/>
              <w:left w:val="nil"/>
              <w:bottom w:val="nil"/>
              <w:right w:val="nil"/>
            </w:tcBorders>
            <w:tcMar>
              <w:top w:w="80" w:type="dxa"/>
              <w:left w:w="40" w:type="dxa"/>
              <w:bottom w:w="6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RPr="00CA5297" w:rsidTr="0086609B">
        <w:tblPrEx>
          <w:tblLook w:val="0000" w:firstRow="0" w:lastRow="0" w:firstColumn="0" w:lastColumn="0" w:noHBand="0" w:noVBand="0"/>
        </w:tblPrEx>
        <w:tc>
          <w:tcPr>
            <w:tcW w:w="1700" w:type="dxa"/>
            <w:tcBorders>
              <w:top w:val="nil"/>
              <w:left w:val="nil"/>
              <w:bottom w:val="nil"/>
              <w:right w:val="nil"/>
            </w:tcBorders>
          </w:tcPr>
          <w:p w:rsidR="005C684F" w:rsidRPr="00CA5297" w:rsidRDefault="005C684F" w:rsidP="005C684F">
            <w:pPr>
              <w:pStyle w:val="CellBodyIndent2"/>
            </w:pPr>
            <w:r w:rsidRPr="00CA5297">
              <w:rPr>
                <w:w w:val="100"/>
              </w:rPr>
              <w:t>PBO</w:t>
            </w:r>
          </w:p>
        </w:tc>
        <w:tc>
          <w:tcPr>
            <w:tcW w:w="560" w:type="dxa"/>
            <w:tcBorders>
              <w:top w:val="nil"/>
              <w:left w:val="nil"/>
              <w:bottom w:val="nil"/>
              <w:right w:val="nil"/>
            </w:tcBorders>
          </w:tcPr>
          <w:p w:rsidR="005C684F" w:rsidRPr="00CA5297" w:rsidRDefault="005C684F" w:rsidP="005C684F">
            <w:pPr>
              <w:pStyle w:val="CellBody"/>
            </w:pPr>
            <w:r w:rsidRPr="00CA5297">
              <w:rPr>
                <w:w w:val="100"/>
              </w:rPr>
              <w:t>289</w:t>
            </w:r>
          </w:p>
        </w:tc>
        <w:tc>
          <w:tcPr>
            <w:tcW w:w="1120" w:type="dxa"/>
            <w:tcBorders>
              <w:top w:val="nil"/>
              <w:left w:val="nil"/>
              <w:bottom w:val="nil"/>
              <w:right w:val="nil"/>
            </w:tcBorders>
          </w:tcPr>
          <w:p w:rsidR="005C684F" w:rsidRPr="00CA5297" w:rsidRDefault="005C684F" w:rsidP="005C684F">
            <w:pPr>
              <w:pStyle w:val="CellBody"/>
            </w:pPr>
            <w:r w:rsidRPr="00CA5297">
              <w:rPr>
                <w:w w:val="100"/>
              </w:rPr>
              <w:t>85 ± 42</w:t>
            </w:r>
          </w:p>
        </w:tc>
        <w:tc>
          <w:tcPr>
            <w:tcW w:w="560" w:type="dxa"/>
            <w:tcBorders>
              <w:top w:val="nil"/>
              <w:left w:val="nil"/>
              <w:bottom w:val="nil"/>
              <w:right w:val="nil"/>
            </w:tcBorders>
          </w:tcPr>
          <w:p w:rsidR="005C684F" w:rsidRPr="00CA5297" w:rsidRDefault="005C684F" w:rsidP="005C684F">
            <w:pPr>
              <w:pStyle w:val="CellBody"/>
            </w:pPr>
            <w:r w:rsidRPr="00CA5297">
              <w:rPr>
                <w:w w:val="100"/>
              </w:rPr>
              <w:t>213</w:t>
            </w:r>
          </w:p>
        </w:tc>
        <w:tc>
          <w:tcPr>
            <w:tcW w:w="1700" w:type="dxa"/>
            <w:tcBorders>
              <w:top w:val="nil"/>
              <w:left w:val="nil"/>
              <w:bottom w:val="nil"/>
              <w:right w:val="nil"/>
            </w:tcBorders>
          </w:tcPr>
          <w:p w:rsidR="005C684F" w:rsidRPr="00CA5297" w:rsidRDefault="005C684F" w:rsidP="005C684F">
            <w:pPr>
              <w:pStyle w:val="CellBody"/>
            </w:pPr>
            <w:r w:rsidRPr="00CA5297">
              <w:rPr>
                <w:w w:val="100"/>
              </w:rPr>
              <w:t>-39.7 ± 2.2</w:t>
            </w:r>
          </w:p>
        </w:tc>
        <w:tc>
          <w:tcPr>
            <w:tcW w:w="881" w:type="dxa"/>
            <w:tcBorders>
              <w:top w:val="nil"/>
              <w:left w:val="nil"/>
              <w:bottom w:val="nil"/>
              <w:right w:val="nil"/>
            </w:tcBorders>
          </w:tcPr>
          <w:p w:rsidR="005C684F" w:rsidRPr="00CA5297" w:rsidRDefault="005C684F" w:rsidP="005C684F">
            <w:pPr>
              <w:pStyle w:val="CellBody"/>
            </w:pPr>
          </w:p>
        </w:tc>
        <w:tc>
          <w:tcPr>
            <w:tcW w:w="1120" w:type="dxa"/>
            <w:tcBorders>
              <w:top w:val="nil"/>
              <w:left w:val="nil"/>
              <w:bottom w:val="nil"/>
              <w:right w:val="nil"/>
            </w:tcBorders>
            <w:tcMar>
              <w:top w:w="80" w:type="dxa"/>
              <w:left w:w="40" w:type="dxa"/>
              <w:bottom w:w="60" w:type="dxa"/>
              <w:right w:w="40" w:type="dxa"/>
            </w:tcMar>
          </w:tcPr>
          <w:p w:rsidR="005C684F" w:rsidRPr="00CA5297"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Pr="00CA5297"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Pr>
          <w:p w:rsidR="005C684F" w:rsidRDefault="005C684F" w:rsidP="005C684F">
            <w:pPr>
              <w:pStyle w:val="CellBodyIndent2"/>
            </w:pPr>
            <w:r>
              <w:rPr>
                <w:w w:val="100"/>
              </w:rPr>
              <w:t>NMF</w:t>
            </w:r>
          </w:p>
        </w:tc>
        <w:tc>
          <w:tcPr>
            <w:tcW w:w="560" w:type="dxa"/>
            <w:tcBorders>
              <w:top w:val="nil"/>
              <w:left w:val="nil"/>
              <w:bottom w:val="nil"/>
              <w:right w:val="nil"/>
            </w:tcBorders>
          </w:tcPr>
          <w:p w:rsidR="005C684F" w:rsidRDefault="005C684F" w:rsidP="005C684F">
            <w:pPr>
              <w:pStyle w:val="CellBody"/>
            </w:pPr>
            <w:r>
              <w:rPr>
                <w:w w:val="100"/>
              </w:rPr>
              <w:t>290</w:t>
            </w:r>
          </w:p>
        </w:tc>
        <w:tc>
          <w:tcPr>
            <w:tcW w:w="1120" w:type="dxa"/>
            <w:tcBorders>
              <w:top w:val="nil"/>
              <w:left w:val="nil"/>
              <w:bottom w:val="nil"/>
              <w:right w:val="nil"/>
            </w:tcBorders>
          </w:tcPr>
          <w:p w:rsidR="005C684F" w:rsidRDefault="005C684F" w:rsidP="005C684F">
            <w:pPr>
              <w:pStyle w:val="CellBody"/>
            </w:pPr>
            <w:r>
              <w:rPr>
                <w:w w:val="100"/>
              </w:rPr>
              <w:t>84 ± 42</w:t>
            </w:r>
          </w:p>
        </w:tc>
        <w:tc>
          <w:tcPr>
            <w:tcW w:w="560" w:type="dxa"/>
            <w:tcBorders>
              <w:top w:val="nil"/>
              <w:left w:val="nil"/>
              <w:bottom w:val="nil"/>
              <w:right w:val="nil"/>
            </w:tcBorders>
          </w:tcPr>
          <w:p w:rsidR="005C684F" w:rsidRDefault="005C684F" w:rsidP="005C684F">
            <w:pPr>
              <w:pStyle w:val="CellBody"/>
            </w:pPr>
            <w:r>
              <w:rPr>
                <w:w w:val="100"/>
              </w:rPr>
              <w:t>152</w:t>
            </w:r>
          </w:p>
        </w:tc>
        <w:tc>
          <w:tcPr>
            <w:tcW w:w="1700" w:type="dxa"/>
            <w:tcBorders>
              <w:top w:val="nil"/>
              <w:left w:val="nil"/>
              <w:bottom w:val="nil"/>
              <w:right w:val="nil"/>
            </w:tcBorders>
          </w:tcPr>
          <w:p w:rsidR="005C684F" w:rsidRDefault="005C684F" w:rsidP="005C684F">
            <w:pPr>
              <w:pStyle w:val="CellBody"/>
            </w:pPr>
            <w:r>
              <w:rPr>
                <w:w w:val="100"/>
              </w:rPr>
              <w:t>-50.7 ± 2.4</w:t>
            </w:r>
          </w:p>
        </w:tc>
        <w:tc>
          <w:tcPr>
            <w:tcW w:w="881" w:type="dxa"/>
            <w:tcBorders>
              <w:top w:val="nil"/>
              <w:left w:val="nil"/>
              <w:bottom w:val="nil"/>
              <w:right w:val="nil"/>
            </w:tcBorders>
          </w:tcPr>
          <w:p w:rsidR="005C684F" w:rsidRDefault="005C684F" w:rsidP="005C684F">
            <w:pPr>
              <w:pStyle w:val="CellBody"/>
            </w:pPr>
            <w:r>
              <w:rPr>
                <w:w w:val="100"/>
              </w:rPr>
              <w:t>-11.0</w:t>
            </w:r>
          </w:p>
        </w:tc>
        <w:tc>
          <w:tcPr>
            <w:tcW w:w="1120" w:type="dxa"/>
            <w:tcBorders>
              <w:top w:val="nil"/>
              <w:left w:val="nil"/>
              <w:bottom w:val="nil"/>
              <w:right w:val="nil"/>
            </w:tcBorders>
            <w:tcMar>
              <w:top w:w="80" w:type="dxa"/>
              <w:left w:w="40" w:type="dxa"/>
              <w:bottom w:w="60" w:type="dxa"/>
              <w:right w:w="40" w:type="dxa"/>
            </w:tcMar>
          </w:tcPr>
          <w:p w:rsidR="005C684F" w:rsidRDefault="005C684F" w:rsidP="005C684F">
            <w:pPr>
              <w:pStyle w:val="CellBody"/>
            </w:pPr>
            <w:r>
              <w:rPr>
                <w:w w:val="100"/>
              </w:rPr>
              <w:t>[-16.8; -5.1]</w:t>
            </w: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rStyle w:val="Symbol"/>
                <w:rFonts w:cs="Symbol"/>
                <w:w w:val="100"/>
              </w:rPr>
              <w:t></w:t>
            </w:r>
            <w:r>
              <w:rPr>
                <w:w w:val="100"/>
              </w:rPr>
              <w:t>0.001</w:t>
            </w: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CC24F7">
            <w:pPr>
              <w:pStyle w:val="CellBodyIndent1"/>
            </w:pPr>
            <w:r>
              <w:rPr>
                <w:w w:val="100"/>
              </w:rPr>
              <w:t xml:space="preserve">Study </w:t>
            </w:r>
            <w:r w:rsidR="00CC24F7">
              <w:rPr>
                <w:w w:val="100"/>
              </w:rPr>
              <w:t>2</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Indent2"/>
            </w:pPr>
            <w:r>
              <w:rPr>
                <w:w w:val="100"/>
              </w:rPr>
              <w:t>PBO</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326</w:t>
            </w: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89 ± 48</w:t>
            </w:r>
          </w:p>
        </w:tc>
        <w:tc>
          <w:tcPr>
            <w:tcW w:w="56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229</w:t>
            </w:r>
          </w:p>
        </w:tc>
        <w:tc>
          <w:tcPr>
            <w:tcW w:w="170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r>
              <w:rPr>
                <w:w w:val="100"/>
              </w:rPr>
              <w:t>-54.1 ± 2.2</w:t>
            </w:r>
          </w:p>
        </w:tc>
        <w:tc>
          <w:tcPr>
            <w:tcW w:w="881"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20"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c>
          <w:tcPr>
            <w:tcW w:w="1179" w:type="dxa"/>
            <w:tcBorders>
              <w:top w:val="nil"/>
              <w:left w:val="nil"/>
              <w:bottom w:val="nil"/>
              <w:right w:val="nil"/>
            </w:tcBorders>
            <w:tcMar>
              <w:top w:w="60" w:type="dxa"/>
              <w:left w:w="40" w:type="dxa"/>
              <w:bottom w:w="20" w:type="dxa"/>
              <w:right w:w="40" w:type="dxa"/>
            </w:tcMar>
          </w:tcPr>
          <w:p w:rsidR="005C684F" w:rsidRDefault="005C684F" w:rsidP="005C684F">
            <w:pPr>
              <w:pStyle w:val="CellBody"/>
            </w:pPr>
          </w:p>
        </w:tc>
      </w:tr>
      <w:tr w:rsidR="005C684F" w:rsidTr="0086609B">
        <w:tblPrEx>
          <w:tblLook w:val="0000" w:firstRow="0" w:lastRow="0" w:firstColumn="0" w:lastColumn="0" w:noHBand="0" w:noVBand="0"/>
        </w:tblPrEx>
        <w:tc>
          <w:tcPr>
            <w:tcW w:w="170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Indent2"/>
            </w:pPr>
            <w:r>
              <w:rPr>
                <w:w w:val="100"/>
              </w:rPr>
              <w:t>NMF</w:t>
            </w:r>
          </w:p>
        </w:tc>
        <w:tc>
          <w:tcPr>
            <w:tcW w:w="56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329</w:t>
            </w:r>
          </w:p>
        </w:tc>
        <w:tc>
          <w:tcPr>
            <w:tcW w:w="112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93 ± 46</w:t>
            </w:r>
          </w:p>
        </w:tc>
        <w:tc>
          <w:tcPr>
            <w:tcW w:w="56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212</w:t>
            </w:r>
          </w:p>
        </w:tc>
        <w:tc>
          <w:tcPr>
            <w:tcW w:w="170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-59.0 ± 2.3</w:t>
            </w:r>
          </w:p>
        </w:tc>
        <w:tc>
          <w:tcPr>
            <w:tcW w:w="881"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-5.0</w:t>
            </w:r>
          </w:p>
        </w:tc>
        <w:tc>
          <w:tcPr>
            <w:tcW w:w="1120"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[-10.6; 0.7]</w:t>
            </w:r>
          </w:p>
        </w:tc>
        <w:tc>
          <w:tcPr>
            <w:tcW w:w="1179" w:type="dxa"/>
            <w:tcBorders>
              <w:top w:val="nil"/>
              <w:left w:val="nil"/>
              <w:bottom w:val="single" w:sz="4" w:space="0" w:color="auto"/>
              <w:right w:val="nil"/>
            </w:tcBorders>
            <w:tcMar>
              <w:top w:w="60" w:type="dxa"/>
              <w:left w:w="40" w:type="dxa"/>
              <w:bottom w:w="20" w:type="dxa"/>
              <w:right w:w="40" w:type="dxa"/>
            </w:tcMar>
          </w:tcPr>
          <w:p w:rsidR="005C684F" w:rsidRDefault="005C684F" w:rsidP="005C684F">
            <w:pPr>
              <w:pStyle w:val="CellBody"/>
            </w:pPr>
            <w:r>
              <w:rPr>
                <w:w w:val="100"/>
              </w:rPr>
              <w:t>0.088</w:t>
            </w:r>
          </w:p>
        </w:tc>
      </w:tr>
      <w:tr w:rsidR="005C684F" w:rsidTr="0086609B">
        <w:tblPrEx>
          <w:tblLook w:val="0000" w:firstRow="0" w:lastRow="0" w:firstColumn="0" w:lastColumn="0" w:noHBand="0" w:noVBand="0"/>
        </w:tblPrEx>
        <w:tc>
          <w:tcPr>
            <w:tcW w:w="8820" w:type="dxa"/>
            <w:gridSpan w:val="8"/>
            <w:tcBorders>
              <w:top w:val="single" w:sz="4" w:space="0" w:color="auto"/>
              <w:left w:val="nil"/>
              <w:bottom w:val="single" w:sz="4" w:space="0" w:color="000000"/>
              <w:right w:val="nil"/>
            </w:tcBorders>
            <w:tcMar>
              <w:top w:w="60" w:type="dxa"/>
              <w:left w:w="40" w:type="dxa"/>
              <w:bottom w:w="20" w:type="dxa"/>
              <w:right w:w="40" w:type="dxa"/>
            </w:tcMar>
          </w:tcPr>
          <w:p w:rsidR="005C684F" w:rsidRDefault="005C684F" w:rsidP="005C684F">
            <w:pPr>
              <w:pStyle w:val="CellBodyIndent2"/>
              <w:tabs>
                <w:tab w:val="left" w:pos="280"/>
              </w:tabs>
              <w:ind w:left="0"/>
            </w:pPr>
            <w:r>
              <w:rPr>
                <w:w w:val="100"/>
              </w:rPr>
              <w:t xml:space="preserve">FAS = Full Analysis Set; Baseline values are based on the FAS </w:t>
            </w:r>
          </w:p>
        </w:tc>
      </w:tr>
    </w:tbl>
    <w:p w:rsidR="005C684F" w:rsidRDefault="005C684F" w:rsidP="005C684F">
      <w:pPr>
        <w:pStyle w:val="Body"/>
        <w:rPr>
          <w:szCs w:val="24"/>
          <w:lang w:eastAsia="en-GB"/>
        </w:rPr>
      </w:pPr>
    </w:p>
    <w:p w:rsidR="007A1C1B" w:rsidRPr="00A5114C" w:rsidRDefault="005C684F" w:rsidP="0058001B">
      <w:pPr>
        <w:pStyle w:val="Heading3"/>
        <w:jc w:val="both"/>
        <w:rPr>
          <w:rFonts w:ascii="Times New Roman" w:hAnsi="Times New Roman" w:cs="Times New Roman"/>
          <w:lang w:eastAsia="en-AU"/>
        </w:rPr>
      </w:pPr>
      <w:r>
        <w:rPr>
          <w:rFonts w:ascii="Times New Roman" w:hAnsi="Times New Roman" w:cs="Times New Roman"/>
          <w:lang w:eastAsia="en-AU"/>
        </w:rPr>
        <w:lastRenderedPageBreak/>
        <w:t>E</w:t>
      </w:r>
      <w:r w:rsidR="008C1D02" w:rsidRPr="00A5114C">
        <w:rPr>
          <w:rFonts w:ascii="Times New Roman" w:hAnsi="Times New Roman" w:cs="Times New Roman"/>
          <w:lang w:eastAsia="en-AU"/>
        </w:rPr>
        <w:t xml:space="preserve">fficacy </w:t>
      </w:r>
      <w:r>
        <w:rPr>
          <w:rFonts w:ascii="Times New Roman" w:hAnsi="Times New Roman" w:cs="Times New Roman"/>
          <w:lang w:eastAsia="en-AU"/>
        </w:rPr>
        <w:t xml:space="preserve">results for the target population defined </w:t>
      </w:r>
      <w:r w:rsidRPr="005B4668">
        <w:rPr>
          <w:rFonts w:ascii="Times New Roman" w:hAnsi="Times New Roman" w:cs="Times New Roman"/>
          <w:i/>
          <w:lang w:eastAsia="en-AU"/>
        </w:rPr>
        <w:t>post-hoc</w:t>
      </w:r>
      <w:r>
        <w:rPr>
          <w:rFonts w:ascii="Times New Roman" w:hAnsi="Times New Roman" w:cs="Times New Roman"/>
          <w:i/>
          <w:lang w:eastAsia="en-AU"/>
        </w:rPr>
        <w:t xml:space="preserve">. </w:t>
      </w:r>
      <w:r>
        <w:rPr>
          <w:rFonts w:ascii="Times New Roman" w:hAnsi="Times New Roman" w:cs="Times New Roman"/>
          <w:lang w:eastAsia="en-AU"/>
        </w:rPr>
        <w:t>P</w:t>
      </w:r>
      <w:r w:rsidR="008C1D02" w:rsidRPr="00A5114C">
        <w:rPr>
          <w:rFonts w:ascii="Times New Roman" w:hAnsi="Times New Roman" w:cs="Times New Roman"/>
          <w:lang w:eastAsia="en-AU"/>
        </w:rPr>
        <w:t>atients who maintained a high or ver</w:t>
      </w:r>
      <w:r w:rsidR="0058001B" w:rsidRPr="00A5114C">
        <w:rPr>
          <w:rFonts w:ascii="Times New Roman" w:hAnsi="Times New Roman" w:cs="Times New Roman"/>
          <w:lang w:eastAsia="en-AU"/>
        </w:rPr>
        <w:t>y high DRL at randomisation</w:t>
      </w:r>
    </w:p>
    <w:p w:rsidR="005C684F" w:rsidRDefault="008C1D02" w:rsidP="005C684F">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In Study 1, the proportion of patients who withdrew was higher in the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group than in the</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placebo group (50% versus 32%, respectively). </w:t>
      </w:r>
      <w:r w:rsidR="0057238E" w:rsidRPr="00A5114C">
        <w:rPr>
          <w:rFonts w:ascii="Times New Roman" w:hAnsi="Times New Roman" w:cs="Times New Roman"/>
          <w:spacing w:val="0"/>
          <w:lang w:eastAsia="en-AU"/>
        </w:rPr>
        <w:t xml:space="preserve"> </w:t>
      </w:r>
      <w:r w:rsidR="005C684F" w:rsidRPr="00A5114C">
        <w:rPr>
          <w:rFonts w:ascii="Times New Roman" w:hAnsi="Times New Roman" w:cs="Times New Roman"/>
          <w:spacing w:val="0"/>
          <w:lang w:eastAsia="en-AU"/>
        </w:rPr>
        <w:t xml:space="preserve">In Study 2, the proportion of patients who withdrew was similar in the SELINCRO group and the placebo group (30% versus </w:t>
      </w:r>
      <w:r w:rsidR="005C684F" w:rsidRPr="00A062CA">
        <w:rPr>
          <w:rFonts w:ascii="Times New Roman" w:hAnsi="Times New Roman" w:cs="Times New Roman"/>
          <w:spacing w:val="0"/>
          <w:lang w:eastAsia="en-AU"/>
        </w:rPr>
        <w:t xml:space="preserve">28%, respectively).  </w:t>
      </w:r>
    </w:p>
    <w:p w:rsidR="00D14728" w:rsidRPr="00A062CA" w:rsidRDefault="00D14728" w:rsidP="005C684F">
      <w:pPr>
        <w:spacing w:after="0" w:line="240" w:lineRule="auto"/>
        <w:jc w:val="both"/>
        <w:rPr>
          <w:rFonts w:ascii="Times New Roman" w:hAnsi="Times New Roman" w:cs="Times New Roman"/>
          <w:spacing w:val="0"/>
          <w:lang w:eastAsia="en-AU"/>
        </w:rPr>
      </w:pPr>
    </w:p>
    <w:p w:rsidR="008C1D02" w:rsidRPr="00A5114C" w:rsidRDefault="0056297D" w:rsidP="0056297D">
      <w:pPr>
        <w:spacing w:after="0" w:line="240" w:lineRule="auto"/>
        <w:jc w:val="both"/>
        <w:rPr>
          <w:rFonts w:ascii="Times New Roman" w:hAnsi="Times New Roman" w:cs="Times New Roman"/>
          <w:spacing w:val="0"/>
          <w:lang w:eastAsia="en-AU"/>
        </w:rPr>
      </w:pPr>
      <w:r w:rsidRPr="00A062CA">
        <w:rPr>
          <w:rFonts w:ascii="Times New Roman" w:hAnsi="Times New Roman" w:cs="Times New Roman"/>
          <w:spacing w:val="0"/>
          <w:lang w:eastAsia="en-AU"/>
        </w:rPr>
        <w:t xml:space="preserve">Table 2 </w:t>
      </w:r>
      <w:r w:rsidRPr="00A062CA">
        <w:rPr>
          <w:rFonts w:ascii="Times New Roman" w:hAnsi="Times New Roman" w:cs="Times New Roman"/>
          <w:bCs/>
          <w:iCs/>
          <w:lang w:val="en-US"/>
        </w:rPr>
        <w:t xml:space="preserve">shows efficacy results at Month 6 based on the primary MMRM analysis. </w:t>
      </w:r>
      <w:r w:rsidR="007209A0">
        <w:rPr>
          <w:rFonts w:ascii="Times New Roman" w:hAnsi="Times New Roman" w:cs="Times New Roman"/>
          <w:bCs/>
          <w:iCs/>
          <w:lang w:val="en-US"/>
        </w:rPr>
        <w:t xml:space="preserve"> </w:t>
      </w:r>
      <w:r w:rsidRPr="00A062CA">
        <w:rPr>
          <w:rFonts w:ascii="Times New Roman" w:eastAsia="TimesNewRoman" w:hAnsi="Times New Roman" w:cs="Times New Roman"/>
          <w:spacing w:val="0"/>
          <w:lang w:val="en-US"/>
        </w:rPr>
        <w:t>Patients treated with SELINCRO reduced their TAC by approximately 60% and the HDDs by approximately 55% relative to the baseline values.</w:t>
      </w:r>
    </w:p>
    <w:p w:rsidR="00161846" w:rsidRPr="00A5114C" w:rsidRDefault="00161846" w:rsidP="009E5E3D">
      <w:pPr>
        <w:spacing w:after="0" w:line="240" w:lineRule="auto"/>
        <w:jc w:val="both"/>
        <w:rPr>
          <w:rFonts w:ascii="Times New Roman" w:hAnsi="Times New Roman" w:cs="Times New Roman"/>
          <w:spacing w:val="0"/>
          <w:lang w:eastAsia="en-AU"/>
        </w:rPr>
      </w:pPr>
    </w:p>
    <w:p w:rsidR="00566CA8" w:rsidRPr="00A5114C" w:rsidRDefault="0099558F" w:rsidP="0061667A">
      <w:pPr>
        <w:spacing w:after="0" w:line="240" w:lineRule="auto"/>
        <w:jc w:val="both"/>
        <w:rPr>
          <w:rFonts w:ascii="Times New Roman" w:hAnsi="Times New Roman" w:cs="Times New Roman"/>
          <w:bCs/>
          <w:iCs/>
          <w:lang w:val="en-US"/>
        </w:rPr>
      </w:pPr>
      <w:r w:rsidRPr="00A5114C">
        <w:rPr>
          <w:rFonts w:ascii="Times New Roman" w:hAnsi="Times New Roman" w:cs="Times New Roman"/>
          <w:bCs/>
          <w:iCs/>
          <w:lang w:val="en-US"/>
        </w:rPr>
        <w:t>In both studies, the effect of SELINCRO was observed at Month 1 and maintained throughout the treatment period.</w:t>
      </w:r>
    </w:p>
    <w:p w:rsidR="00665EB3" w:rsidRDefault="00665EB3" w:rsidP="00665EB3">
      <w:pPr>
        <w:spacing w:after="0" w:line="240" w:lineRule="auto"/>
        <w:jc w:val="both"/>
        <w:rPr>
          <w:rFonts w:ascii="Times New Roman" w:hAnsi="Times New Roman" w:cs="Times New Roman"/>
          <w:iCs/>
          <w:spacing w:val="0"/>
          <w:lang w:eastAsia="en-AU"/>
        </w:rPr>
      </w:pPr>
    </w:p>
    <w:p w:rsidR="00FF73E2" w:rsidRPr="00FF73E2" w:rsidRDefault="00FF73E2" w:rsidP="00FF73E2">
      <w:pPr>
        <w:pStyle w:val="Caption"/>
        <w:keepNext/>
        <w:rPr>
          <w:rFonts w:ascii="Times New Roman" w:hAnsi="Times New Roman" w:cs="Times New Roman"/>
          <w:sz w:val="22"/>
          <w:szCs w:val="22"/>
        </w:rPr>
      </w:pPr>
      <w:r w:rsidRPr="00FF73E2">
        <w:rPr>
          <w:rFonts w:ascii="Times New Roman" w:hAnsi="Times New Roman" w:cs="Times New Roman"/>
          <w:sz w:val="22"/>
          <w:szCs w:val="22"/>
        </w:rPr>
        <w:t xml:space="preserve">Table </w:t>
      </w:r>
      <w:r w:rsidRPr="00FF73E2">
        <w:rPr>
          <w:rFonts w:ascii="Times New Roman" w:hAnsi="Times New Roman" w:cs="Times New Roman"/>
          <w:sz w:val="22"/>
          <w:szCs w:val="22"/>
        </w:rPr>
        <w:fldChar w:fldCharType="begin"/>
      </w:r>
      <w:r w:rsidRPr="00FF73E2">
        <w:rPr>
          <w:rFonts w:ascii="Times New Roman" w:hAnsi="Times New Roman" w:cs="Times New Roman"/>
          <w:sz w:val="22"/>
          <w:szCs w:val="22"/>
        </w:rPr>
        <w:instrText xml:space="preserve"> SEQ Table \* ARABIC </w:instrText>
      </w:r>
      <w:r w:rsidRPr="00FF73E2">
        <w:rPr>
          <w:rFonts w:ascii="Times New Roman" w:hAnsi="Times New Roman" w:cs="Times New Roman"/>
          <w:sz w:val="22"/>
          <w:szCs w:val="22"/>
        </w:rPr>
        <w:fldChar w:fldCharType="separate"/>
      </w:r>
      <w:r w:rsidR="002B4AA9">
        <w:rPr>
          <w:rFonts w:ascii="Times New Roman" w:hAnsi="Times New Roman" w:cs="Times New Roman"/>
          <w:noProof/>
          <w:sz w:val="22"/>
          <w:szCs w:val="22"/>
        </w:rPr>
        <w:t>2</w:t>
      </w:r>
      <w:r w:rsidRPr="00FF73E2">
        <w:rPr>
          <w:rFonts w:ascii="Times New Roman" w:hAnsi="Times New Roman" w:cs="Times New Roman"/>
          <w:sz w:val="22"/>
          <w:szCs w:val="22"/>
        </w:rPr>
        <w:fldChar w:fldCharType="end"/>
      </w:r>
      <w:r w:rsidR="00557FD7">
        <w:rPr>
          <w:rFonts w:ascii="Times New Roman" w:hAnsi="Times New Roman" w:cs="Times New Roman"/>
          <w:sz w:val="22"/>
          <w:szCs w:val="22"/>
        </w:rPr>
        <w:t>:</w:t>
      </w:r>
      <w:r w:rsidRPr="00FF73E2">
        <w:rPr>
          <w:rFonts w:ascii="Times New Roman" w:hAnsi="Times New Roman" w:cs="Times New Roman"/>
          <w:sz w:val="22"/>
          <w:szCs w:val="22"/>
        </w:rPr>
        <w:t xml:space="preserve"> Results for the Co-primary Efficacy Variables at Month 6 (FAS, MMRM) – Target Population, that is, Patients with a High or Very High DRL at Baseline and Randomisation</w:t>
      </w:r>
    </w:p>
    <w:tbl>
      <w:tblPr>
        <w:tblW w:w="8820" w:type="dxa"/>
        <w:tblInd w:w="40" w:type="dxa"/>
        <w:tblLayout w:type="fixed"/>
        <w:tblCellMar>
          <w:top w:w="60" w:type="dxa"/>
          <w:left w:w="40" w:type="dxa"/>
          <w:bottom w:w="20" w:type="dxa"/>
          <w:right w:w="40" w:type="dxa"/>
        </w:tblCellMar>
        <w:tblLook w:val="04A0" w:firstRow="1" w:lastRow="0" w:firstColumn="1" w:lastColumn="0" w:noHBand="0" w:noVBand="1"/>
      </w:tblPr>
      <w:tblGrid>
        <w:gridCol w:w="1700"/>
        <w:gridCol w:w="560"/>
        <w:gridCol w:w="1120"/>
        <w:gridCol w:w="560"/>
        <w:gridCol w:w="1700"/>
        <w:gridCol w:w="881"/>
        <w:gridCol w:w="1120"/>
        <w:gridCol w:w="1120"/>
        <w:gridCol w:w="59"/>
      </w:tblGrid>
      <w:tr w:rsidR="0056297D" w:rsidTr="00FF73E2">
        <w:tc>
          <w:tcPr>
            <w:tcW w:w="1700" w:type="dxa"/>
            <w:vMerge w:val="restart"/>
            <w:tcBorders>
              <w:top w:val="single" w:sz="4" w:space="0" w:color="000000"/>
              <w:left w:val="nil"/>
              <w:bottom w:val="single" w:sz="4" w:space="0" w:color="000000"/>
              <w:right w:val="nil"/>
            </w:tcBorders>
            <w:tcMar>
              <w:top w:w="80" w:type="dxa"/>
              <w:left w:w="40" w:type="dxa"/>
              <w:bottom w:w="60" w:type="dxa"/>
              <w:right w:w="40" w:type="dxa"/>
            </w:tcMar>
            <w:vAlign w:val="center"/>
          </w:tcPr>
          <w:p w:rsidR="0056297D" w:rsidRPr="00A321D8" w:rsidRDefault="0056297D" w:rsidP="00F6596C">
            <w:pPr>
              <w:pStyle w:val="CellHeadingLeft"/>
              <w:rPr>
                <w:w w:val="100"/>
              </w:rPr>
            </w:pPr>
            <w:r>
              <w:rPr>
                <w:w w:val="100"/>
              </w:rPr>
              <w:t>Variable</w:t>
            </w:r>
            <w:r>
              <w:rPr>
                <w:w w:val="100"/>
              </w:rPr>
              <w:br/>
              <w:t>Treatment Group</w:t>
            </w:r>
          </w:p>
        </w:tc>
        <w:tc>
          <w:tcPr>
            <w:tcW w:w="1680" w:type="dxa"/>
            <w:gridSpan w:val="2"/>
            <w:tcBorders>
              <w:top w:val="single" w:sz="4" w:space="0" w:color="000000"/>
              <w:left w:val="nil"/>
              <w:bottom w:val="single" w:sz="2" w:space="0" w:color="000000"/>
              <w:right w:val="nil"/>
            </w:tcBorders>
            <w:tcMar>
              <w:top w:w="80" w:type="dxa"/>
              <w:left w:w="40" w:type="dxa"/>
              <w:bottom w:w="60" w:type="dxa"/>
              <w:right w:w="40" w:type="dxa"/>
            </w:tcMar>
            <w:vAlign w:val="center"/>
          </w:tcPr>
          <w:p w:rsidR="0056297D" w:rsidRPr="00A321D8" w:rsidRDefault="0056297D" w:rsidP="00F6596C">
            <w:pPr>
              <w:pStyle w:val="CellHeading"/>
              <w:rPr>
                <w:w w:val="100"/>
              </w:rPr>
            </w:pPr>
            <w:r>
              <w:rPr>
                <w:w w:val="100"/>
              </w:rPr>
              <w:t xml:space="preserve">Baseline </w:t>
            </w:r>
          </w:p>
        </w:tc>
        <w:tc>
          <w:tcPr>
            <w:tcW w:w="2260" w:type="dxa"/>
            <w:gridSpan w:val="2"/>
            <w:tcBorders>
              <w:top w:val="single" w:sz="4" w:space="0" w:color="000000"/>
              <w:left w:val="nil"/>
              <w:bottom w:val="single" w:sz="2" w:space="0" w:color="000000"/>
              <w:right w:val="nil"/>
            </w:tcBorders>
            <w:tcMar>
              <w:top w:w="80" w:type="dxa"/>
              <w:left w:w="40" w:type="dxa"/>
              <w:bottom w:w="60" w:type="dxa"/>
              <w:right w:w="40" w:type="dxa"/>
            </w:tcMar>
            <w:vAlign w:val="center"/>
          </w:tcPr>
          <w:p w:rsidR="0056297D" w:rsidRPr="00A321D8" w:rsidRDefault="0056297D" w:rsidP="00F6596C">
            <w:pPr>
              <w:pStyle w:val="CellHeading"/>
              <w:rPr>
                <w:w w:val="100"/>
              </w:rPr>
            </w:pPr>
            <w:r>
              <w:rPr>
                <w:w w:val="100"/>
              </w:rPr>
              <w:t>Change from Baseline</w:t>
            </w:r>
            <w:r>
              <w:rPr>
                <w:w w:val="100"/>
              </w:rPr>
              <w:br/>
              <w:t>to Month 6</w:t>
            </w:r>
          </w:p>
        </w:tc>
        <w:tc>
          <w:tcPr>
            <w:tcW w:w="3180" w:type="dxa"/>
            <w:gridSpan w:val="4"/>
            <w:tcBorders>
              <w:top w:val="single" w:sz="4" w:space="0" w:color="000000"/>
              <w:left w:val="nil"/>
              <w:bottom w:val="single" w:sz="2" w:space="0" w:color="000000"/>
              <w:right w:val="nil"/>
            </w:tcBorders>
            <w:tcMar>
              <w:top w:w="80" w:type="dxa"/>
              <w:left w:w="40" w:type="dxa"/>
              <w:bottom w:w="60" w:type="dxa"/>
              <w:right w:w="40" w:type="dxa"/>
            </w:tcMar>
            <w:vAlign w:val="center"/>
          </w:tcPr>
          <w:p w:rsidR="0056297D" w:rsidRPr="00A321D8" w:rsidRDefault="0056297D" w:rsidP="00F6596C">
            <w:pPr>
              <w:pStyle w:val="CellHeading"/>
              <w:rPr>
                <w:w w:val="100"/>
              </w:rPr>
            </w:pPr>
            <w:r>
              <w:rPr>
                <w:w w:val="100"/>
              </w:rPr>
              <w:t>Difference to PBO</w:t>
            </w:r>
          </w:p>
        </w:tc>
      </w:tr>
      <w:tr w:rsidR="0056297D" w:rsidTr="00FF73E2">
        <w:tblPrEx>
          <w:tblLook w:val="0000" w:firstRow="0" w:lastRow="0" w:firstColumn="0" w:lastColumn="0" w:noHBand="0" w:noVBand="0"/>
        </w:tblPrEx>
        <w:trPr>
          <w:gridAfter w:val="1"/>
          <w:wAfter w:w="59" w:type="dxa"/>
        </w:trPr>
        <w:tc>
          <w:tcPr>
            <w:tcW w:w="1700" w:type="dxa"/>
            <w:vMerge/>
            <w:tcBorders>
              <w:top w:val="single" w:sz="4" w:space="0" w:color="000000"/>
              <w:left w:val="nil"/>
              <w:bottom w:val="single" w:sz="4" w:space="0" w:color="000000"/>
              <w:right w:val="nil"/>
            </w:tcBorders>
          </w:tcPr>
          <w:p w:rsidR="0056297D" w:rsidRDefault="0056297D" w:rsidP="00F6596C">
            <w:pPr>
              <w:pStyle w:val="ListBullet"/>
              <w:widowControl w:val="0"/>
              <w:tabs>
                <w:tab w:val="clear" w:pos="280"/>
              </w:tabs>
              <w:suppressAutoHyphens w:val="0"/>
              <w:spacing w:before="0" w:line="240" w:lineRule="auto"/>
              <w:ind w:left="0" w:firstLine="0"/>
              <w:rPr>
                <w:rFonts w:ascii="Courier" w:hAnsi="Courier"/>
                <w:color w:val="auto"/>
                <w:w w:val="100"/>
              </w:rPr>
            </w:pPr>
          </w:p>
        </w:tc>
        <w:tc>
          <w:tcPr>
            <w:tcW w:w="56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N</w:t>
            </w:r>
          </w:p>
        </w:tc>
        <w:tc>
          <w:tcPr>
            <w:tcW w:w="112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Mean ± SD</w:t>
            </w:r>
          </w:p>
        </w:tc>
        <w:tc>
          <w:tcPr>
            <w:tcW w:w="56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N</w:t>
            </w:r>
          </w:p>
        </w:tc>
        <w:tc>
          <w:tcPr>
            <w:tcW w:w="170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Mean ± SE</w:t>
            </w:r>
          </w:p>
        </w:tc>
        <w:tc>
          <w:tcPr>
            <w:tcW w:w="881"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Mean</w:t>
            </w:r>
          </w:p>
        </w:tc>
        <w:tc>
          <w:tcPr>
            <w:tcW w:w="112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95% CI</w:t>
            </w:r>
          </w:p>
        </w:tc>
        <w:tc>
          <w:tcPr>
            <w:tcW w:w="1120" w:type="dxa"/>
            <w:tcBorders>
              <w:top w:val="nil"/>
              <w:left w:val="nil"/>
              <w:bottom w:val="single" w:sz="4" w:space="0" w:color="000000"/>
              <w:right w:val="nil"/>
            </w:tcBorders>
            <w:tcMar>
              <w:top w:w="80" w:type="dxa"/>
              <w:left w:w="40" w:type="dxa"/>
              <w:bottom w:w="60" w:type="dxa"/>
              <w:right w:w="40" w:type="dxa"/>
            </w:tcMar>
            <w:vAlign w:val="center"/>
          </w:tcPr>
          <w:p w:rsidR="0056297D" w:rsidRDefault="0056297D" w:rsidP="00F6596C">
            <w:pPr>
              <w:pStyle w:val="CellHeading"/>
            </w:pPr>
            <w:r>
              <w:rPr>
                <w:w w:val="100"/>
              </w:rPr>
              <w:t>p-value</w:t>
            </w:r>
          </w:p>
        </w:tc>
      </w:tr>
      <w:tr w:rsidR="0056297D" w:rsidTr="00FF73E2">
        <w:tblPrEx>
          <w:tblLook w:val="0000" w:firstRow="0" w:lastRow="0" w:firstColumn="0" w:lastColumn="0" w:noHBand="0" w:noVBand="0"/>
        </w:tblPrEx>
        <w:trPr>
          <w:gridAfter w:val="1"/>
          <w:wAfter w:w="59" w:type="dxa"/>
        </w:trPr>
        <w:tc>
          <w:tcPr>
            <w:tcW w:w="3380" w:type="dxa"/>
            <w:gridSpan w:val="3"/>
            <w:tcBorders>
              <w:top w:val="nil"/>
              <w:left w:val="nil"/>
              <w:bottom w:val="nil"/>
              <w:right w:val="nil"/>
            </w:tcBorders>
            <w:vAlign w:val="center"/>
          </w:tcPr>
          <w:p w:rsidR="0056297D" w:rsidRDefault="0056297D" w:rsidP="00F6596C">
            <w:pPr>
              <w:pStyle w:val="CellHeadingLeft"/>
              <w:spacing w:line="240" w:lineRule="auto"/>
            </w:pPr>
            <w:r>
              <w:rPr>
                <w:w w:val="100"/>
              </w:rPr>
              <w:t>Number of HDDs (days/month)</w:t>
            </w:r>
          </w:p>
        </w:tc>
        <w:tc>
          <w:tcPr>
            <w:tcW w:w="560" w:type="dxa"/>
            <w:tcBorders>
              <w:top w:val="nil"/>
              <w:left w:val="nil"/>
              <w:bottom w:val="nil"/>
              <w:right w:val="nil"/>
            </w:tcBorders>
            <w:vAlign w:val="center"/>
          </w:tcPr>
          <w:p w:rsidR="0056297D" w:rsidRDefault="0056297D" w:rsidP="00F6596C">
            <w:pPr>
              <w:pStyle w:val="CellBody"/>
              <w:spacing w:line="240" w:lineRule="auto"/>
              <w:jc w:val="left"/>
            </w:pPr>
          </w:p>
        </w:tc>
        <w:tc>
          <w:tcPr>
            <w:tcW w:w="1700" w:type="dxa"/>
            <w:tcBorders>
              <w:top w:val="nil"/>
              <w:left w:val="nil"/>
              <w:bottom w:val="nil"/>
              <w:right w:val="nil"/>
            </w:tcBorders>
            <w:vAlign w:val="center"/>
          </w:tcPr>
          <w:p w:rsidR="0056297D" w:rsidRDefault="0056297D" w:rsidP="00F6596C">
            <w:pPr>
              <w:pStyle w:val="CellBody"/>
              <w:spacing w:line="240" w:lineRule="auto"/>
              <w:jc w:val="left"/>
            </w:pPr>
          </w:p>
        </w:tc>
        <w:tc>
          <w:tcPr>
            <w:tcW w:w="881" w:type="dxa"/>
            <w:tcBorders>
              <w:top w:val="nil"/>
              <w:left w:val="nil"/>
              <w:bottom w:val="nil"/>
              <w:right w:val="nil"/>
            </w:tcBorders>
            <w:vAlign w:val="center"/>
          </w:tcPr>
          <w:p w:rsidR="0056297D" w:rsidRDefault="0056297D" w:rsidP="00F6596C">
            <w:pPr>
              <w:pStyle w:val="CellBody"/>
              <w:spacing w:line="240" w:lineRule="auto"/>
              <w:jc w:val="left"/>
            </w:pPr>
          </w:p>
        </w:tc>
        <w:tc>
          <w:tcPr>
            <w:tcW w:w="1120" w:type="dxa"/>
            <w:tcBorders>
              <w:top w:val="nil"/>
              <w:left w:val="nil"/>
              <w:bottom w:val="nil"/>
              <w:right w:val="nil"/>
            </w:tcBorders>
            <w:tcMar>
              <w:top w:w="80" w:type="dxa"/>
              <w:left w:w="40" w:type="dxa"/>
              <w:bottom w:w="60" w:type="dxa"/>
              <w:right w:w="40" w:type="dxa"/>
            </w:tcMar>
            <w:vAlign w:val="center"/>
          </w:tcPr>
          <w:p w:rsidR="0056297D" w:rsidRDefault="0056297D" w:rsidP="00F6596C">
            <w:pPr>
              <w:pStyle w:val="CellBody"/>
              <w:spacing w:line="240" w:lineRule="auto"/>
              <w:jc w:val="left"/>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jc w:val="left"/>
            </w:pPr>
          </w:p>
        </w:tc>
      </w:tr>
      <w:tr w:rsidR="0056297D" w:rsidRPr="009D23E3" w:rsidTr="00FF73E2">
        <w:tblPrEx>
          <w:tblLook w:val="0000" w:firstRow="0" w:lastRow="0" w:firstColumn="0" w:lastColumn="0" w:noHBand="0" w:noVBand="0"/>
        </w:tblPrEx>
        <w:trPr>
          <w:gridAfter w:val="1"/>
          <w:wAfter w:w="59" w:type="dxa"/>
        </w:trPr>
        <w:tc>
          <w:tcPr>
            <w:tcW w:w="3380" w:type="dxa"/>
            <w:gridSpan w:val="3"/>
            <w:tcBorders>
              <w:top w:val="nil"/>
              <w:left w:val="nil"/>
              <w:bottom w:val="nil"/>
              <w:right w:val="nil"/>
            </w:tcBorders>
            <w:vAlign w:val="center"/>
          </w:tcPr>
          <w:p w:rsidR="0056297D" w:rsidRPr="009D23E3" w:rsidRDefault="0056297D" w:rsidP="00CC24F7">
            <w:pPr>
              <w:pStyle w:val="CellHeadingLeft"/>
              <w:spacing w:line="240" w:lineRule="auto"/>
              <w:rPr>
                <w:b w:val="0"/>
                <w:w w:val="100"/>
              </w:rPr>
            </w:pPr>
            <w:r w:rsidRPr="009D23E3">
              <w:rPr>
                <w:b w:val="0"/>
                <w:w w:val="100"/>
              </w:rPr>
              <w:t>Study 1</w:t>
            </w:r>
          </w:p>
        </w:tc>
        <w:tc>
          <w:tcPr>
            <w:tcW w:w="560"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1700"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881"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1120" w:type="dxa"/>
            <w:tcBorders>
              <w:top w:val="nil"/>
              <w:left w:val="nil"/>
              <w:bottom w:val="nil"/>
              <w:right w:val="nil"/>
            </w:tcBorders>
            <w:tcMar>
              <w:top w:w="80" w:type="dxa"/>
              <w:left w:w="40" w:type="dxa"/>
              <w:bottom w:w="60" w:type="dxa"/>
              <w:right w:w="40" w:type="dxa"/>
            </w:tcMar>
            <w:vAlign w:val="center"/>
          </w:tcPr>
          <w:p w:rsidR="0056297D" w:rsidRPr="009D23E3" w:rsidRDefault="0056297D" w:rsidP="00F6596C">
            <w:pPr>
              <w:pStyle w:val="CellBody"/>
              <w:spacing w:line="240" w:lineRule="auto"/>
              <w:jc w:val="left"/>
            </w:pPr>
          </w:p>
        </w:tc>
        <w:tc>
          <w:tcPr>
            <w:tcW w:w="1120" w:type="dxa"/>
            <w:tcBorders>
              <w:top w:val="nil"/>
              <w:left w:val="nil"/>
              <w:bottom w:val="nil"/>
              <w:right w:val="nil"/>
            </w:tcBorders>
            <w:tcMar>
              <w:top w:w="60" w:type="dxa"/>
              <w:left w:w="40" w:type="dxa"/>
              <w:bottom w:w="20" w:type="dxa"/>
              <w:right w:w="40" w:type="dxa"/>
            </w:tcMar>
            <w:vAlign w:val="center"/>
          </w:tcPr>
          <w:p w:rsidR="0056297D" w:rsidRPr="009D23E3" w:rsidRDefault="0056297D" w:rsidP="00F6596C">
            <w:pPr>
              <w:pStyle w:val="CellBody"/>
              <w:spacing w:line="240" w:lineRule="auto"/>
              <w:jc w:val="left"/>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PBO</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167</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23.1 ± 5.4</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114</w:t>
            </w:r>
          </w:p>
        </w:tc>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-8.0 ± 1.0</w:t>
            </w:r>
          </w:p>
        </w:tc>
        <w:tc>
          <w:tcPr>
            <w:tcW w:w="881"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NMF</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171</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23.0 ± 5.9</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85</w:t>
            </w:r>
          </w:p>
        </w:tc>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-11.6 ± 1.0</w:t>
            </w:r>
          </w:p>
        </w:tc>
        <w:tc>
          <w:tcPr>
            <w:tcW w:w="881"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-3.7</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[-5.9; -1.5]</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0.001</w:t>
            </w:r>
          </w:p>
        </w:tc>
      </w:tr>
      <w:tr w:rsidR="0056297D" w:rsidRPr="009D23E3" w:rsidTr="00FF73E2">
        <w:tblPrEx>
          <w:tblLook w:val="0000" w:firstRow="0" w:lastRow="0" w:firstColumn="0" w:lastColumn="0" w:noHBand="0" w:noVBand="0"/>
        </w:tblPrEx>
        <w:trPr>
          <w:gridAfter w:val="1"/>
          <w:wAfter w:w="59" w:type="dxa"/>
        </w:trPr>
        <w:tc>
          <w:tcPr>
            <w:tcW w:w="3380" w:type="dxa"/>
            <w:gridSpan w:val="3"/>
            <w:tcBorders>
              <w:top w:val="nil"/>
              <w:left w:val="nil"/>
              <w:bottom w:val="nil"/>
              <w:right w:val="nil"/>
            </w:tcBorders>
            <w:vAlign w:val="center"/>
          </w:tcPr>
          <w:p w:rsidR="0056297D" w:rsidRPr="009D23E3" w:rsidRDefault="0056297D" w:rsidP="00CC24F7">
            <w:pPr>
              <w:pStyle w:val="CellHeadingLeft"/>
              <w:spacing w:line="240" w:lineRule="auto"/>
              <w:rPr>
                <w:b w:val="0"/>
                <w:w w:val="100"/>
              </w:rPr>
            </w:pPr>
            <w:r w:rsidRPr="009D23E3">
              <w:rPr>
                <w:b w:val="0"/>
                <w:w w:val="100"/>
              </w:rPr>
              <w:t xml:space="preserve">Study </w:t>
            </w:r>
            <w:r w:rsidR="00CC24F7">
              <w:rPr>
                <w:b w:val="0"/>
                <w:w w:val="100"/>
              </w:rPr>
              <w:t>2</w:t>
            </w:r>
          </w:p>
        </w:tc>
        <w:tc>
          <w:tcPr>
            <w:tcW w:w="560"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1700"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881" w:type="dxa"/>
            <w:tcBorders>
              <w:top w:val="nil"/>
              <w:left w:val="nil"/>
              <w:bottom w:val="nil"/>
              <w:right w:val="nil"/>
            </w:tcBorders>
            <w:vAlign w:val="center"/>
          </w:tcPr>
          <w:p w:rsidR="0056297D" w:rsidRPr="009D23E3" w:rsidRDefault="0056297D" w:rsidP="00F6596C">
            <w:pPr>
              <w:pStyle w:val="CellBody"/>
              <w:spacing w:line="240" w:lineRule="auto"/>
              <w:jc w:val="left"/>
            </w:pPr>
          </w:p>
        </w:tc>
        <w:tc>
          <w:tcPr>
            <w:tcW w:w="1120" w:type="dxa"/>
            <w:tcBorders>
              <w:top w:val="nil"/>
              <w:left w:val="nil"/>
              <w:bottom w:val="nil"/>
              <w:right w:val="nil"/>
            </w:tcBorders>
            <w:tcMar>
              <w:top w:w="80" w:type="dxa"/>
              <w:left w:w="40" w:type="dxa"/>
              <w:bottom w:w="60" w:type="dxa"/>
              <w:right w:w="40" w:type="dxa"/>
            </w:tcMar>
            <w:vAlign w:val="center"/>
          </w:tcPr>
          <w:p w:rsidR="0056297D" w:rsidRPr="009D23E3" w:rsidRDefault="0056297D" w:rsidP="00F6596C">
            <w:pPr>
              <w:pStyle w:val="CellBody"/>
              <w:spacing w:line="240" w:lineRule="auto"/>
              <w:jc w:val="left"/>
            </w:pPr>
          </w:p>
        </w:tc>
        <w:tc>
          <w:tcPr>
            <w:tcW w:w="1120" w:type="dxa"/>
            <w:tcBorders>
              <w:top w:val="nil"/>
              <w:left w:val="nil"/>
              <w:bottom w:val="nil"/>
              <w:right w:val="nil"/>
            </w:tcBorders>
            <w:tcMar>
              <w:top w:w="60" w:type="dxa"/>
              <w:left w:w="40" w:type="dxa"/>
              <w:bottom w:w="20" w:type="dxa"/>
              <w:right w:w="40" w:type="dxa"/>
            </w:tcMar>
            <w:vAlign w:val="center"/>
          </w:tcPr>
          <w:p w:rsidR="0056297D" w:rsidRPr="009D23E3" w:rsidRDefault="0056297D" w:rsidP="00F6596C">
            <w:pPr>
              <w:pStyle w:val="CellBody"/>
              <w:spacing w:line="240" w:lineRule="auto"/>
              <w:jc w:val="left"/>
            </w:pPr>
          </w:p>
        </w:tc>
      </w:tr>
      <w:tr w:rsidR="0056297D" w:rsidTr="00FF73E2">
        <w:tblPrEx>
          <w:tblLook w:val="0000" w:firstRow="0" w:lastRow="0" w:firstColumn="0" w:lastColumn="0" w:noHBand="0" w:noVBand="0"/>
        </w:tblPrEx>
        <w:trPr>
          <w:gridAfter w:val="1"/>
          <w:wAfter w:w="59" w:type="dxa"/>
        </w:trPr>
        <w:tc>
          <w:tcPr>
            <w:tcW w:w="1700" w:type="dxa"/>
            <w:tcBorders>
              <w:top w:val="nil"/>
              <w:left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PBO</w:t>
            </w:r>
          </w:p>
        </w:tc>
        <w:tc>
          <w:tcPr>
            <w:tcW w:w="56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155</w:t>
            </w: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21.6 ± 6.4</w:t>
            </w:r>
          </w:p>
        </w:tc>
        <w:tc>
          <w:tcPr>
            <w:tcW w:w="56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111</w:t>
            </w:r>
          </w:p>
        </w:tc>
        <w:tc>
          <w:tcPr>
            <w:tcW w:w="170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-10.2 ± 0.9</w:t>
            </w:r>
          </w:p>
        </w:tc>
        <w:tc>
          <w:tcPr>
            <w:tcW w:w="881"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r>
      <w:tr w:rsidR="0056297D" w:rsidTr="00FF73E2">
        <w:tblPrEx>
          <w:tblLook w:val="0000" w:firstRow="0" w:lastRow="0" w:firstColumn="0" w:lastColumn="0" w:noHBand="0" w:noVBand="0"/>
        </w:tblPrEx>
        <w:trPr>
          <w:gridAfter w:val="1"/>
          <w:wAfter w:w="59" w:type="dxa"/>
        </w:trPr>
        <w:tc>
          <w:tcPr>
            <w:tcW w:w="1700" w:type="dxa"/>
            <w:tcBorders>
              <w:top w:val="nil"/>
              <w:left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NMF</w:t>
            </w:r>
          </w:p>
        </w:tc>
        <w:tc>
          <w:tcPr>
            <w:tcW w:w="56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148</w:t>
            </w: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22.7 ± 6.0</w:t>
            </w:r>
          </w:p>
        </w:tc>
        <w:tc>
          <w:tcPr>
            <w:tcW w:w="56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103</w:t>
            </w:r>
          </w:p>
        </w:tc>
        <w:tc>
          <w:tcPr>
            <w:tcW w:w="170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-12.9 ± 0.9</w:t>
            </w:r>
          </w:p>
        </w:tc>
        <w:tc>
          <w:tcPr>
            <w:tcW w:w="881"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-2.7</w:t>
            </w: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[-5.0 -0.3]</w:t>
            </w:r>
          </w:p>
        </w:tc>
        <w:tc>
          <w:tcPr>
            <w:tcW w:w="1120" w:type="dxa"/>
            <w:tcBorders>
              <w:top w:val="nil"/>
              <w:left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0.025</w:t>
            </w:r>
          </w:p>
        </w:tc>
      </w:tr>
      <w:tr w:rsidR="0056297D" w:rsidTr="00FF73E2">
        <w:tblPrEx>
          <w:tblLook w:val="0000" w:firstRow="0" w:lastRow="0" w:firstColumn="0" w:lastColumn="0" w:noHBand="0" w:noVBand="0"/>
        </w:tblPrEx>
        <w:trPr>
          <w:gridAfter w:val="1"/>
          <w:wAfter w:w="59" w:type="dxa"/>
        </w:trPr>
        <w:tc>
          <w:tcPr>
            <w:tcW w:w="3380" w:type="dxa"/>
            <w:gridSpan w:val="3"/>
            <w:tcBorders>
              <w:left w:val="nil"/>
              <w:bottom w:val="nil"/>
              <w:right w:val="nil"/>
            </w:tcBorders>
            <w:vAlign w:val="center"/>
          </w:tcPr>
          <w:p w:rsidR="0056297D" w:rsidRDefault="0056297D" w:rsidP="00F6596C">
            <w:pPr>
              <w:pStyle w:val="CellHeadingLeft"/>
              <w:spacing w:line="240" w:lineRule="auto"/>
            </w:pPr>
            <w:r>
              <w:rPr>
                <w:w w:val="100"/>
              </w:rPr>
              <w:t>TAC (g/day)</w:t>
            </w:r>
          </w:p>
        </w:tc>
        <w:tc>
          <w:tcPr>
            <w:tcW w:w="560" w:type="dxa"/>
            <w:tcBorders>
              <w:left w:val="nil"/>
              <w:bottom w:val="nil"/>
              <w:right w:val="nil"/>
            </w:tcBorders>
            <w:vAlign w:val="center"/>
          </w:tcPr>
          <w:p w:rsidR="0056297D" w:rsidRDefault="0056297D" w:rsidP="00F6596C">
            <w:pPr>
              <w:pStyle w:val="CellBody"/>
              <w:spacing w:line="240" w:lineRule="auto"/>
              <w:jc w:val="left"/>
            </w:pPr>
          </w:p>
        </w:tc>
        <w:tc>
          <w:tcPr>
            <w:tcW w:w="1700" w:type="dxa"/>
            <w:tcBorders>
              <w:left w:val="nil"/>
              <w:bottom w:val="nil"/>
              <w:right w:val="nil"/>
            </w:tcBorders>
            <w:vAlign w:val="center"/>
          </w:tcPr>
          <w:p w:rsidR="0056297D" w:rsidRDefault="0056297D" w:rsidP="00F6596C">
            <w:pPr>
              <w:pStyle w:val="CellBody"/>
              <w:spacing w:line="240" w:lineRule="auto"/>
              <w:jc w:val="left"/>
            </w:pPr>
          </w:p>
        </w:tc>
        <w:tc>
          <w:tcPr>
            <w:tcW w:w="881" w:type="dxa"/>
            <w:tcBorders>
              <w:left w:val="nil"/>
              <w:bottom w:val="nil"/>
              <w:right w:val="nil"/>
            </w:tcBorders>
            <w:vAlign w:val="center"/>
          </w:tcPr>
          <w:p w:rsidR="0056297D" w:rsidRDefault="0056297D" w:rsidP="00F6596C">
            <w:pPr>
              <w:pStyle w:val="CellBody"/>
              <w:spacing w:line="240" w:lineRule="auto"/>
              <w:jc w:val="left"/>
            </w:pPr>
          </w:p>
        </w:tc>
        <w:tc>
          <w:tcPr>
            <w:tcW w:w="1120" w:type="dxa"/>
            <w:tcBorders>
              <w:left w:val="nil"/>
              <w:bottom w:val="nil"/>
              <w:right w:val="nil"/>
            </w:tcBorders>
            <w:tcMar>
              <w:top w:w="80" w:type="dxa"/>
              <w:left w:w="40" w:type="dxa"/>
              <w:bottom w:w="60" w:type="dxa"/>
              <w:right w:w="40" w:type="dxa"/>
            </w:tcMar>
            <w:vAlign w:val="center"/>
          </w:tcPr>
          <w:p w:rsidR="0056297D" w:rsidRDefault="0056297D" w:rsidP="00F6596C">
            <w:pPr>
              <w:pStyle w:val="CellBody"/>
              <w:spacing w:line="240" w:lineRule="auto"/>
              <w:jc w:val="left"/>
            </w:pPr>
          </w:p>
        </w:tc>
        <w:tc>
          <w:tcPr>
            <w:tcW w:w="1120" w:type="dxa"/>
            <w:tcBorders>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jc w:val="left"/>
            </w:pPr>
          </w:p>
        </w:tc>
      </w:tr>
      <w:tr w:rsidR="0056297D" w:rsidRPr="00AA4C06" w:rsidTr="00FF73E2">
        <w:tblPrEx>
          <w:tblLook w:val="0000" w:firstRow="0" w:lastRow="0" w:firstColumn="0" w:lastColumn="0" w:noHBand="0" w:noVBand="0"/>
        </w:tblPrEx>
        <w:trPr>
          <w:gridAfter w:val="1"/>
          <w:wAfter w:w="59" w:type="dxa"/>
        </w:trPr>
        <w:tc>
          <w:tcPr>
            <w:tcW w:w="3380" w:type="dxa"/>
            <w:gridSpan w:val="3"/>
            <w:tcBorders>
              <w:top w:val="nil"/>
              <w:left w:val="nil"/>
              <w:bottom w:val="nil"/>
              <w:right w:val="nil"/>
            </w:tcBorders>
            <w:vAlign w:val="center"/>
          </w:tcPr>
          <w:p w:rsidR="0056297D" w:rsidRPr="00AA4C06" w:rsidRDefault="0056297D" w:rsidP="00CC24F7">
            <w:pPr>
              <w:pStyle w:val="CellHeadingLeft"/>
              <w:spacing w:line="240" w:lineRule="auto"/>
              <w:rPr>
                <w:b w:val="0"/>
              </w:rPr>
            </w:pPr>
            <w:r w:rsidRPr="00AA4C06">
              <w:rPr>
                <w:b w:val="0"/>
                <w:w w:val="100"/>
              </w:rPr>
              <w:t>Study 1</w:t>
            </w:r>
          </w:p>
        </w:tc>
        <w:tc>
          <w:tcPr>
            <w:tcW w:w="56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170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881"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1120" w:type="dxa"/>
            <w:tcBorders>
              <w:top w:val="nil"/>
              <w:left w:val="nil"/>
              <w:bottom w:val="nil"/>
              <w:right w:val="nil"/>
            </w:tcBorders>
            <w:tcMar>
              <w:top w:w="80" w:type="dxa"/>
              <w:left w:w="40" w:type="dxa"/>
              <w:bottom w:w="60" w:type="dxa"/>
              <w:right w:w="40" w:type="dxa"/>
            </w:tcMar>
            <w:vAlign w:val="center"/>
          </w:tcPr>
          <w:p w:rsidR="0056297D" w:rsidRPr="00AA4C06" w:rsidRDefault="0056297D" w:rsidP="00F6596C">
            <w:pPr>
              <w:pStyle w:val="CellBody"/>
              <w:spacing w:line="240" w:lineRule="auto"/>
              <w:jc w:val="left"/>
            </w:pPr>
          </w:p>
        </w:tc>
        <w:tc>
          <w:tcPr>
            <w:tcW w:w="1120" w:type="dxa"/>
            <w:tcBorders>
              <w:top w:val="nil"/>
              <w:left w:val="nil"/>
              <w:bottom w:val="nil"/>
              <w:right w:val="nil"/>
            </w:tcBorders>
            <w:tcMar>
              <w:top w:w="60" w:type="dxa"/>
              <w:left w:w="40" w:type="dxa"/>
              <w:bottom w:w="20" w:type="dxa"/>
              <w:right w:w="40" w:type="dxa"/>
            </w:tcMar>
            <w:vAlign w:val="center"/>
          </w:tcPr>
          <w:p w:rsidR="0056297D" w:rsidRPr="00AA4C06" w:rsidRDefault="0056297D" w:rsidP="00F6596C">
            <w:pPr>
              <w:pStyle w:val="CellBody"/>
              <w:spacing w:line="240" w:lineRule="auto"/>
              <w:jc w:val="left"/>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PBO</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167</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99 ± 40</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114</w:t>
            </w:r>
          </w:p>
        </w:tc>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-40.0 ±3.9</w:t>
            </w:r>
          </w:p>
        </w:tc>
        <w:tc>
          <w:tcPr>
            <w:tcW w:w="881"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NMF</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171</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102 ± 43</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85</w:t>
            </w:r>
          </w:p>
        </w:tc>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-58.3 ± 4.1</w:t>
            </w:r>
          </w:p>
        </w:tc>
        <w:tc>
          <w:tcPr>
            <w:tcW w:w="881"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-18.3</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[-26.9; -9.7]</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rStyle w:val="Symbol"/>
                <w:rFonts w:cs="Symbol"/>
                <w:w w:val="100"/>
              </w:rPr>
              <w:t></w:t>
            </w:r>
            <w:r>
              <w:rPr>
                <w:w w:val="100"/>
              </w:rPr>
              <w:t>0.001</w:t>
            </w:r>
          </w:p>
        </w:tc>
      </w:tr>
      <w:tr w:rsidR="0056297D" w:rsidRPr="00AA4C06"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vAlign w:val="center"/>
          </w:tcPr>
          <w:p w:rsidR="0056297D" w:rsidRPr="00AA4C06" w:rsidRDefault="0056297D" w:rsidP="00CC24F7">
            <w:pPr>
              <w:pStyle w:val="CellHeadingLeft"/>
              <w:spacing w:line="240" w:lineRule="auto"/>
              <w:rPr>
                <w:b w:val="0"/>
              </w:rPr>
            </w:pPr>
            <w:r w:rsidRPr="00AA4C06">
              <w:rPr>
                <w:b w:val="0"/>
                <w:w w:val="100"/>
              </w:rPr>
              <w:t xml:space="preserve">Study </w:t>
            </w:r>
            <w:r w:rsidR="00CC24F7">
              <w:rPr>
                <w:b w:val="0"/>
                <w:w w:val="100"/>
              </w:rPr>
              <w:t>2</w:t>
            </w:r>
          </w:p>
        </w:tc>
        <w:tc>
          <w:tcPr>
            <w:tcW w:w="56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112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56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1700"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881" w:type="dxa"/>
            <w:tcBorders>
              <w:top w:val="nil"/>
              <w:left w:val="nil"/>
              <w:bottom w:val="nil"/>
              <w:right w:val="nil"/>
            </w:tcBorders>
            <w:vAlign w:val="center"/>
          </w:tcPr>
          <w:p w:rsidR="0056297D" w:rsidRPr="00AA4C06" w:rsidRDefault="0056297D" w:rsidP="00F6596C">
            <w:pPr>
              <w:pStyle w:val="CellBody"/>
              <w:spacing w:line="240" w:lineRule="auto"/>
              <w:jc w:val="left"/>
            </w:pPr>
          </w:p>
        </w:tc>
        <w:tc>
          <w:tcPr>
            <w:tcW w:w="1120" w:type="dxa"/>
            <w:tcBorders>
              <w:top w:val="nil"/>
              <w:left w:val="nil"/>
              <w:bottom w:val="nil"/>
              <w:right w:val="nil"/>
            </w:tcBorders>
            <w:tcMar>
              <w:top w:w="80" w:type="dxa"/>
              <w:left w:w="40" w:type="dxa"/>
              <w:bottom w:w="60" w:type="dxa"/>
              <w:right w:w="40" w:type="dxa"/>
            </w:tcMar>
            <w:vAlign w:val="center"/>
          </w:tcPr>
          <w:p w:rsidR="0056297D" w:rsidRPr="00AA4C06" w:rsidRDefault="0056297D" w:rsidP="00F6596C">
            <w:pPr>
              <w:pStyle w:val="CellBody"/>
              <w:spacing w:line="240" w:lineRule="auto"/>
              <w:jc w:val="left"/>
            </w:pPr>
          </w:p>
        </w:tc>
        <w:tc>
          <w:tcPr>
            <w:tcW w:w="1120" w:type="dxa"/>
            <w:tcBorders>
              <w:top w:val="nil"/>
              <w:left w:val="nil"/>
              <w:bottom w:val="nil"/>
              <w:right w:val="nil"/>
            </w:tcBorders>
            <w:tcMar>
              <w:top w:w="60" w:type="dxa"/>
              <w:left w:w="40" w:type="dxa"/>
              <w:bottom w:w="20" w:type="dxa"/>
              <w:right w:w="40" w:type="dxa"/>
            </w:tcMar>
            <w:vAlign w:val="center"/>
          </w:tcPr>
          <w:p w:rsidR="0056297D" w:rsidRPr="00AA4C06" w:rsidRDefault="0056297D" w:rsidP="00F6596C">
            <w:pPr>
              <w:pStyle w:val="CellBody"/>
              <w:spacing w:line="240" w:lineRule="auto"/>
              <w:jc w:val="left"/>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PBO</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155</w:t>
            </w: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108 ± 47</w:t>
            </w:r>
          </w:p>
        </w:tc>
        <w:tc>
          <w:tcPr>
            <w:tcW w:w="56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111</w:t>
            </w:r>
          </w:p>
        </w:tc>
        <w:tc>
          <w:tcPr>
            <w:tcW w:w="170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-60.1 ± 4.0</w:t>
            </w:r>
          </w:p>
        </w:tc>
        <w:tc>
          <w:tcPr>
            <w:tcW w:w="881"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c>
          <w:tcPr>
            <w:tcW w:w="1120" w:type="dxa"/>
            <w:tcBorders>
              <w:top w:val="nil"/>
              <w:left w:val="nil"/>
              <w:bottom w:val="nil"/>
              <w:right w:val="nil"/>
            </w:tcBorders>
            <w:tcMar>
              <w:top w:w="60" w:type="dxa"/>
              <w:left w:w="40" w:type="dxa"/>
              <w:bottom w:w="20" w:type="dxa"/>
              <w:right w:w="40" w:type="dxa"/>
            </w:tcMar>
            <w:vAlign w:val="center"/>
          </w:tcPr>
          <w:p w:rsidR="0056297D" w:rsidRDefault="0056297D" w:rsidP="00F6596C">
            <w:pPr>
              <w:pStyle w:val="CellBody"/>
              <w:spacing w:line="240" w:lineRule="auto"/>
            </w:pPr>
          </w:p>
        </w:tc>
      </w:tr>
      <w:tr w:rsidR="0056297D" w:rsidTr="00FF73E2">
        <w:tblPrEx>
          <w:tblLook w:val="0000" w:firstRow="0" w:lastRow="0" w:firstColumn="0" w:lastColumn="0" w:noHBand="0" w:noVBand="0"/>
        </w:tblPrEx>
        <w:trPr>
          <w:gridAfter w:val="1"/>
          <w:wAfter w:w="59" w:type="dxa"/>
        </w:trPr>
        <w:tc>
          <w:tcPr>
            <w:tcW w:w="170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Indent2"/>
              <w:spacing w:line="240" w:lineRule="auto"/>
            </w:pPr>
            <w:r>
              <w:rPr>
                <w:w w:val="100"/>
              </w:rPr>
              <w:t>NMF</w:t>
            </w:r>
          </w:p>
        </w:tc>
        <w:tc>
          <w:tcPr>
            <w:tcW w:w="56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148</w:t>
            </w:r>
          </w:p>
        </w:tc>
        <w:tc>
          <w:tcPr>
            <w:tcW w:w="112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113 ± 48</w:t>
            </w:r>
          </w:p>
        </w:tc>
        <w:tc>
          <w:tcPr>
            <w:tcW w:w="56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103</w:t>
            </w:r>
          </w:p>
        </w:tc>
        <w:tc>
          <w:tcPr>
            <w:tcW w:w="170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-70.4 ± 4.0</w:t>
            </w:r>
          </w:p>
        </w:tc>
        <w:tc>
          <w:tcPr>
            <w:tcW w:w="881"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-10.3</w:t>
            </w:r>
          </w:p>
        </w:tc>
        <w:tc>
          <w:tcPr>
            <w:tcW w:w="112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[-20.2; -0.5]</w:t>
            </w:r>
          </w:p>
        </w:tc>
        <w:tc>
          <w:tcPr>
            <w:tcW w:w="1120" w:type="dxa"/>
            <w:tcBorders>
              <w:top w:val="nil"/>
              <w:left w:val="nil"/>
              <w:bottom w:val="single" w:sz="4" w:space="0" w:color="auto"/>
              <w:right w:val="nil"/>
            </w:tcBorders>
            <w:tcMar>
              <w:top w:w="60" w:type="dxa"/>
              <w:left w:w="40" w:type="dxa"/>
              <w:bottom w:w="20" w:type="dxa"/>
              <w:right w:w="40" w:type="dxa"/>
            </w:tcMar>
            <w:vAlign w:val="center"/>
          </w:tcPr>
          <w:p w:rsidR="0056297D" w:rsidRDefault="0056297D" w:rsidP="00F6596C">
            <w:pPr>
              <w:pStyle w:val="CellBody"/>
              <w:spacing w:line="240" w:lineRule="auto"/>
            </w:pPr>
            <w:r>
              <w:rPr>
                <w:w w:val="100"/>
              </w:rPr>
              <w:t>0.040</w:t>
            </w:r>
          </w:p>
        </w:tc>
      </w:tr>
      <w:tr w:rsidR="0056297D" w:rsidTr="00FF73E2">
        <w:tblPrEx>
          <w:tblLook w:val="0000" w:firstRow="0" w:lastRow="0" w:firstColumn="0" w:lastColumn="0" w:noHBand="0" w:noVBand="0"/>
        </w:tblPrEx>
        <w:trPr>
          <w:gridAfter w:val="1"/>
          <w:wAfter w:w="59" w:type="dxa"/>
        </w:trPr>
        <w:tc>
          <w:tcPr>
            <w:tcW w:w="8761" w:type="dxa"/>
            <w:gridSpan w:val="8"/>
            <w:tcBorders>
              <w:top w:val="single" w:sz="4" w:space="0" w:color="auto"/>
              <w:left w:val="nil"/>
              <w:bottom w:val="single" w:sz="4" w:space="0" w:color="000000"/>
              <w:right w:val="nil"/>
            </w:tcBorders>
            <w:tcMar>
              <w:top w:w="60" w:type="dxa"/>
              <w:left w:w="40" w:type="dxa"/>
              <w:bottom w:w="20" w:type="dxa"/>
              <w:right w:w="40" w:type="dxa"/>
            </w:tcMar>
          </w:tcPr>
          <w:p w:rsidR="0056297D" w:rsidRPr="00A321D8" w:rsidRDefault="0056297D" w:rsidP="00F6596C">
            <w:pPr>
              <w:pStyle w:val="CellFootingLeft"/>
              <w:rPr>
                <w:lang w:val="en-AU"/>
              </w:rPr>
            </w:pPr>
            <w:r>
              <w:rPr>
                <w:w w:val="100"/>
              </w:rPr>
              <w:t>FAS = Full Analysis Set; Baseline values are based on FAS.</w:t>
            </w:r>
          </w:p>
        </w:tc>
      </w:tr>
    </w:tbl>
    <w:p w:rsidR="0056297D" w:rsidRPr="00A5114C" w:rsidRDefault="0056297D" w:rsidP="00665EB3">
      <w:pPr>
        <w:spacing w:after="0" w:line="240" w:lineRule="auto"/>
        <w:jc w:val="both"/>
        <w:rPr>
          <w:rFonts w:ascii="Times New Roman" w:hAnsi="Times New Roman" w:cs="Times New Roman"/>
          <w:iCs/>
          <w:spacing w:val="0"/>
          <w:lang w:eastAsia="en-AU"/>
        </w:rPr>
      </w:pPr>
    </w:p>
    <w:p w:rsidR="00DF313E" w:rsidRDefault="00DF313E" w:rsidP="009E5E3D">
      <w:pPr>
        <w:spacing w:after="0" w:line="240" w:lineRule="auto"/>
        <w:jc w:val="both"/>
        <w:rPr>
          <w:rFonts w:ascii="Times New Roman" w:hAnsi="Times New Roman" w:cs="Times New Roman"/>
          <w:spacing w:val="0"/>
          <w:lang w:eastAsia="en-AU"/>
        </w:rPr>
      </w:pPr>
    </w:p>
    <w:p w:rsidR="000F2FB9" w:rsidRPr="00A5114C" w:rsidRDefault="00161846" w:rsidP="008276AF">
      <w:pPr>
        <w:pageBreakBefore/>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lastRenderedPageBreak/>
        <w:t xml:space="preserve">Responder analyses of the pooled data from the two studies are provided in Table </w:t>
      </w:r>
      <w:r w:rsidR="0056297D">
        <w:rPr>
          <w:rFonts w:ascii="Times New Roman" w:hAnsi="Times New Roman" w:cs="Times New Roman"/>
          <w:spacing w:val="0"/>
          <w:lang w:eastAsia="en-AU"/>
        </w:rPr>
        <w:t>3</w:t>
      </w:r>
      <w:r w:rsidRPr="00A5114C">
        <w:rPr>
          <w:rFonts w:ascii="Times New Roman" w:hAnsi="Times New Roman" w:cs="Times New Roman"/>
          <w:spacing w:val="0"/>
          <w:lang w:eastAsia="en-AU"/>
        </w:rPr>
        <w:t>.</w:t>
      </w:r>
    </w:p>
    <w:p w:rsidR="0042735E" w:rsidRPr="00A5114C" w:rsidRDefault="0042735E" w:rsidP="009E5E3D">
      <w:pPr>
        <w:spacing w:after="0" w:line="240" w:lineRule="auto"/>
        <w:jc w:val="both"/>
        <w:rPr>
          <w:rFonts w:ascii="Times New Roman" w:hAnsi="Times New Roman" w:cs="Times New Roman"/>
          <w:spacing w:val="0"/>
          <w:lang w:eastAsia="en-AU"/>
        </w:rPr>
      </w:pPr>
    </w:p>
    <w:p w:rsidR="00D14728" w:rsidRPr="00D14728" w:rsidRDefault="00D14728" w:rsidP="00D14728">
      <w:pPr>
        <w:pStyle w:val="Caption"/>
        <w:keepNext/>
        <w:rPr>
          <w:rFonts w:ascii="Times New Roman" w:hAnsi="Times New Roman" w:cs="Times New Roman"/>
          <w:sz w:val="22"/>
          <w:szCs w:val="22"/>
        </w:rPr>
      </w:pPr>
      <w:r w:rsidRPr="00D14728">
        <w:rPr>
          <w:rFonts w:ascii="Times New Roman" w:hAnsi="Times New Roman" w:cs="Times New Roman"/>
          <w:sz w:val="22"/>
          <w:szCs w:val="22"/>
        </w:rPr>
        <w:t xml:space="preserve">Table </w:t>
      </w:r>
      <w:r w:rsidRPr="00D14728">
        <w:rPr>
          <w:rFonts w:ascii="Times New Roman" w:hAnsi="Times New Roman" w:cs="Times New Roman"/>
          <w:sz w:val="22"/>
          <w:szCs w:val="22"/>
        </w:rPr>
        <w:fldChar w:fldCharType="begin"/>
      </w:r>
      <w:r w:rsidRPr="00D14728">
        <w:rPr>
          <w:rFonts w:ascii="Times New Roman" w:hAnsi="Times New Roman" w:cs="Times New Roman"/>
          <w:sz w:val="22"/>
          <w:szCs w:val="22"/>
        </w:rPr>
        <w:instrText xml:space="preserve"> SEQ Table \* ARABIC </w:instrText>
      </w:r>
      <w:r w:rsidRPr="00D14728">
        <w:rPr>
          <w:rFonts w:ascii="Times New Roman" w:hAnsi="Times New Roman" w:cs="Times New Roman"/>
          <w:sz w:val="22"/>
          <w:szCs w:val="22"/>
        </w:rPr>
        <w:fldChar w:fldCharType="separate"/>
      </w:r>
      <w:r w:rsidR="002B4AA9">
        <w:rPr>
          <w:rFonts w:ascii="Times New Roman" w:hAnsi="Times New Roman" w:cs="Times New Roman"/>
          <w:noProof/>
          <w:sz w:val="22"/>
          <w:szCs w:val="22"/>
        </w:rPr>
        <w:t>3</w:t>
      </w:r>
      <w:r w:rsidRPr="00D14728">
        <w:rPr>
          <w:rFonts w:ascii="Times New Roman" w:hAnsi="Times New Roman" w:cs="Times New Roman"/>
          <w:sz w:val="22"/>
          <w:szCs w:val="22"/>
        </w:rPr>
        <w:fldChar w:fldCharType="end"/>
      </w:r>
      <w:r w:rsidR="00557FD7">
        <w:rPr>
          <w:rFonts w:ascii="Times New Roman" w:hAnsi="Times New Roman" w:cs="Times New Roman"/>
          <w:sz w:val="22"/>
          <w:szCs w:val="22"/>
        </w:rPr>
        <w:t>:</w:t>
      </w:r>
      <w:r w:rsidRPr="00D14728">
        <w:rPr>
          <w:rFonts w:ascii="Times New Roman" w:hAnsi="Times New Roman" w:cs="Times New Roman"/>
          <w:sz w:val="22"/>
          <w:szCs w:val="22"/>
        </w:rPr>
        <w:t xml:space="preserve"> Pooled Responder Analysis Results in Patients with a High or Very High DRL at Screening and Randomisation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771"/>
        <w:gridCol w:w="1771"/>
        <w:gridCol w:w="1771"/>
        <w:gridCol w:w="1772"/>
      </w:tblGrid>
      <w:tr w:rsidR="00161846" w:rsidRPr="00A5114C" w:rsidTr="00704EF0">
        <w:tc>
          <w:tcPr>
            <w:tcW w:w="1562" w:type="dxa"/>
            <w:tcBorders>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Response</w:t>
            </w:r>
          </w:p>
        </w:tc>
        <w:tc>
          <w:tcPr>
            <w:tcW w:w="1771" w:type="dxa"/>
            <w:tcBorders>
              <w:left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Placebo</w:t>
            </w:r>
          </w:p>
        </w:tc>
        <w:tc>
          <w:tcPr>
            <w:tcW w:w="1771" w:type="dxa"/>
            <w:tcBorders>
              <w:left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Nalmefene</w:t>
            </w:r>
          </w:p>
        </w:tc>
        <w:tc>
          <w:tcPr>
            <w:tcW w:w="1771" w:type="dxa"/>
            <w:tcBorders>
              <w:left w:val="nil"/>
              <w:bottom w:val="single" w:sz="4" w:space="0" w:color="auto"/>
              <w:right w:val="nil"/>
            </w:tcBorders>
            <w:shd w:val="clear" w:color="auto" w:fill="auto"/>
          </w:tcPr>
          <w:p w:rsidR="00704EF0"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 xml:space="preserve">Odds Ratio </w:t>
            </w:r>
          </w:p>
          <w:p w:rsidR="00161846"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(95% CI)</w:t>
            </w:r>
          </w:p>
        </w:tc>
        <w:tc>
          <w:tcPr>
            <w:tcW w:w="1772" w:type="dxa"/>
            <w:tcBorders>
              <w:left w:val="nil"/>
              <w:bottom w:val="single" w:sz="4" w:space="0" w:color="auto"/>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r w:rsidRPr="00A5114C">
              <w:rPr>
                <w:rFonts w:ascii="Times New Roman" w:hAnsi="Times New Roman" w:cs="Times New Roman"/>
                <w:b/>
                <w:sz w:val="20"/>
                <w:szCs w:val="20"/>
              </w:rPr>
              <w:t>p-value</w:t>
            </w:r>
          </w:p>
        </w:tc>
      </w:tr>
      <w:tr w:rsidR="00161846" w:rsidRPr="00A5114C" w:rsidTr="00704EF0">
        <w:tc>
          <w:tcPr>
            <w:tcW w:w="1562" w:type="dxa"/>
            <w:tcBorders>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vertAlign w:val="superscript"/>
              </w:rPr>
            </w:pPr>
            <w:r w:rsidRPr="00A5114C">
              <w:rPr>
                <w:rFonts w:ascii="Times New Roman" w:hAnsi="Times New Roman" w:cs="Times New Roman"/>
                <w:b/>
                <w:sz w:val="20"/>
                <w:szCs w:val="20"/>
              </w:rPr>
              <w:t>MMRM</w:t>
            </w:r>
            <w:r w:rsidRPr="00A5114C">
              <w:rPr>
                <w:rFonts w:ascii="Times New Roman" w:hAnsi="Times New Roman" w:cs="Times New Roman"/>
                <w:b/>
                <w:sz w:val="20"/>
                <w:szCs w:val="20"/>
                <w:vertAlign w:val="superscript"/>
              </w:rPr>
              <w:t>a</w:t>
            </w:r>
          </w:p>
        </w:tc>
        <w:tc>
          <w:tcPr>
            <w:tcW w:w="1771" w:type="dxa"/>
            <w:tcBorders>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p>
        </w:tc>
        <w:tc>
          <w:tcPr>
            <w:tcW w:w="1771" w:type="dxa"/>
            <w:tcBorders>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p>
        </w:tc>
        <w:tc>
          <w:tcPr>
            <w:tcW w:w="1771" w:type="dxa"/>
            <w:tcBorders>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p>
        </w:tc>
        <w:tc>
          <w:tcPr>
            <w:tcW w:w="1772" w:type="dxa"/>
            <w:tcBorders>
              <w:left w:val="nil"/>
              <w:bottom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p>
        </w:tc>
      </w:tr>
      <w:tr w:rsidR="00161846" w:rsidRPr="00A5114C" w:rsidTr="00704EF0">
        <w:tc>
          <w:tcPr>
            <w:tcW w:w="1562" w:type="dxa"/>
            <w:tcBorders>
              <w:top w:val="nil"/>
              <w:left w:val="single" w:sz="4" w:space="0" w:color="auto"/>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vertAlign w:val="superscript"/>
              </w:rPr>
            </w:pPr>
            <w:r w:rsidRPr="00A5114C">
              <w:rPr>
                <w:rFonts w:ascii="Times New Roman" w:hAnsi="Times New Roman" w:cs="Times New Roman"/>
                <w:sz w:val="20"/>
                <w:szCs w:val="20"/>
              </w:rPr>
              <w:t>TAC R70</w:t>
            </w:r>
            <w:r w:rsidRPr="00A5114C">
              <w:rPr>
                <w:rFonts w:ascii="Times New Roman" w:hAnsi="Times New Roman" w:cs="Times New Roman"/>
                <w:sz w:val="20"/>
                <w:szCs w:val="20"/>
                <w:vertAlign w:val="superscript"/>
              </w:rPr>
              <w:t>b</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25.8%</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38.2%</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1.88 (1.32; 2.70)</w:t>
            </w:r>
          </w:p>
        </w:tc>
        <w:tc>
          <w:tcPr>
            <w:tcW w:w="1772" w:type="dxa"/>
            <w:tcBorders>
              <w:top w:val="nil"/>
              <w:left w:val="nil"/>
              <w:bottom w:val="nil"/>
              <w:right w:val="single" w:sz="4" w:space="0" w:color="auto"/>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&lt;0.001</w:t>
            </w:r>
          </w:p>
        </w:tc>
      </w:tr>
      <w:tr w:rsidR="00161846" w:rsidRPr="00A5114C" w:rsidTr="00704EF0">
        <w:tc>
          <w:tcPr>
            <w:tcW w:w="1562" w:type="dxa"/>
            <w:tcBorders>
              <w:top w:val="nil"/>
              <w:left w:val="single" w:sz="4" w:space="0" w:color="auto"/>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vertAlign w:val="superscript"/>
              </w:rPr>
            </w:pPr>
            <w:r w:rsidRPr="00A5114C">
              <w:rPr>
                <w:rFonts w:ascii="Times New Roman" w:hAnsi="Times New Roman" w:cs="Times New Roman"/>
                <w:sz w:val="20"/>
                <w:szCs w:val="20"/>
              </w:rPr>
              <w:t>0-4 HDD</w:t>
            </w:r>
            <w:r w:rsidRPr="00A5114C">
              <w:rPr>
                <w:rFonts w:ascii="Times New Roman" w:hAnsi="Times New Roman" w:cs="Times New Roman"/>
                <w:sz w:val="20"/>
                <w:szCs w:val="20"/>
                <w:vertAlign w:val="superscript"/>
              </w:rPr>
              <w:t>c</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20.5%</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30.4%</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1.91 (1.30; 2.83)</w:t>
            </w:r>
          </w:p>
        </w:tc>
        <w:tc>
          <w:tcPr>
            <w:tcW w:w="1772" w:type="dxa"/>
            <w:tcBorders>
              <w:top w:val="nil"/>
              <w:left w:val="nil"/>
              <w:bottom w:val="nil"/>
              <w:right w:val="single" w:sz="4" w:space="0" w:color="auto"/>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0.001</w:t>
            </w:r>
          </w:p>
        </w:tc>
      </w:tr>
      <w:tr w:rsidR="00161846" w:rsidRPr="00A5114C" w:rsidTr="00704EF0">
        <w:tc>
          <w:tcPr>
            <w:tcW w:w="1562" w:type="dxa"/>
            <w:tcBorders>
              <w:top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vertAlign w:val="superscript"/>
              </w:rPr>
            </w:pPr>
            <w:r w:rsidRPr="00A5114C">
              <w:rPr>
                <w:rFonts w:ascii="Times New Roman" w:hAnsi="Times New Roman" w:cs="Times New Roman"/>
                <w:b/>
                <w:sz w:val="20"/>
                <w:szCs w:val="20"/>
              </w:rPr>
              <w:t>NR</w:t>
            </w:r>
            <w:r w:rsidRPr="00A5114C">
              <w:rPr>
                <w:rFonts w:ascii="Times New Roman" w:hAnsi="Times New Roman" w:cs="Times New Roman"/>
                <w:b/>
                <w:sz w:val="20"/>
                <w:szCs w:val="20"/>
                <w:vertAlign w:val="superscript"/>
              </w:rPr>
              <w:t>d</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p>
        </w:tc>
        <w:tc>
          <w:tcPr>
            <w:tcW w:w="1772" w:type="dxa"/>
            <w:tcBorders>
              <w:top w:val="nil"/>
              <w:left w:val="nil"/>
              <w:bottom w:val="nil"/>
            </w:tcBorders>
            <w:shd w:val="clear" w:color="auto" w:fill="auto"/>
          </w:tcPr>
          <w:p w:rsidR="00161846" w:rsidRPr="00A5114C" w:rsidRDefault="00161846" w:rsidP="00704EF0">
            <w:pPr>
              <w:spacing w:after="0" w:line="240" w:lineRule="auto"/>
              <w:jc w:val="both"/>
              <w:rPr>
                <w:rFonts w:ascii="Times New Roman" w:hAnsi="Times New Roman" w:cs="Times New Roman"/>
                <w:b/>
                <w:sz w:val="20"/>
                <w:szCs w:val="20"/>
              </w:rPr>
            </w:pPr>
          </w:p>
        </w:tc>
      </w:tr>
      <w:tr w:rsidR="00161846" w:rsidRPr="00A5114C" w:rsidTr="00BA4A6F">
        <w:tc>
          <w:tcPr>
            <w:tcW w:w="1562" w:type="dxa"/>
            <w:tcBorders>
              <w:top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TAC R70</w:t>
            </w:r>
            <w:r w:rsidRPr="00A5114C">
              <w:rPr>
                <w:rFonts w:ascii="Times New Roman" w:hAnsi="Times New Roman" w:cs="Times New Roman"/>
                <w:sz w:val="20"/>
                <w:szCs w:val="20"/>
                <w:vertAlign w:val="superscript"/>
              </w:rPr>
              <w:t>b</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19.9%</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25.4%</w:t>
            </w:r>
          </w:p>
        </w:tc>
        <w:tc>
          <w:tcPr>
            <w:tcW w:w="1771" w:type="dxa"/>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1.44 (0.97; 2.13)</w:t>
            </w:r>
          </w:p>
        </w:tc>
        <w:tc>
          <w:tcPr>
            <w:tcW w:w="1772" w:type="dxa"/>
            <w:tcBorders>
              <w:top w:val="nil"/>
              <w:left w:val="nil"/>
              <w:bottom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0.067</w:t>
            </w:r>
          </w:p>
        </w:tc>
      </w:tr>
      <w:tr w:rsidR="00161846" w:rsidRPr="00A5114C" w:rsidTr="00BA4A6F">
        <w:tc>
          <w:tcPr>
            <w:tcW w:w="1562" w:type="dxa"/>
            <w:tcBorders>
              <w:top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0-4 HDD</w:t>
            </w:r>
            <w:r w:rsidRPr="00A5114C">
              <w:rPr>
                <w:rFonts w:ascii="Times New Roman" w:hAnsi="Times New Roman" w:cs="Times New Roman"/>
                <w:sz w:val="20"/>
                <w:szCs w:val="20"/>
                <w:vertAlign w:val="superscript"/>
              </w:rPr>
              <w:t>c</w:t>
            </w:r>
          </w:p>
        </w:tc>
        <w:tc>
          <w:tcPr>
            <w:tcW w:w="1771" w:type="dxa"/>
            <w:tcBorders>
              <w:top w:val="nil"/>
              <w:left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16.8%</w:t>
            </w:r>
          </w:p>
        </w:tc>
        <w:tc>
          <w:tcPr>
            <w:tcW w:w="1771" w:type="dxa"/>
            <w:tcBorders>
              <w:top w:val="nil"/>
              <w:left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22.3%</w:t>
            </w:r>
          </w:p>
        </w:tc>
        <w:tc>
          <w:tcPr>
            <w:tcW w:w="1771" w:type="dxa"/>
            <w:tcBorders>
              <w:top w:val="nil"/>
              <w:left w:val="nil"/>
              <w:bottom w:val="single" w:sz="4" w:space="0" w:color="auto"/>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1.54 (1.02; 2.35)</w:t>
            </w:r>
          </w:p>
        </w:tc>
        <w:tc>
          <w:tcPr>
            <w:tcW w:w="1772" w:type="dxa"/>
            <w:tcBorders>
              <w:top w:val="nil"/>
              <w:left w:val="nil"/>
              <w:bottom w:val="single" w:sz="4" w:space="0" w:color="auto"/>
            </w:tcBorders>
            <w:shd w:val="clear" w:color="auto" w:fill="auto"/>
          </w:tcPr>
          <w:p w:rsidR="00161846" w:rsidRPr="00A5114C" w:rsidRDefault="00161846" w:rsidP="00704EF0">
            <w:pPr>
              <w:spacing w:after="0" w:line="240" w:lineRule="auto"/>
              <w:jc w:val="both"/>
              <w:rPr>
                <w:rFonts w:ascii="Times New Roman" w:hAnsi="Times New Roman" w:cs="Times New Roman"/>
                <w:sz w:val="20"/>
                <w:szCs w:val="20"/>
              </w:rPr>
            </w:pPr>
            <w:r w:rsidRPr="00A5114C">
              <w:rPr>
                <w:rFonts w:ascii="Times New Roman" w:hAnsi="Times New Roman" w:cs="Times New Roman"/>
                <w:sz w:val="20"/>
                <w:szCs w:val="20"/>
              </w:rPr>
              <w:t>0.040</w:t>
            </w:r>
          </w:p>
        </w:tc>
      </w:tr>
      <w:tr w:rsidR="00161846" w:rsidRPr="00A5114C" w:rsidTr="00BA4A6F">
        <w:tc>
          <w:tcPr>
            <w:tcW w:w="8647" w:type="dxa"/>
            <w:gridSpan w:val="5"/>
            <w:tcBorders>
              <w:top w:val="single" w:sz="4" w:space="0" w:color="auto"/>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18"/>
                <w:szCs w:val="18"/>
              </w:rPr>
            </w:pPr>
            <w:r w:rsidRPr="00A5114C">
              <w:rPr>
                <w:rFonts w:ascii="Times New Roman" w:hAnsi="Times New Roman" w:cs="Times New Roman"/>
                <w:sz w:val="18"/>
                <w:szCs w:val="18"/>
              </w:rPr>
              <w:t>a  Analysis uses patient-predicted TAC or HDD values derived from the MMRM model in the primary analysis for patients who withdrew</w:t>
            </w:r>
          </w:p>
        </w:tc>
      </w:tr>
      <w:tr w:rsidR="00161846" w:rsidRPr="00A5114C" w:rsidTr="00704EF0">
        <w:tc>
          <w:tcPr>
            <w:tcW w:w="8647" w:type="dxa"/>
            <w:gridSpan w:val="5"/>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18"/>
                <w:szCs w:val="18"/>
              </w:rPr>
            </w:pPr>
            <w:r w:rsidRPr="00A5114C">
              <w:rPr>
                <w:rFonts w:ascii="Times New Roman" w:hAnsi="Times New Roman" w:cs="Times New Roman"/>
                <w:sz w:val="18"/>
                <w:szCs w:val="18"/>
              </w:rPr>
              <w:t>b  ≥70% reduction from baseline in TAC at Month 6 (28-day period)</w:t>
            </w:r>
          </w:p>
        </w:tc>
      </w:tr>
      <w:tr w:rsidR="00161846" w:rsidRPr="00A5114C" w:rsidTr="00704EF0">
        <w:tc>
          <w:tcPr>
            <w:tcW w:w="8647" w:type="dxa"/>
            <w:gridSpan w:val="5"/>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18"/>
                <w:szCs w:val="18"/>
              </w:rPr>
            </w:pPr>
            <w:r w:rsidRPr="00A5114C">
              <w:rPr>
                <w:rFonts w:ascii="Times New Roman" w:hAnsi="Times New Roman" w:cs="Times New Roman"/>
                <w:sz w:val="18"/>
                <w:szCs w:val="18"/>
              </w:rPr>
              <w:t>c  0 to 4 HDDs/month at Month 6 (28-day period)</w:t>
            </w:r>
          </w:p>
        </w:tc>
      </w:tr>
      <w:tr w:rsidR="00161846" w:rsidRPr="00A5114C" w:rsidTr="00704EF0">
        <w:tc>
          <w:tcPr>
            <w:tcW w:w="8647" w:type="dxa"/>
            <w:gridSpan w:val="5"/>
            <w:tcBorders>
              <w:top w:val="nil"/>
              <w:left w:val="nil"/>
              <w:bottom w:val="nil"/>
              <w:right w:val="nil"/>
            </w:tcBorders>
            <w:shd w:val="clear" w:color="auto" w:fill="auto"/>
          </w:tcPr>
          <w:p w:rsidR="00161846" w:rsidRPr="00A5114C" w:rsidRDefault="00161846" w:rsidP="00704EF0">
            <w:pPr>
              <w:spacing w:after="0" w:line="240" w:lineRule="auto"/>
              <w:jc w:val="both"/>
              <w:rPr>
                <w:rFonts w:ascii="Times New Roman" w:hAnsi="Times New Roman" w:cs="Times New Roman"/>
                <w:sz w:val="18"/>
                <w:szCs w:val="18"/>
              </w:rPr>
            </w:pPr>
            <w:r w:rsidRPr="00A5114C">
              <w:rPr>
                <w:rFonts w:ascii="Times New Roman" w:hAnsi="Times New Roman" w:cs="Times New Roman"/>
                <w:sz w:val="18"/>
                <w:szCs w:val="18"/>
              </w:rPr>
              <w:t>d Analysis treats patients who withdrew as non-responder</w:t>
            </w:r>
          </w:p>
        </w:tc>
      </w:tr>
    </w:tbl>
    <w:p w:rsidR="00D14728" w:rsidRDefault="00D14728" w:rsidP="009E5E3D">
      <w:pPr>
        <w:spacing w:after="0" w:line="240" w:lineRule="auto"/>
        <w:jc w:val="both"/>
        <w:rPr>
          <w:rFonts w:ascii="Times New Roman" w:hAnsi="Times New Roman" w:cs="Times New Roman"/>
          <w:iCs/>
          <w:spacing w:val="0"/>
          <w:lang w:eastAsia="en-AU"/>
        </w:rPr>
      </w:pPr>
    </w:p>
    <w:p w:rsidR="0035607B" w:rsidRDefault="00A2665E" w:rsidP="009E5E3D">
      <w:pPr>
        <w:spacing w:after="0" w:line="240" w:lineRule="auto"/>
        <w:jc w:val="both"/>
        <w:rPr>
          <w:rFonts w:ascii="Times New Roman" w:hAnsi="Times New Roman" w:cs="Times New Roman"/>
          <w:spacing w:val="0"/>
          <w:lang w:eastAsia="en-AU"/>
        </w:rPr>
      </w:pPr>
      <w:r w:rsidRPr="00A2665E">
        <w:rPr>
          <w:rFonts w:ascii="Times New Roman" w:hAnsi="Times New Roman" w:cs="Times New Roman"/>
          <w:spacing w:val="0"/>
          <w:lang w:eastAsia="en-AU"/>
        </w:rPr>
        <w:t xml:space="preserve">There </w:t>
      </w:r>
      <w:r w:rsidR="00D158B2">
        <w:rPr>
          <w:rFonts w:ascii="Times New Roman" w:hAnsi="Times New Roman" w:cs="Times New Roman"/>
          <w:spacing w:val="0"/>
          <w:lang w:eastAsia="en-AU"/>
        </w:rPr>
        <w:t>are</w:t>
      </w:r>
      <w:r w:rsidRPr="00A2665E">
        <w:rPr>
          <w:rFonts w:ascii="Times New Roman" w:hAnsi="Times New Roman" w:cs="Times New Roman"/>
          <w:spacing w:val="0"/>
          <w:lang w:eastAsia="en-AU"/>
        </w:rPr>
        <w:t xml:space="preserve"> limited efficacy data available beyond 6 months</w:t>
      </w:r>
      <w:r w:rsidR="007209A0">
        <w:rPr>
          <w:rFonts w:ascii="Times New Roman" w:hAnsi="Times New Roman" w:cs="Times New Roman"/>
          <w:spacing w:val="0"/>
          <w:lang w:eastAsia="en-AU"/>
        </w:rPr>
        <w:t>.</w:t>
      </w:r>
    </w:p>
    <w:p w:rsidR="00954899" w:rsidRPr="00A5114C" w:rsidRDefault="0058001B" w:rsidP="0058001B">
      <w:pPr>
        <w:pStyle w:val="Heading2"/>
        <w:jc w:val="both"/>
        <w:rPr>
          <w:rFonts w:ascii="Times New Roman" w:hAnsi="Times New Roman" w:cs="Times New Roman"/>
        </w:rPr>
      </w:pPr>
      <w:r w:rsidRPr="00A5114C">
        <w:rPr>
          <w:rFonts w:ascii="Times New Roman" w:hAnsi="Times New Roman" w:cs="Times New Roman"/>
        </w:rPr>
        <w:t>INDICATIONS</w:t>
      </w:r>
    </w:p>
    <w:p w:rsidR="007578AF" w:rsidRPr="00A062CA" w:rsidRDefault="007578AF" w:rsidP="004F1D79">
      <w:pPr>
        <w:spacing w:after="0" w:line="240" w:lineRule="auto"/>
        <w:jc w:val="both"/>
        <w:rPr>
          <w:rFonts w:ascii="Times New Roman" w:hAnsi="Times New Roman" w:cs="Times New Roman"/>
          <w:iCs/>
          <w:lang w:eastAsia="en-AU"/>
        </w:rPr>
      </w:pPr>
      <w:r w:rsidRPr="004F1D79">
        <w:rPr>
          <w:rFonts w:ascii="Times New Roman" w:hAnsi="Times New Roman" w:cs="Times New Roman"/>
          <w:iCs/>
          <w:lang w:eastAsia="en-AU"/>
        </w:rPr>
        <w:t xml:space="preserve">SELINCRO is indicated for the reduction of alcohol consumption in adult patients with alcohol </w:t>
      </w:r>
      <w:r w:rsidR="00B669F3">
        <w:rPr>
          <w:rFonts w:ascii="Times New Roman" w:hAnsi="Times New Roman" w:cs="Times New Roman"/>
          <w:iCs/>
          <w:lang w:eastAsia="en-AU"/>
        </w:rPr>
        <w:t xml:space="preserve">use disorder </w:t>
      </w:r>
      <w:r w:rsidRPr="004F1D79">
        <w:rPr>
          <w:rFonts w:ascii="Times New Roman" w:hAnsi="Times New Roman" w:cs="Times New Roman"/>
          <w:iCs/>
          <w:lang w:eastAsia="en-AU"/>
        </w:rPr>
        <w:t xml:space="preserve">who </w:t>
      </w:r>
      <w:r w:rsidRPr="004F1D79">
        <w:rPr>
          <w:rFonts w:ascii="Times New Roman" w:hAnsi="Times New Roman" w:cs="Times New Roman"/>
          <w:bCs/>
          <w:iCs/>
          <w:lang w:eastAsia="en-AU"/>
        </w:rPr>
        <w:t xml:space="preserve">have </w:t>
      </w:r>
      <w:r w:rsidRPr="004F1D79">
        <w:rPr>
          <w:rFonts w:ascii="Times New Roman" w:hAnsi="Times New Roman" w:cs="Times New Roman"/>
          <w:iCs/>
          <w:lang w:eastAsia="en-AU"/>
        </w:rPr>
        <w:t>a</w:t>
      </w:r>
      <w:r w:rsidR="007B4D45">
        <w:rPr>
          <w:rFonts w:ascii="Times New Roman" w:hAnsi="Times New Roman" w:cs="Times New Roman"/>
          <w:iCs/>
          <w:lang w:eastAsia="en-AU"/>
        </w:rPr>
        <w:t>n average daily consumption of alcohol of more than 60 g for m</w:t>
      </w:r>
      <w:r w:rsidR="00A062CA">
        <w:rPr>
          <w:rFonts w:ascii="Times New Roman" w:hAnsi="Times New Roman" w:cs="Times New Roman"/>
          <w:iCs/>
          <w:lang w:eastAsia="en-AU"/>
        </w:rPr>
        <w:t>e</w:t>
      </w:r>
      <w:r w:rsidR="007B4D45">
        <w:rPr>
          <w:rFonts w:ascii="Times New Roman" w:hAnsi="Times New Roman" w:cs="Times New Roman"/>
          <w:iCs/>
          <w:lang w:eastAsia="en-AU"/>
        </w:rPr>
        <w:t xml:space="preserve">n and more </w:t>
      </w:r>
      <w:r w:rsidR="003C58A8">
        <w:rPr>
          <w:rFonts w:ascii="Times New Roman" w:hAnsi="Times New Roman" w:cs="Times New Roman"/>
          <w:iCs/>
          <w:lang w:eastAsia="en-AU"/>
        </w:rPr>
        <w:t>than 40 g for women.</w:t>
      </w:r>
    </w:p>
    <w:p w:rsidR="000014AB" w:rsidRDefault="000014AB" w:rsidP="00BC7D22">
      <w:pPr>
        <w:pStyle w:val="Body"/>
        <w:spacing w:after="240"/>
        <w:jc w:val="both"/>
        <w:rPr>
          <w:lang w:val="en-AU"/>
        </w:rPr>
      </w:pPr>
      <w:r w:rsidRPr="00A062CA">
        <w:rPr>
          <w:lang w:val="en-AU"/>
        </w:rPr>
        <w:t xml:space="preserve">SELINCRO should be prescribed only if the patient has failed to </w:t>
      </w:r>
      <w:r w:rsidR="00CC24F7">
        <w:rPr>
          <w:lang w:val="en-AU"/>
        </w:rPr>
        <w:t>achieve</w:t>
      </w:r>
      <w:r w:rsidRPr="00A062CA">
        <w:rPr>
          <w:lang w:val="en-AU"/>
        </w:rPr>
        <w:t xml:space="preserve"> an adequate response following psychosocial </w:t>
      </w:r>
      <w:r w:rsidR="00986EF7" w:rsidRPr="00A062CA">
        <w:rPr>
          <w:lang w:val="en-AU"/>
        </w:rPr>
        <w:t>intervention</w:t>
      </w:r>
      <w:r w:rsidRPr="00A062CA">
        <w:rPr>
          <w:lang w:val="en-AU"/>
        </w:rPr>
        <w:t xml:space="preserve"> for at least 2 weeks.</w:t>
      </w:r>
    </w:p>
    <w:p w:rsidR="007578AF" w:rsidRPr="007578AF" w:rsidRDefault="007578AF" w:rsidP="00BC7D22">
      <w:pPr>
        <w:pStyle w:val="Body"/>
        <w:spacing w:before="0" w:after="240"/>
        <w:jc w:val="both"/>
      </w:pPr>
      <w:r w:rsidRPr="007578AF">
        <w:rPr>
          <w:iCs/>
          <w:lang w:val="en-AU" w:eastAsia="en-AU"/>
        </w:rPr>
        <w:t xml:space="preserve">SELINCRO should be prescribed in conjunction with </w:t>
      </w:r>
      <w:r w:rsidR="003C58A8">
        <w:rPr>
          <w:iCs/>
          <w:lang w:val="en-AU" w:eastAsia="en-AU"/>
        </w:rPr>
        <w:t xml:space="preserve">continuing </w:t>
      </w:r>
      <w:r w:rsidRPr="007578AF">
        <w:rPr>
          <w:iCs/>
          <w:lang w:val="en-AU" w:eastAsia="en-AU"/>
        </w:rPr>
        <w:t xml:space="preserve">psychosocial support focused on treatment adherence and reducing alcohol consumption. </w:t>
      </w:r>
      <w:r w:rsidR="00A61590">
        <w:rPr>
          <w:iCs/>
          <w:lang w:val="en-AU" w:eastAsia="en-AU"/>
        </w:rPr>
        <w:t xml:space="preserve"> </w:t>
      </w:r>
      <w:r w:rsidR="003C58A8">
        <w:rPr>
          <w:iCs/>
          <w:lang w:val="en-AU" w:eastAsia="en-AU"/>
        </w:rPr>
        <w:t>SELINCRO is not suitable for</w:t>
      </w:r>
      <w:r w:rsidRPr="007578AF">
        <w:rPr>
          <w:bCs/>
          <w:iCs/>
          <w:lang w:val="en-AU" w:eastAsia="en-AU"/>
        </w:rPr>
        <w:t xml:space="preserve"> patients </w:t>
      </w:r>
      <w:r w:rsidR="003C58A8">
        <w:rPr>
          <w:bCs/>
          <w:iCs/>
          <w:lang w:val="en-AU" w:eastAsia="en-AU"/>
        </w:rPr>
        <w:t>with</w:t>
      </w:r>
      <w:r w:rsidRPr="007578AF">
        <w:rPr>
          <w:bCs/>
          <w:iCs/>
          <w:lang w:val="en-AU" w:eastAsia="en-AU"/>
        </w:rPr>
        <w:t xml:space="preserve"> physical withdrawal syndrome </w:t>
      </w:r>
      <w:r w:rsidR="003C58A8">
        <w:rPr>
          <w:bCs/>
          <w:iCs/>
          <w:lang w:val="en-AU" w:eastAsia="en-AU"/>
        </w:rPr>
        <w:t>or who</w:t>
      </w:r>
      <w:r w:rsidRPr="007578AF">
        <w:rPr>
          <w:bCs/>
          <w:iCs/>
          <w:lang w:val="en-AU" w:eastAsia="en-AU"/>
        </w:rPr>
        <w:t xml:space="preserve"> require immediate detoxification.</w:t>
      </w:r>
    </w:p>
    <w:p w:rsidR="0095276B" w:rsidRPr="00BC7D22" w:rsidRDefault="0095276B" w:rsidP="007209A0">
      <w:pPr>
        <w:pStyle w:val="Heading2"/>
        <w:jc w:val="both"/>
        <w:rPr>
          <w:rFonts w:ascii="Times New Roman" w:hAnsi="Times New Roman" w:cs="Times New Roman"/>
        </w:rPr>
      </w:pPr>
      <w:r w:rsidRPr="00BC7D22">
        <w:rPr>
          <w:rFonts w:ascii="Times New Roman" w:hAnsi="Times New Roman" w:cs="Times New Roman"/>
        </w:rPr>
        <w:t>CONTRAINDICATIONS</w:t>
      </w:r>
    </w:p>
    <w:p w:rsidR="00C41DDF" w:rsidRPr="00A5114C" w:rsidRDefault="00C41DDF" w:rsidP="00BC7D22">
      <w:pPr>
        <w:spacing w:after="24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Hypersensitivity to the active substance or to any of the excipients listed in </w:t>
      </w:r>
      <w:r w:rsidR="00954899" w:rsidRPr="00A5114C">
        <w:rPr>
          <w:rFonts w:ascii="Times New Roman" w:hAnsi="Times New Roman" w:cs="Times New Roman"/>
          <w:spacing w:val="0"/>
          <w:lang w:eastAsia="en-AU"/>
        </w:rPr>
        <w:t>DESCRIPTION</w:t>
      </w:r>
      <w:r w:rsidR="00D01C2F" w:rsidRPr="00A5114C">
        <w:rPr>
          <w:rFonts w:ascii="Times New Roman" w:hAnsi="Times New Roman" w:cs="Times New Roman"/>
          <w:spacing w:val="0"/>
          <w:lang w:eastAsia="en-AU"/>
        </w:rPr>
        <w:t xml:space="preserve"> -Excipients</w:t>
      </w:r>
      <w:r w:rsidRPr="00A5114C">
        <w:rPr>
          <w:rFonts w:ascii="Times New Roman" w:hAnsi="Times New Roman" w:cs="Times New Roman"/>
          <w:spacing w:val="0"/>
          <w:lang w:eastAsia="en-AU"/>
        </w:rPr>
        <w:t>.</w:t>
      </w:r>
    </w:p>
    <w:p w:rsidR="00C41DDF" w:rsidRPr="00081C77" w:rsidRDefault="00C41DDF" w:rsidP="00BC7D22">
      <w:pPr>
        <w:spacing w:after="240" w:line="240" w:lineRule="auto"/>
        <w:jc w:val="both"/>
        <w:rPr>
          <w:rFonts w:ascii="Times New Roman" w:hAnsi="Times New Roman" w:cs="Times New Roman"/>
          <w:spacing w:val="0"/>
          <w:lang w:eastAsia="en-AU"/>
        </w:rPr>
      </w:pPr>
      <w:proofErr w:type="gramStart"/>
      <w:r w:rsidRPr="00081C77">
        <w:rPr>
          <w:rFonts w:ascii="Times New Roman" w:hAnsi="Times New Roman" w:cs="Times New Roman"/>
          <w:spacing w:val="0"/>
          <w:lang w:eastAsia="en-AU"/>
        </w:rPr>
        <w:t>Patients taking opioid</w:t>
      </w:r>
      <w:r w:rsidR="00081C77" w:rsidRPr="00081C77">
        <w:t xml:space="preserve"> </w:t>
      </w:r>
      <w:r w:rsidR="00081C77" w:rsidRPr="00081C77">
        <w:rPr>
          <w:rFonts w:ascii="Times New Roman" w:hAnsi="Times New Roman" w:cs="Times New Roman"/>
          <w:spacing w:val="0"/>
          <w:lang w:eastAsia="en-AU"/>
        </w:rPr>
        <w:t>agonists (such as opioid analgesics, opioids for substitution therapy with opioid agonists (e.g. methadone) or partial agonists (e.g. buprenorphine))</w:t>
      </w:r>
      <w:r w:rsidRPr="00081C77">
        <w:rPr>
          <w:rFonts w:ascii="Times New Roman" w:hAnsi="Times New Roman" w:cs="Times New Roman"/>
          <w:spacing w:val="0"/>
          <w:lang w:eastAsia="en-AU"/>
        </w:rPr>
        <w:t>.</w:t>
      </w:r>
      <w:proofErr w:type="gramEnd"/>
    </w:p>
    <w:p w:rsidR="00C41DDF" w:rsidRPr="00081C77" w:rsidRDefault="00C41DDF" w:rsidP="00BC7D22">
      <w:pPr>
        <w:spacing w:after="240" w:line="240" w:lineRule="auto"/>
        <w:jc w:val="both"/>
        <w:rPr>
          <w:rFonts w:ascii="Times New Roman" w:hAnsi="Times New Roman" w:cs="Times New Roman"/>
          <w:spacing w:val="0"/>
          <w:lang w:eastAsia="en-AU"/>
        </w:rPr>
      </w:pPr>
      <w:proofErr w:type="gramStart"/>
      <w:r w:rsidRPr="00081C77">
        <w:rPr>
          <w:rFonts w:ascii="Times New Roman" w:hAnsi="Times New Roman" w:cs="Times New Roman"/>
          <w:spacing w:val="0"/>
          <w:lang w:eastAsia="en-AU"/>
        </w:rPr>
        <w:t>Patients with current opioid</w:t>
      </w:r>
      <w:r w:rsidR="00DB3E71">
        <w:rPr>
          <w:rFonts w:ascii="Times New Roman" w:hAnsi="Times New Roman" w:cs="Times New Roman"/>
          <w:spacing w:val="0"/>
          <w:lang w:eastAsia="en-AU"/>
        </w:rPr>
        <w:t xml:space="preserve"> </w:t>
      </w:r>
      <w:r w:rsidR="00081C77">
        <w:rPr>
          <w:rFonts w:ascii="Times New Roman" w:hAnsi="Times New Roman" w:cs="Times New Roman"/>
          <w:spacing w:val="0"/>
          <w:lang w:eastAsia="en-AU"/>
        </w:rPr>
        <w:t>dependence or opioid abuse due to the risk of precipitating an acute opioid withdrawal syndrome</w:t>
      </w:r>
      <w:r w:rsidRPr="00081C77">
        <w:rPr>
          <w:rFonts w:ascii="Times New Roman" w:hAnsi="Times New Roman" w:cs="Times New Roman"/>
          <w:spacing w:val="0"/>
          <w:lang w:eastAsia="en-AU"/>
        </w:rPr>
        <w:t>.</w:t>
      </w:r>
      <w:proofErr w:type="gramEnd"/>
    </w:p>
    <w:p w:rsidR="00C41DDF" w:rsidRPr="00081C77" w:rsidRDefault="00C41DDF" w:rsidP="00BC7D22">
      <w:pPr>
        <w:spacing w:after="240" w:line="240" w:lineRule="auto"/>
        <w:jc w:val="both"/>
        <w:rPr>
          <w:rFonts w:ascii="Times New Roman" w:hAnsi="Times New Roman" w:cs="Times New Roman"/>
          <w:spacing w:val="0"/>
          <w:lang w:eastAsia="en-AU"/>
        </w:rPr>
      </w:pPr>
      <w:proofErr w:type="gramStart"/>
      <w:r w:rsidRPr="00EF06D9">
        <w:rPr>
          <w:rFonts w:ascii="Times New Roman" w:hAnsi="Times New Roman" w:cs="Times New Roman"/>
          <w:spacing w:val="0"/>
          <w:lang w:eastAsia="en-AU"/>
        </w:rPr>
        <w:t>Patients with acute opioid withdrawal</w:t>
      </w:r>
      <w:r w:rsidR="00081C77">
        <w:rPr>
          <w:rFonts w:ascii="Times New Roman" w:hAnsi="Times New Roman" w:cs="Times New Roman"/>
          <w:spacing w:val="0"/>
          <w:lang w:eastAsia="en-AU"/>
        </w:rPr>
        <w:t xml:space="preserve"> syndrome</w:t>
      </w:r>
      <w:r w:rsidRPr="00081C77">
        <w:rPr>
          <w:rFonts w:ascii="Times New Roman" w:hAnsi="Times New Roman" w:cs="Times New Roman"/>
          <w:spacing w:val="0"/>
          <w:lang w:eastAsia="en-AU"/>
        </w:rPr>
        <w:t>.</w:t>
      </w:r>
      <w:proofErr w:type="gramEnd"/>
    </w:p>
    <w:p w:rsidR="00C41DDF" w:rsidRPr="00A5114C" w:rsidRDefault="00C41DDF" w:rsidP="00BC7D22">
      <w:pPr>
        <w:spacing w:after="240" w:line="240" w:lineRule="auto"/>
        <w:jc w:val="both"/>
        <w:rPr>
          <w:rFonts w:ascii="Times New Roman" w:hAnsi="Times New Roman" w:cs="Times New Roman"/>
          <w:spacing w:val="0"/>
          <w:lang w:eastAsia="en-AU"/>
        </w:rPr>
      </w:pPr>
      <w:proofErr w:type="gramStart"/>
      <w:r w:rsidRPr="00A5114C">
        <w:rPr>
          <w:rFonts w:ascii="Times New Roman" w:hAnsi="Times New Roman" w:cs="Times New Roman"/>
          <w:spacing w:val="0"/>
          <w:lang w:eastAsia="en-AU"/>
        </w:rPr>
        <w:lastRenderedPageBreak/>
        <w:t>Patients with severe hepatic impairment (Child-Pugh classification).</w:t>
      </w:r>
      <w:proofErr w:type="gramEnd"/>
    </w:p>
    <w:p w:rsidR="00C41DDF" w:rsidRDefault="00C41DDF" w:rsidP="00BC7D22">
      <w:pPr>
        <w:spacing w:after="240" w:line="240" w:lineRule="auto"/>
        <w:jc w:val="both"/>
        <w:rPr>
          <w:rFonts w:ascii="Times New Roman" w:hAnsi="Times New Roman" w:cs="Times New Roman"/>
          <w:spacing w:val="0"/>
          <w:lang w:eastAsia="en-AU"/>
        </w:rPr>
      </w:pPr>
      <w:proofErr w:type="gramStart"/>
      <w:r w:rsidRPr="00A5114C">
        <w:rPr>
          <w:rFonts w:ascii="Times New Roman" w:hAnsi="Times New Roman" w:cs="Times New Roman"/>
          <w:spacing w:val="0"/>
          <w:lang w:eastAsia="en-AU"/>
        </w:rPr>
        <w:t>Patients with severe renal impairment (eGFR &lt;30 ml/min per 1.73 m</w:t>
      </w:r>
      <w:r w:rsidRPr="00A5114C">
        <w:rPr>
          <w:rFonts w:ascii="Times New Roman" w:hAnsi="Times New Roman" w:cs="Times New Roman"/>
          <w:spacing w:val="0"/>
          <w:vertAlign w:val="superscript"/>
          <w:lang w:eastAsia="en-AU"/>
        </w:rPr>
        <w:t>2</w:t>
      </w:r>
      <w:r w:rsidRPr="00A5114C">
        <w:rPr>
          <w:rFonts w:ascii="Times New Roman" w:hAnsi="Times New Roman" w:cs="Times New Roman"/>
          <w:spacing w:val="0"/>
          <w:lang w:eastAsia="en-AU"/>
        </w:rPr>
        <w:t>).</w:t>
      </w:r>
      <w:proofErr w:type="gramEnd"/>
    </w:p>
    <w:p w:rsidR="00C41DDF" w:rsidRDefault="00C41DDF" w:rsidP="00BC7D22">
      <w:pPr>
        <w:spacing w:after="240" w:line="240" w:lineRule="auto"/>
        <w:jc w:val="both"/>
        <w:rPr>
          <w:rFonts w:ascii="Times New Roman" w:hAnsi="Times New Roman" w:cs="Times New Roman"/>
          <w:spacing w:val="0"/>
          <w:lang w:eastAsia="en-AU"/>
        </w:rPr>
      </w:pPr>
      <w:proofErr w:type="gramStart"/>
      <w:r w:rsidRPr="00A5114C">
        <w:rPr>
          <w:rFonts w:ascii="Times New Roman" w:hAnsi="Times New Roman" w:cs="Times New Roman"/>
          <w:spacing w:val="0"/>
          <w:lang w:eastAsia="en-AU"/>
        </w:rPr>
        <w:t>Patients with a recent history of acute alcohol withdrawal syndrome (including hallucinations,</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seizures, and delirium tremens).</w:t>
      </w:r>
      <w:proofErr w:type="gramEnd"/>
    </w:p>
    <w:p w:rsidR="0095276B" w:rsidRPr="00A5114C" w:rsidRDefault="0095276B" w:rsidP="009E5E3D">
      <w:pPr>
        <w:pStyle w:val="Heading2"/>
        <w:jc w:val="both"/>
        <w:rPr>
          <w:rFonts w:ascii="Times New Roman" w:hAnsi="Times New Roman" w:cs="Times New Roman"/>
        </w:rPr>
      </w:pPr>
      <w:r w:rsidRPr="00A5114C">
        <w:rPr>
          <w:rFonts w:ascii="Times New Roman" w:hAnsi="Times New Roman" w:cs="Times New Roman"/>
        </w:rPr>
        <w:t>PRECAUTIONS</w:t>
      </w:r>
    </w:p>
    <w:p w:rsidR="00F43CF5" w:rsidRDefault="00F43CF5" w:rsidP="009E5E3D">
      <w:pPr>
        <w:spacing w:after="0" w:line="240" w:lineRule="auto"/>
        <w:jc w:val="both"/>
        <w:rPr>
          <w:rFonts w:ascii="Times New Roman" w:hAnsi="Times New Roman" w:cs="Times New Roman"/>
          <w:spacing w:val="0"/>
          <w:lang w:eastAsia="en-AU"/>
        </w:rPr>
      </w:pPr>
      <w:r>
        <w:rPr>
          <w:rFonts w:ascii="Times New Roman" w:hAnsi="Times New Roman" w:cs="Times New Roman"/>
          <w:spacing w:val="0"/>
          <w:lang w:eastAsia="en-AU"/>
        </w:rPr>
        <w:t xml:space="preserve">SELINCRO has not been shown to be effective in patients who </w:t>
      </w:r>
      <w:r w:rsidR="00986EF7">
        <w:rPr>
          <w:rFonts w:ascii="Times New Roman" w:hAnsi="Times New Roman" w:cs="Times New Roman"/>
          <w:spacing w:val="0"/>
          <w:lang w:eastAsia="en-AU"/>
        </w:rPr>
        <w:t xml:space="preserve">are not provided with </w:t>
      </w:r>
      <w:r>
        <w:rPr>
          <w:rFonts w:ascii="Times New Roman" w:hAnsi="Times New Roman" w:cs="Times New Roman"/>
          <w:spacing w:val="0"/>
          <w:lang w:eastAsia="en-AU"/>
        </w:rPr>
        <w:t xml:space="preserve">psychosocial </w:t>
      </w:r>
      <w:r w:rsidR="00986EF7">
        <w:rPr>
          <w:rFonts w:ascii="Times New Roman" w:hAnsi="Times New Roman" w:cs="Times New Roman"/>
          <w:spacing w:val="0"/>
          <w:lang w:eastAsia="en-AU"/>
        </w:rPr>
        <w:t>intervention</w:t>
      </w:r>
      <w:r>
        <w:rPr>
          <w:rFonts w:ascii="Times New Roman" w:hAnsi="Times New Roman" w:cs="Times New Roman"/>
          <w:spacing w:val="0"/>
          <w:lang w:eastAsia="en-AU"/>
        </w:rPr>
        <w:t xml:space="preserve">. </w:t>
      </w:r>
      <w:r w:rsidR="00A062CA">
        <w:rPr>
          <w:rFonts w:ascii="Times New Roman" w:hAnsi="Times New Roman" w:cs="Times New Roman"/>
          <w:spacing w:val="0"/>
          <w:lang w:eastAsia="en-AU"/>
        </w:rPr>
        <w:t xml:space="preserve"> </w:t>
      </w:r>
      <w:r>
        <w:rPr>
          <w:rFonts w:ascii="Times New Roman" w:hAnsi="Times New Roman" w:cs="Times New Roman"/>
          <w:spacing w:val="0"/>
          <w:lang w:eastAsia="en-AU"/>
        </w:rPr>
        <w:t>SELINCRO should be prescribed only to those patients who continue to consume more than 60 g alc</w:t>
      </w:r>
      <w:r w:rsidR="00DF313E">
        <w:rPr>
          <w:rFonts w:ascii="Times New Roman" w:hAnsi="Times New Roman" w:cs="Times New Roman"/>
          <w:spacing w:val="0"/>
          <w:lang w:eastAsia="en-AU"/>
        </w:rPr>
        <w:t>o</w:t>
      </w:r>
      <w:r>
        <w:rPr>
          <w:rFonts w:ascii="Times New Roman" w:hAnsi="Times New Roman" w:cs="Times New Roman"/>
          <w:spacing w:val="0"/>
          <w:lang w:eastAsia="en-AU"/>
        </w:rPr>
        <w:t xml:space="preserve">hol daily (men) or 40 g daily (women). </w:t>
      </w:r>
      <w:r w:rsidR="00A062CA">
        <w:rPr>
          <w:rFonts w:ascii="Times New Roman" w:hAnsi="Times New Roman" w:cs="Times New Roman"/>
          <w:spacing w:val="0"/>
          <w:lang w:eastAsia="en-AU"/>
        </w:rPr>
        <w:t xml:space="preserve"> </w:t>
      </w:r>
      <w:r>
        <w:rPr>
          <w:rFonts w:ascii="Times New Roman" w:hAnsi="Times New Roman" w:cs="Times New Roman"/>
          <w:spacing w:val="0"/>
          <w:lang w:eastAsia="en-AU"/>
        </w:rPr>
        <w:t xml:space="preserve">Treatment with SELINCRO should be reviewed on an ongoing basis (e.g. monthly). After no more than 24 weeks of treatment patients </w:t>
      </w:r>
      <w:r w:rsidR="00986EF7">
        <w:rPr>
          <w:rFonts w:ascii="Times New Roman" w:hAnsi="Times New Roman" w:cs="Times New Roman"/>
          <w:spacing w:val="0"/>
          <w:lang w:eastAsia="en-AU"/>
        </w:rPr>
        <w:t>s</w:t>
      </w:r>
      <w:r>
        <w:rPr>
          <w:rFonts w:ascii="Times New Roman" w:hAnsi="Times New Roman" w:cs="Times New Roman"/>
          <w:spacing w:val="0"/>
          <w:lang w:eastAsia="en-AU"/>
        </w:rPr>
        <w:t xml:space="preserve">hould be reassessed to determine if continuing treatment with SELINCRO is required. </w:t>
      </w:r>
      <w:r w:rsidR="00A062CA">
        <w:rPr>
          <w:rFonts w:ascii="Times New Roman" w:hAnsi="Times New Roman" w:cs="Times New Roman"/>
          <w:spacing w:val="0"/>
          <w:lang w:eastAsia="en-AU"/>
        </w:rPr>
        <w:t xml:space="preserve"> </w:t>
      </w:r>
      <w:r>
        <w:rPr>
          <w:rFonts w:ascii="Times New Roman" w:hAnsi="Times New Roman" w:cs="Times New Roman"/>
          <w:spacing w:val="0"/>
          <w:lang w:eastAsia="en-AU"/>
        </w:rPr>
        <w:t xml:space="preserve">There is limited </w:t>
      </w:r>
      <w:r w:rsidR="002531BF">
        <w:rPr>
          <w:rFonts w:ascii="Times New Roman" w:hAnsi="Times New Roman" w:cs="Times New Roman"/>
          <w:spacing w:val="0"/>
          <w:lang w:eastAsia="en-AU"/>
        </w:rPr>
        <w:t xml:space="preserve">long </w:t>
      </w:r>
      <w:r>
        <w:rPr>
          <w:rFonts w:ascii="Times New Roman" w:hAnsi="Times New Roman" w:cs="Times New Roman"/>
          <w:spacing w:val="0"/>
          <w:lang w:eastAsia="en-AU"/>
        </w:rPr>
        <w:t>term</w:t>
      </w:r>
      <w:r w:rsidR="002531BF">
        <w:rPr>
          <w:rFonts w:ascii="Times New Roman" w:hAnsi="Times New Roman" w:cs="Times New Roman"/>
          <w:spacing w:val="0"/>
          <w:lang w:eastAsia="en-AU"/>
        </w:rPr>
        <w:t xml:space="preserve"> data</w:t>
      </w:r>
      <w:r>
        <w:rPr>
          <w:rFonts w:ascii="Times New Roman" w:hAnsi="Times New Roman" w:cs="Times New Roman"/>
          <w:spacing w:val="0"/>
          <w:lang w:eastAsia="en-AU"/>
        </w:rPr>
        <w:t xml:space="preserve"> </w:t>
      </w:r>
      <w:r w:rsidR="002531BF">
        <w:rPr>
          <w:rFonts w:ascii="Times New Roman" w:hAnsi="Times New Roman" w:cs="Times New Roman"/>
          <w:spacing w:val="0"/>
          <w:lang w:eastAsia="en-AU"/>
        </w:rPr>
        <w:t xml:space="preserve">available </w:t>
      </w:r>
      <w:r>
        <w:rPr>
          <w:rFonts w:ascii="Times New Roman" w:hAnsi="Times New Roman" w:cs="Times New Roman"/>
          <w:spacing w:val="0"/>
          <w:lang w:eastAsia="en-AU"/>
        </w:rPr>
        <w:t>and caution is advised if SELINCRO is prescribed for more than 24 weeks.</w:t>
      </w:r>
      <w:r w:rsidR="00D158B2">
        <w:rPr>
          <w:rFonts w:ascii="Times New Roman" w:hAnsi="Times New Roman" w:cs="Times New Roman"/>
          <w:spacing w:val="0"/>
          <w:lang w:eastAsia="en-AU"/>
        </w:rPr>
        <w:t xml:space="preserve"> </w:t>
      </w:r>
      <w:r w:rsidR="00A61590">
        <w:rPr>
          <w:rFonts w:ascii="Times New Roman" w:hAnsi="Times New Roman" w:cs="Times New Roman"/>
          <w:spacing w:val="0"/>
          <w:lang w:eastAsia="en-AU"/>
        </w:rPr>
        <w:t xml:space="preserve"> </w:t>
      </w:r>
      <w:r w:rsidR="00D158B2">
        <w:rPr>
          <w:rFonts w:ascii="Times New Roman" w:hAnsi="Times New Roman" w:cs="Times New Roman"/>
          <w:spacing w:val="0"/>
          <w:lang w:eastAsia="en-AU"/>
        </w:rPr>
        <w:t>Patients who do not show an adequate response should be offered treatment alternatives as part of an overall treatment care plan.</w:t>
      </w:r>
    </w:p>
    <w:p w:rsidR="00702BD7" w:rsidRPr="00A5114C" w:rsidRDefault="00D01C2F" w:rsidP="00BC7D22">
      <w:pPr>
        <w:spacing w:before="240"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is not for patients for whom the treatment goal is immediate abstinence.</w:t>
      </w:r>
      <w:r w:rsidR="00C77130" w:rsidRPr="00A5114C">
        <w:rPr>
          <w:rFonts w:ascii="Times New Roman" w:hAnsi="Times New Roman" w:cs="Times New Roman"/>
          <w:spacing w:val="0"/>
          <w:lang w:eastAsia="en-AU"/>
        </w:rPr>
        <w:t xml:space="preserve"> </w:t>
      </w:r>
    </w:p>
    <w:p w:rsidR="00654BCF" w:rsidRPr="00A5114C" w:rsidRDefault="0058001B" w:rsidP="0058001B">
      <w:pPr>
        <w:pStyle w:val="Heading3"/>
        <w:jc w:val="both"/>
        <w:rPr>
          <w:rFonts w:ascii="Times New Roman" w:hAnsi="Times New Roman" w:cs="Times New Roman"/>
          <w:lang w:eastAsia="en-AU"/>
        </w:rPr>
      </w:pPr>
      <w:r w:rsidRPr="00A5114C">
        <w:rPr>
          <w:rFonts w:ascii="Times New Roman" w:hAnsi="Times New Roman" w:cs="Times New Roman"/>
          <w:lang w:eastAsia="en-AU"/>
        </w:rPr>
        <w:t>Opioid administration</w:t>
      </w:r>
    </w:p>
    <w:p w:rsidR="00702BD7"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In an emergency situation when opioids must be administered to a patient taking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the amount</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of opioid required to obtain the desired effect may be greater than usual. </w:t>
      </w:r>
      <w:r w:rsidR="00907766"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 patient should be closely</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monitored for symptoms of respiratory depression as a result of the opioid administration and for other</w:t>
      </w:r>
      <w:r w:rsidR="00702BD7" w:rsidRPr="00A5114C">
        <w:rPr>
          <w:rFonts w:ascii="Times New Roman" w:hAnsi="Times New Roman" w:cs="Times New Roman"/>
          <w:spacing w:val="0"/>
          <w:lang w:eastAsia="en-AU"/>
        </w:rPr>
        <w:t xml:space="preserve"> </w:t>
      </w:r>
      <w:r w:rsidR="00662362" w:rsidRPr="00A5114C">
        <w:rPr>
          <w:rFonts w:ascii="Times New Roman" w:hAnsi="Times New Roman" w:cs="Times New Roman"/>
          <w:spacing w:val="0"/>
          <w:lang w:eastAsia="en-AU"/>
        </w:rPr>
        <w:t>adverse reactions.</w:t>
      </w:r>
    </w:p>
    <w:p w:rsidR="00AF67CC" w:rsidRPr="00A5114C" w:rsidRDefault="00AF67CC" w:rsidP="009E5E3D">
      <w:pPr>
        <w:spacing w:after="0" w:line="240" w:lineRule="auto"/>
        <w:jc w:val="both"/>
        <w:rPr>
          <w:rFonts w:ascii="Times New Roman" w:hAnsi="Times New Roman" w:cs="Times New Roman"/>
          <w:spacing w:val="0"/>
          <w:lang w:eastAsia="en-AU"/>
        </w:rPr>
      </w:pPr>
    </w:p>
    <w:p w:rsidR="00702BD7"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If opioids are needed in an emergency, the dose must always be titrated individually.</w:t>
      </w:r>
      <w:r w:rsidR="00907766"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 If unusually large</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doses are required, </w:t>
      </w:r>
      <w:r w:rsidR="00662362" w:rsidRPr="00A5114C">
        <w:rPr>
          <w:rFonts w:ascii="Times New Roman" w:hAnsi="Times New Roman" w:cs="Times New Roman"/>
          <w:spacing w:val="0"/>
          <w:lang w:eastAsia="en-AU"/>
        </w:rPr>
        <w:t>close observation is necessary.</w:t>
      </w:r>
    </w:p>
    <w:p w:rsidR="00AF67CC" w:rsidRPr="00A5114C" w:rsidRDefault="00AF67CC" w:rsidP="009E5E3D">
      <w:pPr>
        <w:spacing w:after="0" w:line="240" w:lineRule="auto"/>
        <w:jc w:val="both"/>
        <w:rPr>
          <w:rFonts w:ascii="Times New Roman" w:hAnsi="Times New Roman" w:cs="Times New Roman"/>
          <w:spacing w:val="0"/>
          <w:lang w:eastAsia="en-AU"/>
        </w:rPr>
      </w:pPr>
    </w:p>
    <w:p w:rsidR="00702BD7" w:rsidRPr="00A5114C" w:rsidRDefault="00D01C2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should be temporarily discontinued for 1 week prior to the anticipated use of opioids, for</w:t>
      </w:r>
      <w:r w:rsidR="00702BD7"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example, if opioid analgesics might b</w:t>
      </w:r>
      <w:r w:rsidR="00662362" w:rsidRPr="00A5114C">
        <w:rPr>
          <w:rFonts w:ascii="Times New Roman" w:hAnsi="Times New Roman" w:cs="Times New Roman"/>
          <w:spacing w:val="0"/>
          <w:lang w:eastAsia="en-AU"/>
        </w:rPr>
        <w:t>e used during elective surgery.</w:t>
      </w:r>
    </w:p>
    <w:p w:rsidR="00AF67CC" w:rsidRPr="00A5114C" w:rsidRDefault="00AF67CC" w:rsidP="009E5E3D">
      <w:pPr>
        <w:spacing w:after="0" w:line="240" w:lineRule="auto"/>
        <w:jc w:val="both"/>
        <w:rPr>
          <w:rFonts w:ascii="Times New Roman" w:hAnsi="Times New Roman" w:cs="Times New Roman"/>
          <w:spacing w:val="0"/>
          <w:lang w:eastAsia="en-AU"/>
        </w:rPr>
      </w:pPr>
    </w:p>
    <w:p w:rsidR="00702BD7"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 prescriber should advise patients that it is important to inform their health care professional of last</w:t>
      </w:r>
      <w:r w:rsidR="00702BD7" w:rsidRPr="00A5114C">
        <w:rPr>
          <w:rFonts w:ascii="Times New Roman" w:hAnsi="Times New Roman" w:cs="Times New Roman"/>
          <w:spacing w:val="0"/>
          <w:lang w:eastAsia="en-AU"/>
        </w:rPr>
        <w:t xml:space="preserv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intake i</w:t>
      </w:r>
      <w:r w:rsidR="00662362" w:rsidRPr="00A5114C">
        <w:rPr>
          <w:rFonts w:ascii="Times New Roman" w:hAnsi="Times New Roman" w:cs="Times New Roman"/>
          <w:spacing w:val="0"/>
          <w:lang w:eastAsia="en-AU"/>
        </w:rPr>
        <w:t>f opioid use becomes necessary.</w:t>
      </w:r>
    </w:p>
    <w:p w:rsidR="00AF67CC" w:rsidRPr="00A5114C" w:rsidRDefault="00AF67CC" w:rsidP="009E5E3D">
      <w:pPr>
        <w:spacing w:after="0" w:line="240" w:lineRule="auto"/>
        <w:jc w:val="both"/>
        <w:rPr>
          <w:rFonts w:ascii="Times New Roman" w:hAnsi="Times New Roman" w:cs="Times New Roman"/>
          <w:spacing w:val="0"/>
          <w:lang w:eastAsia="en-AU"/>
        </w:rPr>
      </w:pPr>
    </w:p>
    <w:p w:rsidR="00C41DDF"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Caution should be exercised when using medicinal products containing opioids (for example, cough</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medicines, opio</w:t>
      </w:r>
      <w:r w:rsidR="00907766" w:rsidRPr="00A5114C">
        <w:rPr>
          <w:rFonts w:ascii="Times New Roman" w:hAnsi="Times New Roman" w:cs="Times New Roman"/>
          <w:spacing w:val="0"/>
          <w:lang w:eastAsia="en-AU"/>
        </w:rPr>
        <w:t xml:space="preserve">id analgesics [see </w:t>
      </w:r>
      <w:r w:rsidR="009D2B38" w:rsidRPr="00A5114C">
        <w:rPr>
          <w:rFonts w:ascii="Times New Roman" w:hAnsi="Times New Roman" w:cs="Times New Roman"/>
          <w:spacing w:val="0"/>
          <w:lang w:eastAsia="en-AU"/>
        </w:rPr>
        <w:t>INTERACTIONS WITH OTHER MEDICINES</w:t>
      </w:r>
      <w:r w:rsidR="00907766" w:rsidRPr="00A5114C">
        <w:rPr>
          <w:rFonts w:ascii="Times New Roman" w:hAnsi="Times New Roman" w:cs="Times New Roman"/>
          <w:spacing w:val="0"/>
          <w:lang w:eastAsia="en-AU"/>
        </w:rPr>
        <w:t>])</w:t>
      </w:r>
      <w:r w:rsidRPr="00A5114C">
        <w:rPr>
          <w:rFonts w:ascii="Times New Roman" w:hAnsi="Times New Roman" w:cs="Times New Roman"/>
          <w:spacing w:val="0"/>
          <w:lang w:eastAsia="en-AU"/>
        </w:rPr>
        <w:t>.</w:t>
      </w:r>
    </w:p>
    <w:p w:rsidR="00C41DDF" w:rsidRPr="00A5114C" w:rsidRDefault="00C41DDF" w:rsidP="008276AF">
      <w:pPr>
        <w:pStyle w:val="Heading3"/>
        <w:pageBreakBefore/>
        <w:jc w:val="both"/>
        <w:rPr>
          <w:rFonts w:ascii="Times New Roman" w:hAnsi="Times New Roman" w:cs="Times New Roman"/>
          <w:lang w:eastAsia="en-AU"/>
        </w:rPr>
      </w:pPr>
      <w:r w:rsidRPr="00A5114C">
        <w:rPr>
          <w:rFonts w:ascii="Times New Roman" w:hAnsi="Times New Roman" w:cs="Times New Roman"/>
          <w:lang w:eastAsia="en-AU"/>
        </w:rPr>
        <w:lastRenderedPageBreak/>
        <w:t>Comorbidity</w:t>
      </w:r>
    </w:p>
    <w:p w:rsidR="00C41DDF" w:rsidRPr="00A5114C" w:rsidRDefault="00C41DDF"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Psychiatric disorders</w:t>
      </w:r>
    </w:p>
    <w:p w:rsidR="00C41DDF" w:rsidRPr="00A5114C" w:rsidRDefault="00C41DDF"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Psychiatric effects were reported in clinical studies (see </w:t>
      </w:r>
      <w:r w:rsidR="00907766" w:rsidRPr="00A5114C">
        <w:rPr>
          <w:rFonts w:ascii="Times New Roman" w:hAnsi="Times New Roman" w:cs="Times New Roman"/>
          <w:spacing w:val="0"/>
          <w:lang w:eastAsia="en-AU"/>
        </w:rPr>
        <w:t xml:space="preserve">ADVERSE </w:t>
      </w:r>
      <w:r w:rsidR="003D52B4" w:rsidRPr="00A5114C">
        <w:rPr>
          <w:rFonts w:ascii="Times New Roman" w:hAnsi="Times New Roman" w:cs="Times New Roman"/>
          <w:spacing w:val="0"/>
          <w:lang w:eastAsia="en-AU"/>
        </w:rPr>
        <w:t>EFFECTS</w:t>
      </w:r>
      <w:r w:rsidR="008F10D6" w:rsidRPr="00A5114C">
        <w:rPr>
          <w:rFonts w:ascii="Times New Roman" w:hAnsi="Times New Roman" w:cs="Times New Roman"/>
          <w:spacing w:val="0"/>
          <w:lang w:eastAsia="en-AU"/>
        </w:rPr>
        <w:t xml:space="preserve">). </w:t>
      </w:r>
      <w:r w:rsidR="00245CAE"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If patients develop psychiatric</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symptoms that are not associated with treatment initiation </w:t>
      </w:r>
      <w:r w:rsidR="00577FC9" w:rsidRPr="00A5114C">
        <w:rPr>
          <w:rFonts w:ascii="Times New Roman" w:hAnsi="Times New Roman" w:cs="Times New Roman"/>
          <w:spacing w:val="0"/>
          <w:lang w:eastAsia="en-AU"/>
        </w:rPr>
        <w:t xml:space="preserve">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and/or that are not transient,</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 prescriber should consider alternative causes of the symptoms and assess the need for continuing</w:t>
      </w:r>
      <w:r w:rsidR="00702BD7"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treatment with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w:t>
      </w:r>
    </w:p>
    <w:p w:rsidR="00AF67CC" w:rsidRPr="00A5114C" w:rsidRDefault="00AF67CC" w:rsidP="00D44BE3">
      <w:pPr>
        <w:spacing w:after="0" w:line="240" w:lineRule="auto"/>
        <w:jc w:val="both"/>
        <w:rPr>
          <w:rFonts w:ascii="Times New Roman" w:hAnsi="Times New Roman" w:cs="Times New Roman"/>
          <w:spacing w:val="0"/>
          <w:lang w:eastAsia="en-AU"/>
        </w:rPr>
      </w:pPr>
    </w:p>
    <w:p w:rsidR="00C41DDF" w:rsidRPr="00A5114C" w:rsidRDefault="00D01C2F"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has not been investigated in patients with unstable psychiatric disease. </w:t>
      </w:r>
      <w:r w:rsidR="00907766"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Caution should be</w:t>
      </w:r>
      <w:r w:rsidR="00702BD7"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 xml:space="preserve">exercised if </w:t>
      </w: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is prescribed to patients with current psychiatric comorbidity.</w:t>
      </w:r>
    </w:p>
    <w:p w:rsidR="00662362" w:rsidRPr="00A5114C" w:rsidRDefault="00662362" w:rsidP="009E5E3D">
      <w:pPr>
        <w:spacing w:after="0" w:line="240" w:lineRule="auto"/>
        <w:jc w:val="both"/>
        <w:rPr>
          <w:rFonts w:ascii="Times New Roman" w:hAnsi="Times New Roman" w:cs="Times New Roman"/>
          <w:i/>
          <w:iCs/>
          <w:spacing w:val="0"/>
          <w:lang w:eastAsia="en-AU"/>
        </w:rPr>
      </w:pPr>
    </w:p>
    <w:p w:rsidR="00C41DDF" w:rsidRPr="00A5114C" w:rsidRDefault="00C41DDF" w:rsidP="009E5E3D">
      <w:pPr>
        <w:pStyle w:val="Heading4"/>
        <w:jc w:val="both"/>
        <w:rPr>
          <w:rFonts w:ascii="Times New Roman" w:hAnsi="Times New Roman" w:cs="Times New Roman"/>
          <w:lang w:eastAsia="en-AU"/>
        </w:rPr>
      </w:pPr>
      <w:r w:rsidRPr="00A5114C">
        <w:rPr>
          <w:rFonts w:ascii="Times New Roman" w:hAnsi="Times New Roman" w:cs="Times New Roman"/>
          <w:lang w:eastAsia="en-AU"/>
        </w:rPr>
        <w:t>Seizure disorders</w:t>
      </w:r>
    </w:p>
    <w:p w:rsidR="00AF67C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There is limited experience in patients with a history of seizure disorders, including alcohol</w:t>
      </w:r>
      <w:r w:rsidR="00662362" w:rsidRPr="00A5114C">
        <w:rPr>
          <w:rFonts w:ascii="Times New Roman" w:hAnsi="Times New Roman" w:cs="Times New Roman"/>
          <w:spacing w:val="0"/>
          <w:lang w:eastAsia="en-AU"/>
        </w:rPr>
        <w:t xml:space="preserve"> </w:t>
      </w:r>
      <w:r w:rsidR="0058001B" w:rsidRPr="00A5114C">
        <w:rPr>
          <w:rFonts w:ascii="Times New Roman" w:hAnsi="Times New Roman" w:cs="Times New Roman"/>
          <w:spacing w:val="0"/>
          <w:lang w:eastAsia="en-AU"/>
        </w:rPr>
        <w:t>withdrawal seizures.</w:t>
      </w:r>
    </w:p>
    <w:p w:rsidR="008637F1" w:rsidRPr="00A5114C" w:rsidRDefault="008637F1" w:rsidP="009E5E3D">
      <w:pPr>
        <w:spacing w:after="0" w:line="240" w:lineRule="auto"/>
        <w:jc w:val="both"/>
        <w:rPr>
          <w:rFonts w:ascii="Times New Roman" w:hAnsi="Times New Roman" w:cs="Times New Roman"/>
          <w:spacing w:val="0"/>
          <w:lang w:eastAsia="en-AU"/>
        </w:rPr>
      </w:pPr>
    </w:p>
    <w:p w:rsidR="00C41DDF"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Caution is advised if treatment aimed at reduction of alcohol consumption is started in such patients.</w:t>
      </w:r>
    </w:p>
    <w:p w:rsidR="00A062CA" w:rsidRPr="00A5114C" w:rsidRDefault="00A062CA" w:rsidP="009E5E3D">
      <w:pPr>
        <w:spacing w:after="0" w:line="240" w:lineRule="auto"/>
        <w:jc w:val="both"/>
        <w:rPr>
          <w:rFonts w:ascii="Times New Roman" w:hAnsi="Times New Roman" w:cs="Times New Roman"/>
          <w:spacing w:val="0"/>
          <w:lang w:eastAsia="en-AU"/>
        </w:rPr>
      </w:pPr>
    </w:p>
    <w:p w:rsidR="008D1E8A" w:rsidRPr="00A5114C" w:rsidRDefault="0058001B" w:rsidP="0058001B">
      <w:pPr>
        <w:pStyle w:val="Heading4"/>
        <w:jc w:val="both"/>
        <w:rPr>
          <w:rFonts w:ascii="Times New Roman" w:hAnsi="Times New Roman" w:cs="Times New Roman"/>
          <w:lang w:eastAsia="en-AU"/>
        </w:rPr>
      </w:pPr>
      <w:r w:rsidRPr="00A5114C">
        <w:rPr>
          <w:rFonts w:ascii="Times New Roman" w:hAnsi="Times New Roman" w:cs="Times New Roman"/>
          <w:lang w:eastAsia="en-AU"/>
        </w:rPr>
        <w:t>Renal or hepatic impairment</w:t>
      </w:r>
    </w:p>
    <w:p w:rsidR="008D1E8A" w:rsidRPr="00A5114C" w:rsidRDefault="00D01C2F" w:rsidP="0058001B">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is extensively metabolised by the liver and excreted predominantly in the urine. </w:t>
      </w:r>
      <w:r w:rsidR="00907766"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Therefore,</w:t>
      </w:r>
      <w:r w:rsidR="00662362"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 xml:space="preserve">caution should be exercised when prescribing </w:t>
      </w: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to patients with mild or moderate hepatic or</w:t>
      </w:r>
      <w:r w:rsidR="00662362" w:rsidRPr="00A5114C">
        <w:rPr>
          <w:rFonts w:ascii="Times New Roman" w:hAnsi="Times New Roman" w:cs="Times New Roman"/>
          <w:spacing w:val="0"/>
          <w:lang w:eastAsia="en-AU"/>
        </w:rPr>
        <w:t xml:space="preserve"> </w:t>
      </w:r>
      <w:r w:rsidR="00C41DDF" w:rsidRPr="00A5114C">
        <w:rPr>
          <w:rFonts w:ascii="Times New Roman" w:hAnsi="Times New Roman" w:cs="Times New Roman"/>
          <w:spacing w:val="0"/>
          <w:lang w:eastAsia="en-AU"/>
        </w:rPr>
        <w:t>mild or moderate renal impairment, for exampl</w:t>
      </w:r>
      <w:r w:rsidR="0058001B" w:rsidRPr="00A5114C">
        <w:rPr>
          <w:rFonts w:ascii="Times New Roman" w:hAnsi="Times New Roman" w:cs="Times New Roman"/>
          <w:spacing w:val="0"/>
          <w:lang w:eastAsia="en-AU"/>
        </w:rPr>
        <w:t>e, by more frequent monitoring.</w:t>
      </w:r>
    </w:p>
    <w:p w:rsidR="00380F7A" w:rsidRPr="00A5114C" w:rsidRDefault="00380F7A" w:rsidP="008D1E8A">
      <w:pPr>
        <w:spacing w:after="0" w:line="240" w:lineRule="auto"/>
        <w:rPr>
          <w:rFonts w:ascii="Times New Roman" w:hAnsi="Times New Roman" w:cs="Times New Roman"/>
          <w:spacing w:val="0"/>
          <w:lang w:eastAsia="en-AU"/>
        </w:rPr>
      </w:pPr>
    </w:p>
    <w:p w:rsidR="00C41DDF"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Caution should be exercised when prescribing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to patients with elevated ALAT or</w:t>
      </w:r>
      <w:r w:rsidR="00662362"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ASAT (&gt;3 times ULN) as these patients were excluded from the clinical development programme.</w:t>
      </w:r>
    </w:p>
    <w:p w:rsidR="00C41DDF" w:rsidRPr="00A5114C" w:rsidRDefault="00C41DDF" w:rsidP="009E5E3D">
      <w:pPr>
        <w:pStyle w:val="Heading3"/>
        <w:jc w:val="both"/>
        <w:rPr>
          <w:rFonts w:ascii="Times New Roman" w:hAnsi="Times New Roman" w:cs="Times New Roman"/>
          <w:lang w:eastAsia="en-AU"/>
        </w:rPr>
      </w:pPr>
      <w:r w:rsidRPr="00A5114C">
        <w:rPr>
          <w:rFonts w:ascii="Times New Roman" w:hAnsi="Times New Roman" w:cs="Times New Roman"/>
          <w:lang w:eastAsia="en-AU"/>
        </w:rPr>
        <w:t>Others</w:t>
      </w:r>
    </w:p>
    <w:p w:rsidR="00C41DDF"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Caution is advised if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is co-administered with a potent UGT2B7 inhibitor (</w:t>
      </w:r>
      <w:r w:rsidR="00907766" w:rsidRPr="00A5114C">
        <w:rPr>
          <w:rFonts w:ascii="Times New Roman" w:hAnsi="Times New Roman" w:cs="Times New Roman"/>
          <w:spacing w:val="0"/>
          <w:lang w:eastAsia="en-AU"/>
        </w:rPr>
        <w:t xml:space="preserve">see </w:t>
      </w:r>
      <w:r w:rsidR="00FC5D89" w:rsidRPr="00A5114C">
        <w:rPr>
          <w:rFonts w:ascii="Times New Roman" w:hAnsi="Times New Roman" w:cs="Times New Roman"/>
          <w:spacing w:val="0"/>
          <w:lang w:eastAsia="en-AU"/>
        </w:rPr>
        <w:t>INTERACTIONS WITH OTHER MEDICINES</w:t>
      </w:r>
      <w:r w:rsidRPr="00A5114C">
        <w:rPr>
          <w:rFonts w:ascii="Times New Roman" w:hAnsi="Times New Roman" w:cs="Times New Roman"/>
          <w:spacing w:val="0"/>
          <w:lang w:eastAsia="en-AU"/>
        </w:rPr>
        <w:t>).</w:t>
      </w:r>
    </w:p>
    <w:p w:rsidR="00C41DDF" w:rsidRPr="00A5114C" w:rsidRDefault="00C41DDF" w:rsidP="009E5E3D">
      <w:pPr>
        <w:pStyle w:val="Heading3"/>
        <w:jc w:val="both"/>
        <w:rPr>
          <w:rFonts w:ascii="Times New Roman" w:hAnsi="Times New Roman" w:cs="Times New Roman"/>
          <w:lang w:eastAsia="en-AU"/>
        </w:rPr>
      </w:pPr>
      <w:r w:rsidRPr="00A5114C">
        <w:rPr>
          <w:rFonts w:ascii="Times New Roman" w:hAnsi="Times New Roman" w:cs="Times New Roman"/>
          <w:lang w:eastAsia="en-AU"/>
        </w:rPr>
        <w:t>Lactose</w:t>
      </w:r>
    </w:p>
    <w:p w:rsidR="00C41DDF"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Patients with rare hereditary problems of galactose intolerance, Lapp lactase deficiency, or</w:t>
      </w:r>
      <w:r w:rsidR="00662362"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glucose-galactose malabsorption should not take this medicinal product.</w:t>
      </w:r>
    </w:p>
    <w:p w:rsidR="007F6995" w:rsidRPr="00A5114C" w:rsidRDefault="007F6995" w:rsidP="008276AF">
      <w:pPr>
        <w:pStyle w:val="Heading3"/>
        <w:pageBreakBefore/>
        <w:jc w:val="both"/>
        <w:rPr>
          <w:rFonts w:ascii="Times New Roman" w:hAnsi="Times New Roman" w:cs="Times New Roman"/>
        </w:rPr>
      </w:pPr>
      <w:r w:rsidRPr="00A5114C">
        <w:rPr>
          <w:rFonts w:ascii="Times New Roman" w:hAnsi="Times New Roman" w:cs="Times New Roman"/>
        </w:rPr>
        <w:lastRenderedPageBreak/>
        <w:t>Effects on fertility</w:t>
      </w:r>
    </w:p>
    <w:p w:rsidR="00C91365" w:rsidRPr="00A5114C" w:rsidRDefault="00C91365" w:rsidP="007F6995">
      <w:pPr>
        <w:spacing w:after="0" w:line="240" w:lineRule="auto"/>
        <w:jc w:val="both"/>
        <w:rPr>
          <w:rFonts w:ascii="Times New Roman" w:hAnsi="Times New Roman" w:cs="Times New Roman"/>
        </w:rPr>
      </w:pPr>
      <w:r w:rsidRPr="003B20CC">
        <w:rPr>
          <w:rFonts w:ascii="Times New Roman" w:hAnsi="Times New Roman" w:cs="Times New Roman"/>
        </w:rPr>
        <w:t>There were no effects on fertility, mating, litter parameters or sperm parameters when rats were treated with nalmefene prior to and during mating and in early pregnancy at oral doses up to 200 mg/kg/day which achieved exposure (plasma C</w:t>
      </w:r>
      <w:r w:rsidRPr="003B20CC">
        <w:rPr>
          <w:rFonts w:ascii="Times New Roman" w:hAnsi="Times New Roman" w:cs="Times New Roman"/>
          <w:vertAlign w:val="subscript"/>
        </w:rPr>
        <w:t>max</w:t>
      </w:r>
      <w:r w:rsidRPr="003B20CC">
        <w:rPr>
          <w:rFonts w:ascii="Times New Roman" w:hAnsi="Times New Roman" w:cs="Times New Roman"/>
        </w:rPr>
        <w:t>) at least 60 times that at the recommended human dose.</w:t>
      </w:r>
    </w:p>
    <w:p w:rsidR="003875B7" w:rsidRPr="00A5114C" w:rsidRDefault="0058001B" w:rsidP="0058001B">
      <w:pPr>
        <w:pStyle w:val="Heading3"/>
        <w:jc w:val="both"/>
        <w:rPr>
          <w:rFonts w:ascii="Times New Roman" w:hAnsi="Times New Roman" w:cs="Times New Roman"/>
        </w:rPr>
      </w:pPr>
      <w:r w:rsidRPr="00A5114C">
        <w:rPr>
          <w:rFonts w:ascii="Times New Roman" w:hAnsi="Times New Roman" w:cs="Times New Roman"/>
        </w:rPr>
        <w:t xml:space="preserve">Use in pregnancy (Category </w:t>
      </w:r>
      <w:r w:rsidR="004B2978">
        <w:rPr>
          <w:rFonts w:ascii="Times New Roman" w:hAnsi="Times New Roman" w:cs="Times New Roman"/>
        </w:rPr>
        <w:t>B3</w:t>
      </w:r>
      <w:r w:rsidRPr="00A5114C">
        <w:rPr>
          <w:rFonts w:ascii="Times New Roman" w:hAnsi="Times New Roman" w:cs="Times New Roman"/>
        </w:rPr>
        <w:t>)</w:t>
      </w:r>
    </w:p>
    <w:p w:rsidR="00AF67CC" w:rsidRDefault="004B2978" w:rsidP="009E5E3D">
      <w:pPr>
        <w:spacing w:after="0" w:line="240" w:lineRule="auto"/>
        <w:jc w:val="both"/>
        <w:rPr>
          <w:rFonts w:ascii="Times New Roman" w:hAnsi="Times New Roman" w:cs="Times New Roman"/>
          <w:spacing w:val="0"/>
          <w:lang w:eastAsia="en-AU"/>
        </w:rPr>
      </w:pPr>
      <w:r w:rsidRPr="004B2978">
        <w:rPr>
          <w:rFonts w:ascii="Times New Roman" w:hAnsi="Times New Roman" w:cs="Times New Roman"/>
          <w:spacing w:val="0"/>
          <w:lang w:eastAsia="en-AU"/>
        </w:rPr>
        <w:t>There are limited data (fewer than 300 pregnancy outcomes) from the use of nalmefene in pregnant women.</w:t>
      </w:r>
    </w:p>
    <w:p w:rsidR="008637F1" w:rsidRPr="00A5114C" w:rsidRDefault="008637F1" w:rsidP="009E5E3D">
      <w:pPr>
        <w:spacing w:after="0" w:line="240" w:lineRule="auto"/>
        <w:jc w:val="both"/>
        <w:rPr>
          <w:rFonts w:ascii="Times New Roman" w:hAnsi="Times New Roman" w:cs="Times New Roman"/>
          <w:spacing w:val="0"/>
          <w:lang w:eastAsia="en-AU"/>
        </w:rPr>
      </w:pPr>
    </w:p>
    <w:p w:rsidR="003875B7" w:rsidRPr="00A5114C" w:rsidRDefault="00D01C2F" w:rsidP="0058001B">
      <w:pPr>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C41DDF" w:rsidRPr="00A5114C">
        <w:rPr>
          <w:rFonts w:ascii="Times New Roman" w:hAnsi="Times New Roman" w:cs="Times New Roman"/>
          <w:spacing w:val="0"/>
          <w:lang w:eastAsia="en-AU"/>
        </w:rPr>
        <w:t xml:space="preserve"> is not recommended during</w:t>
      </w:r>
      <w:r w:rsidR="0058001B" w:rsidRPr="00A5114C">
        <w:rPr>
          <w:rFonts w:ascii="Times New Roman" w:hAnsi="Times New Roman" w:cs="Times New Roman"/>
          <w:spacing w:val="0"/>
          <w:lang w:eastAsia="en-AU"/>
        </w:rPr>
        <w:t xml:space="preserve"> pregnancy.</w:t>
      </w:r>
    </w:p>
    <w:p w:rsidR="00C91365" w:rsidRPr="003B20CC" w:rsidRDefault="00C91365" w:rsidP="00D14728">
      <w:pPr>
        <w:spacing w:after="0" w:line="240" w:lineRule="auto"/>
        <w:jc w:val="both"/>
        <w:rPr>
          <w:rFonts w:ascii="Times New Roman" w:hAnsi="Times New Roman" w:cs="Times New Roman"/>
        </w:rPr>
      </w:pPr>
      <w:r w:rsidRPr="003B20CC">
        <w:rPr>
          <w:rFonts w:ascii="Times New Roman" w:hAnsi="Times New Roman" w:cs="Times New Roman"/>
        </w:rPr>
        <w:t xml:space="preserve">Nalmefene and/or its metabolites cross the placenta in pregnant rats. </w:t>
      </w:r>
      <w:r w:rsidR="00A61590">
        <w:rPr>
          <w:rFonts w:ascii="Times New Roman" w:hAnsi="Times New Roman" w:cs="Times New Roman"/>
        </w:rPr>
        <w:t xml:space="preserve"> </w:t>
      </w:r>
      <w:r w:rsidRPr="003B20CC">
        <w:rPr>
          <w:rFonts w:ascii="Times New Roman" w:hAnsi="Times New Roman" w:cs="Times New Roman"/>
        </w:rPr>
        <w:t>No teratogenic effects</w:t>
      </w:r>
      <w:r w:rsidR="00D14728">
        <w:rPr>
          <w:rFonts w:ascii="Times New Roman" w:hAnsi="Times New Roman" w:cs="Times New Roman"/>
        </w:rPr>
        <w:t xml:space="preserve"> </w:t>
      </w:r>
      <w:r w:rsidRPr="003B20CC">
        <w:rPr>
          <w:rFonts w:ascii="Times New Roman" w:hAnsi="Times New Roman" w:cs="Times New Roman"/>
        </w:rPr>
        <w:t>on fetuses were observed when nalmefene was administered to rats and rabbits during the</w:t>
      </w:r>
      <w:r w:rsidR="00D14728">
        <w:rPr>
          <w:rFonts w:ascii="Times New Roman" w:hAnsi="Times New Roman" w:cs="Times New Roman"/>
        </w:rPr>
        <w:t xml:space="preserve"> </w:t>
      </w:r>
      <w:r w:rsidRPr="003B20CC">
        <w:rPr>
          <w:rFonts w:ascii="Times New Roman" w:hAnsi="Times New Roman" w:cs="Times New Roman"/>
        </w:rPr>
        <w:t>period of organogenesis at oral doses up to 200 mg/kg/day, with respective estimated</w:t>
      </w:r>
      <w:r w:rsidR="00D14728">
        <w:rPr>
          <w:rFonts w:ascii="Times New Roman" w:hAnsi="Times New Roman" w:cs="Times New Roman"/>
        </w:rPr>
        <w:t xml:space="preserve"> </w:t>
      </w:r>
      <w:r w:rsidRPr="003B20CC">
        <w:rPr>
          <w:rFonts w:ascii="Times New Roman" w:hAnsi="Times New Roman" w:cs="Times New Roman"/>
        </w:rPr>
        <w:t xml:space="preserve">exposures (plasma AUC) of about 24 and 9 times that at the recommended human dose. </w:t>
      </w:r>
      <w:r w:rsidR="00A61590">
        <w:rPr>
          <w:rFonts w:ascii="Times New Roman" w:hAnsi="Times New Roman" w:cs="Times New Roman"/>
        </w:rPr>
        <w:t xml:space="preserve"> </w:t>
      </w:r>
      <w:r w:rsidRPr="003B20CC">
        <w:rPr>
          <w:rFonts w:ascii="Times New Roman" w:hAnsi="Times New Roman" w:cs="Times New Roman"/>
        </w:rPr>
        <w:t>In</w:t>
      </w:r>
      <w:r w:rsidR="00D14728">
        <w:rPr>
          <w:rFonts w:ascii="Times New Roman" w:hAnsi="Times New Roman" w:cs="Times New Roman"/>
        </w:rPr>
        <w:t xml:space="preserve"> </w:t>
      </w:r>
      <w:r w:rsidRPr="003B20CC">
        <w:rPr>
          <w:rFonts w:ascii="Times New Roman" w:hAnsi="Times New Roman" w:cs="Times New Roman"/>
        </w:rPr>
        <w:t>the rabbit study, reduced fetal weights and delayed ossification were observed at 200</w:t>
      </w:r>
      <w:r w:rsidR="007209A0">
        <w:rPr>
          <w:rFonts w:ascii="Times New Roman" w:hAnsi="Times New Roman" w:cs="Times New Roman"/>
        </w:rPr>
        <w:t> </w:t>
      </w:r>
      <w:r w:rsidRPr="003B20CC">
        <w:rPr>
          <w:rFonts w:ascii="Times New Roman" w:hAnsi="Times New Roman" w:cs="Times New Roman"/>
        </w:rPr>
        <w:t xml:space="preserve">mg/kg/day, while in the rat study, no adverse effects on fetuses were observed.  The AUC at the no observable adverse effect level (NOAEL) for these effects </w:t>
      </w:r>
      <w:r w:rsidR="00D13621" w:rsidRPr="003B20CC">
        <w:rPr>
          <w:rFonts w:ascii="Times New Roman" w:hAnsi="Times New Roman" w:cs="Times New Roman"/>
        </w:rPr>
        <w:t xml:space="preserve">in rabbits </w:t>
      </w:r>
      <w:r w:rsidRPr="003B20CC">
        <w:rPr>
          <w:rFonts w:ascii="Times New Roman" w:hAnsi="Times New Roman" w:cs="Times New Roman"/>
        </w:rPr>
        <w:t>was below the human exposure at the recommended clinical dose.</w:t>
      </w:r>
    </w:p>
    <w:p w:rsidR="00C91365" w:rsidRPr="003B20CC" w:rsidRDefault="00C91365" w:rsidP="00C91365">
      <w:pPr>
        <w:spacing w:after="0" w:line="240" w:lineRule="auto"/>
        <w:jc w:val="both"/>
        <w:rPr>
          <w:rFonts w:ascii="Times New Roman" w:hAnsi="Times New Roman" w:cs="Times New Roman"/>
        </w:rPr>
      </w:pPr>
    </w:p>
    <w:p w:rsidR="002B4AA9" w:rsidRDefault="00D13621" w:rsidP="002B4AA9">
      <w:pPr>
        <w:pStyle w:val="Heading3"/>
        <w:spacing w:beforeLines="0" w:before="0" w:after="0" w:line="240" w:lineRule="auto"/>
        <w:jc w:val="both"/>
        <w:rPr>
          <w:rFonts w:ascii="Times New Roman" w:hAnsi="Times New Roman" w:cs="Times New Roman"/>
          <w:b w:val="0"/>
        </w:rPr>
      </w:pPr>
      <w:r w:rsidRPr="002B4AA9">
        <w:rPr>
          <w:rFonts w:ascii="Times New Roman" w:hAnsi="Times New Roman" w:cs="Times New Roman"/>
          <w:b w:val="0"/>
        </w:rPr>
        <w:t>When nalmefene was administered to rats at oral doses up to 100 mg/kg/day over the final</w:t>
      </w:r>
      <w:r w:rsidR="002B4AA9" w:rsidRPr="002B4AA9">
        <w:rPr>
          <w:rFonts w:ascii="Times New Roman" w:hAnsi="Times New Roman" w:cs="Times New Roman"/>
          <w:b w:val="0"/>
        </w:rPr>
        <w:t xml:space="preserve"> </w:t>
      </w:r>
      <w:r w:rsidRPr="002B4AA9">
        <w:rPr>
          <w:rFonts w:ascii="Times New Roman" w:hAnsi="Times New Roman" w:cs="Times New Roman"/>
          <w:b w:val="0"/>
        </w:rPr>
        <w:t>5-6 days of gestation and during lactation,</w:t>
      </w:r>
      <w:r w:rsidR="002B4AA9">
        <w:rPr>
          <w:rFonts w:ascii="Times New Roman" w:hAnsi="Times New Roman" w:cs="Times New Roman"/>
          <w:b w:val="0"/>
        </w:rPr>
        <w:t xml:space="preserve"> </w:t>
      </w:r>
      <w:r w:rsidRPr="002B4AA9">
        <w:rPr>
          <w:rFonts w:ascii="Times New Roman" w:hAnsi="Times New Roman" w:cs="Times New Roman"/>
          <w:b w:val="0"/>
        </w:rPr>
        <w:t>a small</w:t>
      </w:r>
      <w:r w:rsidR="00C91365" w:rsidRPr="002B4AA9">
        <w:rPr>
          <w:rFonts w:ascii="Times New Roman" w:hAnsi="Times New Roman" w:cs="Times New Roman"/>
          <w:b w:val="0"/>
        </w:rPr>
        <w:t xml:space="preserve"> decrease in post-natal viability of pups was observed </w:t>
      </w:r>
      <w:r w:rsidRPr="002B4AA9">
        <w:rPr>
          <w:rFonts w:ascii="Times New Roman" w:hAnsi="Times New Roman" w:cs="Times New Roman"/>
          <w:b w:val="0"/>
        </w:rPr>
        <w:t>at 100 mg/kg/</w:t>
      </w:r>
      <w:proofErr w:type="gramStart"/>
      <w:r w:rsidRPr="002B4AA9">
        <w:rPr>
          <w:rFonts w:ascii="Times New Roman" w:hAnsi="Times New Roman" w:cs="Times New Roman"/>
          <w:b w:val="0"/>
        </w:rPr>
        <w:t xml:space="preserve">day </w:t>
      </w:r>
      <w:r w:rsidR="00C91365" w:rsidRPr="002B4AA9">
        <w:rPr>
          <w:rFonts w:ascii="Times New Roman" w:hAnsi="Times New Roman" w:cs="Times New Roman"/>
          <w:b w:val="0"/>
        </w:rPr>
        <w:t>.</w:t>
      </w:r>
      <w:proofErr w:type="gramEnd"/>
      <w:r w:rsidR="00C91365" w:rsidRPr="002B4AA9">
        <w:rPr>
          <w:rFonts w:ascii="Times New Roman" w:hAnsi="Times New Roman" w:cs="Times New Roman"/>
          <w:b w:val="0"/>
        </w:rPr>
        <w:t xml:space="preserve"> </w:t>
      </w:r>
      <w:r w:rsidR="00A61590">
        <w:rPr>
          <w:rFonts w:ascii="Times New Roman" w:hAnsi="Times New Roman" w:cs="Times New Roman"/>
          <w:b w:val="0"/>
        </w:rPr>
        <w:t xml:space="preserve"> </w:t>
      </w:r>
      <w:r w:rsidR="00C91365" w:rsidRPr="002B4AA9">
        <w:rPr>
          <w:rFonts w:ascii="Times New Roman" w:hAnsi="Times New Roman" w:cs="Times New Roman"/>
          <w:b w:val="0"/>
        </w:rPr>
        <w:t xml:space="preserve">This </w:t>
      </w:r>
      <w:r w:rsidRPr="002B4AA9">
        <w:rPr>
          <w:rFonts w:ascii="Times New Roman" w:hAnsi="Times New Roman" w:cs="Times New Roman"/>
          <w:b w:val="0"/>
        </w:rPr>
        <w:t>dose was maternotoxic.</w:t>
      </w:r>
    </w:p>
    <w:p w:rsidR="0095276B" w:rsidRPr="00A5114C" w:rsidRDefault="0095276B" w:rsidP="009E5E3D">
      <w:pPr>
        <w:pStyle w:val="Heading3"/>
        <w:jc w:val="both"/>
        <w:rPr>
          <w:rFonts w:ascii="Times New Roman" w:hAnsi="Times New Roman" w:cs="Times New Roman"/>
        </w:rPr>
      </w:pPr>
      <w:r w:rsidRPr="002B4AA9">
        <w:rPr>
          <w:rFonts w:ascii="Times New Roman" w:hAnsi="Times New Roman" w:cs="Times New Roman"/>
        </w:rPr>
        <w:t>Use in lactation</w:t>
      </w:r>
    </w:p>
    <w:p w:rsidR="00C41DDF" w:rsidRPr="00A5114C" w:rsidRDefault="009864BB" w:rsidP="00D44BE3">
      <w:pPr>
        <w:spacing w:after="0" w:line="240" w:lineRule="auto"/>
        <w:jc w:val="both"/>
        <w:rPr>
          <w:rFonts w:ascii="Times New Roman" w:hAnsi="Times New Roman" w:cs="Times New Roman"/>
          <w:spacing w:val="0"/>
          <w:lang w:eastAsia="en-AU"/>
        </w:rPr>
      </w:pPr>
      <w:r w:rsidRPr="00D13621">
        <w:rPr>
          <w:rFonts w:ascii="Times New Roman" w:hAnsi="Times New Roman" w:cs="Times New Roman"/>
          <w:spacing w:val="0"/>
          <w:lang w:eastAsia="en-AU"/>
        </w:rPr>
        <w:t xml:space="preserve">Nalmefene/nalmefene metabolites were excreted in the milk of lactating rats. </w:t>
      </w:r>
      <w:r w:rsidR="00A062CA">
        <w:rPr>
          <w:rFonts w:ascii="Times New Roman" w:hAnsi="Times New Roman" w:cs="Times New Roman"/>
          <w:spacing w:val="0"/>
          <w:lang w:eastAsia="en-AU"/>
        </w:rPr>
        <w:t xml:space="preserve"> </w:t>
      </w:r>
      <w:r w:rsidR="00C41DDF" w:rsidRPr="00D13621">
        <w:rPr>
          <w:rFonts w:ascii="Times New Roman" w:hAnsi="Times New Roman" w:cs="Times New Roman"/>
          <w:spacing w:val="0"/>
          <w:lang w:eastAsia="en-AU"/>
        </w:rPr>
        <w:t>It is unknown whether nalmefene is excreted in</w:t>
      </w:r>
      <w:r w:rsidR="00662362" w:rsidRPr="00D13621">
        <w:rPr>
          <w:rFonts w:ascii="Times New Roman" w:hAnsi="Times New Roman" w:cs="Times New Roman"/>
          <w:spacing w:val="0"/>
          <w:lang w:eastAsia="en-AU"/>
        </w:rPr>
        <w:t xml:space="preserve"> </w:t>
      </w:r>
      <w:r w:rsidR="00C41DDF" w:rsidRPr="00D13621">
        <w:rPr>
          <w:rFonts w:ascii="Times New Roman" w:hAnsi="Times New Roman" w:cs="Times New Roman"/>
          <w:spacing w:val="0"/>
          <w:lang w:eastAsia="en-AU"/>
        </w:rPr>
        <w:t>human milk.</w:t>
      </w:r>
    </w:p>
    <w:p w:rsidR="00C41DDF" w:rsidRPr="00A5114C" w:rsidRDefault="00C41DD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A risk to newborns/infants cannot be excluded.</w:t>
      </w:r>
    </w:p>
    <w:p w:rsidR="00A062CA" w:rsidRDefault="00A062CA" w:rsidP="009E5E3D">
      <w:pPr>
        <w:spacing w:after="0" w:line="240" w:lineRule="auto"/>
        <w:jc w:val="both"/>
        <w:rPr>
          <w:rFonts w:ascii="Times New Roman" w:hAnsi="Times New Roman" w:cs="Times New Roman"/>
          <w:spacing w:val="0"/>
          <w:lang w:eastAsia="en-AU"/>
        </w:rPr>
      </w:pPr>
    </w:p>
    <w:p w:rsidR="00C41DDF" w:rsidRPr="00A5114C" w:rsidRDefault="00C41DDF" w:rsidP="00BC7D22">
      <w:pPr>
        <w:spacing w:after="24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A decision must be made whether to discontinue breast-feeding or to discontinue/abstain from</w:t>
      </w:r>
      <w:r w:rsidR="00662362" w:rsidRPr="00A5114C">
        <w:rPr>
          <w:rFonts w:ascii="Times New Roman" w:hAnsi="Times New Roman" w:cs="Times New Roman"/>
          <w:spacing w:val="0"/>
          <w:lang w:eastAsia="en-AU"/>
        </w:rPr>
        <w:t xml:space="preserv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therapy, taking into account the benefit of breast-feeding to the child and the benefit of</w:t>
      </w:r>
      <w:r w:rsidR="00662362"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therapy to the woman.</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Paediatric Use</w:t>
      </w:r>
    </w:p>
    <w:p w:rsidR="0095276B" w:rsidRPr="00A5114C" w:rsidRDefault="007F14BF" w:rsidP="009E5E3D">
      <w:pPr>
        <w:jc w:val="both"/>
        <w:rPr>
          <w:rFonts w:ascii="Times New Roman" w:hAnsi="Times New Roman" w:cs="Times New Roman"/>
        </w:rPr>
      </w:pPr>
      <w:r w:rsidRPr="00A5114C">
        <w:rPr>
          <w:rFonts w:ascii="Times New Roman" w:hAnsi="Times New Roman" w:cs="Times New Roman"/>
        </w:rPr>
        <w:t>SELINCRO</w:t>
      </w:r>
      <w:r w:rsidR="0095276B" w:rsidRPr="00A5114C">
        <w:rPr>
          <w:rFonts w:ascii="Times New Roman" w:hAnsi="Times New Roman" w:cs="Times New Roman"/>
        </w:rPr>
        <w:t xml:space="preserve"> is not recommended for use in children and adolescents </w:t>
      </w:r>
      <w:r w:rsidR="00097616" w:rsidRPr="00A5114C">
        <w:rPr>
          <w:rFonts w:ascii="Times New Roman" w:hAnsi="Times New Roman" w:cs="Times New Roman"/>
        </w:rPr>
        <w:t>&lt;</w:t>
      </w:r>
      <w:r w:rsidR="0095276B" w:rsidRPr="00A5114C">
        <w:rPr>
          <w:rFonts w:ascii="Times New Roman" w:hAnsi="Times New Roman" w:cs="Times New Roman"/>
        </w:rPr>
        <w:t>18 years of age</w:t>
      </w:r>
      <w:r w:rsidRPr="00A5114C">
        <w:rPr>
          <w:rFonts w:ascii="Times New Roman" w:hAnsi="Times New Roman" w:cs="Times New Roman"/>
        </w:rPr>
        <w:t>.</w:t>
      </w:r>
    </w:p>
    <w:p w:rsidR="007F6995" w:rsidRPr="00A5114C" w:rsidRDefault="007F6995" w:rsidP="008276AF">
      <w:pPr>
        <w:pStyle w:val="Heading3"/>
        <w:pageBreakBefore/>
        <w:jc w:val="both"/>
        <w:rPr>
          <w:rFonts w:ascii="Times New Roman" w:hAnsi="Times New Roman" w:cs="Times New Roman"/>
          <w:lang w:eastAsia="en-AU"/>
        </w:rPr>
      </w:pPr>
      <w:r w:rsidRPr="00A5114C">
        <w:rPr>
          <w:rFonts w:ascii="Times New Roman" w:hAnsi="Times New Roman" w:cs="Times New Roman"/>
          <w:lang w:eastAsia="en-AU"/>
        </w:rPr>
        <w:lastRenderedPageBreak/>
        <w:t>Elderly patients (≥65 years of age)</w:t>
      </w:r>
    </w:p>
    <w:p w:rsidR="007F6995" w:rsidRPr="00A5114C" w:rsidRDefault="007F6995" w:rsidP="007F6995">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Limited clinical data are available on the use 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in </w:t>
      </w:r>
      <w:proofErr w:type="gramStart"/>
      <w:r w:rsidRPr="00A5114C">
        <w:rPr>
          <w:rFonts w:ascii="Times New Roman" w:hAnsi="Times New Roman" w:cs="Times New Roman"/>
          <w:spacing w:val="0"/>
          <w:lang w:eastAsia="en-AU"/>
        </w:rPr>
        <w:t>patients</w:t>
      </w:r>
      <w:proofErr w:type="gramEnd"/>
      <w:r w:rsidRPr="00A5114C">
        <w:rPr>
          <w:rFonts w:ascii="Times New Roman" w:hAnsi="Times New Roman" w:cs="Times New Roman"/>
          <w:spacing w:val="0"/>
          <w:lang w:eastAsia="en-AU"/>
        </w:rPr>
        <w:t xml:space="preserve"> ≥65 years of age with alcohol </w:t>
      </w:r>
      <w:r w:rsidR="001A0723">
        <w:rPr>
          <w:rFonts w:ascii="Times New Roman" w:hAnsi="Times New Roman" w:cs="Times New Roman"/>
          <w:spacing w:val="0"/>
          <w:lang w:eastAsia="en-AU"/>
        </w:rPr>
        <w:t>use disorder</w:t>
      </w:r>
      <w:r w:rsidRPr="00A5114C">
        <w:rPr>
          <w:rFonts w:ascii="Times New Roman" w:hAnsi="Times New Roman" w:cs="Times New Roman"/>
          <w:spacing w:val="0"/>
          <w:lang w:eastAsia="en-AU"/>
        </w:rPr>
        <w:t>.</w:t>
      </w:r>
    </w:p>
    <w:p w:rsidR="00704EF0" w:rsidRPr="00A5114C" w:rsidRDefault="00704EF0" w:rsidP="007F6995">
      <w:pPr>
        <w:spacing w:after="0" w:line="240" w:lineRule="auto"/>
        <w:jc w:val="both"/>
        <w:rPr>
          <w:rFonts w:ascii="Times New Roman" w:hAnsi="Times New Roman" w:cs="Times New Roman"/>
          <w:spacing w:val="0"/>
          <w:lang w:eastAsia="en-AU"/>
        </w:rPr>
      </w:pPr>
    </w:p>
    <w:p w:rsidR="007F6995" w:rsidRPr="00A5114C" w:rsidRDefault="007F6995" w:rsidP="00BC7D22">
      <w:pPr>
        <w:spacing w:after="24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Caution should be exercised when prescribing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to </w:t>
      </w:r>
      <w:proofErr w:type="gramStart"/>
      <w:r w:rsidRPr="00A5114C">
        <w:rPr>
          <w:rFonts w:ascii="Times New Roman" w:hAnsi="Times New Roman" w:cs="Times New Roman"/>
          <w:spacing w:val="0"/>
          <w:lang w:eastAsia="en-AU"/>
        </w:rPr>
        <w:t>patients</w:t>
      </w:r>
      <w:proofErr w:type="gramEnd"/>
      <w:r w:rsidRPr="00A5114C">
        <w:rPr>
          <w:rFonts w:ascii="Times New Roman" w:hAnsi="Times New Roman" w:cs="Times New Roman"/>
          <w:spacing w:val="0"/>
          <w:lang w:eastAsia="en-AU"/>
        </w:rPr>
        <w:t xml:space="preserve"> ≥65 years of age (see DOSAGE &amp; ADMINISTRATION and PHARMACOLOGY - Special populations).</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Genotoxicity</w:t>
      </w:r>
    </w:p>
    <w:p w:rsidR="00D13621" w:rsidRDefault="00D13621" w:rsidP="00BC7D22">
      <w:pPr>
        <w:spacing w:after="240" w:line="240" w:lineRule="auto"/>
        <w:jc w:val="both"/>
        <w:rPr>
          <w:rFonts w:ascii="Times New Roman" w:hAnsi="Times New Roman" w:cs="Times New Roman"/>
          <w:lang w:val="en-US"/>
        </w:rPr>
      </w:pPr>
      <w:r w:rsidRPr="003B20CC">
        <w:rPr>
          <w:rFonts w:ascii="Times New Roman" w:hAnsi="Times New Roman" w:cs="Times New Roman"/>
          <w:lang w:val="en-US"/>
        </w:rPr>
        <w:t>Nalmefene was not genotoxic in two bacterial reverse mutation assays and a forward</w:t>
      </w:r>
      <w:r w:rsidR="002B4AA9">
        <w:rPr>
          <w:rFonts w:ascii="Times New Roman" w:hAnsi="Times New Roman" w:cs="Times New Roman"/>
          <w:lang w:val="en-US"/>
        </w:rPr>
        <w:t xml:space="preserve"> </w:t>
      </w:r>
      <w:r w:rsidRPr="003B20CC">
        <w:rPr>
          <w:rFonts w:ascii="Times New Roman" w:hAnsi="Times New Roman" w:cs="Times New Roman"/>
          <w:lang w:val="en-US"/>
        </w:rPr>
        <w:t>mutation test in mouse lymphoma cells in vitro, or in a mouse micronucleus test or a rat</w:t>
      </w:r>
      <w:r w:rsidR="002B4AA9">
        <w:rPr>
          <w:rFonts w:ascii="Times New Roman" w:hAnsi="Times New Roman" w:cs="Times New Roman"/>
          <w:lang w:val="en-US"/>
        </w:rPr>
        <w:t xml:space="preserve"> </w:t>
      </w:r>
      <w:r w:rsidRPr="003B20CC">
        <w:rPr>
          <w:rFonts w:ascii="Times New Roman" w:hAnsi="Times New Roman" w:cs="Times New Roman"/>
          <w:lang w:val="en-US"/>
        </w:rPr>
        <w:t xml:space="preserve">cytogenetics assay in vivo. </w:t>
      </w:r>
      <w:r w:rsidR="00A61590">
        <w:rPr>
          <w:rFonts w:ascii="Times New Roman" w:hAnsi="Times New Roman" w:cs="Times New Roman"/>
          <w:lang w:val="en-US"/>
        </w:rPr>
        <w:t xml:space="preserve"> </w:t>
      </w:r>
      <w:r w:rsidRPr="003B20CC">
        <w:rPr>
          <w:rFonts w:ascii="Times New Roman" w:hAnsi="Times New Roman" w:cs="Times New Roman"/>
          <w:lang w:val="en-US"/>
        </w:rPr>
        <w:t>In a chromosome aberration assay in human lymphocytes in</w:t>
      </w:r>
      <w:r w:rsidR="002B4AA9">
        <w:rPr>
          <w:rFonts w:ascii="Times New Roman" w:hAnsi="Times New Roman" w:cs="Times New Roman"/>
          <w:lang w:val="en-US"/>
        </w:rPr>
        <w:t xml:space="preserve"> </w:t>
      </w:r>
      <w:r w:rsidRPr="003B20CC">
        <w:rPr>
          <w:rFonts w:ascii="Times New Roman" w:hAnsi="Times New Roman" w:cs="Times New Roman"/>
          <w:lang w:val="en-US"/>
        </w:rPr>
        <w:t>vitro, nalmefene was negative in the presence of metabolic activation but positive in the</w:t>
      </w:r>
      <w:r w:rsidR="002B4AA9">
        <w:rPr>
          <w:rFonts w:ascii="Times New Roman" w:hAnsi="Times New Roman" w:cs="Times New Roman"/>
          <w:lang w:val="en-US"/>
        </w:rPr>
        <w:t xml:space="preserve"> </w:t>
      </w:r>
      <w:r w:rsidRPr="003B20CC">
        <w:rPr>
          <w:rFonts w:ascii="Times New Roman" w:hAnsi="Times New Roman" w:cs="Times New Roman"/>
          <w:lang w:val="en-US"/>
        </w:rPr>
        <w:t xml:space="preserve">absence of metabolic activation. </w:t>
      </w:r>
      <w:r w:rsidR="00A61590">
        <w:rPr>
          <w:rFonts w:ascii="Times New Roman" w:hAnsi="Times New Roman" w:cs="Times New Roman"/>
          <w:lang w:val="en-US"/>
        </w:rPr>
        <w:t xml:space="preserve"> </w:t>
      </w:r>
      <w:r w:rsidRPr="003B20CC">
        <w:rPr>
          <w:rFonts w:ascii="Times New Roman" w:hAnsi="Times New Roman" w:cs="Times New Roman"/>
          <w:lang w:val="en-US"/>
        </w:rPr>
        <w:t>A weight of evidence approach suggests that nalmefene</w:t>
      </w:r>
      <w:r w:rsidR="002B4AA9">
        <w:rPr>
          <w:rFonts w:ascii="Times New Roman" w:hAnsi="Times New Roman" w:cs="Times New Roman"/>
          <w:lang w:val="en-US"/>
        </w:rPr>
        <w:t xml:space="preserve"> </w:t>
      </w:r>
      <w:r w:rsidRPr="003B20CC">
        <w:rPr>
          <w:rFonts w:ascii="Times New Roman" w:hAnsi="Times New Roman" w:cs="Times New Roman"/>
          <w:lang w:val="en-US"/>
        </w:rPr>
        <w:t>does not</w:t>
      </w:r>
      <w:r w:rsidR="007209A0">
        <w:rPr>
          <w:rFonts w:ascii="Times New Roman" w:hAnsi="Times New Roman" w:cs="Times New Roman"/>
          <w:lang w:val="en-US"/>
        </w:rPr>
        <w:t xml:space="preserve"> </w:t>
      </w:r>
      <w:r w:rsidRPr="003B20CC">
        <w:rPr>
          <w:rFonts w:ascii="Times New Roman" w:hAnsi="Times New Roman" w:cs="Times New Roman"/>
          <w:lang w:val="en-US"/>
        </w:rPr>
        <w:t>have genotoxic potential.</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Carcinogenicity</w:t>
      </w:r>
    </w:p>
    <w:p w:rsidR="00D13621" w:rsidRPr="00A5114C" w:rsidRDefault="00D13621" w:rsidP="00A062CA">
      <w:pPr>
        <w:spacing w:line="240" w:lineRule="auto"/>
        <w:jc w:val="both"/>
        <w:rPr>
          <w:rFonts w:ascii="Times New Roman" w:hAnsi="Times New Roman" w:cs="Times New Roman"/>
        </w:rPr>
      </w:pPr>
      <w:r w:rsidRPr="00A062CA">
        <w:rPr>
          <w:rFonts w:ascii="Times New Roman" w:hAnsi="Times New Roman" w:cs="Times New Roman"/>
          <w:lang w:val="en-US"/>
        </w:rPr>
        <w:t xml:space="preserve">Long term carcinogenicity studies were conducted in mice (80 weeks) and rats (104 weeks) at dietary doses up to 100 mg/kg/day in both species. </w:t>
      </w:r>
      <w:r w:rsidR="00A61590">
        <w:rPr>
          <w:rFonts w:ascii="Times New Roman" w:hAnsi="Times New Roman" w:cs="Times New Roman"/>
          <w:lang w:val="en-US"/>
        </w:rPr>
        <w:t xml:space="preserve"> </w:t>
      </w:r>
      <w:r w:rsidRPr="00A062CA">
        <w:rPr>
          <w:rFonts w:ascii="Times New Roman" w:hAnsi="Times New Roman" w:cs="Times New Roman"/>
          <w:lang w:val="en-US"/>
        </w:rPr>
        <w:t xml:space="preserve">Estimated exposure achieved in the mouse and rat studies at 100 mg/kg/day (based on plasma AUC) was about 3 and 1.5 times, respectively, that expected at the recommended human dose. </w:t>
      </w:r>
      <w:r w:rsidR="00A61590">
        <w:rPr>
          <w:rFonts w:ascii="Times New Roman" w:hAnsi="Times New Roman" w:cs="Times New Roman"/>
          <w:lang w:val="en-US"/>
        </w:rPr>
        <w:t xml:space="preserve"> </w:t>
      </w:r>
      <w:r w:rsidRPr="00A062CA">
        <w:rPr>
          <w:rFonts w:ascii="Times New Roman" w:hAnsi="Times New Roman" w:cs="Times New Roman"/>
          <w:lang w:val="en-US"/>
        </w:rPr>
        <w:t>No oncogenic responses to nalmefene treatment</w:t>
      </w:r>
      <w:r w:rsidRPr="003B20CC">
        <w:rPr>
          <w:rFonts w:ascii="Times New Roman" w:hAnsi="Times New Roman" w:cs="Times New Roman"/>
        </w:rPr>
        <w:t xml:space="preserve"> were observed.</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Effects on ability to drive and use machines</w:t>
      </w:r>
    </w:p>
    <w:p w:rsidR="00662362" w:rsidRPr="00A5114C" w:rsidRDefault="007F14B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 effects of nalmefene on the ability to drive and use machines have not been studied.</w:t>
      </w:r>
    </w:p>
    <w:p w:rsidR="008D1E8A" w:rsidRPr="00A5114C" w:rsidRDefault="008D1E8A" w:rsidP="009E5E3D">
      <w:pPr>
        <w:spacing w:after="0" w:line="240" w:lineRule="auto"/>
        <w:jc w:val="both"/>
        <w:rPr>
          <w:rFonts w:ascii="Times New Roman" w:hAnsi="Times New Roman" w:cs="Times New Roman"/>
          <w:spacing w:val="0"/>
          <w:lang w:eastAsia="en-AU"/>
        </w:rPr>
      </w:pPr>
    </w:p>
    <w:p w:rsidR="00662362" w:rsidRDefault="00D01C2F" w:rsidP="00913DEE">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7F14BF" w:rsidRPr="00A5114C">
        <w:rPr>
          <w:rFonts w:ascii="Times New Roman" w:hAnsi="Times New Roman" w:cs="Times New Roman"/>
          <w:spacing w:val="0"/>
          <w:lang w:eastAsia="en-AU"/>
        </w:rPr>
        <w:t xml:space="preserve"> may cause adverse reactions such as nausea, dizziness, insomnia, and headache. </w:t>
      </w:r>
      <w:r w:rsidR="00DA1B02" w:rsidRPr="00A5114C">
        <w:rPr>
          <w:rFonts w:ascii="Times New Roman" w:hAnsi="Times New Roman" w:cs="Times New Roman"/>
          <w:spacing w:val="0"/>
          <w:lang w:eastAsia="en-AU"/>
        </w:rPr>
        <w:t xml:space="preserve"> </w:t>
      </w:r>
      <w:r w:rsidR="007F14BF" w:rsidRPr="00A5114C">
        <w:rPr>
          <w:rFonts w:ascii="Times New Roman" w:hAnsi="Times New Roman" w:cs="Times New Roman"/>
          <w:spacing w:val="0"/>
          <w:lang w:eastAsia="en-AU"/>
        </w:rPr>
        <w:t>The majority</w:t>
      </w:r>
      <w:r w:rsidR="00662362" w:rsidRPr="00A5114C">
        <w:rPr>
          <w:rFonts w:ascii="Times New Roman" w:hAnsi="Times New Roman" w:cs="Times New Roman"/>
          <w:spacing w:val="0"/>
          <w:lang w:eastAsia="en-AU"/>
        </w:rPr>
        <w:t xml:space="preserve"> </w:t>
      </w:r>
      <w:r w:rsidR="007F14BF" w:rsidRPr="00A5114C">
        <w:rPr>
          <w:rFonts w:ascii="Times New Roman" w:hAnsi="Times New Roman" w:cs="Times New Roman"/>
          <w:spacing w:val="0"/>
          <w:lang w:eastAsia="en-AU"/>
        </w:rPr>
        <w:t>of these reactions were mild or moderate, associated with treatment ini</w:t>
      </w:r>
      <w:r w:rsidR="00662362" w:rsidRPr="00A5114C">
        <w:rPr>
          <w:rFonts w:ascii="Times New Roman" w:hAnsi="Times New Roman" w:cs="Times New Roman"/>
          <w:spacing w:val="0"/>
          <w:lang w:eastAsia="en-AU"/>
        </w:rPr>
        <w:t>tiation, and of short duration.</w:t>
      </w:r>
    </w:p>
    <w:p w:rsidR="00BF49E0" w:rsidRDefault="00BF49E0" w:rsidP="00913DEE">
      <w:pPr>
        <w:spacing w:after="0" w:line="240" w:lineRule="auto"/>
        <w:jc w:val="both"/>
        <w:rPr>
          <w:rFonts w:ascii="Times New Roman" w:hAnsi="Times New Roman" w:cs="Times New Roman"/>
          <w:spacing w:val="0"/>
          <w:lang w:eastAsia="en-AU"/>
        </w:rPr>
      </w:pPr>
    </w:p>
    <w:p w:rsidR="007F14BF" w:rsidRPr="00A5114C" w:rsidRDefault="00D01C2F" w:rsidP="00BC7D22">
      <w:pPr>
        <w:spacing w:after="24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7F14BF" w:rsidRPr="00A5114C">
        <w:rPr>
          <w:rFonts w:ascii="Times New Roman" w:hAnsi="Times New Roman" w:cs="Times New Roman"/>
          <w:spacing w:val="0"/>
          <w:lang w:eastAsia="en-AU"/>
        </w:rPr>
        <w:t xml:space="preserve"> has no or negligible influence on the ability to drive and use machines.</w:t>
      </w:r>
    </w:p>
    <w:p w:rsidR="00BC7D22" w:rsidRDefault="00BC7D22" w:rsidP="0058001B">
      <w:pPr>
        <w:pStyle w:val="Heading2"/>
        <w:rPr>
          <w:rFonts w:ascii="Times New Roman" w:hAnsi="Times New Roman" w:cs="Times New Roman"/>
        </w:rPr>
      </w:pPr>
    </w:p>
    <w:p w:rsidR="00B476C2" w:rsidRPr="00A5114C" w:rsidRDefault="00B476C2" w:rsidP="0058001B">
      <w:pPr>
        <w:pStyle w:val="Heading2"/>
        <w:rPr>
          <w:rFonts w:ascii="Times New Roman" w:hAnsi="Times New Roman" w:cs="Times New Roman"/>
        </w:rPr>
      </w:pPr>
      <w:r w:rsidRPr="00A5114C">
        <w:rPr>
          <w:rFonts w:ascii="Times New Roman" w:hAnsi="Times New Roman" w:cs="Times New Roman"/>
        </w:rPr>
        <w:t>IN</w:t>
      </w:r>
      <w:r w:rsidR="0058001B" w:rsidRPr="00A5114C">
        <w:rPr>
          <w:rFonts w:ascii="Times New Roman" w:hAnsi="Times New Roman" w:cs="Times New Roman"/>
        </w:rPr>
        <w:t>TERACTIONS WITH OTHER MEDICINES</w:t>
      </w:r>
    </w:p>
    <w:p w:rsidR="00B476C2" w:rsidRPr="00A5114C" w:rsidRDefault="00B476C2" w:rsidP="00B476C2">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No </w:t>
      </w:r>
      <w:r w:rsidRPr="00A5114C">
        <w:rPr>
          <w:rFonts w:ascii="Times New Roman" w:hAnsi="Times New Roman" w:cs="Times New Roman"/>
          <w:i/>
          <w:iCs/>
          <w:spacing w:val="0"/>
          <w:lang w:eastAsia="en-AU"/>
        </w:rPr>
        <w:t xml:space="preserve">in vivo </w:t>
      </w:r>
      <w:r w:rsidRPr="00A5114C">
        <w:rPr>
          <w:rFonts w:ascii="Times New Roman" w:hAnsi="Times New Roman" w:cs="Times New Roman"/>
          <w:spacing w:val="0"/>
          <w:lang w:eastAsia="en-AU"/>
        </w:rPr>
        <w:t>drug-drug interaction studies have been conducted.</w:t>
      </w:r>
    </w:p>
    <w:p w:rsidR="00704EF0" w:rsidRPr="00A5114C" w:rsidRDefault="00704EF0" w:rsidP="00B476C2">
      <w:pPr>
        <w:spacing w:after="0" w:line="240" w:lineRule="auto"/>
        <w:jc w:val="both"/>
        <w:rPr>
          <w:rFonts w:ascii="Times New Roman" w:hAnsi="Times New Roman" w:cs="Times New Roman"/>
          <w:spacing w:val="0"/>
          <w:lang w:eastAsia="en-AU"/>
        </w:rPr>
      </w:pPr>
    </w:p>
    <w:p w:rsidR="00D13621" w:rsidRPr="003B20CC" w:rsidRDefault="00D13621" w:rsidP="0071661B">
      <w:pPr>
        <w:spacing w:after="0" w:line="240" w:lineRule="auto"/>
        <w:jc w:val="both"/>
        <w:rPr>
          <w:rFonts w:ascii="Times New Roman" w:hAnsi="Times New Roman" w:cs="Times New Roman"/>
          <w:spacing w:val="0"/>
          <w:lang w:eastAsia="en-AU"/>
        </w:rPr>
      </w:pPr>
      <w:r w:rsidRPr="003B20CC">
        <w:rPr>
          <w:rFonts w:ascii="Times New Roman" w:hAnsi="Times New Roman" w:cs="Times New Roman"/>
          <w:spacing w:val="0"/>
          <w:lang w:eastAsia="en-AU"/>
        </w:rPr>
        <w:t xml:space="preserve">Co-administration with medicinal products that are potent inhibitors of the UGT2B7 enzyme (for example, diclofenac, fluconazole, medroxyprogesterone acetate, meclofenamic acid) may significantly increase </w:t>
      </w:r>
      <w:r w:rsidR="00DB3E71">
        <w:rPr>
          <w:rFonts w:ascii="Times New Roman" w:hAnsi="Times New Roman" w:cs="Times New Roman"/>
          <w:spacing w:val="0"/>
          <w:lang w:eastAsia="en-AU"/>
        </w:rPr>
        <w:t xml:space="preserve">exposure to nalmefene </w:t>
      </w:r>
      <w:r w:rsidRPr="003B20CC">
        <w:rPr>
          <w:rFonts w:ascii="Times New Roman" w:hAnsi="Times New Roman" w:cs="Times New Roman"/>
          <w:spacing w:val="0"/>
          <w:lang w:eastAsia="en-AU"/>
        </w:rPr>
        <w:t xml:space="preserve">(see </w:t>
      </w:r>
      <w:r w:rsidRPr="003B20CC">
        <w:rPr>
          <w:rFonts w:ascii="Times New Roman" w:hAnsi="Times New Roman" w:cs="Times New Roman"/>
          <w:spacing w:val="0"/>
          <w:lang w:eastAsia="en-AU"/>
        </w:rPr>
        <w:lastRenderedPageBreak/>
        <w:t xml:space="preserve">PRECAUTIONS). </w:t>
      </w:r>
      <w:r w:rsidR="00A61590">
        <w:rPr>
          <w:rFonts w:ascii="Times New Roman" w:hAnsi="Times New Roman" w:cs="Times New Roman"/>
          <w:spacing w:val="0"/>
          <w:lang w:eastAsia="en-AU"/>
        </w:rPr>
        <w:t xml:space="preserve"> </w:t>
      </w:r>
      <w:r w:rsidRPr="003B20CC">
        <w:rPr>
          <w:rFonts w:ascii="Times New Roman" w:hAnsi="Times New Roman" w:cs="Times New Roman"/>
          <w:spacing w:val="0"/>
          <w:lang w:eastAsia="en-AU"/>
        </w:rPr>
        <w:t>Conversely, concomitant administration with a UGT inducer (for example, dexamethasone, phenobarbitone, rifampicin, omeprazole) may potentially lead to subtherapeutic nalmefene plasma concentrations.</w:t>
      </w:r>
    </w:p>
    <w:p w:rsidR="00D13621" w:rsidRPr="003B20CC" w:rsidRDefault="00D13621" w:rsidP="0071661B">
      <w:pPr>
        <w:spacing w:after="0" w:line="240" w:lineRule="auto"/>
        <w:jc w:val="both"/>
        <w:rPr>
          <w:rFonts w:ascii="Times New Roman" w:hAnsi="Times New Roman" w:cs="Times New Roman"/>
          <w:spacing w:val="0"/>
          <w:lang w:eastAsia="en-AU"/>
        </w:rPr>
      </w:pPr>
    </w:p>
    <w:p w:rsidR="00D13621" w:rsidRPr="00A5114C" w:rsidRDefault="00D13621" w:rsidP="00D13621">
      <w:pPr>
        <w:spacing w:after="0" w:line="240" w:lineRule="auto"/>
        <w:jc w:val="both"/>
        <w:rPr>
          <w:rFonts w:ascii="Times New Roman" w:hAnsi="Times New Roman" w:cs="Times New Roman"/>
          <w:spacing w:val="0"/>
          <w:lang w:eastAsia="en-AU"/>
        </w:rPr>
      </w:pPr>
      <w:r w:rsidRPr="003B20CC">
        <w:rPr>
          <w:rFonts w:ascii="Times New Roman" w:hAnsi="Times New Roman" w:cs="Times New Roman"/>
          <w:spacing w:val="0"/>
          <w:lang w:eastAsia="en-AU"/>
        </w:rPr>
        <w:t xml:space="preserve">Based on </w:t>
      </w:r>
      <w:r w:rsidRPr="003B20CC">
        <w:rPr>
          <w:rFonts w:ascii="Times New Roman" w:hAnsi="Times New Roman" w:cs="Times New Roman"/>
          <w:i/>
          <w:spacing w:val="0"/>
          <w:lang w:eastAsia="en-AU"/>
        </w:rPr>
        <w:t>in vitro</w:t>
      </w:r>
      <w:r w:rsidRPr="003B20CC">
        <w:rPr>
          <w:rFonts w:ascii="Times New Roman" w:hAnsi="Times New Roman" w:cs="Times New Roman"/>
          <w:spacing w:val="0"/>
          <w:lang w:eastAsia="en-AU"/>
        </w:rPr>
        <w:t xml:space="preserve"> studies, nalmefene would appear to be neither a substrate nor an inhibitor of human efflux transporters, MDR1, BCRP or MRP2, nor an inhibitor of BSEP; and neither a substrate nor inhibitor of human uptake transporters, OATP1B1, OATP1B3 or OCT1, nor an inhibitor of OCT2, OAT1 or OAT3. </w:t>
      </w:r>
      <w:r w:rsidR="007209A0">
        <w:rPr>
          <w:rFonts w:ascii="Times New Roman" w:hAnsi="Times New Roman" w:cs="Times New Roman"/>
          <w:spacing w:val="0"/>
          <w:lang w:eastAsia="en-AU"/>
        </w:rPr>
        <w:t xml:space="preserve"> </w:t>
      </w:r>
      <w:r w:rsidRPr="003B20CC">
        <w:rPr>
          <w:rFonts w:ascii="Times New Roman" w:hAnsi="Times New Roman" w:cs="Times New Roman"/>
          <w:spacing w:val="0"/>
          <w:lang w:eastAsia="en-AU"/>
        </w:rPr>
        <w:t>Drug interactions with nalmefene via these transporters are therefore unlikely.</w:t>
      </w:r>
    </w:p>
    <w:p w:rsidR="00B476C2" w:rsidRPr="00A5114C" w:rsidRDefault="00B476C2" w:rsidP="00B476C2">
      <w:pPr>
        <w:spacing w:after="0" w:line="240" w:lineRule="auto"/>
        <w:jc w:val="both"/>
        <w:rPr>
          <w:rFonts w:ascii="Times New Roman" w:hAnsi="Times New Roman" w:cs="Times New Roman"/>
          <w:spacing w:val="0"/>
          <w:lang w:eastAsia="en-AU"/>
        </w:rPr>
      </w:pPr>
    </w:p>
    <w:p w:rsidR="00B476C2" w:rsidRPr="00A5114C" w:rsidRDefault="00B476C2" w:rsidP="00B476C2">
      <w:pPr>
        <w:spacing w:after="0" w:line="240" w:lineRule="auto"/>
        <w:jc w:val="both"/>
        <w:rPr>
          <w:rFonts w:ascii="Times New Roman" w:hAnsi="Times New Roman" w:cs="Times New Roman"/>
          <w:spacing w:val="0"/>
          <w:lang w:eastAsia="en-AU"/>
        </w:rPr>
      </w:pPr>
      <w:proofErr w:type="gramStart"/>
      <w:r w:rsidRPr="00A5114C">
        <w:rPr>
          <w:rFonts w:ascii="Times New Roman" w:hAnsi="Times New Roman" w:cs="Times New Roman"/>
          <w:spacing w:val="0"/>
          <w:lang w:eastAsia="en-AU"/>
        </w:rPr>
        <w:t xml:space="preserve">If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is taken concomitantly with opioid agonists (for example, certain types of cough and cold medicinal products, certain antidiarrhoeal medicinal products, and opioid analgesics), the patient may not benefit from the opioid agonist.</w:t>
      </w:r>
      <w:proofErr w:type="gramEnd"/>
    </w:p>
    <w:p w:rsidR="00B476C2" w:rsidRPr="00A5114C" w:rsidRDefault="00B476C2" w:rsidP="00B476C2">
      <w:pPr>
        <w:spacing w:after="0" w:line="240" w:lineRule="auto"/>
        <w:jc w:val="both"/>
        <w:rPr>
          <w:rFonts w:ascii="Times New Roman" w:hAnsi="Times New Roman" w:cs="Times New Roman"/>
          <w:spacing w:val="0"/>
          <w:lang w:eastAsia="en-AU"/>
        </w:rPr>
      </w:pPr>
    </w:p>
    <w:p w:rsidR="00B476C2" w:rsidRPr="00A5114C" w:rsidRDefault="00B476C2" w:rsidP="002B4AA9">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There is no clinically relevant pharmacokinetic drug-drug interaction between nalmefene and alcohol.  There seems to be a small impairment in cognitive and psychomotor performance after administration of nalmefene.  However, the effect of nalmefene and alcohol in combination did not exceed the sum of the effects of each substance when taken alone.</w:t>
      </w:r>
    </w:p>
    <w:p w:rsidR="00B476C2" w:rsidRPr="00A5114C" w:rsidRDefault="00B476C2" w:rsidP="002B4AA9">
      <w:pPr>
        <w:spacing w:after="0" w:line="240" w:lineRule="auto"/>
        <w:jc w:val="both"/>
        <w:rPr>
          <w:rFonts w:ascii="Times New Roman" w:hAnsi="Times New Roman" w:cs="Times New Roman"/>
          <w:spacing w:val="0"/>
          <w:lang w:eastAsia="en-AU"/>
        </w:rPr>
      </w:pPr>
    </w:p>
    <w:p w:rsidR="00B476C2" w:rsidRDefault="00B476C2" w:rsidP="002B4AA9">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Simultaneous intake of alcohol and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does not prevent the intoxicating effects of alcohol.</w:t>
      </w:r>
    </w:p>
    <w:p w:rsidR="002B4AA9" w:rsidRPr="00A5114C" w:rsidRDefault="002B4AA9" w:rsidP="002B4AA9">
      <w:pPr>
        <w:spacing w:after="0" w:line="240" w:lineRule="auto"/>
        <w:jc w:val="both"/>
        <w:rPr>
          <w:rFonts w:ascii="Times New Roman" w:hAnsi="Times New Roman" w:cs="Times New Roman"/>
        </w:rPr>
      </w:pPr>
    </w:p>
    <w:p w:rsidR="00BD6605" w:rsidRPr="00A5114C" w:rsidRDefault="00BD6605" w:rsidP="009E5E3D">
      <w:pPr>
        <w:pStyle w:val="Heading2"/>
        <w:jc w:val="both"/>
        <w:rPr>
          <w:rFonts w:ascii="Times New Roman" w:hAnsi="Times New Roman" w:cs="Times New Roman"/>
        </w:rPr>
      </w:pPr>
      <w:r w:rsidRPr="00A5114C">
        <w:rPr>
          <w:rFonts w:ascii="Times New Roman" w:hAnsi="Times New Roman" w:cs="Times New Roman"/>
        </w:rPr>
        <w:t>ADVERSE E</w:t>
      </w:r>
      <w:r w:rsidR="003D2FBB" w:rsidRPr="00A5114C">
        <w:rPr>
          <w:rFonts w:ascii="Times New Roman" w:hAnsi="Times New Roman" w:cs="Times New Roman"/>
        </w:rPr>
        <w:t>FFECTS</w:t>
      </w:r>
    </w:p>
    <w:p w:rsidR="003D2FBB" w:rsidRPr="00A5114C" w:rsidRDefault="003D2FBB" w:rsidP="003D2FBB">
      <w:pPr>
        <w:pStyle w:val="Heading3"/>
        <w:jc w:val="both"/>
        <w:rPr>
          <w:rFonts w:ascii="Times New Roman" w:hAnsi="Times New Roman" w:cs="Times New Roman"/>
          <w:lang w:eastAsia="en-AU"/>
        </w:rPr>
      </w:pPr>
      <w:r w:rsidRPr="00A5114C">
        <w:rPr>
          <w:rFonts w:ascii="Times New Roman" w:hAnsi="Times New Roman" w:cs="Times New Roman"/>
          <w:lang w:eastAsia="en-AU"/>
        </w:rPr>
        <w:t>Summary of the safety profile</w:t>
      </w:r>
    </w:p>
    <w:p w:rsidR="003D2FBB" w:rsidRPr="00A5114C" w:rsidRDefault="003D2FBB" w:rsidP="00D44BE3">
      <w:pPr>
        <w:spacing w:after="0" w:line="240" w:lineRule="auto"/>
        <w:jc w:val="both"/>
        <w:rPr>
          <w:rFonts w:ascii="Times New Roman" w:hAnsi="Times New Roman" w:cs="Times New Roman"/>
          <w:lang w:eastAsia="en-AU"/>
        </w:rPr>
      </w:pPr>
      <w:r w:rsidRPr="00A5114C">
        <w:rPr>
          <w:rFonts w:ascii="Times New Roman" w:hAnsi="Times New Roman" w:cs="Times New Roman"/>
          <w:lang w:eastAsia="en-AU"/>
        </w:rPr>
        <w:t xml:space="preserve">More than 3,000 patients have been exposed to nalmefene in clinical studies. </w:t>
      </w:r>
      <w:r w:rsidR="00A61590">
        <w:rPr>
          <w:rFonts w:ascii="Times New Roman" w:hAnsi="Times New Roman" w:cs="Times New Roman"/>
          <w:lang w:eastAsia="en-AU"/>
        </w:rPr>
        <w:t xml:space="preserve"> </w:t>
      </w:r>
      <w:r w:rsidRPr="00A5114C">
        <w:rPr>
          <w:rFonts w:ascii="Times New Roman" w:hAnsi="Times New Roman" w:cs="Times New Roman"/>
          <w:lang w:eastAsia="en-AU"/>
        </w:rPr>
        <w:t>Overall, the safety profile appears consistent across all the clinical studies conducted.</w:t>
      </w:r>
    </w:p>
    <w:p w:rsidR="00AF67CC" w:rsidRPr="00A5114C" w:rsidRDefault="00AF67CC" w:rsidP="00AF67CC">
      <w:pPr>
        <w:spacing w:after="0" w:line="240" w:lineRule="auto"/>
        <w:jc w:val="both"/>
        <w:rPr>
          <w:rFonts w:ascii="Times New Roman" w:hAnsi="Times New Roman" w:cs="Times New Roman"/>
          <w:lang w:eastAsia="en-AU"/>
        </w:rPr>
      </w:pPr>
    </w:p>
    <w:p w:rsidR="00997DB4" w:rsidRPr="00A5114C" w:rsidRDefault="00997DB4" w:rsidP="00913DEE">
      <w:pPr>
        <w:spacing w:line="240" w:lineRule="auto"/>
        <w:jc w:val="both"/>
        <w:rPr>
          <w:rFonts w:ascii="Times New Roman" w:hAnsi="Times New Roman" w:cs="Times New Roman"/>
          <w:lang w:eastAsia="en-AU"/>
        </w:rPr>
      </w:pPr>
      <w:r w:rsidRPr="00A5114C">
        <w:rPr>
          <w:rFonts w:ascii="Times New Roman" w:hAnsi="Times New Roman" w:cs="Times New Roman"/>
          <w:lang w:eastAsia="en-AU"/>
        </w:rPr>
        <w:t>The incidences of treatment-emergent adverse events (TEAEs) were calculated based on three randomised, double-blind, placebo-controlled studies in patients with alcohol dependence (Alcohol Dependence Pool - 1,144 patients exposed to SELINCRO as-needed and 797 exposed to placebo as-needed – See CLINICAL TRIALS).</w:t>
      </w:r>
    </w:p>
    <w:p w:rsidR="00997DB4" w:rsidRPr="00A5114C" w:rsidRDefault="00997DB4" w:rsidP="00913DEE">
      <w:pPr>
        <w:spacing w:line="240" w:lineRule="auto"/>
        <w:jc w:val="both"/>
        <w:rPr>
          <w:rFonts w:ascii="Times New Roman" w:hAnsi="Times New Roman" w:cs="Times New Roman"/>
          <w:lang w:eastAsia="en-AU"/>
        </w:rPr>
      </w:pPr>
      <w:r w:rsidRPr="00A5114C">
        <w:rPr>
          <w:rFonts w:ascii="Times New Roman" w:hAnsi="Times New Roman" w:cs="Times New Roman"/>
          <w:lang w:val="en-CA"/>
        </w:rPr>
        <w:t xml:space="preserve">The TEAEs with the highest incidence in the SELINCRO group were nausea, dizziness, insomnia, and headache.  The majority of these events were mild or moderate, associated with treatment initiation and of short duration.  </w:t>
      </w:r>
      <w:r w:rsidRPr="00A5114C">
        <w:rPr>
          <w:rFonts w:ascii="Times New Roman" w:hAnsi="Times New Roman" w:cs="Times New Roman"/>
          <w:lang w:eastAsia="en-AU"/>
        </w:rPr>
        <w:t xml:space="preserve">A total of 14% of patients in the SELINCRO group and 9% of patients in the placebo group had severe TEAEs; the severe TEAEs with an incidence </w:t>
      </w:r>
      <w:r w:rsidRPr="00A5114C">
        <w:rPr>
          <w:rFonts w:ascii="Times New Roman" w:hAnsi="Times New Roman" w:cs="Times New Roman"/>
          <w:u w:val="single"/>
          <w:lang w:eastAsia="en-AU"/>
        </w:rPr>
        <w:t>&gt;</w:t>
      </w:r>
      <w:r w:rsidRPr="00A5114C">
        <w:rPr>
          <w:rFonts w:ascii="Times New Roman" w:hAnsi="Times New Roman" w:cs="Times New Roman"/>
          <w:lang w:eastAsia="en-AU"/>
        </w:rPr>
        <w:t>1% in the SELINCRO group were nausea, dizziness, insomnia, headache, and vomiting.</w:t>
      </w:r>
    </w:p>
    <w:p w:rsidR="00997DB4" w:rsidRPr="00A5114C" w:rsidRDefault="00997DB4" w:rsidP="00913DEE">
      <w:pPr>
        <w:widowControl w:val="0"/>
        <w:spacing w:line="240" w:lineRule="auto"/>
        <w:jc w:val="both"/>
        <w:rPr>
          <w:rFonts w:ascii="Times New Roman" w:hAnsi="Times New Roman" w:cs="Times New Roman"/>
          <w:lang w:val="en-CA"/>
        </w:rPr>
      </w:pPr>
      <w:r w:rsidRPr="00A5114C">
        <w:rPr>
          <w:rFonts w:ascii="Times New Roman" w:hAnsi="Times New Roman" w:cs="Times New Roman"/>
          <w:lang w:val="en-CA"/>
        </w:rPr>
        <w:t xml:space="preserve">The clinically relevant, common and very common TEAEs that occurred in the three </w:t>
      </w:r>
      <w:r w:rsidR="00B25350">
        <w:rPr>
          <w:rFonts w:ascii="Times New Roman" w:hAnsi="Times New Roman" w:cs="Times New Roman"/>
          <w:lang w:val="en-CA"/>
        </w:rPr>
        <w:t>phase 3</w:t>
      </w:r>
      <w:r w:rsidR="00B25350" w:rsidRPr="00A5114C">
        <w:rPr>
          <w:rFonts w:ascii="Times New Roman" w:hAnsi="Times New Roman" w:cs="Times New Roman"/>
          <w:lang w:val="en-CA"/>
        </w:rPr>
        <w:t xml:space="preserve"> </w:t>
      </w:r>
      <w:r w:rsidRPr="00A5114C">
        <w:rPr>
          <w:rFonts w:ascii="Times New Roman" w:hAnsi="Times New Roman" w:cs="Times New Roman"/>
          <w:lang w:val="en-CA"/>
        </w:rPr>
        <w:t xml:space="preserve">clinical studies are described in Table </w:t>
      </w:r>
      <w:r w:rsidR="008637F1">
        <w:rPr>
          <w:rFonts w:ascii="Times New Roman" w:hAnsi="Times New Roman" w:cs="Times New Roman"/>
          <w:lang w:val="en-CA"/>
        </w:rPr>
        <w:t>4</w:t>
      </w:r>
      <w:r w:rsidRPr="00A5114C">
        <w:rPr>
          <w:rFonts w:ascii="Times New Roman" w:hAnsi="Times New Roman" w:cs="Times New Roman"/>
          <w:lang w:val="en-CA"/>
        </w:rPr>
        <w:t xml:space="preserve">.  The TEAEs included are those with an incidence </w:t>
      </w:r>
      <w:r w:rsidRPr="00A5114C">
        <w:rPr>
          <w:rFonts w:ascii="Times New Roman" w:hAnsi="Times New Roman" w:cs="Times New Roman"/>
          <w:lang w:val="en-CA"/>
        </w:rPr>
        <w:lastRenderedPageBreak/>
        <w:t>≥ 1% in the SELINCRO group and for which the incidence was greater than that in the placebo group.</w:t>
      </w:r>
    </w:p>
    <w:p w:rsidR="00997DB4" w:rsidRPr="00A5114C" w:rsidRDefault="00997DB4" w:rsidP="00913DEE">
      <w:pPr>
        <w:spacing w:line="240" w:lineRule="auto"/>
        <w:jc w:val="both"/>
        <w:rPr>
          <w:rFonts w:ascii="Times New Roman" w:hAnsi="Times New Roman" w:cs="Times New Roman"/>
          <w:lang w:eastAsia="en-AU"/>
        </w:rPr>
      </w:pPr>
      <w:r w:rsidRPr="00A5114C">
        <w:rPr>
          <w:rFonts w:ascii="Times New Roman" w:hAnsi="Times New Roman" w:cs="Times New Roman"/>
          <w:lang w:eastAsia="en-AU"/>
        </w:rPr>
        <w:t xml:space="preserve">Confusional state and, rarely, hallucinations and dissociation were reported in the </w:t>
      </w:r>
      <w:r w:rsidR="00F0100E" w:rsidRPr="00A5114C">
        <w:rPr>
          <w:rFonts w:ascii="Times New Roman" w:hAnsi="Times New Roman" w:cs="Times New Roman"/>
          <w:lang w:eastAsia="en-AU"/>
        </w:rPr>
        <w:t>clinical development</w:t>
      </w:r>
      <w:r w:rsidRPr="00A5114C">
        <w:rPr>
          <w:rFonts w:ascii="Times New Roman" w:hAnsi="Times New Roman" w:cs="Times New Roman"/>
          <w:lang w:eastAsia="en-AU"/>
        </w:rPr>
        <w:t xml:space="preserve"> programme for nalmefene.  The majority of these events were mild or moderate, associated with treatment initiation, and of short duration (a few hours to a few days).  Most of these adverse events resolved during continued treatment and did not recur upon repeated administration.  While these events were generally short-lasting, they could represent alcoholic psychosis, alcohol withdrawal syndrome, or comorbid psychiatric disease.</w:t>
      </w:r>
    </w:p>
    <w:p w:rsidR="00997DB4" w:rsidRPr="00A5114C" w:rsidRDefault="00997DB4" w:rsidP="002B4AA9">
      <w:pPr>
        <w:widowControl w:val="0"/>
        <w:spacing w:after="0" w:line="240" w:lineRule="auto"/>
        <w:jc w:val="both"/>
        <w:rPr>
          <w:rFonts w:ascii="Times New Roman" w:hAnsi="Times New Roman" w:cs="Times New Roman"/>
          <w:lang w:val="en-CA"/>
        </w:rPr>
      </w:pPr>
      <w:r w:rsidRPr="00A5114C">
        <w:rPr>
          <w:rFonts w:ascii="Times New Roman" w:hAnsi="Times New Roman" w:cs="Times New Roman"/>
          <w:lang w:eastAsia="en-AU"/>
        </w:rPr>
        <w:t>The overall incidence of TEAEs was 63% in the placebo group and 75% in the SELINCRO group.</w:t>
      </w:r>
    </w:p>
    <w:p w:rsidR="00AF67CC" w:rsidRPr="00A5114C" w:rsidRDefault="00AF67CC" w:rsidP="00AF67CC">
      <w:pPr>
        <w:spacing w:after="0" w:line="240" w:lineRule="auto"/>
        <w:jc w:val="both"/>
        <w:rPr>
          <w:rFonts w:ascii="Times New Roman" w:hAnsi="Times New Roman" w:cs="Times New Roman"/>
          <w:lang w:eastAsia="en-AU"/>
        </w:rPr>
      </w:pPr>
    </w:p>
    <w:p w:rsidR="002B4AA9" w:rsidRDefault="002B4AA9" w:rsidP="002B4AA9">
      <w:pPr>
        <w:pStyle w:val="Caption"/>
        <w:keepNext/>
        <w:rPr>
          <w:rFonts w:ascii="Times New Roman" w:hAnsi="Times New Roman" w:cs="Times New Roman"/>
          <w:sz w:val="22"/>
          <w:szCs w:val="22"/>
        </w:rPr>
      </w:pPr>
      <w:r w:rsidRPr="002B4AA9">
        <w:rPr>
          <w:rFonts w:ascii="Times New Roman" w:hAnsi="Times New Roman" w:cs="Times New Roman"/>
          <w:sz w:val="22"/>
          <w:szCs w:val="22"/>
        </w:rPr>
        <w:t xml:space="preserve">Table </w:t>
      </w:r>
      <w:r w:rsidRPr="002B4AA9">
        <w:rPr>
          <w:rFonts w:ascii="Times New Roman" w:hAnsi="Times New Roman" w:cs="Times New Roman"/>
          <w:sz w:val="22"/>
          <w:szCs w:val="22"/>
        </w:rPr>
        <w:fldChar w:fldCharType="begin"/>
      </w:r>
      <w:r w:rsidRPr="002B4AA9">
        <w:rPr>
          <w:rFonts w:ascii="Times New Roman" w:hAnsi="Times New Roman" w:cs="Times New Roman"/>
          <w:sz w:val="22"/>
          <w:szCs w:val="22"/>
        </w:rPr>
        <w:instrText xml:space="preserve"> SEQ Table \* ARABIC </w:instrText>
      </w:r>
      <w:r w:rsidRPr="002B4AA9">
        <w:rPr>
          <w:rFonts w:ascii="Times New Roman" w:hAnsi="Times New Roman" w:cs="Times New Roman"/>
          <w:sz w:val="22"/>
          <w:szCs w:val="22"/>
        </w:rPr>
        <w:fldChar w:fldCharType="separate"/>
      </w:r>
      <w:r w:rsidRPr="002B4AA9">
        <w:rPr>
          <w:rFonts w:ascii="Times New Roman" w:hAnsi="Times New Roman" w:cs="Times New Roman"/>
          <w:noProof/>
          <w:sz w:val="22"/>
          <w:szCs w:val="22"/>
        </w:rPr>
        <w:t>4</w:t>
      </w:r>
      <w:r w:rsidRPr="002B4AA9">
        <w:rPr>
          <w:rFonts w:ascii="Times New Roman" w:hAnsi="Times New Roman" w:cs="Times New Roman"/>
          <w:sz w:val="22"/>
          <w:szCs w:val="22"/>
        </w:rPr>
        <w:fldChar w:fldCharType="end"/>
      </w:r>
      <w:r>
        <w:rPr>
          <w:rFonts w:ascii="Times New Roman" w:hAnsi="Times New Roman" w:cs="Times New Roman"/>
          <w:sz w:val="22"/>
          <w:szCs w:val="22"/>
        </w:rPr>
        <w:t>:</w:t>
      </w:r>
      <w:r w:rsidRPr="002B4AA9">
        <w:rPr>
          <w:rFonts w:ascii="Times New Roman" w:hAnsi="Times New Roman" w:cs="Times New Roman"/>
          <w:sz w:val="22"/>
          <w:szCs w:val="22"/>
        </w:rPr>
        <w:t xml:space="preserve"> Clinically Relevant Common and Very Common</w:t>
      </w:r>
      <w:r w:rsidRPr="002B4AA9">
        <w:rPr>
          <w:rFonts w:ascii="Times New Roman" w:hAnsi="Times New Roman" w:cs="Times New Roman"/>
          <w:sz w:val="22"/>
          <w:szCs w:val="22"/>
          <w:vertAlign w:val="superscript"/>
        </w:rPr>
        <w:t xml:space="preserve">1 </w:t>
      </w:r>
      <w:r w:rsidRPr="002B4AA9">
        <w:rPr>
          <w:rFonts w:ascii="Times New Roman" w:hAnsi="Times New Roman" w:cs="Times New Roman"/>
          <w:sz w:val="22"/>
          <w:szCs w:val="22"/>
        </w:rPr>
        <w:t>Treatment-Emergent Adverse Events (TEAEs) in Clinical Studies</w:t>
      </w:r>
      <w:r w:rsidRPr="002B4AA9">
        <w:rPr>
          <w:rFonts w:ascii="Times New Roman" w:hAnsi="Times New Roman" w:cs="Times New Roman"/>
          <w:sz w:val="22"/>
          <w:szCs w:val="22"/>
          <w:vertAlign w:val="superscript"/>
        </w:rPr>
        <w:t>2</w:t>
      </w:r>
      <w:r w:rsidRPr="002B4AA9">
        <w:rPr>
          <w:rFonts w:ascii="Times New Roman" w:hAnsi="Times New Roman" w:cs="Times New Roman"/>
          <w:sz w:val="22"/>
          <w:szCs w:val="22"/>
        </w:rPr>
        <w:t xml:space="preserve"> of Alcohol Dependence</w:t>
      </w:r>
    </w:p>
    <w:p w:rsidR="00E031EA" w:rsidRPr="00BC7D22" w:rsidRDefault="00E031EA" w:rsidP="00BC7D22">
      <w:pPr>
        <w:spacing w:after="0"/>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4"/>
        <w:gridCol w:w="2177"/>
        <w:gridCol w:w="2175"/>
      </w:tblGrid>
      <w:tr w:rsidR="00997DB4" w:rsidRPr="00A5114C" w:rsidTr="00AF67CC">
        <w:trPr>
          <w:tblHeader/>
        </w:trPr>
        <w:tc>
          <w:tcPr>
            <w:tcW w:w="2543" w:type="pct"/>
            <w:tcBorders>
              <w:top w:val="single" w:sz="4" w:space="0" w:color="auto"/>
              <w:left w:val="nil"/>
              <w:bottom w:val="single" w:sz="4" w:space="0" w:color="auto"/>
              <w:right w:val="nil"/>
            </w:tcBorders>
            <w:shd w:val="clear" w:color="auto" w:fill="auto"/>
          </w:tcPr>
          <w:p w:rsidR="00997DB4" w:rsidRPr="00A5114C" w:rsidRDefault="00997DB4" w:rsidP="00913DEE">
            <w:pPr>
              <w:widowControl w:val="0"/>
              <w:spacing w:after="0" w:line="240" w:lineRule="auto"/>
              <w:jc w:val="both"/>
              <w:rPr>
                <w:rFonts w:ascii="Times New Roman" w:eastAsia="Times New Roman" w:hAnsi="Times New Roman" w:cs="Times New Roman"/>
                <w:b/>
                <w:sz w:val="20"/>
                <w:szCs w:val="20"/>
                <w:lang w:val="en-CA"/>
              </w:rPr>
            </w:pPr>
            <w:r w:rsidRPr="00A5114C">
              <w:rPr>
                <w:rFonts w:ascii="Times New Roman" w:eastAsia="Times New Roman" w:hAnsi="Times New Roman" w:cs="Times New Roman"/>
                <w:b/>
                <w:sz w:val="20"/>
                <w:szCs w:val="20"/>
                <w:lang w:val="en-CA"/>
              </w:rPr>
              <w:t>BODY SYSTEM</w:t>
            </w:r>
          </w:p>
          <w:p w:rsidR="00997DB4" w:rsidRPr="00A5114C" w:rsidRDefault="00997DB4" w:rsidP="00913DEE">
            <w:pPr>
              <w:spacing w:after="0" w:line="240" w:lineRule="auto"/>
              <w:rPr>
                <w:rFonts w:ascii="Times New Roman" w:eastAsia="Times New Roman" w:hAnsi="Times New Roman" w:cs="Times New Roman"/>
                <w:b/>
                <w:sz w:val="20"/>
                <w:szCs w:val="20"/>
                <w:lang w:val="en-CA"/>
              </w:rPr>
            </w:pPr>
            <w:r w:rsidRPr="00A5114C">
              <w:rPr>
                <w:rFonts w:ascii="Times New Roman" w:eastAsia="Times New Roman" w:hAnsi="Times New Roman" w:cs="Times New Roman"/>
                <w:b/>
                <w:sz w:val="20"/>
                <w:szCs w:val="20"/>
                <w:lang w:val="en-CA"/>
              </w:rPr>
              <w:t>Adverse event</w:t>
            </w:r>
          </w:p>
        </w:tc>
        <w:tc>
          <w:tcPr>
            <w:tcW w:w="2457" w:type="pct"/>
            <w:gridSpan w:val="2"/>
            <w:tcBorders>
              <w:top w:val="single" w:sz="4" w:space="0" w:color="auto"/>
              <w:left w:val="nil"/>
              <w:bottom w:val="single" w:sz="4" w:space="0" w:color="auto"/>
              <w:right w:val="nil"/>
            </w:tcBorders>
            <w:shd w:val="clear" w:color="auto" w:fill="auto"/>
          </w:tcPr>
          <w:p w:rsidR="00997DB4" w:rsidRPr="00A5114C" w:rsidRDefault="00997DB4" w:rsidP="00913DEE">
            <w:pPr>
              <w:widowControl w:val="0"/>
              <w:spacing w:after="0" w:line="240" w:lineRule="auto"/>
              <w:jc w:val="center"/>
              <w:rPr>
                <w:rFonts w:ascii="Times New Roman" w:eastAsia="Times New Roman" w:hAnsi="Times New Roman" w:cs="Times New Roman"/>
                <w:b/>
                <w:sz w:val="20"/>
                <w:szCs w:val="20"/>
                <w:lang w:val="en-CA"/>
              </w:rPr>
            </w:pPr>
            <w:r w:rsidRPr="00A5114C">
              <w:rPr>
                <w:rFonts w:ascii="Times New Roman" w:eastAsia="Times New Roman" w:hAnsi="Times New Roman" w:cs="Times New Roman"/>
                <w:b/>
                <w:sz w:val="20"/>
                <w:szCs w:val="20"/>
                <w:lang w:val="en-CA"/>
              </w:rPr>
              <w:t>Percentage (%) of patients reporting TEAEs TEAE Incidence (%)</w:t>
            </w:r>
          </w:p>
        </w:tc>
      </w:tr>
      <w:tr w:rsidR="00997DB4" w:rsidRPr="00A5114C" w:rsidTr="002B4AA9">
        <w:trPr>
          <w:tblHeader/>
        </w:trPr>
        <w:tc>
          <w:tcPr>
            <w:tcW w:w="2543" w:type="pct"/>
            <w:tcBorders>
              <w:top w:val="single" w:sz="4" w:space="0" w:color="auto"/>
              <w:left w:val="nil"/>
              <w:bottom w:val="single" w:sz="4" w:space="0" w:color="auto"/>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tc>
        <w:tc>
          <w:tcPr>
            <w:tcW w:w="1229" w:type="pct"/>
            <w:tcBorders>
              <w:top w:val="single" w:sz="4" w:space="0" w:color="auto"/>
              <w:left w:val="nil"/>
              <w:bottom w:val="single" w:sz="4" w:space="0" w:color="auto"/>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b/>
                <w:sz w:val="20"/>
                <w:szCs w:val="20"/>
                <w:lang w:val="en-CA"/>
              </w:rPr>
              <w:t>Placebo</w:t>
            </w:r>
            <w:r w:rsidRPr="00A5114C">
              <w:rPr>
                <w:rFonts w:ascii="Times New Roman" w:hAnsi="Times New Roman" w:cs="Times New Roman"/>
                <w:sz w:val="20"/>
                <w:szCs w:val="20"/>
                <w:lang w:val="en-CA"/>
              </w:rPr>
              <w:t xml:space="preserve"> </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(n=797)</w:t>
            </w:r>
          </w:p>
        </w:tc>
        <w:tc>
          <w:tcPr>
            <w:tcW w:w="1228" w:type="pct"/>
            <w:tcBorders>
              <w:top w:val="single" w:sz="4" w:space="0" w:color="auto"/>
              <w:left w:val="nil"/>
              <w:bottom w:val="single" w:sz="4" w:space="0" w:color="auto"/>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b/>
                <w:sz w:val="20"/>
                <w:szCs w:val="20"/>
                <w:lang w:val="en-CA"/>
              </w:rPr>
              <w:t>SELINCRO</w:t>
            </w:r>
            <w:r w:rsidRPr="00A5114C">
              <w:rPr>
                <w:rFonts w:ascii="Times New Roman" w:hAnsi="Times New Roman" w:cs="Times New Roman"/>
                <w:sz w:val="20"/>
                <w:szCs w:val="20"/>
                <w:lang w:val="en-CA"/>
              </w:rPr>
              <w:t xml:space="preserve"> </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(n=1144)</w:t>
            </w:r>
          </w:p>
        </w:tc>
      </w:tr>
      <w:tr w:rsidR="00997DB4" w:rsidRPr="00A5114C" w:rsidTr="002B4AA9">
        <w:tblPrEx>
          <w:tblBorders>
            <w:insideH w:val="single" w:sz="4" w:space="0" w:color="auto"/>
            <w:insideV w:val="single" w:sz="4" w:space="0" w:color="auto"/>
          </w:tblBorders>
        </w:tblPrEx>
        <w:tc>
          <w:tcPr>
            <w:tcW w:w="2543" w:type="pct"/>
            <w:tcBorders>
              <w:bottom w:val="nil"/>
              <w:right w:val="nil"/>
            </w:tcBorders>
          </w:tcPr>
          <w:p w:rsidR="00997DB4" w:rsidRPr="00A5114C" w:rsidRDefault="00997DB4" w:rsidP="00913DEE">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METABOLISM AND NUTRITION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 xml:space="preserve">Decreased appetite </w:t>
            </w:r>
          </w:p>
        </w:tc>
        <w:tc>
          <w:tcPr>
            <w:tcW w:w="1229" w:type="pct"/>
            <w:tcBorders>
              <w:left w:val="nil"/>
              <w:bottom w:val="nil"/>
              <w:right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1.1</w:t>
            </w:r>
          </w:p>
        </w:tc>
        <w:tc>
          <w:tcPr>
            <w:tcW w:w="1228" w:type="pct"/>
            <w:tcBorders>
              <w:left w:val="nil"/>
              <w:bottom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4.9</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PSYCHIATRIC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Confusional state</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Insomnia</w:t>
            </w:r>
          </w:p>
          <w:p w:rsidR="00997DB4" w:rsidRPr="00A5114C" w:rsidRDefault="00997DB4" w:rsidP="00913DEE">
            <w:pPr>
              <w:pStyle w:val="ListParagraph"/>
              <w:widowControl w:val="0"/>
              <w:spacing w:after="0" w:line="240" w:lineRule="auto"/>
              <w:jc w:val="both"/>
              <w:rPr>
                <w:rFonts w:ascii="Times New Roman" w:hAnsi="Times New Roman"/>
                <w:sz w:val="20"/>
                <w:szCs w:val="20"/>
                <w:vertAlign w:val="superscript"/>
                <w:lang w:val="en-CA"/>
              </w:rPr>
            </w:pPr>
            <w:r w:rsidRPr="00A5114C">
              <w:rPr>
                <w:rFonts w:ascii="Times New Roman" w:hAnsi="Times New Roman"/>
                <w:sz w:val="20"/>
                <w:szCs w:val="20"/>
                <w:lang w:val="en-CA"/>
              </w:rPr>
              <w:t>Libido decreased (including loss of libido)</w:t>
            </w:r>
            <w:r w:rsidRPr="00A5114C">
              <w:rPr>
                <w:rFonts w:ascii="Times New Roman" w:hAnsi="Times New Roman"/>
                <w:sz w:val="20"/>
                <w:szCs w:val="20"/>
                <w:vertAlign w:val="superscript"/>
                <w:lang w:val="en-CA"/>
              </w:rPr>
              <w:t>3</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Restlessness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Sleep disorder</w:t>
            </w:r>
          </w:p>
        </w:tc>
        <w:tc>
          <w:tcPr>
            <w:tcW w:w="1229" w:type="pct"/>
            <w:tcBorders>
              <w:top w:val="nil"/>
              <w:left w:val="nil"/>
              <w:bottom w:val="nil"/>
              <w:right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5.4</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0.4</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0.6</w:t>
            </w:r>
          </w:p>
        </w:tc>
        <w:tc>
          <w:tcPr>
            <w:tcW w:w="1228" w:type="pct"/>
            <w:tcBorders>
              <w:top w:val="nil"/>
              <w:left w:val="nil"/>
              <w:bottom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1.2</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13.4</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1.5</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1.1</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3.3</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NERVOUS SYSTEM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Disturbance in attention</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Dizziness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Headache</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Hypoaesthesia</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Paraesthesia</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Somnolence</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Tremor</w:t>
            </w:r>
          </w:p>
        </w:tc>
        <w:tc>
          <w:tcPr>
            <w:tcW w:w="1229" w:type="pct"/>
            <w:tcBorders>
              <w:top w:val="nil"/>
              <w:left w:val="nil"/>
              <w:bottom w:val="nil"/>
              <w:right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0.5</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5.5</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8.3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0.1</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2.9</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1.4</w:t>
            </w:r>
          </w:p>
        </w:tc>
        <w:tc>
          <w:tcPr>
            <w:tcW w:w="1228" w:type="pct"/>
            <w:tcBorders>
              <w:top w:val="nil"/>
              <w:left w:val="nil"/>
              <w:bottom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2.6</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18.2</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12.3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1.3</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1.7</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5.2</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3.5</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CARDIAC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Palpitations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Tachycardia</w:t>
            </w:r>
          </w:p>
        </w:tc>
        <w:tc>
          <w:tcPr>
            <w:tcW w:w="1229" w:type="pct"/>
            <w:tcBorders>
              <w:top w:val="nil"/>
              <w:left w:val="nil"/>
              <w:bottom w:val="nil"/>
              <w:right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0.1</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1.0</w:t>
            </w:r>
          </w:p>
        </w:tc>
        <w:tc>
          <w:tcPr>
            <w:tcW w:w="1228" w:type="pct"/>
            <w:tcBorders>
              <w:top w:val="nil"/>
              <w:left w:val="nil"/>
              <w:bottom w:val="nil"/>
            </w:tcBorders>
            <w:shd w:val="clear" w:color="auto" w:fill="auto"/>
          </w:tcPr>
          <w:p w:rsidR="00997DB4" w:rsidRPr="00A5114C" w:rsidRDefault="00997DB4" w:rsidP="00BC7D22">
            <w:pPr>
              <w:widowControl w:val="0"/>
              <w:spacing w:after="0" w:line="240" w:lineRule="auto"/>
              <w:rPr>
                <w:rFonts w:ascii="Times New Roman" w:hAnsi="Times New Roman" w:cs="Times New Roman"/>
                <w:sz w:val="20"/>
                <w:szCs w:val="20"/>
                <w:lang w:val="en-CA"/>
              </w:rPr>
            </w:pP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1.1</w:t>
            </w:r>
          </w:p>
          <w:p w:rsidR="00997DB4" w:rsidRPr="00A5114C" w:rsidRDefault="00997DB4" w:rsidP="00BC7D22">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2.9</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GASTROINTESTINAL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Dry mouth</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Nausea</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Vomiting</w:t>
            </w:r>
          </w:p>
        </w:tc>
        <w:tc>
          <w:tcPr>
            <w:tcW w:w="1229" w:type="pct"/>
            <w:tcBorders>
              <w:top w:val="nil"/>
              <w:left w:val="nil"/>
              <w:bottom w:val="nil"/>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1.5</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5.9</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2.3</w:t>
            </w:r>
          </w:p>
        </w:tc>
        <w:tc>
          <w:tcPr>
            <w:tcW w:w="1228" w:type="pct"/>
            <w:tcBorders>
              <w:top w:val="nil"/>
              <w:left w:val="nil"/>
              <w:bottom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3.0</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22.1</w:t>
            </w:r>
          </w:p>
          <w:p w:rsidR="00A5114C" w:rsidRPr="00A5114C" w:rsidRDefault="00997DB4" w:rsidP="00A062CA">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8.7</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SKIN AND SUBCUTANEOUS TISSUE DISORDER</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Hyperhidrosis</w:t>
            </w:r>
          </w:p>
        </w:tc>
        <w:tc>
          <w:tcPr>
            <w:tcW w:w="1229" w:type="pct"/>
            <w:tcBorders>
              <w:top w:val="nil"/>
              <w:left w:val="nil"/>
              <w:bottom w:val="nil"/>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1.0</w:t>
            </w:r>
          </w:p>
        </w:tc>
        <w:tc>
          <w:tcPr>
            <w:tcW w:w="1228" w:type="pct"/>
            <w:tcBorders>
              <w:top w:val="nil"/>
              <w:left w:val="nil"/>
              <w:bottom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4.3</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t>MUSCULOSKELETAL AND CONNECTIVE TISSUE DISORDERS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lastRenderedPageBreak/>
              <w:t>Muscle spasms</w:t>
            </w:r>
          </w:p>
        </w:tc>
        <w:tc>
          <w:tcPr>
            <w:tcW w:w="1229" w:type="pct"/>
            <w:tcBorders>
              <w:top w:val="nil"/>
              <w:left w:val="nil"/>
              <w:bottom w:val="nil"/>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lastRenderedPageBreak/>
              <w:t>-</w:t>
            </w:r>
          </w:p>
        </w:tc>
        <w:tc>
          <w:tcPr>
            <w:tcW w:w="1228" w:type="pct"/>
            <w:tcBorders>
              <w:top w:val="nil"/>
              <w:left w:val="nil"/>
              <w:bottom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lastRenderedPageBreak/>
              <w:t>1.7</w:t>
            </w:r>
          </w:p>
        </w:tc>
      </w:tr>
      <w:tr w:rsidR="00997DB4" w:rsidRPr="00A5114C" w:rsidTr="002B4AA9">
        <w:tblPrEx>
          <w:tblBorders>
            <w:insideH w:val="single" w:sz="4" w:space="0" w:color="auto"/>
            <w:insideV w:val="single" w:sz="4" w:space="0" w:color="auto"/>
          </w:tblBorders>
        </w:tblPrEx>
        <w:tc>
          <w:tcPr>
            <w:tcW w:w="2543" w:type="pct"/>
            <w:tcBorders>
              <w:top w:val="nil"/>
              <w:bottom w:val="nil"/>
              <w:right w:val="nil"/>
            </w:tcBorders>
          </w:tcPr>
          <w:p w:rsidR="00997DB4" w:rsidRPr="00A5114C" w:rsidRDefault="00997DB4" w:rsidP="00913DEE">
            <w:pPr>
              <w:widowControl w:val="0"/>
              <w:spacing w:after="0" w:line="240" w:lineRule="auto"/>
              <w:rPr>
                <w:rFonts w:ascii="Times New Roman" w:hAnsi="Times New Roman" w:cs="Times New Roman"/>
                <w:sz w:val="20"/>
                <w:szCs w:val="20"/>
                <w:lang w:val="en-CA"/>
              </w:rPr>
            </w:pPr>
            <w:r w:rsidRPr="00A5114C">
              <w:rPr>
                <w:rFonts w:ascii="Times New Roman" w:hAnsi="Times New Roman" w:cs="Times New Roman"/>
                <w:sz w:val="20"/>
                <w:szCs w:val="20"/>
                <w:lang w:val="en-CA"/>
              </w:rPr>
              <w:lastRenderedPageBreak/>
              <w:t>GENERAL DISORDERS AND ADMINISTRATIVE SITE CONDITIONS</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Asthenia</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Fatigue</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Feeling abnormal</w:t>
            </w:r>
          </w:p>
          <w:p w:rsidR="00997DB4" w:rsidRPr="00A5114C" w:rsidRDefault="00997DB4" w:rsidP="00913DEE">
            <w:pPr>
              <w:pStyle w:val="ListParagraph"/>
              <w:widowControl w:val="0"/>
              <w:spacing w:after="0" w:line="240" w:lineRule="auto"/>
              <w:jc w:val="both"/>
              <w:rPr>
                <w:rFonts w:ascii="Times New Roman" w:hAnsi="Times New Roman"/>
                <w:sz w:val="20"/>
                <w:szCs w:val="20"/>
                <w:lang w:val="en-CA"/>
              </w:rPr>
            </w:pPr>
            <w:r w:rsidRPr="00A5114C">
              <w:rPr>
                <w:rFonts w:ascii="Times New Roman" w:hAnsi="Times New Roman"/>
                <w:sz w:val="20"/>
                <w:szCs w:val="20"/>
                <w:lang w:val="en-CA"/>
              </w:rPr>
              <w:t>Malaise</w:t>
            </w:r>
          </w:p>
        </w:tc>
        <w:tc>
          <w:tcPr>
            <w:tcW w:w="1229" w:type="pct"/>
            <w:tcBorders>
              <w:top w:val="nil"/>
              <w:left w:val="nil"/>
              <w:bottom w:val="nil"/>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0.6</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4.6</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0.1</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0.3</w:t>
            </w:r>
          </w:p>
        </w:tc>
        <w:tc>
          <w:tcPr>
            <w:tcW w:w="1228" w:type="pct"/>
            <w:tcBorders>
              <w:top w:val="nil"/>
              <w:left w:val="nil"/>
              <w:bottom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2.9</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8.3</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1.5</w:t>
            </w: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2.0</w:t>
            </w:r>
          </w:p>
        </w:tc>
      </w:tr>
      <w:tr w:rsidR="00997DB4" w:rsidRPr="00A5114C" w:rsidTr="002B4AA9">
        <w:tblPrEx>
          <w:tblBorders>
            <w:insideH w:val="single" w:sz="4" w:space="0" w:color="auto"/>
            <w:insideV w:val="single" w:sz="4" w:space="0" w:color="auto"/>
          </w:tblBorders>
        </w:tblPrEx>
        <w:tc>
          <w:tcPr>
            <w:tcW w:w="2543" w:type="pct"/>
            <w:tcBorders>
              <w:top w:val="nil"/>
              <w:right w:val="nil"/>
            </w:tcBorders>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INVESTIGATIONS</w:t>
            </w:r>
          </w:p>
          <w:p w:rsidR="00997DB4" w:rsidRPr="00A5114C" w:rsidRDefault="00997DB4" w:rsidP="00913DEE">
            <w:pPr>
              <w:widowControl w:val="0"/>
              <w:spacing w:after="0" w:line="240" w:lineRule="auto"/>
              <w:ind w:left="720"/>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Weight decreased</w:t>
            </w:r>
          </w:p>
        </w:tc>
        <w:tc>
          <w:tcPr>
            <w:tcW w:w="1229" w:type="pct"/>
            <w:tcBorders>
              <w:top w:val="nil"/>
              <w:left w:val="nil"/>
              <w:righ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0.4</w:t>
            </w:r>
          </w:p>
        </w:tc>
        <w:tc>
          <w:tcPr>
            <w:tcW w:w="1228" w:type="pct"/>
            <w:tcBorders>
              <w:top w:val="nil"/>
              <w:left w:val="nil"/>
            </w:tcBorders>
            <w:shd w:val="clear" w:color="auto" w:fill="auto"/>
          </w:tcPr>
          <w:p w:rsidR="00997DB4" w:rsidRPr="00A5114C" w:rsidRDefault="00997DB4" w:rsidP="00913DEE">
            <w:pPr>
              <w:widowControl w:val="0"/>
              <w:spacing w:after="0" w:line="240" w:lineRule="auto"/>
              <w:jc w:val="both"/>
              <w:rPr>
                <w:rFonts w:ascii="Times New Roman" w:hAnsi="Times New Roman" w:cs="Times New Roman"/>
                <w:sz w:val="20"/>
                <w:szCs w:val="20"/>
                <w:lang w:val="en-CA"/>
              </w:rPr>
            </w:pPr>
          </w:p>
          <w:p w:rsidR="00997DB4" w:rsidRPr="00A5114C" w:rsidRDefault="00997DB4" w:rsidP="00913DEE">
            <w:pPr>
              <w:widowControl w:val="0"/>
              <w:spacing w:after="0" w:line="240" w:lineRule="auto"/>
              <w:jc w:val="both"/>
              <w:rPr>
                <w:rFonts w:ascii="Times New Roman" w:hAnsi="Times New Roman" w:cs="Times New Roman"/>
                <w:sz w:val="20"/>
                <w:szCs w:val="20"/>
                <w:lang w:val="en-CA"/>
              </w:rPr>
            </w:pPr>
            <w:r w:rsidRPr="00A5114C">
              <w:rPr>
                <w:rFonts w:ascii="Times New Roman" w:hAnsi="Times New Roman" w:cs="Times New Roman"/>
                <w:sz w:val="20"/>
                <w:szCs w:val="20"/>
                <w:lang w:val="en-CA"/>
              </w:rPr>
              <w:t>1.4</w:t>
            </w:r>
          </w:p>
        </w:tc>
      </w:tr>
    </w:tbl>
    <w:p w:rsidR="00997DB4" w:rsidRPr="00A5114C" w:rsidRDefault="00997DB4" w:rsidP="00913DEE">
      <w:pPr>
        <w:spacing w:after="0"/>
        <w:jc w:val="both"/>
        <w:rPr>
          <w:rFonts w:ascii="Times New Roman" w:hAnsi="Times New Roman" w:cs="Times New Roman"/>
          <w:sz w:val="20"/>
          <w:szCs w:val="20"/>
        </w:rPr>
      </w:pPr>
      <w:r w:rsidRPr="00A5114C">
        <w:rPr>
          <w:rFonts w:ascii="Times New Roman" w:hAnsi="Times New Roman" w:cs="Times New Roman"/>
          <w:sz w:val="20"/>
          <w:szCs w:val="20"/>
          <w:vertAlign w:val="superscript"/>
          <w:lang w:val="en-CA"/>
        </w:rPr>
        <w:t xml:space="preserve">1 </w:t>
      </w:r>
      <w:r w:rsidRPr="00A5114C">
        <w:rPr>
          <w:rFonts w:ascii="Times New Roman" w:hAnsi="Times New Roman" w:cs="Times New Roman"/>
          <w:sz w:val="20"/>
          <w:szCs w:val="20"/>
          <w:lang w:val="en-CA"/>
        </w:rPr>
        <w:t>Common: ≥1/100 to &lt;1/10; Very Common: ≥1/10</w:t>
      </w:r>
    </w:p>
    <w:p w:rsidR="00997DB4" w:rsidRPr="00A5114C" w:rsidRDefault="00997DB4" w:rsidP="00913DEE">
      <w:pPr>
        <w:spacing w:after="0"/>
        <w:jc w:val="both"/>
        <w:rPr>
          <w:rFonts w:ascii="Times New Roman" w:hAnsi="Times New Roman" w:cs="Times New Roman"/>
          <w:sz w:val="20"/>
          <w:szCs w:val="20"/>
          <w:lang w:val="en-CA"/>
        </w:rPr>
      </w:pPr>
      <w:r w:rsidRPr="00A5114C">
        <w:rPr>
          <w:rFonts w:ascii="Times New Roman" w:hAnsi="Times New Roman" w:cs="Times New Roman"/>
          <w:sz w:val="20"/>
          <w:szCs w:val="20"/>
          <w:vertAlign w:val="superscript"/>
          <w:lang w:val="en-CA"/>
        </w:rPr>
        <w:t xml:space="preserve">2 </w:t>
      </w:r>
      <w:r w:rsidRPr="00A5114C">
        <w:rPr>
          <w:rFonts w:ascii="Times New Roman" w:hAnsi="Times New Roman" w:cs="Times New Roman"/>
          <w:sz w:val="20"/>
          <w:szCs w:val="20"/>
          <w:lang w:val="en-CA"/>
        </w:rPr>
        <w:t>Clinical Studies</w:t>
      </w:r>
      <w:r w:rsidR="00557FD7">
        <w:rPr>
          <w:rFonts w:ascii="Times New Roman" w:hAnsi="Times New Roman" w:cs="Times New Roman"/>
          <w:sz w:val="20"/>
          <w:szCs w:val="20"/>
          <w:lang w:val="en-CA"/>
        </w:rPr>
        <w:t>:</w:t>
      </w:r>
      <w:r w:rsidRPr="00A5114C">
        <w:rPr>
          <w:rFonts w:ascii="Times New Roman" w:hAnsi="Times New Roman" w:cs="Times New Roman"/>
          <w:sz w:val="20"/>
          <w:szCs w:val="20"/>
          <w:lang w:val="en-CA"/>
        </w:rPr>
        <w:t xml:space="preserve"> </w:t>
      </w:r>
      <w:r w:rsidR="00557FD7">
        <w:rPr>
          <w:rFonts w:ascii="Times New Roman" w:hAnsi="Times New Roman" w:cs="Times New Roman"/>
          <w:sz w:val="20"/>
          <w:szCs w:val="20"/>
          <w:lang w:val="en-CA"/>
        </w:rPr>
        <w:t xml:space="preserve">Study 1 </w:t>
      </w:r>
      <w:r w:rsidRPr="00A5114C">
        <w:rPr>
          <w:rFonts w:ascii="Times New Roman" w:hAnsi="Times New Roman" w:cs="Times New Roman"/>
          <w:sz w:val="20"/>
          <w:szCs w:val="20"/>
          <w:lang w:val="en-CA"/>
        </w:rPr>
        <w:t>(12014A</w:t>
      </w:r>
      <w:r w:rsidR="00865621">
        <w:rPr>
          <w:rFonts w:ascii="Times New Roman" w:hAnsi="Times New Roman" w:cs="Times New Roman"/>
          <w:sz w:val="20"/>
          <w:szCs w:val="20"/>
          <w:lang w:val="en-CA"/>
        </w:rPr>
        <w:t>)</w:t>
      </w:r>
      <w:r w:rsidRPr="00A5114C">
        <w:rPr>
          <w:rFonts w:ascii="Times New Roman" w:hAnsi="Times New Roman" w:cs="Times New Roman"/>
          <w:sz w:val="20"/>
          <w:szCs w:val="20"/>
          <w:lang w:val="en-CA"/>
        </w:rPr>
        <w:t xml:space="preserve">, </w:t>
      </w:r>
      <w:r w:rsidR="00557FD7">
        <w:rPr>
          <w:rFonts w:ascii="Times New Roman" w:hAnsi="Times New Roman" w:cs="Times New Roman"/>
          <w:sz w:val="20"/>
          <w:szCs w:val="20"/>
          <w:lang w:val="en-CA"/>
        </w:rPr>
        <w:t>Study 2 (</w:t>
      </w:r>
      <w:r w:rsidRPr="00A5114C">
        <w:rPr>
          <w:rFonts w:ascii="Times New Roman" w:hAnsi="Times New Roman" w:cs="Times New Roman"/>
          <w:sz w:val="20"/>
          <w:szCs w:val="20"/>
          <w:lang w:val="en-CA"/>
        </w:rPr>
        <w:t>12023A</w:t>
      </w:r>
      <w:r w:rsidR="00557FD7">
        <w:rPr>
          <w:rFonts w:ascii="Times New Roman" w:hAnsi="Times New Roman" w:cs="Times New Roman"/>
          <w:sz w:val="20"/>
          <w:szCs w:val="20"/>
          <w:lang w:val="en-CA"/>
        </w:rPr>
        <w:t>)</w:t>
      </w:r>
      <w:r w:rsidRPr="00A5114C">
        <w:rPr>
          <w:rFonts w:ascii="Times New Roman" w:hAnsi="Times New Roman" w:cs="Times New Roman"/>
          <w:sz w:val="20"/>
          <w:szCs w:val="20"/>
          <w:lang w:val="en-CA"/>
        </w:rPr>
        <w:t xml:space="preserve"> and</w:t>
      </w:r>
      <w:r w:rsidR="00557FD7">
        <w:rPr>
          <w:rFonts w:ascii="Times New Roman" w:hAnsi="Times New Roman" w:cs="Times New Roman"/>
          <w:sz w:val="20"/>
          <w:szCs w:val="20"/>
          <w:lang w:val="en-CA"/>
        </w:rPr>
        <w:t xml:space="preserve"> an additional 1 year study in alcohol dependence including 665 patients</w:t>
      </w:r>
      <w:r w:rsidRPr="00A5114C">
        <w:rPr>
          <w:rFonts w:ascii="Times New Roman" w:hAnsi="Times New Roman" w:cs="Times New Roman"/>
          <w:sz w:val="20"/>
          <w:szCs w:val="20"/>
          <w:lang w:val="en-CA"/>
        </w:rPr>
        <w:t xml:space="preserve"> </w:t>
      </w:r>
      <w:r w:rsidR="00557FD7">
        <w:rPr>
          <w:rFonts w:ascii="Times New Roman" w:hAnsi="Times New Roman" w:cs="Times New Roman"/>
          <w:sz w:val="20"/>
          <w:szCs w:val="20"/>
          <w:lang w:val="en-CA"/>
        </w:rPr>
        <w:t>(</w:t>
      </w:r>
      <w:r w:rsidRPr="00A5114C">
        <w:rPr>
          <w:rFonts w:ascii="Times New Roman" w:hAnsi="Times New Roman" w:cs="Times New Roman"/>
          <w:sz w:val="20"/>
          <w:szCs w:val="20"/>
          <w:lang w:val="en-CA"/>
        </w:rPr>
        <w:t>12013A)</w:t>
      </w:r>
    </w:p>
    <w:p w:rsidR="00997DB4" w:rsidRPr="00A5114C" w:rsidRDefault="00997DB4" w:rsidP="00913DEE">
      <w:pPr>
        <w:spacing w:after="0"/>
        <w:jc w:val="both"/>
        <w:rPr>
          <w:rFonts w:ascii="Times New Roman" w:hAnsi="Times New Roman" w:cs="Times New Roman"/>
          <w:sz w:val="20"/>
          <w:szCs w:val="20"/>
          <w:lang w:val="en-CA"/>
        </w:rPr>
      </w:pPr>
      <w:r w:rsidRPr="00A5114C">
        <w:rPr>
          <w:rFonts w:ascii="Times New Roman" w:hAnsi="Times New Roman" w:cs="Times New Roman"/>
          <w:sz w:val="20"/>
          <w:szCs w:val="20"/>
          <w:vertAlign w:val="superscript"/>
          <w:lang w:val="en-CA"/>
        </w:rPr>
        <w:t xml:space="preserve">3 </w:t>
      </w:r>
      <w:r w:rsidRPr="00A5114C">
        <w:rPr>
          <w:rFonts w:ascii="Times New Roman" w:hAnsi="Times New Roman" w:cs="Times New Roman"/>
          <w:sz w:val="20"/>
          <w:szCs w:val="20"/>
          <w:lang w:val="en-CA"/>
        </w:rPr>
        <w:t xml:space="preserve">The combination of these terms is considered clinically relevant and therefore included in Table </w:t>
      </w:r>
      <w:r w:rsidR="004672B0">
        <w:rPr>
          <w:rFonts w:ascii="Times New Roman" w:hAnsi="Times New Roman" w:cs="Times New Roman"/>
          <w:sz w:val="20"/>
          <w:szCs w:val="20"/>
          <w:lang w:val="en-CA"/>
        </w:rPr>
        <w:t>4</w:t>
      </w:r>
    </w:p>
    <w:p w:rsidR="00913DEE" w:rsidRPr="00A5114C" w:rsidRDefault="00913DEE" w:rsidP="00913DEE">
      <w:pPr>
        <w:spacing w:after="0"/>
        <w:jc w:val="both"/>
        <w:rPr>
          <w:rFonts w:ascii="Times New Roman" w:hAnsi="Times New Roman" w:cs="Times New Roman"/>
          <w:sz w:val="20"/>
          <w:szCs w:val="20"/>
          <w:lang w:val="en-CA"/>
        </w:rPr>
      </w:pPr>
    </w:p>
    <w:p w:rsidR="00704EF0" w:rsidRDefault="003D2FBB" w:rsidP="00704EF0">
      <w:pPr>
        <w:spacing w:after="0" w:line="240" w:lineRule="auto"/>
        <w:jc w:val="both"/>
        <w:rPr>
          <w:rFonts w:ascii="Times New Roman" w:hAnsi="Times New Roman" w:cs="Times New Roman"/>
          <w:lang w:eastAsia="en-AU"/>
        </w:rPr>
      </w:pPr>
      <w:r w:rsidRPr="00A5114C">
        <w:rPr>
          <w:rFonts w:ascii="Times New Roman" w:hAnsi="Times New Roman" w:cs="Times New Roman"/>
          <w:lang w:eastAsia="en-AU"/>
        </w:rPr>
        <w:t>It was also observed in the clinical studies that during the second and subsequent months of treatment, the incidence and prevalence values for nausea, insomnia, vomiting, fatigue and somnolence were consistently and considerably lower than during the first month of treatment.</w:t>
      </w:r>
    </w:p>
    <w:p w:rsidR="00F43CF5" w:rsidRDefault="00F43CF5" w:rsidP="00704EF0">
      <w:pPr>
        <w:spacing w:after="0" w:line="240" w:lineRule="auto"/>
        <w:jc w:val="both"/>
        <w:rPr>
          <w:rFonts w:ascii="Times New Roman" w:hAnsi="Times New Roman" w:cs="Times New Roman"/>
          <w:lang w:eastAsia="en-AU"/>
        </w:rPr>
      </w:pPr>
    </w:p>
    <w:p w:rsidR="00F43CF5" w:rsidRPr="00A5114C" w:rsidRDefault="00F43CF5" w:rsidP="00704EF0">
      <w:pPr>
        <w:spacing w:after="0" w:line="240" w:lineRule="auto"/>
        <w:jc w:val="both"/>
        <w:rPr>
          <w:rFonts w:ascii="Times New Roman" w:hAnsi="Times New Roman" w:cs="Times New Roman"/>
          <w:lang w:eastAsia="en-AU"/>
        </w:rPr>
      </w:pPr>
      <w:r>
        <w:rPr>
          <w:rFonts w:ascii="Times New Roman" w:hAnsi="Times New Roman" w:cs="Times New Roman"/>
          <w:lang w:eastAsia="en-AU"/>
        </w:rPr>
        <w:t>Alcohol withdrawal syndrome was reported in 0.7% of subjects given nalmefene and 0.1% given placebo.</w:t>
      </w:r>
    </w:p>
    <w:p w:rsidR="00704EF0" w:rsidRPr="00A5114C" w:rsidRDefault="00704EF0" w:rsidP="00704EF0">
      <w:pPr>
        <w:spacing w:after="0" w:line="240" w:lineRule="auto"/>
        <w:jc w:val="both"/>
        <w:rPr>
          <w:rFonts w:ascii="Times New Roman" w:hAnsi="Times New Roman" w:cs="Times New Roman"/>
          <w:b/>
        </w:rPr>
      </w:pPr>
    </w:p>
    <w:p w:rsidR="0095276B" w:rsidRPr="00A5114C" w:rsidRDefault="0095276B" w:rsidP="007F6995">
      <w:pPr>
        <w:rPr>
          <w:rFonts w:ascii="Times New Roman" w:hAnsi="Times New Roman" w:cs="Times New Roman"/>
          <w:b/>
        </w:rPr>
      </w:pPr>
      <w:r w:rsidRPr="008C613E">
        <w:rPr>
          <w:rFonts w:ascii="Times New Roman" w:hAnsi="Times New Roman" w:cs="Times New Roman"/>
          <w:b/>
        </w:rPr>
        <w:t>DOSAGE AND ADMINISTRATION</w:t>
      </w:r>
    </w:p>
    <w:p w:rsidR="0035607B" w:rsidRDefault="0035607B" w:rsidP="00D44BE3">
      <w:pPr>
        <w:spacing w:after="0" w:line="240" w:lineRule="auto"/>
        <w:jc w:val="both"/>
        <w:rPr>
          <w:rFonts w:ascii="Times New Roman" w:hAnsi="Times New Roman" w:cs="Times New Roman"/>
          <w:spacing w:val="0"/>
          <w:lang w:eastAsia="en-AU"/>
        </w:rPr>
      </w:pPr>
      <w:r>
        <w:rPr>
          <w:rFonts w:ascii="Times New Roman" w:hAnsi="Times New Roman" w:cs="Times New Roman"/>
          <w:spacing w:val="0"/>
          <w:lang w:eastAsia="en-AU"/>
        </w:rPr>
        <w:t xml:space="preserve">SELINCRO may be initiated in patients who have </w:t>
      </w:r>
      <w:r w:rsidR="00986EF7">
        <w:rPr>
          <w:rFonts w:ascii="Times New Roman" w:hAnsi="Times New Roman" w:cs="Times New Roman"/>
          <w:spacing w:val="0"/>
          <w:lang w:eastAsia="en-AU"/>
        </w:rPr>
        <w:t xml:space="preserve">been provided with </w:t>
      </w:r>
      <w:r>
        <w:rPr>
          <w:rFonts w:ascii="Times New Roman" w:hAnsi="Times New Roman" w:cs="Times New Roman"/>
          <w:spacing w:val="0"/>
          <w:lang w:eastAsia="en-AU"/>
        </w:rPr>
        <w:t xml:space="preserve">psychosocial </w:t>
      </w:r>
      <w:r w:rsidR="00986EF7">
        <w:rPr>
          <w:rFonts w:ascii="Times New Roman" w:hAnsi="Times New Roman" w:cs="Times New Roman"/>
          <w:spacing w:val="0"/>
          <w:lang w:eastAsia="en-AU"/>
        </w:rPr>
        <w:t>intervention</w:t>
      </w:r>
      <w:r w:rsidR="003C58A8">
        <w:rPr>
          <w:rFonts w:ascii="Times New Roman" w:hAnsi="Times New Roman" w:cs="Times New Roman"/>
          <w:spacing w:val="0"/>
          <w:lang w:eastAsia="en-AU"/>
        </w:rPr>
        <w:t xml:space="preserve"> </w:t>
      </w:r>
      <w:r>
        <w:rPr>
          <w:rFonts w:ascii="Times New Roman" w:hAnsi="Times New Roman" w:cs="Times New Roman"/>
          <w:spacing w:val="0"/>
          <w:lang w:eastAsia="en-AU"/>
        </w:rPr>
        <w:t xml:space="preserve">for at least 2 weeks but continue to consume &gt;60 g alcohol daily (men) or </w:t>
      </w:r>
      <w:r w:rsidR="007604D3">
        <w:rPr>
          <w:rFonts w:ascii="Times New Roman" w:hAnsi="Times New Roman" w:cs="Times New Roman"/>
          <w:spacing w:val="0"/>
          <w:lang w:eastAsia="en-AU"/>
        </w:rPr>
        <w:t>&gt;</w:t>
      </w:r>
      <w:r>
        <w:rPr>
          <w:rFonts w:ascii="Times New Roman" w:hAnsi="Times New Roman" w:cs="Times New Roman"/>
          <w:spacing w:val="0"/>
          <w:lang w:eastAsia="en-AU"/>
        </w:rPr>
        <w:t>40</w:t>
      </w:r>
      <w:r w:rsidR="00A062CA">
        <w:rPr>
          <w:rFonts w:ascii="Times New Roman" w:hAnsi="Times New Roman" w:cs="Times New Roman"/>
          <w:spacing w:val="0"/>
          <w:lang w:eastAsia="en-AU"/>
        </w:rPr>
        <w:t> </w:t>
      </w:r>
      <w:r>
        <w:rPr>
          <w:rFonts w:ascii="Times New Roman" w:hAnsi="Times New Roman" w:cs="Times New Roman"/>
          <w:spacing w:val="0"/>
          <w:lang w:eastAsia="en-AU"/>
        </w:rPr>
        <w:t>g alcohol daily (women).</w:t>
      </w:r>
    </w:p>
    <w:p w:rsidR="0035607B" w:rsidRDefault="0035607B" w:rsidP="00D44BE3">
      <w:pPr>
        <w:spacing w:after="0" w:line="240" w:lineRule="auto"/>
        <w:jc w:val="both"/>
        <w:rPr>
          <w:rFonts w:ascii="Times New Roman" w:hAnsi="Times New Roman" w:cs="Times New Roman"/>
          <w:spacing w:val="0"/>
          <w:lang w:eastAsia="en-AU"/>
        </w:rPr>
      </w:pPr>
    </w:p>
    <w:p w:rsidR="007578AF" w:rsidRPr="007578AF" w:rsidRDefault="007578AF" w:rsidP="004F1D79">
      <w:pPr>
        <w:spacing w:after="0" w:line="240" w:lineRule="auto"/>
        <w:jc w:val="both"/>
        <w:rPr>
          <w:rFonts w:ascii="TimesNewRomanPSMT" w:hAnsi="TimesNewRomanPSMT" w:cs="TimesNewRomanPSMT"/>
          <w:lang w:eastAsia="en-AU"/>
        </w:rPr>
      </w:pPr>
      <w:r w:rsidRPr="007578AF">
        <w:rPr>
          <w:rFonts w:ascii="TimesNewRomanPSMT" w:hAnsi="TimesNewRomanPSMT" w:cs="TimesNewRomanPSMT"/>
          <w:lang w:eastAsia="en-AU"/>
        </w:rPr>
        <w:t xml:space="preserve">At an initial visit, the patient’s clinical status, alcohol </w:t>
      </w:r>
      <w:r w:rsidR="001A0723">
        <w:rPr>
          <w:rFonts w:ascii="TimesNewRomanPSMT" w:hAnsi="TimesNewRomanPSMT" w:cs="TimesNewRomanPSMT"/>
          <w:lang w:eastAsia="en-AU"/>
        </w:rPr>
        <w:t>use disorder</w:t>
      </w:r>
      <w:r w:rsidRPr="007578AF">
        <w:rPr>
          <w:rFonts w:ascii="TimesNewRomanPSMT" w:hAnsi="TimesNewRomanPSMT" w:cs="TimesNewRomanPSMT"/>
          <w:lang w:eastAsia="en-AU"/>
        </w:rPr>
        <w:t>, and level of alcohol consum</w:t>
      </w:r>
      <w:r w:rsidRPr="007578AF">
        <w:rPr>
          <w:rFonts w:ascii="TimesNewRomanPSMT" w:hAnsi="TimesNewRomanPSMT" w:cs="TimesNewRomanPSMT"/>
          <w:lang w:eastAsia="en-AU"/>
        </w:rPr>
        <w:t>p</w:t>
      </w:r>
      <w:r w:rsidRPr="007578AF">
        <w:rPr>
          <w:rFonts w:ascii="TimesNewRomanPSMT" w:hAnsi="TimesNewRomanPSMT" w:cs="TimesNewRomanPSMT"/>
          <w:lang w:eastAsia="en-AU"/>
        </w:rPr>
        <w:t xml:space="preserve">tion (based on patient reporting) should be evaluated. </w:t>
      </w:r>
      <w:r w:rsidR="007209A0">
        <w:rPr>
          <w:rFonts w:ascii="TimesNewRomanPSMT" w:hAnsi="TimesNewRomanPSMT" w:cs="TimesNewRomanPSMT"/>
          <w:lang w:eastAsia="en-AU"/>
        </w:rPr>
        <w:t xml:space="preserve"> </w:t>
      </w:r>
      <w:r w:rsidRPr="007578AF">
        <w:rPr>
          <w:rFonts w:ascii="TimesNewRomanPSMT" w:hAnsi="TimesNewRomanPSMT" w:cs="TimesNewRomanPSMT"/>
          <w:lang w:eastAsia="en-AU"/>
        </w:rPr>
        <w:t>Thereafter, the patient should be asked to record his or her alcohol consumption for approximately two weeks.</w:t>
      </w:r>
    </w:p>
    <w:p w:rsidR="007578AF" w:rsidRDefault="007578AF" w:rsidP="00557FD7">
      <w:pPr>
        <w:pStyle w:val="Body"/>
        <w:jc w:val="both"/>
        <w:rPr>
          <w:rFonts w:ascii="TimesNewRomanPSMT" w:hAnsi="TimesNewRomanPSMT" w:cs="TimesNewRomanPSMT"/>
          <w:szCs w:val="24"/>
          <w:lang w:val="en-AU" w:eastAsia="en-AU"/>
        </w:rPr>
      </w:pPr>
      <w:r w:rsidRPr="007578AF">
        <w:rPr>
          <w:rFonts w:ascii="TimesNewRomanPSMT" w:hAnsi="TimesNewRomanPSMT" w:cs="TimesNewRomanPSMT"/>
          <w:szCs w:val="24"/>
          <w:lang w:val="en-AU" w:eastAsia="en-AU"/>
        </w:rPr>
        <w:t>At the next visit, Selincro may be initiated in patients who continued to have a high DRL (see INDICATION) over this two-week period, in conjunction with psychosocial intervention focused on treatment adherence and reducing alcohol consumption.</w:t>
      </w:r>
    </w:p>
    <w:p w:rsidR="005406A1" w:rsidRPr="007578AF" w:rsidRDefault="005406A1" w:rsidP="007578AF">
      <w:pPr>
        <w:pStyle w:val="Body"/>
        <w:rPr>
          <w:b/>
          <w:szCs w:val="24"/>
          <w:lang w:val="en-AU"/>
        </w:rPr>
      </w:pPr>
      <w:r>
        <w:rPr>
          <w:rFonts w:ascii="TimesNewRomanPSMT" w:hAnsi="TimesNewRomanPSMT" w:cs="TimesNewRomanPSMT"/>
          <w:szCs w:val="24"/>
          <w:lang w:val="en-AU" w:eastAsia="en-AU"/>
        </w:rPr>
        <w:t>During pivotal studies the greatest reduction in alcohol consumption was observed within the first 4 weeks.</w:t>
      </w:r>
    </w:p>
    <w:p w:rsidR="002D78A4" w:rsidRDefault="002D78A4" w:rsidP="00D44BE3">
      <w:pPr>
        <w:spacing w:after="0" w:line="240" w:lineRule="auto"/>
        <w:rPr>
          <w:rFonts w:ascii="Times New Roman" w:hAnsi="Times New Roman" w:cs="Times New Roman"/>
          <w:spacing w:val="0"/>
          <w:lang w:eastAsia="en-AU"/>
        </w:rPr>
      </w:pPr>
    </w:p>
    <w:p w:rsidR="005406A1" w:rsidRDefault="005406A1" w:rsidP="00557FD7">
      <w:pPr>
        <w:spacing w:after="0" w:line="240" w:lineRule="auto"/>
        <w:jc w:val="both"/>
        <w:rPr>
          <w:rFonts w:ascii="Times New Roman" w:hAnsi="Times New Roman" w:cs="Times New Roman"/>
          <w:spacing w:val="0"/>
          <w:lang w:eastAsia="en-AU"/>
        </w:rPr>
      </w:pPr>
      <w:r>
        <w:rPr>
          <w:rFonts w:ascii="Times New Roman" w:hAnsi="Times New Roman" w:cs="Times New Roman"/>
          <w:spacing w:val="0"/>
          <w:lang w:eastAsia="en-AU"/>
        </w:rPr>
        <w:t xml:space="preserve">The patient’s response to treatment and the need for continued pharmacotherapy should be evaluated on a regular basis (e.g. monthly). </w:t>
      </w:r>
      <w:r w:rsidR="007209A0">
        <w:rPr>
          <w:rFonts w:ascii="Times New Roman" w:hAnsi="Times New Roman" w:cs="Times New Roman"/>
          <w:spacing w:val="0"/>
          <w:lang w:eastAsia="en-AU"/>
        </w:rPr>
        <w:t xml:space="preserve"> </w:t>
      </w:r>
      <w:r>
        <w:rPr>
          <w:rFonts w:ascii="Times New Roman" w:hAnsi="Times New Roman" w:cs="Times New Roman"/>
          <w:spacing w:val="0"/>
          <w:lang w:eastAsia="en-AU"/>
        </w:rPr>
        <w:t xml:space="preserve">The physician should continue to assess the patient’s progress in reducing alcohol consumption, overall functioning, treatment </w:t>
      </w:r>
      <w:r>
        <w:rPr>
          <w:rFonts w:ascii="Times New Roman" w:hAnsi="Times New Roman" w:cs="Times New Roman"/>
          <w:spacing w:val="0"/>
          <w:lang w:eastAsia="en-AU"/>
        </w:rPr>
        <w:lastRenderedPageBreak/>
        <w:t xml:space="preserve">adherence, and any potential side effects. </w:t>
      </w:r>
      <w:r w:rsidR="007209A0">
        <w:rPr>
          <w:rFonts w:ascii="Times New Roman" w:hAnsi="Times New Roman" w:cs="Times New Roman"/>
          <w:spacing w:val="0"/>
          <w:lang w:eastAsia="en-AU"/>
        </w:rPr>
        <w:t xml:space="preserve"> </w:t>
      </w:r>
      <w:r>
        <w:rPr>
          <w:rFonts w:ascii="Times New Roman" w:hAnsi="Times New Roman" w:cs="Times New Roman"/>
          <w:spacing w:val="0"/>
          <w:lang w:eastAsia="en-AU"/>
        </w:rPr>
        <w:t>Caution is advised if SELINCRO is prescribed for more than 24 week</w:t>
      </w:r>
      <w:r w:rsidR="00DF313E">
        <w:rPr>
          <w:rFonts w:ascii="Times New Roman" w:hAnsi="Times New Roman" w:cs="Times New Roman"/>
          <w:spacing w:val="0"/>
          <w:lang w:eastAsia="en-AU"/>
        </w:rPr>
        <w:t>s</w:t>
      </w:r>
      <w:r>
        <w:rPr>
          <w:rFonts w:ascii="Times New Roman" w:hAnsi="Times New Roman" w:cs="Times New Roman"/>
          <w:spacing w:val="0"/>
          <w:lang w:eastAsia="en-AU"/>
        </w:rPr>
        <w:t>.</w:t>
      </w:r>
    </w:p>
    <w:p w:rsidR="00E12FA3" w:rsidRDefault="00E12FA3" w:rsidP="00D44BE3">
      <w:pPr>
        <w:spacing w:after="0" w:line="240" w:lineRule="auto"/>
        <w:rPr>
          <w:rFonts w:ascii="Times New Roman" w:hAnsi="Times New Roman" w:cs="Times New Roman"/>
          <w:spacing w:val="0"/>
          <w:lang w:eastAsia="en-AU"/>
        </w:rPr>
      </w:pPr>
    </w:p>
    <w:p w:rsidR="006457CC" w:rsidRPr="00A5114C" w:rsidRDefault="00D01C2F"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6457CC" w:rsidRPr="00A5114C">
        <w:rPr>
          <w:rFonts w:ascii="Times New Roman" w:hAnsi="Times New Roman" w:cs="Times New Roman"/>
          <w:spacing w:val="0"/>
          <w:lang w:eastAsia="en-AU"/>
        </w:rPr>
        <w:t xml:space="preserve"> is to be taken as-needed: on each day the patient perceives a risk of drinking </w:t>
      </w:r>
      <w:r w:rsidR="00C77130" w:rsidRPr="00A5114C">
        <w:rPr>
          <w:rFonts w:ascii="Times New Roman" w:hAnsi="Times New Roman" w:cs="Times New Roman"/>
          <w:spacing w:val="0"/>
          <w:lang w:eastAsia="en-AU"/>
        </w:rPr>
        <w:t>alcohol;</w:t>
      </w:r>
      <w:r w:rsidR="006457CC" w:rsidRPr="00A5114C">
        <w:rPr>
          <w:rFonts w:ascii="Times New Roman" w:hAnsi="Times New Roman" w:cs="Times New Roman"/>
          <w:spacing w:val="0"/>
          <w:lang w:eastAsia="en-AU"/>
        </w:rPr>
        <w:t xml:space="preserve"> one</w:t>
      </w:r>
      <w:r w:rsidR="00CF0A88" w:rsidRPr="00A5114C">
        <w:rPr>
          <w:rFonts w:ascii="Times New Roman" w:hAnsi="Times New Roman" w:cs="Times New Roman"/>
          <w:spacing w:val="0"/>
          <w:lang w:eastAsia="en-AU"/>
        </w:rPr>
        <w:t xml:space="preserve"> </w:t>
      </w:r>
      <w:r w:rsidR="006457CC" w:rsidRPr="00A5114C">
        <w:rPr>
          <w:rFonts w:ascii="Times New Roman" w:hAnsi="Times New Roman" w:cs="Times New Roman"/>
          <w:spacing w:val="0"/>
          <w:lang w:eastAsia="en-AU"/>
        </w:rPr>
        <w:t xml:space="preserve">tablet should be taken, preferably 1-2 hours prior to the anticipated time of drinking. </w:t>
      </w:r>
      <w:r w:rsidR="009737DD" w:rsidRPr="00A5114C">
        <w:rPr>
          <w:rFonts w:ascii="Times New Roman" w:hAnsi="Times New Roman" w:cs="Times New Roman"/>
          <w:spacing w:val="0"/>
          <w:lang w:eastAsia="en-AU"/>
        </w:rPr>
        <w:t xml:space="preserve"> </w:t>
      </w:r>
      <w:r w:rsidR="006457CC" w:rsidRPr="00A5114C">
        <w:rPr>
          <w:rFonts w:ascii="Times New Roman" w:hAnsi="Times New Roman" w:cs="Times New Roman"/>
          <w:spacing w:val="0"/>
          <w:lang w:eastAsia="en-AU"/>
        </w:rPr>
        <w:t>If the patient has</w:t>
      </w:r>
      <w:r w:rsidR="00CF0A88" w:rsidRPr="00A5114C">
        <w:rPr>
          <w:rFonts w:ascii="Times New Roman" w:hAnsi="Times New Roman" w:cs="Times New Roman"/>
          <w:spacing w:val="0"/>
          <w:lang w:eastAsia="en-AU"/>
        </w:rPr>
        <w:t xml:space="preserve"> </w:t>
      </w:r>
      <w:r w:rsidR="006457CC" w:rsidRPr="00A5114C">
        <w:rPr>
          <w:rFonts w:ascii="Times New Roman" w:hAnsi="Times New Roman" w:cs="Times New Roman"/>
          <w:spacing w:val="0"/>
          <w:lang w:eastAsia="en-AU"/>
        </w:rPr>
        <w:t xml:space="preserve">started drinking alcohol without taking </w:t>
      </w:r>
      <w:r w:rsidRPr="00A5114C">
        <w:rPr>
          <w:rFonts w:ascii="Times New Roman" w:hAnsi="Times New Roman" w:cs="Times New Roman"/>
          <w:spacing w:val="0"/>
          <w:lang w:eastAsia="en-AU"/>
        </w:rPr>
        <w:t>SELINCRO</w:t>
      </w:r>
      <w:r w:rsidR="006457CC" w:rsidRPr="00A5114C">
        <w:rPr>
          <w:rFonts w:ascii="Times New Roman" w:hAnsi="Times New Roman" w:cs="Times New Roman"/>
          <w:spacing w:val="0"/>
          <w:lang w:eastAsia="en-AU"/>
        </w:rPr>
        <w:t>, the patient should take one tablet as soon as possible.</w:t>
      </w:r>
    </w:p>
    <w:p w:rsidR="00CF0A88" w:rsidRPr="00A5114C" w:rsidRDefault="00CF0A88" w:rsidP="00D44BE3">
      <w:pPr>
        <w:spacing w:after="0" w:line="240" w:lineRule="auto"/>
        <w:jc w:val="both"/>
        <w:rPr>
          <w:rFonts w:ascii="Times New Roman" w:hAnsi="Times New Roman" w:cs="Times New Roman"/>
          <w:spacing w:val="0"/>
          <w:lang w:eastAsia="en-AU"/>
        </w:rPr>
      </w:pPr>
    </w:p>
    <w:p w:rsidR="00E12FA3" w:rsidRDefault="006457CC"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The maximum dose 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is one tablet per day. </w:t>
      </w:r>
      <w:r w:rsidR="007209A0">
        <w:rPr>
          <w:rFonts w:ascii="Times New Roman" w:hAnsi="Times New Roman" w:cs="Times New Roman"/>
          <w:spacing w:val="0"/>
          <w:lang w:eastAsia="en-AU"/>
        </w:rPr>
        <w:t xml:space="preserve">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can be taken with or without food (see</w:t>
      </w:r>
      <w:r w:rsidR="00CF0A88" w:rsidRPr="00A5114C">
        <w:rPr>
          <w:rFonts w:ascii="Times New Roman" w:hAnsi="Times New Roman" w:cs="Times New Roman"/>
          <w:spacing w:val="0"/>
          <w:lang w:eastAsia="en-AU"/>
        </w:rPr>
        <w:t xml:space="preserve"> </w:t>
      </w:r>
      <w:r w:rsidR="00FD3472" w:rsidRPr="00A5114C">
        <w:rPr>
          <w:rFonts w:ascii="Times New Roman" w:hAnsi="Times New Roman" w:cs="Times New Roman"/>
          <w:spacing w:val="0"/>
          <w:lang w:eastAsia="en-AU"/>
        </w:rPr>
        <w:t>PHARMACOLOGY</w:t>
      </w:r>
      <w:r w:rsidRPr="00A5114C">
        <w:rPr>
          <w:rFonts w:ascii="Times New Roman" w:hAnsi="Times New Roman" w:cs="Times New Roman"/>
          <w:spacing w:val="0"/>
          <w:lang w:eastAsia="en-AU"/>
        </w:rPr>
        <w:t>).</w:t>
      </w:r>
    </w:p>
    <w:p w:rsidR="0095276B" w:rsidRPr="00A5114C" w:rsidRDefault="0095276B" w:rsidP="009E5E3D">
      <w:pPr>
        <w:pStyle w:val="Heading3"/>
        <w:jc w:val="both"/>
        <w:rPr>
          <w:rFonts w:ascii="Times New Roman" w:hAnsi="Times New Roman" w:cs="Times New Roman"/>
        </w:rPr>
      </w:pPr>
      <w:r w:rsidRPr="00A5114C">
        <w:rPr>
          <w:rFonts w:ascii="Times New Roman" w:hAnsi="Times New Roman" w:cs="Times New Roman"/>
        </w:rPr>
        <w:t>Method of administration:</w:t>
      </w:r>
    </w:p>
    <w:p w:rsidR="007F14BF" w:rsidRPr="00A5114C" w:rsidRDefault="00D01C2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SELINCRO</w:t>
      </w:r>
      <w:r w:rsidR="007F14BF" w:rsidRPr="00A5114C">
        <w:rPr>
          <w:rFonts w:ascii="Times New Roman" w:hAnsi="Times New Roman" w:cs="Times New Roman"/>
          <w:spacing w:val="0"/>
          <w:lang w:eastAsia="en-AU"/>
        </w:rPr>
        <w:t xml:space="preserve"> is for oral use.</w:t>
      </w:r>
    </w:p>
    <w:p w:rsidR="007F14BF" w:rsidRPr="00A5114C" w:rsidRDefault="007F14B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 film-coated tablet should be swallowed whole.</w:t>
      </w:r>
    </w:p>
    <w:p w:rsidR="007F14BF" w:rsidRPr="00A5114C" w:rsidRDefault="007F14BF" w:rsidP="009737D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The film-coated tablet should not be divided or crushed because nalmefene may cause skin</w:t>
      </w:r>
      <w:r w:rsidR="009737DD"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sensitisation when in direct contact with the skin.</w:t>
      </w:r>
    </w:p>
    <w:p w:rsidR="00CF0A88" w:rsidRPr="00A5114C" w:rsidRDefault="0095276B" w:rsidP="009E5E3D">
      <w:pPr>
        <w:pStyle w:val="Heading3"/>
        <w:jc w:val="both"/>
        <w:rPr>
          <w:rFonts w:ascii="Times New Roman" w:hAnsi="Times New Roman" w:cs="Times New Roman"/>
          <w:lang w:eastAsia="en-AU"/>
        </w:rPr>
      </w:pPr>
      <w:r w:rsidRPr="00A5114C">
        <w:rPr>
          <w:rFonts w:ascii="Times New Roman" w:hAnsi="Times New Roman" w:cs="Times New Roman"/>
        </w:rPr>
        <w:t>Elderly</w:t>
      </w:r>
      <w:r w:rsidR="00CF0A88" w:rsidRPr="00A5114C">
        <w:rPr>
          <w:rFonts w:ascii="Times New Roman" w:hAnsi="Times New Roman" w:cs="Times New Roman"/>
        </w:rPr>
        <w:t xml:space="preserve"> </w:t>
      </w:r>
      <w:r w:rsidR="00CF0A88" w:rsidRPr="00A5114C">
        <w:rPr>
          <w:rFonts w:ascii="Times New Roman" w:hAnsi="Times New Roman" w:cs="Times New Roman"/>
          <w:lang w:eastAsia="en-AU"/>
        </w:rPr>
        <w:t>(≥65 years of age</w:t>
      </w:r>
      <w:r w:rsidR="00DF1A99">
        <w:rPr>
          <w:rFonts w:ascii="Times New Roman" w:hAnsi="Times New Roman" w:cs="Times New Roman"/>
          <w:lang w:eastAsia="en-AU"/>
        </w:rPr>
        <w:t>)</w:t>
      </w:r>
    </w:p>
    <w:p w:rsidR="00CF0A88" w:rsidRPr="00A5114C" w:rsidRDefault="006457CC" w:rsidP="009E5E3D">
      <w:pPr>
        <w:jc w:val="both"/>
        <w:rPr>
          <w:rFonts w:ascii="Times New Roman" w:hAnsi="Times New Roman" w:cs="Times New Roman"/>
          <w:i/>
          <w:iCs/>
          <w:spacing w:val="0"/>
          <w:lang w:eastAsia="en-AU"/>
        </w:rPr>
      </w:pPr>
      <w:r w:rsidRPr="00A5114C">
        <w:rPr>
          <w:rFonts w:ascii="Times New Roman" w:hAnsi="Times New Roman" w:cs="Times New Roman"/>
        </w:rPr>
        <w:t xml:space="preserve">No dose adjustment is recommended for this patient population (see </w:t>
      </w:r>
      <w:r w:rsidR="00B454D2" w:rsidRPr="00A5114C">
        <w:rPr>
          <w:rFonts w:ascii="Times New Roman" w:hAnsi="Times New Roman" w:cs="Times New Roman"/>
        </w:rPr>
        <w:t>PRECAUTIONS</w:t>
      </w:r>
      <w:r w:rsidRPr="00A5114C">
        <w:rPr>
          <w:rFonts w:ascii="Times New Roman" w:hAnsi="Times New Roman" w:cs="Times New Roman"/>
        </w:rPr>
        <w:t xml:space="preserve"> and </w:t>
      </w:r>
      <w:r w:rsidR="00B454D2" w:rsidRPr="00A5114C">
        <w:rPr>
          <w:rFonts w:ascii="Times New Roman" w:hAnsi="Times New Roman" w:cs="Times New Roman"/>
        </w:rPr>
        <w:t>PHARMACOLOGY</w:t>
      </w:r>
      <w:r w:rsidRPr="00A5114C">
        <w:rPr>
          <w:rFonts w:ascii="Times New Roman" w:hAnsi="Times New Roman" w:cs="Times New Roman"/>
        </w:rPr>
        <w:t>).</w:t>
      </w:r>
    </w:p>
    <w:p w:rsidR="006457CC" w:rsidRPr="00A5114C" w:rsidRDefault="006457CC" w:rsidP="009E5E3D">
      <w:pPr>
        <w:pStyle w:val="Heading3"/>
        <w:jc w:val="both"/>
        <w:rPr>
          <w:rFonts w:ascii="Times New Roman" w:hAnsi="Times New Roman" w:cs="Times New Roman"/>
          <w:lang w:eastAsia="en-AU"/>
        </w:rPr>
      </w:pPr>
      <w:r w:rsidRPr="00A5114C">
        <w:rPr>
          <w:rFonts w:ascii="Times New Roman" w:hAnsi="Times New Roman" w:cs="Times New Roman"/>
          <w:lang w:eastAsia="en-AU"/>
        </w:rPr>
        <w:t>Renal impairment</w:t>
      </w:r>
    </w:p>
    <w:p w:rsidR="006457CC" w:rsidRPr="00A5114C" w:rsidRDefault="006457CC"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No dose adjustment is recommended for patients with mild or moderate renal impairment (see</w:t>
      </w:r>
      <w:r w:rsidR="00CF0A88" w:rsidRPr="00A5114C">
        <w:rPr>
          <w:rFonts w:ascii="Times New Roman" w:hAnsi="Times New Roman" w:cs="Times New Roman"/>
          <w:spacing w:val="0"/>
          <w:lang w:eastAsia="en-AU"/>
        </w:rPr>
        <w:t xml:space="preserve"> </w:t>
      </w:r>
      <w:r w:rsidR="00B454D2" w:rsidRPr="00A5114C">
        <w:rPr>
          <w:rFonts w:ascii="Times New Roman" w:hAnsi="Times New Roman" w:cs="Times New Roman"/>
          <w:spacing w:val="0"/>
          <w:lang w:eastAsia="en-AU"/>
        </w:rPr>
        <w:t>PRECAUTIONS and PHARMACOLOGY</w:t>
      </w:r>
      <w:r w:rsidRPr="00A5114C">
        <w:rPr>
          <w:rFonts w:ascii="Times New Roman" w:hAnsi="Times New Roman" w:cs="Times New Roman"/>
          <w:spacing w:val="0"/>
          <w:lang w:eastAsia="en-AU"/>
        </w:rPr>
        <w:t>).</w:t>
      </w:r>
    </w:p>
    <w:p w:rsidR="006457CC" w:rsidRPr="00A5114C" w:rsidRDefault="006457CC" w:rsidP="009E5E3D">
      <w:pPr>
        <w:pStyle w:val="Heading3"/>
        <w:jc w:val="both"/>
        <w:rPr>
          <w:rFonts w:ascii="Times New Roman" w:hAnsi="Times New Roman" w:cs="Times New Roman"/>
          <w:lang w:eastAsia="en-AU"/>
        </w:rPr>
      </w:pPr>
      <w:r w:rsidRPr="00A5114C">
        <w:rPr>
          <w:rFonts w:ascii="Times New Roman" w:hAnsi="Times New Roman" w:cs="Times New Roman"/>
          <w:lang w:eastAsia="en-AU"/>
        </w:rPr>
        <w:t>Hepatic impairment</w:t>
      </w:r>
    </w:p>
    <w:p w:rsidR="006457CC" w:rsidRPr="00A5114C" w:rsidRDefault="006457CC"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No dose adjustment is recommended for patients with mild or moderate hepatic impairment (see</w:t>
      </w:r>
      <w:r w:rsidR="00CF0A88" w:rsidRPr="00A5114C">
        <w:rPr>
          <w:rFonts w:ascii="Times New Roman" w:hAnsi="Times New Roman" w:cs="Times New Roman"/>
          <w:spacing w:val="0"/>
          <w:lang w:eastAsia="en-AU"/>
        </w:rPr>
        <w:t xml:space="preserve"> </w:t>
      </w:r>
      <w:r w:rsidR="00B454D2" w:rsidRPr="00A5114C">
        <w:rPr>
          <w:rFonts w:ascii="Times New Roman" w:hAnsi="Times New Roman" w:cs="Times New Roman"/>
          <w:spacing w:val="0"/>
          <w:lang w:eastAsia="en-AU"/>
        </w:rPr>
        <w:t>PRECAUTIONS and PHARMACOLOGY</w:t>
      </w:r>
      <w:r w:rsidRPr="00A5114C">
        <w:rPr>
          <w:rFonts w:ascii="Times New Roman" w:hAnsi="Times New Roman" w:cs="Times New Roman"/>
          <w:spacing w:val="0"/>
          <w:lang w:eastAsia="en-AU"/>
        </w:rPr>
        <w:t>).</w:t>
      </w:r>
    </w:p>
    <w:p w:rsidR="006457CC" w:rsidRPr="00A5114C" w:rsidRDefault="006457CC" w:rsidP="009E5E3D">
      <w:pPr>
        <w:pStyle w:val="Heading3"/>
        <w:jc w:val="both"/>
        <w:rPr>
          <w:rFonts w:ascii="Times New Roman" w:hAnsi="Times New Roman" w:cs="Times New Roman"/>
          <w:lang w:eastAsia="en-AU"/>
        </w:rPr>
      </w:pPr>
      <w:r w:rsidRPr="00A5114C">
        <w:rPr>
          <w:rFonts w:ascii="Times New Roman" w:hAnsi="Times New Roman" w:cs="Times New Roman"/>
          <w:lang w:eastAsia="en-AU"/>
        </w:rPr>
        <w:t>Paediatric population</w:t>
      </w:r>
    </w:p>
    <w:p w:rsidR="006457CC" w:rsidRPr="00A5114C" w:rsidRDefault="006457CC"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 xml:space="preserve">The safety and efficacy of </w:t>
      </w:r>
      <w:r w:rsidR="00D01C2F" w:rsidRPr="00A5114C">
        <w:rPr>
          <w:rFonts w:ascii="Times New Roman" w:hAnsi="Times New Roman" w:cs="Times New Roman"/>
          <w:spacing w:val="0"/>
          <w:lang w:eastAsia="en-AU"/>
        </w:rPr>
        <w:t>SELINCRO</w:t>
      </w:r>
      <w:r w:rsidRPr="00A5114C">
        <w:rPr>
          <w:rFonts w:ascii="Times New Roman" w:hAnsi="Times New Roman" w:cs="Times New Roman"/>
          <w:spacing w:val="0"/>
          <w:lang w:eastAsia="en-AU"/>
        </w:rPr>
        <w:t xml:space="preserve"> in children and adolescents &lt;18 years of age have not been</w:t>
      </w:r>
      <w:r w:rsidR="00CF0A88"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established. </w:t>
      </w:r>
      <w:r w:rsidR="009737DD"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No data are available</w:t>
      </w:r>
      <w:r w:rsidR="00B454D2" w:rsidRPr="00A5114C">
        <w:rPr>
          <w:rFonts w:ascii="Times New Roman" w:hAnsi="Times New Roman" w:cs="Times New Roman"/>
          <w:spacing w:val="0"/>
          <w:lang w:eastAsia="en-AU"/>
        </w:rPr>
        <w:t>.</w:t>
      </w:r>
      <w:r w:rsidRPr="00A5114C">
        <w:rPr>
          <w:rFonts w:ascii="Times New Roman" w:hAnsi="Times New Roman" w:cs="Times New Roman"/>
          <w:spacing w:val="0"/>
          <w:lang w:eastAsia="en-AU"/>
        </w:rPr>
        <w:t xml:space="preserve"> </w:t>
      </w:r>
    </w:p>
    <w:p w:rsidR="0095276B" w:rsidRPr="00A5114C" w:rsidRDefault="0095276B" w:rsidP="009E5E3D">
      <w:pPr>
        <w:pStyle w:val="Heading2"/>
        <w:jc w:val="both"/>
        <w:rPr>
          <w:rFonts w:ascii="Times New Roman" w:hAnsi="Times New Roman" w:cs="Times New Roman"/>
        </w:rPr>
      </w:pPr>
      <w:r w:rsidRPr="00A5114C">
        <w:rPr>
          <w:rFonts w:ascii="Times New Roman" w:hAnsi="Times New Roman" w:cs="Times New Roman"/>
        </w:rPr>
        <w:t>OVERDOSAGE</w:t>
      </w:r>
    </w:p>
    <w:p w:rsidR="00B454D2" w:rsidRPr="00A5114C" w:rsidRDefault="0064321B" w:rsidP="0058001B">
      <w:pPr>
        <w:jc w:val="both"/>
        <w:rPr>
          <w:rFonts w:ascii="Times New Roman" w:hAnsi="Times New Roman" w:cs="Times New Roman"/>
          <w:spacing w:val="0"/>
          <w:lang w:eastAsia="en-AU"/>
        </w:rPr>
      </w:pPr>
      <w:r w:rsidRPr="00A5114C">
        <w:rPr>
          <w:rFonts w:ascii="Times New Roman" w:eastAsia="SimSun" w:hAnsi="Times New Roman" w:cs="Times New Roman"/>
          <w:lang w:eastAsia="zh-CN"/>
        </w:rPr>
        <w:t xml:space="preserve">For information on the management of overdose, contact the Poison Information </w:t>
      </w:r>
      <w:r w:rsidRPr="00A5114C">
        <w:rPr>
          <w:rFonts w:ascii="Times New Roman" w:eastAsia="SimSun" w:hAnsi="Times New Roman" w:cs="Times New Roman"/>
        </w:rPr>
        <w:t xml:space="preserve">Centre </w:t>
      </w:r>
      <w:r w:rsidRPr="00A5114C">
        <w:rPr>
          <w:rFonts w:ascii="Times New Roman" w:hAnsi="Times New Roman" w:cs="Times New Roman"/>
        </w:rPr>
        <w:t xml:space="preserve">(Tel: 13 11 26 for </w:t>
      </w:r>
      <w:smartTag w:uri="urn:schemas-microsoft-com:office:smarttags" w:element="place">
        <w:smartTag w:uri="urn:schemas-microsoft-com:office:smarttags" w:element="country-region">
          <w:r w:rsidRPr="00A5114C">
            <w:rPr>
              <w:rFonts w:ascii="Times New Roman" w:hAnsi="Times New Roman" w:cs="Times New Roman"/>
            </w:rPr>
            <w:t>Australia</w:t>
          </w:r>
        </w:smartTag>
      </w:smartTag>
      <w:r w:rsidRPr="00A5114C">
        <w:rPr>
          <w:rFonts w:ascii="Times New Roman" w:hAnsi="Times New Roman" w:cs="Times New Roman"/>
        </w:rPr>
        <w:t>).</w:t>
      </w:r>
    </w:p>
    <w:p w:rsidR="007F14BF" w:rsidRPr="00A5114C" w:rsidRDefault="007F14BF"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In a study in patients diagnosed with pathological gambling, doses of nalmefene up to 90</w:t>
      </w:r>
      <w:r w:rsidR="007209A0">
        <w:rPr>
          <w:rFonts w:ascii="Times New Roman" w:hAnsi="Times New Roman" w:cs="Times New Roman"/>
          <w:spacing w:val="0"/>
          <w:lang w:eastAsia="en-AU"/>
        </w:rPr>
        <w:t> </w:t>
      </w:r>
      <w:r w:rsidRPr="00A5114C">
        <w:rPr>
          <w:rFonts w:ascii="Times New Roman" w:hAnsi="Times New Roman" w:cs="Times New Roman"/>
          <w:spacing w:val="0"/>
          <w:lang w:eastAsia="en-AU"/>
        </w:rPr>
        <w:t>mg/day for</w:t>
      </w:r>
      <w:r w:rsidR="00CF0A88"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16 weeks were investigated. </w:t>
      </w:r>
      <w:r w:rsidR="009737DD"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In a study in patients with interstitial cystitis, 20 patients received</w:t>
      </w:r>
      <w:r w:rsidR="00CF0A88"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108 mg/day of nalmefene for more than 2 years. </w:t>
      </w:r>
      <w:r w:rsidR="009737DD"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 xml:space="preserve">Intake of a single </w:t>
      </w:r>
      <w:r w:rsidRPr="00A5114C">
        <w:rPr>
          <w:rFonts w:ascii="Times New Roman" w:hAnsi="Times New Roman" w:cs="Times New Roman"/>
          <w:spacing w:val="0"/>
          <w:lang w:eastAsia="en-AU"/>
        </w:rPr>
        <w:lastRenderedPageBreak/>
        <w:t>dose of 450 mg nalmefene has been</w:t>
      </w:r>
      <w:r w:rsidR="00CF0A88"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reported without changes in blood pressure, heart rate, respiration rate, or body temperature.</w:t>
      </w:r>
    </w:p>
    <w:p w:rsidR="00B454D2" w:rsidRPr="00A5114C" w:rsidRDefault="00B454D2" w:rsidP="00D44BE3">
      <w:pPr>
        <w:spacing w:after="0" w:line="240" w:lineRule="auto"/>
        <w:rPr>
          <w:rFonts w:ascii="Times New Roman" w:hAnsi="Times New Roman" w:cs="Times New Roman"/>
          <w:spacing w:val="0"/>
          <w:lang w:eastAsia="en-AU"/>
        </w:rPr>
      </w:pPr>
    </w:p>
    <w:p w:rsidR="007F14BF" w:rsidRPr="00A5114C" w:rsidRDefault="007F14BF" w:rsidP="00D44BE3">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lang w:eastAsia="en-AU"/>
        </w:rPr>
        <w:t>No unusual pattern of adverse reactions was observed in these settings, but experience is limited.</w:t>
      </w:r>
    </w:p>
    <w:p w:rsidR="00F31E8C" w:rsidRPr="00A5114C" w:rsidRDefault="00F31E8C" w:rsidP="00D44BE3">
      <w:pPr>
        <w:spacing w:after="0" w:line="240" w:lineRule="auto"/>
        <w:jc w:val="both"/>
        <w:rPr>
          <w:rFonts w:ascii="Times New Roman" w:hAnsi="Times New Roman" w:cs="Times New Roman"/>
          <w:spacing w:val="0"/>
          <w:lang w:eastAsia="en-AU"/>
        </w:rPr>
      </w:pPr>
    </w:p>
    <w:p w:rsidR="007F14BF" w:rsidRPr="00A5114C" w:rsidRDefault="007F14BF" w:rsidP="00BC7D22">
      <w:pPr>
        <w:spacing w:after="240" w:line="240" w:lineRule="auto"/>
        <w:jc w:val="both"/>
        <w:rPr>
          <w:rFonts w:ascii="Times New Roman" w:hAnsi="Times New Roman" w:cs="Times New Roman"/>
        </w:rPr>
      </w:pPr>
      <w:r w:rsidRPr="00A5114C">
        <w:rPr>
          <w:rFonts w:ascii="Times New Roman" w:hAnsi="Times New Roman" w:cs="Times New Roman"/>
          <w:spacing w:val="0"/>
          <w:lang w:eastAsia="en-AU"/>
        </w:rPr>
        <w:t>Management of an overdose should be observational and symptomatic</w:t>
      </w:r>
      <w:r w:rsidRPr="00A5114C">
        <w:rPr>
          <w:rFonts w:ascii="Times New Roman" w:hAnsi="Times New Roman" w:cs="Times New Roman"/>
          <w:i/>
          <w:iCs/>
          <w:spacing w:val="0"/>
          <w:lang w:eastAsia="en-AU"/>
        </w:rPr>
        <w:t>.</w:t>
      </w:r>
    </w:p>
    <w:p w:rsidR="00B454D2" w:rsidRPr="00A5114C" w:rsidRDefault="0095276B" w:rsidP="0058001B">
      <w:pPr>
        <w:pStyle w:val="Heading2"/>
        <w:jc w:val="both"/>
        <w:rPr>
          <w:rFonts w:ascii="Times New Roman" w:hAnsi="Times New Roman" w:cs="Times New Roman"/>
        </w:rPr>
      </w:pPr>
      <w:r w:rsidRPr="00A5114C">
        <w:rPr>
          <w:rFonts w:ascii="Times New Roman" w:hAnsi="Times New Roman" w:cs="Times New Roman"/>
        </w:rPr>
        <w:t>PRES</w:t>
      </w:r>
      <w:r w:rsidR="0058001B" w:rsidRPr="00A5114C">
        <w:rPr>
          <w:rFonts w:ascii="Times New Roman" w:hAnsi="Times New Roman" w:cs="Times New Roman"/>
        </w:rPr>
        <w:t>ENTATION AND STORAGE CONDITIONS</w:t>
      </w:r>
    </w:p>
    <w:p w:rsidR="009813C3" w:rsidRPr="00A5114C" w:rsidRDefault="009813C3" w:rsidP="009737DD">
      <w:pPr>
        <w:spacing w:after="0" w:line="240" w:lineRule="auto"/>
        <w:jc w:val="both"/>
        <w:rPr>
          <w:rFonts w:ascii="Times New Roman" w:hAnsi="Times New Roman" w:cs="Times New Roman"/>
        </w:rPr>
      </w:pPr>
      <w:r w:rsidRPr="00A5114C">
        <w:rPr>
          <w:rFonts w:ascii="Times New Roman" w:hAnsi="Times New Roman" w:cs="Times New Roman"/>
          <w:spacing w:val="0"/>
          <w:u w:val="single"/>
          <w:lang w:eastAsia="en-AU"/>
        </w:rPr>
        <w:t>Film-coated tablet</w:t>
      </w:r>
      <w:r w:rsidR="009737DD" w:rsidRPr="00A5114C">
        <w:rPr>
          <w:rFonts w:ascii="Times New Roman" w:hAnsi="Times New Roman" w:cs="Times New Roman"/>
          <w:spacing w:val="0"/>
          <w:lang w:eastAsia="en-AU"/>
        </w:rPr>
        <w:t xml:space="preserve">: </w:t>
      </w:r>
      <w:r w:rsidRPr="00A5114C">
        <w:rPr>
          <w:rFonts w:ascii="Times New Roman" w:hAnsi="Times New Roman" w:cs="Times New Roman"/>
          <w:spacing w:val="0"/>
          <w:lang w:eastAsia="en-AU"/>
        </w:rPr>
        <w:t>White, oval, biconvex, 6.0 x 8.75 mm film-coated tablet engraved with “S” on one side</w:t>
      </w:r>
    </w:p>
    <w:p w:rsidR="007F14BF" w:rsidRPr="00A5114C" w:rsidRDefault="009737DD"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u w:val="single"/>
          <w:lang w:eastAsia="en-AU"/>
        </w:rPr>
        <w:t>Pack</w:t>
      </w:r>
      <w:r w:rsidRPr="00A5114C">
        <w:rPr>
          <w:rFonts w:ascii="Times New Roman" w:hAnsi="Times New Roman" w:cs="Times New Roman"/>
          <w:spacing w:val="0"/>
          <w:lang w:eastAsia="en-AU"/>
        </w:rPr>
        <w:t xml:space="preserve">: </w:t>
      </w:r>
      <w:r w:rsidR="007F14BF" w:rsidRPr="00A5114C">
        <w:rPr>
          <w:rFonts w:ascii="Times New Roman" w:hAnsi="Times New Roman" w:cs="Times New Roman"/>
          <w:spacing w:val="0"/>
          <w:lang w:eastAsia="en-AU"/>
        </w:rPr>
        <w:t>Clear PVC/PVdC-aluminium blisters in cardboard boxes</w:t>
      </w:r>
    </w:p>
    <w:p w:rsidR="007F14BF" w:rsidRPr="00A5114C" w:rsidRDefault="007F14BF" w:rsidP="009E5E3D">
      <w:pPr>
        <w:spacing w:after="0" w:line="240" w:lineRule="auto"/>
        <w:jc w:val="both"/>
        <w:rPr>
          <w:rFonts w:ascii="Times New Roman" w:hAnsi="Times New Roman" w:cs="Times New Roman"/>
          <w:spacing w:val="0"/>
          <w:lang w:eastAsia="en-AU"/>
        </w:rPr>
      </w:pPr>
      <w:r w:rsidRPr="00A5114C">
        <w:rPr>
          <w:rFonts w:ascii="Times New Roman" w:hAnsi="Times New Roman" w:cs="Times New Roman"/>
          <w:spacing w:val="0"/>
          <w:u w:val="single"/>
          <w:lang w:eastAsia="en-AU"/>
        </w:rPr>
        <w:t>Pack sizes</w:t>
      </w:r>
      <w:r w:rsidR="009737DD" w:rsidRPr="00A5114C">
        <w:rPr>
          <w:rFonts w:ascii="Times New Roman" w:hAnsi="Times New Roman" w:cs="Times New Roman"/>
          <w:spacing w:val="0"/>
          <w:lang w:eastAsia="en-AU"/>
        </w:rPr>
        <w:t>:</w:t>
      </w:r>
      <w:r w:rsidRPr="00A5114C">
        <w:rPr>
          <w:rFonts w:ascii="Times New Roman" w:hAnsi="Times New Roman" w:cs="Times New Roman"/>
          <w:spacing w:val="0"/>
          <w:lang w:eastAsia="en-AU"/>
        </w:rPr>
        <w:t xml:space="preserve"> 7, 14, 28, 42, and 98 film-coated tablets</w:t>
      </w:r>
    </w:p>
    <w:p w:rsidR="009813C3" w:rsidRPr="00A5114C" w:rsidRDefault="007F14BF" w:rsidP="009E5E3D">
      <w:pPr>
        <w:jc w:val="both"/>
        <w:rPr>
          <w:rFonts w:ascii="Times New Roman" w:hAnsi="Times New Roman" w:cs="Times New Roman"/>
          <w:spacing w:val="0"/>
          <w:lang w:eastAsia="en-AU"/>
        </w:rPr>
      </w:pPr>
      <w:r w:rsidRPr="00A5114C">
        <w:rPr>
          <w:rFonts w:ascii="Times New Roman" w:hAnsi="Times New Roman" w:cs="Times New Roman"/>
          <w:spacing w:val="0"/>
          <w:lang w:eastAsia="en-AU"/>
        </w:rPr>
        <w:t>Not all pack sizes may be marketed.</w:t>
      </w:r>
    </w:p>
    <w:p w:rsidR="0095276B" w:rsidRPr="00A5114C" w:rsidRDefault="0095276B" w:rsidP="009E5E3D">
      <w:pPr>
        <w:jc w:val="both"/>
        <w:rPr>
          <w:rFonts w:ascii="Times New Roman" w:hAnsi="Times New Roman" w:cs="Times New Roman"/>
        </w:rPr>
      </w:pPr>
      <w:r w:rsidRPr="00A5114C">
        <w:rPr>
          <w:rFonts w:ascii="Times New Roman" w:hAnsi="Times New Roman" w:cs="Times New Roman"/>
        </w:rPr>
        <w:t>Store below 30</w:t>
      </w:r>
      <w:r w:rsidRPr="00A5114C">
        <w:rPr>
          <w:rFonts w:ascii="Times New Roman" w:hAnsi="Times New Roman" w:cs="Times New Roman"/>
        </w:rPr>
        <w:sym w:font="Symbol" w:char="00B0"/>
      </w:r>
      <w:r w:rsidRPr="00A5114C">
        <w:rPr>
          <w:rFonts w:ascii="Times New Roman" w:hAnsi="Times New Roman" w:cs="Times New Roman"/>
        </w:rPr>
        <w:t>C.</w:t>
      </w:r>
      <w:r w:rsidR="00F1213F" w:rsidRPr="00A5114C">
        <w:rPr>
          <w:rFonts w:ascii="Times New Roman" w:hAnsi="Times New Roman" w:cs="Times New Roman"/>
        </w:rPr>
        <w:t xml:space="preserve"> </w:t>
      </w:r>
    </w:p>
    <w:p w:rsidR="0095276B" w:rsidRPr="00A5114C" w:rsidRDefault="0095276B" w:rsidP="009E5E3D">
      <w:pPr>
        <w:pStyle w:val="Heading2"/>
        <w:jc w:val="both"/>
        <w:rPr>
          <w:rFonts w:ascii="Times New Roman" w:hAnsi="Times New Roman" w:cs="Times New Roman"/>
        </w:rPr>
      </w:pPr>
      <w:r w:rsidRPr="00A5114C">
        <w:rPr>
          <w:rFonts w:ascii="Times New Roman" w:hAnsi="Times New Roman" w:cs="Times New Roman"/>
        </w:rPr>
        <w:t>NAME AND ADDRESS OF THE SPONSOR</w:t>
      </w:r>
    </w:p>
    <w:p w:rsidR="0095276B" w:rsidRPr="00A5114C" w:rsidRDefault="00BD6605" w:rsidP="009E5E3D">
      <w:pPr>
        <w:spacing w:after="0" w:line="240" w:lineRule="auto"/>
        <w:jc w:val="both"/>
        <w:rPr>
          <w:rFonts w:ascii="Times New Roman" w:hAnsi="Times New Roman" w:cs="Times New Roman"/>
        </w:rPr>
      </w:pPr>
      <w:r w:rsidRPr="00A5114C">
        <w:rPr>
          <w:rFonts w:ascii="Times New Roman" w:hAnsi="Times New Roman" w:cs="Times New Roman"/>
        </w:rPr>
        <w:t>Lundbeck Australia Pty Ltd</w:t>
      </w:r>
    </w:p>
    <w:p w:rsidR="00BD6605" w:rsidRPr="00A5114C" w:rsidRDefault="00BD6605" w:rsidP="009E5E3D">
      <w:pPr>
        <w:spacing w:after="0" w:line="240" w:lineRule="auto"/>
        <w:jc w:val="both"/>
        <w:rPr>
          <w:rFonts w:ascii="Times New Roman" w:hAnsi="Times New Roman" w:cs="Times New Roman"/>
        </w:rPr>
      </w:pPr>
      <w:r w:rsidRPr="00A5114C">
        <w:rPr>
          <w:rFonts w:ascii="Times New Roman" w:hAnsi="Times New Roman" w:cs="Times New Roman"/>
        </w:rPr>
        <w:t>Ground Floor</w:t>
      </w:r>
    </w:p>
    <w:p w:rsidR="00BD6605" w:rsidRPr="00A5114C" w:rsidRDefault="00BD6605" w:rsidP="009E5E3D">
      <w:pPr>
        <w:spacing w:after="0" w:line="240" w:lineRule="auto"/>
        <w:jc w:val="both"/>
        <w:rPr>
          <w:rFonts w:ascii="Times New Roman" w:hAnsi="Times New Roman" w:cs="Times New Roman"/>
        </w:rPr>
      </w:pPr>
      <w:smartTag w:uri="urn:schemas-microsoft-com:office:smarttags" w:element="Street">
        <w:smartTag w:uri="urn:schemas-microsoft-com:office:smarttags" w:element="address">
          <w:r w:rsidRPr="00A5114C">
            <w:rPr>
              <w:rFonts w:ascii="Times New Roman" w:hAnsi="Times New Roman" w:cs="Times New Roman"/>
            </w:rPr>
            <w:t>1 Innovation Road</w:t>
          </w:r>
        </w:smartTag>
      </w:smartTag>
    </w:p>
    <w:p w:rsidR="00BD6605" w:rsidRPr="00A5114C" w:rsidRDefault="00BD6605" w:rsidP="009E5E3D">
      <w:pPr>
        <w:spacing w:after="0" w:line="240" w:lineRule="auto"/>
        <w:jc w:val="both"/>
        <w:rPr>
          <w:rFonts w:ascii="Times New Roman" w:hAnsi="Times New Roman" w:cs="Times New Roman"/>
        </w:rPr>
      </w:pPr>
      <w:smartTag w:uri="urn:schemas-microsoft-com:office:smarttags" w:element="place">
        <w:r w:rsidRPr="00A5114C">
          <w:rPr>
            <w:rFonts w:ascii="Times New Roman" w:hAnsi="Times New Roman" w:cs="Times New Roman"/>
          </w:rPr>
          <w:t>North Ryde</w:t>
        </w:r>
      </w:smartTag>
      <w:r w:rsidRPr="00A5114C">
        <w:rPr>
          <w:rFonts w:ascii="Times New Roman" w:hAnsi="Times New Roman" w:cs="Times New Roman"/>
        </w:rPr>
        <w:t xml:space="preserve"> NSW 2113</w:t>
      </w:r>
    </w:p>
    <w:p w:rsidR="0095276B" w:rsidRPr="00A5114C" w:rsidRDefault="0095276B" w:rsidP="00BC7D22">
      <w:pPr>
        <w:spacing w:after="240" w:line="240" w:lineRule="auto"/>
        <w:jc w:val="both"/>
        <w:rPr>
          <w:rFonts w:ascii="Times New Roman" w:hAnsi="Times New Roman" w:cs="Times New Roman"/>
        </w:rPr>
      </w:pPr>
      <w:smartTag w:uri="urn:schemas-microsoft-com:office:smarttags" w:element="place">
        <w:smartTag w:uri="urn:schemas-microsoft-com:office:smarttags" w:element="country-region">
          <w:r w:rsidRPr="00A5114C">
            <w:rPr>
              <w:rFonts w:ascii="Times New Roman" w:hAnsi="Times New Roman" w:cs="Times New Roman"/>
            </w:rPr>
            <w:t>Australia</w:t>
          </w:r>
        </w:smartTag>
      </w:smartTag>
    </w:p>
    <w:p w:rsidR="0095276B" w:rsidRPr="00A5114C" w:rsidRDefault="0095276B" w:rsidP="009E5E3D">
      <w:pPr>
        <w:pStyle w:val="Heading2"/>
        <w:jc w:val="both"/>
        <w:rPr>
          <w:rFonts w:ascii="Times New Roman" w:hAnsi="Times New Roman" w:cs="Times New Roman"/>
        </w:rPr>
      </w:pPr>
      <w:r w:rsidRPr="00A5114C">
        <w:rPr>
          <w:rFonts w:ascii="Times New Roman" w:hAnsi="Times New Roman" w:cs="Times New Roman"/>
        </w:rPr>
        <w:t>POISON SCHEDULE OF THE MEDICINE</w:t>
      </w:r>
    </w:p>
    <w:p w:rsidR="0095276B" w:rsidRPr="00A5114C" w:rsidRDefault="0064321B" w:rsidP="009E5E3D">
      <w:pPr>
        <w:jc w:val="both"/>
        <w:rPr>
          <w:rFonts w:ascii="Times New Roman" w:hAnsi="Times New Roman" w:cs="Times New Roman"/>
        </w:rPr>
      </w:pPr>
      <w:r w:rsidRPr="00A5114C">
        <w:rPr>
          <w:rFonts w:ascii="Times New Roman" w:hAnsi="Times New Roman" w:cs="Times New Roman"/>
        </w:rPr>
        <w:t>PRESCRIPTION ONLY MEDICINE</w:t>
      </w:r>
    </w:p>
    <w:p w:rsidR="0095276B" w:rsidRPr="00A5114C" w:rsidRDefault="0064321B" w:rsidP="009E5E3D">
      <w:pPr>
        <w:pStyle w:val="Heading3"/>
        <w:jc w:val="both"/>
        <w:rPr>
          <w:rFonts w:ascii="Times New Roman" w:hAnsi="Times New Roman" w:cs="Times New Roman"/>
        </w:rPr>
      </w:pPr>
      <w:r w:rsidRPr="00A5114C">
        <w:rPr>
          <w:rFonts w:ascii="Times New Roman" w:hAnsi="Times New Roman" w:cs="Times New Roman"/>
        </w:rPr>
        <w:t>DATE OF FIRST INCLUSION IN THE AUSTRALIAN REGISTER OF THERAPEUTIC GOODS (the ARTG)</w:t>
      </w:r>
    </w:p>
    <w:p w:rsidR="0095276B" w:rsidRPr="00A5114C" w:rsidRDefault="001B2B8E" w:rsidP="00DB2DFF">
      <w:pPr>
        <w:rPr>
          <w:rFonts w:ascii="Times New Roman" w:hAnsi="Times New Roman" w:cs="Times New Roman"/>
        </w:rPr>
      </w:pPr>
      <w:r>
        <w:rPr>
          <w:rFonts w:ascii="Times New Roman" w:hAnsi="Times New Roman" w:cs="Times New Roman"/>
        </w:rPr>
        <w:t>17 June 2015</w:t>
      </w:r>
    </w:p>
    <w:sectPr w:rsidR="0095276B" w:rsidRPr="00A5114C" w:rsidSect="00A5114C">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A1" w:rsidRDefault="007279A1" w:rsidP="00DB2DFF">
      <w:r>
        <w:separator/>
      </w:r>
    </w:p>
    <w:p w:rsidR="007279A1" w:rsidRDefault="007279A1" w:rsidP="00DB2DFF"/>
  </w:endnote>
  <w:endnote w:type="continuationSeparator" w:id="0">
    <w:p w:rsidR="007279A1" w:rsidRDefault="007279A1" w:rsidP="00DB2DFF">
      <w:r>
        <w:continuationSeparator/>
      </w:r>
    </w:p>
    <w:p w:rsidR="007279A1" w:rsidRDefault="007279A1" w:rsidP="00DB2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83" w:usb1="08070000" w:usb2="00000010" w:usb3="00000000" w:csb0="00020009"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A0" w:rsidRDefault="007209A0" w:rsidP="00DB2DF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209A0" w:rsidRDefault="007209A0" w:rsidP="00DB2DFF">
    <w:pPr>
      <w:pStyle w:val="Footer"/>
    </w:pPr>
  </w:p>
  <w:p w:rsidR="007209A0" w:rsidRDefault="007209A0" w:rsidP="00DB2D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A0" w:rsidRDefault="007209A0">
    <w:pPr>
      <w:pStyle w:val="Footer"/>
      <w:jc w:val="center"/>
    </w:pPr>
    <w:r>
      <w:fldChar w:fldCharType="begin"/>
    </w:r>
    <w:r>
      <w:instrText xml:space="preserve"> PAGE   \* MERGEFORMAT </w:instrText>
    </w:r>
    <w:r>
      <w:fldChar w:fldCharType="separate"/>
    </w:r>
    <w:r w:rsidR="00E9624A">
      <w:rPr>
        <w:noProof/>
      </w:rPr>
      <w:t>1</w:t>
    </w:r>
    <w:r>
      <w:rPr>
        <w:noProof/>
      </w:rPr>
      <w:fldChar w:fldCharType="end"/>
    </w:r>
  </w:p>
  <w:p w:rsidR="007209A0" w:rsidRPr="00A05186" w:rsidRDefault="007209A0" w:rsidP="003A0F9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A1" w:rsidRDefault="007279A1" w:rsidP="00DB2DFF">
      <w:r>
        <w:separator/>
      </w:r>
    </w:p>
    <w:p w:rsidR="007279A1" w:rsidRDefault="007279A1" w:rsidP="00DB2DFF"/>
  </w:footnote>
  <w:footnote w:type="continuationSeparator" w:id="0">
    <w:p w:rsidR="007279A1" w:rsidRDefault="007279A1" w:rsidP="00DB2DFF">
      <w:r>
        <w:continuationSeparator/>
      </w:r>
    </w:p>
    <w:p w:rsidR="007279A1" w:rsidRDefault="007279A1" w:rsidP="00DB2D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8276AF" w:rsidTr="007279A1">
      <w:tc>
        <w:tcPr>
          <w:tcW w:w="8720" w:type="dxa"/>
          <w:shd w:val="clear" w:color="auto" w:fill="E4F2E0"/>
        </w:tcPr>
        <w:p w:rsidR="008276AF" w:rsidRPr="007279A1" w:rsidRDefault="008276AF" w:rsidP="007279A1">
          <w:pPr>
            <w:spacing w:before="40" w:after="40"/>
            <w:rPr>
              <w:rFonts w:eastAsia="Times New Roman"/>
              <w:b/>
              <w:sz w:val="20"/>
              <w:szCs w:val="20"/>
            </w:rPr>
          </w:pPr>
          <w:r w:rsidRPr="007279A1">
            <w:rPr>
              <w:rFonts w:eastAsia="Times New Roman"/>
              <w:b/>
              <w:sz w:val="20"/>
              <w:szCs w:val="20"/>
            </w:rPr>
            <w:t>Attachment 1: Product information for AusPAR Selincro Lundbeck Australia Pty Ltd PM-2013-02690-1-1 Final 9 August 2016. This Product Information was approved at the time this AusPAR was published.</w:t>
          </w:r>
        </w:p>
      </w:tc>
    </w:tr>
  </w:tbl>
  <w:p w:rsidR="007209A0" w:rsidRDefault="007209A0" w:rsidP="006C5B77">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E40106A"/>
    <w:lvl w:ilvl="0">
      <w:start w:val="1"/>
      <w:numFmt w:val="decimal"/>
      <w:lvlText w:val="%1."/>
      <w:lvlJc w:val="left"/>
      <w:pPr>
        <w:tabs>
          <w:tab w:val="num" w:pos="643"/>
        </w:tabs>
        <w:ind w:left="643" w:hanging="360"/>
      </w:pPr>
    </w:lvl>
  </w:abstractNum>
  <w:abstractNum w:abstractNumId="1">
    <w:nsid w:val="FFFFFF83"/>
    <w:multiLevelType w:val="singleLevel"/>
    <w:tmpl w:val="C696E0C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F443C4E"/>
    <w:lvl w:ilvl="0">
      <w:start w:val="1"/>
      <w:numFmt w:val="decimal"/>
      <w:lvlText w:val="%1."/>
      <w:lvlJc w:val="left"/>
      <w:pPr>
        <w:tabs>
          <w:tab w:val="num" w:pos="360"/>
        </w:tabs>
        <w:ind w:left="360" w:hanging="360"/>
      </w:pPr>
    </w:lvl>
  </w:abstractNum>
  <w:abstractNum w:abstractNumId="3">
    <w:nsid w:val="FFFFFF89"/>
    <w:multiLevelType w:val="singleLevel"/>
    <w:tmpl w:val="12BE8496"/>
    <w:lvl w:ilvl="0">
      <w:start w:val="1"/>
      <w:numFmt w:val="bullet"/>
      <w:lvlText w:val=""/>
      <w:lvlJc w:val="left"/>
      <w:pPr>
        <w:tabs>
          <w:tab w:val="num" w:pos="360"/>
        </w:tabs>
        <w:ind w:left="360" w:hanging="360"/>
      </w:pPr>
      <w:rPr>
        <w:rFonts w:ascii="Symbol" w:hAnsi="Symbol" w:hint="default"/>
      </w:rPr>
    </w:lvl>
  </w:abstractNum>
  <w:abstractNum w:abstractNumId="4">
    <w:nsid w:val="15F76148"/>
    <w:multiLevelType w:val="hybridMultilevel"/>
    <w:tmpl w:val="21343B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426606"/>
    <w:multiLevelType w:val="hybridMultilevel"/>
    <w:tmpl w:val="9DF06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44268C"/>
    <w:multiLevelType w:val="hybridMultilevel"/>
    <w:tmpl w:val="F96C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BC0347"/>
    <w:multiLevelType w:val="hybridMultilevel"/>
    <w:tmpl w:val="DB4819C6"/>
    <w:lvl w:ilvl="0" w:tplc="CD828EBE">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3CB70438"/>
    <w:multiLevelType w:val="hybridMultilevel"/>
    <w:tmpl w:val="D314344A"/>
    <w:lvl w:ilvl="0" w:tplc="4A40EE1C">
      <w:start w:val="1"/>
      <w:numFmt w:val="bullet"/>
      <w:lvlText w:val=""/>
      <w:lvlJc w:val="left"/>
      <w:pPr>
        <w:tabs>
          <w:tab w:val="num" w:pos="360"/>
        </w:tabs>
        <w:ind w:left="36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66534925"/>
    <w:multiLevelType w:val="hybridMultilevel"/>
    <w:tmpl w:val="E730C6D8"/>
    <w:lvl w:ilvl="0" w:tplc="8E746214">
      <w:numFmt w:val="bullet"/>
      <w:lvlText w:val="•"/>
      <w:lvlJc w:val="left"/>
      <w:pPr>
        <w:ind w:left="420" w:hanging="42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14AB"/>
    <w:rsid w:val="000113A3"/>
    <w:rsid w:val="00012E46"/>
    <w:rsid w:val="00014029"/>
    <w:rsid w:val="00014934"/>
    <w:rsid w:val="000365E9"/>
    <w:rsid w:val="00081C77"/>
    <w:rsid w:val="00086E15"/>
    <w:rsid w:val="00096318"/>
    <w:rsid w:val="00097616"/>
    <w:rsid w:val="000A5545"/>
    <w:rsid w:val="000B18B5"/>
    <w:rsid w:val="000B5264"/>
    <w:rsid w:val="000C380B"/>
    <w:rsid w:val="000D0082"/>
    <w:rsid w:val="000D2F71"/>
    <w:rsid w:val="000E03B7"/>
    <w:rsid w:val="000E11C2"/>
    <w:rsid w:val="000E74EC"/>
    <w:rsid w:val="000F0BA9"/>
    <w:rsid w:val="000F2FB9"/>
    <w:rsid w:val="000F6DF8"/>
    <w:rsid w:val="000F72BC"/>
    <w:rsid w:val="00101AF7"/>
    <w:rsid w:val="00105A4A"/>
    <w:rsid w:val="00132327"/>
    <w:rsid w:val="00154E7B"/>
    <w:rsid w:val="00156919"/>
    <w:rsid w:val="0015729A"/>
    <w:rsid w:val="00161846"/>
    <w:rsid w:val="00170B41"/>
    <w:rsid w:val="001743E5"/>
    <w:rsid w:val="0017786A"/>
    <w:rsid w:val="001836ED"/>
    <w:rsid w:val="00186990"/>
    <w:rsid w:val="00186B5F"/>
    <w:rsid w:val="00196641"/>
    <w:rsid w:val="001A034E"/>
    <w:rsid w:val="001A0723"/>
    <w:rsid w:val="001A1A4F"/>
    <w:rsid w:val="001A7C8B"/>
    <w:rsid w:val="001B2B8E"/>
    <w:rsid w:val="001B2E5D"/>
    <w:rsid w:val="001C3AE8"/>
    <w:rsid w:val="001C67B7"/>
    <w:rsid w:val="001E1198"/>
    <w:rsid w:val="001E2FD3"/>
    <w:rsid w:val="001E7DEF"/>
    <w:rsid w:val="001F185C"/>
    <w:rsid w:val="001F3C09"/>
    <w:rsid w:val="001F3F53"/>
    <w:rsid w:val="001F5AA7"/>
    <w:rsid w:val="001F7298"/>
    <w:rsid w:val="0021441D"/>
    <w:rsid w:val="00216FA4"/>
    <w:rsid w:val="0022121D"/>
    <w:rsid w:val="00224FA0"/>
    <w:rsid w:val="0023110D"/>
    <w:rsid w:val="00245CAE"/>
    <w:rsid w:val="0025301E"/>
    <w:rsid w:val="002531BF"/>
    <w:rsid w:val="00257C41"/>
    <w:rsid w:val="00261F25"/>
    <w:rsid w:val="00264C99"/>
    <w:rsid w:val="002664F0"/>
    <w:rsid w:val="00277439"/>
    <w:rsid w:val="00297B90"/>
    <w:rsid w:val="002B0530"/>
    <w:rsid w:val="002B0D8A"/>
    <w:rsid w:val="002B4AA9"/>
    <w:rsid w:val="002C63CE"/>
    <w:rsid w:val="002C6FE7"/>
    <w:rsid w:val="002D1CF6"/>
    <w:rsid w:val="002D78A4"/>
    <w:rsid w:val="002F4DFF"/>
    <w:rsid w:val="00312B5B"/>
    <w:rsid w:val="00315F58"/>
    <w:rsid w:val="00323B0F"/>
    <w:rsid w:val="0032673F"/>
    <w:rsid w:val="003271B8"/>
    <w:rsid w:val="0033439C"/>
    <w:rsid w:val="00343936"/>
    <w:rsid w:val="003444D0"/>
    <w:rsid w:val="00347E56"/>
    <w:rsid w:val="00350233"/>
    <w:rsid w:val="0035607B"/>
    <w:rsid w:val="003778A1"/>
    <w:rsid w:val="00377EBC"/>
    <w:rsid w:val="00380F7A"/>
    <w:rsid w:val="00381391"/>
    <w:rsid w:val="003875B7"/>
    <w:rsid w:val="00387916"/>
    <w:rsid w:val="0039091A"/>
    <w:rsid w:val="003A0F9C"/>
    <w:rsid w:val="003A60D9"/>
    <w:rsid w:val="003B20CC"/>
    <w:rsid w:val="003C45F7"/>
    <w:rsid w:val="003C58A8"/>
    <w:rsid w:val="003D1A36"/>
    <w:rsid w:val="003D2FBB"/>
    <w:rsid w:val="003D52B4"/>
    <w:rsid w:val="003D5480"/>
    <w:rsid w:val="003E7B34"/>
    <w:rsid w:val="003F0098"/>
    <w:rsid w:val="00407B54"/>
    <w:rsid w:val="0042735E"/>
    <w:rsid w:val="0043080E"/>
    <w:rsid w:val="00431A0A"/>
    <w:rsid w:val="00440C93"/>
    <w:rsid w:val="00441DD7"/>
    <w:rsid w:val="00442D3D"/>
    <w:rsid w:val="004672B0"/>
    <w:rsid w:val="00483316"/>
    <w:rsid w:val="00492106"/>
    <w:rsid w:val="004921EC"/>
    <w:rsid w:val="00497672"/>
    <w:rsid w:val="004A085C"/>
    <w:rsid w:val="004A1106"/>
    <w:rsid w:val="004B2978"/>
    <w:rsid w:val="004B2B8A"/>
    <w:rsid w:val="004D4BBA"/>
    <w:rsid w:val="004D6738"/>
    <w:rsid w:val="004E3913"/>
    <w:rsid w:val="004E6CE3"/>
    <w:rsid w:val="004F1D79"/>
    <w:rsid w:val="005268A1"/>
    <w:rsid w:val="00531122"/>
    <w:rsid w:val="005406A1"/>
    <w:rsid w:val="00543A28"/>
    <w:rsid w:val="00547989"/>
    <w:rsid w:val="00555F26"/>
    <w:rsid w:val="00557FD7"/>
    <w:rsid w:val="00562463"/>
    <w:rsid w:val="0056297D"/>
    <w:rsid w:val="005652CC"/>
    <w:rsid w:val="00566CA8"/>
    <w:rsid w:val="0057238E"/>
    <w:rsid w:val="00574099"/>
    <w:rsid w:val="00577FC9"/>
    <w:rsid w:val="0058001B"/>
    <w:rsid w:val="00584E4A"/>
    <w:rsid w:val="0059422E"/>
    <w:rsid w:val="00595ACB"/>
    <w:rsid w:val="005B4668"/>
    <w:rsid w:val="005C13CE"/>
    <w:rsid w:val="005C684F"/>
    <w:rsid w:val="005F057C"/>
    <w:rsid w:val="00602CA0"/>
    <w:rsid w:val="006055C6"/>
    <w:rsid w:val="0061667A"/>
    <w:rsid w:val="00616AA0"/>
    <w:rsid w:val="006272E8"/>
    <w:rsid w:val="0064321B"/>
    <w:rsid w:val="006457CC"/>
    <w:rsid w:val="00654BCF"/>
    <w:rsid w:val="00662362"/>
    <w:rsid w:val="00665EB3"/>
    <w:rsid w:val="006675E3"/>
    <w:rsid w:val="0066761D"/>
    <w:rsid w:val="0068297D"/>
    <w:rsid w:val="00682F31"/>
    <w:rsid w:val="00690132"/>
    <w:rsid w:val="006950F1"/>
    <w:rsid w:val="006A446F"/>
    <w:rsid w:val="006B3A20"/>
    <w:rsid w:val="006B3FBA"/>
    <w:rsid w:val="006C5B77"/>
    <w:rsid w:val="006F03D1"/>
    <w:rsid w:val="006F22CB"/>
    <w:rsid w:val="006F3CA3"/>
    <w:rsid w:val="006F3D69"/>
    <w:rsid w:val="00702BD7"/>
    <w:rsid w:val="00704EF0"/>
    <w:rsid w:val="00707C69"/>
    <w:rsid w:val="00710D3F"/>
    <w:rsid w:val="0071661B"/>
    <w:rsid w:val="007209A0"/>
    <w:rsid w:val="007279A1"/>
    <w:rsid w:val="00731FBB"/>
    <w:rsid w:val="007578AF"/>
    <w:rsid w:val="007604D3"/>
    <w:rsid w:val="00760943"/>
    <w:rsid w:val="00760AED"/>
    <w:rsid w:val="00761EEF"/>
    <w:rsid w:val="007830F4"/>
    <w:rsid w:val="007901FF"/>
    <w:rsid w:val="00793413"/>
    <w:rsid w:val="007A1C1B"/>
    <w:rsid w:val="007A7507"/>
    <w:rsid w:val="007B39E2"/>
    <w:rsid w:val="007B4D45"/>
    <w:rsid w:val="007C2B23"/>
    <w:rsid w:val="007D21BE"/>
    <w:rsid w:val="007D3602"/>
    <w:rsid w:val="007E07BF"/>
    <w:rsid w:val="007E3483"/>
    <w:rsid w:val="007F14BF"/>
    <w:rsid w:val="007F4666"/>
    <w:rsid w:val="007F53C0"/>
    <w:rsid w:val="007F6995"/>
    <w:rsid w:val="007F7254"/>
    <w:rsid w:val="00803D4A"/>
    <w:rsid w:val="00827188"/>
    <w:rsid w:val="008276AF"/>
    <w:rsid w:val="00832183"/>
    <w:rsid w:val="0084140B"/>
    <w:rsid w:val="008637F1"/>
    <w:rsid w:val="00864F24"/>
    <w:rsid w:val="00865621"/>
    <w:rsid w:val="00865676"/>
    <w:rsid w:val="0086609B"/>
    <w:rsid w:val="0087435C"/>
    <w:rsid w:val="00892706"/>
    <w:rsid w:val="00896798"/>
    <w:rsid w:val="0089795C"/>
    <w:rsid w:val="008A0AFE"/>
    <w:rsid w:val="008A35CB"/>
    <w:rsid w:val="008A5219"/>
    <w:rsid w:val="008A584E"/>
    <w:rsid w:val="008A6D24"/>
    <w:rsid w:val="008B1D56"/>
    <w:rsid w:val="008C09A3"/>
    <w:rsid w:val="008C1D02"/>
    <w:rsid w:val="008C613E"/>
    <w:rsid w:val="008D0196"/>
    <w:rsid w:val="008D1E8A"/>
    <w:rsid w:val="008D51F2"/>
    <w:rsid w:val="008E0CB7"/>
    <w:rsid w:val="008E2697"/>
    <w:rsid w:val="008F0E9F"/>
    <w:rsid w:val="008F10D6"/>
    <w:rsid w:val="008F2DE5"/>
    <w:rsid w:val="008F4E2D"/>
    <w:rsid w:val="008F6FE5"/>
    <w:rsid w:val="00907766"/>
    <w:rsid w:val="00910F2E"/>
    <w:rsid w:val="00913DEE"/>
    <w:rsid w:val="0091787F"/>
    <w:rsid w:val="0092644C"/>
    <w:rsid w:val="009322EA"/>
    <w:rsid w:val="00937A2A"/>
    <w:rsid w:val="0095276B"/>
    <w:rsid w:val="00954899"/>
    <w:rsid w:val="00957607"/>
    <w:rsid w:val="00957901"/>
    <w:rsid w:val="00957E5E"/>
    <w:rsid w:val="009671A6"/>
    <w:rsid w:val="00971413"/>
    <w:rsid w:val="009737DD"/>
    <w:rsid w:val="009813C3"/>
    <w:rsid w:val="009864BB"/>
    <w:rsid w:val="00986EF7"/>
    <w:rsid w:val="0099558F"/>
    <w:rsid w:val="009956B0"/>
    <w:rsid w:val="00997DB4"/>
    <w:rsid w:val="009A1CE2"/>
    <w:rsid w:val="009A63BF"/>
    <w:rsid w:val="009B3B7E"/>
    <w:rsid w:val="009B5837"/>
    <w:rsid w:val="009D141B"/>
    <w:rsid w:val="009D2B38"/>
    <w:rsid w:val="009E5E3D"/>
    <w:rsid w:val="009F73A5"/>
    <w:rsid w:val="00A013CC"/>
    <w:rsid w:val="00A0288A"/>
    <w:rsid w:val="00A05186"/>
    <w:rsid w:val="00A062CA"/>
    <w:rsid w:val="00A2665E"/>
    <w:rsid w:val="00A27251"/>
    <w:rsid w:val="00A33078"/>
    <w:rsid w:val="00A339EB"/>
    <w:rsid w:val="00A34947"/>
    <w:rsid w:val="00A34B8F"/>
    <w:rsid w:val="00A5114C"/>
    <w:rsid w:val="00A52836"/>
    <w:rsid w:val="00A559AF"/>
    <w:rsid w:val="00A5715C"/>
    <w:rsid w:val="00A61590"/>
    <w:rsid w:val="00A81DEC"/>
    <w:rsid w:val="00A94316"/>
    <w:rsid w:val="00A95FA7"/>
    <w:rsid w:val="00AA4E8D"/>
    <w:rsid w:val="00AB1BE8"/>
    <w:rsid w:val="00AC26B8"/>
    <w:rsid w:val="00AC753B"/>
    <w:rsid w:val="00AE2DA8"/>
    <w:rsid w:val="00AE7746"/>
    <w:rsid w:val="00AF5AB7"/>
    <w:rsid w:val="00AF67CC"/>
    <w:rsid w:val="00B07547"/>
    <w:rsid w:val="00B1415F"/>
    <w:rsid w:val="00B17B7D"/>
    <w:rsid w:val="00B24E3A"/>
    <w:rsid w:val="00B25350"/>
    <w:rsid w:val="00B32915"/>
    <w:rsid w:val="00B336AA"/>
    <w:rsid w:val="00B420EE"/>
    <w:rsid w:val="00B454D2"/>
    <w:rsid w:val="00B476C2"/>
    <w:rsid w:val="00B47888"/>
    <w:rsid w:val="00B60D02"/>
    <w:rsid w:val="00B6552D"/>
    <w:rsid w:val="00B6569E"/>
    <w:rsid w:val="00B669F3"/>
    <w:rsid w:val="00B6786B"/>
    <w:rsid w:val="00B67994"/>
    <w:rsid w:val="00B70EB2"/>
    <w:rsid w:val="00B767B9"/>
    <w:rsid w:val="00B771F2"/>
    <w:rsid w:val="00B825F7"/>
    <w:rsid w:val="00B91565"/>
    <w:rsid w:val="00B92256"/>
    <w:rsid w:val="00BA478D"/>
    <w:rsid w:val="00BA4A6F"/>
    <w:rsid w:val="00BA7DCF"/>
    <w:rsid w:val="00BB289A"/>
    <w:rsid w:val="00BB3CEB"/>
    <w:rsid w:val="00BB4468"/>
    <w:rsid w:val="00BC7D22"/>
    <w:rsid w:val="00BD12E6"/>
    <w:rsid w:val="00BD4C27"/>
    <w:rsid w:val="00BD6605"/>
    <w:rsid w:val="00BF463D"/>
    <w:rsid w:val="00BF49E0"/>
    <w:rsid w:val="00BF7367"/>
    <w:rsid w:val="00C06517"/>
    <w:rsid w:val="00C155A1"/>
    <w:rsid w:val="00C15B69"/>
    <w:rsid w:val="00C20554"/>
    <w:rsid w:val="00C24FAE"/>
    <w:rsid w:val="00C3463A"/>
    <w:rsid w:val="00C35B40"/>
    <w:rsid w:val="00C41341"/>
    <w:rsid w:val="00C41DDF"/>
    <w:rsid w:val="00C44FD8"/>
    <w:rsid w:val="00C458E0"/>
    <w:rsid w:val="00C50222"/>
    <w:rsid w:val="00C57F5A"/>
    <w:rsid w:val="00C60D5B"/>
    <w:rsid w:val="00C77130"/>
    <w:rsid w:val="00C81D18"/>
    <w:rsid w:val="00C824BD"/>
    <w:rsid w:val="00C82C78"/>
    <w:rsid w:val="00C846D7"/>
    <w:rsid w:val="00C84F9D"/>
    <w:rsid w:val="00C9050B"/>
    <w:rsid w:val="00C91365"/>
    <w:rsid w:val="00CA16C3"/>
    <w:rsid w:val="00CC1C8B"/>
    <w:rsid w:val="00CC24F7"/>
    <w:rsid w:val="00CD159B"/>
    <w:rsid w:val="00CD7E20"/>
    <w:rsid w:val="00CE7FA5"/>
    <w:rsid w:val="00CF0A88"/>
    <w:rsid w:val="00CF31CE"/>
    <w:rsid w:val="00D01C2F"/>
    <w:rsid w:val="00D0388C"/>
    <w:rsid w:val="00D11699"/>
    <w:rsid w:val="00D129B1"/>
    <w:rsid w:val="00D13621"/>
    <w:rsid w:val="00D14728"/>
    <w:rsid w:val="00D158B2"/>
    <w:rsid w:val="00D23413"/>
    <w:rsid w:val="00D34A87"/>
    <w:rsid w:val="00D370F1"/>
    <w:rsid w:val="00D44BE3"/>
    <w:rsid w:val="00D4544E"/>
    <w:rsid w:val="00D45EF4"/>
    <w:rsid w:val="00D90644"/>
    <w:rsid w:val="00D96E5D"/>
    <w:rsid w:val="00DA1B02"/>
    <w:rsid w:val="00DA45E7"/>
    <w:rsid w:val="00DB2DFF"/>
    <w:rsid w:val="00DB3593"/>
    <w:rsid w:val="00DB3B1A"/>
    <w:rsid w:val="00DB3E71"/>
    <w:rsid w:val="00DB6565"/>
    <w:rsid w:val="00DC3B8B"/>
    <w:rsid w:val="00DC6512"/>
    <w:rsid w:val="00DF1A99"/>
    <w:rsid w:val="00DF313E"/>
    <w:rsid w:val="00DF6936"/>
    <w:rsid w:val="00DF6BDF"/>
    <w:rsid w:val="00E00644"/>
    <w:rsid w:val="00E00B4B"/>
    <w:rsid w:val="00E031EA"/>
    <w:rsid w:val="00E045B1"/>
    <w:rsid w:val="00E07DF8"/>
    <w:rsid w:val="00E11D70"/>
    <w:rsid w:val="00E12FA3"/>
    <w:rsid w:val="00E17F6F"/>
    <w:rsid w:val="00E20D61"/>
    <w:rsid w:val="00E24001"/>
    <w:rsid w:val="00E27001"/>
    <w:rsid w:val="00E306E4"/>
    <w:rsid w:val="00E54C80"/>
    <w:rsid w:val="00E55944"/>
    <w:rsid w:val="00E72190"/>
    <w:rsid w:val="00E9258B"/>
    <w:rsid w:val="00E95966"/>
    <w:rsid w:val="00E9624A"/>
    <w:rsid w:val="00EA3619"/>
    <w:rsid w:val="00EB3283"/>
    <w:rsid w:val="00EB501E"/>
    <w:rsid w:val="00EC3AA9"/>
    <w:rsid w:val="00EC6029"/>
    <w:rsid w:val="00ED1261"/>
    <w:rsid w:val="00EF06D9"/>
    <w:rsid w:val="00EF0847"/>
    <w:rsid w:val="00F0100E"/>
    <w:rsid w:val="00F1213F"/>
    <w:rsid w:val="00F23AE7"/>
    <w:rsid w:val="00F31E8C"/>
    <w:rsid w:val="00F43CF5"/>
    <w:rsid w:val="00F524EE"/>
    <w:rsid w:val="00F56A65"/>
    <w:rsid w:val="00F570BA"/>
    <w:rsid w:val="00F6596C"/>
    <w:rsid w:val="00F73265"/>
    <w:rsid w:val="00F82638"/>
    <w:rsid w:val="00F94518"/>
    <w:rsid w:val="00F9542A"/>
    <w:rsid w:val="00FA56BB"/>
    <w:rsid w:val="00FA59FC"/>
    <w:rsid w:val="00FB4B78"/>
    <w:rsid w:val="00FC5D89"/>
    <w:rsid w:val="00FD216F"/>
    <w:rsid w:val="00FD3472"/>
    <w:rsid w:val="00FD362E"/>
    <w:rsid w:val="00FD6694"/>
    <w:rsid w:val="00FF3E6E"/>
    <w:rsid w:val="00FF567A"/>
    <w:rsid w:val="00FF720A"/>
    <w:rsid w:val="00FF7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1" w:qFormat="1"/>
    <w:lsdException w:name="heading 8" w:uiPriority="1" w:qFormat="1"/>
    <w:lsdException w:name="heading 9" w:uiPriority="1" w:qFormat="1"/>
    <w:lsdException w:name="caption" w:semiHidden="0" w:unhideWhenUsed="0" w:qFormat="1"/>
    <w:lsdException w:name="annotation reference" w:uiPriority="0"/>
    <w:lsdException w:name="List Bullet" w:semiHidden="0" w:unhideWhenUsed="0" w:qFormat="1"/>
    <w:lsdException w:name="List Number" w:semiHidden="0" w:uiPriority="9" w:unhideWhenUsed="0" w:qFormat="1"/>
    <w:lsdException w:name="List 3" w:uiPriority="0"/>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90"/>
    <w:pPr>
      <w:autoSpaceDE w:val="0"/>
      <w:autoSpaceDN w:val="0"/>
      <w:adjustRightInd w:val="0"/>
      <w:spacing w:after="200" w:line="276" w:lineRule="auto"/>
    </w:pPr>
    <w:rPr>
      <w:rFonts w:ascii="Arial" w:hAnsi="Arial" w:cs="Arial"/>
      <w:spacing w:val="-3"/>
      <w:sz w:val="24"/>
      <w:szCs w:val="24"/>
      <w:lang w:eastAsia="en-US"/>
    </w:rPr>
  </w:style>
  <w:style w:type="paragraph" w:styleId="Heading1">
    <w:name w:val="heading 1"/>
    <w:basedOn w:val="Normal"/>
    <w:next w:val="Normal"/>
    <w:link w:val="Heading1Char"/>
    <w:uiPriority w:val="1"/>
    <w:qFormat/>
    <w:rsid w:val="00DB2DFF"/>
    <w:pPr>
      <w:spacing w:beforeLines="60" w:before="144" w:after="240"/>
      <w:jc w:val="center"/>
      <w:outlineLvl w:val="0"/>
    </w:pPr>
    <w:rPr>
      <w:b/>
    </w:rPr>
  </w:style>
  <w:style w:type="paragraph" w:styleId="Heading2">
    <w:name w:val="heading 2"/>
    <w:basedOn w:val="Normal"/>
    <w:next w:val="Normal"/>
    <w:link w:val="Heading2Char"/>
    <w:uiPriority w:val="1"/>
    <w:qFormat/>
    <w:rsid w:val="00DB2DFF"/>
    <w:pPr>
      <w:spacing w:beforeLines="60" w:before="144" w:after="240"/>
      <w:outlineLvl w:val="1"/>
    </w:pPr>
    <w:rPr>
      <w:b/>
    </w:rPr>
  </w:style>
  <w:style w:type="paragraph" w:styleId="Heading3">
    <w:name w:val="heading 3"/>
    <w:basedOn w:val="Normal"/>
    <w:next w:val="Normal"/>
    <w:link w:val="Heading3Char"/>
    <w:uiPriority w:val="1"/>
    <w:qFormat/>
    <w:rsid w:val="00DB2DFF"/>
    <w:pPr>
      <w:spacing w:beforeLines="60" w:before="144" w:after="240"/>
      <w:outlineLvl w:val="2"/>
    </w:pPr>
    <w:rPr>
      <w:b/>
    </w:rPr>
  </w:style>
  <w:style w:type="paragraph" w:styleId="Heading4">
    <w:name w:val="heading 4"/>
    <w:basedOn w:val="Normal"/>
    <w:next w:val="Normal"/>
    <w:link w:val="Heading4Char"/>
    <w:uiPriority w:val="1"/>
    <w:qFormat/>
    <w:rsid w:val="00DB2DFF"/>
    <w:pPr>
      <w:spacing w:after="240"/>
      <w:outlineLvl w:val="3"/>
    </w:pPr>
    <w:rPr>
      <w:u w:val="single"/>
    </w:rPr>
  </w:style>
  <w:style w:type="paragraph" w:styleId="Heading5">
    <w:name w:val="heading 5"/>
    <w:basedOn w:val="Normal"/>
    <w:next w:val="Normal"/>
    <w:link w:val="Heading5Char"/>
    <w:uiPriority w:val="1"/>
    <w:qFormat/>
    <w:rsid w:val="00DB2DFF"/>
    <w:pPr>
      <w:spacing w:after="240"/>
      <w:outlineLvl w:val="4"/>
    </w:pPr>
    <w:rPr>
      <w:i/>
    </w:rPr>
  </w:style>
  <w:style w:type="character" w:default="1" w:styleId="DefaultParagraphFont">
    <w:name w:val="Default Paragraph Font"/>
    <w:uiPriority w:val="99"/>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276B"/>
    <w:pPr>
      <w:autoSpaceDE w:val="0"/>
      <w:autoSpaceDN w:val="0"/>
      <w:adjustRightInd w:val="0"/>
    </w:pPr>
    <w:rPr>
      <w:rFonts w:ascii="Times New Roman" w:eastAsia="MS Mincho" w:hAnsi="Times New Roman"/>
      <w:color w:val="000000"/>
      <w:sz w:val="24"/>
      <w:szCs w:val="24"/>
      <w:lang w:eastAsia="ja-JP"/>
    </w:rPr>
  </w:style>
  <w:style w:type="paragraph" w:customStyle="1" w:styleId="Indent1">
    <w:name w:val="Indent1"/>
    <w:basedOn w:val="Normal"/>
    <w:rsid w:val="0095276B"/>
    <w:pPr>
      <w:spacing w:after="120" w:line="300" w:lineRule="atLeast"/>
      <w:ind w:left="709"/>
    </w:pPr>
    <w:rPr>
      <w:rFonts w:eastAsia="Times New Roman"/>
      <w:sz w:val="22"/>
      <w:szCs w:val="20"/>
      <w:lang w:val="en-GB"/>
    </w:rPr>
  </w:style>
  <w:style w:type="table" w:styleId="TableGrid">
    <w:name w:val="Table Grid"/>
    <w:basedOn w:val="TableNormal"/>
    <w:uiPriority w:val="59"/>
    <w:rsid w:val="009527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276B"/>
    <w:pPr>
      <w:tabs>
        <w:tab w:val="center" w:pos="4320"/>
        <w:tab w:val="right" w:pos="8640"/>
      </w:tabs>
    </w:pPr>
  </w:style>
  <w:style w:type="paragraph" w:styleId="Footer">
    <w:name w:val="footer"/>
    <w:basedOn w:val="Normal"/>
    <w:link w:val="FooterChar"/>
    <w:uiPriority w:val="99"/>
    <w:rsid w:val="0095276B"/>
    <w:pPr>
      <w:tabs>
        <w:tab w:val="center" w:pos="4320"/>
        <w:tab w:val="right" w:pos="8640"/>
      </w:tabs>
    </w:pPr>
  </w:style>
  <w:style w:type="paragraph" w:styleId="BalloonText">
    <w:name w:val="Balloon Text"/>
    <w:basedOn w:val="Normal"/>
    <w:semiHidden/>
    <w:rsid w:val="0023110D"/>
    <w:rPr>
      <w:rFonts w:ascii="Tahoma" w:hAnsi="Tahoma" w:cs="Tahoma"/>
      <w:sz w:val="16"/>
      <w:szCs w:val="16"/>
    </w:rPr>
  </w:style>
  <w:style w:type="paragraph" w:styleId="DocumentMap">
    <w:name w:val="Document Map"/>
    <w:basedOn w:val="Normal"/>
    <w:semiHidden/>
    <w:rsid w:val="0023110D"/>
    <w:pPr>
      <w:shd w:val="clear" w:color="auto" w:fill="000080"/>
    </w:pPr>
    <w:rPr>
      <w:rFonts w:ascii="Tahoma" w:hAnsi="Tahoma" w:cs="Tahoma"/>
      <w:sz w:val="20"/>
      <w:szCs w:val="20"/>
    </w:rPr>
  </w:style>
  <w:style w:type="character" w:styleId="CommentReference">
    <w:name w:val="annotation reference"/>
    <w:semiHidden/>
    <w:rsid w:val="006F22CB"/>
    <w:rPr>
      <w:sz w:val="16"/>
      <w:szCs w:val="16"/>
    </w:rPr>
  </w:style>
  <w:style w:type="paragraph" w:styleId="CommentText">
    <w:name w:val="annotation text"/>
    <w:basedOn w:val="Normal"/>
    <w:link w:val="CommentTextChar"/>
    <w:uiPriority w:val="99"/>
    <w:semiHidden/>
    <w:rsid w:val="006F22CB"/>
    <w:rPr>
      <w:sz w:val="20"/>
      <w:szCs w:val="20"/>
    </w:rPr>
  </w:style>
  <w:style w:type="paragraph" w:styleId="CommentSubject">
    <w:name w:val="annotation subject"/>
    <w:basedOn w:val="CommentText"/>
    <w:next w:val="CommentText"/>
    <w:semiHidden/>
    <w:rsid w:val="006F22CB"/>
    <w:rPr>
      <w:b/>
      <w:bCs/>
    </w:rPr>
  </w:style>
  <w:style w:type="character" w:styleId="PageNumber">
    <w:name w:val="page number"/>
    <w:basedOn w:val="DefaultParagraphFont"/>
    <w:rsid w:val="003F0098"/>
  </w:style>
  <w:style w:type="character" w:customStyle="1" w:styleId="Heading2Char">
    <w:name w:val="Heading 2 Char"/>
    <w:link w:val="Heading2"/>
    <w:uiPriority w:val="1"/>
    <w:rsid w:val="00DB2DFF"/>
    <w:rPr>
      <w:rFonts w:ascii="Arial" w:hAnsi="Arial" w:cs="Arial"/>
      <w:b/>
      <w:sz w:val="24"/>
      <w:szCs w:val="24"/>
      <w:lang w:eastAsia="en-US"/>
    </w:rPr>
  </w:style>
  <w:style w:type="character" w:customStyle="1" w:styleId="Heading1Char">
    <w:name w:val="Heading 1 Char"/>
    <w:link w:val="Heading1"/>
    <w:uiPriority w:val="1"/>
    <w:rsid w:val="00DB2DFF"/>
    <w:rPr>
      <w:rFonts w:ascii="Arial" w:hAnsi="Arial" w:cs="Arial"/>
      <w:b/>
      <w:sz w:val="24"/>
      <w:szCs w:val="24"/>
      <w:lang w:eastAsia="en-US"/>
    </w:rPr>
  </w:style>
  <w:style w:type="character" w:customStyle="1" w:styleId="Heading3Char">
    <w:name w:val="Heading 3 Char"/>
    <w:link w:val="Heading3"/>
    <w:uiPriority w:val="1"/>
    <w:rsid w:val="00DB2DFF"/>
    <w:rPr>
      <w:rFonts w:ascii="Arial" w:hAnsi="Arial" w:cs="Arial"/>
      <w:b/>
      <w:sz w:val="24"/>
      <w:szCs w:val="24"/>
      <w:lang w:eastAsia="en-US"/>
    </w:rPr>
  </w:style>
  <w:style w:type="character" w:customStyle="1" w:styleId="Heading4Char">
    <w:name w:val="Heading 4 Char"/>
    <w:link w:val="Heading4"/>
    <w:uiPriority w:val="1"/>
    <w:rsid w:val="00DB2DFF"/>
    <w:rPr>
      <w:rFonts w:ascii="Arial" w:hAnsi="Arial" w:cs="Arial"/>
      <w:sz w:val="24"/>
      <w:szCs w:val="24"/>
      <w:u w:val="single"/>
      <w:lang w:eastAsia="en-US"/>
    </w:rPr>
  </w:style>
  <w:style w:type="character" w:customStyle="1" w:styleId="Heading5Char">
    <w:name w:val="Heading 5 Char"/>
    <w:link w:val="Heading5"/>
    <w:uiPriority w:val="1"/>
    <w:rsid w:val="00DB2DFF"/>
    <w:rPr>
      <w:rFonts w:ascii="Arial" w:hAnsi="Arial" w:cs="Arial"/>
      <w:i/>
      <w:sz w:val="24"/>
      <w:szCs w:val="24"/>
      <w:lang w:eastAsia="en-US"/>
    </w:rPr>
  </w:style>
  <w:style w:type="character" w:styleId="LineNumber">
    <w:name w:val="line number"/>
    <w:basedOn w:val="DefaultParagraphFont"/>
    <w:uiPriority w:val="99"/>
    <w:semiHidden/>
    <w:unhideWhenUsed/>
    <w:rsid w:val="00C41341"/>
  </w:style>
  <w:style w:type="table" w:styleId="LightShading">
    <w:name w:val="Light Shading"/>
    <w:basedOn w:val="TableNormal"/>
    <w:uiPriority w:val="60"/>
    <w:rsid w:val="00E9258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E0CB7"/>
    <w:rPr>
      <w:rFonts w:ascii="Arial" w:hAnsi="Arial" w:cs="Arial"/>
      <w:spacing w:val="-3"/>
      <w:sz w:val="24"/>
      <w:szCs w:val="24"/>
      <w:lang w:eastAsia="en-US"/>
    </w:rPr>
  </w:style>
  <w:style w:type="character" w:customStyle="1" w:styleId="HeaderChar">
    <w:name w:val="Header Char"/>
    <w:link w:val="Header"/>
    <w:uiPriority w:val="99"/>
    <w:rsid w:val="00C35B40"/>
    <w:rPr>
      <w:rFonts w:ascii="Arial" w:hAnsi="Arial" w:cs="Arial"/>
      <w:spacing w:val="-3"/>
      <w:sz w:val="24"/>
      <w:szCs w:val="24"/>
      <w:lang w:eastAsia="en-US"/>
    </w:rPr>
  </w:style>
  <w:style w:type="paragraph" w:styleId="Revision">
    <w:name w:val="Revision"/>
    <w:hidden/>
    <w:uiPriority w:val="99"/>
    <w:semiHidden/>
    <w:rsid w:val="007F6995"/>
    <w:rPr>
      <w:rFonts w:ascii="Arial" w:hAnsi="Arial" w:cs="Arial"/>
      <w:spacing w:val="-3"/>
      <w:sz w:val="24"/>
      <w:szCs w:val="24"/>
      <w:lang w:eastAsia="en-US"/>
    </w:rPr>
  </w:style>
  <w:style w:type="paragraph" w:styleId="ListParagraph">
    <w:name w:val="List Paragraph"/>
    <w:basedOn w:val="Normal"/>
    <w:uiPriority w:val="34"/>
    <w:qFormat/>
    <w:rsid w:val="003D2FBB"/>
    <w:pPr>
      <w:autoSpaceDE/>
      <w:autoSpaceDN/>
      <w:adjustRightInd/>
      <w:ind w:left="720"/>
      <w:contextualSpacing/>
    </w:pPr>
    <w:rPr>
      <w:rFonts w:ascii="Calibri" w:hAnsi="Calibri" w:cs="Times New Roman"/>
      <w:spacing w:val="0"/>
      <w:sz w:val="22"/>
      <w:szCs w:val="22"/>
      <w:lang w:val="en-US"/>
    </w:rPr>
  </w:style>
  <w:style w:type="character" w:customStyle="1" w:styleId="CommentTextChar">
    <w:name w:val="Comment Text Char"/>
    <w:link w:val="CommentText"/>
    <w:uiPriority w:val="99"/>
    <w:semiHidden/>
    <w:rsid w:val="003D2FBB"/>
    <w:rPr>
      <w:rFonts w:ascii="Arial" w:hAnsi="Arial" w:cs="Arial"/>
      <w:spacing w:val="-3"/>
      <w:lang w:eastAsia="en-US"/>
    </w:rPr>
  </w:style>
  <w:style w:type="paragraph" w:customStyle="1" w:styleId="Body">
    <w:name w:val="Body"/>
    <w:basedOn w:val="Normal"/>
    <w:link w:val="BodyChar"/>
    <w:uiPriority w:val="99"/>
    <w:qFormat/>
    <w:rsid w:val="00CE7FA5"/>
    <w:pPr>
      <w:overflowPunct w:val="0"/>
      <w:spacing w:before="240" w:after="0" w:line="240" w:lineRule="auto"/>
      <w:textAlignment w:val="baseline"/>
    </w:pPr>
    <w:rPr>
      <w:rFonts w:ascii="Times New Roman" w:eastAsia="Times New Roman" w:hAnsi="Times New Roman" w:cs="Times New Roman"/>
      <w:spacing w:val="0"/>
      <w:szCs w:val="20"/>
      <w:lang w:val="en-GB" w:eastAsia="da-DK"/>
    </w:rPr>
  </w:style>
  <w:style w:type="character" w:customStyle="1" w:styleId="BodyChar">
    <w:name w:val="Body Char"/>
    <w:link w:val="Body"/>
    <w:rsid w:val="00CE7FA5"/>
    <w:rPr>
      <w:rFonts w:ascii="Times New Roman" w:eastAsia="Times New Roman" w:hAnsi="Times New Roman"/>
      <w:sz w:val="24"/>
      <w:lang w:val="en-GB" w:eastAsia="da-DK"/>
    </w:rPr>
  </w:style>
  <w:style w:type="paragraph" w:styleId="List3">
    <w:name w:val="List 3"/>
    <w:basedOn w:val="Normal"/>
    <w:rsid w:val="00E00B4B"/>
    <w:pPr>
      <w:overflowPunct w:val="0"/>
      <w:spacing w:after="0" w:line="240" w:lineRule="auto"/>
      <w:ind w:left="849" w:hanging="283"/>
      <w:textAlignment w:val="baseline"/>
    </w:pPr>
    <w:rPr>
      <w:rFonts w:ascii="Times New Roman" w:eastAsia="Times New Roman" w:hAnsi="Times New Roman" w:cs="Times New Roman"/>
      <w:spacing w:val="0"/>
      <w:szCs w:val="20"/>
      <w:lang w:val="en-GB" w:eastAsia="da-DK"/>
    </w:rPr>
  </w:style>
  <w:style w:type="paragraph" w:customStyle="1" w:styleId="DocumentTitle">
    <w:name w:val="Document Title"/>
    <w:basedOn w:val="Normal"/>
    <w:next w:val="Normal"/>
    <w:rsid w:val="00E00B4B"/>
    <w:pPr>
      <w:keepNext/>
      <w:suppressAutoHyphens/>
      <w:overflowPunct w:val="0"/>
      <w:spacing w:before="240" w:after="240" w:line="240" w:lineRule="auto"/>
      <w:jc w:val="center"/>
      <w:textAlignment w:val="baseline"/>
    </w:pPr>
    <w:rPr>
      <w:rFonts w:ascii="Times New Roman" w:eastAsia="Times New Roman" w:hAnsi="Times New Roman"/>
      <w:bCs/>
      <w:spacing w:val="0"/>
      <w:sz w:val="32"/>
      <w:szCs w:val="28"/>
      <w:lang w:val="en-GB" w:eastAsia="da-DK"/>
    </w:rPr>
  </w:style>
  <w:style w:type="paragraph" w:styleId="ListBullet">
    <w:name w:val="List Bullet"/>
    <w:basedOn w:val="Normal"/>
    <w:uiPriority w:val="99"/>
    <w:rsid w:val="005C684F"/>
    <w:pPr>
      <w:tabs>
        <w:tab w:val="left" w:pos="280"/>
      </w:tabs>
      <w:suppressAutoHyphens/>
      <w:spacing w:before="40" w:after="0" w:line="280" w:lineRule="atLeast"/>
      <w:ind w:left="280" w:hanging="280"/>
    </w:pPr>
    <w:rPr>
      <w:rFonts w:ascii="Times New Roman" w:eastAsia="Times New Roman" w:hAnsi="Times New Roman" w:cs="Times New Roman"/>
      <w:color w:val="000000"/>
      <w:spacing w:val="0"/>
      <w:w w:val="0"/>
      <w:lang w:val="en-GB" w:eastAsia="en-GB"/>
    </w:rPr>
  </w:style>
  <w:style w:type="paragraph" w:customStyle="1" w:styleId="CellBodyIndent1">
    <w:name w:val="CellBodyIndent1"/>
    <w:uiPriority w:val="99"/>
    <w:rsid w:val="005C684F"/>
    <w:pPr>
      <w:suppressAutoHyphens/>
      <w:autoSpaceDE w:val="0"/>
      <w:autoSpaceDN w:val="0"/>
      <w:adjustRightInd w:val="0"/>
      <w:spacing w:line="240" w:lineRule="atLeast"/>
      <w:ind w:left="140"/>
    </w:pPr>
    <w:rPr>
      <w:rFonts w:ascii="Times New Roman" w:eastAsia="Times New Roman" w:hAnsi="Times New Roman"/>
      <w:color w:val="000000"/>
      <w:w w:val="0"/>
      <w:lang w:val="en-GB" w:eastAsia="en-GB"/>
    </w:rPr>
  </w:style>
  <w:style w:type="paragraph" w:customStyle="1" w:styleId="CellHeading">
    <w:name w:val="CellHeading"/>
    <w:uiPriority w:val="99"/>
    <w:rsid w:val="005C684F"/>
    <w:pPr>
      <w:keepNext/>
      <w:suppressAutoHyphens/>
      <w:autoSpaceDE w:val="0"/>
      <w:autoSpaceDN w:val="0"/>
      <w:adjustRightInd w:val="0"/>
      <w:spacing w:line="240" w:lineRule="atLeast"/>
      <w:jc w:val="center"/>
    </w:pPr>
    <w:rPr>
      <w:rFonts w:ascii="Times New Roman" w:eastAsia="Times New Roman" w:hAnsi="Times New Roman"/>
      <w:b/>
      <w:bCs/>
      <w:color w:val="000000"/>
      <w:w w:val="0"/>
      <w:lang w:val="en-GB" w:eastAsia="en-GB"/>
    </w:rPr>
  </w:style>
  <w:style w:type="paragraph" w:customStyle="1" w:styleId="CellHeadingLeft">
    <w:name w:val="CellHeadingLeft"/>
    <w:uiPriority w:val="99"/>
    <w:rsid w:val="005C684F"/>
    <w:pPr>
      <w:keepNext/>
      <w:suppressAutoHyphens/>
      <w:autoSpaceDE w:val="0"/>
      <w:autoSpaceDN w:val="0"/>
      <w:adjustRightInd w:val="0"/>
      <w:spacing w:line="240" w:lineRule="atLeast"/>
    </w:pPr>
    <w:rPr>
      <w:rFonts w:ascii="Times New Roman" w:eastAsia="Times New Roman" w:hAnsi="Times New Roman"/>
      <w:b/>
      <w:bCs/>
      <w:color w:val="000000"/>
      <w:w w:val="0"/>
      <w:lang w:val="en-GB" w:eastAsia="en-GB"/>
    </w:rPr>
  </w:style>
  <w:style w:type="paragraph" w:customStyle="1" w:styleId="CellBodyIndent2">
    <w:name w:val="CellBodyIndent2"/>
    <w:uiPriority w:val="99"/>
    <w:rsid w:val="005C684F"/>
    <w:pPr>
      <w:suppressAutoHyphens/>
      <w:autoSpaceDE w:val="0"/>
      <w:autoSpaceDN w:val="0"/>
      <w:adjustRightInd w:val="0"/>
      <w:spacing w:line="240" w:lineRule="atLeast"/>
      <w:ind w:left="280"/>
    </w:pPr>
    <w:rPr>
      <w:rFonts w:ascii="Times New Roman" w:eastAsia="Times New Roman" w:hAnsi="Times New Roman"/>
      <w:color w:val="000000"/>
      <w:w w:val="0"/>
      <w:lang w:val="en-GB" w:eastAsia="en-GB"/>
    </w:rPr>
  </w:style>
  <w:style w:type="paragraph" w:customStyle="1" w:styleId="CellBody">
    <w:name w:val="CellBody"/>
    <w:uiPriority w:val="99"/>
    <w:rsid w:val="005C684F"/>
    <w:pPr>
      <w:suppressAutoHyphens/>
      <w:autoSpaceDE w:val="0"/>
      <w:autoSpaceDN w:val="0"/>
      <w:adjustRightInd w:val="0"/>
      <w:spacing w:line="240" w:lineRule="atLeast"/>
      <w:jc w:val="center"/>
    </w:pPr>
    <w:rPr>
      <w:rFonts w:ascii="Times New Roman" w:eastAsia="Times New Roman" w:hAnsi="Times New Roman"/>
      <w:color w:val="000000"/>
      <w:w w:val="0"/>
      <w:lang w:val="en-GB" w:eastAsia="en-GB"/>
    </w:rPr>
  </w:style>
  <w:style w:type="paragraph" w:customStyle="1" w:styleId="CellBodyLeft">
    <w:name w:val="CellBodyLeft"/>
    <w:uiPriority w:val="99"/>
    <w:rsid w:val="005C684F"/>
    <w:pPr>
      <w:tabs>
        <w:tab w:val="left" w:pos="280"/>
      </w:tabs>
      <w:suppressAutoHyphens/>
      <w:autoSpaceDE w:val="0"/>
      <w:autoSpaceDN w:val="0"/>
      <w:adjustRightInd w:val="0"/>
      <w:spacing w:line="240" w:lineRule="atLeast"/>
    </w:pPr>
    <w:rPr>
      <w:rFonts w:ascii="Times New Roman" w:eastAsia="Times New Roman" w:hAnsi="Times New Roman"/>
      <w:color w:val="000000"/>
      <w:w w:val="0"/>
      <w:lang w:val="en-GB" w:eastAsia="en-GB"/>
    </w:rPr>
  </w:style>
  <w:style w:type="character" w:customStyle="1" w:styleId="Symbol">
    <w:name w:val="Symbol"/>
    <w:uiPriority w:val="99"/>
    <w:rsid w:val="005C684F"/>
    <w:rPr>
      <w:rFonts w:ascii="Symbol" w:hAnsi="Symbol"/>
    </w:rPr>
  </w:style>
  <w:style w:type="character" w:customStyle="1" w:styleId="Terms">
    <w:name w:val="Terms"/>
    <w:uiPriority w:val="99"/>
    <w:rsid w:val="0056297D"/>
    <w:rPr>
      <w:i/>
    </w:rPr>
  </w:style>
  <w:style w:type="paragraph" w:customStyle="1" w:styleId="CellFootingLeft">
    <w:name w:val="CellFootingLeft"/>
    <w:uiPriority w:val="99"/>
    <w:rsid w:val="0056297D"/>
    <w:pPr>
      <w:tabs>
        <w:tab w:val="left" w:pos="280"/>
      </w:tabs>
      <w:suppressAutoHyphens/>
      <w:autoSpaceDE w:val="0"/>
      <w:autoSpaceDN w:val="0"/>
      <w:adjustRightInd w:val="0"/>
      <w:spacing w:line="240" w:lineRule="atLeast"/>
    </w:pPr>
    <w:rPr>
      <w:rFonts w:ascii="Times New Roman" w:eastAsia="Times New Roman" w:hAnsi="Times New Roman"/>
      <w:color w:val="000000"/>
      <w:w w:val="0"/>
      <w:lang w:val="en-GB" w:eastAsia="en-GB"/>
    </w:rPr>
  </w:style>
  <w:style w:type="paragraph" w:styleId="Caption">
    <w:name w:val="caption"/>
    <w:basedOn w:val="Normal"/>
    <w:next w:val="Normal"/>
    <w:qFormat/>
    <w:rsid w:val="00FF73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1" w:qFormat="1"/>
    <w:lsdException w:name="heading 8" w:uiPriority="1" w:qFormat="1"/>
    <w:lsdException w:name="heading 9" w:uiPriority="1" w:qFormat="1"/>
    <w:lsdException w:name="caption" w:semiHidden="0" w:unhideWhenUsed="0" w:qFormat="1"/>
    <w:lsdException w:name="annotation reference" w:uiPriority="0"/>
    <w:lsdException w:name="List Bullet" w:semiHidden="0" w:unhideWhenUsed="0" w:qFormat="1"/>
    <w:lsdException w:name="List Number" w:semiHidden="0" w:uiPriority="9" w:unhideWhenUsed="0" w:qFormat="1"/>
    <w:lsdException w:name="List 3" w:uiPriority="0"/>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90"/>
    <w:pPr>
      <w:autoSpaceDE w:val="0"/>
      <w:autoSpaceDN w:val="0"/>
      <w:adjustRightInd w:val="0"/>
      <w:spacing w:after="200" w:line="276" w:lineRule="auto"/>
    </w:pPr>
    <w:rPr>
      <w:rFonts w:ascii="Arial" w:hAnsi="Arial" w:cs="Arial"/>
      <w:spacing w:val="-3"/>
      <w:sz w:val="24"/>
      <w:szCs w:val="24"/>
      <w:lang w:eastAsia="en-US"/>
    </w:rPr>
  </w:style>
  <w:style w:type="paragraph" w:styleId="Heading1">
    <w:name w:val="heading 1"/>
    <w:basedOn w:val="Normal"/>
    <w:next w:val="Normal"/>
    <w:link w:val="Heading1Char"/>
    <w:uiPriority w:val="1"/>
    <w:qFormat/>
    <w:rsid w:val="00DB2DFF"/>
    <w:pPr>
      <w:spacing w:beforeLines="60" w:before="144" w:after="240"/>
      <w:jc w:val="center"/>
      <w:outlineLvl w:val="0"/>
    </w:pPr>
    <w:rPr>
      <w:b/>
    </w:rPr>
  </w:style>
  <w:style w:type="paragraph" w:styleId="Heading2">
    <w:name w:val="heading 2"/>
    <w:basedOn w:val="Normal"/>
    <w:next w:val="Normal"/>
    <w:link w:val="Heading2Char"/>
    <w:uiPriority w:val="1"/>
    <w:qFormat/>
    <w:rsid w:val="00DB2DFF"/>
    <w:pPr>
      <w:spacing w:beforeLines="60" w:before="144" w:after="240"/>
      <w:outlineLvl w:val="1"/>
    </w:pPr>
    <w:rPr>
      <w:b/>
    </w:rPr>
  </w:style>
  <w:style w:type="paragraph" w:styleId="Heading3">
    <w:name w:val="heading 3"/>
    <w:basedOn w:val="Normal"/>
    <w:next w:val="Normal"/>
    <w:link w:val="Heading3Char"/>
    <w:uiPriority w:val="1"/>
    <w:qFormat/>
    <w:rsid w:val="00DB2DFF"/>
    <w:pPr>
      <w:spacing w:beforeLines="60" w:before="144" w:after="240"/>
      <w:outlineLvl w:val="2"/>
    </w:pPr>
    <w:rPr>
      <w:b/>
    </w:rPr>
  </w:style>
  <w:style w:type="paragraph" w:styleId="Heading4">
    <w:name w:val="heading 4"/>
    <w:basedOn w:val="Normal"/>
    <w:next w:val="Normal"/>
    <w:link w:val="Heading4Char"/>
    <w:uiPriority w:val="1"/>
    <w:qFormat/>
    <w:rsid w:val="00DB2DFF"/>
    <w:pPr>
      <w:spacing w:after="240"/>
      <w:outlineLvl w:val="3"/>
    </w:pPr>
    <w:rPr>
      <w:u w:val="single"/>
    </w:rPr>
  </w:style>
  <w:style w:type="paragraph" w:styleId="Heading5">
    <w:name w:val="heading 5"/>
    <w:basedOn w:val="Normal"/>
    <w:next w:val="Normal"/>
    <w:link w:val="Heading5Char"/>
    <w:uiPriority w:val="1"/>
    <w:qFormat/>
    <w:rsid w:val="00DB2DFF"/>
    <w:pPr>
      <w:spacing w:after="240"/>
      <w:outlineLvl w:val="4"/>
    </w:pPr>
    <w:rPr>
      <w:i/>
    </w:rPr>
  </w:style>
  <w:style w:type="character" w:default="1" w:styleId="DefaultParagraphFont">
    <w:name w:val="Default Paragraph Font"/>
    <w:uiPriority w:val="99"/>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276B"/>
    <w:pPr>
      <w:autoSpaceDE w:val="0"/>
      <w:autoSpaceDN w:val="0"/>
      <w:adjustRightInd w:val="0"/>
    </w:pPr>
    <w:rPr>
      <w:rFonts w:ascii="Times New Roman" w:eastAsia="MS Mincho" w:hAnsi="Times New Roman"/>
      <w:color w:val="000000"/>
      <w:sz w:val="24"/>
      <w:szCs w:val="24"/>
      <w:lang w:eastAsia="ja-JP"/>
    </w:rPr>
  </w:style>
  <w:style w:type="paragraph" w:customStyle="1" w:styleId="Indent1">
    <w:name w:val="Indent1"/>
    <w:basedOn w:val="Normal"/>
    <w:rsid w:val="0095276B"/>
    <w:pPr>
      <w:spacing w:after="120" w:line="300" w:lineRule="atLeast"/>
      <w:ind w:left="709"/>
    </w:pPr>
    <w:rPr>
      <w:rFonts w:eastAsia="Times New Roman"/>
      <w:sz w:val="22"/>
      <w:szCs w:val="20"/>
      <w:lang w:val="en-GB"/>
    </w:rPr>
  </w:style>
  <w:style w:type="table" w:styleId="TableGrid">
    <w:name w:val="Table Grid"/>
    <w:basedOn w:val="TableNormal"/>
    <w:uiPriority w:val="59"/>
    <w:rsid w:val="009527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276B"/>
    <w:pPr>
      <w:tabs>
        <w:tab w:val="center" w:pos="4320"/>
        <w:tab w:val="right" w:pos="8640"/>
      </w:tabs>
    </w:pPr>
  </w:style>
  <w:style w:type="paragraph" w:styleId="Footer">
    <w:name w:val="footer"/>
    <w:basedOn w:val="Normal"/>
    <w:link w:val="FooterChar"/>
    <w:uiPriority w:val="99"/>
    <w:rsid w:val="0095276B"/>
    <w:pPr>
      <w:tabs>
        <w:tab w:val="center" w:pos="4320"/>
        <w:tab w:val="right" w:pos="8640"/>
      </w:tabs>
    </w:pPr>
  </w:style>
  <w:style w:type="paragraph" w:styleId="BalloonText">
    <w:name w:val="Balloon Text"/>
    <w:basedOn w:val="Normal"/>
    <w:semiHidden/>
    <w:rsid w:val="0023110D"/>
    <w:rPr>
      <w:rFonts w:ascii="Tahoma" w:hAnsi="Tahoma" w:cs="Tahoma"/>
      <w:sz w:val="16"/>
      <w:szCs w:val="16"/>
    </w:rPr>
  </w:style>
  <w:style w:type="paragraph" w:styleId="DocumentMap">
    <w:name w:val="Document Map"/>
    <w:basedOn w:val="Normal"/>
    <w:semiHidden/>
    <w:rsid w:val="0023110D"/>
    <w:pPr>
      <w:shd w:val="clear" w:color="auto" w:fill="000080"/>
    </w:pPr>
    <w:rPr>
      <w:rFonts w:ascii="Tahoma" w:hAnsi="Tahoma" w:cs="Tahoma"/>
      <w:sz w:val="20"/>
      <w:szCs w:val="20"/>
    </w:rPr>
  </w:style>
  <w:style w:type="character" w:styleId="CommentReference">
    <w:name w:val="annotation reference"/>
    <w:semiHidden/>
    <w:rsid w:val="006F22CB"/>
    <w:rPr>
      <w:sz w:val="16"/>
      <w:szCs w:val="16"/>
    </w:rPr>
  </w:style>
  <w:style w:type="paragraph" w:styleId="CommentText">
    <w:name w:val="annotation text"/>
    <w:basedOn w:val="Normal"/>
    <w:link w:val="CommentTextChar"/>
    <w:uiPriority w:val="99"/>
    <w:semiHidden/>
    <w:rsid w:val="006F22CB"/>
    <w:rPr>
      <w:sz w:val="20"/>
      <w:szCs w:val="20"/>
    </w:rPr>
  </w:style>
  <w:style w:type="paragraph" w:styleId="CommentSubject">
    <w:name w:val="annotation subject"/>
    <w:basedOn w:val="CommentText"/>
    <w:next w:val="CommentText"/>
    <w:semiHidden/>
    <w:rsid w:val="006F22CB"/>
    <w:rPr>
      <w:b/>
      <w:bCs/>
    </w:rPr>
  </w:style>
  <w:style w:type="character" w:styleId="PageNumber">
    <w:name w:val="page number"/>
    <w:basedOn w:val="DefaultParagraphFont"/>
    <w:rsid w:val="003F0098"/>
  </w:style>
  <w:style w:type="character" w:customStyle="1" w:styleId="Heading2Char">
    <w:name w:val="Heading 2 Char"/>
    <w:link w:val="Heading2"/>
    <w:uiPriority w:val="1"/>
    <w:rsid w:val="00DB2DFF"/>
    <w:rPr>
      <w:rFonts w:ascii="Arial" w:hAnsi="Arial" w:cs="Arial"/>
      <w:b/>
      <w:sz w:val="24"/>
      <w:szCs w:val="24"/>
      <w:lang w:eastAsia="en-US"/>
    </w:rPr>
  </w:style>
  <w:style w:type="character" w:customStyle="1" w:styleId="Heading1Char">
    <w:name w:val="Heading 1 Char"/>
    <w:link w:val="Heading1"/>
    <w:uiPriority w:val="1"/>
    <w:rsid w:val="00DB2DFF"/>
    <w:rPr>
      <w:rFonts w:ascii="Arial" w:hAnsi="Arial" w:cs="Arial"/>
      <w:b/>
      <w:sz w:val="24"/>
      <w:szCs w:val="24"/>
      <w:lang w:eastAsia="en-US"/>
    </w:rPr>
  </w:style>
  <w:style w:type="character" w:customStyle="1" w:styleId="Heading3Char">
    <w:name w:val="Heading 3 Char"/>
    <w:link w:val="Heading3"/>
    <w:uiPriority w:val="1"/>
    <w:rsid w:val="00DB2DFF"/>
    <w:rPr>
      <w:rFonts w:ascii="Arial" w:hAnsi="Arial" w:cs="Arial"/>
      <w:b/>
      <w:sz w:val="24"/>
      <w:szCs w:val="24"/>
      <w:lang w:eastAsia="en-US"/>
    </w:rPr>
  </w:style>
  <w:style w:type="character" w:customStyle="1" w:styleId="Heading4Char">
    <w:name w:val="Heading 4 Char"/>
    <w:link w:val="Heading4"/>
    <w:uiPriority w:val="1"/>
    <w:rsid w:val="00DB2DFF"/>
    <w:rPr>
      <w:rFonts w:ascii="Arial" w:hAnsi="Arial" w:cs="Arial"/>
      <w:sz w:val="24"/>
      <w:szCs w:val="24"/>
      <w:u w:val="single"/>
      <w:lang w:eastAsia="en-US"/>
    </w:rPr>
  </w:style>
  <w:style w:type="character" w:customStyle="1" w:styleId="Heading5Char">
    <w:name w:val="Heading 5 Char"/>
    <w:link w:val="Heading5"/>
    <w:uiPriority w:val="1"/>
    <w:rsid w:val="00DB2DFF"/>
    <w:rPr>
      <w:rFonts w:ascii="Arial" w:hAnsi="Arial" w:cs="Arial"/>
      <w:i/>
      <w:sz w:val="24"/>
      <w:szCs w:val="24"/>
      <w:lang w:eastAsia="en-US"/>
    </w:rPr>
  </w:style>
  <w:style w:type="character" w:styleId="LineNumber">
    <w:name w:val="line number"/>
    <w:basedOn w:val="DefaultParagraphFont"/>
    <w:uiPriority w:val="99"/>
    <w:semiHidden/>
    <w:unhideWhenUsed/>
    <w:rsid w:val="00C41341"/>
  </w:style>
  <w:style w:type="table" w:styleId="LightShading">
    <w:name w:val="Light Shading"/>
    <w:basedOn w:val="TableNormal"/>
    <w:uiPriority w:val="60"/>
    <w:rsid w:val="00E9258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E0CB7"/>
    <w:rPr>
      <w:rFonts w:ascii="Arial" w:hAnsi="Arial" w:cs="Arial"/>
      <w:spacing w:val="-3"/>
      <w:sz w:val="24"/>
      <w:szCs w:val="24"/>
      <w:lang w:eastAsia="en-US"/>
    </w:rPr>
  </w:style>
  <w:style w:type="character" w:customStyle="1" w:styleId="HeaderChar">
    <w:name w:val="Header Char"/>
    <w:link w:val="Header"/>
    <w:uiPriority w:val="99"/>
    <w:rsid w:val="00C35B40"/>
    <w:rPr>
      <w:rFonts w:ascii="Arial" w:hAnsi="Arial" w:cs="Arial"/>
      <w:spacing w:val="-3"/>
      <w:sz w:val="24"/>
      <w:szCs w:val="24"/>
      <w:lang w:eastAsia="en-US"/>
    </w:rPr>
  </w:style>
  <w:style w:type="paragraph" w:styleId="Revision">
    <w:name w:val="Revision"/>
    <w:hidden/>
    <w:uiPriority w:val="99"/>
    <w:semiHidden/>
    <w:rsid w:val="007F6995"/>
    <w:rPr>
      <w:rFonts w:ascii="Arial" w:hAnsi="Arial" w:cs="Arial"/>
      <w:spacing w:val="-3"/>
      <w:sz w:val="24"/>
      <w:szCs w:val="24"/>
      <w:lang w:eastAsia="en-US"/>
    </w:rPr>
  </w:style>
  <w:style w:type="paragraph" w:styleId="ListParagraph">
    <w:name w:val="List Paragraph"/>
    <w:basedOn w:val="Normal"/>
    <w:uiPriority w:val="34"/>
    <w:qFormat/>
    <w:rsid w:val="003D2FBB"/>
    <w:pPr>
      <w:autoSpaceDE/>
      <w:autoSpaceDN/>
      <w:adjustRightInd/>
      <w:ind w:left="720"/>
      <w:contextualSpacing/>
    </w:pPr>
    <w:rPr>
      <w:rFonts w:ascii="Calibri" w:hAnsi="Calibri" w:cs="Times New Roman"/>
      <w:spacing w:val="0"/>
      <w:sz w:val="22"/>
      <w:szCs w:val="22"/>
      <w:lang w:val="en-US"/>
    </w:rPr>
  </w:style>
  <w:style w:type="character" w:customStyle="1" w:styleId="CommentTextChar">
    <w:name w:val="Comment Text Char"/>
    <w:link w:val="CommentText"/>
    <w:uiPriority w:val="99"/>
    <w:semiHidden/>
    <w:rsid w:val="003D2FBB"/>
    <w:rPr>
      <w:rFonts w:ascii="Arial" w:hAnsi="Arial" w:cs="Arial"/>
      <w:spacing w:val="-3"/>
      <w:lang w:eastAsia="en-US"/>
    </w:rPr>
  </w:style>
  <w:style w:type="paragraph" w:customStyle="1" w:styleId="Body">
    <w:name w:val="Body"/>
    <w:basedOn w:val="Normal"/>
    <w:link w:val="BodyChar"/>
    <w:uiPriority w:val="99"/>
    <w:qFormat/>
    <w:rsid w:val="00CE7FA5"/>
    <w:pPr>
      <w:overflowPunct w:val="0"/>
      <w:spacing w:before="240" w:after="0" w:line="240" w:lineRule="auto"/>
      <w:textAlignment w:val="baseline"/>
    </w:pPr>
    <w:rPr>
      <w:rFonts w:ascii="Times New Roman" w:eastAsia="Times New Roman" w:hAnsi="Times New Roman" w:cs="Times New Roman"/>
      <w:spacing w:val="0"/>
      <w:szCs w:val="20"/>
      <w:lang w:val="en-GB" w:eastAsia="da-DK"/>
    </w:rPr>
  </w:style>
  <w:style w:type="character" w:customStyle="1" w:styleId="BodyChar">
    <w:name w:val="Body Char"/>
    <w:link w:val="Body"/>
    <w:rsid w:val="00CE7FA5"/>
    <w:rPr>
      <w:rFonts w:ascii="Times New Roman" w:eastAsia="Times New Roman" w:hAnsi="Times New Roman"/>
      <w:sz w:val="24"/>
      <w:lang w:val="en-GB" w:eastAsia="da-DK"/>
    </w:rPr>
  </w:style>
  <w:style w:type="paragraph" w:styleId="List3">
    <w:name w:val="List 3"/>
    <w:basedOn w:val="Normal"/>
    <w:rsid w:val="00E00B4B"/>
    <w:pPr>
      <w:overflowPunct w:val="0"/>
      <w:spacing w:after="0" w:line="240" w:lineRule="auto"/>
      <w:ind w:left="849" w:hanging="283"/>
      <w:textAlignment w:val="baseline"/>
    </w:pPr>
    <w:rPr>
      <w:rFonts w:ascii="Times New Roman" w:eastAsia="Times New Roman" w:hAnsi="Times New Roman" w:cs="Times New Roman"/>
      <w:spacing w:val="0"/>
      <w:szCs w:val="20"/>
      <w:lang w:val="en-GB" w:eastAsia="da-DK"/>
    </w:rPr>
  </w:style>
  <w:style w:type="paragraph" w:customStyle="1" w:styleId="DocumentTitle">
    <w:name w:val="Document Title"/>
    <w:basedOn w:val="Normal"/>
    <w:next w:val="Normal"/>
    <w:rsid w:val="00E00B4B"/>
    <w:pPr>
      <w:keepNext/>
      <w:suppressAutoHyphens/>
      <w:overflowPunct w:val="0"/>
      <w:spacing w:before="240" w:after="240" w:line="240" w:lineRule="auto"/>
      <w:jc w:val="center"/>
      <w:textAlignment w:val="baseline"/>
    </w:pPr>
    <w:rPr>
      <w:rFonts w:ascii="Times New Roman" w:eastAsia="Times New Roman" w:hAnsi="Times New Roman"/>
      <w:bCs/>
      <w:spacing w:val="0"/>
      <w:sz w:val="32"/>
      <w:szCs w:val="28"/>
      <w:lang w:val="en-GB" w:eastAsia="da-DK"/>
    </w:rPr>
  </w:style>
  <w:style w:type="paragraph" w:styleId="ListBullet">
    <w:name w:val="List Bullet"/>
    <w:basedOn w:val="Normal"/>
    <w:uiPriority w:val="99"/>
    <w:rsid w:val="005C684F"/>
    <w:pPr>
      <w:tabs>
        <w:tab w:val="left" w:pos="280"/>
      </w:tabs>
      <w:suppressAutoHyphens/>
      <w:spacing w:before="40" w:after="0" w:line="280" w:lineRule="atLeast"/>
      <w:ind w:left="280" w:hanging="280"/>
    </w:pPr>
    <w:rPr>
      <w:rFonts w:ascii="Times New Roman" w:eastAsia="Times New Roman" w:hAnsi="Times New Roman" w:cs="Times New Roman"/>
      <w:color w:val="000000"/>
      <w:spacing w:val="0"/>
      <w:w w:val="0"/>
      <w:lang w:val="en-GB" w:eastAsia="en-GB"/>
    </w:rPr>
  </w:style>
  <w:style w:type="paragraph" w:customStyle="1" w:styleId="CellBodyIndent1">
    <w:name w:val="CellBodyIndent1"/>
    <w:uiPriority w:val="99"/>
    <w:rsid w:val="005C684F"/>
    <w:pPr>
      <w:suppressAutoHyphens/>
      <w:autoSpaceDE w:val="0"/>
      <w:autoSpaceDN w:val="0"/>
      <w:adjustRightInd w:val="0"/>
      <w:spacing w:line="240" w:lineRule="atLeast"/>
      <w:ind w:left="140"/>
    </w:pPr>
    <w:rPr>
      <w:rFonts w:ascii="Times New Roman" w:eastAsia="Times New Roman" w:hAnsi="Times New Roman"/>
      <w:color w:val="000000"/>
      <w:w w:val="0"/>
      <w:lang w:val="en-GB" w:eastAsia="en-GB"/>
    </w:rPr>
  </w:style>
  <w:style w:type="paragraph" w:customStyle="1" w:styleId="CellHeading">
    <w:name w:val="CellHeading"/>
    <w:uiPriority w:val="99"/>
    <w:rsid w:val="005C684F"/>
    <w:pPr>
      <w:keepNext/>
      <w:suppressAutoHyphens/>
      <w:autoSpaceDE w:val="0"/>
      <w:autoSpaceDN w:val="0"/>
      <w:adjustRightInd w:val="0"/>
      <w:spacing w:line="240" w:lineRule="atLeast"/>
      <w:jc w:val="center"/>
    </w:pPr>
    <w:rPr>
      <w:rFonts w:ascii="Times New Roman" w:eastAsia="Times New Roman" w:hAnsi="Times New Roman"/>
      <w:b/>
      <w:bCs/>
      <w:color w:val="000000"/>
      <w:w w:val="0"/>
      <w:lang w:val="en-GB" w:eastAsia="en-GB"/>
    </w:rPr>
  </w:style>
  <w:style w:type="paragraph" w:customStyle="1" w:styleId="CellHeadingLeft">
    <w:name w:val="CellHeadingLeft"/>
    <w:uiPriority w:val="99"/>
    <w:rsid w:val="005C684F"/>
    <w:pPr>
      <w:keepNext/>
      <w:suppressAutoHyphens/>
      <w:autoSpaceDE w:val="0"/>
      <w:autoSpaceDN w:val="0"/>
      <w:adjustRightInd w:val="0"/>
      <w:spacing w:line="240" w:lineRule="atLeast"/>
    </w:pPr>
    <w:rPr>
      <w:rFonts w:ascii="Times New Roman" w:eastAsia="Times New Roman" w:hAnsi="Times New Roman"/>
      <w:b/>
      <w:bCs/>
      <w:color w:val="000000"/>
      <w:w w:val="0"/>
      <w:lang w:val="en-GB" w:eastAsia="en-GB"/>
    </w:rPr>
  </w:style>
  <w:style w:type="paragraph" w:customStyle="1" w:styleId="CellBodyIndent2">
    <w:name w:val="CellBodyIndent2"/>
    <w:uiPriority w:val="99"/>
    <w:rsid w:val="005C684F"/>
    <w:pPr>
      <w:suppressAutoHyphens/>
      <w:autoSpaceDE w:val="0"/>
      <w:autoSpaceDN w:val="0"/>
      <w:adjustRightInd w:val="0"/>
      <w:spacing w:line="240" w:lineRule="atLeast"/>
      <w:ind w:left="280"/>
    </w:pPr>
    <w:rPr>
      <w:rFonts w:ascii="Times New Roman" w:eastAsia="Times New Roman" w:hAnsi="Times New Roman"/>
      <w:color w:val="000000"/>
      <w:w w:val="0"/>
      <w:lang w:val="en-GB" w:eastAsia="en-GB"/>
    </w:rPr>
  </w:style>
  <w:style w:type="paragraph" w:customStyle="1" w:styleId="CellBody">
    <w:name w:val="CellBody"/>
    <w:uiPriority w:val="99"/>
    <w:rsid w:val="005C684F"/>
    <w:pPr>
      <w:suppressAutoHyphens/>
      <w:autoSpaceDE w:val="0"/>
      <w:autoSpaceDN w:val="0"/>
      <w:adjustRightInd w:val="0"/>
      <w:spacing w:line="240" w:lineRule="atLeast"/>
      <w:jc w:val="center"/>
    </w:pPr>
    <w:rPr>
      <w:rFonts w:ascii="Times New Roman" w:eastAsia="Times New Roman" w:hAnsi="Times New Roman"/>
      <w:color w:val="000000"/>
      <w:w w:val="0"/>
      <w:lang w:val="en-GB" w:eastAsia="en-GB"/>
    </w:rPr>
  </w:style>
  <w:style w:type="paragraph" w:customStyle="1" w:styleId="CellBodyLeft">
    <w:name w:val="CellBodyLeft"/>
    <w:uiPriority w:val="99"/>
    <w:rsid w:val="005C684F"/>
    <w:pPr>
      <w:tabs>
        <w:tab w:val="left" w:pos="280"/>
      </w:tabs>
      <w:suppressAutoHyphens/>
      <w:autoSpaceDE w:val="0"/>
      <w:autoSpaceDN w:val="0"/>
      <w:adjustRightInd w:val="0"/>
      <w:spacing w:line="240" w:lineRule="atLeast"/>
    </w:pPr>
    <w:rPr>
      <w:rFonts w:ascii="Times New Roman" w:eastAsia="Times New Roman" w:hAnsi="Times New Roman"/>
      <w:color w:val="000000"/>
      <w:w w:val="0"/>
      <w:lang w:val="en-GB" w:eastAsia="en-GB"/>
    </w:rPr>
  </w:style>
  <w:style w:type="character" w:customStyle="1" w:styleId="Symbol">
    <w:name w:val="Symbol"/>
    <w:uiPriority w:val="99"/>
    <w:rsid w:val="005C684F"/>
    <w:rPr>
      <w:rFonts w:ascii="Symbol" w:hAnsi="Symbol"/>
    </w:rPr>
  </w:style>
  <w:style w:type="character" w:customStyle="1" w:styleId="Terms">
    <w:name w:val="Terms"/>
    <w:uiPriority w:val="99"/>
    <w:rsid w:val="0056297D"/>
    <w:rPr>
      <w:i/>
    </w:rPr>
  </w:style>
  <w:style w:type="paragraph" w:customStyle="1" w:styleId="CellFootingLeft">
    <w:name w:val="CellFootingLeft"/>
    <w:uiPriority w:val="99"/>
    <w:rsid w:val="0056297D"/>
    <w:pPr>
      <w:tabs>
        <w:tab w:val="left" w:pos="280"/>
      </w:tabs>
      <w:suppressAutoHyphens/>
      <w:autoSpaceDE w:val="0"/>
      <w:autoSpaceDN w:val="0"/>
      <w:adjustRightInd w:val="0"/>
      <w:spacing w:line="240" w:lineRule="atLeast"/>
    </w:pPr>
    <w:rPr>
      <w:rFonts w:ascii="Times New Roman" w:eastAsia="Times New Roman" w:hAnsi="Times New Roman"/>
      <w:color w:val="000000"/>
      <w:w w:val="0"/>
      <w:lang w:val="en-GB" w:eastAsia="en-GB"/>
    </w:rPr>
  </w:style>
  <w:style w:type="paragraph" w:styleId="Caption">
    <w:name w:val="caption"/>
    <w:basedOn w:val="Normal"/>
    <w:next w:val="Normal"/>
    <w:qFormat/>
    <w:rsid w:val="00FF7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48">
      <w:bodyDiv w:val="1"/>
      <w:marLeft w:val="0"/>
      <w:marRight w:val="0"/>
      <w:marTop w:val="0"/>
      <w:marBottom w:val="0"/>
      <w:divBdr>
        <w:top w:val="none" w:sz="0" w:space="0" w:color="auto"/>
        <w:left w:val="none" w:sz="0" w:space="0" w:color="auto"/>
        <w:bottom w:val="none" w:sz="0" w:space="0" w:color="auto"/>
        <w:right w:val="none" w:sz="0" w:space="0" w:color="auto"/>
      </w:divBdr>
    </w:div>
    <w:div w:id="923340222">
      <w:bodyDiv w:val="1"/>
      <w:marLeft w:val="0"/>
      <w:marRight w:val="0"/>
      <w:marTop w:val="0"/>
      <w:marBottom w:val="0"/>
      <w:divBdr>
        <w:top w:val="none" w:sz="0" w:space="0" w:color="auto"/>
        <w:left w:val="none" w:sz="0" w:space="0" w:color="auto"/>
        <w:bottom w:val="none" w:sz="0" w:space="0" w:color="auto"/>
        <w:right w:val="none" w:sz="0" w:space="0" w:color="auto"/>
      </w:divBdr>
    </w:div>
    <w:div w:id="1103377637">
      <w:bodyDiv w:val="1"/>
      <w:marLeft w:val="0"/>
      <w:marRight w:val="0"/>
      <w:marTop w:val="0"/>
      <w:marBottom w:val="0"/>
      <w:divBdr>
        <w:top w:val="none" w:sz="0" w:space="0" w:color="auto"/>
        <w:left w:val="none" w:sz="0" w:space="0" w:color="auto"/>
        <w:bottom w:val="none" w:sz="0" w:space="0" w:color="auto"/>
        <w:right w:val="none" w:sz="0" w:space="0" w:color="auto"/>
      </w:divBdr>
    </w:div>
    <w:div w:id="1118180755">
      <w:bodyDiv w:val="1"/>
      <w:marLeft w:val="0"/>
      <w:marRight w:val="0"/>
      <w:marTop w:val="0"/>
      <w:marBottom w:val="0"/>
      <w:divBdr>
        <w:top w:val="none" w:sz="0" w:space="0" w:color="auto"/>
        <w:left w:val="none" w:sz="0" w:space="0" w:color="auto"/>
        <w:bottom w:val="none" w:sz="0" w:space="0" w:color="auto"/>
        <w:right w:val="none" w:sz="0" w:space="0" w:color="auto"/>
      </w:divBdr>
    </w:div>
    <w:div w:id="18485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4859</Words>
  <Characters>26922</Characters>
  <Application>Microsoft Office Word</Application>
  <DocSecurity>0</DocSecurity>
  <Lines>928</Lines>
  <Paragraphs>529</Paragraphs>
  <ScaleCrop>false</ScaleCrop>
  <HeadingPairs>
    <vt:vector size="2" baseType="variant">
      <vt:variant>
        <vt:lpstr>Title</vt:lpstr>
      </vt:variant>
      <vt:variant>
        <vt:i4>1</vt:i4>
      </vt:variant>
    </vt:vector>
  </HeadingPairs>
  <TitlesOfParts>
    <vt:vector size="1" baseType="lpstr">
      <vt:lpstr>Attachment: Product Information: Nalmefene (as hydrochloride dihydrate)</vt:lpstr>
    </vt:vector>
  </TitlesOfParts>
  <Company>Lundbeck Australia Pty Ltd</Company>
  <LinksUpToDate>false</LinksUpToDate>
  <CharactersWithSpaces>31252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Nalmefene (as hydrochloride dihydrate)</dc:title>
  <dc:subject>prescription medicines</dc:subject>
  <dc:creator>Merck</dc:creator>
  <cp:keywords>AusPARs</cp:keywords>
  <cp:lastModifiedBy>Lack, Janet</cp:lastModifiedBy>
  <cp:revision>2</cp:revision>
  <cp:lastPrinted>2013-04-30T04:39:00Z</cp:lastPrinted>
  <dcterms:created xsi:type="dcterms:W3CDTF">2016-09-02T02:15:00Z</dcterms:created>
  <dcterms:modified xsi:type="dcterms:W3CDTF">2016-09-02T02:15:00Z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0x01010007A8EC57BBA16449B44F2934980858BC</vt:lpwstr>
  </property>
  <property fmtid="{D5CDD505-2E9C-101B-9397-08002B2CF9AE}" pid="3" name="_NewReviewCycle">
    <vt:lpwstr/>
  </property>
</Properties>
</file>