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5CA0A" w14:textId="77777777" w:rsidR="00005432" w:rsidRDefault="003F3C3B" w:rsidP="00005432">
      <w:pPr>
        <w:pStyle w:val="Title"/>
        <w:spacing w:before="0" w:after="0"/>
        <w:rPr>
          <w:sz w:val="24"/>
          <w:szCs w:val="24"/>
        </w:rPr>
      </w:pPr>
      <w:r w:rsidRPr="006B1F8E">
        <w:rPr>
          <w:sz w:val="24"/>
          <w:szCs w:val="24"/>
        </w:rPr>
        <w:t>FRAXIPARINE</w:t>
      </w:r>
      <w:r w:rsidR="001D61C4" w:rsidRPr="006B1F8E">
        <w:rPr>
          <w:sz w:val="24"/>
          <w:szCs w:val="24"/>
          <w:vertAlign w:val="superscript"/>
        </w:rPr>
        <w:t>®</w:t>
      </w:r>
      <w:r w:rsidR="001D61C4" w:rsidRPr="006B1F8E">
        <w:rPr>
          <w:sz w:val="24"/>
          <w:szCs w:val="24"/>
        </w:rPr>
        <w:t xml:space="preserve"> </w:t>
      </w:r>
    </w:p>
    <w:p w14:paraId="2FB4A0F3" w14:textId="77777777" w:rsidR="00005432" w:rsidRDefault="00005432" w:rsidP="00005432">
      <w:pPr>
        <w:pStyle w:val="Title"/>
        <w:spacing w:before="0" w:after="0"/>
        <w:rPr>
          <w:sz w:val="24"/>
          <w:szCs w:val="24"/>
        </w:rPr>
      </w:pPr>
    </w:p>
    <w:p w14:paraId="3F8F5069" w14:textId="77777777" w:rsidR="00005432" w:rsidRDefault="006B1F8E" w:rsidP="00005432">
      <w:pPr>
        <w:pStyle w:val="Title"/>
        <w:spacing w:before="0" w:after="0"/>
        <w:rPr>
          <w:sz w:val="24"/>
          <w:szCs w:val="24"/>
        </w:rPr>
      </w:pPr>
      <w:r>
        <w:rPr>
          <w:sz w:val="24"/>
          <w:szCs w:val="24"/>
        </w:rPr>
        <w:t>PRODUCT INFORM</w:t>
      </w:r>
      <w:bookmarkStart w:id="0" w:name="_GoBack"/>
      <w:bookmarkEnd w:id="0"/>
      <w:r>
        <w:rPr>
          <w:sz w:val="24"/>
          <w:szCs w:val="24"/>
        </w:rPr>
        <w:t>ATION</w:t>
      </w:r>
    </w:p>
    <w:p w14:paraId="780CA694" w14:textId="77777777" w:rsidR="003F3C3B" w:rsidRDefault="003F3C3B">
      <w:pPr>
        <w:pStyle w:val="Heading1"/>
      </w:pPr>
      <w:r>
        <w:t xml:space="preserve">NAME OF </w:t>
      </w:r>
      <w:r w:rsidR="00C36246">
        <w:t>THE MEDICINE</w:t>
      </w:r>
    </w:p>
    <w:p w14:paraId="185F8530" w14:textId="77777777" w:rsidR="003F3C3B" w:rsidRDefault="003F3C3B"/>
    <w:p w14:paraId="23853B03" w14:textId="77777777" w:rsidR="003F3C3B" w:rsidRPr="00D22C85" w:rsidRDefault="003F3C3B">
      <w:pPr>
        <w:jc w:val="both"/>
        <w:rPr>
          <w:rFonts w:cs="Arial"/>
          <w:b/>
          <w:szCs w:val="22"/>
        </w:rPr>
      </w:pPr>
      <w:r w:rsidRPr="00D22C85">
        <w:rPr>
          <w:rFonts w:cs="Arial"/>
          <w:szCs w:val="22"/>
        </w:rPr>
        <w:t xml:space="preserve">Nadroparin </w:t>
      </w:r>
      <w:r w:rsidR="008C3DC2" w:rsidRPr="00D22C85">
        <w:rPr>
          <w:rFonts w:cs="Arial"/>
          <w:szCs w:val="22"/>
        </w:rPr>
        <w:t>calcium</w:t>
      </w:r>
    </w:p>
    <w:p w14:paraId="49359AE3" w14:textId="77777777" w:rsidR="003F3C3B" w:rsidRDefault="003F3C3B"/>
    <w:p w14:paraId="2883C42B" w14:textId="77777777" w:rsidR="003F3C3B" w:rsidRDefault="003F3C3B">
      <w:pPr>
        <w:pStyle w:val="Heading1"/>
      </w:pPr>
      <w:r>
        <w:t>DESCRIPTION</w:t>
      </w:r>
    </w:p>
    <w:p w14:paraId="620966F5" w14:textId="77777777" w:rsidR="003F3C3B" w:rsidRDefault="003F3C3B"/>
    <w:p w14:paraId="1DBFADD5" w14:textId="77777777" w:rsidR="003F3C3B" w:rsidRDefault="003F3C3B" w:rsidP="000361C7">
      <w:pPr>
        <w:jc w:val="both"/>
      </w:pPr>
      <w:r>
        <w:t xml:space="preserve">Fraxiparine is a sterile, clear preservative-free solution usually for subcutaneous injection containing </w:t>
      </w:r>
      <w:r w:rsidR="008C3DC2">
        <w:t xml:space="preserve">nadroparin calcium </w:t>
      </w:r>
      <w:r>
        <w:t>9,500 IU anti-Xa per 1.0 mL dissolved in water for injections.</w:t>
      </w:r>
    </w:p>
    <w:p w14:paraId="5D7C7C46" w14:textId="77777777" w:rsidR="003F3C3B" w:rsidRDefault="003F3C3B" w:rsidP="000361C7">
      <w:pPr>
        <w:jc w:val="both"/>
      </w:pPr>
    </w:p>
    <w:p w14:paraId="0BB8769B" w14:textId="77777777" w:rsidR="003F3C3B" w:rsidRDefault="00283887" w:rsidP="000361C7">
      <w:pPr>
        <w:jc w:val="both"/>
      </w:pPr>
      <w:r>
        <w:t xml:space="preserve">Nadroparin </w:t>
      </w:r>
      <w:r w:rsidR="003F3C3B">
        <w:t xml:space="preserve">is a low molecular weight heparin made by depolymerisation of standard heparin.  It is a </w:t>
      </w:r>
      <w:r w:rsidR="003F3C3B" w:rsidRPr="0061343F">
        <w:t>glycosaminoglycan</w:t>
      </w:r>
      <w:r w:rsidR="003F3C3B">
        <w:t xml:space="preserve"> with a mean molecular weight around </w:t>
      </w:r>
      <w:r w:rsidR="003F3C3B" w:rsidRPr="00D222B3">
        <w:t>4</w:t>
      </w:r>
      <w:r w:rsidR="003F3C3B" w:rsidRPr="00E57F5D">
        <w:t>,500</w:t>
      </w:r>
      <w:r w:rsidR="003F3C3B">
        <w:t xml:space="preserve"> daltons.  It possesses a high ratio of anti-Xa activity </w:t>
      </w:r>
      <w:r w:rsidR="00165955">
        <w:t xml:space="preserve">to anti-IIa activity </w:t>
      </w:r>
      <w:r w:rsidR="003F3C3B">
        <w:t>between 2.5 to 4.0 compared to unfractionated heparin for which this ratio is one.</w:t>
      </w:r>
    </w:p>
    <w:p w14:paraId="3EAABE5F" w14:textId="77777777" w:rsidR="003F3C3B" w:rsidRDefault="003F3C3B"/>
    <w:p w14:paraId="375626D7" w14:textId="77777777" w:rsidR="003B20E4" w:rsidRPr="00462BA9" w:rsidRDefault="00923F1F" w:rsidP="003B20E4">
      <w:pPr>
        <w:rPr>
          <w:szCs w:val="22"/>
        </w:rPr>
      </w:pPr>
      <w:r w:rsidRPr="00462BA9">
        <w:rPr>
          <w:szCs w:val="22"/>
        </w:rPr>
        <w:t xml:space="preserve">Anti-Xa denotes anti factor Xa activity. </w:t>
      </w:r>
      <w:r w:rsidR="003B20E4" w:rsidRPr="00462BA9">
        <w:rPr>
          <w:szCs w:val="22"/>
        </w:rPr>
        <w:t>The ratio of anti-Xa to anti-IIa activity is 2.5 to 4.0.</w:t>
      </w:r>
    </w:p>
    <w:p w14:paraId="7F1CE842" w14:textId="77777777" w:rsidR="00923F1F" w:rsidRPr="00462BA9" w:rsidRDefault="00923F1F" w:rsidP="00923F1F">
      <w:pPr>
        <w:rPr>
          <w:szCs w:val="22"/>
        </w:rPr>
      </w:pPr>
    </w:p>
    <w:p w14:paraId="13072A3C" w14:textId="77777777" w:rsidR="00923F1F" w:rsidRDefault="00923F1F" w:rsidP="00923F1F">
      <w:pPr>
        <w:rPr>
          <w:szCs w:val="22"/>
        </w:rPr>
      </w:pPr>
      <w:r w:rsidRPr="00462BA9">
        <w:rPr>
          <w:szCs w:val="22"/>
        </w:rPr>
        <w:t xml:space="preserve">One ICU is equivalent to 0.38 IU </w:t>
      </w:r>
      <w:r>
        <w:rPr>
          <w:szCs w:val="22"/>
        </w:rPr>
        <w:t>anti-</w:t>
      </w:r>
      <w:r w:rsidRPr="00462BA9">
        <w:rPr>
          <w:szCs w:val="22"/>
        </w:rPr>
        <w:t>Xa.</w:t>
      </w:r>
    </w:p>
    <w:p w14:paraId="14EBF5D3" w14:textId="77777777" w:rsidR="007C4189" w:rsidRDefault="007C4189"/>
    <w:p w14:paraId="3B4251B4" w14:textId="77777777" w:rsidR="003F3C3B" w:rsidRDefault="003F3C3B">
      <w:r>
        <w:t>The excipients contained in the Fraxiparine solution are:</w:t>
      </w:r>
    </w:p>
    <w:p w14:paraId="4FAC52DC" w14:textId="3131BD0E" w:rsidR="00625214" w:rsidRDefault="003F3C3B" w:rsidP="00F61E5B">
      <w:r>
        <w:t xml:space="preserve">Calcium </w:t>
      </w:r>
      <w:r w:rsidR="00BE0968">
        <w:t xml:space="preserve">hydroxide </w:t>
      </w:r>
      <w:r>
        <w:t xml:space="preserve">solution or dilute </w:t>
      </w:r>
      <w:r w:rsidR="00BE0968">
        <w:t xml:space="preserve">hydrochloric acid </w:t>
      </w:r>
      <w:r>
        <w:t>(to adjust pH)</w:t>
      </w:r>
      <w:r w:rsidR="00BE0968">
        <w:t xml:space="preserve"> and water</w:t>
      </w:r>
      <w:r w:rsidR="00FC1B0E">
        <w:t xml:space="preserve"> for injections</w:t>
      </w:r>
      <w:r w:rsidR="00BE0968">
        <w:t>.</w:t>
      </w:r>
    </w:p>
    <w:p w14:paraId="20F3AF8B" w14:textId="77777777" w:rsidR="003F3C3B" w:rsidRDefault="003F3C3B">
      <w:pPr>
        <w:pStyle w:val="Heading1"/>
      </w:pPr>
      <w:r>
        <w:t>PHARMACOLOGY</w:t>
      </w:r>
    </w:p>
    <w:p w14:paraId="3FA2375F" w14:textId="77777777" w:rsidR="00A456D4" w:rsidRPr="00BE0968" w:rsidRDefault="00F71F00" w:rsidP="00A456D4">
      <w:pPr>
        <w:pStyle w:val="Heading3"/>
        <w:rPr>
          <w:b/>
          <w:u w:val="none"/>
        </w:rPr>
      </w:pPr>
      <w:r w:rsidRPr="00F71F00">
        <w:rPr>
          <w:b/>
          <w:u w:val="none"/>
        </w:rPr>
        <w:t>Pharmacological Action</w:t>
      </w:r>
    </w:p>
    <w:p w14:paraId="4D33031D" w14:textId="77777777" w:rsidR="00A456D4" w:rsidRPr="00462BA9" w:rsidRDefault="00A456D4" w:rsidP="00A456D4">
      <w:pPr>
        <w:rPr>
          <w:szCs w:val="22"/>
        </w:rPr>
      </w:pPr>
    </w:p>
    <w:p w14:paraId="390B53F1" w14:textId="77777777" w:rsidR="00A456D4" w:rsidRDefault="0032352A" w:rsidP="00A456D4">
      <w:pPr>
        <w:rPr>
          <w:szCs w:val="22"/>
        </w:rPr>
      </w:pPr>
      <w:r>
        <w:rPr>
          <w:szCs w:val="22"/>
        </w:rPr>
        <w:t>Nadroparin</w:t>
      </w:r>
      <w:r w:rsidRPr="00462BA9">
        <w:rPr>
          <w:szCs w:val="22"/>
        </w:rPr>
        <w:t xml:space="preserve"> </w:t>
      </w:r>
      <w:r w:rsidR="00A456D4" w:rsidRPr="00462BA9">
        <w:rPr>
          <w:szCs w:val="22"/>
        </w:rPr>
        <w:t>has both immediate and prolonged antithrombotic action.</w:t>
      </w:r>
    </w:p>
    <w:p w14:paraId="02A00751" w14:textId="77777777" w:rsidR="00923F1F" w:rsidRDefault="00923F1F" w:rsidP="00A456D4">
      <w:pPr>
        <w:rPr>
          <w:szCs w:val="22"/>
        </w:rPr>
      </w:pPr>
    </w:p>
    <w:p w14:paraId="50455BD5" w14:textId="77777777" w:rsidR="00923F1F" w:rsidRDefault="00923F1F" w:rsidP="00923F1F">
      <w:r>
        <w:t>Nadroparin exhibits a high-affinity binding to the plasma protein anti-thrombin III (ATIII). This binding leads to an accelerated inhibition of factor Xa</w:t>
      </w:r>
      <w:r w:rsidR="00D45E68">
        <w:t xml:space="preserve"> and to a lesser extent, factor IIa (Anti-Xa:Anti-IIa ratio of 3.6:1)</w:t>
      </w:r>
      <w:r>
        <w:t>, which contributes to the antithrombotic potential of nadroparin.</w:t>
      </w:r>
    </w:p>
    <w:p w14:paraId="0FE0D712" w14:textId="77777777" w:rsidR="00923F1F" w:rsidRDefault="00923F1F" w:rsidP="00923F1F"/>
    <w:p w14:paraId="3FA78C1B" w14:textId="77777777" w:rsidR="00923F1F" w:rsidRDefault="00923F1F" w:rsidP="00923F1F">
      <w:r>
        <w:t>Other mechanisms that contribute to the antithrombotic activity of nadroparin include stimulation of tissue factor pathway inhibitor (TFP1), activation of fibrinolysis via direct release of tissue plasminogen activator from endothelial cells, and the modification of haemorrheological parameters (decreased blood viscosity and increased platelet and granulocyte membrane fluidity).</w:t>
      </w:r>
    </w:p>
    <w:p w14:paraId="19B6B4FD" w14:textId="77777777" w:rsidR="00923F1F" w:rsidRDefault="00923F1F" w:rsidP="00923F1F"/>
    <w:p w14:paraId="114A04D6" w14:textId="77777777" w:rsidR="00923F1F" w:rsidRDefault="00923F1F" w:rsidP="00923F1F">
      <w:r>
        <w:t xml:space="preserve">Compared with unfractionated heparin, nadroparin has less effect on thrombocyte function and aggregation </w:t>
      </w:r>
      <w:r w:rsidR="00D45E68" w:rsidRPr="00D45E68">
        <w:rPr>
          <w:i/>
        </w:rPr>
        <w:t>in vitro</w:t>
      </w:r>
      <w:r w:rsidR="00D45E68">
        <w:t xml:space="preserve"> </w:t>
      </w:r>
      <w:r>
        <w:t>and only a slight effect on pr</w:t>
      </w:r>
      <w:r w:rsidR="00DE1456">
        <w:t>imary haemostasis.</w:t>
      </w:r>
    </w:p>
    <w:p w14:paraId="5FA83EB0" w14:textId="77777777" w:rsidR="003F3C3B" w:rsidRPr="00BE0968" w:rsidRDefault="00F71F00">
      <w:pPr>
        <w:pStyle w:val="Heading3"/>
        <w:rPr>
          <w:b/>
          <w:u w:val="none"/>
        </w:rPr>
      </w:pPr>
      <w:r w:rsidRPr="00F71F00">
        <w:rPr>
          <w:b/>
          <w:u w:val="none"/>
        </w:rPr>
        <w:t>Pharmacokinetics</w:t>
      </w:r>
    </w:p>
    <w:p w14:paraId="5479C193" w14:textId="77777777" w:rsidR="003F3C3B" w:rsidRDefault="003F3C3B"/>
    <w:p w14:paraId="5E0403DC" w14:textId="77777777" w:rsidR="00923F1F" w:rsidRDefault="00923F1F" w:rsidP="00923F1F">
      <w:r>
        <w:t xml:space="preserve">The pharmacokinetic properties of nadroparin have been assessed </w:t>
      </w:r>
      <w:r w:rsidR="00175F80">
        <w:t xml:space="preserve">in plasma </w:t>
      </w:r>
      <w:r>
        <w:t xml:space="preserve">on the basis of biological activity, i.e. measurement of anti-factor Xa activity. </w:t>
      </w:r>
    </w:p>
    <w:p w14:paraId="24C0E9FE" w14:textId="77777777" w:rsidR="00625214" w:rsidRDefault="00625214" w:rsidP="00923F1F">
      <w:pPr>
        <w:jc w:val="both"/>
        <w:rPr>
          <w:b/>
          <w:i/>
        </w:rPr>
      </w:pPr>
    </w:p>
    <w:p w14:paraId="17DD7664" w14:textId="77777777" w:rsidR="00923F1F" w:rsidRPr="001A3457" w:rsidRDefault="00923F1F" w:rsidP="00923F1F">
      <w:pPr>
        <w:jc w:val="both"/>
        <w:rPr>
          <w:b/>
          <w:i/>
        </w:rPr>
      </w:pPr>
      <w:r w:rsidRPr="001A3457">
        <w:rPr>
          <w:b/>
          <w:i/>
        </w:rPr>
        <w:t>Absorption:</w:t>
      </w:r>
    </w:p>
    <w:p w14:paraId="261387E3" w14:textId="77777777" w:rsidR="00923F1F" w:rsidRDefault="00923F1F" w:rsidP="00923F1F">
      <w:pPr>
        <w:jc w:val="both"/>
      </w:pPr>
    </w:p>
    <w:p w14:paraId="5650D3B9" w14:textId="77777777" w:rsidR="00923F1F" w:rsidRDefault="00923F1F" w:rsidP="00923F1F">
      <w:r>
        <w:lastRenderedPageBreak/>
        <w:t>Following subcutaneous administration, the peak anti-Xa activity (C</w:t>
      </w:r>
      <w:r>
        <w:rPr>
          <w:vertAlign w:val="subscript"/>
        </w:rPr>
        <w:t>max</w:t>
      </w:r>
      <w:r>
        <w:t xml:space="preserve">) is reached after approximately 3 </w:t>
      </w:r>
      <w:r w:rsidR="003D6344">
        <w:t xml:space="preserve">to </w:t>
      </w:r>
      <w:r w:rsidR="00D84103" w:rsidRPr="00451840">
        <w:t>6</w:t>
      </w:r>
      <w:r w:rsidR="003D6344">
        <w:t xml:space="preserve"> hours </w:t>
      </w:r>
      <w:r>
        <w:t>T</w:t>
      </w:r>
      <w:r>
        <w:rPr>
          <w:vertAlign w:val="subscript"/>
        </w:rPr>
        <w:t>max</w:t>
      </w:r>
      <w:r>
        <w:t xml:space="preserve">). </w:t>
      </w:r>
    </w:p>
    <w:p w14:paraId="75D74C40" w14:textId="77777777" w:rsidR="00923F1F" w:rsidRDefault="00923F1F" w:rsidP="00923F1F"/>
    <w:p w14:paraId="5F95309A" w14:textId="77777777" w:rsidR="00923F1F" w:rsidRDefault="00923F1F" w:rsidP="00923F1F">
      <w:r>
        <w:t xml:space="preserve">Bioavailability is almost complete (around </w:t>
      </w:r>
      <w:r w:rsidR="00631F0E">
        <w:t>8</w:t>
      </w:r>
      <w:r>
        <w:t>8%).</w:t>
      </w:r>
    </w:p>
    <w:p w14:paraId="79767FCC" w14:textId="77777777" w:rsidR="00923F1F" w:rsidRDefault="00923F1F" w:rsidP="00923F1F"/>
    <w:p w14:paraId="5211BEFA" w14:textId="77777777" w:rsidR="003C1EBC" w:rsidRDefault="003C1EBC" w:rsidP="00923F1F">
      <w:pPr>
        <w:jc w:val="both"/>
      </w:pPr>
      <w:r>
        <w:t>After i.v. injection, the peak plasma anti-Xa level is reached within less than 10 minutes, and the half-life is around 2 hours.</w:t>
      </w:r>
    </w:p>
    <w:p w14:paraId="0DD85F0E" w14:textId="77777777" w:rsidR="00923F1F" w:rsidRDefault="00923F1F" w:rsidP="00923F1F">
      <w:pPr>
        <w:jc w:val="both"/>
      </w:pPr>
    </w:p>
    <w:p w14:paraId="40C35495" w14:textId="77777777" w:rsidR="00923F1F" w:rsidRDefault="00923F1F" w:rsidP="00923F1F">
      <w:pPr>
        <w:jc w:val="both"/>
        <w:rPr>
          <w:b/>
          <w:i/>
        </w:rPr>
      </w:pPr>
      <w:r w:rsidRPr="001A3457">
        <w:rPr>
          <w:b/>
          <w:i/>
        </w:rPr>
        <w:t>Elimination:</w:t>
      </w:r>
    </w:p>
    <w:p w14:paraId="2090B052" w14:textId="77777777" w:rsidR="001A3457" w:rsidRPr="001A3457" w:rsidRDefault="001A3457" w:rsidP="00923F1F">
      <w:pPr>
        <w:jc w:val="both"/>
        <w:rPr>
          <w:b/>
          <w:i/>
        </w:rPr>
      </w:pPr>
    </w:p>
    <w:p w14:paraId="69C90B9C" w14:textId="77777777" w:rsidR="003F3C3B" w:rsidRDefault="00923F1F" w:rsidP="000361C7">
      <w:pPr>
        <w:jc w:val="both"/>
      </w:pPr>
      <w:r>
        <w:t xml:space="preserve">The elimination half-life is approximately </w:t>
      </w:r>
      <w:r w:rsidRPr="00BC1A1B">
        <w:t>3.5</w:t>
      </w:r>
      <w:r>
        <w:t xml:space="preserve"> hours.  However, </w:t>
      </w:r>
      <w:r w:rsidR="00B966E0">
        <w:t xml:space="preserve">in one study </w:t>
      </w:r>
      <w:r>
        <w:t xml:space="preserve">anti-Xa activity </w:t>
      </w:r>
      <w:r w:rsidR="00B966E0">
        <w:t xml:space="preserve">was </w:t>
      </w:r>
      <w:r>
        <w:t xml:space="preserve">detectable for at least 18 hours following </w:t>
      </w:r>
      <w:r w:rsidR="00513DD2">
        <w:t xml:space="preserve">a </w:t>
      </w:r>
      <w:r w:rsidR="00B966E0">
        <w:t xml:space="preserve">subcutaneous </w:t>
      </w:r>
      <w:r w:rsidR="00513DD2">
        <w:t>dose of 100 anti-Xa IC U/kg</w:t>
      </w:r>
      <w:r w:rsidR="00B476D3">
        <w:t xml:space="preserve"> </w:t>
      </w:r>
      <w:r w:rsidR="00B476D3">
        <w:rPr>
          <w:rFonts w:cs="Arial"/>
          <w:szCs w:val="22"/>
        </w:rPr>
        <w:t>(38 anti-Xa IU/kg)</w:t>
      </w:r>
      <w:r w:rsidR="00B966E0">
        <w:rPr>
          <w:rFonts w:cs="Arial"/>
          <w:szCs w:val="22"/>
        </w:rPr>
        <w:t xml:space="preserve"> in nine out of twelve study subjects</w:t>
      </w:r>
      <w:r w:rsidR="00513DD2">
        <w:t>.</w:t>
      </w:r>
    </w:p>
    <w:p w14:paraId="60CF46FF" w14:textId="77777777" w:rsidR="00C045B1" w:rsidRPr="00C36246" w:rsidRDefault="00F71F00" w:rsidP="00C045B1">
      <w:pPr>
        <w:pStyle w:val="Heading1"/>
        <w:rPr>
          <w:i/>
        </w:rPr>
      </w:pPr>
      <w:r w:rsidRPr="00F71F00">
        <w:rPr>
          <w:i/>
        </w:rPr>
        <w:t>Special patient populations</w:t>
      </w:r>
      <w:r w:rsidR="001A3457">
        <w:rPr>
          <w:i/>
        </w:rPr>
        <w:t>:</w:t>
      </w:r>
    </w:p>
    <w:p w14:paraId="0AE390FD" w14:textId="77777777" w:rsidR="003F3C3B" w:rsidRPr="00462BA9" w:rsidRDefault="003F3C3B">
      <w:pPr>
        <w:rPr>
          <w:szCs w:val="22"/>
        </w:rPr>
      </w:pPr>
    </w:p>
    <w:p w14:paraId="573DE00C" w14:textId="77777777" w:rsidR="00923F1F" w:rsidRPr="001A3457" w:rsidRDefault="00923F1F" w:rsidP="00332695">
      <w:pPr>
        <w:pStyle w:val="BridgeheadGDS"/>
      </w:pPr>
      <w:r w:rsidRPr="001A3457">
        <w:t>Elderly:</w:t>
      </w:r>
    </w:p>
    <w:p w14:paraId="7BC917A7" w14:textId="77777777" w:rsidR="00923F1F" w:rsidRDefault="00923F1F" w:rsidP="001A3457">
      <w:pPr>
        <w:pStyle w:val="Caption"/>
        <w:rPr>
          <w:b w:val="0"/>
          <w:sz w:val="22"/>
          <w:szCs w:val="22"/>
        </w:rPr>
      </w:pPr>
      <w:r w:rsidRPr="001A3457">
        <w:rPr>
          <w:b w:val="0"/>
          <w:sz w:val="22"/>
          <w:szCs w:val="22"/>
        </w:rPr>
        <w:t>Renal function generally decreases with age so elimination is slower in the elderly (see Pharmacokinetics</w:t>
      </w:r>
      <w:r w:rsidRPr="001A3457">
        <w:rPr>
          <w:b w:val="0"/>
          <w:i/>
          <w:sz w:val="22"/>
          <w:szCs w:val="22"/>
        </w:rPr>
        <w:t xml:space="preserve">: Renal Impairment </w:t>
      </w:r>
      <w:r w:rsidRPr="001A3457">
        <w:rPr>
          <w:b w:val="0"/>
          <w:sz w:val="22"/>
          <w:szCs w:val="22"/>
        </w:rPr>
        <w:t>below). The possibility of renal impairment in this age group must be considered and the dosage adjusted accordingly (see DOSAGE AND ADMINISTRATION and PRECAUTIONS).</w:t>
      </w:r>
    </w:p>
    <w:p w14:paraId="6C9D6610" w14:textId="77777777" w:rsidR="00005432" w:rsidRDefault="00005432" w:rsidP="00005432"/>
    <w:p w14:paraId="6D617284" w14:textId="77777777" w:rsidR="00DB2703" w:rsidRPr="00A056C8" w:rsidRDefault="00462BA9" w:rsidP="00332695">
      <w:pPr>
        <w:pStyle w:val="BridgeheadGDS"/>
      </w:pPr>
      <w:r w:rsidRPr="00A056C8">
        <w:t>Renal Impairment</w:t>
      </w:r>
      <w:r w:rsidR="00700A55">
        <w:t>:</w:t>
      </w:r>
    </w:p>
    <w:p w14:paraId="4E7311C9" w14:textId="77777777" w:rsidR="003F3C3B" w:rsidRDefault="00462BA9" w:rsidP="000361C7">
      <w:pPr>
        <w:jc w:val="both"/>
        <w:rPr>
          <w:szCs w:val="22"/>
        </w:rPr>
      </w:pPr>
      <w:r w:rsidRPr="00462BA9">
        <w:rPr>
          <w:szCs w:val="22"/>
        </w:rPr>
        <w:t xml:space="preserve">In </w:t>
      </w:r>
      <w:r w:rsidR="003F3C3B" w:rsidRPr="00462BA9">
        <w:rPr>
          <w:szCs w:val="22"/>
        </w:rPr>
        <w:t xml:space="preserve">patients with severe renal failure, a reduced dosage should be considered as elimination of </w:t>
      </w:r>
      <w:r w:rsidR="00923F1F">
        <w:rPr>
          <w:szCs w:val="22"/>
        </w:rPr>
        <w:t>anti</w:t>
      </w:r>
      <w:r w:rsidR="006E03D1">
        <w:rPr>
          <w:szCs w:val="22"/>
        </w:rPr>
        <w:t>-</w:t>
      </w:r>
      <w:r w:rsidR="003F3C3B" w:rsidRPr="00462BA9">
        <w:rPr>
          <w:szCs w:val="22"/>
        </w:rPr>
        <w:t>Xa activity is prolonged in such patients.</w:t>
      </w:r>
    </w:p>
    <w:p w14:paraId="2F7E3226" w14:textId="77777777" w:rsidR="002F024B" w:rsidRPr="00462BA9" w:rsidRDefault="002F024B" w:rsidP="000361C7">
      <w:pPr>
        <w:jc w:val="both"/>
        <w:rPr>
          <w:szCs w:val="22"/>
        </w:rPr>
      </w:pPr>
    </w:p>
    <w:p w14:paraId="25451E14" w14:textId="77777777" w:rsidR="00C2668A" w:rsidRDefault="00923F1F">
      <w:r w:rsidRPr="002F024B">
        <w:rPr>
          <w:rStyle w:val="CSIchar"/>
          <w:shd w:val="clear" w:color="auto" w:fill="auto"/>
        </w:rPr>
        <w:t>In a clinical study investigating the pharmacokinetics of nadroparin administered intravenously in patients with varying degrees of renal impairment, a correlation was found between nadroparin clearance and the creatinine clearance. In patients with moderate renal impairment (creatinine clearance 36-43 m</w:t>
      </w:r>
      <w:r w:rsidR="00C72483">
        <w:rPr>
          <w:rStyle w:val="CSIchar"/>
          <w:shd w:val="clear" w:color="auto" w:fill="auto"/>
        </w:rPr>
        <w:t>L</w:t>
      </w:r>
      <w:r w:rsidRPr="002F024B">
        <w:rPr>
          <w:rStyle w:val="CSIchar"/>
          <w:shd w:val="clear" w:color="auto" w:fill="auto"/>
        </w:rPr>
        <w:t>/min), both mean AUC and half-life were increased by 52 and 39% respectively compared with healthy volunteers.  In these patients, mean plasma clearance of nadroparin was decreased to 63% of normal. Wide inter-individual variability was observed in the study. In subjects with severe renal impairment (creatinine clearance 10-20 m</w:t>
      </w:r>
      <w:r w:rsidR="00C72483">
        <w:rPr>
          <w:rStyle w:val="CSIchar"/>
          <w:shd w:val="clear" w:color="auto" w:fill="auto"/>
        </w:rPr>
        <w:t>L</w:t>
      </w:r>
      <w:r w:rsidRPr="002F024B">
        <w:rPr>
          <w:rStyle w:val="CSIchar"/>
          <w:shd w:val="clear" w:color="auto" w:fill="auto"/>
        </w:rPr>
        <w:t>/min) both mean AUC and half-life were increased by 95 and 112% respectively compared with healthy volunteers.  Plasma clearance in patients with severe renal impairment was decreased to 50% of that observed in patients with normal renal function. In subjects with severe renal impairment (creatinine clearance 3-6 m</w:t>
      </w:r>
      <w:r w:rsidR="00C72483">
        <w:rPr>
          <w:rStyle w:val="CSIchar"/>
          <w:shd w:val="clear" w:color="auto" w:fill="auto"/>
        </w:rPr>
        <w:t>L</w:t>
      </w:r>
      <w:r w:rsidRPr="002F024B">
        <w:rPr>
          <w:rStyle w:val="CSIchar"/>
          <w:shd w:val="clear" w:color="auto" w:fill="auto"/>
        </w:rPr>
        <w:t>/min) on haemodialysis, both mean AUC and half-life were increased by 62 and 65% respectively compared with healthy volunteers.  Plasma clearance in haemodialysis patients with severe renal impairment was decreased to 67% of that observed in patients with normal renal function</w:t>
      </w:r>
      <w:r>
        <w:t xml:space="preserve"> (</w:t>
      </w:r>
      <w:r w:rsidR="00FE2B9F" w:rsidRPr="00FE2B9F">
        <w:t>see</w:t>
      </w:r>
      <w:r>
        <w:rPr>
          <w:i/>
        </w:rPr>
        <w:t xml:space="preserve"> </w:t>
      </w:r>
      <w:r w:rsidRPr="002F024B">
        <w:t>DOSAGE AND ADMINISTRATION</w:t>
      </w:r>
      <w:r>
        <w:rPr>
          <w:i/>
        </w:rPr>
        <w:t xml:space="preserve">, </w:t>
      </w:r>
      <w:r w:rsidRPr="002F024B">
        <w:t>PRECAUTIONS</w:t>
      </w:r>
      <w:r>
        <w:t>).</w:t>
      </w:r>
    </w:p>
    <w:p w14:paraId="711AFE09" w14:textId="77777777" w:rsidR="00C2668A" w:rsidRDefault="00C2668A"/>
    <w:p w14:paraId="5C2E9AE0" w14:textId="77777777" w:rsidR="00F61E5B" w:rsidRDefault="00F61E5B"/>
    <w:p w14:paraId="1756A563" w14:textId="7BFF7F97" w:rsidR="002F024B" w:rsidRDefault="00C2668A">
      <w:pPr>
        <w:rPr>
          <w:b/>
        </w:rPr>
      </w:pPr>
      <w:r w:rsidRPr="00A926D0">
        <w:rPr>
          <w:b/>
        </w:rPr>
        <w:t>CLINICAL TRIALS</w:t>
      </w:r>
      <w:r w:rsidR="00923F1F" w:rsidRPr="00A926D0">
        <w:rPr>
          <w:b/>
        </w:rPr>
        <w:t xml:space="preserve"> </w:t>
      </w:r>
    </w:p>
    <w:p w14:paraId="13CEB78C" w14:textId="77777777" w:rsidR="00C2668A" w:rsidRDefault="00C2668A">
      <w:pPr>
        <w:rPr>
          <w:b/>
        </w:rPr>
      </w:pPr>
    </w:p>
    <w:p w14:paraId="7C643AB7" w14:textId="5EF04443" w:rsidR="00C2668A" w:rsidRPr="00C2668A" w:rsidRDefault="00C2668A">
      <w:r>
        <w:rPr>
          <w:lang w:val="en-GB"/>
        </w:rPr>
        <w:t>A total of 6 published reports evaluating the safety and efficacy of nadroparin as a thromboprop</w:t>
      </w:r>
      <w:r w:rsidR="00A926D0">
        <w:rPr>
          <w:lang w:val="en-GB"/>
        </w:rPr>
        <w:t>h</w:t>
      </w:r>
      <w:r>
        <w:rPr>
          <w:lang w:val="en-GB"/>
        </w:rPr>
        <w:t xml:space="preserve">ylactic agent in hospitalised, acutely ill medical patients have been included to support the efficacy </w:t>
      </w:r>
      <w:r w:rsidR="00C52B77">
        <w:rPr>
          <w:lang w:val="en-GB"/>
        </w:rPr>
        <w:t>of this medicine</w:t>
      </w:r>
      <w:r>
        <w:rPr>
          <w:lang w:val="en-GB"/>
        </w:rPr>
        <w:t>.</w:t>
      </w:r>
      <w:r w:rsidR="00D74657">
        <w:rPr>
          <w:lang w:val="en-GB"/>
        </w:rPr>
        <w:t xml:space="preserve"> </w:t>
      </w:r>
      <w:r w:rsidR="00D74657" w:rsidRPr="00D74657">
        <w:rPr>
          <w:lang w:val="en-GB"/>
        </w:rPr>
        <w:t xml:space="preserve"> </w:t>
      </w:r>
      <w:r w:rsidR="00D74657">
        <w:rPr>
          <w:lang w:val="en-GB"/>
        </w:rPr>
        <w:t xml:space="preserve">Five of the 6 safety and efficacy publications meet the NHMRC 1999 criteria of level 1 or level II evidence, providing sufficient details of study design, outcomes and statistical analysis for an independent assessment of the safety and efficacy of nadroparin in the proposed indication.  The remaining safety and efficacy study was an uncontrolled prospective study </w:t>
      </w:r>
      <w:r w:rsidR="00D74657">
        <w:rPr>
          <w:lang w:val="en-GB"/>
        </w:rPr>
        <w:lastRenderedPageBreak/>
        <w:t xml:space="preserve">of acutely ill medical patients admitted to hospital, classified as low, </w:t>
      </w:r>
      <w:r w:rsidR="00DB500E">
        <w:rPr>
          <w:lang w:val="en-GB"/>
        </w:rPr>
        <w:t xml:space="preserve">intermediate </w:t>
      </w:r>
      <w:r w:rsidR="00D74657">
        <w:rPr>
          <w:lang w:val="en-GB"/>
        </w:rPr>
        <w:t>or high risk of developing a venous thromboembolism (VTE).</w:t>
      </w:r>
    </w:p>
    <w:p w14:paraId="721388AD" w14:textId="77777777" w:rsidR="00625214" w:rsidRDefault="00625214">
      <w:pPr>
        <w:rPr>
          <w:szCs w:val="22"/>
        </w:rPr>
      </w:pPr>
    </w:p>
    <w:p w14:paraId="61CF120E" w14:textId="1803EE7C" w:rsidR="002148BD" w:rsidRDefault="00573784" w:rsidP="002148BD">
      <w:pPr>
        <w:rPr>
          <w:lang w:val="en-GB"/>
        </w:rPr>
      </w:pPr>
      <w:r>
        <w:rPr>
          <w:lang w:val="en-GB"/>
        </w:rPr>
        <w:t xml:space="preserve">The two systematic analyses both aimed to evaluate the efficacy and safety of low molecular weight heparins (LMWH), including nadroparin, when used as a thromboprophylactic agent in acutely ill medical patients with reduced mobility or bedridden. </w:t>
      </w:r>
      <w:r w:rsidR="002148BD">
        <w:rPr>
          <w:lang w:val="en-GB"/>
        </w:rPr>
        <w:t>Both meta-analyses screened the design quality of individual studies prior to inclusion.</w:t>
      </w:r>
    </w:p>
    <w:p w14:paraId="3C0A80F5" w14:textId="77777777" w:rsidR="00746AF5" w:rsidRDefault="00746AF5">
      <w:pPr>
        <w:rPr>
          <w:lang w:val="en-GB"/>
        </w:rPr>
      </w:pPr>
    </w:p>
    <w:p w14:paraId="640EC47D" w14:textId="7203889B" w:rsidR="00132A93" w:rsidRDefault="00746AF5" w:rsidP="00132A93">
      <w:pPr>
        <w:rPr>
          <w:lang w:val="en-GB"/>
        </w:rPr>
      </w:pPr>
      <w:r>
        <w:rPr>
          <w:lang w:val="en-GB"/>
        </w:rPr>
        <w:t xml:space="preserve">The first meta-analysis by Alikhan 2014 compared the safety and efficacy of either LMWH or unfractioned heparin (UFH) to placebo or no treatment, as well as LMWH to UFH.  </w:t>
      </w:r>
      <w:r w:rsidR="00132A93">
        <w:rPr>
          <w:lang w:val="en-GB"/>
        </w:rPr>
        <w:t>Of the three individual studies</w:t>
      </w:r>
      <w:r w:rsidR="00132A93" w:rsidRPr="00CA6A92">
        <w:rPr>
          <w:lang w:val="en-GB"/>
        </w:rPr>
        <w:t xml:space="preserve"> </w:t>
      </w:r>
      <w:r w:rsidR="00132A93">
        <w:rPr>
          <w:lang w:val="en-GB"/>
        </w:rPr>
        <w:t>included in the analysis evaluating prophylactic nadroparin, one compared nadroparin to UFH, and the other to placebo.  The third study compared nadroparin to placebo, however this study used a dose of nadroparin (7,500 anti-Xa IU) outside the dose range recommended</w:t>
      </w:r>
      <w:r w:rsidR="00311E72" w:rsidRPr="00311E72">
        <w:rPr>
          <w:lang w:val="en-GB"/>
        </w:rPr>
        <w:t xml:space="preserve"> </w:t>
      </w:r>
      <w:r w:rsidR="00311E72">
        <w:rPr>
          <w:lang w:val="en-GB"/>
        </w:rPr>
        <w:t>and is supportive only</w:t>
      </w:r>
      <w:r w:rsidR="00132A93">
        <w:rPr>
          <w:lang w:val="en-GB"/>
        </w:rPr>
        <w:t>.</w:t>
      </w:r>
    </w:p>
    <w:p w14:paraId="4B41E34C" w14:textId="7A020633" w:rsidR="00573784" w:rsidRDefault="00573784">
      <w:pPr>
        <w:rPr>
          <w:szCs w:val="22"/>
        </w:rPr>
      </w:pPr>
    </w:p>
    <w:p w14:paraId="29B1ECFB" w14:textId="36685066" w:rsidR="00B84B26" w:rsidRDefault="00B84B26" w:rsidP="00B84B26">
      <w:pPr>
        <w:rPr>
          <w:lang w:val="en-GB"/>
        </w:rPr>
      </w:pPr>
      <w:r>
        <w:rPr>
          <w:lang w:val="en-GB"/>
        </w:rPr>
        <w:t>The second meta-analysis by Dooley 2014 compared the safety and efficacy of various LMWH to either UFH or placebo.  No individual study included in the analysis directly compared one LMWH to another, however an indirect analysis using common comparators was performed.  Two of the individual trials compared nadroparin to UFH and two to placebo.  One of the placebo comparisons used</w:t>
      </w:r>
      <w:r w:rsidRPr="00145627">
        <w:rPr>
          <w:lang w:val="en-GB"/>
        </w:rPr>
        <w:t xml:space="preserve"> </w:t>
      </w:r>
      <w:r>
        <w:rPr>
          <w:lang w:val="en-GB"/>
        </w:rPr>
        <w:t xml:space="preserve">a dose of nadroparin </w:t>
      </w:r>
      <w:proofErr w:type="gramStart"/>
      <w:r>
        <w:rPr>
          <w:lang w:val="en-GB"/>
        </w:rPr>
        <w:t>(7,500 anti-Xa IU)</w:t>
      </w:r>
      <w:proofErr w:type="gramEnd"/>
      <w:r>
        <w:rPr>
          <w:lang w:val="en-GB"/>
        </w:rPr>
        <w:t xml:space="preserve"> </w:t>
      </w:r>
      <w:r w:rsidR="00975CFD">
        <w:rPr>
          <w:lang w:val="en-GB"/>
        </w:rPr>
        <w:t xml:space="preserve">which is </w:t>
      </w:r>
      <w:r>
        <w:rPr>
          <w:lang w:val="en-GB"/>
        </w:rPr>
        <w:t>outside the dose range recommended.</w:t>
      </w:r>
    </w:p>
    <w:p w14:paraId="2CD2AFE0" w14:textId="77777777" w:rsidR="00B84B26" w:rsidRDefault="00B84B26">
      <w:pPr>
        <w:rPr>
          <w:szCs w:val="22"/>
        </w:rPr>
      </w:pPr>
    </w:p>
    <w:p w14:paraId="2EAFE818" w14:textId="4277AB23" w:rsidR="00065DCA" w:rsidRDefault="00065DCA">
      <w:pPr>
        <w:rPr>
          <w:lang w:val="en-GB"/>
        </w:rPr>
      </w:pPr>
      <w:r>
        <w:rPr>
          <w:lang w:val="en-GB"/>
        </w:rPr>
        <w:t xml:space="preserve">Both </w:t>
      </w:r>
      <w:r w:rsidR="00871683">
        <w:rPr>
          <w:lang w:val="en-GB"/>
        </w:rPr>
        <w:t xml:space="preserve">meta-analyses </w:t>
      </w:r>
      <w:r>
        <w:rPr>
          <w:lang w:val="en-GB"/>
        </w:rPr>
        <w:t xml:space="preserve">used the incidence of VTE as a primary efficacy outcome.  Alikhan also reported the incidence of non fatal pulmonary embolism (PE) as a primary outcome, and Dooley, PE and mortality. Both analyses required </w:t>
      </w:r>
      <w:r w:rsidR="00A926D0">
        <w:rPr>
          <w:lang w:val="en-GB"/>
        </w:rPr>
        <w:t>deep vein thrombosis (</w:t>
      </w:r>
      <w:r>
        <w:rPr>
          <w:lang w:val="en-GB"/>
        </w:rPr>
        <w:t>DVT</w:t>
      </w:r>
      <w:r w:rsidR="00A926D0">
        <w:rPr>
          <w:lang w:val="en-GB"/>
        </w:rPr>
        <w:t>)</w:t>
      </w:r>
      <w:r>
        <w:rPr>
          <w:lang w:val="en-GB"/>
        </w:rPr>
        <w:t xml:space="preserve"> to be objectively confirmed using imaging or </w:t>
      </w:r>
      <w:proofErr w:type="spellStart"/>
      <w:r w:rsidR="00DB500E">
        <w:rPr>
          <w:lang w:val="en-GB"/>
        </w:rPr>
        <w:t>venographic</w:t>
      </w:r>
      <w:proofErr w:type="spellEnd"/>
      <w:r w:rsidR="00DB500E">
        <w:rPr>
          <w:lang w:val="en-GB"/>
        </w:rPr>
        <w:t xml:space="preserve"> </w:t>
      </w:r>
      <w:r>
        <w:rPr>
          <w:lang w:val="en-GB"/>
        </w:rPr>
        <w:t>techniques.</w:t>
      </w:r>
      <w:r w:rsidR="008B6418" w:rsidRPr="008B6418">
        <w:rPr>
          <w:lang w:val="en-GB"/>
        </w:rPr>
        <w:t xml:space="preserve"> </w:t>
      </w:r>
      <w:r w:rsidR="008B6418">
        <w:rPr>
          <w:lang w:val="en-GB"/>
        </w:rPr>
        <w:t>Both meta-analyses compared safety based on the incidence of major and minor bleeding, whilst Alikhan also evaluated the incidence of thrombocytopenia.</w:t>
      </w:r>
    </w:p>
    <w:p w14:paraId="5E13B55A" w14:textId="77777777" w:rsidR="00C63FCC" w:rsidRDefault="00C63FCC">
      <w:pPr>
        <w:rPr>
          <w:lang w:val="en-GB"/>
        </w:rPr>
      </w:pPr>
    </w:p>
    <w:p w14:paraId="56537D9B" w14:textId="77777777" w:rsidR="00C63FCC" w:rsidRDefault="00C63FCC" w:rsidP="00C63FCC">
      <w:pPr>
        <w:rPr>
          <w:lang w:val="en-GB"/>
        </w:rPr>
      </w:pPr>
      <w:r>
        <w:rPr>
          <w:lang w:val="en-GB"/>
        </w:rPr>
        <w:t>The overall conclusion from both meta-analyses was that patients treated with prophylactic LMWH generally were at a significantly lower risk of DVT, compared to those treated with UFH (OR 0.77; 95% CI 0.62 to 0.96; p=0.02), with no clear difference between LWMH and UFH with regards to the incidence of PE or death.  In addition, patients treated with LMWH have a significantly lower risk of major bleeding (OR 0.43; 95% CI 0.22 to 0.83; p=0.01) and similar risk of developing thrombocytopenia.</w:t>
      </w:r>
    </w:p>
    <w:p w14:paraId="3521374E" w14:textId="77777777" w:rsidR="00C63FCC" w:rsidRDefault="00C63FCC">
      <w:pPr>
        <w:rPr>
          <w:szCs w:val="22"/>
        </w:rPr>
      </w:pPr>
    </w:p>
    <w:p w14:paraId="0F624463" w14:textId="37FF24AD" w:rsidR="002D2284" w:rsidRDefault="002D2284" w:rsidP="002D2284">
      <w:pPr>
        <w:rPr>
          <w:lang w:val="en-GB"/>
        </w:rPr>
      </w:pPr>
      <w:r>
        <w:rPr>
          <w:lang w:val="en-GB"/>
        </w:rPr>
        <w:t xml:space="preserve">In addition to the two meta-analyses, 4 individual clinical trial publications are included in this application, in support of the efficacy of nadroparin.  Three of these trials are </w:t>
      </w:r>
      <w:r w:rsidR="00BF5C03">
        <w:rPr>
          <w:lang w:val="en-GB"/>
        </w:rPr>
        <w:t>randomised controlled trials (</w:t>
      </w:r>
      <w:r>
        <w:rPr>
          <w:lang w:val="en-GB"/>
        </w:rPr>
        <w:t>RCT</w:t>
      </w:r>
      <w:r w:rsidR="00BF5C03">
        <w:rPr>
          <w:lang w:val="en-GB"/>
        </w:rPr>
        <w:t>)</w:t>
      </w:r>
      <w:r>
        <w:rPr>
          <w:lang w:val="en-GB"/>
        </w:rPr>
        <w:t>, while the remaining report summarises the outcome of an uncontrolled, prospective time series study.  A total of 4,774 patients were administered nadroparin during these trials.  The patients recruited into these trials were all over 40 years of age.</w:t>
      </w:r>
    </w:p>
    <w:p w14:paraId="6EE0752A" w14:textId="77777777" w:rsidR="002D2284" w:rsidRDefault="002D2284" w:rsidP="002D2284">
      <w:pPr>
        <w:rPr>
          <w:lang w:val="en-GB"/>
        </w:rPr>
      </w:pPr>
    </w:p>
    <w:p w14:paraId="7C38850F" w14:textId="07092CFB" w:rsidR="0048108C" w:rsidRDefault="002D2284" w:rsidP="002D2284">
      <w:pPr>
        <w:rPr>
          <w:lang w:val="en-GB"/>
        </w:rPr>
      </w:pPr>
      <w:r>
        <w:rPr>
          <w:lang w:val="en-GB"/>
        </w:rPr>
        <w:t>Two of the RCTs (Fraisse 2000 and Luba 2007) administered prophylactic nadroparin according to patient weight, consistent with the dosage recommendations (&lt; 70 kg, 3800 anti-Xa IU and &gt; 70 kg, 5700 anti-Xa IU).</w:t>
      </w:r>
    </w:p>
    <w:p w14:paraId="2F4DB76B" w14:textId="77777777" w:rsidR="0048108C" w:rsidRDefault="0048108C" w:rsidP="002D2284">
      <w:pPr>
        <w:rPr>
          <w:lang w:val="en-GB"/>
        </w:rPr>
      </w:pPr>
    </w:p>
    <w:p w14:paraId="50199826" w14:textId="03ED2DAB" w:rsidR="00A2260A" w:rsidRPr="0040210A" w:rsidRDefault="002D2284" w:rsidP="00DF11BE">
      <w:pPr>
        <w:rPr>
          <w:lang w:val="en-GB"/>
        </w:rPr>
      </w:pPr>
      <w:proofErr w:type="spellStart"/>
      <w:r>
        <w:rPr>
          <w:lang w:val="en-GB"/>
        </w:rPr>
        <w:t>Fraisse</w:t>
      </w:r>
      <w:proofErr w:type="spellEnd"/>
      <w:r>
        <w:rPr>
          <w:lang w:val="en-GB"/>
        </w:rPr>
        <w:t xml:space="preserve"> recruited </w:t>
      </w:r>
      <w:r w:rsidR="008C0379">
        <w:rPr>
          <w:lang w:val="en-GB"/>
        </w:rPr>
        <w:t xml:space="preserve">223 </w:t>
      </w:r>
      <w:r>
        <w:rPr>
          <w:lang w:val="en-GB"/>
        </w:rPr>
        <w:t>patients with acute, decompensated COPD requiring mechanical respiration.</w:t>
      </w:r>
      <w:r w:rsidR="00871683">
        <w:rPr>
          <w:lang w:val="en-GB"/>
        </w:rPr>
        <w:t xml:space="preserve"> Patients with stroke and MI were excluded.</w:t>
      </w:r>
      <w:r>
        <w:rPr>
          <w:lang w:val="en-GB"/>
        </w:rPr>
        <w:t xml:space="preserve">  </w:t>
      </w:r>
      <w:r w:rsidR="007D5ADE">
        <w:t xml:space="preserve">Most patients (74%) exhibited at least one concomitant factor associated with an increased risk of thromboembolism, including </w:t>
      </w:r>
      <w:r w:rsidR="009E789D">
        <w:t>chronic heart failure, venous insufficiency, obesity and cancer.</w:t>
      </w:r>
      <w:r w:rsidR="007D5ADE">
        <w:rPr>
          <w:lang w:val="en-GB"/>
        </w:rPr>
        <w:t xml:space="preserve"> </w:t>
      </w:r>
      <w:r>
        <w:rPr>
          <w:lang w:val="en-GB"/>
        </w:rPr>
        <w:t xml:space="preserve">The mean age of participants was 66.8 years in the nadroparin group and 69.4 years in the placebo control.  </w:t>
      </w:r>
      <w:r w:rsidR="009A6D2E">
        <w:rPr>
          <w:lang w:val="en-GB"/>
        </w:rPr>
        <w:t xml:space="preserve">The </w:t>
      </w:r>
      <w:r w:rsidR="009A6D2E">
        <w:t>mean duration of treatment was 11 days.</w:t>
      </w:r>
      <w:r w:rsidR="009A6D2E">
        <w:rPr>
          <w:lang w:val="en-GB"/>
        </w:rPr>
        <w:t xml:space="preserve"> </w:t>
      </w:r>
      <w:r>
        <w:rPr>
          <w:lang w:val="en-GB"/>
        </w:rPr>
        <w:t>The primary efficacy outcome was the incidence of DVT.</w:t>
      </w:r>
      <w:r w:rsidR="00A033DD">
        <w:rPr>
          <w:lang w:val="en-GB"/>
        </w:rPr>
        <w:t xml:space="preserve"> </w:t>
      </w:r>
      <w:r w:rsidR="00237BE9">
        <w:t>The safety criteria of this study included haemorrhage (major or minor) and severe thrombocytopenia.</w:t>
      </w:r>
    </w:p>
    <w:p w14:paraId="19F5FF01" w14:textId="77777777" w:rsidR="00A2260A" w:rsidRPr="00DB500E" w:rsidRDefault="00A2260A" w:rsidP="00DF11BE">
      <w:pPr>
        <w:rPr>
          <w:lang w:val="en-GB"/>
        </w:rPr>
      </w:pPr>
      <w:r w:rsidRPr="00DB500E">
        <w:rPr>
          <w:rFonts w:cs="Arial"/>
          <w:szCs w:val="22"/>
          <w:lang w:val="en-GB"/>
        </w:rPr>
        <w:t xml:space="preserve">High risk patients treated with </w:t>
      </w:r>
      <w:proofErr w:type="spellStart"/>
      <w:r w:rsidRPr="00DB500E">
        <w:rPr>
          <w:rFonts w:cs="Arial"/>
          <w:szCs w:val="22"/>
          <w:lang w:val="en-GB"/>
        </w:rPr>
        <w:t>nadroparin</w:t>
      </w:r>
      <w:proofErr w:type="spellEnd"/>
      <w:r w:rsidRPr="00DB500E">
        <w:rPr>
          <w:rFonts w:cs="Arial"/>
          <w:szCs w:val="22"/>
          <w:lang w:val="en-GB"/>
        </w:rPr>
        <w:t xml:space="preserve"> prophylaxis had a significantly lower (45%) incidence of DVT compared to placebo. </w:t>
      </w:r>
      <w:r>
        <w:t xml:space="preserve"> </w:t>
      </w:r>
    </w:p>
    <w:p w14:paraId="6677B8B6" w14:textId="77777777" w:rsidR="00A2260A" w:rsidRPr="0040210A" w:rsidRDefault="00A2260A" w:rsidP="0040210A">
      <w:pPr>
        <w:ind w:left="720"/>
        <w:rPr>
          <w:lang w:val="en-GB"/>
        </w:rPr>
      </w:pPr>
    </w:p>
    <w:p w14:paraId="3B7AB1E1" w14:textId="101057AF" w:rsidR="005C5954" w:rsidRPr="005C5954" w:rsidRDefault="005C5954" w:rsidP="00DF11BE">
      <w:pPr>
        <w:rPr>
          <w:lang w:val="en-GB"/>
        </w:rPr>
      </w:pPr>
      <w:r>
        <w:t xml:space="preserve"> </w:t>
      </w:r>
      <w:r w:rsidRPr="005C5954">
        <w:rPr>
          <w:lang w:val="en-GB"/>
        </w:rPr>
        <w:t xml:space="preserve">The overall incidence of adverse events reported by patients treated with </w:t>
      </w:r>
      <w:proofErr w:type="spellStart"/>
      <w:r w:rsidRPr="005C5954">
        <w:rPr>
          <w:lang w:val="en-GB"/>
        </w:rPr>
        <w:t>nadroparin</w:t>
      </w:r>
      <w:proofErr w:type="spellEnd"/>
      <w:r w:rsidRPr="005C5954">
        <w:rPr>
          <w:lang w:val="en-GB"/>
        </w:rPr>
        <w:t xml:space="preserve"> </w:t>
      </w:r>
      <w:r>
        <w:rPr>
          <w:lang w:val="en-GB"/>
        </w:rPr>
        <w:t>wa</w:t>
      </w:r>
      <w:r w:rsidRPr="005C5954">
        <w:rPr>
          <w:lang w:val="en-GB"/>
        </w:rPr>
        <w:t>s not sig</w:t>
      </w:r>
      <w:r>
        <w:rPr>
          <w:lang w:val="en-GB"/>
        </w:rPr>
        <w:t xml:space="preserve">nificantly different to placebo </w:t>
      </w:r>
      <w:r w:rsidRPr="005C5954">
        <w:t>(46.3</w:t>
      </w:r>
      <w:r w:rsidR="00DB500E">
        <w:t>%</w:t>
      </w:r>
      <w:r w:rsidRPr="005C5954">
        <w:t xml:space="preserve"> versus 39.8%; p= </w:t>
      </w:r>
      <w:r w:rsidR="00B012AB" w:rsidRPr="005C5954">
        <w:t>0.33)</w:t>
      </w:r>
      <w:r>
        <w:t>.</w:t>
      </w:r>
      <w:r w:rsidR="00B012AB">
        <w:t xml:space="preserve"> </w:t>
      </w:r>
    </w:p>
    <w:p w14:paraId="1AA1BA98" w14:textId="76FCE4C1" w:rsidR="005507B7" w:rsidRDefault="005507B7" w:rsidP="002D2284"/>
    <w:p w14:paraId="257EA844" w14:textId="77777777" w:rsidR="009E789D" w:rsidRDefault="009E789D" w:rsidP="002D2284">
      <w:pPr>
        <w:rPr>
          <w:lang w:val="en-GB"/>
        </w:rPr>
      </w:pPr>
    </w:p>
    <w:p w14:paraId="55809422" w14:textId="69BC67CC" w:rsidR="00D31541" w:rsidRDefault="009E789D" w:rsidP="00D31541">
      <w:r>
        <w:rPr>
          <w:lang w:val="en-GB"/>
        </w:rPr>
        <w:t xml:space="preserve">Luba recruited </w:t>
      </w:r>
      <w:r w:rsidR="008C0379">
        <w:rPr>
          <w:lang w:val="en-GB"/>
        </w:rPr>
        <w:t xml:space="preserve">300 patients who were hospitalised for a medical condition, with an expected duration of immobility of at least 3 days. </w:t>
      </w:r>
      <w:r w:rsidR="002B3B87">
        <w:rPr>
          <w:lang w:val="en-GB"/>
        </w:rPr>
        <w:t xml:space="preserve">They were randomised to receive either short or long duration of nadroparin prophylaxis. </w:t>
      </w:r>
      <w:r w:rsidR="00132A80">
        <w:t xml:space="preserve">The mean duration of nadroparin thromboprophylaxis in short duration group was 5.1 days and 14.5 days in longer duration group. </w:t>
      </w:r>
      <w:r w:rsidR="002B3B87">
        <w:rPr>
          <w:lang w:val="en-GB"/>
        </w:rPr>
        <w:t>The main reasons for immobilisation w</w:t>
      </w:r>
      <w:r w:rsidR="001716E7">
        <w:rPr>
          <w:lang w:val="en-GB"/>
        </w:rPr>
        <w:t>ere</w:t>
      </w:r>
      <w:r w:rsidR="002B3B87">
        <w:rPr>
          <w:lang w:val="en-GB"/>
        </w:rPr>
        <w:t xml:space="preserve"> severe respiratory disease, heart failure or stroke</w:t>
      </w:r>
      <w:r w:rsidR="00132A80">
        <w:rPr>
          <w:lang w:val="en-GB"/>
        </w:rPr>
        <w:t xml:space="preserve"> (91.6% of patients in total)</w:t>
      </w:r>
      <w:r w:rsidR="002B3B87">
        <w:rPr>
          <w:lang w:val="en-GB"/>
        </w:rPr>
        <w:t>.  Around 62% of participants were over 70 years of age.</w:t>
      </w:r>
      <w:r w:rsidR="00253097" w:rsidRPr="00253097">
        <w:rPr>
          <w:lang w:val="en-GB"/>
        </w:rPr>
        <w:t xml:space="preserve"> </w:t>
      </w:r>
      <w:r w:rsidR="00253097">
        <w:rPr>
          <w:lang w:val="en-GB"/>
        </w:rPr>
        <w:t xml:space="preserve">The primary efficacy outcome was the incidence of DVT. </w:t>
      </w:r>
      <w:r w:rsidR="00D31541">
        <w:t xml:space="preserve">The safety was assessed based on the bleeding complications, thrombocytopenia, and local skin reactions. </w:t>
      </w:r>
      <w:r w:rsidR="005602E9">
        <w:t xml:space="preserve">At the 3 month post treatment follow up, patients receiving longer courses of </w:t>
      </w:r>
      <w:proofErr w:type="spellStart"/>
      <w:r w:rsidR="005602E9">
        <w:t>nadroparin</w:t>
      </w:r>
      <w:proofErr w:type="spellEnd"/>
      <w:r w:rsidR="005602E9">
        <w:t xml:space="preserve"> recorded fewer (5) incidences of DVT compared to those receiving a short course (10).</w:t>
      </w:r>
    </w:p>
    <w:p w14:paraId="2B651F35" w14:textId="77777777" w:rsidR="000F1D20" w:rsidRDefault="000F1D20" w:rsidP="002D2284">
      <w:pPr>
        <w:rPr>
          <w:lang w:val="en-GB"/>
        </w:rPr>
      </w:pPr>
    </w:p>
    <w:p w14:paraId="355ECFA8" w14:textId="7BE6E69B" w:rsidR="00A2260A" w:rsidRPr="000432EC" w:rsidRDefault="00BF5C03" w:rsidP="00DF11BE">
      <w:pPr>
        <w:rPr>
          <w:lang w:val="en-GB"/>
        </w:rPr>
      </w:pPr>
      <w:r w:rsidRPr="007A4787">
        <w:rPr>
          <w:lang w:val="en-GB"/>
        </w:rPr>
        <w:t xml:space="preserve">The third RCT by </w:t>
      </w:r>
      <w:proofErr w:type="spellStart"/>
      <w:r w:rsidRPr="007A4787">
        <w:rPr>
          <w:lang w:val="en-GB"/>
        </w:rPr>
        <w:t>Harenberg</w:t>
      </w:r>
      <w:proofErr w:type="spellEnd"/>
      <w:r w:rsidRPr="007A4787">
        <w:rPr>
          <w:lang w:val="en-GB"/>
        </w:rPr>
        <w:t xml:space="preserve"> 1996 compared prophylactic nadroparin to </w:t>
      </w:r>
      <w:r w:rsidR="00D4557A" w:rsidRPr="007A4787">
        <w:rPr>
          <w:lang w:val="en-GB"/>
        </w:rPr>
        <w:t xml:space="preserve">low dose </w:t>
      </w:r>
      <w:r w:rsidRPr="007A4787">
        <w:rPr>
          <w:lang w:val="en-GB"/>
        </w:rPr>
        <w:t xml:space="preserve">UFH </w:t>
      </w:r>
      <w:r w:rsidR="00D4557A" w:rsidRPr="007A4787">
        <w:rPr>
          <w:lang w:val="en-GB"/>
        </w:rPr>
        <w:t xml:space="preserve">in </w:t>
      </w:r>
      <w:r w:rsidR="00231A20" w:rsidRPr="007A4787">
        <w:rPr>
          <w:lang w:val="en-GB"/>
        </w:rPr>
        <w:t xml:space="preserve">1,968 </w:t>
      </w:r>
      <w:r w:rsidR="00607260" w:rsidRPr="007A4787">
        <w:rPr>
          <w:lang w:val="en-GB"/>
        </w:rPr>
        <w:t xml:space="preserve">medical </w:t>
      </w:r>
      <w:r w:rsidR="00D4557A">
        <w:t xml:space="preserve">patients aged 50-80 years, </w:t>
      </w:r>
      <w:r w:rsidR="00607260">
        <w:t xml:space="preserve">with an </w:t>
      </w:r>
      <w:r w:rsidR="00D4557A">
        <w:t xml:space="preserve">expected duration of bed rest and hospital stay &gt;10 days and an indication for prophylaxis of thromboembolism. </w:t>
      </w:r>
      <w:r w:rsidR="005A0F8B">
        <w:t xml:space="preserve">The LMWH group received nadroparin 0.3mL (3100 anti-Xa IU) and 2 placebo injections per day. The other group received calcium heparin 5000 IU three times a day. Treatment was administered every 8 hours for 10 days. </w:t>
      </w:r>
      <w:r w:rsidR="00607804">
        <w:t>The mean age of patients treated with nadroparin was 70.5 ±</w:t>
      </w:r>
      <w:r w:rsidR="00A926D0">
        <w:t xml:space="preserve"> </w:t>
      </w:r>
      <w:r w:rsidR="00607804">
        <w:t xml:space="preserve">8.3 years, with 57.5% being female.  </w:t>
      </w:r>
      <w:r w:rsidR="00D4557A">
        <w:t xml:space="preserve">Patients </w:t>
      </w:r>
      <w:r w:rsidR="00607260">
        <w:t>had</w:t>
      </w:r>
      <w:r w:rsidR="00D4557A">
        <w:t xml:space="preserve"> one or more risk factors for </w:t>
      </w:r>
      <w:r w:rsidR="00607260">
        <w:t xml:space="preserve">the </w:t>
      </w:r>
      <w:r w:rsidR="00D4557A">
        <w:t xml:space="preserve">development </w:t>
      </w:r>
      <w:r w:rsidR="00607260">
        <w:t xml:space="preserve">of </w:t>
      </w:r>
      <w:r w:rsidR="00D4557A">
        <w:t>thrombosis, such as obesity, varicos</w:t>
      </w:r>
      <w:r w:rsidR="001716E7">
        <w:t>e</w:t>
      </w:r>
      <w:r w:rsidR="00D4557A">
        <w:t xml:space="preserve">s, chronic venous insufficiency, post-thrombotic syndrome, oral contraception or estrogen, thrombocytosis or hyperviscosity syndrome, previous myocardial infarction, thrombotic cerebral infarction or peripheral arterial ischaemia. </w:t>
      </w:r>
      <w:r w:rsidR="00607260">
        <w:t xml:space="preserve">Overall, </w:t>
      </w:r>
      <w:r w:rsidR="00D04023">
        <w:t xml:space="preserve">15% of patients had experienced a previous stroke, 15% a previous myocardial infarction and 43% </w:t>
      </w:r>
      <w:r w:rsidR="00607260">
        <w:t>were diagnosed with</w:t>
      </w:r>
      <w:r w:rsidR="00D04023">
        <w:t xml:space="preserve"> some degree of cardiac insufficiency.</w:t>
      </w:r>
      <w:r w:rsidR="00566844" w:rsidRPr="00566844">
        <w:t xml:space="preserve"> </w:t>
      </w:r>
      <w:r w:rsidR="00566844">
        <w:t>The primary endpoints were proximal DVT of the lower limbs and/or PE, or asymptomatic proximal DVT detected by compression sonography.</w:t>
      </w:r>
      <w:r w:rsidR="00F01F0F">
        <w:t xml:space="preserve">  </w:t>
      </w:r>
      <w:r w:rsidR="00A2260A">
        <w:t xml:space="preserve">Four patients </w:t>
      </w:r>
      <w:proofErr w:type="gramStart"/>
      <w:r w:rsidR="00A2260A">
        <w:t>treated  with</w:t>
      </w:r>
      <w:proofErr w:type="gramEnd"/>
      <w:r w:rsidR="00A2260A">
        <w:t xml:space="preserve"> UFH and 6 treated with </w:t>
      </w:r>
      <w:proofErr w:type="spellStart"/>
      <w:r w:rsidR="00A2260A">
        <w:t>nadroparin</w:t>
      </w:r>
      <w:proofErr w:type="spellEnd"/>
      <w:r w:rsidR="00A2260A">
        <w:t xml:space="preserve"> developed a </w:t>
      </w:r>
      <w:r w:rsidR="00DB500E">
        <w:t>DVT</w:t>
      </w:r>
      <w:r w:rsidR="00A2260A">
        <w:t>, demonstrating equivalence of treatments (p = 0.012).</w:t>
      </w:r>
    </w:p>
    <w:p w14:paraId="01A74A10" w14:textId="4234F306" w:rsidR="002D2AD9" w:rsidRDefault="00FB53BD" w:rsidP="00DF11BE">
      <w:pPr>
        <w:rPr>
          <w:lang w:val="en-GB"/>
        </w:rPr>
      </w:pPr>
      <w:r>
        <w:t>The main safety endpoints were major and minor haemorrhage, other bleeding complications and a number of haematomas</w:t>
      </w:r>
      <w:r w:rsidR="0048108C">
        <w:t>.</w:t>
      </w:r>
      <w:r>
        <w:t xml:space="preserve"> </w:t>
      </w:r>
      <w:r w:rsidR="002D2AD9" w:rsidRPr="002D2AD9">
        <w:rPr>
          <w:lang w:val="en-GB"/>
        </w:rPr>
        <w:t xml:space="preserve">The incidence of major and minor bleeding </w:t>
      </w:r>
      <w:r w:rsidR="002D2AD9">
        <w:rPr>
          <w:lang w:val="en-GB"/>
        </w:rPr>
        <w:t>wa</w:t>
      </w:r>
      <w:r w:rsidR="002D2AD9" w:rsidRPr="002D2AD9">
        <w:rPr>
          <w:lang w:val="en-GB"/>
        </w:rPr>
        <w:t xml:space="preserve">s no different between patients treated with </w:t>
      </w:r>
      <w:proofErr w:type="spellStart"/>
      <w:r w:rsidR="002D2AD9" w:rsidRPr="002D2AD9">
        <w:rPr>
          <w:lang w:val="en-GB"/>
        </w:rPr>
        <w:t>nadroparin</w:t>
      </w:r>
      <w:proofErr w:type="spellEnd"/>
      <w:r w:rsidR="002D2AD9" w:rsidRPr="002D2AD9">
        <w:rPr>
          <w:lang w:val="en-GB"/>
        </w:rPr>
        <w:t xml:space="preserve"> or UFH.  There is some evidence that the incidence of thrombocytopenia may be less with </w:t>
      </w:r>
      <w:proofErr w:type="spellStart"/>
      <w:r w:rsidR="002D2AD9" w:rsidRPr="002D2AD9">
        <w:rPr>
          <w:lang w:val="en-GB"/>
        </w:rPr>
        <w:t>nadroparin</w:t>
      </w:r>
      <w:proofErr w:type="spellEnd"/>
      <w:r w:rsidR="002D2AD9" w:rsidRPr="002D2AD9">
        <w:rPr>
          <w:lang w:val="en-GB"/>
        </w:rPr>
        <w:t>.</w:t>
      </w:r>
    </w:p>
    <w:p w14:paraId="4A81AD8D" w14:textId="1280B0C7" w:rsidR="0008342F" w:rsidRPr="002D2AD9" w:rsidRDefault="0008342F" w:rsidP="00DF11BE">
      <w:pPr>
        <w:rPr>
          <w:lang w:val="en-GB"/>
        </w:rPr>
      </w:pPr>
      <w:r w:rsidRPr="0008342F">
        <w:rPr>
          <w:lang w:val="en-GB"/>
        </w:rPr>
        <w:t>The incidence of injection site haematoma and erythema</w:t>
      </w:r>
      <w:r>
        <w:rPr>
          <w:lang w:val="en-GB"/>
        </w:rPr>
        <w:t xml:space="preserve"> also</w:t>
      </w:r>
      <w:r w:rsidRPr="0008342F">
        <w:rPr>
          <w:lang w:val="en-GB"/>
        </w:rPr>
        <w:t xml:space="preserve"> appears to be lower for </w:t>
      </w:r>
      <w:proofErr w:type="spellStart"/>
      <w:r w:rsidRPr="0008342F">
        <w:rPr>
          <w:lang w:val="en-GB"/>
        </w:rPr>
        <w:t>nadroparin</w:t>
      </w:r>
      <w:proofErr w:type="spellEnd"/>
      <w:r w:rsidRPr="0008342F">
        <w:rPr>
          <w:lang w:val="en-GB"/>
        </w:rPr>
        <w:t xml:space="preserve"> compared to UFH</w:t>
      </w:r>
    </w:p>
    <w:p w14:paraId="5306B3CA" w14:textId="6429BEEB" w:rsidR="000F1D20" w:rsidRPr="007A4787" w:rsidRDefault="00F01F0F" w:rsidP="00DF11BE">
      <w:pPr>
        <w:rPr>
          <w:lang w:val="en-GB"/>
        </w:rPr>
      </w:pPr>
      <w:r>
        <w:t xml:space="preserve">The dose of </w:t>
      </w:r>
      <w:proofErr w:type="spellStart"/>
      <w:r>
        <w:t>nadroparin</w:t>
      </w:r>
      <w:proofErr w:type="spellEnd"/>
      <w:r>
        <w:t xml:space="preserve"> </w:t>
      </w:r>
      <w:r w:rsidRPr="007A4787">
        <w:rPr>
          <w:lang w:val="en-GB"/>
        </w:rPr>
        <w:t>(3100 anti-</w:t>
      </w:r>
      <w:proofErr w:type="spellStart"/>
      <w:r w:rsidRPr="007A4787">
        <w:rPr>
          <w:lang w:val="en-GB"/>
        </w:rPr>
        <w:t>Xa</w:t>
      </w:r>
      <w:proofErr w:type="spellEnd"/>
      <w:r w:rsidRPr="007A4787">
        <w:rPr>
          <w:lang w:val="en-GB"/>
        </w:rPr>
        <w:t xml:space="preserve"> IU) administered to the patients was lower than the dose recommended</w:t>
      </w:r>
      <w:r w:rsidR="009F0FF1" w:rsidRPr="007A4787">
        <w:rPr>
          <w:lang w:val="en-GB"/>
        </w:rPr>
        <w:t xml:space="preserve"> for this indication</w:t>
      </w:r>
      <w:r w:rsidRPr="007A4787">
        <w:rPr>
          <w:lang w:val="en-GB"/>
        </w:rPr>
        <w:t>.</w:t>
      </w:r>
      <w:r w:rsidR="000F1D20" w:rsidRPr="007A4787">
        <w:rPr>
          <w:lang w:val="en-GB"/>
        </w:rPr>
        <w:t xml:space="preserve"> Results showed that </w:t>
      </w:r>
      <w:r w:rsidR="000F1D20" w:rsidRPr="007A4787">
        <w:rPr>
          <w:rFonts w:cs="Arial"/>
          <w:szCs w:val="22"/>
          <w:lang w:val="en-GB"/>
        </w:rPr>
        <w:t xml:space="preserve">once daily </w:t>
      </w:r>
      <w:proofErr w:type="spellStart"/>
      <w:r w:rsidR="000F1D20" w:rsidRPr="007A4787">
        <w:rPr>
          <w:rFonts w:cs="Arial"/>
          <w:szCs w:val="22"/>
          <w:lang w:val="en-GB"/>
        </w:rPr>
        <w:t>nadroparin</w:t>
      </w:r>
      <w:proofErr w:type="spellEnd"/>
      <w:r w:rsidR="000F1D20" w:rsidRPr="007A4787">
        <w:rPr>
          <w:rFonts w:cs="Arial"/>
          <w:szCs w:val="22"/>
          <w:lang w:val="en-GB"/>
        </w:rPr>
        <w:t xml:space="preserve"> is as effective as UFH three times daily in preventing DVT and PE.</w:t>
      </w:r>
    </w:p>
    <w:p w14:paraId="1D2FEF94" w14:textId="77777777" w:rsidR="000F1D20" w:rsidRDefault="000F1D20" w:rsidP="005A0F8B"/>
    <w:p w14:paraId="3E08C160" w14:textId="77777777" w:rsidR="00607260" w:rsidRDefault="00607260" w:rsidP="002D2284"/>
    <w:p w14:paraId="2AAB16AB" w14:textId="5936A098" w:rsidR="007A4787" w:rsidRDefault="007A4787" w:rsidP="002D2284">
      <w:r w:rsidRPr="00617C50">
        <w:t xml:space="preserve">Based on a prospective observational study of almost 25,000 patients hospitalised for a range of acute medical conditions, </w:t>
      </w:r>
      <w:proofErr w:type="spellStart"/>
      <w:r w:rsidRPr="00617C50">
        <w:t>Pottier</w:t>
      </w:r>
      <w:proofErr w:type="spellEnd"/>
      <w:r w:rsidRPr="00617C50">
        <w:t xml:space="preserve"> 2000 </w:t>
      </w:r>
      <w:proofErr w:type="gramStart"/>
      <w:r w:rsidR="008166AA">
        <w:t xml:space="preserve">estimated </w:t>
      </w:r>
      <w:r w:rsidRPr="00617C50">
        <w:t xml:space="preserve"> that</w:t>
      </w:r>
      <w:proofErr w:type="gramEnd"/>
      <w:r w:rsidRPr="00617C50">
        <w:t>, while the overall incidence of venous thrombosis in these patients w</w:t>
      </w:r>
      <w:r w:rsidR="00E04BE2" w:rsidRPr="00617C50">
        <w:t xml:space="preserve">as low, prophylactic </w:t>
      </w:r>
      <w:proofErr w:type="spellStart"/>
      <w:r w:rsidR="00E04BE2" w:rsidRPr="00617C50">
        <w:t>nadroparin</w:t>
      </w:r>
      <w:proofErr w:type="spellEnd"/>
      <w:r w:rsidRPr="00617C50">
        <w:t xml:space="preserve"> reduced the risk of venous thrombosis in high to moderate risk patients.</w:t>
      </w:r>
    </w:p>
    <w:p w14:paraId="4D7EAA90" w14:textId="77777777" w:rsidR="002D2284" w:rsidRDefault="002D2284">
      <w:pPr>
        <w:rPr>
          <w:szCs w:val="22"/>
        </w:rPr>
      </w:pPr>
    </w:p>
    <w:p w14:paraId="726F3A26" w14:textId="77777777" w:rsidR="003F3C3B" w:rsidRPr="00462BA9" w:rsidRDefault="003F3C3B" w:rsidP="00307EE7">
      <w:pPr>
        <w:pStyle w:val="Heading1"/>
        <w:rPr>
          <w:szCs w:val="22"/>
        </w:rPr>
      </w:pPr>
      <w:r w:rsidRPr="00462BA9">
        <w:rPr>
          <w:szCs w:val="22"/>
        </w:rPr>
        <w:t>INDICATIONS</w:t>
      </w:r>
    </w:p>
    <w:p w14:paraId="3016B3D3" w14:textId="77777777" w:rsidR="003F3C3B" w:rsidRPr="00462BA9" w:rsidRDefault="003F3C3B" w:rsidP="00311E72">
      <w:pPr>
        <w:keepNext/>
        <w:rPr>
          <w:szCs w:val="22"/>
        </w:rPr>
      </w:pPr>
    </w:p>
    <w:p w14:paraId="71FD6E68" w14:textId="77777777" w:rsidR="0067008B" w:rsidRDefault="003F3C3B" w:rsidP="00311E72">
      <w:pPr>
        <w:keepNext/>
        <w:rPr>
          <w:szCs w:val="22"/>
        </w:rPr>
      </w:pPr>
      <w:r w:rsidRPr="00462BA9">
        <w:rPr>
          <w:szCs w:val="22"/>
        </w:rPr>
        <w:t xml:space="preserve">Prophylaxis against deep vein thrombosis (DVT) associated with general or orthopaedic surgery.  Treatment of DVT. </w:t>
      </w:r>
    </w:p>
    <w:p w14:paraId="228173EF" w14:textId="77777777" w:rsidR="003F3C3B" w:rsidRPr="00462BA9" w:rsidRDefault="003F3C3B">
      <w:pPr>
        <w:rPr>
          <w:szCs w:val="22"/>
        </w:rPr>
      </w:pPr>
      <w:r w:rsidRPr="00462BA9">
        <w:rPr>
          <w:szCs w:val="22"/>
        </w:rPr>
        <w:t>Prevention of clotting during haemodialysis.</w:t>
      </w:r>
    </w:p>
    <w:p w14:paraId="54A51E80" w14:textId="26D42DA1" w:rsidR="00F65A19" w:rsidRDefault="001B1F86" w:rsidP="00230192">
      <w:pPr>
        <w:rPr>
          <w:iCs/>
          <w:szCs w:val="22"/>
        </w:rPr>
      </w:pPr>
      <w:proofErr w:type="gramStart"/>
      <w:r w:rsidRPr="001B1F86">
        <w:rPr>
          <w:iCs/>
          <w:szCs w:val="22"/>
        </w:rPr>
        <w:t>Prophylaxis of venous thromboembolism in high-risk medical patients who are immobilised due to acute illness or hospitalised in an intensive care unit.</w:t>
      </w:r>
      <w:proofErr w:type="gramEnd"/>
    </w:p>
    <w:p w14:paraId="786EF1FA" w14:textId="77777777" w:rsidR="00F65A19" w:rsidRDefault="00F65A19" w:rsidP="00230192">
      <w:pPr>
        <w:rPr>
          <w:iCs/>
          <w:szCs w:val="22"/>
        </w:rPr>
      </w:pPr>
    </w:p>
    <w:p w14:paraId="0C5A21C2" w14:textId="02F86696" w:rsidR="00230192" w:rsidRDefault="00230192" w:rsidP="00230192">
      <w:pPr>
        <w:rPr>
          <w:iCs/>
          <w:szCs w:val="22"/>
        </w:rPr>
      </w:pPr>
    </w:p>
    <w:p w14:paraId="22A21A38" w14:textId="78CDB9CF" w:rsidR="003F3C3B" w:rsidRPr="00230192" w:rsidRDefault="003F3C3B" w:rsidP="00230192">
      <w:pPr>
        <w:rPr>
          <w:b/>
          <w:szCs w:val="22"/>
        </w:rPr>
      </w:pPr>
      <w:r w:rsidRPr="00230192">
        <w:rPr>
          <w:b/>
        </w:rPr>
        <w:t>CONTRAINDICATIONS</w:t>
      </w:r>
    </w:p>
    <w:p w14:paraId="3FD48E64" w14:textId="77777777" w:rsidR="003F3C3B" w:rsidRPr="005D2531" w:rsidRDefault="003F3C3B"/>
    <w:p w14:paraId="58676712" w14:textId="77777777" w:rsidR="00283559" w:rsidRDefault="00283559" w:rsidP="00283559">
      <w:r>
        <w:t>Fraxiparine is contraindicated</w:t>
      </w:r>
      <w:r w:rsidR="002F024B">
        <w:t xml:space="preserve"> in patients:</w:t>
      </w:r>
    </w:p>
    <w:p w14:paraId="11EA0817" w14:textId="77777777" w:rsidR="00283559" w:rsidRDefault="00283559" w:rsidP="00283559"/>
    <w:p w14:paraId="5A451912" w14:textId="77777777" w:rsidR="00005432" w:rsidRDefault="00283559" w:rsidP="00005432">
      <w:pPr>
        <w:pStyle w:val="ListBullet"/>
        <w:numPr>
          <w:ilvl w:val="0"/>
          <w:numId w:val="26"/>
        </w:numPr>
        <w:spacing w:after="0"/>
        <w:ind w:left="426"/>
        <w:rPr>
          <w:i w:val="0"/>
        </w:rPr>
      </w:pPr>
      <w:r w:rsidRPr="00C153EF">
        <w:rPr>
          <w:i w:val="0"/>
        </w:rPr>
        <w:t xml:space="preserve">hypersensitive to nadroparin, or any </w:t>
      </w:r>
      <w:r w:rsidR="002F024B" w:rsidRPr="00C153EF">
        <w:rPr>
          <w:i w:val="0"/>
        </w:rPr>
        <w:t xml:space="preserve">of the </w:t>
      </w:r>
      <w:r w:rsidRPr="00C153EF">
        <w:rPr>
          <w:i w:val="0"/>
        </w:rPr>
        <w:t>excipients of nadroparin injections</w:t>
      </w:r>
      <w:r w:rsidR="00BB42A8">
        <w:rPr>
          <w:i w:val="0"/>
        </w:rPr>
        <w:t>.</w:t>
      </w:r>
    </w:p>
    <w:p w14:paraId="27DFA2A7" w14:textId="77777777" w:rsidR="00005432" w:rsidRDefault="00283559" w:rsidP="00005432">
      <w:pPr>
        <w:pStyle w:val="ListBullet"/>
        <w:numPr>
          <w:ilvl w:val="0"/>
          <w:numId w:val="26"/>
        </w:numPr>
        <w:spacing w:after="0"/>
        <w:ind w:left="426"/>
        <w:rPr>
          <w:i w:val="0"/>
        </w:rPr>
      </w:pPr>
      <w:r w:rsidRPr="00C153EF">
        <w:rPr>
          <w:i w:val="0"/>
        </w:rPr>
        <w:t>with a history of thrombocytopenia with nadroparin (</w:t>
      </w:r>
      <w:r w:rsidR="00FC1B0E" w:rsidRPr="00C153EF">
        <w:rPr>
          <w:i w:val="0"/>
        </w:rPr>
        <w:t xml:space="preserve">see </w:t>
      </w:r>
      <w:r w:rsidRPr="00C153EF">
        <w:rPr>
          <w:i w:val="0"/>
        </w:rPr>
        <w:t>PRECAUTIONS).</w:t>
      </w:r>
    </w:p>
    <w:p w14:paraId="496FB5B6" w14:textId="77777777" w:rsidR="00005432" w:rsidRDefault="00283559" w:rsidP="00005432">
      <w:pPr>
        <w:pStyle w:val="ListBullet"/>
        <w:numPr>
          <w:ilvl w:val="0"/>
          <w:numId w:val="26"/>
        </w:numPr>
        <w:spacing w:after="0"/>
        <w:ind w:left="426"/>
        <w:rPr>
          <w:i w:val="0"/>
        </w:rPr>
      </w:pPr>
      <w:r w:rsidRPr="00C153EF">
        <w:rPr>
          <w:i w:val="0"/>
        </w:rPr>
        <w:t>with an increased risk of haemorrhage including those with bleeding disorders (except for disseminated intravascular coagulation not induced by heparin).</w:t>
      </w:r>
    </w:p>
    <w:p w14:paraId="5D9AE72C" w14:textId="77777777" w:rsidR="00005432" w:rsidRDefault="00283559" w:rsidP="00005432">
      <w:pPr>
        <w:pStyle w:val="ListBullet"/>
        <w:numPr>
          <w:ilvl w:val="0"/>
          <w:numId w:val="26"/>
        </w:numPr>
        <w:spacing w:after="0"/>
        <w:ind w:left="426"/>
        <w:rPr>
          <w:i w:val="0"/>
        </w:rPr>
      </w:pPr>
      <w:r w:rsidRPr="00C153EF">
        <w:rPr>
          <w:i w:val="0"/>
        </w:rPr>
        <w:t>with active bleeding or organic lesions likely to bleed (such as active peptic ulceration), haemorrhagic cerebrovascular accident or infective endocarditis.</w:t>
      </w:r>
    </w:p>
    <w:p w14:paraId="1AA37DF2" w14:textId="77777777" w:rsidR="00005432" w:rsidRDefault="00283559" w:rsidP="00005432">
      <w:pPr>
        <w:pStyle w:val="ListBullet"/>
        <w:numPr>
          <w:ilvl w:val="0"/>
          <w:numId w:val="26"/>
        </w:numPr>
        <w:spacing w:after="0"/>
        <w:ind w:left="426"/>
        <w:rPr>
          <w:i w:val="0"/>
        </w:rPr>
      </w:pPr>
      <w:r w:rsidRPr="00C153EF">
        <w:rPr>
          <w:i w:val="0"/>
        </w:rPr>
        <w:t>with severe renal failure (creatinine clearance&lt;30</w:t>
      </w:r>
      <w:r w:rsidR="00C72483">
        <w:rPr>
          <w:i w:val="0"/>
        </w:rPr>
        <w:t xml:space="preserve"> </w:t>
      </w:r>
      <w:r w:rsidRPr="00C153EF">
        <w:rPr>
          <w:i w:val="0"/>
        </w:rPr>
        <w:t xml:space="preserve">mL/min) receiving treatment </w:t>
      </w:r>
      <w:r w:rsidR="00405358" w:rsidRPr="00C153EF">
        <w:rPr>
          <w:i w:val="0"/>
        </w:rPr>
        <w:t xml:space="preserve">for </w:t>
      </w:r>
      <w:r w:rsidRPr="00C153EF">
        <w:rPr>
          <w:i w:val="0"/>
        </w:rPr>
        <w:t>DVT</w:t>
      </w:r>
      <w:r w:rsidR="003C1EBC">
        <w:rPr>
          <w:i w:val="0"/>
        </w:rPr>
        <w:t>.</w:t>
      </w:r>
    </w:p>
    <w:p w14:paraId="0D23632A" w14:textId="77777777" w:rsidR="00625214" w:rsidRDefault="00625214">
      <w:pPr>
        <w:pStyle w:val="Heading1"/>
      </w:pPr>
    </w:p>
    <w:p w14:paraId="2A9EA3E8" w14:textId="25FC6E27" w:rsidR="00B4503B" w:rsidRDefault="003F3C3B" w:rsidP="00DF11BE">
      <w:pPr>
        <w:pStyle w:val="Heading1"/>
      </w:pPr>
      <w:r>
        <w:t>PRECAUTIONS</w:t>
      </w:r>
    </w:p>
    <w:p w14:paraId="4009AC72" w14:textId="77777777" w:rsidR="00F65A19" w:rsidRDefault="005302BE">
      <w:pPr>
        <w:pStyle w:val="Heading3"/>
        <w:rPr>
          <w:iCs/>
        </w:rPr>
      </w:pPr>
      <w:proofErr w:type="spellStart"/>
      <w:r w:rsidRPr="00705A0B">
        <w:rPr>
          <w:iCs/>
        </w:rPr>
        <w:t>Nadroparin</w:t>
      </w:r>
      <w:proofErr w:type="spellEnd"/>
      <w:r w:rsidRPr="00705A0B">
        <w:rPr>
          <w:iCs/>
        </w:rPr>
        <w:t xml:space="preserve"> is not indicated for the treatment of unstable angina or myocardial infarction</w:t>
      </w:r>
      <w:r w:rsidRPr="005302BE">
        <w:rPr>
          <w:iCs/>
        </w:rPr>
        <w:t>.</w:t>
      </w:r>
    </w:p>
    <w:p w14:paraId="579FD50E" w14:textId="4C965B81" w:rsidR="003F3C3B" w:rsidRDefault="00951EB4" w:rsidP="00DF11BE">
      <w:pPr>
        <w:pStyle w:val="Heading3"/>
      </w:pPr>
      <w:r w:rsidRPr="007C4189">
        <w:rPr>
          <w:i/>
          <w:szCs w:val="22"/>
          <w:u w:val="none"/>
        </w:rPr>
        <w:t xml:space="preserve">Heparin Induced </w:t>
      </w:r>
      <w:r w:rsidR="00F71F00" w:rsidRPr="00F71F00">
        <w:rPr>
          <w:i/>
          <w:u w:val="none"/>
        </w:rPr>
        <w:t>Thrombocytopenia</w:t>
      </w:r>
      <w:r w:rsidR="00ED6CC4" w:rsidRPr="00ED6CC4">
        <w:rPr>
          <w:i/>
          <w:u w:val="none"/>
        </w:rPr>
        <w:t>:</w:t>
      </w:r>
    </w:p>
    <w:p w14:paraId="29BD5CFE" w14:textId="77777777" w:rsidR="003F3C3B" w:rsidRDefault="00F71F00">
      <w:r w:rsidRPr="00F71F00">
        <w:rPr>
          <w:szCs w:val="22"/>
        </w:rPr>
        <w:t xml:space="preserve">Because of the possibility of heparin induced thrombocytopenia, </w:t>
      </w:r>
      <w:r w:rsidRPr="00F71F00">
        <w:rPr>
          <w:b/>
          <w:bCs/>
          <w:szCs w:val="22"/>
        </w:rPr>
        <w:t>regular monitoring of platelet count is recommended throughout the course of treatment with Fraxiparine.</w:t>
      </w:r>
    </w:p>
    <w:p w14:paraId="60A54D1F" w14:textId="77777777" w:rsidR="002C5882" w:rsidRPr="00285702" w:rsidRDefault="002C5882" w:rsidP="002C5882">
      <w:pPr>
        <w:rPr>
          <w:szCs w:val="22"/>
        </w:rPr>
      </w:pPr>
    </w:p>
    <w:p w14:paraId="408C77BA" w14:textId="77777777" w:rsidR="00285702" w:rsidRDefault="00285702" w:rsidP="00285702">
      <w:pPr>
        <w:rPr>
          <w:rStyle w:val="CSIchar"/>
        </w:rPr>
      </w:pPr>
      <w:r w:rsidRPr="00D73392">
        <w:rPr>
          <w:rStyle w:val="CSIchar"/>
          <w:szCs w:val="22"/>
          <w:shd w:val="clear" w:color="auto" w:fill="auto"/>
        </w:rPr>
        <w:t>Rare cases of</w:t>
      </w:r>
      <w:r w:rsidRPr="00D73392">
        <w:rPr>
          <w:rStyle w:val="CSIchar"/>
          <w:shd w:val="clear" w:color="auto" w:fill="auto"/>
        </w:rPr>
        <w:t xml:space="preserve"> thrombocytopenia, occasionally severe, have been reported, which may be associated with arterial or venous thrombosis.  Such diagnosis should be considered in the following situations:</w:t>
      </w:r>
    </w:p>
    <w:p w14:paraId="67D9EFC3" w14:textId="77777777" w:rsidR="00285702" w:rsidRDefault="00285702" w:rsidP="00285702"/>
    <w:p w14:paraId="2ECFF9D6" w14:textId="77777777" w:rsidR="00285702" w:rsidRPr="00285702" w:rsidRDefault="00285702" w:rsidP="00285702">
      <w:pPr>
        <w:pStyle w:val="listdash"/>
        <w:rPr>
          <w:rFonts w:ascii="Arial" w:hAnsi="Arial" w:cs="Arial"/>
          <w:sz w:val="22"/>
          <w:szCs w:val="22"/>
        </w:rPr>
      </w:pPr>
      <w:r w:rsidRPr="00D73392">
        <w:rPr>
          <w:rStyle w:val="CSIchar"/>
          <w:rFonts w:ascii="Arial" w:hAnsi="Arial" w:cs="Arial"/>
          <w:sz w:val="22"/>
          <w:szCs w:val="22"/>
          <w:shd w:val="clear" w:color="auto" w:fill="auto"/>
        </w:rPr>
        <w:t>thrombocytopenia</w:t>
      </w:r>
    </w:p>
    <w:p w14:paraId="7BB05317" w14:textId="77777777" w:rsidR="00B0600E" w:rsidRDefault="00285702" w:rsidP="00285702">
      <w:pPr>
        <w:pStyle w:val="listdash"/>
        <w:rPr>
          <w:rStyle w:val="CSIchar"/>
          <w:rFonts w:ascii="Arial" w:hAnsi="Arial" w:cs="Arial"/>
          <w:sz w:val="22"/>
          <w:szCs w:val="22"/>
          <w:shd w:val="clear" w:color="auto" w:fill="auto"/>
        </w:rPr>
      </w:pPr>
      <w:r w:rsidRPr="00B0600E">
        <w:rPr>
          <w:rStyle w:val="CSIchar"/>
          <w:rFonts w:ascii="Arial" w:hAnsi="Arial" w:cs="Arial"/>
          <w:sz w:val="22"/>
          <w:szCs w:val="22"/>
          <w:shd w:val="clear" w:color="auto" w:fill="auto"/>
        </w:rPr>
        <w:t xml:space="preserve">any significant reduction in platelet level </w:t>
      </w:r>
    </w:p>
    <w:p w14:paraId="36709D15" w14:textId="77777777" w:rsidR="00285702" w:rsidRPr="00B0600E" w:rsidRDefault="00285702" w:rsidP="00285702">
      <w:pPr>
        <w:pStyle w:val="listdash"/>
        <w:rPr>
          <w:rFonts w:ascii="Arial" w:hAnsi="Arial" w:cs="Arial"/>
          <w:sz w:val="22"/>
          <w:szCs w:val="22"/>
        </w:rPr>
      </w:pPr>
      <w:r w:rsidRPr="00B0600E">
        <w:rPr>
          <w:rStyle w:val="CSIchar"/>
          <w:rFonts w:ascii="Arial" w:hAnsi="Arial" w:cs="Arial"/>
          <w:sz w:val="22"/>
          <w:szCs w:val="22"/>
          <w:shd w:val="clear" w:color="auto" w:fill="auto"/>
        </w:rPr>
        <w:t>worsening of the initial thrombosis while on therapy</w:t>
      </w:r>
    </w:p>
    <w:p w14:paraId="1946EEB2" w14:textId="77777777" w:rsidR="00285702" w:rsidRPr="00285702" w:rsidRDefault="00285702" w:rsidP="00285702">
      <w:pPr>
        <w:pStyle w:val="listdash"/>
        <w:rPr>
          <w:rFonts w:ascii="Arial" w:hAnsi="Arial" w:cs="Arial"/>
          <w:sz w:val="22"/>
          <w:szCs w:val="22"/>
        </w:rPr>
      </w:pPr>
      <w:r w:rsidRPr="00D73392">
        <w:rPr>
          <w:rStyle w:val="CSIchar"/>
          <w:rFonts w:ascii="Arial" w:hAnsi="Arial" w:cs="Arial"/>
          <w:sz w:val="22"/>
          <w:szCs w:val="22"/>
          <w:shd w:val="clear" w:color="auto" w:fill="auto"/>
        </w:rPr>
        <w:t>thrombosis occurring on treatment</w:t>
      </w:r>
    </w:p>
    <w:p w14:paraId="513FE1C1" w14:textId="77777777" w:rsidR="00285702" w:rsidRPr="00285702" w:rsidRDefault="00285702" w:rsidP="00285702">
      <w:pPr>
        <w:pStyle w:val="listdash"/>
        <w:rPr>
          <w:rFonts w:ascii="Arial" w:hAnsi="Arial" w:cs="Arial"/>
          <w:sz w:val="22"/>
          <w:szCs w:val="22"/>
        </w:rPr>
      </w:pPr>
      <w:r w:rsidRPr="00D73392">
        <w:rPr>
          <w:rStyle w:val="CSIchar"/>
          <w:rFonts w:ascii="Arial" w:hAnsi="Arial" w:cs="Arial"/>
          <w:sz w:val="22"/>
          <w:szCs w:val="22"/>
          <w:shd w:val="clear" w:color="auto" w:fill="auto"/>
        </w:rPr>
        <w:t>disseminated intravascular coagulation.</w:t>
      </w:r>
    </w:p>
    <w:p w14:paraId="1AC480B5" w14:textId="7488B76F" w:rsidR="00285702" w:rsidRDefault="00285702" w:rsidP="00285702">
      <w:pPr>
        <w:rPr>
          <w:rStyle w:val="CSIchar"/>
        </w:rPr>
      </w:pPr>
      <w:r w:rsidRPr="00D73392">
        <w:rPr>
          <w:rStyle w:val="CSIchar"/>
          <w:shd w:val="clear" w:color="auto" w:fill="auto"/>
        </w:rPr>
        <w:t xml:space="preserve">In this event, </w:t>
      </w:r>
      <w:r w:rsidR="00087676">
        <w:rPr>
          <w:rStyle w:val="CSIchar"/>
          <w:shd w:val="clear" w:color="auto" w:fill="auto"/>
        </w:rPr>
        <w:t>Fraxiparine</w:t>
      </w:r>
      <w:r w:rsidRPr="00D73392">
        <w:rPr>
          <w:rStyle w:val="CSIchar"/>
          <w:shd w:val="clear" w:color="auto" w:fill="auto"/>
        </w:rPr>
        <w:t xml:space="preserve"> treatment must be discontinued.</w:t>
      </w:r>
    </w:p>
    <w:p w14:paraId="7F8A6030" w14:textId="77777777" w:rsidR="00285702" w:rsidRPr="00285702" w:rsidRDefault="00285702" w:rsidP="002C5882">
      <w:pPr>
        <w:rPr>
          <w:szCs w:val="22"/>
        </w:rPr>
      </w:pPr>
    </w:p>
    <w:p w14:paraId="7A9919BB" w14:textId="77777777" w:rsidR="002C5882" w:rsidRDefault="002C5882" w:rsidP="002C5882">
      <w:r w:rsidRPr="00D73392">
        <w:rPr>
          <w:rStyle w:val="CSIchar"/>
          <w:shd w:val="clear" w:color="auto" w:fill="auto"/>
        </w:rPr>
        <w:t>These effects are probably of an immuno-allergic nature and in the case of a first treatment are reported mainly between the 5th and the 21st day of therapy, but may occur much earlier if there is a history of heparin-induced thrombocytopenia.</w:t>
      </w:r>
    </w:p>
    <w:p w14:paraId="5E7D045B" w14:textId="77777777" w:rsidR="002C5882" w:rsidRDefault="002C5882" w:rsidP="004B7788"/>
    <w:p w14:paraId="7D1D06C6" w14:textId="77777777" w:rsidR="002C5882" w:rsidRDefault="002C5882" w:rsidP="002C5882">
      <w:r w:rsidRPr="00D222B3">
        <w:rPr>
          <w:rStyle w:val="CSIchar"/>
          <w:shd w:val="clear" w:color="auto" w:fill="auto"/>
        </w:rPr>
        <w:t>If there is a history of thrombocytopenia occurring with heparin (either standard or low molecular weight heparin</w:t>
      </w:r>
      <w:r w:rsidR="00CC20DA">
        <w:rPr>
          <w:rStyle w:val="CSIchar"/>
          <w:shd w:val="clear" w:color="auto" w:fill="auto"/>
        </w:rPr>
        <w:t xml:space="preserve"> (LMWH)</w:t>
      </w:r>
      <w:r w:rsidRPr="00D222B3">
        <w:rPr>
          <w:rStyle w:val="CSIchar"/>
          <w:shd w:val="clear" w:color="auto" w:fill="auto"/>
        </w:rPr>
        <w:t xml:space="preserve">), treatment with </w:t>
      </w:r>
      <w:r w:rsidR="006E03D1">
        <w:rPr>
          <w:rStyle w:val="CSIchar"/>
          <w:shd w:val="clear" w:color="auto" w:fill="auto"/>
        </w:rPr>
        <w:t>Fraxiparine</w:t>
      </w:r>
      <w:r w:rsidRPr="00D222B3">
        <w:rPr>
          <w:rStyle w:val="CSIchar"/>
          <w:shd w:val="clear" w:color="auto" w:fill="auto"/>
        </w:rPr>
        <w:t xml:space="preserve"> may be considered if necessary. In such cases, careful clinical monitoring and assessment of platelet count should be performed at least daily. If thrombocytopenia occurs, treatment should be discontinued immediately.</w:t>
      </w:r>
    </w:p>
    <w:p w14:paraId="5D99D376" w14:textId="77777777" w:rsidR="002C5882" w:rsidRDefault="002C5882" w:rsidP="004B7788"/>
    <w:p w14:paraId="715247AE" w14:textId="77777777" w:rsidR="00462BA9" w:rsidRPr="0063743D" w:rsidRDefault="001D61C4" w:rsidP="000361C7">
      <w:pPr>
        <w:jc w:val="both"/>
        <w:rPr>
          <w:rFonts w:cs="Arial"/>
          <w:szCs w:val="22"/>
        </w:rPr>
      </w:pPr>
      <w:r w:rsidRPr="00285702">
        <w:rPr>
          <w:rStyle w:val="CSIchar"/>
          <w:rFonts w:cs="Arial"/>
          <w:szCs w:val="22"/>
          <w:shd w:val="clear" w:color="auto" w:fill="auto"/>
        </w:rPr>
        <w:t xml:space="preserve">When thrombocytopenia occurs with heparin (either standard or </w:t>
      </w:r>
      <w:r w:rsidR="00556134">
        <w:rPr>
          <w:rStyle w:val="CSIchar"/>
          <w:rFonts w:cs="Arial"/>
          <w:szCs w:val="22"/>
          <w:shd w:val="clear" w:color="auto" w:fill="auto"/>
        </w:rPr>
        <w:t>LMWH</w:t>
      </w:r>
      <w:r w:rsidRPr="00285702">
        <w:rPr>
          <w:rStyle w:val="CSIchar"/>
          <w:rFonts w:cs="Arial"/>
          <w:szCs w:val="22"/>
          <w:shd w:val="clear" w:color="auto" w:fill="auto"/>
        </w:rPr>
        <w:t xml:space="preserve">), substitution with a different anti-thrombotic class should be considered. If not available, then substitution with another low molecular weight heparin may be considered if the administration of heparin is necessary. In such cases, platelet count monitoring should be performed at least daily and the treatment should be </w:t>
      </w:r>
      <w:r w:rsidRPr="00285702">
        <w:rPr>
          <w:rStyle w:val="CSIchar"/>
          <w:rFonts w:cs="Arial"/>
          <w:szCs w:val="22"/>
          <w:shd w:val="clear" w:color="auto" w:fill="auto"/>
        </w:rPr>
        <w:lastRenderedPageBreak/>
        <w:t>discontinued as soon as possible, since cases of initial thrombocytopenia continuing after substitution have been described</w:t>
      </w:r>
      <w:r w:rsidR="00462BA9" w:rsidRPr="0063743D">
        <w:rPr>
          <w:rFonts w:cs="Arial"/>
          <w:szCs w:val="22"/>
        </w:rPr>
        <w:t xml:space="preserve"> (see </w:t>
      </w:r>
      <w:r w:rsidR="00285702" w:rsidRPr="0063743D">
        <w:rPr>
          <w:rFonts w:cs="Arial"/>
          <w:szCs w:val="22"/>
        </w:rPr>
        <w:t>C</w:t>
      </w:r>
      <w:r w:rsidR="00285702">
        <w:rPr>
          <w:rFonts w:cs="Arial"/>
          <w:szCs w:val="22"/>
        </w:rPr>
        <w:t>ONTRAINDICATIONS</w:t>
      </w:r>
      <w:r w:rsidR="00462BA9" w:rsidRPr="0063743D">
        <w:rPr>
          <w:rFonts w:cs="Arial"/>
          <w:szCs w:val="22"/>
        </w:rPr>
        <w:t>).</w:t>
      </w:r>
    </w:p>
    <w:p w14:paraId="075E2C18" w14:textId="77777777" w:rsidR="00230192" w:rsidRDefault="00230192" w:rsidP="000361C7">
      <w:pPr>
        <w:jc w:val="both"/>
        <w:rPr>
          <w:rFonts w:cs="Arial"/>
          <w:szCs w:val="22"/>
        </w:rPr>
      </w:pPr>
    </w:p>
    <w:p w14:paraId="75A40025" w14:textId="77777777" w:rsidR="00462BA9" w:rsidRPr="0063743D" w:rsidRDefault="001D61C4" w:rsidP="000361C7">
      <w:pPr>
        <w:jc w:val="both"/>
        <w:rPr>
          <w:rStyle w:val="CSIchar"/>
          <w:rFonts w:cs="Arial"/>
          <w:szCs w:val="22"/>
          <w:shd w:val="clear" w:color="auto" w:fill="auto"/>
        </w:rPr>
      </w:pPr>
      <w:r w:rsidRPr="00A16DCF">
        <w:rPr>
          <w:rStyle w:val="CSIchar"/>
          <w:rFonts w:cs="Arial"/>
          <w:szCs w:val="22"/>
          <w:shd w:val="clear" w:color="auto" w:fill="auto"/>
        </w:rPr>
        <w:t>In vitro platelet aggregation tests are only of limited value in the diagnosis of heparin induced thrombocytopenia.</w:t>
      </w:r>
    </w:p>
    <w:p w14:paraId="2FA692D7" w14:textId="77777777" w:rsidR="00462BA9" w:rsidRDefault="00462BA9" w:rsidP="00462BA9">
      <w:pPr>
        <w:jc w:val="both"/>
        <w:rPr>
          <w:rFonts w:cs="Arial"/>
          <w:szCs w:val="22"/>
        </w:rPr>
      </w:pPr>
    </w:p>
    <w:p w14:paraId="245BFE46" w14:textId="77777777" w:rsidR="00916FA1" w:rsidRPr="00916FA1" w:rsidRDefault="00916FA1" w:rsidP="00462BA9">
      <w:pPr>
        <w:jc w:val="both"/>
        <w:rPr>
          <w:rFonts w:cs="Arial"/>
          <w:i/>
          <w:szCs w:val="22"/>
        </w:rPr>
      </w:pPr>
      <w:r>
        <w:rPr>
          <w:rFonts w:cs="Arial"/>
          <w:i/>
          <w:szCs w:val="22"/>
        </w:rPr>
        <w:t>Increased R</w:t>
      </w:r>
      <w:r w:rsidR="00060F96" w:rsidRPr="00060F96">
        <w:rPr>
          <w:rFonts w:cs="Arial"/>
          <w:i/>
          <w:szCs w:val="22"/>
        </w:rPr>
        <w:t xml:space="preserve">isk of </w:t>
      </w:r>
      <w:r>
        <w:rPr>
          <w:rFonts w:cs="Arial"/>
          <w:i/>
          <w:szCs w:val="22"/>
        </w:rPr>
        <w:t>B</w:t>
      </w:r>
      <w:r w:rsidR="00060F96" w:rsidRPr="00060F96">
        <w:rPr>
          <w:rFonts w:cs="Arial"/>
          <w:i/>
          <w:szCs w:val="22"/>
        </w:rPr>
        <w:t>leeding:</w:t>
      </w:r>
    </w:p>
    <w:p w14:paraId="783697CC" w14:textId="77777777" w:rsidR="00916FA1" w:rsidRPr="0063743D" w:rsidRDefault="00916FA1" w:rsidP="00462BA9">
      <w:pPr>
        <w:jc w:val="both"/>
        <w:rPr>
          <w:rFonts w:cs="Arial"/>
          <w:szCs w:val="22"/>
        </w:rPr>
      </w:pPr>
    </w:p>
    <w:p w14:paraId="616A5B2D" w14:textId="77777777" w:rsidR="00F71F00" w:rsidRDefault="001D61C4" w:rsidP="00F71F00">
      <w:pPr>
        <w:rPr>
          <w:rFonts w:cs="Arial"/>
          <w:szCs w:val="22"/>
        </w:rPr>
      </w:pPr>
      <w:r w:rsidRPr="00A64FCA">
        <w:rPr>
          <w:rFonts w:cs="Arial"/>
          <w:b/>
          <w:szCs w:val="22"/>
        </w:rPr>
        <w:t>Caution should be exercised when nadroparin is administered in the following situations as they may be associated with an increased risk of bleeding:</w:t>
      </w:r>
      <w:r w:rsidRPr="00A16DCF">
        <w:rPr>
          <w:rFonts w:cs="Arial"/>
          <w:b/>
          <w:szCs w:val="22"/>
          <w:shd w:val="clear" w:color="auto" w:fill="CCCCCC"/>
        </w:rPr>
        <w:br/>
      </w:r>
    </w:p>
    <w:p w14:paraId="4838C71B" w14:textId="77777777" w:rsidR="00462BA9" w:rsidRPr="00A16DCF" w:rsidRDefault="001D61C4" w:rsidP="004B7788">
      <w:pPr>
        <w:pStyle w:val="listdash"/>
        <w:numPr>
          <w:ilvl w:val="0"/>
          <w:numId w:val="19"/>
        </w:numPr>
        <w:tabs>
          <w:tab w:val="clear" w:pos="720"/>
          <w:tab w:val="num" w:pos="426"/>
        </w:tabs>
        <w:spacing w:after="0"/>
        <w:ind w:left="426" w:hanging="426"/>
        <w:rPr>
          <w:rFonts w:ascii="Arial" w:hAnsi="Arial" w:cs="Arial"/>
          <w:sz w:val="22"/>
          <w:szCs w:val="22"/>
        </w:rPr>
      </w:pPr>
      <w:r w:rsidRPr="00A16DCF">
        <w:rPr>
          <w:rStyle w:val="CSIchar"/>
          <w:rFonts w:ascii="Arial" w:hAnsi="Arial" w:cs="Arial"/>
          <w:sz w:val="22"/>
          <w:szCs w:val="22"/>
          <w:shd w:val="clear" w:color="auto" w:fill="auto"/>
        </w:rPr>
        <w:t xml:space="preserve">hepatic </w:t>
      </w:r>
      <w:r w:rsidR="00916FA1">
        <w:rPr>
          <w:rStyle w:val="CSIchar"/>
          <w:rFonts w:ascii="Arial" w:hAnsi="Arial" w:cs="Arial"/>
          <w:sz w:val="22"/>
          <w:szCs w:val="22"/>
          <w:shd w:val="clear" w:color="auto" w:fill="auto"/>
        </w:rPr>
        <w:t xml:space="preserve">insufficiency/hepatic </w:t>
      </w:r>
      <w:r w:rsidRPr="00A16DCF">
        <w:rPr>
          <w:rStyle w:val="CSIchar"/>
          <w:rFonts w:ascii="Arial" w:hAnsi="Arial" w:cs="Arial"/>
          <w:sz w:val="22"/>
          <w:szCs w:val="22"/>
          <w:shd w:val="clear" w:color="auto" w:fill="auto"/>
        </w:rPr>
        <w:t>failure</w:t>
      </w:r>
    </w:p>
    <w:p w14:paraId="453B3704" w14:textId="77777777" w:rsidR="00462BA9" w:rsidRPr="00A16DCF" w:rsidRDefault="001D61C4" w:rsidP="004B7788">
      <w:pPr>
        <w:pStyle w:val="listdash"/>
        <w:numPr>
          <w:ilvl w:val="0"/>
          <w:numId w:val="19"/>
        </w:numPr>
        <w:tabs>
          <w:tab w:val="clear" w:pos="720"/>
          <w:tab w:val="num" w:pos="426"/>
        </w:tabs>
        <w:spacing w:after="0"/>
        <w:ind w:left="426" w:hanging="426"/>
        <w:rPr>
          <w:rFonts w:ascii="Arial" w:hAnsi="Arial" w:cs="Arial"/>
          <w:sz w:val="22"/>
          <w:szCs w:val="22"/>
        </w:rPr>
      </w:pPr>
      <w:r w:rsidRPr="00A16DCF">
        <w:rPr>
          <w:rStyle w:val="CSIchar"/>
          <w:rFonts w:ascii="Arial" w:hAnsi="Arial" w:cs="Arial"/>
          <w:sz w:val="22"/>
          <w:szCs w:val="22"/>
          <w:shd w:val="clear" w:color="auto" w:fill="auto"/>
        </w:rPr>
        <w:t>severe arterial hypertension</w:t>
      </w:r>
    </w:p>
    <w:p w14:paraId="0BBA76FD" w14:textId="77777777" w:rsidR="00462BA9" w:rsidRPr="00A16DCF" w:rsidRDefault="001D61C4" w:rsidP="004B7788">
      <w:pPr>
        <w:pStyle w:val="listdash"/>
        <w:numPr>
          <w:ilvl w:val="0"/>
          <w:numId w:val="19"/>
        </w:numPr>
        <w:tabs>
          <w:tab w:val="clear" w:pos="720"/>
          <w:tab w:val="num" w:pos="426"/>
        </w:tabs>
        <w:spacing w:after="0"/>
        <w:ind w:left="426" w:hanging="426"/>
        <w:rPr>
          <w:rFonts w:ascii="Arial" w:hAnsi="Arial" w:cs="Arial"/>
          <w:sz w:val="22"/>
          <w:szCs w:val="22"/>
        </w:rPr>
      </w:pPr>
      <w:r w:rsidRPr="00A16DCF">
        <w:rPr>
          <w:rStyle w:val="CSIchar"/>
          <w:rFonts w:ascii="Arial" w:hAnsi="Arial" w:cs="Arial"/>
          <w:sz w:val="22"/>
          <w:szCs w:val="22"/>
          <w:shd w:val="clear" w:color="auto" w:fill="auto"/>
        </w:rPr>
        <w:t>history of peptic ulceration or other organic lesion likely to bleed</w:t>
      </w:r>
    </w:p>
    <w:p w14:paraId="0B7375EB" w14:textId="77777777" w:rsidR="00462BA9" w:rsidRPr="00A16DCF" w:rsidRDefault="001D61C4" w:rsidP="004B7788">
      <w:pPr>
        <w:pStyle w:val="listdash"/>
        <w:numPr>
          <w:ilvl w:val="0"/>
          <w:numId w:val="19"/>
        </w:numPr>
        <w:tabs>
          <w:tab w:val="clear" w:pos="720"/>
          <w:tab w:val="num" w:pos="426"/>
        </w:tabs>
        <w:spacing w:after="0"/>
        <w:ind w:left="426" w:hanging="426"/>
        <w:rPr>
          <w:rFonts w:ascii="Arial" w:hAnsi="Arial" w:cs="Arial"/>
          <w:sz w:val="22"/>
          <w:szCs w:val="22"/>
        </w:rPr>
      </w:pPr>
      <w:r w:rsidRPr="00A16DCF">
        <w:rPr>
          <w:rStyle w:val="CSIchar"/>
          <w:rFonts w:ascii="Arial" w:hAnsi="Arial" w:cs="Arial"/>
          <w:sz w:val="22"/>
          <w:szCs w:val="22"/>
          <w:shd w:val="clear" w:color="auto" w:fill="auto"/>
        </w:rPr>
        <w:t>vascular disorder of the chorio-retina</w:t>
      </w:r>
    </w:p>
    <w:p w14:paraId="677F8013" w14:textId="77777777" w:rsidR="00462BA9" w:rsidRPr="00A16DCF" w:rsidRDefault="001D61C4" w:rsidP="004B7788">
      <w:pPr>
        <w:pStyle w:val="listdash"/>
        <w:numPr>
          <w:ilvl w:val="0"/>
          <w:numId w:val="19"/>
        </w:numPr>
        <w:tabs>
          <w:tab w:val="clear" w:pos="720"/>
          <w:tab w:val="num" w:pos="426"/>
        </w:tabs>
        <w:spacing w:after="0"/>
        <w:ind w:left="426" w:hanging="426"/>
        <w:rPr>
          <w:rFonts w:ascii="Arial" w:hAnsi="Arial" w:cs="Arial"/>
          <w:sz w:val="22"/>
          <w:szCs w:val="22"/>
        </w:rPr>
      </w:pPr>
      <w:r w:rsidRPr="00A16DCF">
        <w:rPr>
          <w:rStyle w:val="CSIchar"/>
          <w:rFonts w:ascii="Arial" w:hAnsi="Arial" w:cs="Arial"/>
          <w:sz w:val="22"/>
          <w:szCs w:val="22"/>
          <w:shd w:val="clear" w:color="auto" w:fill="auto"/>
        </w:rPr>
        <w:t>during the post-operative period following surgery of the brain, spinal cord or eye.</w:t>
      </w:r>
    </w:p>
    <w:p w14:paraId="21615297" w14:textId="77777777" w:rsidR="00462BA9" w:rsidRPr="0063743D" w:rsidRDefault="00462BA9" w:rsidP="004B7788">
      <w:pPr>
        <w:ind w:left="426" w:hanging="426"/>
      </w:pPr>
    </w:p>
    <w:p w14:paraId="2DAA1DBC" w14:textId="77777777" w:rsidR="00C36DE6" w:rsidRPr="00A16DCF" w:rsidRDefault="00F71F00" w:rsidP="004B7788">
      <w:pPr>
        <w:ind w:left="426" w:hanging="426"/>
        <w:rPr>
          <w:i/>
        </w:rPr>
      </w:pPr>
      <w:r w:rsidRPr="00F71F00">
        <w:rPr>
          <w:i/>
        </w:rPr>
        <w:t>Renal Impairment</w:t>
      </w:r>
      <w:r w:rsidR="00A16DCF">
        <w:rPr>
          <w:i/>
        </w:rPr>
        <w:t>:</w:t>
      </w:r>
    </w:p>
    <w:p w14:paraId="72437595" w14:textId="77777777" w:rsidR="00C36DE6" w:rsidRPr="0063743D" w:rsidRDefault="00C36DE6" w:rsidP="004B7788">
      <w:pPr>
        <w:ind w:left="426" w:hanging="426"/>
      </w:pPr>
    </w:p>
    <w:p w14:paraId="2102CF7D" w14:textId="77777777" w:rsidR="00C36DE6" w:rsidRPr="0063743D" w:rsidRDefault="000171B0" w:rsidP="00C36DE6">
      <w:r w:rsidRPr="000171B0">
        <w:t>Nadroparin is known to be mainly excreted by the kidney, which results in increased nadroparin exposure in patients with renal impairment. Patients with impaired renal function are at increased risk of bleeding and should be treated with caution.</w:t>
      </w:r>
    </w:p>
    <w:p w14:paraId="03DEB9B8" w14:textId="77777777" w:rsidR="00C36DE6" w:rsidRPr="0063743D" w:rsidRDefault="00C36DE6" w:rsidP="00C36DE6"/>
    <w:p w14:paraId="12876A04" w14:textId="77777777" w:rsidR="00C36DE6" w:rsidRDefault="000171B0" w:rsidP="00C36DE6">
      <w:r w:rsidRPr="000171B0">
        <w:t>The decision on whether a dose reduction is appropriate for patients with creatinine clearance 30 to 50</w:t>
      </w:r>
      <w:r w:rsidR="00C36DE6" w:rsidRPr="0063743D">
        <w:t xml:space="preserve"> m</w:t>
      </w:r>
      <w:r w:rsidR="00C72483">
        <w:t>L</w:t>
      </w:r>
      <w:r w:rsidR="00C36DE6" w:rsidRPr="0063743D">
        <w:t>/</w:t>
      </w:r>
      <w:r w:rsidR="0061343F" w:rsidRPr="00134E42">
        <w:t>min</w:t>
      </w:r>
      <w:r w:rsidR="0061343F">
        <w:t xml:space="preserve"> </w:t>
      </w:r>
      <w:r w:rsidR="0061343F" w:rsidRPr="000171B0">
        <w:t>should</w:t>
      </w:r>
      <w:r w:rsidRPr="000171B0">
        <w:t xml:space="preserve"> be based on the physician’s assessment of an individual patient’s risk of bleeding versus the risk of thromboembolism</w:t>
      </w:r>
      <w:r w:rsidR="002F024B">
        <w:t xml:space="preserve"> (see DOSAGE AND ADMINISTRATION)</w:t>
      </w:r>
      <w:r w:rsidRPr="000171B0">
        <w:t>.</w:t>
      </w:r>
    </w:p>
    <w:p w14:paraId="6FFAC855" w14:textId="77777777" w:rsidR="00C72483" w:rsidRDefault="00C72483" w:rsidP="00C36DE6"/>
    <w:p w14:paraId="02E45D84" w14:textId="77777777" w:rsidR="00C175B5" w:rsidRPr="00C175B5" w:rsidRDefault="00C72483" w:rsidP="00C36DE6">
      <w:r>
        <w:t>A dose reduction is required for patients with severe renal impairment (creatinine clearance less</w:t>
      </w:r>
      <w:r w:rsidR="002B2CFF">
        <w:t xml:space="preserve"> than 30 mL/min)</w:t>
      </w:r>
      <w:r w:rsidR="00403EEE">
        <w:t xml:space="preserve"> receiving </w:t>
      </w:r>
      <w:r w:rsidR="00403EEE" w:rsidRPr="00787881">
        <w:t xml:space="preserve">prophylactic </w:t>
      </w:r>
      <w:r w:rsidR="00403EEE">
        <w:t>treatment of DVT</w:t>
      </w:r>
      <w:r w:rsidR="002B2CFF">
        <w:t xml:space="preserve"> (see DOSAGE AND</w:t>
      </w:r>
      <w:r>
        <w:t xml:space="preserve"> ADMINISTRATION)</w:t>
      </w:r>
      <w:r w:rsidR="009D33AE">
        <w:t xml:space="preserve"> and F</w:t>
      </w:r>
      <w:r w:rsidR="00C175B5" w:rsidRPr="00C175B5">
        <w:t>raxiparine is contraindicated in patients with severe renal impairment receiving treatment for DVT (see CONTRAINDICATIONS).</w:t>
      </w:r>
    </w:p>
    <w:p w14:paraId="0DE45584" w14:textId="77777777" w:rsidR="00C175B5" w:rsidRDefault="00C175B5" w:rsidP="00C36DE6">
      <w:pPr>
        <w:rPr>
          <w:shd w:val="clear" w:color="auto" w:fill="CCCCCC"/>
        </w:rPr>
      </w:pPr>
    </w:p>
    <w:p w14:paraId="0BB16427" w14:textId="77777777" w:rsidR="003F3C3B" w:rsidRPr="00A16DCF" w:rsidRDefault="00F71F00" w:rsidP="004B7788">
      <w:pPr>
        <w:pStyle w:val="Heading3"/>
        <w:spacing w:before="0" w:after="0"/>
        <w:ind w:left="426" w:hanging="426"/>
        <w:rPr>
          <w:i/>
          <w:u w:val="none"/>
          <w:vertAlign w:val="superscript"/>
        </w:rPr>
      </w:pPr>
      <w:r w:rsidRPr="00F71F00">
        <w:rPr>
          <w:i/>
          <w:u w:val="none"/>
        </w:rPr>
        <w:t>Hyperkalaemia</w:t>
      </w:r>
      <w:r w:rsidR="00ED6CC4" w:rsidRPr="00ED6CC4">
        <w:rPr>
          <w:i/>
          <w:u w:val="none"/>
        </w:rPr>
        <w:t>:</w:t>
      </w:r>
    </w:p>
    <w:p w14:paraId="2F5BE351" w14:textId="77777777" w:rsidR="003F3C3B" w:rsidRDefault="003F3C3B"/>
    <w:p w14:paraId="732C6846" w14:textId="77777777" w:rsidR="003F3C3B" w:rsidRPr="00A16DCF" w:rsidRDefault="000171B0" w:rsidP="000361C7">
      <w:pPr>
        <w:jc w:val="both"/>
        <w:rPr>
          <w:szCs w:val="22"/>
        </w:rPr>
      </w:pPr>
      <w:r w:rsidRPr="000171B0">
        <w:rPr>
          <w:szCs w:val="22"/>
        </w:rPr>
        <w:t>Heparin can suppress adrenal secretion of aldosterone leading to hyperkalaemia, particularly in patients with</w:t>
      </w:r>
      <w:r w:rsidR="001D61C4" w:rsidRPr="00006B16">
        <w:rPr>
          <w:szCs w:val="22"/>
        </w:rPr>
        <w:t xml:space="preserve"> </w:t>
      </w:r>
      <w:r w:rsidR="001D61C4" w:rsidRPr="00A16DCF">
        <w:rPr>
          <w:szCs w:val="22"/>
        </w:rPr>
        <w:t>raised plasma potassium or at risk of increased plasma potassium levels such as patients with diabetes mellitus, chronic renal failure, pre-existing metabolic acidosis or taking drugs that may</w:t>
      </w:r>
      <w:r w:rsidR="003F3C3B" w:rsidRPr="00A16DCF">
        <w:rPr>
          <w:szCs w:val="22"/>
        </w:rPr>
        <w:t xml:space="preserve"> </w:t>
      </w:r>
      <w:r w:rsidR="00A16DCF" w:rsidRPr="00A16DCF">
        <w:rPr>
          <w:szCs w:val="22"/>
        </w:rPr>
        <w:t xml:space="preserve">cause hyperkalaemia </w:t>
      </w:r>
      <w:r w:rsidR="004D5681">
        <w:rPr>
          <w:szCs w:val="22"/>
        </w:rPr>
        <w:t>[</w:t>
      </w:r>
      <w:r w:rsidR="001D61C4" w:rsidRPr="00A16DCF">
        <w:rPr>
          <w:szCs w:val="22"/>
        </w:rPr>
        <w:t>eg</w:t>
      </w:r>
      <w:r w:rsidR="003F3C3B" w:rsidRPr="00A16DCF">
        <w:rPr>
          <w:szCs w:val="22"/>
        </w:rPr>
        <w:t xml:space="preserve">. </w:t>
      </w:r>
      <w:r w:rsidR="00A16DCF" w:rsidRPr="00A16DCF">
        <w:rPr>
          <w:szCs w:val="22"/>
        </w:rPr>
        <w:t>Angiotensin-converting (</w:t>
      </w:r>
      <w:r w:rsidR="001D61C4" w:rsidRPr="00A16DCF">
        <w:rPr>
          <w:szCs w:val="22"/>
        </w:rPr>
        <w:t>ACE</w:t>
      </w:r>
      <w:r w:rsidR="00A16DCF" w:rsidRPr="00A16DCF">
        <w:rPr>
          <w:szCs w:val="22"/>
        </w:rPr>
        <w:t>)</w:t>
      </w:r>
      <w:r w:rsidR="001D61C4" w:rsidRPr="00A16DCF">
        <w:rPr>
          <w:szCs w:val="22"/>
        </w:rPr>
        <w:t xml:space="preserve"> Inhibitors</w:t>
      </w:r>
      <w:r w:rsidR="003F3C3B" w:rsidRPr="00A16DCF">
        <w:rPr>
          <w:szCs w:val="22"/>
        </w:rPr>
        <w:t xml:space="preserve">, </w:t>
      </w:r>
      <w:r w:rsidR="00A16DCF" w:rsidRPr="00A16DCF">
        <w:rPr>
          <w:szCs w:val="22"/>
        </w:rPr>
        <w:t>Nonsteroidal anti-inflammatory drugs (</w:t>
      </w:r>
      <w:r w:rsidR="001D61C4" w:rsidRPr="00A16DCF">
        <w:rPr>
          <w:szCs w:val="22"/>
        </w:rPr>
        <w:t>NSAIDs</w:t>
      </w:r>
      <w:r w:rsidR="003F3C3B" w:rsidRPr="00A16DCF">
        <w:rPr>
          <w:szCs w:val="22"/>
        </w:rPr>
        <w:t>)</w:t>
      </w:r>
      <w:r w:rsidR="004D5681">
        <w:rPr>
          <w:szCs w:val="22"/>
        </w:rPr>
        <w:t>]</w:t>
      </w:r>
      <w:r w:rsidR="003F3C3B" w:rsidRPr="00A16DCF">
        <w:rPr>
          <w:szCs w:val="22"/>
        </w:rPr>
        <w:t>.</w:t>
      </w:r>
    </w:p>
    <w:p w14:paraId="09A93B12" w14:textId="77777777" w:rsidR="00965A2A" w:rsidRDefault="00965A2A" w:rsidP="000361C7">
      <w:pPr>
        <w:jc w:val="both"/>
      </w:pPr>
    </w:p>
    <w:p w14:paraId="3C4BDBE9" w14:textId="77777777" w:rsidR="00951EB4" w:rsidRDefault="001D61C4" w:rsidP="000361C7">
      <w:pPr>
        <w:jc w:val="both"/>
        <w:rPr>
          <w:szCs w:val="22"/>
        </w:rPr>
      </w:pPr>
      <w:r w:rsidRPr="00A16DCF">
        <w:rPr>
          <w:szCs w:val="22"/>
        </w:rPr>
        <w:t>The risk of hyperkalaemia appears to increase with duration of therapy</w:t>
      </w:r>
      <w:r w:rsidR="00BB42A8">
        <w:rPr>
          <w:szCs w:val="22"/>
        </w:rPr>
        <w:t>,</w:t>
      </w:r>
      <w:r w:rsidRPr="00A16DCF">
        <w:rPr>
          <w:szCs w:val="22"/>
        </w:rPr>
        <w:t xml:space="preserve"> but is usually reversible.</w:t>
      </w:r>
      <w:r w:rsidR="003F3C3B" w:rsidRPr="00A16DCF">
        <w:rPr>
          <w:szCs w:val="22"/>
        </w:rPr>
        <w:t xml:space="preserve"> </w:t>
      </w:r>
    </w:p>
    <w:p w14:paraId="4540403A" w14:textId="77777777" w:rsidR="00951EB4" w:rsidRDefault="00951EB4" w:rsidP="000361C7">
      <w:pPr>
        <w:jc w:val="both"/>
        <w:rPr>
          <w:szCs w:val="22"/>
        </w:rPr>
      </w:pPr>
    </w:p>
    <w:p w14:paraId="4CECCEF4" w14:textId="77777777" w:rsidR="003F3C3B" w:rsidRPr="00A16DCF" w:rsidRDefault="001D61C4" w:rsidP="000361C7">
      <w:pPr>
        <w:jc w:val="both"/>
        <w:rPr>
          <w:szCs w:val="22"/>
        </w:rPr>
      </w:pPr>
      <w:r w:rsidRPr="00A16DCF">
        <w:rPr>
          <w:szCs w:val="22"/>
        </w:rPr>
        <w:t>Plasma potassium should be monitored in patients at risk.</w:t>
      </w:r>
    </w:p>
    <w:p w14:paraId="33CC5755" w14:textId="77777777" w:rsidR="003F3C3B" w:rsidRDefault="003F3C3B"/>
    <w:p w14:paraId="413F38E9" w14:textId="77777777" w:rsidR="003F3C3B" w:rsidRPr="00A16DCF" w:rsidRDefault="00F71F00">
      <w:pPr>
        <w:rPr>
          <w:i/>
        </w:rPr>
      </w:pPr>
      <w:r w:rsidRPr="00F71F00">
        <w:rPr>
          <w:i/>
        </w:rPr>
        <w:t>Spinal/epidural haematomas</w:t>
      </w:r>
      <w:r w:rsidR="00A16DCF">
        <w:rPr>
          <w:i/>
        </w:rPr>
        <w:t>:</w:t>
      </w:r>
    </w:p>
    <w:p w14:paraId="3177251A" w14:textId="77777777" w:rsidR="003F3C3B" w:rsidRDefault="003F3C3B"/>
    <w:p w14:paraId="42D723D9" w14:textId="77777777" w:rsidR="003F3C3B" w:rsidRPr="00A16DCF" w:rsidRDefault="001D61C4" w:rsidP="000361C7">
      <w:pPr>
        <w:jc w:val="both"/>
        <w:rPr>
          <w:szCs w:val="22"/>
        </w:rPr>
      </w:pPr>
      <w:r w:rsidRPr="00A16DCF">
        <w:rPr>
          <w:szCs w:val="22"/>
        </w:rPr>
        <w:t>The risk of spinal/epidural haematomas is increased by indwelling epidural catheters or by concomitant use of other drugs which may affect haemostasis such as NSAIDs, platelet inhibitors or other anticoagulants. The risk also appears to be increased by traumatic or repeated epidural or spinal puncture.</w:t>
      </w:r>
    </w:p>
    <w:p w14:paraId="528707A9" w14:textId="77777777" w:rsidR="00462BA9" w:rsidRDefault="00462BA9" w:rsidP="000361C7">
      <w:pPr>
        <w:jc w:val="both"/>
      </w:pPr>
    </w:p>
    <w:p w14:paraId="213DB158" w14:textId="77777777" w:rsidR="003F3C3B" w:rsidRPr="00A16DCF" w:rsidRDefault="001D61C4" w:rsidP="000361C7">
      <w:pPr>
        <w:jc w:val="both"/>
        <w:rPr>
          <w:szCs w:val="22"/>
        </w:rPr>
      </w:pPr>
      <w:r w:rsidRPr="00A16DCF">
        <w:rPr>
          <w:szCs w:val="22"/>
        </w:rPr>
        <w:lastRenderedPageBreak/>
        <w:t>Therefore, the concomitant prescription of</w:t>
      </w:r>
      <w:r w:rsidR="00A16DCF">
        <w:rPr>
          <w:szCs w:val="22"/>
        </w:rPr>
        <w:t xml:space="preserve"> a</w:t>
      </w:r>
      <w:r w:rsidR="003F3C3B" w:rsidRPr="00A16DCF">
        <w:rPr>
          <w:szCs w:val="22"/>
        </w:rPr>
        <w:t xml:space="preserve"> central nervous blockade or spinal puncture </w:t>
      </w:r>
      <w:r w:rsidRPr="00A16DCF">
        <w:rPr>
          <w:szCs w:val="22"/>
        </w:rPr>
        <w:t>and</w:t>
      </w:r>
      <w:r w:rsidR="00A16DCF">
        <w:rPr>
          <w:szCs w:val="22"/>
        </w:rPr>
        <w:t xml:space="preserve"> of an</w:t>
      </w:r>
      <w:r w:rsidR="003F3C3B" w:rsidRPr="00A16DCF">
        <w:rPr>
          <w:szCs w:val="22"/>
        </w:rPr>
        <w:t xml:space="preserve"> </w:t>
      </w:r>
      <w:r w:rsidRPr="00A16DCF">
        <w:rPr>
          <w:szCs w:val="22"/>
        </w:rPr>
        <w:t>anti-coagulant therapy should be decided only after careful individual benefit/risk assessment in the following situations:</w:t>
      </w:r>
    </w:p>
    <w:p w14:paraId="56C9335E" w14:textId="77777777" w:rsidR="0017051D" w:rsidRDefault="0017051D" w:rsidP="000361C7">
      <w:pPr>
        <w:jc w:val="both"/>
      </w:pPr>
    </w:p>
    <w:p w14:paraId="7FC4720A" w14:textId="77777777" w:rsidR="00F71F00" w:rsidRDefault="0070612B" w:rsidP="00F71F00">
      <w:pPr>
        <w:pStyle w:val="ListBullet"/>
        <w:numPr>
          <w:ilvl w:val="0"/>
          <w:numId w:val="27"/>
        </w:numPr>
        <w:rPr>
          <w:i w:val="0"/>
        </w:rPr>
      </w:pPr>
      <w:r w:rsidRPr="0070612B">
        <w:rPr>
          <w:i w:val="0"/>
        </w:rPr>
        <w:t>in patients already treated with anticoagulant therapy, the benefits of central nervous blockade or spinal puncture must be carefully balanced against the risks.</w:t>
      </w:r>
    </w:p>
    <w:p w14:paraId="2E57E21E" w14:textId="77777777" w:rsidR="00F71F00" w:rsidRDefault="0070612B" w:rsidP="00F71F00">
      <w:pPr>
        <w:pStyle w:val="ListBullet"/>
        <w:numPr>
          <w:ilvl w:val="0"/>
          <w:numId w:val="27"/>
        </w:numPr>
        <w:rPr>
          <w:i w:val="0"/>
        </w:rPr>
      </w:pPr>
      <w:r w:rsidRPr="0070612B">
        <w:rPr>
          <w:i w:val="0"/>
        </w:rPr>
        <w:t>in patients planned to undergo elective surgery with central nervous blockade or spinal puncture, the benefits of anticoagulant therapy must be carefully balanced against the risks.</w:t>
      </w:r>
    </w:p>
    <w:p w14:paraId="7C8A75BB" w14:textId="77777777" w:rsidR="00965A2A" w:rsidRDefault="00965A2A" w:rsidP="000361C7">
      <w:pPr>
        <w:jc w:val="both"/>
      </w:pPr>
    </w:p>
    <w:p w14:paraId="66D38928" w14:textId="77777777" w:rsidR="00E56F35" w:rsidRDefault="00E56F35" w:rsidP="00E56F35">
      <w:pPr>
        <w:jc w:val="both"/>
      </w:pPr>
      <w:r w:rsidRPr="00D222B3">
        <w:rPr>
          <w:rStyle w:val="CSIchar"/>
          <w:shd w:val="clear" w:color="auto" w:fill="auto"/>
        </w:rPr>
        <w:t xml:space="preserve">In the case of patients with spinal lumbar puncture, spinal anaesthesia or epidural anaesthesia, a minimum of 12 hours should elapse between the Fraxiparine injection </w:t>
      </w:r>
      <w:r w:rsidRPr="00D222B3">
        <w:t>at prophylactic doses</w:t>
      </w:r>
      <w:r w:rsidRPr="00D222B3">
        <w:rPr>
          <w:rStyle w:val="CSIchar"/>
          <w:shd w:val="clear" w:color="auto" w:fill="auto"/>
        </w:rPr>
        <w:t xml:space="preserve"> or 24 hours at treatment doses and the insertion or the removal of the spinal/epidural catheter or needle. For patients with renal impairment longer intervals may be considered.</w:t>
      </w:r>
      <w:r w:rsidRPr="00EA3A8C">
        <w:rPr>
          <w:rStyle w:val="CSIchar"/>
        </w:rPr>
        <w:t xml:space="preserve">  </w:t>
      </w:r>
    </w:p>
    <w:p w14:paraId="5C41B80B" w14:textId="77777777" w:rsidR="003F3C3B" w:rsidRDefault="003F3C3B" w:rsidP="000361C7">
      <w:pPr>
        <w:jc w:val="both"/>
      </w:pPr>
    </w:p>
    <w:p w14:paraId="603E6924" w14:textId="77777777" w:rsidR="00834DB4" w:rsidRDefault="003D7B14" w:rsidP="000361C7">
      <w:pPr>
        <w:jc w:val="both"/>
      </w:pPr>
      <w:r w:rsidRPr="00D222B3">
        <w:t>Where concomitant prescription of central nervous blockade or spinal puncture and LMWH is used, p</w:t>
      </w:r>
      <w:r w:rsidR="00834DB4" w:rsidRPr="00D222B3">
        <w:rPr>
          <w:rStyle w:val="CSIchar"/>
          <w:shd w:val="clear" w:color="auto" w:fill="auto"/>
        </w:rPr>
        <w:t>atients should be frequently monitored for signs and symptoms of neurological impairment. If neurological compromise is noted, urgent treatment is necessary.</w:t>
      </w:r>
    </w:p>
    <w:p w14:paraId="5554808A" w14:textId="77777777" w:rsidR="00520586" w:rsidRDefault="00520586" w:rsidP="00283559">
      <w:pPr>
        <w:rPr>
          <w:szCs w:val="22"/>
        </w:rPr>
      </w:pPr>
    </w:p>
    <w:p w14:paraId="25D40EA4" w14:textId="2B509305" w:rsidR="00520586" w:rsidRDefault="00520586" w:rsidP="00520586">
      <w:pPr>
        <w:rPr>
          <w:i/>
        </w:rPr>
      </w:pPr>
      <w:r>
        <w:rPr>
          <w:i/>
        </w:rPr>
        <w:t>Cutaneous Necrosi</w:t>
      </w:r>
      <w:r w:rsidR="00AA4DC0">
        <w:rPr>
          <w:i/>
        </w:rPr>
        <w:t>s</w:t>
      </w:r>
      <w:r>
        <w:rPr>
          <w:i/>
        </w:rPr>
        <w:t>:</w:t>
      </w:r>
    </w:p>
    <w:p w14:paraId="5342819E" w14:textId="77777777" w:rsidR="00520586" w:rsidRPr="00FE1F8D" w:rsidRDefault="00520586" w:rsidP="00520586">
      <w:pPr>
        <w:rPr>
          <w:i/>
        </w:rPr>
      </w:pPr>
    </w:p>
    <w:p w14:paraId="397374A6" w14:textId="77777777" w:rsidR="00520586" w:rsidRDefault="00520586" w:rsidP="00520586">
      <w:pPr>
        <w:rPr>
          <w:rStyle w:val="CSIchar"/>
        </w:rPr>
      </w:pPr>
      <w:r w:rsidRPr="00520586">
        <w:rPr>
          <w:rStyle w:val="CSIchar"/>
          <w:shd w:val="clear" w:color="auto" w:fill="auto"/>
        </w:rPr>
        <w:t>Cutaneous necrosis</w:t>
      </w:r>
      <w:r w:rsidRPr="003D1C10">
        <w:rPr>
          <w:rStyle w:val="CSIchar"/>
          <w:shd w:val="clear" w:color="auto" w:fill="auto"/>
        </w:rPr>
        <w:t xml:space="preserve"> </w:t>
      </w:r>
      <w:r w:rsidRPr="00520586">
        <w:rPr>
          <w:rStyle w:val="CSIchar"/>
          <w:shd w:val="clear" w:color="auto" w:fill="auto"/>
        </w:rPr>
        <w:t xml:space="preserve">has been reported </w:t>
      </w:r>
      <w:r w:rsidR="00B966E0">
        <w:rPr>
          <w:rStyle w:val="CSIchar"/>
          <w:shd w:val="clear" w:color="auto" w:fill="auto"/>
        </w:rPr>
        <w:t xml:space="preserve">very </w:t>
      </w:r>
      <w:r w:rsidRPr="00520586">
        <w:rPr>
          <w:rStyle w:val="CSIchar"/>
          <w:shd w:val="clear" w:color="auto" w:fill="auto"/>
        </w:rPr>
        <w:t>rarely. It is preceded by purpura or infiltrated or painful erythematous blotches, with or without general signs. In such cases, treatment should be immediately discontinued.</w:t>
      </w:r>
    </w:p>
    <w:p w14:paraId="1D4ECD83" w14:textId="77777777" w:rsidR="00520586" w:rsidRDefault="00520586" w:rsidP="00520586"/>
    <w:p w14:paraId="732EDFD2" w14:textId="77777777" w:rsidR="00520586" w:rsidRDefault="00520586" w:rsidP="00520586">
      <w:pPr>
        <w:rPr>
          <w:i/>
        </w:rPr>
      </w:pPr>
      <w:r w:rsidRPr="00FE1F8D">
        <w:rPr>
          <w:i/>
        </w:rPr>
        <w:t>Latex Allergy</w:t>
      </w:r>
      <w:r>
        <w:rPr>
          <w:i/>
        </w:rPr>
        <w:t>:</w:t>
      </w:r>
    </w:p>
    <w:p w14:paraId="684D7532" w14:textId="77777777" w:rsidR="00520586" w:rsidRPr="00FE1F8D" w:rsidRDefault="00520586" w:rsidP="00520586">
      <w:pPr>
        <w:rPr>
          <w:i/>
        </w:rPr>
      </w:pPr>
    </w:p>
    <w:p w14:paraId="7E95ED61" w14:textId="77777777" w:rsidR="00520586" w:rsidRPr="00D92744" w:rsidRDefault="00520586" w:rsidP="00520586">
      <w:pPr>
        <w:rPr>
          <w:b/>
          <w:i/>
        </w:rPr>
      </w:pPr>
      <w:r w:rsidRPr="00520586">
        <w:rPr>
          <w:bCs/>
          <w:iCs/>
          <w:lang w:eastAsia="en-GB"/>
        </w:rPr>
        <w:t>The needle shield of the pre-filled syringe may contain dry natural latex rubber that has the potential to cause allergic reactions in latex sensitive individuals</w:t>
      </w:r>
      <w:r w:rsidRPr="00D92744">
        <w:rPr>
          <w:b/>
          <w:bCs/>
          <w:i/>
          <w:iCs/>
          <w:lang w:eastAsia="en-GB"/>
        </w:rPr>
        <w:t>.</w:t>
      </w:r>
    </w:p>
    <w:p w14:paraId="58C0A9DB" w14:textId="77777777" w:rsidR="00520586" w:rsidRDefault="00520586" w:rsidP="00283559"/>
    <w:p w14:paraId="72412E11" w14:textId="77777777" w:rsidR="003F3C3B" w:rsidRDefault="003F3C3B"/>
    <w:p w14:paraId="49913783" w14:textId="77777777" w:rsidR="003F3C3B" w:rsidRDefault="003F3C3B" w:rsidP="000361C7">
      <w:pPr>
        <w:jc w:val="both"/>
        <w:rPr>
          <w:b/>
          <w:bCs/>
        </w:rPr>
      </w:pPr>
      <w:r>
        <w:rPr>
          <w:b/>
          <w:bCs/>
        </w:rPr>
        <w:t xml:space="preserve">THE LOW MOLECULAR WEIGHT HEPARINS ARE CLINICALLY </w:t>
      </w:r>
      <w:r>
        <w:rPr>
          <w:b/>
          <w:bCs/>
          <w:u w:val="single"/>
        </w:rPr>
        <w:t xml:space="preserve">NOT </w:t>
      </w:r>
      <w:r>
        <w:rPr>
          <w:b/>
          <w:bCs/>
        </w:rPr>
        <w:t>INTERCHANGEABLE AS THEY DIFFER FROM ONE ANOTHER IN HAVING DIFFERENT MOLECULAR WEIGHT PROFILES, DIFFERENT SPECIFIC</w:t>
      </w:r>
      <w:r>
        <w:rPr>
          <w:rFonts w:cs="Arial"/>
          <w:b/>
          <w:sz w:val="24"/>
        </w:rPr>
        <w:t xml:space="preserve"> </w:t>
      </w:r>
      <w:r>
        <w:rPr>
          <w:b/>
          <w:bCs/>
        </w:rPr>
        <w:t>ACTIVITIES (ANTI Xa TO ANTI IIa ACTIVITIES), DIFFERENT RATE OF PLASMA CLEARANCE, DIFFERENT DOSAGE REGIME ETC.</w:t>
      </w:r>
    </w:p>
    <w:p w14:paraId="630B87CF" w14:textId="77777777" w:rsidR="002B5995" w:rsidRDefault="002B5995"/>
    <w:p w14:paraId="4C660DA1" w14:textId="77777777" w:rsidR="002B5995" w:rsidRPr="003A33B6" w:rsidRDefault="00D45E68" w:rsidP="003A33B6">
      <w:pPr>
        <w:pStyle w:val="NoNumHead3"/>
      </w:pPr>
      <w:r>
        <w:t xml:space="preserve">Effects on </w:t>
      </w:r>
      <w:r w:rsidR="002B5995" w:rsidRPr="003A33B6">
        <w:t>Fertility:</w:t>
      </w:r>
    </w:p>
    <w:p w14:paraId="0225B5E1" w14:textId="77777777" w:rsidR="00BC3144" w:rsidRDefault="002B5995" w:rsidP="00BC3144">
      <w:pPr>
        <w:jc w:val="both"/>
        <w:rPr>
          <w:rStyle w:val="CommentReference"/>
        </w:rPr>
      </w:pPr>
      <w:r w:rsidRPr="002B5995">
        <w:rPr>
          <w:rStyle w:val="CSIchar"/>
          <w:shd w:val="clear" w:color="auto" w:fill="auto"/>
        </w:rPr>
        <w:t>There are no clinical studies on the effect of nadroparin on fertility</w:t>
      </w:r>
      <w:r w:rsidR="00BC3144">
        <w:rPr>
          <w:rStyle w:val="CSIchar"/>
          <w:shd w:val="clear" w:color="auto" w:fill="auto"/>
        </w:rPr>
        <w:t xml:space="preserve"> in humans</w:t>
      </w:r>
      <w:r w:rsidRPr="002B5995">
        <w:rPr>
          <w:rStyle w:val="CSIchar"/>
          <w:shd w:val="clear" w:color="auto" w:fill="auto"/>
        </w:rPr>
        <w:t>.</w:t>
      </w:r>
      <w:r w:rsidR="00BC3144" w:rsidRPr="00BC3144">
        <w:rPr>
          <w:rStyle w:val="CommentReference"/>
        </w:rPr>
        <w:t xml:space="preserve"> </w:t>
      </w:r>
    </w:p>
    <w:p w14:paraId="7BBF2AC9" w14:textId="77777777" w:rsidR="00BC3144" w:rsidRDefault="00BC3144" w:rsidP="00BC3144">
      <w:pPr>
        <w:jc w:val="both"/>
        <w:rPr>
          <w:rStyle w:val="CommentReference"/>
        </w:rPr>
      </w:pPr>
    </w:p>
    <w:p w14:paraId="6FD96E1C" w14:textId="77777777" w:rsidR="00BC3144" w:rsidRPr="001D3E65" w:rsidRDefault="00BC3144" w:rsidP="00BC3144">
      <w:pPr>
        <w:jc w:val="both"/>
        <w:rPr>
          <w:rFonts w:cs="Arial"/>
          <w:szCs w:val="22"/>
        </w:rPr>
      </w:pPr>
      <w:r w:rsidRPr="001D3E65">
        <w:rPr>
          <w:rFonts w:cs="Arial"/>
          <w:szCs w:val="22"/>
        </w:rPr>
        <w:t xml:space="preserve">Nadroparin at subcutaneous doses up to 40 mg/kg (approximately 3,800 </w:t>
      </w:r>
      <w:r>
        <w:rPr>
          <w:rFonts w:cs="Arial"/>
          <w:szCs w:val="22"/>
        </w:rPr>
        <w:t>anti-</w:t>
      </w:r>
      <w:r w:rsidRPr="001D3E65">
        <w:rPr>
          <w:rFonts w:cs="Arial"/>
          <w:szCs w:val="22"/>
        </w:rPr>
        <w:t>Xa IU/kg) did not affect the fertility or reproductive performance of male and female rats.</w:t>
      </w:r>
    </w:p>
    <w:p w14:paraId="03621A24" w14:textId="77777777" w:rsidR="002B5995" w:rsidRDefault="002B5995" w:rsidP="002B5995"/>
    <w:p w14:paraId="65919531" w14:textId="77777777" w:rsidR="003F3C3B" w:rsidRPr="00F35591" w:rsidRDefault="00F71F00">
      <w:pPr>
        <w:pStyle w:val="Heading3"/>
        <w:rPr>
          <w:i/>
          <w:u w:val="none"/>
        </w:rPr>
      </w:pPr>
      <w:r w:rsidRPr="00F71F00">
        <w:rPr>
          <w:i/>
          <w:u w:val="none"/>
        </w:rPr>
        <w:t>Use in Pregnancy</w:t>
      </w:r>
      <w:r w:rsidR="00F35591">
        <w:rPr>
          <w:i/>
          <w:u w:val="none"/>
        </w:rPr>
        <w:t>:</w:t>
      </w:r>
    </w:p>
    <w:p w14:paraId="1D1568E5" w14:textId="77777777" w:rsidR="003F3C3B" w:rsidRDefault="003F3C3B"/>
    <w:p w14:paraId="5965E8D7" w14:textId="77777777" w:rsidR="003F3C3B" w:rsidRDefault="003F3C3B">
      <w:r>
        <w:t>Category C</w:t>
      </w:r>
    </w:p>
    <w:p w14:paraId="35A25D2B" w14:textId="77777777" w:rsidR="003F3C3B" w:rsidRDefault="003F3C3B"/>
    <w:p w14:paraId="30DD0507" w14:textId="4F75579E" w:rsidR="00005432" w:rsidRDefault="003F3C3B" w:rsidP="00005432">
      <w:r>
        <w:t xml:space="preserve">In animal studies, nadroparin did not cause </w:t>
      </w:r>
      <w:r w:rsidR="001D61C4" w:rsidRPr="00F35591">
        <w:rPr>
          <w:szCs w:val="22"/>
        </w:rPr>
        <w:t>teratogenic</w:t>
      </w:r>
      <w:r>
        <w:t xml:space="preserve"> or embryotoxic effects when administered to pregnant rats and rabbits at subcutaneous doses up to 3,800 </w:t>
      </w:r>
      <w:r w:rsidR="00F65309">
        <w:t xml:space="preserve">anti-Xa </w:t>
      </w:r>
      <w:r>
        <w:t>IU/kg/day. A study in rats showed that only minimal amounts of radiolabelled nadroparin calcium w</w:t>
      </w:r>
      <w:r w:rsidR="00D45E68">
        <w:t>ere</w:t>
      </w:r>
      <w:r>
        <w:t xml:space="preserve"> able to cross the placental barrier (0.002% of applied dose per </w:t>
      </w:r>
      <w:r w:rsidR="00E47C02">
        <w:t>foetus</w:t>
      </w:r>
      <w:r>
        <w:t xml:space="preserve">). </w:t>
      </w:r>
      <w:r w:rsidR="00834DB4" w:rsidRPr="00F35591">
        <w:rPr>
          <w:rStyle w:val="CSIchar"/>
          <w:shd w:val="clear" w:color="auto" w:fill="auto"/>
        </w:rPr>
        <w:t xml:space="preserve">However, there is only limited clinical data concerning transplacental passage of nadroparin in pregnant women. Therefore, the use of </w:t>
      </w:r>
      <w:r w:rsidR="006E03D1">
        <w:rPr>
          <w:rStyle w:val="CSIchar"/>
          <w:shd w:val="clear" w:color="auto" w:fill="auto"/>
        </w:rPr>
        <w:lastRenderedPageBreak/>
        <w:t>Fraxiparine</w:t>
      </w:r>
      <w:r w:rsidR="00834DB4" w:rsidRPr="00F35591">
        <w:rPr>
          <w:rStyle w:val="CSIchar"/>
          <w:shd w:val="clear" w:color="auto" w:fill="auto"/>
        </w:rPr>
        <w:t xml:space="preserve"> during pregnancy is not advised, unless the therapeutic benefits outweigh the possible risks.</w:t>
      </w:r>
      <w:r w:rsidR="00D45E68">
        <w:rPr>
          <w:rStyle w:val="CSIchar"/>
          <w:shd w:val="clear" w:color="auto" w:fill="auto"/>
        </w:rPr>
        <w:t xml:space="preserve"> An increased incidence of </w:t>
      </w:r>
      <w:r w:rsidR="00E47C02">
        <w:rPr>
          <w:rStyle w:val="CSIchar"/>
          <w:shd w:val="clear" w:color="auto" w:fill="auto"/>
        </w:rPr>
        <w:t>foetal</w:t>
      </w:r>
      <w:r w:rsidR="00D45E68">
        <w:rPr>
          <w:rStyle w:val="CSIchar"/>
          <w:shd w:val="clear" w:color="auto" w:fill="auto"/>
        </w:rPr>
        <w:t xml:space="preserve"> loss and prematurity may be associated with maternal haemorrhage.</w:t>
      </w:r>
    </w:p>
    <w:p w14:paraId="2A169F2F" w14:textId="77777777" w:rsidR="003F3C3B" w:rsidRPr="00F35591" w:rsidRDefault="00F71F00">
      <w:pPr>
        <w:pStyle w:val="Heading3"/>
        <w:rPr>
          <w:i/>
          <w:u w:val="none"/>
        </w:rPr>
      </w:pPr>
      <w:r w:rsidRPr="00F71F00">
        <w:rPr>
          <w:i/>
          <w:u w:val="none"/>
        </w:rPr>
        <w:t>Use in Lactation</w:t>
      </w:r>
      <w:r w:rsidR="00F35591">
        <w:rPr>
          <w:i/>
          <w:u w:val="none"/>
        </w:rPr>
        <w:t>:</w:t>
      </w:r>
    </w:p>
    <w:p w14:paraId="40E5860C" w14:textId="77777777" w:rsidR="00005432" w:rsidRDefault="00005432" w:rsidP="00005432"/>
    <w:p w14:paraId="40544823" w14:textId="604CAB60" w:rsidR="00005432" w:rsidRDefault="003F3C3B">
      <w:r>
        <w:t xml:space="preserve">A study with radiolabelled nadroparin calcium at 2.5 mg/kg/day (230 </w:t>
      </w:r>
      <w:r w:rsidR="00F65309">
        <w:t xml:space="preserve">anti-Xa </w:t>
      </w:r>
      <w:proofErr w:type="gramStart"/>
      <w:r>
        <w:t>IU/kg/day</w:t>
      </w:r>
      <w:proofErr w:type="gramEnd"/>
      <w:r>
        <w:t>) in lactating rats has shown that drug-related material is excreted in milk with about the same concentration in the</w:t>
      </w:r>
      <w:r w:rsidR="00230192">
        <w:t xml:space="preserve"> </w:t>
      </w:r>
      <w:r>
        <w:t xml:space="preserve">milk as in maternal plasma. </w:t>
      </w:r>
      <w:r w:rsidR="00F35591" w:rsidRPr="00F35591">
        <w:rPr>
          <w:rStyle w:val="CSIchar"/>
          <w:shd w:val="clear" w:color="auto" w:fill="auto"/>
        </w:rPr>
        <w:t xml:space="preserve">There is limited information on the excretion of nadroparin in breast milk. Therefore, the use of </w:t>
      </w:r>
      <w:r w:rsidR="006E03D1">
        <w:rPr>
          <w:rStyle w:val="CSIchar"/>
          <w:shd w:val="clear" w:color="auto" w:fill="auto"/>
        </w:rPr>
        <w:t>Fraxiparine</w:t>
      </w:r>
      <w:r w:rsidR="00F35591" w:rsidRPr="00F35591">
        <w:rPr>
          <w:rStyle w:val="CSIchar"/>
          <w:shd w:val="clear" w:color="auto" w:fill="auto"/>
        </w:rPr>
        <w:t xml:space="preserve"> during breast feeding is not advised.</w:t>
      </w:r>
    </w:p>
    <w:p w14:paraId="7C602F04" w14:textId="63AF3125" w:rsidR="00005432" w:rsidRDefault="00AA4DC0">
      <w:pPr>
        <w:pStyle w:val="Heading3"/>
        <w:rPr>
          <w:i/>
          <w:u w:val="none"/>
        </w:rPr>
      </w:pPr>
      <w:r>
        <w:rPr>
          <w:i/>
          <w:u w:val="none"/>
        </w:rPr>
        <w:t>Use in t</w:t>
      </w:r>
      <w:r w:rsidR="00954FAA" w:rsidRPr="003D7B14">
        <w:rPr>
          <w:i/>
          <w:u w:val="none"/>
        </w:rPr>
        <w:t>he Elderly</w:t>
      </w:r>
      <w:r w:rsidR="00954FAA">
        <w:rPr>
          <w:i/>
          <w:u w:val="none"/>
        </w:rPr>
        <w:t>:</w:t>
      </w:r>
    </w:p>
    <w:p w14:paraId="10F8B786" w14:textId="77777777" w:rsidR="00954FAA" w:rsidRDefault="00954FAA" w:rsidP="00954FAA"/>
    <w:p w14:paraId="30A547F4" w14:textId="77777777" w:rsidR="00954FAA" w:rsidRDefault="00954FAA" w:rsidP="00954FAA">
      <w:pPr>
        <w:rPr>
          <w:szCs w:val="22"/>
        </w:rPr>
      </w:pPr>
      <w:r w:rsidRPr="003D7B14">
        <w:rPr>
          <w:szCs w:val="22"/>
        </w:rPr>
        <w:t xml:space="preserve">Elderly patients and patients with renal insufficiency may show delayed elimination of nadroparin calcium. </w:t>
      </w:r>
      <w:r w:rsidRPr="00134E42">
        <w:rPr>
          <w:rStyle w:val="CSIchar"/>
          <w:shd w:val="clear" w:color="auto" w:fill="auto"/>
        </w:rPr>
        <w:t xml:space="preserve">It is recommended that renal function is assessed before initiating treatment. </w:t>
      </w:r>
      <w:r w:rsidRPr="003D7B14">
        <w:rPr>
          <w:szCs w:val="22"/>
        </w:rPr>
        <w:t>Reduced doses should be considered.</w:t>
      </w:r>
    </w:p>
    <w:p w14:paraId="4FC61EED" w14:textId="77777777" w:rsidR="008A607E" w:rsidRPr="00923F1F" w:rsidRDefault="008A607E" w:rsidP="008A607E">
      <w:pPr>
        <w:pStyle w:val="Heading3"/>
        <w:rPr>
          <w:i/>
          <w:u w:val="none"/>
        </w:rPr>
      </w:pPr>
      <w:r w:rsidRPr="00923F1F">
        <w:rPr>
          <w:i/>
          <w:u w:val="none"/>
        </w:rPr>
        <w:t>Genotoxicity</w:t>
      </w:r>
    </w:p>
    <w:p w14:paraId="7E9D4847" w14:textId="77777777" w:rsidR="00860CC7" w:rsidRDefault="00860CC7" w:rsidP="008A607E">
      <w:pPr>
        <w:pStyle w:val="Heading3"/>
      </w:pPr>
      <w:r w:rsidRPr="00923F1F">
        <w:rPr>
          <w:u w:val="none"/>
        </w:rPr>
        <w:t>Preclinical data has revealed no special hazard based on conventional studies of genotoxicity.</w:t>
      </w:r>
      <w:r w:rsidRPr="00D45E68">
        <w:t xml:space="preserve"> </w:t>
      </w:r>
    </w:p>
    <w:p w14:paraId="72EAD85B" w14:textId="77777777" w:rsidR="008A607E" w:rsidRPr="00923F1F" w:rsidRDefault="008A607E" w:rsidP="008A607E">
      <w:pPr>
        <w:pStyle w:val="Heading3"/>
        <w:rPr>
          <w:b/>
          <w:i/>
          <w:u w:val="none"/>
        </w:rPr>
      </w:pPr>
      <w:r w:rsidRPr="00923F1F">
        <w:rPr>
          <w:i/>
          <w:u w:val="none"/>
        </w:rPr>
        <w:t>Carcinogenicity</w:t>
      </w:r>
    </w:p>
    <w:p w14:paraId="367B11F9" w14:textId="77777777" w:rsidR="008A607E" w:rsidRPr="00923F1F" w:rsidRDefault="008A607E" w:rsidP="008A607E"/>
    <w:p w14:paraId="2A6D3B20" w14:textId="77777777" w:rsidR="008A607E" w:rsidRDefault="008A607E" w:rsidP="008A607E">
      <w:r>
        <w:t>Nadroparin calcium has not been tested in long-term animal studies of carcinogenic potential.</w:t>
      </w:r>
    </w:p>
    <w:p w14:paraId="3B8200E9" w14:textId="77777777" w:rsidR="00BC3144" w:rsidRDefault="00BC3144" w:rsidP="00923F1F"/>
    <w:p w14:paraId="0569ACA9" w14:textId="77777777" w:rsidR="00005432" w:rsidRDefault="00005432" w:rsidP="00005432"/>
    <w:p w14:paraId="421183D8" w14:textId="77777777" w:rsidR="00834DB4" w:rsidRPr="00A35CAE" w:rsidRDefault="00834DB4" w:rsidP="000361C7">
      <w:pPr>
        <w:jc w:val="both"/>
        <w:rPr>
          <w:i/>
        </w:rPr>
      </w:pPr>
      <w:r w:rsidRPr="00A35CAE">
        <w:rPr>
          <w:i/>
        </w:rPr>
        <w:t>Ability to perform tasks that require judge</w:t>
      </w:r>
      <w:r w:rsidR="00A35CAE">
        <w:rPr>
          <w:i/>
        </w:rPr>
        <w:t>ment, motor or cognitive skills:</w:t>
      </w:r>
    </w:p>
    <w:p w14:paraId="34FBD501" w14:textId="77777777" w:rsidR="00FE2B9F" w:rsidRDefault="00834DB4" w:rsidP="00FE2B9F">
      <w:r>
        <w:br/>
        <w:t>There are no data on the effects of nadroparin on driving performance or the ability to operate machinery.</w:t>
      </w:r>
    </w:p>
    <w:p w14:paraId="3C27518B" w14:textId="77777777" w:rsidR="00505044" w:rsidRDefault="00505044" w:rsidP="000361C7">
      <w:pPr>
        <w:jc w:val="both"/>
      </w:pPr>
    </w:p>
    <w:p w14:paraId="4B701497" w14:textId="77777777" w:rsidR="003F3C3B" w:rsidRPr="00C36246" w:rsidRDefault="00D75E81" w:rsidP="00A35CAE">
      <w:pPr>
        <w:pStyle w:val="Heading3"/>
        <w:rPr>
          <w:b/>
          <w:u w:val="none"/>
        </w:rPr>
      </w:pPr>
      <w:r w:rsidRPr="00D75E81">
        <w:rPr>
          <w:b/>
          <w:u w:val="none"/>
        </w:rPr>
        <w:t>INTERACTIONS WITH OTHER MEDICINES</w:t>
      </w:r>
    </w:p>
    <w:p w14:paraId="25D2CF8E" w14:textId="77777777" w:rsidR="003F3C3B" w:rsidRPr="000D189F" w:rsidRDefault="00005432" w:rsidP="00A35CAE">
      <w:pPr>
        <w:pStyle w:val="Heading3"/>
        <w:rPr>
          <w:i/>
          <w:u w:val="none"/>
        </w:rPr>
      </w:pPr>
      <w:r w:rsidRPr="00005432">
        <w:rPr>
          <w:i/>
          <w:u w:val="none"/>
        </w:rPr>
        <w:t>Combined therapy with the following drugs is not recommended:</w:t>
      </w:r>
    </w:p>
    <w:p w14:paraId="2371473D" w14:textId="77777777" w:rsidR="00834DB4" w:rsidRDefault="00834DB4" w:rsidP="00A35CAE">
      <w:pPr>
        <w:rPr>
          <w:rStyle w:val="CSIchar"/>
          <w:rFonts w:cs="Arial"/>
          <w:szCs w:val="22"/>
          <w:shd w:val="clear" w:color="auto" w:fill="auto"/>
        </w:rPr>
      </w:pPr>
    </w:p>
    <w:p w14:paraId="4BC6C208" w14:textId="77777777" w:rsidR="0056425B" w:rsidRPr="002742C7" w:rsidRDefault="0056425B" w:rsidP="0056425B">
      <w:pPr>
        <w:rPr>
          <w:rFonts w:cs="Arial"/>
          <w:szCs w:val="22"/>
        </w:rPr>
      </w:pPr>
      <w:r w:rsidRPr="001556D1">
        <w:rPr>
          <w:rStyle w:val="CSIchar"/>
          <w:rFonts w:cs="Arial"/>
          <w:szCs w:val="22"/>
          <w:shd w:val="clear" w:color="auto" w:fill="auto"/>
        </w:rPr>
        <w:t xml:space="preserve">In the prophylaxis </w:t>
      </w:r>
      <w:r w:rsidR="0097328B">
        <w:rPr>
          <w:rStyle w:val="CSIchar"/>
          <w:rFonts w:cs="Arial"/>
          <w:szCs w:val="22"/>
          <w:shd w:val="clear" w:color="auto" w:fill="auto"/>
        </w:rPr>
        <w:t xml:space="preserve">against deep vein thrombosis (DVT) associated with general or orthopaedic surgery, </w:t>
      </w:r>
      <w:r w:rsidRPr="001556D1">
        <w:rPr>
          <w:rStyle w:val="CSIchar"/>
          <w:rFonts w:cs="Arial"/>
          <w:szCs w:val="22"/>
          <w:shd w:val="clear" w:color="auto" w:fill="auto"/>
        </w:rPr>
        <w:t xml:space="preserve">treatment of </w:t>
      </w:r>
      <w:r w:rsidR="0097328B">
        <w:rPr>
          <w:rStyle w:val="CSIchar"/>
          <w:rFonts w:cs="Arial"/>
          <w:szCs w:val="22"/>
          <w:shd w:val="clear" w:color="auto" w:fill="auto"/>
        </w:rPr>
        <w:t>DVT</w:t>
      </w:r>
      <w:r w:rsidRPr="001556D1">
        <w:rPr>
          <w:rStyle w:val="CSIchar"/>
          <w:rFonts w:cs="Arial"/>
          <w:szCs w:val="22"/>
          <w:shd w:val="clear" w:color="auto" w:fill="auto"/>
        </w:rPr>
        <w:t xml:space="preserve"> and in the prevention of clotting during haemodialysis, the concomitant use of aspirin, other salicylates, </w:t>
      </w:r>
      <w:r w:rsidR="00556134">
        <w:rPr>
          <w:rStyle w:val="CSIchar"/>
          <w:rFonts w:cs="Arial"/>
          <w:szCs w:val="22"/>
          <w:shd w:val="clear" w:color="auto" w:fill="auto"/>
        </w:rPr>
        <w:t>NSAIDs</w:t>
      </w:r>
      <w:r w:rsidR="005B742D" w:rsidRPr="005B742D">
        <w:rPr>
          <w:rStyle w:val="CSIchar"/>
          <w:rFonts w:cs="Arial"/>
          <w:szCs w:val="22"/>
          <w:shd w:val="clear" w:color="auto" w:fill="auto"/>
        </w:rPr>
        <w:t>, ticlopidine and other anti-platelet agents is not recommended, as they may increase the risk of bleeding. Where such combinations cannot be avoided, careful clinical and biological monitoring should be undertaken.</w:t>
      </w:r>
      <w:r w:rsidRPr="002742C7">
        <w:rPr>
          <w:rStyle w:val="CSIchar"/>
          <w:rFonts w:cs="Arial"/>
          <w:szCs w:val="22"/>
        </w:rPr>
        <w:t xml:space="preserve"> </w:t>
      </w:r>
    </w:p>
    <w:p w14:paraId="230E82B4" w14:textId="77777777" w:rsidR="003F3C3B" w:rsidRPr="000D189F" w:rsidRDefault="00005432" w:rsidP="00A35CAE">
      <w:pPr>
        <w:pStyle w:val="Heading3"/>
        <w:rPr>
          <w:i/>
          <w:u w:val="none"/>
        </w:rPr>
      </w:pPr>
      <w:r w:rsidRPr="00005432">
        <w:rPr>
          <w:i/>
          <w:u w:val="none"/>
        </w:rPr>
        <w:t>Combinations requiring caution:</w:t>
      </w:r>
    </w:p>
    <w:p w14:paraId="7EB8E60A" w14:textId="77777777" w:rsidR="00834DB4" w:rsidRDefault="00834DB4" w:rsidP="00A35CAE"/>
    <w:p w14:paraId="165E05BF" w14:textId="77777777" w:rsidR="00834DB4" w:rsidRDefault="00434502" w:rsidP="00A35CAE">
      <w:r>
        <w:rPr>
          <w:rStyle w:val="CSIchar"/>
          <w:shd w:val="clear" w:color="auto" w:fill="auto"/>
        </w:rPr>
        <w:t>Fraxiparine</w:t>
      </w:r>
      <w:r w:rsidR="00834DB4" w:rsidRPr="00A35CAE">
        <w:rPr>
          <w:rStyle w:val="CSIchar"/>
          <w:shd w:val="clear" w:color="auto" w:fill="auto"/>
        </w:rPr>
        <w:t xml:space="preserve"> should be administered with caution in patients receiving oral anticoagulant agents, systemic (gluco-) corticosteroids and dextrans. When oral anticoagulant therapy is initiated in patients receiving nadroparin, treatment with </w:t>
      </w:r>
      <w:r>
        <w:rPr>
          <w:rStyle w:val="CSIchar"/>
          <w:shd w:val="clear" w:color="auto" w:fill="auto"/>
        </w:rPr>
        <w:t>Fraxiparine</w:t>
      </w:r>
      <w:r w:rsidR="00834DB4" w:rsidRPr="00A35CAE">
        <w:rPr>
          <w:rStyle w:val="CSIchar"/>
          <w:shd w:val="clear" w:color="auto" w:fill="auto"/>
        </w:rPr>
        <w:t xml:space="preserve"> should be continued until the International Normalisation Ratio (INR) is stabilised at the target value.</w:t>
      </w:r>
      <w:r w:rsidR="00834DB4">
        <w:t xml:space="preserve"> </w:t>
      </w:r>
      <w:r w:rsidR="00A35CAE">
        <w:t>Careful clinical and biological monitoring should be undertaken.</w:t>
      </w:r>
    </w:p>
    <w:p w14:paraId="300F2A75" w14:textId="77777777" w:rsidR="00AA311A" w:rsidRDefault="00AA311A" w:rsidP="00A35CAE"/>
    <w:p w14:paraId="50DC9B93" w14:textId="77777777" w:rsidR="003F3C3B" w:rsidRDefault="003F3C3B" w:rsidP="00A35CAE">
      <w:pPr>
        <w:pStyle w:val="Heading1"/>
      </w:pPr>
      <w:r>
        <w:lastRenderedPageBreak/>
        <w:t xml:space="preserve">ADVERSE </w:t>
      </w:r>
      <w:r w:rsidR="00C36246">
        <w:t>EFFECTS</w:t>
      </w:r>
    </w:p>
    <w:p w14:paraId="3A4944C6" w14:textId="77777777" w:rsidR="00CD70DD" w:rsidRDefault="00CD70DD" w:rsidP="00CD70DD"/>
    <w:p w14:paraId="27E028C3" w14:textId="77777777" w:rsidR="00DB2703" w:rsidRDefault="00BE0968">
      <w:r>
        <w:t xml:space="preserve">Adverse reactions are listed below by system organ class and frequency. </w:t>
      </w:r>
    </w:p>
    <w:p w14:paraId="5D888998" w14:textId="77777777" w:rsidR="00DB2703" w:rsidRDefault="00BE0968">
      <w:r>
        <w:t xml:space="preserve">The following convention has been used for the classification of adverse reactions in terms of frequency: Very common </w:t>
      </w:r>
      <w:r w:rsidR="00FE2B9F">
        <w:fldChar w:fldCharType="begin"/>
      </w:r>
      <w:r>
        <w:instrText>SYMBOL 8805\u</w:instrText>
      </w:r>
      <w:r w:rsidR="00FE2B9F">
        <w:fldChar w:fldCharType="end"/>
      </w:r>
      <w:r>
        <w:t xml:space="preserve">1/10, common </w:t>
      </w:r>
      <w:r w:rsidR="00FE2B9F">
        <w:fldChar w:fldCharType="begin"/>
      </w:r>
      <w:r>
        <w:instrText>SYMBOL 8805\u</w:instrText>
      </w:r>
      <w:r w:rsidR="00FE2B9F">
        <w:fldChar w:fldCharType="end"/>
      </w:r>
      <w:r>
        <w:t xml:space="preserve">1/100 to &lt;1/10, uncommon </w:t>
      </w:r>
      <w:r w:rsidR="00FE2B9F">
        <w:fldChar w:fldCharType="begin"/>
      </w:r>
      <w:r>
        <w:instrText>SYMBOL 8805\u</w:instrText>
      </w:r>
      <w:r w:rsidR="00FE2B9F">
        <w:fldChar w:fldCharType="end"/>
      </w:r>
      <w:r>
        <w:t xml:space="preserve">1/1000 to &lt;1/100, rare </w:t>
      </w:r>
      <w:r w:rsidR="00FE2B9F">
        <w:fldChar w:fldCharType="begin"/>
      </w:r>
      <w:r>
        <w:instrText>SYMBOL 8805\u</w:instrText>
      </w:r>
      <w:r w:rsidR="00FE2B9F">
        <w:fldChar w:fldCharType="end"/>
      </w:r>
      <w:r>
        <w:t>1/10,000 to &lt;1/1000, very rare &lt;1/10,000.</w:t>
      </w:r>
    </w:p>
    <w:p w14:paraId="7FB21CFF" w14:textId="77777777" w:rsidR="00230192" w:rsidRDefault="00230192">
      <w:pPr>
        <w:rPr>
          <w:b/>
        </w:rPr>
      </w:pPr>
    </w:p>
    <w:p w14:paraId="6F0F5CD8" w14:textId="77777777" w:rsidR="00230192" w:rsidRDefault="00230192">
      <w:pPr>
        <w:rPr>
          <w:b/>
        </w:rPr>
      </w:pPr>
    </w:p>
    <w:p w14:paraId="3764266C" w14:textId="77777777" w:rsidR="00DB2703" w:rsidRDefault="00BE0968">
      <w:pPr>
        <w:rPr>
          <w:b/>
        </w:rPr>
      </w:pPr>
      <w:r w:rsidRPr="00BE0968">
        <w:rPr>
          <w:b/>
        </w:rPr>
        <w:t>Blood and lymphatic system disorders</w:t>
      </w:r>
    </w:p>
    <w:p w14:paraId="1822C2C5" w14:textId="77777777" w:rsidR="00A35CAE" w:rsidRDefault="00A35CAE" w:rsidP="00A35CAE">
      <w:pPr>
        <w:rPr>
          <w:b/>
        </w:rPr>
      </w:pPr>
    </w:p>
    <w:p w14:paraId="0896C8A0" w14:textId="77777777" w:rsidR="00A35CAE" w:rsidRPr="00ED021C" w:rsidRDefault="00A35CAE" w:rsidP="00230192">
      <w:pPr>
        <w:ind w:left="2160" w:hanging="2160"/>
      </w:pPr>
      <w:r w:rsidRPr="00ED021C">
        <w:t xml:space="preserve">Very common: </w:t>
      </w:r>
      <w:r w:rsidR="001A3457">
        <w:tab/>
      </w:r>
      <w:r w:rsidRPr="00ED021C">
        <w:t xml:space="preserve">Haemorrhagic manifestations at various sites, more frequent in patients with </w:t>
      </w:r>
      <w:r w:rsidR="00CB4DAC">
        <w:t>o</w:t>
      </w:r>
      <w:r w:rsidR="00CB4DAC" w:rsidRPr="00ED021C">
        <w:t xml:space="preserve">ther </w:t>
      </w:r>
      <w:r w:rsidRPr="00ED021C">
        <w:t>risk factors (see C</w:t>
      </w:r>
      <w:r w:rsidR="00ED021C" w:rsidRPr="00ED021C">
        <w:t>ONTRAINDICATIONS</w:t>
      </w:r>
      <w:r w:rsidRPr="00ED021C">
        <w:t xml:space="preserve"> and </w:t>
      </w:r>
      <w:r w:rsidR="00CB4DAC">
        <w:t>I</w:t>
      </w:r>
      <w:r w:rsidR="00ED021C" w:rsidRPr="00ED021C">
        <w:t>NTERACTIONS</w:t>
      </w:r>
      <w:r w:rsidR="0056425B">
        <w:t xml:space="preserve"> WITH OTHER MEDICINES</w:t>
      </w:r>
      <w:r w:rsidRPr="00ED021C">
        <w:t xml:space="preserve">).    </w:t>
      </w:r>
    </w:p>
    <w:p w14:paraId="1B9B596D" w14:textId="77777777" w:rsidR="00A35CAE" w:rsidRPr="00ED021C" w:rsidRDefault="00A35CAE" w:rsidP="00A35CAE"/>
    <w:p w14:paraId="31C26006" w14:textId="77777777" w:rsidR="002672C9" w:rsidRDefault="00A35CAE" w:rsidP="00A926D0">
      <w:pPr>
        <w:pStyle w:val="anchor"/>
        <w:ind w:left="2160" w:hanging="2160"/>
      </w:pPr>
      <w:r w:rsidRPr="00894EEA">
        <w:t xml:space="preserve">Rare: </w:t>
      </w:r>
      <w:r w:rsidR="00811335">
        <w:tab/>
      </w:r>
      <w:r w:rsidRPr="00894EEA">
        <w:t xml:space="preserve">Thrombocytopenia (including </w:t>
      </w:r>
      <w:r w:rsidRPr="00434502">
        <w:t>hep</w:t>
      </w:r>
      <w:r w:rsidR="00091BD7" w:rsidRPr="00091BD7">
        <w:t>arin-induced thrombocytopenia</w:t>
      </w:r>
      <w:r w:rsidR="003D0945">
        <w:rPr>
          <w:i/>
        </w:rPr>
        <w:t xml:space="preserve">) </w:t>
      </w:r>
      <w:r w:rsidRPr="00894EEA">
        <w:t xml:space="preserve">(see </w:t>
      </w:r>
      <w:r w:rsidRPr="0056425B">
        <w:t>P</w:t>
      </w:r>
      <w:r w:rsidR="00ED021C" w:rsidRPr="0056425B">
        <w:t>RECAUTIONS</w:t>
      </w:r>
      <w:r w:rsidRPr="00894EEA">
        <w:t>), thrombocytosis.</w:t>
      </w:r>
    </w:p>
    <w:p w14:paraId="08EA8D37" w14:textId="77777777" w:rsidR="00A35CAE" w:rsidRPr="00894EEA" w:rsidRDefault="00A35CAE" w:rsidP="00FF1917">
      <w:pPr>
        <w:pStyle w:val="anchor"/>
      </w:pPr>
    </w:p>
    <w:p w14:paraId="293831F3" w14:textId="77777777" w:rsidR="001556D1" w:rsidRPr="00894EEA" w:rsidRDefault="00A35CAE" w:rsidP="00FF1917">
      <w:pPr>
        <w:pStyle w:val="anchor"/>
      </w:pPr>
      <w:r w:rsidRPr="00894EEA">
        <w:t xml:space="preserve">Very rare: </w:t>
      </w:r>
      <w:r w:rsidR="00811335">
        <w:tab/>
      </w:r>
      <w:r w:rsidR="00687FEC">
        <w:tab/>
      </w:r>
      <w:r w:rsidRPr="00894EEA">
        <w:t>Eosinophilia, reversible following treatment discontinuation.</w:t>
      </w:r>
    </w:p>
    <w:p w14:paraId="6BE10F3E" w14:textId="77777777" w:rsidR="00CD70DD" w:rsidRDefault="00A35CAE" w:rsidP="00CD70DD">
      <w:pPr>
        <w:pStyle w:val="Heading1"/>
      </w:pPr>
      <w:r w:rsidRPr="00894EEA">
        <w:t>Immune system disorders</w:t>
      </w:r>
    </w:p>
    <w:p w14:paraId="3412A0CE" w14:textId="77777777" w:rsidR="00A35CAE" w:rsidRPr="00894EEA" w:rsidRDefault="00A35CAE" w:rsidP="00A35CAE">
      <w:pPr>
        <w:rPr>
          <w:rFonts w:cs="Arial"/>
          <w:b/>
          <w:szCs w:val="22"/>
        </w:rPr>
      </w:pPr>
    </w:p>
    <w:p w14:paraId="49AFCC3D" w14:textId="77777777" w:rsidR="002672C9" w:rsidRDefault="00420446" w:rsidP="00B05C77">
      <w:pPr>
        <w:pStyle w:val="anchor"/>
        <w:ind w:left="2160" w:hanging="2160"/>
      </w:pPr>
      <w:r>
        <w:t>Very r</w:t>
      </w:r>
      <w:r w:rsidR="008F27A8">
        <w:t>are</w:t>
      </w:r>
      <w:r w:rsidR="00A35CAE" w:rsidRPr="00894EEA">
        <w:t xml:space="preserve">: </w:t>
      </w:r>
      <w:r w:rsidR="00811335">
        <w:tab/>
      </w:r>
      <w:r w:rsidR="00A35CAE" w:rsidRPr="00894EEA">
        <w:t>Hypersensitivity reactions (including angioedema and cutaneous reactions), anaphylactoid reaction.</w:t>
      </w:r>
    </w:p>
    <w:p w14:paraId="783B0BFC" w14:textId="77777777" w:rsidR="001B4EA5" w:rsidRDefault="001B4EA5" w:rsidP="00FF1917">
      <w:pPr>
        <w:pStyle w:val="anchor"/>
      </w:pPr>
    </w:p>
    <w:p w14:paraId="0C47BBDC" w14:textId="77777777" w:rsidR="001556D1" w:rsidRPr="00894EEA" w:rsidRDefault="001B4EA5" w:rsidP="00FF1917">
      <w:pPr>
        <w:pStyle w:val="anchor"/>
      </w:pPr>
      <w:r>
        <w:t>Hypersensitivity reactions sometimes require discontinuation of treatment.</w:t>
      </w:r>
    </w:p>
    <w:p w14:paraId="36FE9D65" w14:textId="77777777" w:rsidR="00A35CAE" w:rsidRDefault="00A35CAE" w:rsidP="003D0945">
      <w:pPr>
        <w:pStyle w:val="Heading1"/>
        <w:rPr>
          <w:i/>
        </w:rPr>
      </w:pPr>
      <w:r w:rsidRPr="003D0945">
        <w:t>Metabolism and nutrition disorders</w:t>
      </w:r>
    </w:p>
    <w:p w14:paraId="60E9078D" w14:textId="77777777" w:rsidR="003D0945" w:rsidRPr="003D0945" w:rsidRDefault="003D0945" w:rsidP="00FF1917">
      <w:pPr>
        <w:pStyle w:val="anchor"/>
      </w:pPr>
    </w:p>
    <w:p w14:paraId="66D3A096" w14:textId="77777777" w:rsidR="002672C9" w:rsidRDefault="00ED021C" w:rsidP="00B05C77">
      <w:pPr>
        <w:pStyle w:val="anchor"/>
        <w:ind w:left="2160" w:hanging="2160"/>
      </w:pPr>
      <w:r w:rsidRPr="00894EEA">
        <w:t xml:space="preserve">Very rare: </w:t>
      </w:r>
      <w:r w:rsidR="00131C10">
        <w:tab/>
      </w:r>
      <w:r w:rsidRPr="00894EEA">
        <w:t>Reversible hyperkalaemia related to heparin-induced aldosterone suppression, particularly in patients at risk (see P</w:t>
      </w:r>
      <w:r w:rsidR="00BE2F64">
        <w:t>RECAUTIONS</w:t>
      </w:r>
      <w:r w:rsidRPr="00894EEA">
        <w:t>).</w:t>
      </w:r>
    </w:p>
    <w:p w14:paraId="5FC477B4" w14:textId="77777777" w:rsidR="00ED021C" w:rsidRPr="003D0945" w:rsidRDefault="00ED021C" w:rsidP="003D0945">
      <w:pPr>
        <w:pStyle w:val="Heading1"/>
        <w:rPr>
          <w:i/>
        </w:rPr>
      </w:pPr>
      <w:r w:rsidRPr="003D0945">
        <w:t xml:space="preserve">Hepato-biliary disorders </w:t>
      </w:r>
    </w:p>
    <w:p w14:paraId="0F310CBC" w14:textId="77777777" w:rsidR="003D0945" w:rsidRPr="00894EEA" w:rsidRDefault="003D0945" w:rsidP="00FF1917">
      <w:pPr>
        <w:pStyle w:val="anchor"/>
      </w:pPr>
    </w:p>
    <w:p w14:paraId="67C241B1" w14:textId="77777777" w:rsidR="001556D1" w:rsidRPr="00894EEA" w:rsidRDefault="00ED021C" w:rsidP="00ED021C">
      <w:pPr>
        <w:rPr>
          <w:rFonts w:cs="Arial"/>
          <w:szCs w:val="22"/>
        </w:rPr>
      </w:pPr>
      <w:r w:rsidRPr="00894EEA">
        <w:rPr>
          <w:rFonts w:cs="Arial"/>
          <w:szCs w:val="22"/>
        </w:rPr>
        <w:t xml:space="preserve">Common: </w:t>
      </w:r>
      <w:r w:rsidR="00131C10">
        <w:rPr>
          <w:rFonts w:cs="Arial"/>
          <w:szCs w:val="22"/>
        </w:rPr>
        <w:tab/>
      </w:r>
      <w:r w:rsidR="00687FEC">
        <w:rPr>
          <w:rFonts w:cs="Arial"/>
          <w:szCs w:val="22"/>
        </w:rPr>
        <w:tab/>
      </w:r>
      <w:r w:rsidRPr="00894EEA">
        <w:rPr>
          <w:rFonts w:cs="Arial"/>
          <w:szCs w:val="22"/>
        </w:rPr>
        <w:t xml:space="preserve">Raised transaminases, usually transient. </w:t>
      </w:r>
    </w:p>
    <w:p w14:paraId="225F0263" w14:textId="77777777" w:rsidR="00ED021C" w:rsidRPr="003D0945" w:rsidRDefault="00ED021C" w:rsidP="003D0945">
      <w:pPr>
        <w:pStyle w:val="Heading1"/>
      </w:pPr>
      <w:r w:rsidRPr="003D0945">
        <w:t>Reproductive system and breast disorders</w:t>
      </w:r>
    </w:p>
    <w:p w14:paraId="31EB56B3" w14:textId="77777777" w:rsidR="00ED021C" w:rsidRPr="00894EEA" w:rsidRDefault="00ED021C" w:rsidP="00FF1917">
      <w:pPr>
        <w:pStyle w:val="anchor"/>
      </w:pPr>
    </w:p>
    <w:p w14:paraId="2C69D67D" w14:textId="77777777" w:rsidR="001556D1" w:rsidRPr="00894EEA" w:rsidRDefault="00420446" w:rsidP="00ED021C">
      <w:pPr>
        <w:rPr>
          <w:rFonts w:cs="Arial"/>
          <w:szCs w:val="22"/>
        </w:rPr>
      </w:pPr>
      <w:r>
        <w:rPr>
          <w:rFonts w:cs="Arial"/>
          <w:szCs w:val="22"/>
        </w:rPr>
        <w:t>Very r</w:t>
      </w:r>
      <w:r w:rsidR="00696491">
        <w:rPr>
          <w:rFonts w:cs="Arial"/>
          <w:szCs w:val="22"/>
        </w:rPr>
        <w:t>are</w:t>
      </w:r>
      <w:r w:rsidR="00ED021C" w:rsidRPr="00894EEA">
        <w:rPr>
          <w:rFonts w:cs="Arial"/>
          <w:szCs w:val="22"/>
        </w:rPr>
        <w:t xml:space="preserve">: </w:t>
      </w:r>
      <w:r w:rsidR="00131C10">
        <w:rPr>
          <w:rFonts w:cs="Arial"/>
          <w:szCs w:val="22"/>
        </w:rPr>
        <w:tab/>
      </w:r>
      <w:r w:rsidR="00696491">
        <w:rPr>
          <w:rFonts w:cs="Arial"/>
          <w:szCs w:val="22"/>
        </w:rPr>
        <w:tab/>
      </w:r>
      <w:r w:rsidR="00ED021C" w:rsidRPr="00894EEA">
        <w:rPr>
          <w:rFonts w:cs="Arial"/>
          <w:szCs w:val="22"/>
        </w:rPr>
        <w:t xml:space="preserve">Priapism. </w:t>
      </w:r>
    </w:p>
    <w:p w14:paraId="73563B7E" w14:textId="77777777" w:rsidR="00ED021C" w:rsidRDefault="00ED021C" w:rsidP="003D0945">
      <w:pPr>
        <w:pStyle w:val="Heading1"/>
      </w:pPr>
      <w:r w:rsidRPr="00894EEA">
        <w:t>Skin and subcutaneous tissue disorders</w:t>
      </w:r>
    </w:p>
    <w:p w14:paraId="4E3558EB" w14:textId="77777777" w:rsidR="003D0945" w:rsidRPr="00894EEA" w:rsidRDefault="003D0945" w:rsidP="00ED021C">
      <w:pPr>
        <w:rPr>
          <w:rFonts w:cs="Arial"/>
          <w:szCs w:val="22"/>
        </w:rPr>
      </w:pPr>
    </w:p>
    <w:p w14:paraId="6FA10ADB" w14:textId="77777777" w:rsidR="00420446" w:rsidRDefault="00ED021C" w:rsidP="00B05C77">
      <w:pPr>
        <w:pStyle w:val="anchor"/>
        <w:ind w:left="2160" w:hanging="2160"/>
      </w:pPr>
      <w:r w:rsidRPr="003D0945">
        <w:t xml:space="preserve">Rare: </w:t>
      </w:r>
      <w:r w:rsidR="00131C10">
        <w:tab/>
      </w:r>
      <w:r w:rsidRPr="003D0945">
        <w:t>Rash, urticaria, erythema</w:t>
      </w:r>
      <w:r w:rsidR="0061343F" w:rsidRPr="003D0945">
        <w:t>, pruritus</w:t>
      </w:r>
      <w:r w:rsidR="00874435">
        <w:t>.</w:t>
      </w:r>
    </w:p>
    <w:p w14:paraId="102A6B72" w14:textId="77777777" w:rsidR="00420446" w:rsidRDefault="00420446" w:rsidP="00B05C77">
      <w:pPr>
        <w:pStyle w:val="anchor"/>
        <w:ind w:left="2160" w:hanging="2160"/>
      </w:pPr>
    </w:p>
    <w:p w14:paraId="4668BFDE" w14:textId="77777777" w:rsidR="00005432" w:rsidRDefault="00420446" w:rsidP="00B05C77">
      <w:pPr>
        <w:pStyle w:val="anchor"/>
        <w:ind w:left="2160" w:hanging="2160"/>
      </w:pPr>
      <w:r>
        <w:t>Very r</w:t>
      </w:r>
      <w:r w:rsidRPr="003D0945">
        <w:t xml:space="preserve">are: </w:t>
      </w:r>
      <w:r>
        <w:tab/>
      </w:r>
      <w:r w:rsidR="00874435">
        <w:t>C</w:t>
      </w:r>
      <w:r>
        <w:t xml:space="preserve">utaneous necrosis </w:t>
      </w:r>
      <w:r w:rsidRPr="00894EEA">
        <w:t xml:space="preserve">(see </w:t>
      </w:r>
      <w:r>
        <w:t>PRECAUTIONS</w:t>
      </w:r>
      <w:r w:rsidRPr="00894EEA">
        <w:t xml:space="preserve">) usually </w:t>
      </w:r>
      <w:r>
        <w:t>occurring at the injection site.</w:t>
      </w:r>
    </w:p>
    <w:p w14:paraId="3B957E1E" w14:textId="77777777" w:rsidR="00005432" w:rsidRDefault="00610AC8" w:rsidP="00B05C77">
      <w:pPr>
        <w:pStyle w:val="anchor"/>
        <w:tabs>
          <w:tab w:val="left" w:pos="2599"/>
        </w:tabs>
      </w:pPr>
      <w:r>
        <w:tab/>
      </w:r>
    </w:p>
    <w:p w14:paraId="71140FE6" w14:textId="77777777" w:rsidR="00005432" w:rsidRDefault="00ED021C" w:rsidP="00005432">
      <w:pPr>
        <w:pStyle w:val="Heading1"/>
        <w:spacing w:before="0" w:after="0"/>
      </w:pPr>
      <w:r w:rsidRPr="00894EEA">
        <w:t>General disorders and administration site conditions</w:t>
      </w:r>
    </w:p>
    <w:p w14:paraId="29B2E3F1" w14:textId="77777777" w:rsidR="00ED021C" w:rsidRPr="00894EEA" w:rsidRDefault="00ED021C" w:rsidP="00ED021C">
      <w:pPr>
        <w:rPr>
          <w:rFonts w:cs="Arial"/>
          <w:szCs w:val="22"/>
        </w:rPr>
      </w:pPr>
    </w:p>
    <w:p w14:paraId="4EDF51EB" w14:textId="77777777" w:rsidR="00ED021C" w:rsidRPr="00894EEA" w:rsidRDefault="000C7AD1" w:rsidP="00FF1917">
      <w:pPr>
        <w:pStyle w:val="anchor"/>
        <w:rPr>
          <w:i/>
        </w:rPr>
      </w:pPr>
      <w:r>
        <w:t>Very common</w:t>
      </w:r>
      <w:r w:rsidR="00ED021C" w:rsidRPr="00894EEA">
        <w:t>:</w:t>
      </w:r>
      <w:r w:rsidR="00687FEC">
        <w:tab/>
      </w:r>
      <w:r w:rsidR="00687FEC">
        <w:tab/>
      </w:r>
      <w:r w:rsidR="00ED021C" w:rsidRPr="00894EEA">
        <w:t>Small haematoma at the injection site.</w:t>
      </w:r>
    </w:p>
    <w:p w14:paraId="68567524" w14:textId="77777777" w:rsidR="00ED021C" w:rsidRPr="00894EEA" w:rsidRDefault="00ED021C" w:rsidP="00FF1917">
      <w:pPr>
        <w:pStyle w:val="anchor"/>
      </w:pPr>
    </w:p>
    <w:p w14:paraId="57D8DEF0" w14:textId="77777777" w:rsidR="00ED021C" w:rsidRPr="00894EEA" w:rsidRDefault="00ED021C" w:rsidP="00FF1917">
      <w:pPr>
        <w:pStyle w:val="anchor"/>
        <w:rPr>
          <w:i/>
        </w:rPr>
      </w:pPr>
      <w:r w:rsidRPr="00894EEA">
        <w:t>In some cases, the emergence of firm nodules, which do not indicate an encystment of the heparin may be noted. These nodules usually disappear after a few days.</w:t>
      </w:r>
    </w:p>
    <w:p w14:paraId="35ED7681" w14:textId="77777777" w:rsidR="00ED021C" w:rsidRPr="00894EEA" w:rsidRDefault="00ED021C" w:rsidP="00FF1917">
      <w:pPr>
        <w:pStyle w:val="anchor"/>
      </w:pPr>
    </w:p>
    <w:p w14:paraId="71E7FA1E" w14:textId="77777777" w:rsidR="00ED021C" w:rsidRPr="00894EEA" w:rsidRDefault="00ED021C" w:rsidP="00FF1917">
      <w:pPr>
        <w:pStyle w:val="anchor"/>
        <w:rPr>
          <w:i/>
        </w:rPr>
      </w:pPr>
      <w:r w:rsidRPr="00894EEA">
        <w:t xml:space="preserve">Common: </w:t>
      </w:r>
      <w:r w:rsidR="00131C10">
        <w:tab/>
      </w:r>
      <w:r w:rsidR="00687FEC">
        <w:tab/>
      </w:r>
      <w:r w:rsidRPr="00894EEA">
        <w:t>Injection site reaction.</w:t>
      </w:r>
    </w:p>
    <w:p w14:paraId="6B734722" w14:textId="77777777" w:rsidR="00ED021C" w:rsidRPr="00894EEA" w:rsidRDefault="00ED021C" w:rsidP="00FF1917">
      <w:pPr>
        <w:pStyle w:val="anchor"/>
      </w:pPr>
    </w:p>
    <w:p w14:paraId="407CD578" w14:textId="77777777" w:rsidR="00ED021C" w:rsidRPr="00894EEA" w:rsidRDefault="00ED021C" w:rsidP="00FF1917">
      <w:pPr>
        <w:pStyle w:val="anchor"/>
        <w:rPr>
          <w:i/>
        </w:rPr>
      </w:pPr>
      <w:r w:rsidRPr="00894EEA">
        <w:t xml:space="preserve">Rare: </w:t>
      </w:r>
      <w:r w:rsidR="00131C10">
        <w:tab/>
      </w:r>
      <w:r w:rsidR="00131C10">
        <w:tab/>
      </w:r>
      <w:r w:rsidR="00687FEC">
        <w:tab/>
      </w:r>
      <w:r w:rsidRPr="00894EEA">
        <w:t>Calcinosis at the injection site.</w:t>
      </w:r>
    </w:p>
    <w:p w14:paraId="101628A6" w14:textId="77777777" w:rsidR="00ED021C" w:rsidRPr="00894EEA" w:rsidRDefault="00ED021C" w:rsidP="00FF1917">
      <w:pPr>
        <w:pStyle w:val="anchor"/>
      </w:pPr>
    </w:p>
    <w:p w14:paraId="3D2229CB" w14:textId="26D1ADC4" w:rsidR="00ED021C" w:rsidRDefault="00ED021C" w:rsidP="00FF1917">
      <w:pPr>
        <w:pStyle w:val="anchor"/>
      </w:pPr>
      <w:r w:rsidRPr="00894EEA">
        <w:t>Calcinosis is more frequent in patients with abnormal calcium phosphate</w:t>
      </w:r>
      <w:r w:rsidR="00D91003">
        <w:t xml:space="preserve"> product, </w:t>
      </w:r>
      <w:r w:rsidRPr="00894EEA">
        <w:t>such as in some cases of chronic renal failure.</w:t>
      </w:r>
    </w:p>
    <w:p w14:paraId="55040EF8" w14:textId="77777777" w:rsidR="00B05C77" w:rsidRDefault="00B05C77" w:rsidP="00FF1917">
      <w:pPr>
        <w:pStyle w:val="anchor"/>
      </w:pPr>
    </w:p>
    <w:p w14:paraId="1746DAC2" w14:textId="77777777" w:rsidR="00F2544F" w:rsidRDefault="00F2544F" w:rsidP="00FF1917">
      <w:pPr>
        <w:pStyle w:val="anchor"/>
      </w:pPr>
    </w:p>
    <w:p w14:paraId="14430571" w14:textId="77777777" w:rsidR="00F2544F" w:rsidRPr="00894EEA" w:rsidRDefault="00F2544F" w:rsidP="00FF1917">
      <w:pPr>
        <w:pStyle w:val="anchor"/>
      </w:pPr>
    </w:p>
    <w:p w14:paraId="643E726D" w14:textId="78575B56" w:rsidR="000A7790" w:rsidRPr="00230192" w:rsidRDefault="000A7790" w:rsidP="00FF1917">
      <w:pPr>
        <w:pStyle w:val="anchor"/>
        <w:rPr>
          <w:i/>
          <w:u w:val="single"/>
        </w:rPr>
      </w:pPr>
      <w:r w:rsidRPr="00B05C77">
        <w:rPr>
          <w:i/>
          <w:u w:val="single"/>
        </w:rPr>
        <w:t xml:space="preserve">Adverse Events by System Organ </w:t>
      </w:r>
      <w:r w:rsidR="00B05C77">
        <w:rPr>
          <w:i/>
          <w:u w:val="single"/>
        </w:rPr>
        <w:t>Class</w:t>
      </w:r>
      <w:r w:rsidRPr="00B05C77">
        <w:rPr>
          <w:i/>
          <w:u w:val="single"/>
        </w:rPr>
        <w:t xml:space="preserve"> reported in studies conducted in immobilised medical patients.</w:t>
      </w:r>
    </w:p>
    <w:p w14:paraId="23DFB12E" w14:textId="3E6640D6" w:rsidR="008C482D" w:rsidRDefault="008C482D" w:rsidP="00FF1917">
      <w:pPr>
        <w:pStyle w:val="anchor"/>
      </w:pPr>
      <w:r>
        <w:t xml:space="preserve">The following adverse events were reported in three RCT which evaluated the safety of </w:t>
      </w:r>
      <w:proofErr w:type="spellStart"/>
      <w:r w:rsidR="00B05C77">
        <w:t>nadroparin</w:t>
      </w:r>
      <w:proofErr w:type="spellEnd"/>
      <w:r w:rsidR="00B05C77" w:rsidDel="00B05C77">
        <w:t xml:space="preserve"> </w:t>
      </w:r>
      <w:r>
        <w:t>when administered as a thrombo-prophylactic agent in immobilised medical patients.</w:t>
      </w:r>
    </w:p>
    <w:p w14:paraId="5194AACF" w14:textId="77777777" w:rsidR="008C482D" w:rsidRDefault="008C482D" w:rsidP="00FF1917">
      <w:pPr>
        <w:pStyle w:val="anchor"/>
      </w:pPr>
    </w:p>
    <w:tbl>
      <w:tblPr>
        <w:tblStyle w:val="TableGrid"/>
        <w:tblW w:w="0" w:type="auto"/>
        <w:tblLook w:val="04A0" w:firstRow="1" w:lastRow="0" w:firstColumn="1" w:lastColumn="0" w:noHBand="0" w:noVBand="1"/>
      </w:tblPr>
      <w:tblGrid>
        <w:gridCol w:w="2039"/>
        <w:gridCol w:w="1374"/>
        <w:gridCol w:w="1346"/>
        <w:gridCol w:w="1375"/>
        <w:gridCol w:w="1248"/>
        <w:gridCol w:w="1305"/>
        <w:gridCol w:w="1268"/>
      </w:tblGrid>
      <w:tr w:rsidR="00B05C77" w14:paraId="09A700AC" w14:textId="77777777" w:rsidTr="002504DF">
        <w:trPr>
          <w:trHeight w:val="417"/>
          <w:tblHeader/>
        </w:trPr>
        <w:tc>
          <w:tcPr>
            <w:tcW w:w="2039" w:type="dxa"/>
            <w:shd w:val="clear" w:color="auto" w:fill="auto"/>
          </w:tcPr>
          <w:p w14:paraId="1CAA6291" w14:textId="4F942200" w:rsidR="00B05C77" w:rsidRPr="00B05C77" w:rsidRDefault="00B05C77" w:rsidP="00FF1917">
            <w:pPr>
              <w:pStyle w:val="anchor"/>
              <w:rPr>
                <w:b/>
              </w:rPr>
            </w:pPr>
            <w:r w:rsidRPr="00B05C77">
              <w:rPr>
                <w:b/>
              </w:rPr>
              <w:t>Study</w:t>
            </w:r>
          </w:p>
          <w:p w14:paraId="387D0F89" w14:textId="447C7323" w:rsidR="00B05C77" w:rsidRPr="00FF1917" w:rsidRDefault="00B05C77" w:rsidP="00FF1917">
            <w:pPr>
              <w:pStyle w:val="anchor"/>
            </w:pPr>
          </w:p>
        </w:tc>
        <w:tc>
          <w:tcPr>
            <w:tcW w:w="2720" w:type="dxa"/>
            <w:gridSpan w:val="2"/>
            <w:shd w:val="clear" w:color="auto" w:fill="auto"/>
          </w:tcPr>
          <w:p w14:paraId="4924FF65" w14:textId="2564F211" w:rsidR="00B05C77" w:rsidRPr="00B05C77" w:rsidRDefault="00B05C77" w:rsidP="00307EE7">
            <w:pPr>
              <w:pStyle w:val="anchor"/>
              <w:jc w:val="center"/>
              <w:rPr>
                <w:b/>
              </w:rPr>
            </w:pPr>
            <w:r w:rsidRPr="00B05C77">
              <w:rPr>
                <w:b/>
              </w:rPr>
              <w:t xml:space="preserve">Fraisse 2000 </w:t>
            </w:r>
            <w:proofErr w:type="gramStart"/>
            <w:r w:rsidRPr="00B05C77">
              <w:rPr>
                <w:b/>
              </w:rPr>
              <w:t>N(</w:t>
            </w:r>
            <w:proofErr w:type="gramEnd"/>
            <w:r w:rsidRPr="00B05C77">
              <w:rPr>
                <w:b/>
              </w:rPr>
              <w:t>%)</w:t>
            </w:r>
          </w:p>
        </w:tc>
        <w:tc>
          <w:tcPr>
            <w:tcW w:w="2623" w:type="dxa"/>
            <w:gridSpan w:val="2"/>
            <w:shd w:val="clear" w:color="auto" w:fill="auto"/>
          </w:tcPr>
          <w:p w14:paraId="70BD9630" w14:textId="5E699D4A" w:rsidR="00B05C77" w:rsidRPr="00B05C77" w:rsidRDefault="00B05C77" w:rsidP="00307EE7">
            <w:pPr>
              <w:pStyle w:val="anchor"/>
              <w:jc w:val="center"/>
              <w:rPr>
                <w:b/>
              </w:rPr>
            </w:pPr>
            <w:r w:rsidRPr="00B05C77">
              <w:rPr>
                <w:b/>
              </w:rPr>
              <w:t>Harenberg 1996 N(%)</w:t>
            </w:r>
          </w:p>
          <w:p w14:paraId="1DEE5475" w14:textId="774B8353" w:rsidR="00B05C77" w:rsidRPr="00B05C77" w:rsidRDefault="00B05C77" w:rsidP="00307EE7">
            <w:pPr>
              <w:pStyle w:val="anchor"/>
              <w:jc w:val="center"/>
              <w:rPr>
                <w:b/>
              </w:rPr>
            </w:pPr>
          </w:p>
        </w:tc>
        <w:tc>
          <w:tcPr>
            <w:tcW w:w="2565" w:type="dxa"/>
            <w:gridSpan w:val="2"/>
            <w:shd w:val="clear" w:color="auto" w:fill="auto"/>
          </w:tcPr>
          <w:p w14:paraId="532B30D3" w14:textId="07A73562" w:rsidR="00B05C77" w:rsidRPr="00B05C77" w:rsidRDefault="00B05C77" w:rsidP="00307EE7">
            <w:pPr>
              <w:pStyle w:val="anchor"/>
              <w:jc w:val="center"/>
              <w:rPr>
                <w:b/>
              </w:rPr>
            </w:pPr>
            <w:r w:rsidRPr="00B05C77">
              <w:rPr>
                <w:b/>
              </w:rPr>
              <w:t>Forette 1995 N(%)</w:t>
            </w:r>
          </w:p>
          <w:p w14:paraId="126A0DFB" w14:textId="699E0D27" w:rsidR="00B05C77" w:rsidRPr="00B05C77" w:rsidRDefault="00B05C77" w:rsidP="00307EE7">
            <w:pPr>
              <w:pStyle w:val="anchor"/>
              <w:jc w:val="center"/>
              <w:rPr>
                <w:b/>
              </w:rPr>
            </w:pPr>
          </w:p>
        </w:tc>
      </w:tr>
      <w:tr w:rsidR="00A64690" w14:paraId="3400A2C1" w14:textId="77777777" w:rsidTr="005C194D">
        <w:trPr>
          <w:tblHeader/>
        </w:trPr>
        <w:tc>
          <w:tcPr>
            <w:tcW w:w="2039" w:type="dxa"/>
            <w:shd w:val="clear" w:color="auto" w:fill="auto"/>
          </w:tcPr>
          <w:p w14:paraId="66D17995" w14:textId="5A08B108" w:rsidR="000A7790" w:rsidRPr="00B05C77" w:rsidRDefault="00FD6179" w:rsidP="00FF1917">
            <w:pPr>
              <w:pStyle w:val="anchor"/>
              <w:rPr>
                <w:b/>
              </w:rPr>
            </w:pPr>
            <w:r w:rsidRPr="00B05C77">
              <w:rPr>
                <w:b/>
              </w:rPr>
              <w:t>Body System</w:t>
            </w:r>
          </w:p>
        </w:tc>
        <w:tc>
          <w:tcPr>
            <w:tcW w:w="1374" w:type="dxa"/>
            <w:shd w:val="clear" w:color="auto" w:fill="auto"/>
          </w:tcPr>
          <w:p w14:paraId="0D3244B0" w14:textId="390D36A5" w:rsidR="000A7790" w:rsidRPr="00FF1917" w:rsidRDefault="000A7790" w:rsidP="00307EE7">
            <w:pPr>
              <w:pStyle w:val="anchor"/>
              <w:jc w:val="center"/>
            </w:pPr>
            <w:r w:rsidRPr="00FF1917">
              <w:t>Nadroparin (n=108)</w:t>
            </w:r>
          </w:p>
        </w:tc>
        <w:tc>
          <w:tcPr>
            <w:tcW w:w="1346" w:type="dxa"/>
            <w:shd w:val="clear" w:color="auto" w:fill="auto"/>
          </w:tcPr>
          <w:p w14:paraId="5C81DB91" w14:textId="31E1A895" w:rsidR="000A7790" w:rsidRPr="00FF1917" w:rsidRDefault="000A7790" w:rsidP="00307EE7">
            <w:pPr>
              <w:pStyle w:val="anchor"/>
              <w:jc w:val="center"/>
            </w:pPr>
            <w:r w:rsidRPr="00FF1917">
              <w:t>Placebo (n=113)</w:t>
            </w:r>
          </w:p>
        </w:tc>
        <w:tc>
          <w:tcPr>
            <w:tcW w:w="1375" w:type="dxa"/>
            <w:shd w:val="clear" w:color="auto" w:fill="auto"/>
          </w:tcPr>
          <w:p w14:paraId="7CD13C63" w14:textId="3B7BB87D" w:rsidR="000A7790" w:rsidRPr="00FF1917" w:rsidRDefault="000A7790" w:rsidP="00307EE7">
            <w:pPr>
              <w:pStyle w:val="anchor"/>
              <w:jc w:val="center"/>
            </w:pPr>
            <w:r w:rsidRPr="00FF1917">
              <w:t>Nadroparin (n=810)</w:t>
            </w:r>
          </w:p>
        </w:tc>
        <w:tc>
          <w:tcPr>
            <w:tcW w:w="1248" w:type="dxa"/>
            <w:shd w:val="clear" w:color="auto" w:fill="auto"/>
          </w:tcPr>
          <w:p w14:paraId="0206A5B1" w14:textId="146165C2" w:rsidR="000A7790" w:rsidRPr="00FF1917" w:rsidRDefault="000A7790" w:rsidP="00307EE7">
            <w:pPr>
              <w:pStyle w:val="anchor"/>
              <w:jc w:val="center"/>
            </w:pPr>
            <w:r w:rsidRPr="00FF1917">
              <w:t>Heparin (n=780)</w:t>
            </w:r>
          </w:p>
        </w:tc>
        <w:tc>
          <w:tcPr>
            <w:tcW w:w="1297" w:type="dxa"/>
            <w:shd w:val="clear" w:color="auto" w:fill="auto"/>
          </w:tcPr>
          <w:p w14:paraId="540F375D" w14:textId="5B776E0C" w:rsidR="000A7790" w:rsidRPr="00FF1917" w:rsidRDefault="000A7790" w:rsidP="00307EE7">
            <w:pPr>
              <w:pStyle w:val="anchor"/>
              <w:jc w:val="center"/>
            </w:pPr>
            <w:r w:rsidRPr="00FF1917">
              <w:t>Nadrop</w:t>
            </w:r>
            <w:r w:rsidR="00975CFD">
              <w:t>ar</w:t>
            </w:r>
            <w:r w:rsidRPr="00FF1917">
              <w:t>in (n=146)</w:t>
            </w:r>
          </w:p>
        </w:tc>
        <w:tc>
          <w:tcPr>
            <w:tcW w:w="1268" w:type="dxa"/>
            <w:shd w:val="clear" w:color="auto" w:fill="auto"/>
          </w:tcPr>
          <w:p w14:paraId="66CBD03D" w14:textId="2E727EFE" w:rsidR="000A7790" w:rsidRPr="00FF1917" w:rsidRDefault="000A7790" w:rsidP="00307EE7">
            <w:pPr>
              <w:pStyle w:val="anchor"/>
              <w:jc w:val="center"/>
            </w:pPr>
            <w:r w:rsidRPr="00FF1917">
              <w:t>Heparin (n=149)</w:t>
            </w:r>
          </w:p>
        </w:tc>
      </w:tr>
      <w:tr w:rsidR="005C194D" w14:paraId="14EC8A30" w14:textId="77777777" w:rsidTr="005C194D">
        <w:trPr>
          <w:trHeight w:val="177"/>
        </w:trPr>
        <w:tc>
          <w:tcPr>
            <w:tcW w:w="9947" w:type="dxa"/>
            <w:gridSpan w:val="7"/>
            <w:shd w:val="clear" w:color="auto" w:fill="auto"/>
          </w:tcPr>
          <w:p w14:paraId="1DB07105" w14:textId="7E47E1DD" w:rsidR="005C194D" w:rsidRPr="005C194D" w:rsidRDefault="005C194D" w:rsidP="00307EE7">
            <w:pPr>
              <w:pStyle w:val="anchor"/>
              <w:spacing w:before="60" w:after="60"/>
              <w:rPr>
                <w:b/>
              </w:rPr>
            </w:pPr>
            <w:r w:rsidRPr="00B05C77">
              <w:rPr>
                <w:b/>
              </w:rPr>
              <w:t>Blood &amp; lymphatic system disorders</w:t>
            </w:r>
          </w:p>
        </w:tc>
      </w:tr>
      <w:tr w:rsidR="00347767" w14:paraId="6B385FFC" w14:textId="77777777" w:rsidTr="005C194D">
        <w:tc>
          <w:tcPr>
            <w:tcW w:w="2039" w:type="dxa"/>
            <w:shd w:val="clear" w:color="auto" w:fill="auto"/>
          </w:tcPr>
          <w:p w14:paraId="5395D2DE" w14:textId="57D5806C" w:rsidR="00347767" w:rsidRPr="00B05C77" w:rsidRDefault="00347767" w:rsidP="005C194D">
            <w:pPr>
              <w:pStyle w:val="anchor"/>
              <w:spacing w:before="20" w:after="20"/>
            </w:pPr>
            <w:r>
              <w:t>Decreased haemoglobin</w:t>
            </w:r>
          </w:p>
        </w:tc>
        <w:tc>
          <w:tcPr>
            <w:tcW w:w="1374" w:type="dxa"/>
            <w:shd w:val="clear" w:color="auto" w:fill="auto"/>
          </w:tcPr>
          <w:p w14:paraId="35C78184" w14:textId="35E98ED6" w:rsidR="00347767" w:rsidRPr="00B05C77" w:rsidRDefault="00347767" w:rsidP="00307EE7">
            <w:pPr>
              <w:pStyle w:val="anchor"/>
              <w:spacing w:before="20" w:after="20"/>
              <w:jc w:val="center"/>
            </w:pPr>
            <w:r w:rsidRPr="00B05C77">
              <w:t>17(15.7%)</w:t>
            </w:r>
          </w:p>
        </w:tc>
        <w:tc>
          <w:tcPr>
            <w:tcW w:w="1346" w:type="dxa"/>
            <w:shd w:val="clear" w:color="auto" w:fill="auto"/>
          </w:tcPr>
          <w:p w14:paraId="41C069E3" w14:textId="5C198746" w:rsidR="00347767" w:rsidRPr="00B05C77" w:rsidRDefault="00347767" w:rsidP="00307EE7">
            <w:pPr>
              <w:pStyle w:val="anchor"/>
              <w:spacing w:before="20" w:after="20"/>
              <w:jc w:val="center"/>
            </w:pPr>
            <w:r w:rsidRPr="00B05C77">
              <w:t>14(12.4%)</w:t>
            </w:r>
          </w:p>
        </w:tc>
        <w:tc>
          <w:tcPr>
            <w:tcW w:w="1375" w:type="dxa"/>
            <w:shd w:val="clear" w:color="auto" w:fill="auto"/>
          </w:tcPr>
          <w:p w14:paraId="0DAB0781" w14:textId="0D562F43" w:rsidR="00347767" w:rsidRPr="00347767" w:rsidRDefault="005C194D" w:rsidP="00307EE7">
            <w:pPr>
              <w:pStyle w:val="anchor"/>
              <w:spacing w:before="20" w:after="20"/>
              <w:jc w:val="center"/>
            </w:pPr>
            <w:r>
              <w:t>-</w:t>
            </w:r>
          </w:p>
        </w:tc>
        <w:tc>
          <w:tcPr>
            <w:tcW w:w="1248" w:type="dxa"/>
            <w:shd w:val="clear" w:color="auto" w:fill="auto"/>
          </w:tcPr>
          <w:p w14:paraId="754B91C3" w14:textId="5800E28E" w:rsidR="00347767" w:rsidRPr="003B5D8A" w:rsidRDefault="005C194D" w:rsidP="00307EE7">
            <w:pPr>
              <w:pStyle w:val="anchor"/>
              <w:spacing w:before="20" w:after="20"/>
              <w:jc w:val="center"/>
            </w:pPr>
            <w:r>
              <w:t>-</w:t>
            </w:r>
          </w:p>
        </w:tc>
        <w:tc>
          <w:tcPr>
            <w:tcW w:w="1297" w:type="dxa"/>
            <w:shd w:val="clear" w:color="auto" w:fill="auto"/>
          </w:tcPr>
          <w:p w14:paraId="6F23E4FE" w14:textId="628A753E" w:rsidR="00347767" w:rsidRPr="00A43163" w:rsidRDefault="005C194D" w:rsidP="00307EE7">
            <w:pPr>
              <w:pStyle w:val="anchor"/>
              <w:spacing w:before="20" w:after="20"/>
              <w:jc w:val="center"/>
            </w:pPr>
            <w:r>
              <w:t>-</w:t>
            </w:r>
          </w:p>
        </w:tc>
        <w:tc>
          <w:tcPr>
            <w:tcW w:w="1268" w:type="dxa"/>
            <w:shd w:val="clear" w:color="auto" w:fill="auto"/>
          </w:tcPr>
          <w:p w14:paraId="4F14C78E" w14:textId="6628B479" w:rsidR="00347767" w:rsidRPr="00A43163" w:rsidRDefault="005C194D" w:rsidP="00307EE7">
            <w:pPr>
              <w:pStyle w:val="anchor"/>
              <w:spacing w:before="20" w:after="20"/>
              <w:jc w:val="center"/>
            </w:pPr>
            <w:r>
              <w:t>-</w:t>
            </w:r>
          </w:p>
        </w:tc>
      </w:tr>
      <w:tr w:rsidR="00347767" w14:paraId="4AE55092" w14:textId="77777777" w:rsidTr="005C194D">
        <w:tc>
          <w:tcPr>
            <w:tcW w:w="2039" w:type="dxa"/>
            <w:shd w:val="clear" w:color="auto" w:fill="auto"/>
          </w:tcPr>
          <w:p w14:paraId="59112D71" w14:textId="34AC9E81" w:rsidR="00347767" w:rsidRPr="00B05C77" w:rsidRDefault="00347767" w:rsidP="005C194D">
            <w:pPr>
              <w:pStyle w:val="anchor"/>
              <w:spacing w:before="20" w:after="20"/>
            </w:pPr>
            <w:r w:rsidRPr="00B05C77">
              <w:t>Decreased platelets</w:t>
            </w:r>
          </w:p>
        </w:tc>
        <w:tc>
          <w:tcPr>
            <w:tcW w:w="1374" w:type="dxa"/>
            <w:shd w:val="clear" w:color="auto" w:fill="auto"/>
          </w:tcPr>
          <w:p w14:paraId="03092724" w14:textId="5A6778F8" w:rsidR="00347767" w:rsidRPr="00B05C77" w:rsidRDefault="00347767" w:rsidP="00307EE7">
            <w:pPr>
              <w:pStyle w:val="anchor"/>
              <w:spacing w:before="20" w:after="20"/>
              <w:jc w:val="center"/>
            </w:pPr>
            <w:r w:rsidRPr="00B05C77">
              <w:t>10(9.3%)</w:t>
            </w:r>
          </w:p>
        </w:tc>
        <w:tc>
          <w:tcPr>
            <w:tcW w:w="1346" w:type="dxa"/>
            <w:shd w:val="clear" w:color="auto" w:fill="auto"/>
          </w:tcPr>
          <w:p w14:paraId="112F3073" w14:textId="4E98BB8D" w:rsidR="00347767" w:rsidRPr="00B05C77" w:rsidRDefault="00347767" w:rsidP="00307EE7">
            <w:pPr>
              <w:pStyle w:val="anchor"/>
              <w:spacing w:before="20" w:after="20"/>
              <w:jc w:val="center"/>
            </w:pPr>
            <w:r w:rsidRPr="00B05C77">
              <w:t>7(6.2%)</w:t>
            </w:r>
          </w:p>
        </w:tc>
        <w:tc>
          <w:tcPr>
            <w:tcW w:w="1375" w:type="dxa"/>
            <w:shd w:val="clear" w:color="auto" w:fill="auto"/>
          </w:tcPr>
          <w:p w14:paraId="5A62713D" w14:textId="4482CC77" w:rsidR="00347767" w:rsidRPr="00347767" w:rsidRDefault="005C194D" w:rsidP="00307EE7">
            <w:pPr>
              <w:pStyle w:val="anchor"/>
              <w:spacing w:before="20" w:after="20"/>
              <w:jc w:val="center"/>
            </w:pPr>
            <w:r>
              <w:t>-</w:t>
            </w:r>
          </w:p>
        </w:tc>
        <w:tc>
          <w:tcPr>
            <w:tcW w:w="1248" w:type="dxa"/>
            <w:shd w:val="clear" w:color="auto" w:fill="auto"/>
          </w:tcPr>
          <w:p w14:paraId="0D9F0A41" w14:textId="7610836F" w:rsidR="00347767" w:rsidRPr="00347767" w:rsidRDefault="005C194D" w:rsidP="00307EE7">
            <w:pPr>
              <w:pStyle w:val="anchor"/>
              <w:spacing w:before="20" w:after="20"/>
              <w:jc w:val="center"/>
            </w:pPr>
            <w:r>
              <w:t>-</w:t>
            </w:r>
          </w:p>
        </w:tc>
        <w:tc>
          <w:tcPr>
            <w:tcW w:w="1297" w:type="dxa"/>
            <w:shd w:val="clear" w:color="auto" w:fill="auto"/>
          </w:tcPr>
          <w:p w14:paraId="295911F8" w14:textId="5255DE9C" w:rsidR="00347767" w:rsidRPr="003B5D8A" w:rsidRDefault="005C194D" w:rsidP="00307EE7">
            <w:pPr>
              <w:pStyle w:val="anchor"/>
              <w:spacing w:before="20" w:after="20"/>
              <w:jc w:val="center"/>
            </w:pPr>
            <w:r>
              <w:t>-</w:t>
            </w:r>
          </w:p>
        </w:tc>
        <w:tc>
          <w:tcPr>
            <w:tcW w:w="1268" w:type="dxa"/>
            <w:shd w:val="clear" w:color="auto" w:fill="auto"/>
          </w:tcPr>
          <w:p w14:paraId="59130CF7" w14:textId="64E2B216" w:rsidR="00347767" w:rsidRPr="00A43163" w:rsidRDefault="005C194D" w:rsidP="00307EE7">
            <w:pPr>
              <w:pStyle w:val="anchor"/>
              <w:spacing w:before="20" w:after="20"/>
              <w:jc w:val="center"/>
            </w:pPr>
            <w:r>
              <w:t>-</w:t>
            </w:r>
          </w:p>
        </w:tc>
      </w:tr>
      <w:tr w:rsidR="005C194D" w:rsidRPr="005C194D" w14:paraId="4B5C2915" w14:textId="77777777" w:rsidTr="003C5EA3">
        <w:tc>
          <w:tcPr>
            <w:tcW w:w="9947" w:type="dxa"/>
            <w:gridSpan w:val="7"/>
            <w:shd w:val="clear" w:color="auto" w:fill="auto"/>
          </w:tcPr>
          <w:p w14:paraId="79DA6B88" w14:textId="7125130F" w:rsidR="005C194D" w:rsidRPr="005C194D" w:rsidRDefault="005C194D" w:rsidP="00307EE7">
            <w:pPr>
              <w:pStyle w:val="anchor"/>
              <w:spacing w:before="60" w:after="60"/>
              <w:rPr>
                <w:b/>
              </w:rPr>
            </w:pPr>
            <w:r w:rsidRPr="00B05C77">
              <w:rPr>
                <w:b/>
              </w:rPr>
              <w:t>Cardiac disorders</w:t>
            </w:r>
          </w:p>
        </w:tc>
      </w:tr>
      <w:tr w:rsidR="00A43163" w14:paraId="511D8826" w14:textId="77777777" w:rsidTr="005C194D">
        <w:tc>
          <w:tcPr>
            <w:tcW w:w="2039" w:type="dxa"/>
            <w:shd w:val="clear" w:color="auto" w:fill="auto"/>
          </w:tcPr>
          <w:p w14:paraId="6CECD6F0" w14:textId="2FC92074" w:rsidR="00A43163" w:rsidRPr="00B05C77" w:rsidRDefault="00A43163" w:rsidP="005C194D">
            <w:pPr>
              <w:pStyle w:val="anchor"/>
              <w:spacing w:before="20" w:after="20"/>
            </w:pPr>
            <w:r>
              <w:t>Atrial fibrillation</w:t>
            </w:r>
          </w:p>
        </w:tc>
        <w:tc>
          <w:tcPr>
            <w:tcW w:w="1374" w:type="dxa"/>
            <w:shd w:val="clear" w:color="auto" w:fill="auto"/>
          </w:tcPr>
          <w:p w14:paraId="54FE995E" w14:textId="0AFCC9D7" w:rsidR="00A43163" w:rsidRPr="00B05C77" w:rsidRDefault="005C194D" w:rsidP="00307EE7">
            <w:pPr>
              <w:pStyle w:val="anchor"/>
              <w:spacing w:before="20" w:after="20"/>
              <w:jc w:val="center"/>
            </w:pPr>
            <w:r>
              <w:t>-</w:t>
            </w:r>
          </w:p>
        </w:tc>
        <w:tc>
          <w:tcPr>
            <w:tcW w:w="1346" w:type="dxa"/>
            <w:shd w:val="clear" w:color="auto" w:fill="auto"/>
          </w:tcPr>
          <w:p w14:paraId="464E7F71" w14:textId="02501A45" w:rsidR="00A43163" w:rsidRPr="00B05C77" w:rsidRDefault="005C194D" w:rsidP="00307EE7">
            <w:pPr>
              <w:pStyle w:val="anchor"/>
              <w:spacing w:before="20" w:after="20"/>
              <w:jc w:val="center"/>
            </w:pPr>
            <w:r>
              <w:t>-</w:t>
            </w:r>
          </w:p>
        </w:tc>
        <w:tc>
          <w:tcPr>
            <w:tcW w:w="1375" w:type="dxa"/>
            <w:shd w:val="clear" w:color="auto" w:fill="auto"/>
          </w:tcPr>
          <w:p w14:paraId="4C7BF927" w14:textId="0196E73F" w:rsidR="00A43163" w:rsidRPr="00347767" w:rsidRDefault="00A43163" w:rsidP="00307EE7">
            <w:pPr>
              <w:pStyle w:val="anchor"/>
              <w:spacing w:before="20" w:after="20"/>
              <w:jc w:val="center"/>
            </w:pPr>
            <w:r w:rsidRPr="006C5698">
              <w:t>0</w:t>
            </w:r>
          </w:p>
        </w:tc>
        <w:tc>
          <w:tcPr>
            <w:tcW w:w="1248" w:type="dxa"/>
            <w:shd w:val="clear" w:color="auto" w:fill="auto"/>
          </w:tcPr>
          <w:p w14:paraId="4B12249C" w14:textId="0CEC8FCC" w:rsidR="00A43163" w:rsidRPr="005C194D" w:rsidRDefault="00A43163" w:rsidP="00307EE7">
            <w:pPr>
              <w:pStyle w:val="anchor"/>
              <w:spacing w:before="20" w:after="20"/>
              <w:jc w:val="center"/>
            </w:pPr>
            <w:r w:rsidRPr="006C5698">
              <w:t>1(</w:t>
            </w:r>
            <w:r w:rsidR="00CE32D8">
              <w:t>0.13</w:t>
            </w:r>
            <w:r w:rsidRPr="006C5698">
              <w:t>)</w:t>
            </w:r>
          </w:p>
        </w:tc>
        <w:tc>
          <w:tcPr>
            <w:tcW w:w="1297" w:type="dxa"/>
            <w:shd w:val="clear" w:color="auto" w:fill="auto"/>
          </w:tcPr>
          <w:p w14:paraId="12134D8A" w14:textId="3E119FEB" w:rsidR="00A43163" w:rsidRPr="00347767" w:rsidRDefault="005C194D" w:rsidP="00307EE7">
            <w:pPr>
              <w:pStyle w:val="anchor"/>
              <w:spacing w:before="20" w:after="20"/>
              <w:jc w:val="center"/>
            </w:pPr>
            <w:r>
              <w:t>-</w:t>
            </w:r>
          </w:p>
        </w:tc>
        <w:tc>
          <w:tcPr>
            <w:tcW w:w="1268" w:type="dxa"/>
            <w:shd w:val="clear" w:color="auto" w:fill="auto"/>
          </w:tcPr>
          <w:p w14:paraId="09926AF2" w14:textId="63DE6647" w:rsidR="00A43163" w:rsidRPr="003B5D8A" w:rsidRDefault="005C194D" w:rsidP="00307EE7">
            <w:pPr>
              <w:pStyle w:val="anchor"/>
              <w:spacing w:before="20" w:after="20"/>
              <w:jc w:val="center"/>
            </w:pPr>
            <w:r>
              <w:t>-</w:t>
            </w:r>
          </w:p>
        </w:tc>
      </w:tr>
      <w:tr w:rsidR="00A43163" w14:paraId="4CE39D38" w14:textId="77777777" w:rsidTr="005C194D">
        <w:tc>
          <w:tcPr>
            <w:tcW w:w="2039" w:type="dxa"/>
            <w:shd w:val="clear" w:color="auto" w:fill="auto"/>
          </w:tcPr>
          <w:p w14:paraId="700DD84C" w14:textId="6FCC5313" w:rsidR="00A43163" w:rsidRPr="00B05C77" w:rsidRDefault="00A43163" w:rsidP="005C194D">
            <w:pPr>
              <w:pStyle w:val="anchor"/>
              <w:spacing w:before="20" w:after="20"/>
            </w:pPr>
            <w:r w:rsidRPr="00B05C77">
              <w:t>Cardiac</w:t>
            </w:r>
            <w:r>
              <w:t xml:space="preserve"> insufficiency</w:t>
            </w:r>
          </w:p>
        </w:tc>
        <w:tc>
          <w:tcPr>
            <w:tcW w:w="1374" w:type="dxa"/>
            <w:shd w:val="clear" w:color="auto" w:fill="auto"/>
          </w:tcPr>
          <w:p w14:paraId="5E2FD478" w14:textId="24C510EF" w:rsidR="00A43163" w:rsidRPr="00B05C77" w:rsidRDefault="005C194D" w:rsidP="00307EE7">
            <w:pPr>
              <w:pStyle w:val="anchor"/>
              <w:spacing w:before="20" w:after="20"/>
              <w:jc w:val="center"/>
            </w:pPr>
            <w:r>
              <w:t>-</w:t>
            </w:r>
          </w:p>
        </w:tc>
        <w:tc>
          <w:tcPr>
            <w:tcW w:w="1346" w:type="dxa"/>
            <w:shd w:val="clear" w:color="auto" w:fill="auto"/>
          </w:tcPr>
          <w:p w14:paraId="6BF6D8FB" w14:textId="41F2FD9B" w:rsidR="00A43163" w:rsidRPr="00B05C77" w:rsidRDefault="005C194D" w:rsidP="00307EE7">
            <w:pPr>
              <w:pStyle w:val="anchor"/>
              <w:spacing w:before="20" w:after="20"/>
              <w:jc w:val="center"/>
            </w:pPr>
            <w:r>
              <w:t>-</w:t>
            </w:r>
          </w:p>
        </w:tc>
        <w:tc>
          <w:tcPr>
            <w:tcW w:w="1375" w:type="dxa"/>
            <w:shd w:val="clear" w:color="auto" w:fill="auto"/>
          </w:tcPr>
          <w:p w14:paraId="77EF09C5" w14:textId="4279C4FF" w:rsidR="00A43163" w:rsidRPr="005C194D" w:rsidRDefault="00A43163" w:rsidP="00307EE7">
            <w:pPr>
              <w:pStyle w:val="anchor"/>
              <w:spacing w:before="20" w:after="20"/>
              <w:jc w:val="center"/>
            </w:pPr>
            <w:r w:rsidRPr="006C5698">
              <w:t>9(</w:t>
            </w:r>
            <w:r w:rsidR="00CE32D8">
              <w:t>1.1</w:t>
            </w:r>
            <w:r w:rsidRPr="006C5698">
              <w:t>)</w:t>
            </w:r>
          </w:p>
        </w:tc>
        <w:tc>
          <w:tcPr>
            <w:tcW w:w="1248" w:type="dxa"/>
            <w:shd w:val="clear" w:color="auto" w:fill="auto"/>
          </w:tcPr>
          <w:p w14:paraId="2856BCAF" w14:textId="535348B1" w:rsidR="00A43163" w:rsidRPr="005C194D" w:rsidRDefault="00A43163" w:rsidP="00307EE7">
            <w:pPr>
              <w:pStyle w:val="anchor"/>
              <w:spacing w:before="20" w:after="20"/>
              <w:jc w:val="center"/>
            </w:pPr>
            <w:r w:rsidRPr="006C5698">
              <w:t>1(0.</w:t>
            </w:r>
            <w:r w:rsidR="00CE32D8">
              <w:t>13</w:t>
            </w:r>
            <w:r w:rsidRPr="006C5698">
              <w:t>)</w:t>
            </w:r>
          </w:p>
        </w:tc>
        <w:tc>
          <w:tcPr>
            <w:tcW w:w="1297" w:type="dxa"/>
            <w:shd w:val="clear" w:color="auto" w:fill="auto"/>
          </w:tcPr>
          <w:p w14:paraId="229151A1" w14:textId="7D0FAF4D" w:rsidR="00A43163" w:rsidRPr="00347767" w:rsidRDefault="005C194D" w:rsidP="00307EE7">
            <w:pPr>
              <w:pStyle w:val="anchor"/>
              <w:spacing w:before="20" w:after="20"/>
              <w:jc w:val="center"/>
            </w:pPr>
            <w:r>
              <w:t>-</w:t>
            </w:r>
          </w:p>
        </w:tc>
        <w:tc>
          <w:tcPr>
            <w:tcW w:w="1268" w:type="dxa"/>
            <w:shd w:val="clear" w:color="auto" w:fill="auto"/>
          </w:tcPr>
          <w:p w14:paraId="3BF54EFA" w14:textId="49A6F061" w:rsidR="00A43163" w:rsidRPr="003B5D8A" w:rsidRDefault="005C194D" w:rsidP="00307EE7">
            <w:pPr>
              <w:pStyle w:val="anchor"/>
              <w:spacing w:before="20" w:after="20"/>
              <w:jc w:val="center"/>
            </w:pPr>
            <w:r>
              <w:t>-</w:t>
            </w:r>
          </w:p>
        </w:tc>
      </w:tr>
      <w:tr w:rsidR="00A43163" w14:paraId="758F11A8" w14:textId="77777777" w:rsidTr="005C194D">
        <w:tc>
          <w:tcPr>
            <w:tcW w:w="2039" w:type="dxa"/>
            <w:shd w:val="clear" w:color="auto" w:fill="auto"/>
          </w:tcPr>
          <w:p w14:paraId="47DD122F" w14:textId="0C9BFFCF" w:rsidR="00A43163" w:rsidRPr="00B05C77" w:rsidRDefault="00A43163" w:rsidP="005C194D">
            <w:pPr>
              <w:pStyle w:val="anchor"/>
              <w:spacing w:before="20" w:after="20"/>
            </w:pPr>
            <w:r>
              <w:t>Myocardial infarction</w:t>
            </w:r>
          </w:p>
        </w:tc>
        <w:tc>
          <w:tcPr>
            <w:tcW w:w="1374" w:type="dxa"/>
            <w:shd w:val="clear" w:color="auto" w:fill="auto"/>
          </w:tcPr>
          <w:p w14:paraId="070F694C" w14:textId="5F84F54D" w:rsidR="00A43163" w:rsidRPr="00B05C77" w:rsidRDefault="005C194D" w:rsidP="00307EE7">
            <w:pPr>
              <w:pStyle w:val="anchor"/>
              <w:spacing w:before="20" w:after="20"/>
              <w:jc w:val="center"/>
            </w:pPr>
            <w:r>
              <w:t>-</w:t>
            </w:r>
          </w:p>
        </w:tc>
        <w:tc>
          <w:tcPr>
            <w:tcW w:w="1346" w:type="dxa"/>
            <w:shd w:val="clear" w:color="auto" w:fill="auto"/>
          </w:tcPr>
          <w:p w14:paraId="75474260" w14:textId="6735B705" w:rsidR="00A43163" w:rsidRPr="00B05C77" w:rsidRDefault="005C194D" w:rsidP="00307EE7">
            <w:pPr>
              <w:pStyle w:val="anchor"/>
              <w:spacing w:before="20" w:after="20"/>
              <w:jc w:val="center"/>
            </w:pPr>
            <w:r>
              <w:t>-</w:t>
            </w:r>
          </w:p>
        </w:tc>
        <w:tc>
          <w:tcPr>
            <w:tcW w:w="1375" w:type="dxa"/>
            <w:shd w:val="clear" w:color="auto" w:fill="auto"/>
          </w:tcPr>
          <w:p w14:paraId="49CA5ECD" w14:textId="3F414E09" w:rsidR="00A43163" w:rsidRPr="00347767" w:rsidRDefault="005302BE" w:rsidP="00307EE7">
            <w:pPr>
              <w:pStyle w:val="anchor"/>
              <w:spacing w:before="20" w:after="20"/>
              <w:jc w:val="center"/>
            </w:pPr>
            <w:r w:rsidRPr="005302BE">
              <w:t>1(0.13)</w:t>
            </w:r>
          </w:p>
        </w:tc>
        <w:tc>
          <w:tcPr>
            <w:tcW w:w="1248" w:type="dxa"/>
            <w:shd w:val="clear" w:color="auto" w:fill="auto"/>
          </w:tcPr>
          <w:p w14:paraId="73A3B71C" w14:textId="25005C52" w:rsidR="00A43163" w:rsidRPr="005C194D" w:rsidRDefault="005302BE" w:rsidP="00307EE7">
            <w:pPr>
              <w:pStyle w:val="anchor"/>
              <w:spacing w:before="20" w:after="20"/>
              <w:jc w:val="center"/>
            </w:pPr>
            <w:r>
              <w:t>0</w:t>
            </w:r>
          </w:p>
        </w:tc>
        <w:tc>
          <w:tcPr>
            <w:tcW w:w="1297" w:type="dxa"/>
            <w:shd w:val="clear" w:color="auto" w:fill="auto"/>
          </w:tcPr>
          <w:p w14:paraId="6AB4A8CD" w14:textId="0F29BD04" w:rsidR="00A43163" w:rsidRPr="00347767" w:rsidRDefault="005C194D" w:rsidP="00307EE7">
            <w:pPr>
              <w:pStyle w:val="anchor"/>
              <w:spacing w:before="20" w:after="20"/>
              <w:jc w:val="center"/>
            </w:pPr>
            <w:r>
              <w:t>-</w:t>
            </w:r>
          </w:p>
        </w:tc>
        <w:tc>
          <w:tcPr>
            <w:tcW w:w="1268" w:type="dxa"/>
            <w:shd w:val="clear" w:color="auto" w:fill="auto"/>
          </w:tcPr>
          <w:p w14:paraId="2FBCB596" w14:textId="3B295D5C" w:rsidR="00A43163" w:rsidRPr="003B5D8A" w:rsidRDefault="005C194D" w:rsidP="00307EE7">
            <w:pPr>
              <w:pStyle w:val="anchor"/>
              <w:spacing w:before="20" w:after="20"/>
              <w:jc w:val="center"/>
            </w:pPr>
            <w:r>
              <w:t>-</w:t>
            </w:r>
          </w:p>
        </w:tc>
      </w:tr>
      <w:tr w:rsidR="00A43163" w14:paraId="06DC5FB8" w14:textId="77777777" w:rsidTr="005C194D">
        <w:tc>
          <w:tcPr>
            <w:tcW w:w="2039" w:type="dxa"/>
            <w:shd w:val="clear" w:color="auto" w:fill="auto"/>
          </w:tcPr>
          <w:p w14:paraId="18F8CA53" w14:textId="4F50DB4D" w:rsidR="00A43163" w:rsidRDefault="00A43163" w:rsidP="005C194D">
            <w:pPr>
              <w:pStyle w:val="anchor"/>
              <w:spacing w:before="20" w:after="20"/>
            </w:pPr>
            <w:r>
              <w:t>Stroke</w:t>
            </w:r>
          </w:p>
        </w:tc>
        <w:tc>
          <w:tcPr>
            <w:tcW w:w="1374" w:type="dxa"/>
            <w:shd w:val="clear" w:color="auto" w:fill="auto"/>
          </w:tcPr>
          <w:p w14:paraId="1B768315" w14:textId="6E2A5102" w:rsidR="00A43163" w:rsidRPr="00B05C77" w:rsidRDefault="005C194D" w:rsidP="00307EE7">
            <w:pPr>
              <w:pStyle w:val="anchor"/>
              <w:spacing w:before="20" w:after="20"/>
              <w:jc w:val="center"/>
            </w:pPr>
            <w:r>
              <w:t>-</w:t>
            </w:r>
          </w:p>
        </w:tc>
        <w:tc>
          <w:tcPr>
            <w:tcW w:w="1346" w:type="dxa"/>
            <w:shd w:val="clear" w:color="auto" w:fill="auto"/>
          </w:tcPr>
          <w:p w14:paraId="2C8F878F" w14:textId="1C38409A" w:rsidR="00A43163" w:rsidRPr="00B05C77" w:rsidRDefault="005C194D" w:rsidP="00307EE7">
            <w:pPr>
              <w:pStyle w:val="anchor"/>
              <w:spacing w:before="20" w:after="20"/>
              <w:jc w:val="center"/>
            </w:pPr>
            <w:r>
              <w:t>-</w:t>
            </w:r>
          </w:p>
        </w:tc>
        <w:tc>
          <w:tcPr>
            <w:tcW w:w="1375" w:type="dxa"/>
            <w:shd w:val="clear" w:color="auto" w:fill="auto"/>
          </w:tcPr>
          <w:p w14:paraId="19504501" w14:textId="19E28118" w:rsidR="00A43163" w:rsidRPr="00347767" w:rsidRDefault="005302BE" w:rsidP="00307EE7">
            <w:pPr>
              <w:pStyle w:val="anchor"/>
              <w:spacing w:before="20" w:after="20"/>
              <w:jc w:val="center"/>
            </w:pPr>
            <w:r w:rsidRPr="005302BE">
              <w:t>4(0.5)</w:t>
            </w:r>
          </w:p>
        </w:tc>
        <w:tc>
          <w:tcPr>
            <w:tcW w:w="1248" w:type="dxa"/>
            <w:shd w:val="clear" w:color="auto" w:fill="auto"/>
          </w:tcPr>
          <w:p w14:paraId="3773F8DA" w14:textId="45AE0A68" w:rsidR="00A43163" w:rsidRPr="005C194D" w:rsidRDefault="005302BE" w:rsidP="00307EE7">
            <w:pPr>
              <w:pStyle w:val="anchor"/>
              <w:spacing w:before="20" w:after="20"/>
              <w:jc w:val="center"/>
            </w:pPr>
            <w:r>
              <w:t>0</w:t>
            </w:r>
          </w:p>
        </w:tc>
        <w:tc>
          <w:tcPr>
            <w:tcW w:w="1297" w:type="dxa"/>
            <w:shd w:val="clear" w:color="auto" w:fill="auto"/>
          </w:tcPr>
          <w:p w14:paraId="771E9397" w14:textId="4A76FFA9" w:rsidR="00A43163" w:rsidRPr="00347767" w:rsidRDefault="005C194D" w:rsidP="00307EE7">
            <w:pPr>
              <w:pStyle w:val="anchor"/>
              <w:spacing w:before="20" w:after="20"/>
              <w:jc w:val="center"/>
            </w:pPr>
            <w:r>
              <w:t>-</w:t>
            </w:r>
          </w:p>
        </w:tc>
        <w:tc>
          <w:tcPr>
            <w:tcW w:w="1268" w:type="dxa"/>
            <w:shd w:val="clear" w:color="auto" w:fill="auto"/>
          </w:tcPr>
          <w:p w14:paraId="6B11043C" w14:textId="743181DF" w:rsidR="00A43163" w:rsidRPr="003B5D8A" w:rsidRDefault="005C194D" w:rsidP="00307EE7">
            <w:pPr>
              <w:pStyle w:val="anchor"/>
              <w:spacing w:before="20" w:after="20"/>
              <w:jc w:val="center"/>
            </w:pPr>
            <w:r>
              <w:t>-</w:t>
            </w:r>
          </w:p>
        </w:tc>
      </w:tr>
      <w:tr w:rsidR="003B5D8A" w14:paraId="3849F191" w14:textId="77777777" w:rsidTr="005C194D">
        <w:tc>
          <w:tcPr>
            <w:tcW w:w="2039" w:type="dxa"/>
            <w:shd w:val="clear" w:color="auto" w:fill="auto"/>
          </w:tcPr>
          <w:p w14:paraId="1DE0C1F3" w14:textId="6478B894" w:rsidR="003B5D8A" w:rsidRPr="00B05C77" w:rsidRDefault="00CE32D8" w:rsidP="005C194D">
            <w:pPr>
              <w:pStyle w:val="anchor"/>
              <w:spacing w:before="20" w:after="20"/>
            </w:pPr>
            <w:r w:rsidRPr="00B05C77">
              <w:t>Cardiogenic shock</w:t>
            </w:r>
          </w:p>
        </w:tc>
        <w:tc>
          <w:tcPr>
            <w:tcW w:w="1374" w:type="dxa"/>
            <w:shd w:val="clear" w:color="auto" w:fill="auto"/>
          </w:tcPr>
          <w:p w14:paraId="527D391B" w14:textId="2A60A08C" w:rsidR="003B5D8A" w:rsidRPr="00347767" w:rsidRDefault="005C194D" w:rsidP="00307EE7">
            <w:pPr>
              <w:pStyle w:val="anchor"/>
              <w:spacing w:before="20" w:after="20"/>
              <w:jc w:val="center"/>
            </w:pPr>
            <w:r>
              <w:t>-</w:t>
            </w:r>
          </w:p>
        </w:tc>
        <w:tc>
          <w:tcPr>
            <w:tcW w:w="1346" w:type="dxa"/>
            <w:shd w:val="clear" w:color="auto" w:fill="auto"/>
          </w:tcPr>
          <w:p w14:paraId="290492A2" w14:textId="6604420D" w:rsidR="003B5D8A" w:rsidRPr="00B05C77" w:rsidRDefault="00CE32D8" w:rsidP="00307EE7">
            <w:pPr>
              <w:pStyle w:val="anchor"/>
              <w:spacing w:before="20" w:after="20"/>
              <w:jc w:val="center"/>
            </w:pPr>
            <w:r w:rsidRPr="00B05C77">
              <w:t>1(0.9)</w:t>
            </w:r>
          </w:p>
        </w:tc>
        <w:tc>
          <w:tcPr>
            <w:tcW w:w="1375" w:type="dxa"/>
            <w:shd w:val="clear" w:color="auto" w:fill="auto"/>
          </w:tcPr>
          <w:p w14:paraId="2F7A11D1" w14:textId="77777777" w:rsidR="003B5D8A" w:rsidRPr="00347767" w:rsidRDefault="003B5D8A" w:rsidP="00307EE7">
            <w:pPr>
              <w:pStyle w:val="anchor"/>
              <w:spacing w:before="20" w:after="20"/>
              <w:jc w:val="center"/>
            </w:pPr>
          </w:p>
        </w:tc>
        <w:tc>
          <w:tcPr>
            <w:tcW w:w="1248" w:type="dxa"/>
            <w:shd w:val="clear" w:color="auto" w:fill="auto"/>
          </w:tcPr>
          <w:p w14:paraId="790A44E8" w14:textId="77777777" w:rsidR="003B5D8A" w:rsidRPr="00347767" w:rsidRDefault="003B5D8A" w:rsidP="00307EE7">
            <w:pPr>
              <w:pStyle w:val="anchor"/>
              <w:spacing w:before="20" w:after="20"/>
              <w:jc w:val="center"/>
            </w:pPr>
          </w:p>
        </w:tc>
        <w:tc>
          <w:tcPr>
            <w:tcW w:w="1297" w:type="dxa"/>
            <w:shd w:val="clear" w:color="auto" w:fill="auto"/>
          </w:tcPr>
          <w:p w14:paraId="1A026B26" w14:textId="6AEF5251" w:rsidR="003B5D8A" w:rsidRPr="00347767" w:rsidRDefault="005C194D" w:rsidP="00307EE7">
            <w:pPr>
              <w:pStyle w:val="anchor"/>
              <w:spacing w:before="20" w:after="20"/>
              <w:jc w:val="center"/>
            </w:pPr>
            <w:r>
              <w:t>-</w:t>
            </w:r>
          </w:p>
        </w:tc>
        <w:tc>
          <w:tcPr>
            <w:tcW w:w="1268" w:type="dxa"/>
            <w:shd w:val="clear" w:color="auto" w:fill="auto"/>
          </w:tcPr>
          <w:p w14:paraId="69D555D0" w14:textId="5FB88D4A" w:rsidR="003B5D8A" w:rsidRPr="003B5D8A" w:rsidRDefault="005C194D" w:rsidP="00307EE7">
            <w:pPr>
              <w:pStyle w:val="anchor"/>
              <w:spacing w:before="20" w:after="20"/>
              <w:jc w:val="center"/>
            </w:pPr>
            <w:r>
              <w:t>-</w:t>
            </w:r>
          </w:p>
        </w:tc>
      </w:tr>
      <w:tr w:rsidR="005C194D" w:rsidRPr="005C194D" w14:paraId="2490AC19" w14:textId="77777777" w:rsidTr="003C5EA3">
        <w:tc>
          <w:tcPr>
            <w:tcW w:w="9947" w:type="dxa"/>
            <w:gridSpan w:val="7"/>
            <w:shd w:val="clear" w:color="auto" w:fill="auto"/>
          </w:tcPr>
          <w:p w14:paraId="4F770892" w14:textId="2B631193" w:rsidR="005C194D" w:rsidRPr="005C194D" w:rsidRDefault="005C194D" w:rsidP="00307EE7">
            <w:pPr>
              <w:pStyle w:val="anchor"/>
              <w:spacing w:before="60" w:after="60"/>
              <w:rPr>
                <w:b/>
              </w:rPr>
            </w:pPr>
            <w:r w:rsidRPr="00B05C77">
              <w:rPr>
                <w:b/>
              </w:rPr>
              <w:t>Infections &amp; infestations</w:t>
            </w:r>
          </w:p>
        </w:tc>
      </w:tr>
      <w:tr w:rsidR="004D5170" w14:paraId="731DA0AF" w14:textId="77777777" w:rsidTr="005C194D">
        <w:tc>
          <w:tcPr>
            <w:tcW w:w="2039" w:type="dxa"/>
            <w:shd w:val="clear" w:color="auto" w:fill="auto"/>
          </w:tcPr>
          <w:p w14:paraId="7354A771" w14:textId="7241C1BA" w:rsidR="004D5170" w:rsidRPr="00CE32D8" w:rsidRDefault="004D5170" w:rsidP="005C194D">
            <w:pPr>
              <w:pStyle w:val="anchor"/>
              <w:spacing w:before="20" w:after="20"/>
            </w:pPr>
            <w:r>
              <w:t>Septic shock</w:t>
            </w:r>
          </w:p>
        </w:tc>
        <w:tc>
          <w:tcPr>
            <w:tcW w:w="1374" w:type="dxa"/>
            <w:shd w:val="clear" w:color="auto" w:fill="auto"/>
          </w:tcPr>
          <w:p w14:paraId="11A89503" w14:textId="5D416380" w:rsidR="004D5170" w:rsidRPr="00347767" w:rsidRDefault="004D5170" w:rsidP="00307EE7">
            <w:pPr>
              <w:pStyle w:val="anchor"/>
              <w:spacing w:before="20" w:after="20"/>
              <w:jc w:val="center"/>
            </w:pPr>
            <w:r>
              <w:t>5(4.6)</w:t>
            </w:r>
          </w:p>
        </w:tc>
        <w:tc>
          <w:tcPr>
            <w:tcW w:w="1346" w:type="dxa"/>
            <w:shd w:val="clear" w:color="auto" w:fill="auto"/>
          </w:tcPr>
          <w:p w14:paraId="0B694A6B" w14:textId="0130ADAC" w:rsidR="004D5170" w:rsidRPr="00347767" w:rsidRDefault="004D5170" w:rsidP="00307EE7">
            <w:pPr>
              <w:pStyle w:val="anchor"/>
              <w:spacing w:before="20" w:after="20"/>
              <w:jc w:val="center"/>
            </w:pPr>
            <w:r>
              <w:t>3(2.6)</w:t>
            </w:r>
          </w:p>
        </w:tc>
        <w:tc>
          <w:tcPr>
            <w:tcW w:w="1375" w:type="dxa"/>
            <w:shd w:val="clear" w:color="auto" w:fill="auto"/>
          </w:tcPr>
          <w:p w14:paraId="6158926E" w14:textId="3B6DCBFF" w:rsidR="004D5170" w:rsidRPr="00347767" w:rsidRDefault="005C194D" w:rsidP="00307EE7">
            <w:pPr>
              <w:pStyle w:val="anchor"/>
              <w:spacing w:before="20" w:after="20"/>
              <w:jc w:val="center"/>
            </w:pPr>
            <w:r>
              <w:t>-</w:t>
            </w:r>
          </w:p>
        </w:tc>
        <w:tc>
          <w:tcPr>
            <w:tcW w:w="1248" w:type="dxa"/>
            <w:shd w:val="clear" w:color="auto" w:fill="auto"/>
          </w:tcPr>
          <w:p w14:paraId="1DF68292" w14:textId="2CF60FA3" w:rsidR="004D5170" w:rsidRPr="00347767" w:rsidRDefault="005C194D" w:rsidP="00307EE7">
            <w:pPr>
              <w:pStyle w:val="anchor"/>
              <w:spacing w:before="20" w:after="20"/>
              <w:jc w:val="center"/>
            </w:pPr>
            <w:r>
              <w:t>-</w:t>
            </w:r>
          </w:p>
        </w:tc>
        <w:tc>
          <w:tcPr>
            <w:tcW w:w="1297" w:type="dxa"/>
            <w:shd w:val="clear" w:color="auto" w:fill="auto"/>
          </w:tcPr>
          <w:p w14:paraId="14FBD124" w14:textId="49B53325" w:rsidR="004D5170" w:rsidRPr="00347767" w:rsidRDefault="005C194D" w:rsidP="00307EE7">
            <w:pPr>
              <w:pStyle w:val="anchor"/>
              <w:spacing w:before="20" w:after="20"/>
              <w:jc w:val="center"/>
            </w:pPr>
            <w:r>
              <w:t>-</w:t>
            </w:r>
          </w:p>
        </w:tc>
        <w:tc>
          <w:tcPr>
            <w:tcW w:w="1268" w:type="dxa"/>
            <w:shd w:val="clear" w:color="auto" w:fill="auto"/>
          </w:tcPr>
          <w:p w14:paraId="1B930B1A" w14:textId="0B518B50" w:rsidR="004D5170" w:rsidRPr="003B5D8A" w:rsidRDefault="005C194D" w:rsidP="00307EE7">
            <w:pPr>
              <w:pStyle w:val="anchor"/>
              <w:spacing w:before="20" w:after="20"/>
              <w:jc w:val="center"/>
            </w:pPr>
            <w:r>
              <w:t>-</w:t>
            </w:r>
          </w:p>
        </w:tc>
      </w:tr>
      <w:tr w:rsidR="005C194D" w:rsidRPr="00307EE7" w14:paraId="1EDDF35A" w14:textId="77777777" w:rsidTr="003C5EA3">
        <w:tc>
          <w:tcPr>
            <w:tcW w:w="9947" w:type="dxa"/>
            <w:gridSpan w:val="7"/>
            <w:shd w:val="clear" w:color="auto" w:fill="auto"/>
          </w:tcPr>
          <w:p w14:paraId="3B4D485D" w14:textId="77298562" w:rsidR="005C194D" w:rsidRPr="005C194D" w:rsidRDefault="005C194D" w:rsidP="00307EE7">
            <w:pPr>
              <w:pStyle w:val="anchor"/>
              <w:spacing w:before="60" w:after="60"/>
              <w:rPr>
                <w:b/>
              </w:rPr>
            </w:pPr>
            <w:r w:rsidRPr="00B05C77">
              <w:rPr>
                <w:b/>
              </w:rPr>
              <w:t>Investigations</w:t>
            </w:r>
          </w:p>
        </w:tc>
      </w:tr>
      <w:tr w:rsidR="00A64690" w14:paraId="00F54CBF" w14:textId="77777777" w:rsidTr="005C194D">
        <w:tc>
          <w:tcPr>
            <w:tcW w:w="2039" w:type="dxa"/>
            <w:shd w:val="clear" w:color="auto" w:fill="auto"/>
          </w:tcPr>
          <w:p w14:paraId="3CD78FC2" w14:textId="0EA3449B" w:rsidR="00A64690" w:rsidRPr="00B05C77" w:rsidRDefault="00A64690" w:rsidP="005C194D">
            <w:pPr>
              <w:pStyle w:val="anchor"/>
              <w:spacing w:before="20" w:after="20"/>
            </w:pPr>
            <w:r>
              <w:t>Elevated liver enzymes</w:t>
            </w:r>
          </w:p>
        </w:tc>
        <w:tc>
          <w:tcPr>
            <w:tcW w:w="1374" w:type="dxa"/>
            <w:shd w:val="clear" w:color="auto" w:fill="auto"/>
          </w:tcPr>
          <w:p w14:paraId="34B2D281" w14:textId="7128CBF8" w:rsidR="00A64690" w:rsidRPr="00F43329" w:rsidRDefault="005C194D" w:rsidP="00307EE7">
            <w:pPr>
              <w:pStyle w:val="anchor"/>
              <w:spacing w:before="20" w:after="20"/>
              <w:jc w:val="center"/>
            </w:pPr>
            <w:r>
              <w:t>-</w:t>
            </w:r>
          </w:p>
        </w:tc>
        <w:tc>
          <w:tcPr>
            <w:tcW w:w="1346" w:type="dxa"/>
            <w:shd w:val="clear" w:color="auto" w:fill="auto"/>
          </w:tcPr>
          <w:p w14:paraId="4B426E36" w14:textId="3532ED0F" w:rsidR="00A64690" w:rsidRPr="00581E7A" w:rsidRDefault="005C194D" w:rsidP="00307EE7">
            <w:pPr>
              <w:pStyle w:val="anchor"/>
              <w:spacing w:before="20" w:after="20"/>
              <w:jc w:val="center"/>
            </w:pPr>
            <w:r>
              <w:t>-</w:t>
            </w:r>
          </w:p>
        </w:tc>
        <w:tc>
          <w:tcPr>
            <w:tcW w:w="1375" w:type="dxa"/>
            <w:shd w:val="clear" w:color="auto" w:fill="auto"/>
          </w:tcPr>
          <w:p w14:paraId="4E8AF52B" w14:textId="288BADC6" w:rsidR="00A64690" w:rsidRPr="00581E7A" w:rsidRDefault="00A64690" w:rsidP="00307EE7">
            <w:pPr>
              <w:pStyle w:val="anchor"/>
              <w:spacing w:before="20" w:after="20"/>
              <w:jc w:val="center"/>
            </w:pPr>
            <w:r>
              <w:t>7(0.9)</w:t>
            </w:r>
          </w:p>
        </w:tc>
        <w:tc>
          <w:tcPr>
            <w:tcW w:w="1248" w:type="dxa"/>
            <w:shd w:val="clear" w:color="auto" w:fill="auto"/>
          </w:tcPr>
          <w:p w14:paraId="43EC4D82" w14:textId="11965901" w:rsidR="00A64690" w:rsidRPr="00581E7A" w:rsidRDefault="00A64690" w:rsidP="00307EE7">
            <w:pPr>
              <w:pStyle w:val="anchor"/>
              <w:spacing w:before="20" w:after="20"/>
              <w:jc w:val="center"/>
            </w:pPr>
            <w:r>
              <w:t>21(2.7)</w:t>
            </w:r>
          </w:p>
        </w:tc>
        <w:tc>
          <w:tcPr>
            <w:tcW w:w="1297" w:type="dxa"/>
            <w:shd w:val="clear" w:color="auto" w:fill="auto"/>
          </w:tcPr>
          <w:p w14:paraId="5B665ABA" w14:textId="180562FD" w:rsidR="00A64690" w:rsidRPr="00581E7A" w:rsidRDefault="005C194D" w:rsidP="00307EE7">
            <w:pPr>
              <w:pStyle w:val="anchor"/>
              <w:spacing w:before="20" w:after="20"/>
              <w:jc w:val="center"/>
            </w:pPr>
            <w:r>
              <w:t>-</w:t>
            </w:r>
          </w:p>
        </w:tc>
        <w:tc>
          <w:tcPr>
            <w:tcW w:w="1268" w:type="dxa"/>
            <w:shd w:val="clear" w:color="auto" w:fill="auto"/>
          </w:tcPr>
          <w:p w14:paraId="00B37DFF" w14:textId="1A71066C" w:rsidR="00A64690" w:rsidRPr="00581E7A" w:rsidRDefault="005C194D" w:rsidP="00307EE7">
            <w:pPr>
              <w:pStyle w:val="anchor"/>
              <w:spacing w:before="20" w:after="20"/>
              <w:jc w:val="center"/>
            </w:pPr>
            <w:r>
              <w:t>-</w:t>
            </w:r>
          </w:p>
        </w:tc>
      </w:tr>
      <w:tr w:rsidR="005C194D" w:rsidRPr="00307EE7" w14:paraId="4B5B91E6" w14:textId="77777777" w:rsidTr="003C5EA3">
        <w:tc>
          <w:tcPr>
            <w:tcW w:w="9947" w:type="dxa"/>
            <w:gridSpan w:val="7"/>
            <w:shd w:val="clear" w:color="auto" w:fill="auto"/>
          </w:tcPr>
          <w:p w14:paraId="46D74414" w14:textId="3541EC94" w:rsidR="005C194D" w:rsidRPr="005C194D" w:rsidRDefault="005C194D" w:rsidP="00307EE7">
            <w:pPr>
              <w:pStyle w:val="anchor"/>
              <w:spacing w:before="60" w:after="60"/>
              <w:rPr>
                <w:b/>
              </w:rPr>
            </w:pPr>
            <w:r w:rsidRPr="00B05C77">
              <w:rPr>
                <w:b/>
              </w:rPr>
              <w:t>Metabolic &amp; nutritional disorders</w:t>
            </w:r>
          </w:p>
        </w:tc>
      </w:tr>
      <w:tr w:rsidR="004942B7" w14:paraId="46F3B27F" w14:textId="77777777" w:rsidTr="005C194D">
        <w:tc>
          <w:tcPr>
            <w:tcW w:w="2039" w:type="dxa"/>
            <w:shd w:val="clear" w:color="auto" w:fill="auto"/>
          </w:tcPr>
          <w:p w14:paraId="4FE315E3" w14:textId="635DAD78" w:rsidR="004942B7" w:rsidRPr="00A64690" w:rsidRDefault="004942B7" w:rsidP="005C194D">
            <w:pPr>
              <w:pStyle w:val="anchor"/>
              <w:spacing w:before="20" w:after="20"/>
            </w:pPr>
            <w:r>
              <w:t>Diabetes</w:t>
            </w:r>
          </w:p>
        </w:tc>
        <w:tc>
          <w:tcPr>
            <w:tcW w:w="1374" w:type="dxa"/>
            <w:shd w:val="clear" w:color="auto" w:fill="auto"/>
          </w:tcPr>
          <w:p w14:paraId="55CB84D9" w14:textId="018E603E" w:rsidR="004942B7" w:rsidRPr="00F43329" w:rsidRDefault="005C194D" w:rsidP="00307EE7">
            <w:pPr>
              <w:pStyle w:val="anchor"/>
              <w:spacing w:before="20" w:after="20"/>
              <w:jc w:val="center"/>
            </w:pPr>
            <w:r>
              <w:t>-</w:t>
            </w:r>
          </w:p>
        </w:tc>
        <w:tc>
          <w:tcPr>
            <w:tcW w:w="1346" w:type="dxa"/>
            <w:shd w:val="clear" w:color="auto" w:fill="auto"/>
          </w:tcPr>
          <w:p w14:paraId="7BB45B6F" w14:textId="74B41539" w:rsidR="004942B7" w:rsidRPr="00581E7A" w:rsidRDefault="005C194D" w:rsidP="00307EE7">
            <w:pPr>
              <w:pStyle w:val="anchor"/>
              <w:spacing w:before="20" w:after="20"/>
              <w:jc w:val="center"/>
            </w:pPr>
            <w:r>
              <w:t>-</w:t>
            </w:r>
          </w:p>
        </w:tc>
        <w:tc>
          <w:tcPr>
            <w:tcW w:w="1375" w:type="dxa"/>
            <w:shd w:val="clear" w:color="auto" w:fill="auto"/>
          </w:tcPr>
          <w:p w14:paraId="5124B306" w14:textId="43C66E4B" w:rsidR="004942B7" w:rsidRPr="00581E7A" w:rsidRDefault="00236A4E" w:rsidP="00307EE7">
            <w:pPr>
              <w:pStyle w:val="anchor"/>
              <w:spacing w:before="20" w:after="20"/>
              <w:jc w:val="center"/>
            </w:pPr>
            <w:r>
              <w:t>1(0.12)</w:t>
            </w:r>
          </w:p>
        </w:tc>
        <w:tc>
          <w:tcPr>
            <w:tcW w:w="1248" w:type="dxa"/>
            <w:shd w:val="clear" w:color="auto" w:fill="auto"/>
          </w:tcPr>
          <w:p w14:paraId="07F4D735" w14:textId="5547E114" w:rsidR="004942B7" w:rsidRPr="00581E7A" w:rsidRDefault="005C194D" w:rsidP="00307EE7">
            <w:pPr>
              <w:pStyle w:val="anchor"/>
              <w:spacing w:before="20" w:after="20"/>
              <w:jc w:val="center"/>
            </w:pPr>
            <w:r>
              <w:t>-</w:t>
            </w:r>
          </w:p>
        </w:tc>
        <w:tc>
          <w:tcPr>
            <w:tcW w:w="1297" w:type="dxa"/>
            <w:shd w:val="clear" w:color="auto" w:fill="auto"/>
          </w:tcPr>
          <w:p w14:paraId="56F0C08E" w14:textId="698AD423" w:rsidR="004942B7" w:rsidRPr="00581E7A" w:rsidRDefault="005C194D" w:rsidP="00307EE7">
            <w:pPr>
              <w:pStyle w:val="anchor"/>
              <w:spacing w:before="20" w:after="20"/>
              <w:jc w:val="center"/>
            </w:pPr>
            <w:r>
              <w:t>-</w:t>
            </w:r>
          </w:p>
        </w:tc>
        <w:tc>
          <w:tcPr>
            <w:tcW w:w="1268" w:type="dxa"/>
            <w:shd w:val="clear" w:color="auto" w:fill="auto"/>
          </w:tcPr>
          <w:p w14:paraId="6D17D92E" w14:textId="70871E15" w:rsidR="004942B7" w:rsidRPr="00581E7A" w:rsidRDefault="005C194D" w:rsidP="00307EE7">
            <w:pPr>
              <w:pStyle w:val="anchor"/>
              <w:spacing w:before="20" w:after="20"/>
              <w:jc w:val="center"/>
            </w:pPr>
            <w:r>
              <w:t>-</w:t>
            </w:r>
          </w:p>
        </w:tc>
      </w:tr>
      <w:tr w:rsidR="005C194D" w:rsidRPr="00307EE7" w14:paraId="334FD443" w14:textId="77777777" w:rsidTr="003C5EA3">
        <w:tc>
          <w:tcPr>
            <w:tcW w:w="9947" w:type="dxa"/>
            <w:gridSpan w:val="7"/>
            <w:shd w:val="clear" w:color="auto" w:fill="auto"/>
          </w:tcPr>
          <w:p w14:paraId="17911142" w14:textId="059E94A8" w:rsidR="005C194D" w:rsidRPr="005C194D" w:rsidRDefault="005C194D" w:rsidP="00307EE7">
            <w:pPr>
              <w:pStyle w:val="anchor"/>
              <w:spacing w:before="60" w:after="60"/>
              <w:rPr>
                <w:b/>
              </w:rPr>
            </w:pPr>
            <w:r w:rsidRPr="00B05C77">
              <w:rPr>
                <w:b/>
              </w:rPr>
              <w:t>Neoplasms benign &amp; malignant</w:t>
            </w:r>
          </w:p>
        </w:tc>
      </w:tr>
      <w:tr w:rsidR="009D45B0" w14:paraId="386BEC29" w14:textId="77777777" w:rsidTr="005C194D">
        <w:tc>
          <w:tcPr>
            <w:tcW w:w="2039" w:type="dxa"/>
            <w:shd w:val="clear" w:color="auto" w:fill="auto"/>
          </w:tcPr>
          <w:p w14:paraId="667B2099" w14:textId="698D26F5" w:rsidR="009D45B0" w:rsidRPr="00A64690" w:rsidRDefault="009D45B0" w:rsidP="005C194D">
            <w:pPr>
              <w:pStyle w:val="anchor"/>
              <w:spacing w:before="20" w:after="20"/>
            </w:pPr>
            <w:r>
              <w:t>Carcinoma</w:t>
            </w:r>
          </w:p>
        </w:tc>
        <w:tc>
          <w:tcPr>
            <w:tcW w:w="1374" w:type="dxa"/>
            <w:shd w:val="clear" w:color="auto" w:fill="auto"/>
          </w:tcPr>
          <w:p w14:paraId="1C9E8B77" w14:textId="3CECA872" w:rsidR="009D45B0" w:rsidRPr="00F43329" w:rsidRDefault="005C194D" w:rsidP="00307EE7">
            <w:pPr>
              <w:pStyle w:val="anchor"/>
              <w:spacing w:before="20" w:after="20"/>
              <w:jc w:val="center"/>
            </w:pPr>
            <w:r>
              <w:t>-</w:t>
            </w:r>
          </w:p>
        </w:tc>
        <w:tc>
          <w:tcPr>
            <w:tcW w:w="1346" w:type="dxa"/>
            <w:shd w:val="clear" w:color="auto" w:fill="auto"/>
          </w:tcPr>
          <w:p w14:paraId="09590DB4" w14:textId="35313540" w:rsidR="009D45B0" w:rsidRPr="00581E7A" w:rsidRDefault="005C194D" w:rsidP="00307EE7">
            <w:pPr>
              <w:pStyle w:val="anchor"/>
              <w:spacing w:before="20" w:after="20"/>
              <w:jc w:val="center"/>
            </w:pPr>
            <w:r>
              <w:t>-</w:t>
            </w:r>
          </w:p>
        </w:tc>
        <w:tc>
          <w:tcPr>
            <w:tcW w:w="1375" w:type="dxa"/>
            <w:shd w:val="clear" w:color="auto" w:fill="auto"/>
          </w:tcPr>
          <w:p w14:paraId="386F7215" w14:textId="510105F4" w:rsidR="009D45B0" w:rsidRPr="00581E7A" w:rsidRDefault="009D45B0" w:rsidP="00307EE7">
            <w:pPr>
              <w:pStyle w:val="anchor"/>
              <w:spacing w:before="20" w:after="20"/>
              <w:jc w:val="center"/>
            </w:pPr>
            <w:r>
              <w:t>4(0.5)</w:t>
            </w:r>
          </w:p>
        </w:tc>
        <w:tc>
          <w:tcPr>
            <w:tcW w:w="1248" w:type="dxa"/>
            <w:shd w:val="clear" w:color="auto" w:fill="auto"/>
          </w:tcPr>
          <w:p w14:paraId="2678523E" w14:textId="6E5FF6CF" w:rsidR="009D45B0" w:rsidRPr="00581E7A" w:rsidRDefault="009D45B0" w:rsidP="00307EE7">
            <w:pPr>
              <w:pStyle w:val="anchor"/>
              <w:spacing w:before="20" w:after="20"/>
              <w:jc w:val="center"/>
            </w:pPr>
            <w:r>
              <w:t>3(0.4)</w:t>
            </w:r>
          </w:p>
        </w:tc>
        <w:tc>
          <w:tcPr>
            <w:tcW w:w="1297" w:type="dxa"/>
            <w:shd w:val="clear" w:color="auto" w:fill="auto"/>
          </w:tcPr>
          <w:p w14:paraId="70F7DA5B" w14:textId="5332265D" w:rsidR="009D45B0" w:rsidRPr="00581E7A" w:rsidRDefault="005C194D" w:rsidP="00307EE7">
            <w:pPr>
              <w:pStyle w:val="anchor"/>
              <w:spacing w:before="20" w:after="20"/>
              <w:jc w:val="center"/>
            </w:pPr>
            <w:r>
              <w:t>-</w:t>
            </w:r>
          </w:p>
        </w:tc>
        <w:tc>
          <w:tcPr>
            <w:tcW w:w="1268" w:type="dxa"/>
            <w:shd w:val="clear" w:color="auto" w:fill="auto"/>
          </w:tcPr>
          <w:p w14:paraId="6F80B9FC" w14:textId="5DF8BF82" w:rsidR="009D45B0" w:rsidRPr="00581E7A" w:rsidRDefault="005C194D" w:rsidP="00307EE7">
            <w:pPr>
              <w:pStyle w:val="anchor"/>
              <w:spacing w:before="20" w:after="20"/>
              <w:jc w:val="center"/>
            </w:pPr>
            <w:r>
              <w:t>-</w:t>
            </w:r>
          </w:p>
        </w:tc>
      </w:tr>
      <w:tr w:rsidR="005C194D" w:rsidRPr="00307EE7" w14:paraId="3B3E311B" w14:textId="77777777" w:rsidTr="003C5EA3">
        <w:tc>
          <w:tcPr>
            <w:tcW w:w="9947" w:type="dxa"/>
            <w:gridSpan w:val="7"/>
            <w:shd w:val="clear" w:color="auto" w:fill="auto"/>
          </w:tcPr>
          <w:p w14:paraId="01E4A297" w14:textId="3A2E7EE0" w:rsidR="005C194D" w:rsidRPr="005C194D" w:rsidRDefault="005C194D" w:rsidP="00307EE7">
            <w:pPr>
              <w:pStyle w:val="anchor"/>
              <w:spacing w:before="60" w:after="60"/>
              <w:rPr>
                <w:b/>
              </w:rPr>
            </w:pPr>
            <w:r w:rsidRPr="00B05C77">
              <w:rPr>
                <w:b/>
              </w:rPr>
              <w:t>Renal &amp; urinary disorders</w:t>
            </w:r>
          </w:p>
        </w:tc>
      </w:tr>
      <w:tr w:rsidR="00783418" w14:paraId="437B4AA1" w14:textId="77777777" w:rsidTr="005C194D">
        <w:tc>
          <w:tcPr>
            <w:tcW w:w="2039" w:type="dxa"/>
            <w:shd w:val="clear" w:color="auto" w:fill="auto"/>
          </w:tcPr>
          <w:p w14:paraId="1DF7E896" w14:textId="78A0EC60" w:rsidR="00783418" w:rsidRDefault="00783418" w:rsidP="005C194D">
            <w:pPr>
              <w:pStyle w:val="anchor"/>
              <w:spacing w:before="20" w:after="20"/>
            </w:pPr>
            <w:r>
              <w:t>Haematuria</w:t>
            </w:r>
          </w:p>
        </w:tc>
        <w:tc>
          <w:tcPr>
            <w:tcW w:w="1374" w:type="dxa"/>
            <w:shd w:val="clear" w:color="auto" w:fill="auto"/>
          </w:tcPr>
          <w:p w14:paraId="4AA293A4" w14:textId="2B2A82D2" w:rsidR="00783418" w:rsidRPr="00F43329" w:rsidRDefault="00783418" w:rsidP="00307EE7">
            <w:pPr>
              <w:pStyle w:val="anchor"/>
              <w:spacing w:before="20" w:after="20"/>
              <w:jc w:val="center"/>
            </w:pPr>
            <w:r>
              <w:t>1(0.9)</w:t>
            </w:r>
          </w:p>
        </w:tc>
        <w:tc>
          <w:tcPr>
            <w:tcW w:w="1346" w:type="dxa"/>
            <w:shd w:val="clear" w:color="auto" w:fill="auto"/>
          </w:tcPr>
          <w:p w14:paraId="5A06C98D" w14:textId="42FB1FBB" w:rsidR="00783418" w:rsidRPr="00581E7A" w:rsidRDefault="005C194D" w:rsidP="00307EE7">
            <w:pPr>
              <w:pStyle w:val="anchor"/>
              <w:spacing w:before="20" w:after="20"/>
              <w:jc w:val="center"/>
            </w:pPr>
            <w:r>
              <w:t>-</w:t>
            </w:r>
          </w:p>
        </w:tc>
        <w:tc>
          <w:tcPr>
            <w:tcW w:w="1375" w:type="dxa"/>
            <w:shd w:val="clear" w:color="auto" w:fill="auto"/>
          </w:tcPr>
          <w:p w14:paraId="516F114B" w14:textId="201012F3" w:rsidR="00783418" w:rsidRPr="00581E7A" w:rsidRDefault="005C194D" w:rsidP="00307EE7">
            <w:pPr>
              <w:pStyle w:val="anchor"/>
              <w:spacing w:before="20" w:after="20"/>
              <w:jc w:val="center"/>
            </w:pPr>
            <w:r>
              <w:t>-</w:t>
            </w:r>
          </w:p>
        </w:tc>
        <w:tc>
          <w:tcPr>
            <w:tcW w:w="1248" w:type="dxa"/>
            <w:shd w:val="clear" w:color="auto" w:fill="auto"/>
          </w:tcPr>
          <w:p w14:paraId="2CF759BE" w14:textId="2465BFAB" w:rsidR="00783418" w:rsidRPr="00581E7A" w:rsidRDefault="005C194D" w:rsidP="00307EE7">
            <w:pPr>
              <w:pStyle w:val="anchor"/>
              <w:spacing w:before="20" w:after="20"/>
              <w:jc w:val="center"/>
            </w:pPr>
            <w:r>
              <w:t>-</w:t>
            </w:r>
          </w:p>
        </w:tc>
        <w:tc>
          <w:tcPr>
            <w:tcW w:w="1297" w:type="dxa"/>
            <w:shd w:val="clear" w:color="auto" w:fill="auto"/>
          </w:tcPr>
          <w:p w14:paraId="283A8C4A" w14:textId="643D964F" w:rsidR="00783418" w:rsidRPr="00581E7A" w:rsidRDefault="005C194D" w:rsidP="00307EE7">
            <w:pPr>
              <w:pStyle w:val="anchor"/>
              <w:spacing w:before="20" w:after="20"/>
              <w:jc w:val="center"/>
            </w:pPr>
            <w:r>
              <w:t>-</w:t>
            </w:r>
          </w:p>
        </w:tc>
        <w:tc>
          <w:tcPr>
            <w:tcW w:w="1268" w:type="dxa"/>
            <w:shd w:val="clear" w:color="auto" w:fill="auto"/>
          </w:tcPr>
          <w:p w14:paraId="6924CA8C" w14:textId="00A48698" w:rsidR="00783418" w:rsidRPr="00581E7A" w:rsidRDefault="005C194D" w:rsidP="00307EE7">
            <w:pPr>
              <w:pStyle w:val="anchor"/>
              <w:spacing w:before="20" w:after="20"/>
              <w:jc w:val="center"/>
            </w:pPr>
            <w:r>
              <w:t>-</w:t>
            </w:r>
          </w:p>
        </w:tc>
      </w:tr>
      <w:tr w:rsidR="005C194D" w:rsidRPr="00307EE7" w14:paraId="60D719D0" w14:textId="77777777" w:rsidTr="003C5EA3">
        <w:tc>
          <w:tcPr>
            <w:tcW w:w="9947" w:type="dxa"/>
            <w:gridSpan w:val="7"/>
            <w:shd w:val="clear" w:color="auto" w:fill="auto"/>
          </w:tcPr>
          <w:p w14:paraId="67D13B26" w14:textId="4347DC0C" w:rsidR="005C194D" w:rsidRPr="005C194D" w:rsidRDefault="005C194D" w:rsidP="00307EE7">
            <w:pPr>
              <w:pStyle w:val="anchor"/>
              <w:spacing w:before="60" w:after="60"/>
              <w:rPr>
                <w:b/>
              </w:rPr>
            </w:pPr>
            <w:r w:rsidRPr="00B05C77">
              <w:rPr>
                <w:b/>
              </w:rPr>
              <w:t>Respiratory, thoracic &amp; mediastinal disorders</w:t>
            </w:r>
          </w:p>
        </w:tc>
      </w:tr>
      <w:tr w:rsidR="00761AAD" w14:paraId="0DAAF7E5" w14:textId="77777777" w:rsidTr="005C194D">
        <w:tc>
          <w:tcPr>
            <w:tcW w:w="2039" w:type="dxa"/>
            <w:shd w:val="clear" w:color="auto" w:fill="auto"/>
          </w:tcPr>
          <w:p w14:paraId="232C5060" w14:textId="2FDDE481" w:rsidR="00761AAD" w:rsidRDefault="00B7302D" w:rsidP="005C194D">
            <w:pPr>
              <w:pStyle w:val="anchor"/>
              <w:spacing w:before="20" w:after="20"/>
            </w:pPr>
            <w:r>
              <w:t xml:space="preserve">Chronic obstructive lung </w:t>
            </w:r>
            <w:r>
              <w:lastRenderedPageBreak/>
              <w:t>disease</w:t>
            </w:r>
          </w:p>
        </w:tc>
        <w:tc>
          <w:tcPr>
            <w:tcW w:w="1374" w:type="dxa"/>
            <w:shd w:val="clear" w:color="auto" w:fill="auto"/>
          </w:tcPr>
          <w:p w14:paraId="76142F0A" w14:textId="182EDC54" w:rsidR="00761AAD" w:rsidRPr="00F43329" w:rsidRDefault="005C194D" w:rsidP="00307EE7">
            <w:pPr>
              <w:pStyle w:val="anchor"/>
              <w:spacing w:before="20" w:after="20"/>
              <w:jc w:val="center"/>
            </w:pPr>
            <w:r>
              <w:lastRenderedPageBreak/>
              <w:t>-</w:t>
            </w:r>
          </w:p>
        </w:tc>
        <w:tc>
          <w:tcPr>
            <w:tcW w:w="1346" w:type="dxa"/>
            <w:shd w:val="clear" w:color="auto" w:fill="auto"/>
          </w:tcPr>
          <w:p w14:paraId="7F5D8D5D" w14:textId="5D108F03" w:rsidR="00761AAD" w:rsidRPr="00581E7A" w:rsidRDefault="005C194D" w:rsidP="00307EE7">
            <w:pPr>
              <w:pStyle w:val="anchor"/>
              <w:spacing w:before="20" w:after="20"/>
              <w:jc w:val="center"/>
            </w:pPr>
            <w:r>
              <w:t>-</w:t>
            </w:r>
          </w:p>
        </w:tc>
        <w:tc>
          <w:tcPr>
            <w:tcW w:w="1375" w:type="dxa"/>
            <w:shd w:val="clear" w:color="auto" w:fill="auto"/>
          </w:tcPr>
          <w:p w14:paraId="43051701" w14:textId="1AE9DF2F" w:rsidR="00761AAD" w:rsidRPr="00581E7A" w:rsidRDefault="00B7302D" w:rsidP="00307EE7">
            <w:pPr>
              <w:pStyle w:val="anchor"/>
              <w:spacing w:before="20" w:after="20"/>
              <w:jc w:val="center"/>
            </w:pPr>
            <w:r>
              <w:t>0</w:t>
            </w:r>
          </w:p>
        </w:tc>
        <w:tc>
          <w:tcPr>
            <w:tcW w:w="1248" w:type="dxa"/>
            <w:shd w:val="clear" w:color="auto" w:fill="auto"/>
          </w:tcPr>
          <w:p w14:paraId="355062B2" w14:textId="5E0DCAED" w:rsidR="00761AAD" w:rsidRPr="00581E7A" w:rsidRDefault="00B7302D" w:rsidP="00307EE7">
            <w:pPr>
              <w:pStyle w:val="anchor"/>
              <w:spacing w:before="20" w:after="20"/>
              <w:jc w:val="center"/>
            </w:pPr>
            <w:r>
              <w:t>1(0.13)</w:t>
            </w:r>
          </w:p>
        </w:tc>
        <w:tc>
          <w:tcPr>
            <w:tcW w:w="1297" w:type="dxa"/>
            <w:shd w:val="clear" w:color="auto" w:fill="auto"/>
          </w:tcPr>
          <w:p w14:paraId="67E71EA1" w14:textId="1BC418C9" w:rsidR="00761AAD" w:rsidRPr="00581E7A" w:rsidRDefault="005C194D" w:rsidP="00307EE7">
            <w:pPr>
              <w:pStyle w:val="anchor"/>
              <w:spacing w:before="20" w:after="20"/>
              <w:jc w:val="center"/>
            </w:pPr>
            <w:r>
              <w:t>-</w:t>
            </w:r>
          </w:p>
        </w:tc>
        <w:tc>
          <w:tcPr>
            <w:tcW w:w="1268" w:type="dxa"/>
            <w:shd w:val="clear" w:color="auto" w:fill="auto"/>
          </w:tcPr>
          <w:p w14:paraId="288EE9C5" w14:textId="7EC774FF" w:rsidR="00761AAD" w:rsidRPr="00581E7A" w:rsidRDefault="005C194D" w:rsidP="00307EE7">
            <w:pPr>
              <w:pStyle w:val="anchor"/>
              <w:spacing w:before="20" w:after="20"/>
              <w:jc w:val="center"/>
            </w:pPr>
            <w:r>
              <w:t>-</w:t>
            </w:r>
          </w:p>
        </w:tc>
      </w:tr>
      <w:tr w:rsidR="00761AAD" w14:paraId="3B56AA9F" w14:textId="77777777" w:rsidTr="002504DF">
        <w:trPr>
          <w:trHeight w:val="245"/>
        </w:trPr>
        <w:tc>
          <w:tcPr>
            <w:tcW w:w="2039" w:type="dxa"/>
            <w:shd w:val="clear" w:color="auto" w:fill="auto"/>
          </w:tcPr>
          <w:p w14:paraId="25A45726" w14:textId="7AFD1B29" w:rsidR="00761AAD" w:rsidRDefault="00B7302D" w:rsidP="00FF1917">
            <w:pPr>
              <w:pStyle w:val="anchor"/>
            </w:pPr>
            <w:r>
              <w:lastRenderedPageBreak/>
              <w:t>Pneumonia</w:t>
            </w:r>
          </w:p>
        </w:tc>
        <w:tc>
          <w:tcPr>
            <w:tcW w:w="1374" w:type="dxa"/>
            <w:shd w:val="clear" w:color="auto" w:fill="auto"/>
          </w:tcPr>
          <w:p w14:paraId="2CB024B2" w14:textId="5E6D2C45" w:rsidR="00761AAD" w:rsidRPr="00F43329" w:rsidRDefault="005C194D" w:rsidP="00307EE7">
            <w:pPr>
              <w:pStyle w:val="anchor"/>
              <w:jc w:val="center"/>
            </w:pPr>
            <w:r>
              <w:t>-</w:t>
            </w:r>
          </w:p>
        </w:tc>
        <w:tc>
          <w:tcPr>
            <w:tcW w:w="1346" w:type="dxa"/>
            <w:shd w:val="clear" w:color="auto" w:fill="auto"/>
          </w:tcPr>
          <w:p w14:paraId="7C7C9CF9" w14:textId="0B82461D" w:rsidR="00761AAD" w:rsidRPr="00581E7A" w:rsidRDefault="005C194D" w:rsidP="00307EE7">
            <w:pPr>
              <w:pStyle w:val="anchor"/>
              <w:jc w:val="center"/>
            </w:pPr>
            <w:r>
              <w:t>-</w:t>
            </w:r>
          </w:p>
        </w:tc>
        <w:tc>
          <w:tcPr>
            <w:tcW w:w="1375" w:type="dxa"/>
            <w:shd w:val="clear" w:color="auto" w:fill="auto"/>
          </w:tcPr>
          <w:p w14:paraId="539EF444" w14:textId="401411E3" w:rsidR="00761AAD" w:rsidRPr="00581E7A" w:rsidRDefault="00B7302D" w:rsidP="00307EE7">
            <w:pPr>
              <w:pStyle w:val="anchor"/>
              <w:jc w:val="center"/>
            </w:pPr>
            <w:r>
              <w:t>4(0.5)</w:t>
            </w:r>
          </w:p>
        </w:tc>
        <w:tc>
          <w:tcPr>
            <w:tcW w:w="1248" w:type="dxa"/>
            <w:shd w:val="clear" w:color="auto" w:fill="auto"/>
          </w:tcPr>
          <w:p w14:paraId="140DBFA1" w14:textId="305F95EB" w:rsidR="00761AAD" w:rsidRPr="00581E7A" w:rsidRDefault="00B7302D" w:rsidP="00307EE7">
            <w:pPr>
              <w:pStyle w:val="anchor"/>
              <w:jc w:val="center"/>
            </w:pPr>
            <w:r>
              <w:t>1(0.13)</w:t>
            </w:r>
          </w:p>
        </w:tc>
        <w:tc>
          <w:tcPr>
            <w:tcW w:w="1297" w:type="dxa"/>
            <w:shd w:val="clear" w:color="auto" w:fill="auto"/>
          </w:tcPr>
          <w:p w14:paraId="6E7D3EAE" w14:textId="43456EBE" w:rsidR="00761AAD" w:rsidRPr="00581E7A" w:rsidRDefault="005C194D" w:rsidP="00307EE7">
            <w:pPr>
              <w:pStyle w:val="anchor"/>
              <w:jc w:val="center"/>
            </w:pPr>
            <w:r>
              <w:t>-</w:t>
            </w:r>
          </w:p>
        </w:tc>
        <w:tc>
          <w:tcPr>
            <w:tcW w:w="1268" w:type="dxa"/>
            <w:shd w:val="clear" w:color="auto" w:fill="auto"/>
          </w:tcPr>
          <w:p w14:paraId="55DA8615" w14:textId="76B4E04C" w:rsidR="00761AAD" w:rsidRPr="00581E7A" w:rsidRDefault="005C194D" w:rsidP="00307EE7">
            <w:pPr>
              <w:pStyle w:val="anchor"/>
              <w:jc w:val="center"/>
            </w:pPr>
            <w:r>
              <w:t>-</w:t>
            </w:r>
          </w:p>
        </w:tc>
      </w:tr>
      <w:tr w:rsidR="005C194D" w:rsidRPr="00307EE7" w14:paraId="7CFEF325" w14:textId="77777777" w:rsidTr="003C5EA3">
        <w:tc>
          <w:tcPr>
            <w:tcW w:w="9947" w:type="dxa"/>
            <w:gridSpan w:val="7"/>
            <w:shd w:val="clear" w:color="auto" w:fill="auto"/>
          </w:tcPr>
          <w:p w14:paraId="05E6A970" w14:textId="6E0F5B40" w:rsidR="005C194D" w:rsidRPr="005C194D" w:rsidRDefault="005C194D" w:rsidP="00307EE7">
            <w:pPr>
              <w:pStyle w:val="anchor"/>
              <w:spacing w:before="60" w:after="60"/>
              <w:rPr>
                <w:b/>
              </w:rPr>
            </w:pPr>
            <w:r w:rsidRPr="005C194D">
              <w:rPr>
                <w:b/>
              </w:rPr>
              <w:t>Skin &amp; subcutaneous tissue disorders</w:t>
            </w:r>
          </w:p>
        </w:tc>
      </w:tr>
      <w:tr w:rsidR="00A64690" w14:paraId="592B8D83" w14:textId="77777777" w:rsidTr="005C194D">
        <w:tc>
          <w:tcPr>
            <w:tcW w:w="2039" w:type="dxa"/>
            <w:shd w:val="clear" w:color="auto" w:fill="auto"/>
          </w:tcPr>
          <w:p w14:paraId="07FE7EB7" w14:textId="144A5BAD" w:rsidR="00A64690" w:rsidRPr="005C194D" w:rsidRDefault="006D0FAD" w:rsidP="005C194D">
            <w:pPr>
              <w:pStyle w:val="anchor"/>
              <w:spacing w:before="20" w:after="20"/>
            </w:pPr>
            <w:r>
              <w:t>Local erythema</w:t>
            </w:r>
          </w:p>
        </w:tc>
        <w:tc>
          <w:tcPr>
            <w:tcW w:w="1374" w:type="dxa"/>
            <w:shd w:val="clear" w:color="auto" w:fill="auto"/>
          </w:tcPr>
          <w:p w14:paraId="494FF41F" w14:textId="1E4FA237" w:rsidR="00A64690" w:rsidRPr="00F43329" w:rsidRDefault="005C194D" w:rsidP="00307EE7">
            <w:pPr>
              <w:pStyle w:val="anchor"/>
              <w:spacing w:before="20" w:after="20"/>
              <w:jc w:val="center"/>
            </w:pPr>
            <w:r>
              <w:t>-</w:t>
            </w:r>
          </w:p>
        </w:tc>
        <w:tc>
          <w:tcPr>
            <w:tcW w:w="1346" w:type="dxa"/>
            <w:shd w:val="clear" w:color="auto" w:fill="auto"/>
          </w:tcPr>
          <w:p w14:paraId="1B55183B" w14:textId="30D6FE9C" w:rsidR="00A64690" w:rsidRPr="00581E7A" w:rsidRDefault="005C194D" w:rsidP="00307EE7">
            <w:pPr>
              <w:pStyle w:val="anchor"/>
              <w:spacing w:before="20" w:after="20"/>
              <w:jc w:val="center"/>
            </w:pPr>
            <w:r>
              <w:t>-</w:t>
            </w:r>
          </w:p>
        </w:tc>
        <w:tc>
          <w:tcPr>
            <w:tcW w:w="1375" w:type="dxa"/>
            <w:shd w:val="clear" w:color="auto" w:fill="auto"/>
          </w:tcPr>
          <w:p w14:paraId="2A8F44DC" w14:textId="03ABA67C" w:rsidR="00A64690" w:rsidRPr="00581E7A" w:rsidRDefault="006D0FAD" w:rsidP="00307EE7">
            <w:pPr>
              <w:pStyle w:val="anchor"/>
              <w:spacing w:before="20" w:after="20"/>
              <w:jc w:val="center"/>
            </w:pPr>
            <w:r>
              <w:t>33(4)</w:t>
            </w:r>
          </w:p>
        </w:tc>
        <w:tc>
          <w:tcPr>
            <w:tcW w:w="1248" w:type="dxa"/>
            <w:shd w:val="clear" w:color="auto" w:fill="auto"/>
          </w:tcPr>
          <w:p w14:paraId="555172F4" w14:textId="6B1EA415" w:rsidR="00A64690" w:rsidRPr="00581E7A" w:rsidRDefault="006D0FAD" w:rsidP="00307EE7">
            <w:pPr>
              <w:pStyle w:val="anchor"/>
              <w:spacing w:before="20" w:after="20"/>
              <w:jc w:val="center"/>
            </w:pPr>
            <w:r>
              <w:t>56(7)</w:t>
            </w:r>
          </w:p>
        </w:tc>
        <w:tc>
          <w:tcPr>
            <w:tcW w:w="1297" w:type="dxa"/>
            <w:shd w:val="clear" w:color="auto" w:fill="auto"/>
          </w:tcPr>
          <w:p w14:paraId="30B3DBF9" w14:textId="4FCE6BB3" w:rsidR="00A64690" w:rsidRPr="00581E7A" w:rsidRDefault="005C194D" w:rsidP="00307EE7">
            <w:pPr>
              <w:pStyle w:val="anchor"/>
              <w:spacing w:before="20" w:after="20"/>
              <w:jc w:val="center"/>
            </w:pPr>
            <w:r>
              <w:t>-</w:t>
            </w:r>
          </w:p>
        </w:tc>
        <w:tc>
          <w:tcPr>
            <w:tcW w:w="1268" w:type="dxa"/>
            <w:shd w:val="clear" w:color="auto" w:fill="auto"/>
          </w:tcPr>
          <w:p w14:paraId="7F0AB76B" w14:textId="4061B9D5" w:rsidR="00A64690" w:rsidRPr="00581E7A" w:rsidRDefault="005C194D" w:rsidP="00307EE7">
            <w:pPr>
              <w:pStyle w:val="anchor"/>
              <w:spacing w:before="20" w:after="20"/>
              <w:jc w:val="center"/>
            </w:pPr>
            <w:r>
              <w:t>-</w:t>
            </w:r>
          </w:p>
        </w:tc>
      </w:tr>
      <w:tr w:rsidR="00A64690" w14:paraId="4CF685F9" w14:textId="77777777" w:rsidTr="005C194D">
        <w:tc>
          <w:tcPr>
            <w:tcW w:w="2039" w:type="dxa"/>
            <w:shd w:val="clear" w:color="auto" w:fill="auto"/>
          </w:tcPr>
          <w:p w14:paraId="6EE24BF2" w14:textId="1189ACF2" w:rsidR="00A64690" w:rsidRPr="005C194D" w:rsidRDefault="006D0FAD" w:rsidP="005C194D">
            <w:pPr>
              <w:pStyle w:val="anchor"/>
              <w:spacing w:before="20" w:after="20"/>
            </w:pPr>
            <w:r w:rsidRPr="005C194D">
              <w:t>Local allergy</w:t>
            </w:r>
          </w:p>
        </w:tc>
        <w:tc>
          <w:tcPr>
            <w:tcW w:w="1374" w:type="dxa"/>
            <w:shd w:val="clear" w:color="auto" w:fill="auto"/>
          </w:tcPr>
          <w:p w14:paraId="7A886D29" w14:textId="11BA6B94" w:rsidR="00A64690" w:rsidRPr="00F43329" w:rsidRDefault="005C194D" w:rsidP="00307EE7">
            <w:pPr>
              <w:pStyle w:val="anchor"/>
              <w:spacing w:before="20" w:after="20"/>
              <w:jc w:val="center"/>
            </w:pPr>
            <w:r>
              <w:t>-</w:t>
            </w:r>
          </w:p>
        </w:tc>
        <w:tc>
          <w:tcPr>
            <w:tcW w:w="1346" w:type="dxa"/>
            <w:shd w:val="clear" w:color="auto" w:fill="auto"/>
          </w:tcPr>
          <w:p w14:paraId="5ED0AD9C" w14:textId="020175E5" w:rsidR="00A64690" w:rsidRPr="00581E7A" w:rsidRDefault="005C194D" w:rsidP="00307EE7">
            <w:pPr>
              <w:pStyle w:val="anchor"/>
              <w:spacing w:before="20" w:after="20"/>
              <w:jc w:val="center"/>
            </w:pPr>
            <w:r>
              <w:t>-</w:t>
            </w:r>
          </w:p>
        </w:tc>
        <w:tc>
          <w:tcPr>
            <w:tcW w:w="1375" w:type="dxa"/>
            <w:shd w:val="clear" w:color="auto" w:fill="auto"/>
          </w:tcPr>
          <w:p w14:paraId="06A13349" w14:textId="04075A2A" w:rsidR="00A64690" w:rsidRPr="00581E7A" w:rsidRDefault="006D0FAD" w:rsidP="00307EE7">
            <w:pPr>
              <w:pStyle w:val="anchor"/>
              <w:spacing w:before="20" w:after="20"/>
              <w:jc w:val="center"/>
            </w:pPr>
            <w:r>
              <w:t>8(1)</w:t>
            </w:r>
          </w:p>
        </w:tc>
        <w:tc>
          <w:tcPr>
            <w:tcW w:w="1248" w:type="dxa"/>
            <w:shd w:val="clear" w:color="auto" w:fill="auto"/>
          </w:tcPr>
          <w:p w14:paraId="7139236D" w14:textId="291AA289" w:rsidR="00A64690" w:rsidRPr="00581E7A" w:rsidRDefault="006D0FAD" w:rsidP="00307EE7">
            <w:pPr>
              <w:pStyle w:val="anchor"/>
              <w:spacing w:before="20" w:after="20"/>
              <w:jc w:val="center"/>
            </w:pPr>
            <w:r>
              <w:t>16(2)</w:t>
            </w:r>
          </w:p>
        </w:tc>
        <w:tc>
          <w:tcPr>
            <w:tcW w:w="1297" w:type="dxa"/>
            <w:shd w:val="clear" w:color="auto" w:fill="auto"/>
          </w:tcPr>
          <w:p w14:paraId="3810F75F" w14:textId="6F00F9C2" w:rsidR="00A64690" w:rsidRPr="00581E7A" w:rsidRDefault="005C194D" w:rsidP="00307EE7">
            <w:pPr>
              <w:pStyle w:val="anchor"/>
              <w:spacing w:before="20" w:after="20"/>
              <w:jc w:val="center"/>
            </w:pPr>
            <w:r>
              <w:t>-</w:t>
            </w:r>
          </w:p>
        </w:tc>
        <w:tc>
          <w:tcPr>
            <w:tcW w:w="1268" w:type="dxa"/>
            <w:shd w:val="clear" w:color="auto" w:fill="auto"/>
          </w:tcPr>
          <w:p w14:paraId="7DEECB34" w14:textId="645BB02A" w:rsidR="00A64690" w:rsidRPr="00581E7A" w:rsidRDefault="005C194D" w:rsidP="00307EE7">
            <w:pPr>
              <w:pStyle w:val="anchor"/>
              <w:spacing w:before="20" w:after="20"/>
              <w:jc w:val="center"/>
            </w:pPr>
            <w:r>
              <w:t>-</w:t>
            </w:r>
          </w:p>
        </w:tc>
      </w:tr>
      <w:tr w:rsidR="005C194D" w:rsidRPr="00307EE7" w14:paraId="54B8B86C" w14:textId="77777777" w:rsidTr="003C5EA3">
        <w:tc>
          <w:tcPr>
            <w:tcW w:w="9947" w:type="dxa"/>
            <w:gridSpan w:val="7"/>
            <w:shd w:val="clear" w:color="auto" w:fill="auto"/>
          </w:tcPr>
          <w:p w14:paraId="01C3EF1C" w14:textId="2BB92E47" w:rsidR="005C194D" w:rsidRPr="005C194D" w:rsidRDefault="005C194D" w:rsidP="00307EE7">
            <w:pPr>
              <w:pStyle w:val="anchor"/>
              <w:spacing w:before="60" w:after="60"/>
              <w:rPr>
                <w:b/>
              </w:rPr>
            </w:pPr>
            <w:r w:rsidRPr="005C194D">
              <w:rPr>
                <w:b/>
              </w:rPr>
              <w:t>Vascular disorders</w:t>
            </w:r>
          </w:p>
        </w:tc>
      </w:tr>
      <w:tr w:rsidR="00A64690" w14:paraId="2E84B2D9" w14:textId="77777777" w:rsidTr="005C194D">
        <w:tc>
          <w:tcPr>
            <w:tcW w:w="2039" w:type="dxa"/>
            <w:shd w:val="clear" w:color="auto" w:fill="auto"/>
          </w:tcPr>
          <w:p w14:paraId="4D87EA5E" w14:textId="5E2F7336" w:rsidR="000A7790" w:rsidRPr="00581E7A" w:rsidRDefault="00581E7A" w:rsidP="005C194D">
            <w:pPr>
              <w:pStyle w:val="anchor"/>
              <w:spacing w:before="20" w:after="20"/>
            </w:pPr>
            <w:r w:rsidRPr="00581E7A">
              <w:t>Haemorrhage</w:t>
            </w:r>
          </w:p>
        </w:tc>
        <w:tc>
          <w:tcPr>
            <w:tcW w:w="1374" w:type="dxa"/>
            <w:shd w:val="clear" w:color="auto" w:fill="auto"/>
          </w:tcPr>
          <w:p w14:paraId="7236EE8A" w14:textId="31043308" w:rsidR="000A7790" w:rsidRPr="00F43329" w:rsidRDefault="00581E7A" w:rsidP="00307EE7">
            <w:pPr>
              <w:pStyle w:val="anchor"/>
              <w:spacing w:before="20" w:after="20"/>
              <w:jc w:val="center"/>
            </w:pPr>
            <w:r>
              <w:t>25(23)</w:t>
            </w:r>
          </w:p>
        </w:tc>
        <w:tc>
          <w:tcPr>
            <w:tcW w:w="1346" w:type="dxa"/>
            <w:shd w:val="clear" w:color="auto" w:fill="auto"/>
          </w:tcPr>
          <w:p w14:paraId="406A0E88" w14:textId="09268390" w:rsidR="000A7790" w:rsidRPr="00581E7A" w:rsidRDefault="00581E7A" w:rsidP="00307EE7">
            <w:pPr>
              <w:pStyle w:val="anchor"/>
              <w:spacing w:before="20" w:after="20"/>
              <w:jc w:val="center"/>
            </w:pPr>
            <w:r>
              <w:t>18(16)</w:t>
            </w:r>
          </w:p>
        </w:tc>
        <w:tc>
          <w:tcPr>
            <w:tcW w:w="1375" w:type="dxa"/>
            <w:shd w:val="clear" w:color="auto" w:fill="auto"/>
          </w:tcPr>
          <w:p w14:paraId="3FBC4E8C" w14:textId="3ACB472B" w:rsidR="000A7790" w:rsidRPr="00581E7A" w:rsidRDefault="005C194D" w:rsidP="00307EE7">
            <w:pPr>
              <w:pStyle w:val="anchor"/>
              <w:spacing w:before="20" w:after="20"/>
              <w:jc w:val="center"/>
            </w:pPr>
            <w:r>
              <w:t>-</w:t>
            </w:r>
          </w:p>
        </w:tc>
        <w:tc>
          <w:tcPr>
            <w:tcW w:w="1248" w:type="dxa"/>
            <w:shd w:val="clear" w:color="auto" w:fill="auto"/>
          </w:tcPr>
          <w:p w14:paraId="361E3437" w14:textId="05705F2C" w:rsidR="000A7790" w:rsidRPr="00581E7A" w:rsidRDefault="005C194D" w:rsidP="00307EE7">
            <w:pPr>
              <w:pStyle w:val="anchor"/>
              <w:spacing w:before="20" w:after="20"/>
              <w:jc w:val="center"/>
            </w:pPr>
            <w:r>
              <w:t>-</w:t>
            </w:r>
          </w:p>
        </w:tc>
        <w:tc>
          <w:tcPr>
            <w:tcW w:w="1297" w:type="dxa"/>
            <w:shd w:val="clear" w:color="auto" w:fill="auto"/>
          </w:tcPr>
          <w:p w14:paraId="3FC5F646" w14:textId="1CD95FE9" w:rsidR="000A7790" w:rsidRPr="00581E7A" w:rsidRDefault="005C194D" w:rsidP="00307EE7">
            <w:pPr>
              <w:pStyle w:val="anchor"/>
              <w:spacing w:before="20" w:after="20"/>
              <w:jc w:val="center"/>
            </w:pPr>
            <w:r>
              <w:t>-</w:t>
            </w:r>
          </w:p>
        </w:tc>
        <w:tc>
          <w:tcPr>
            <w:tcW w:w="1268" w:type="dxa"/>
            <w:shd w:val="clear" w:color="auto" w:fill="auto"/>
          </w:tcPr>
          <w:p w14:paraId="2885C288" w14:textId="7BF424C5" w:rsidR="000A7790" w:rsidRPr="00581E7A" w:rsidRDefault="005C194D" w:rsidP="00307EE7">
            <w:pPr>
              <w:pStyle w:val="anchor"/>
              <w:spacing w:before="20" w:after="20"/>
              <w:jc w:val="center"/>
            </w:pPr>
            <w:r>
              <w:t>-</w:t>
            </w:r>
          </w:p>
        </w:tc>
      </w:tr>
      <w:tr w:rsidR="00A64690" w14:paraId="353C5DC4" w14:textId="77777777" w:rsidTr="005C194D">
        <w:tc>
          <w:tcPr>
            <w:tcW w:w="2039" w:type="dxa"/>
            <w:shd w:val="clear" w:color="auto" w:fill="auto"/>
          </w:tcPr>
          <w:p w14:paraId="33CE07B3" w14:textId="56B66605" w:rsidR="000A7790" w:rsidRPr="00581E7A" w:rsidRDefault="00581E7A" w:rsidP="005C194D">
            <w:pPr>
              <w:pStyle w:val="anchor"/>
              <w:spacing w:before="20" w:after="20"/>
            </w:pPr>
            <w:r>
              <w:t>Major bleed</w:t>
            </w:r>
          </w:p>
        </w:tc>
        <w:tc>
          <w:tcPr>
            <w:tcW w:w="1374" w:type="dxa"/>
            <w:shd w:val="clear" w:color="auto" w:fill="auto"/>
          </w:tcPr>
          <w:p w14:paraId="020A21D7" w14:textId="2591F3FF" w:rsidR="000A7790" w:rsidRPr="00F43329" w:rsidRDefault="00581E7A" w:rsidP="00307EE7">
            <w:pPr>
              <w:pStyle w:val="anchor"/>
              <w:spacing w:before="20" w:after="20"/>
              <w:jc w:val="center"/>
            </w:pPr>
            <w:r>
              <w:t>6(5)</w:t>
            </w:r>
          </w:p>
        </w:tc>
        <w:tc>
          <w:tcPr>
            <w:tcW w:w="1346" w:type="dxa"/>
            <w:shd w:val="clear" w:color="auto" w:fill="auto"/>
          </w:tcPr>
          <w:p w14:paraId="59C0F757" w14:textId="6B4A3874" w:rsidR="000A7790" w:rsidRPr="00581E7A" w:rsidRDefault="00581E7A" w:rsidP="00307EE7">
            <w:pPr>
              <w:pStyle w:val="anchor"/>
              <w:spacing w:before="20" w:after="20"/>
              <w:jc w:val="center"/>
            </w:pPr>
            <w:r>
              <w:t>3(2)</w:t>
            </w:r>
          </w:p>
        </w:tc>
        <w:tc>
          <w:tcPr>
            <w:tcW w:w="1375" w:type="dxa"/>
            <w:shd w:val="clear" w:color="auto" w:fill="auto"/>
          </w:tcPr>
          <w:p w14:paraId="5ADDB453" w14:textId="1964AA89" w:rsidR="000A7790" w:rsidRPr="00581E7A" w:rsidRDefault="00581E7A" w:rsidP="00307EE7">
            <w:pPr>
              <w:pStyle w:val="anchor"/>
              <w:spacing w:before="20" w:after="20"/>
              <w:jc w:val="center"/>
            </w:pPr>
            <w:r>
              <w:t>5(0.6)</w:t>
            </w:r>
          </w:p>
        </w:tc>
        <w:tc>
          <w:tcPr>
            <w:tcW w:w="1248" w:type="dxa"/>
            <w:shd w:val="clear" w:color="auto" w:fill="auto"/>
          </w:tcPr>
          <w:p w14:paraId="065BBE54" w14:textId="45EF0EEE" w:rsidR="000A7790" w:rsidRPr="00581E7A" w:rsidRDefault="00581E7A" w:rsidP="00307EE7">
            <w:pPr>
              <w:pStyle w:val="anchor"/>
              <w:spacing w:before="20" w:after="20"/>
              <w:jc w:val="center"/>
            </w:pPr>
            <w:r>
              <w:t>4(0.5)</w:t>
            </w:r>
          </w:p>
        </w:tc>
        <w:tc>
          <w:tcPr>
            <w:tcW w:w="1297" w:type="dxa"/>
            <w:shd w:val="clear" w:color="auto" w:fill="auto"/>
          </w:tcPr>
          <w:p w14:paraId="08A15EC2" w14:textId="5D2E70BD" w:rsidR="000A7790" w:rsidRPr="00581E7A" w:rsidRDefault="00581E7A" w:rsidP="00307EE7">
            <w:pPr>
              <w:pStyle w:val="anchor"/>
              <w:spacing w:before="20" w:after="20"/>
              <w:jc w:val="center"/>
            </w:pPr>
            <w:r>
              <w:t>0</w:t>
            </w:r>
          </w:p>
        </w:tc>
        <w:tc>
          <w:tcPr>
            <w:tcW w:w="1268" w:type="dxa"/>
            <w:shd w:val="clear" w:color="auto" w:fill="auto"/>
          </w:tcPr>
          <w:p w14:paraId="31BCDB78" w14:textId="59A7E9AF" w:rsidR="000A7790" w:rsidRPr="00581E7A" w:rsidRDefault="00581E7A" w:rsidP="00307EE7">
            <w:pPr>
              <w:pStyle w:val="anchor"/>
              <w:spacing w:before="20" w:after="20"/>
              <w:jc w:val="center"/>
            </w:pPr>
            <w:r>
              <w:t>4(2.7)</w:t>
            </w:r>
          </w:p>
        </w:tc>
      </w:tr>
      <w:tr w:rsidR="00A64690" w14:paraId="47AF8998" w14:textId="77777777" w:rsidTr="005C194D">
        <w:tc>
          <w:tcPr>
            <w:tcW w:w="2039" w:type="dxa"/>
            <w:shd w:val="clear" w:color="auto" w:fill="auto"/>
          </w:tcPr>
          <w:p w14:paraId="67E5F381" w14:textId="2E74A376" w:rsidR="000A7790" w:rsidRPr="00581E7A" w:rsidRDefault="00581E7A" w:rsidP="005C194D">
            <w:pPr>
              <w:pStyle w:val="anchor"/>
              <w:spacing w:before="20" w:after="20"/>
            </w:pPr>
            <w:r>
              <w:t>Minor bleed</w:t>
            </w:r>
          </w:p>
        </w:tc>
        <w:tc>
          <w:tcPr>
            <w:tcW w:w="1374" w:type="dxa"/>
            <w:shd w:val="clear" w:color="auto" w:fill="auto"/>
          </w:tcPr>
          <w:p w14:paraId="7BBB8AC1" w14:textId="7F1C8D09" w:rsidR="000A7790" w:rsidRPr="00F43329" w:rsidRDefault="00581E7A" w:rsidP="00307EE7">
            <w:pPr>
              <w:pStyle w:val="anchor"/>
              <w:spacing w:before="20" w:after="20"/>
              <w:jc w:val="center"/>
            </w:pPr>
            <w:r>
              <w:t>19(18)</w:t>
            </w:r>
          </w:p>
        </w:tc>
        <w:tc>
          <w:tcPr>
            <w:tcW w:w="1346" w:type="dxa"/>
            <w:shd w:val="clear" w:color="auto" w:fill="auto"/>
          </w:tcPr>
          <w:p w14:paraId="64C707B8" w14:textId="055B848A" w:rsidR="000A7790" w:rsidRPr="00581E7A" w:rsidRDefault="00581E7A" w:rsidP="00307EE7">
            <w:pPr>
              <w:pStyle w:val="anchor"/>
              <w:spacing w:before="20" w:after="20"/>
              <w:jc w:val="center"/>
            </w:pPr>
            <w:r>
              <w:t>15(13)</w:t>
            </w:r>
          </w:p>
        </w:tc>
        <w:tc>
          <w:tcPr>
            <w:tcW w:w="1375" w:type="dxa"/>
            <w:shd w:val="clear" w:color="auto" w:fill="auto"/>
          </w:tcPr>
          <w:p w14:paraId="4280168E" w14:textId="22F855C3" w:rsidR="000A7790" w:rsidRPr="00581E7A" w:rsidRDefault="00581E7A" w:rsidP="00307EE7">
            <w:pPr>
              <w:pStyle w:val="anchor"/>
              <w:spacing w:before="20" w:after="20"/>
              <w:jc w:val="center"/>
            </w:pPr>
            <w:r>
              <w:t>3(0.4)</w:t>
            </w:r>
          </w:p>
        </w:tc>
        <w:tc>
          <w:tcPr>
            <w:tcW w:w="1248" w:type="dxa"/>
            <w:shd w:val="clear" w:color="auto" w:fill="auto"/>
          </w:tcPr>
          <w:p w14:paraId="46EE10F7" w14:textId="2BFED316" w:rsidR="000A7790" w:rsidRPr="00581E7A" w:rsidRDefault="00581E7A" w:rsidP="00307EE7">
            <w:pPr>
              <w:pStyle w:val="anchor"/>
              <w:spacing w:before="20" w:after="20"/>
              <w:jc w:val="center"/>
            </w:pPr>
            <w:r>
              <w:t>7(0.9)</w:t>
            </w:r>
          </w:p>
        </w:tc>
        <w:tc>
          <w:tcPr>
            <w:tcW w:w="1297" w:type="dxa"/>
            <w:shd w:val="clear" w:color="auto" w:fill="auto"/>
          </w:tcPr>
          <w:p w14:paraId="360DA33B" w14:textId="19BCD56A" w:rsidR="000A7790" w:rsidRPr="00581E7A" w:rsidRDefault="00581E7A" w:rsidP="00307EE7">
            <w:pPr>
              <w:pStyle w:val="anchor"/>
              <w:spacing w:before="20" w:after="20"/>
              <w:jc w:val="center"/>
            </w:pPr>
            <w:r>
              <w:t>2(1.4)</w:t>
            </w:r>
          </w:p>
        </w:tc>
        <w:tc>
          <w:tcPr>
            <w:tcW w:w="1268" w:type="dxa"/>
            <w:shd w:val="clear" w:color="auto" w:fill="auto"/>
          </w:tcPr>
          <w:p w14:paraId="443BDD8F" w14:textId="7C53FA21" w:rsidR="000A7790" w:rsidRPr="00581E7A" w:rsidRDefault="00581E7A" w:rsidP="00307EE7">
            <w:pPr>
              <w:pStyle w:val="anchor"/>
              <w:spacing w:before="20" w:after="20"/>
              <w:jc w:val="center"/>
            </w:pPr>
            <w:r>
              <w:t>5(3.3)</w:t>
            </w:r>
          </w:p>
        </w:tc>
      </w:tr>
      <w:tr w:rsidR="00A64690" w14:paraId="524F6713" w14:textId="77777777" w:rsidTr="005C194D">
        <w:tc>
          <w:tcPr>
            <w:tcW w:w="2039" w:type="dxa"/>
            <w:shd w:val="clear" w:color="auto" w:fill="auto"/>
          </w:tcPr>
          <w:p w14:paraId="343E7379" w14:textId="4BAFB0F2" w:rsidR="000A7790" w:rsidRPr="00581E7A" w:rsidRDefault="00581E7A" w:rsidP="005C194D">
            <w:pPr>
              <w:pStyle w:val="anchor"/>
              <w:spacing w:before="20" w:after="20"/>
            </w:pPr>
            <w:r>
              <w:t>Thrombocytopenia</w:t>
            </w:r>
          </w:p>
        </w:tc>
        <w:tc>
          <w:tcPr>
            <w:tcW w:w="1374" w:type="dxa"/>
            <w:shd w:val="clear" w:color="auto" w:fill="auto"/>
          </w:tcPr>
          <w:p w14:paraId="5AE0A7F8" w14:textId="1BDA84A9" w:rsidR="000A7790" w:rsidRPr="00F43329" w:rsidRDefault="00581E7A" w:rsidP="00307EE7">
            <w:pPr>
              <w:pStyle w:val="anchor"/>
              <w:spacing w:before="20" w:after="20"/>
              <w:jc w:val="center"/>
            </w:pPr>
            <w:r>
              <w:t>10(9)</w:t>
            </w:r>
          </w:p>
        </w:tc>
        <w:tc>
          <w:tcPr>
            <w:tcW w:w="1346" w:type="dxa"/>
            <w:shd w:val="clear" w:color="auto" w:fill="auto"/>
          </w:tcPr>
          <w:p w14:paraId="7798CC14" w14:textId="29201AF1" w:rsidR="000A7790" w:rsidRPr="00581E7A" w:rsidRDefault="00581E7A" w:rsidP="00307EE7">
            <w:pPr>
              <w:pStyle w:val="anchor"/>
              <w:spacing w:before="20" w:after="20"/>
              <w:jc w:val="center"/>
            </w:pPr>
            <w:r>
              <w:t>7(6)</w:t>
            </w:r>
          </w:p>
        </w:tc>
        <w:tc>
          <w:tcPr>
            <w:tcW w:w="1375" w:type="dxa"/>
            <w:shd w:val="clear" w:color="auto" w:fill="auto"/>
          </w:tcPr>
          <w:p w14:paraId="3BDA0630" w14:textId="4FB65755" w:rsidR="000A7790" w:rsidRPr="00581E7A" w:rsidRDefault="00581E7A" w:rsidP="00307EE7">
            <w:pPr>
              <w:pStyle w:val="anchor"/>
              <w:spacing w:before="20" w:after="20"/>
              <w:jc w:val="center"/>
            </w:pPr>
            <w:r>
              <w:t>0</w:t>
            </w:r>
          </w:p>
        </w:tc>
        <w:tc>
          <w:tcPr>
            <w:tcW w:w="1248" w:type="dxa"/>
            <w:shd w:val="clear" w:color="auto" w:fill="auto"/>
          </w:tcPr>
          <w:p w14:paraId="362C4112" w14:textId="2141322B" w:rsidR="000A7790" w:rsidRPr="00581E7A" w:rsidRDefault="00581E7A" w:rsidP="00307EE7">
            <w:pPr>
              <w:pStyle w:val="anchor"/>
              <w:spacing w:before="20" w:after="20"/>
              <w:jc w:val="center"/>
            </w:pPr>
            <w:r>
              <w:t>4(0.5)</w:t>
            </w:r>
          </w:p>
        </w:tc>
        <w:tc>
          <w:tcPr>
            <w:tcW w:w="1297" w:type="dxa"/>
            <w:shd w:val="clear" w:color="auto" w:fill="auto"/>
          </w:tcPr>
          <w:p w14:paraId="5AC91D03" w14:textId="5DE0EAC9" w:rsidR="000A7790" w:rsidRPr="00581E7A" w:rsidRDefault="005B6CD7" w:rsidP="00307EE7">
            <w:pPr>
              <w:pStyle w:val="anchor"/>
              <w:spacing w:before="20" w:after="20"/>
              <w:jc w:val="center"/>
            </w:pPr>
            <w:r>
              <w:t>-</w:t>
            </w:r>
          </w:p>
        </w:tc>
        <w:tc>
          <w:tcPr>
            <w:tcW w:w="1268" w:type="dxa"/>
            <w:shd w:val="clear" w:color="auto" w:fill="auto"/>
          </w:tcPr>
          <w:p w14:paraId="706AF53F" w14:textId="601A7E0B" w:rsidR="000A7790" w:rsidRPr="00581E7A" w:rsidRDefault="005B6CD7" w:rsidP="00307EE7">
            <w:pPr>
              <w:pStyle w:val="anchor"/>
              <w:spacing w:before="20" w:after="20"/>
              <w:jc w:val="center"/>
            </w:pPr>
            <w:r>
              <w:t>-</w:t>
            </w:r>
          </w:p>
        </w:tc>
      </w:tr>
      <w:tr w:rsidR="00A64690" w14:paraId="1E326280" w14:textId="77777777" w:rsidTr="005C194D">
        <w:tc>
          <w:tcPr>
            <w:tcW w:w="2039" w:type="dxa"/>
            <w:shd w:val="clear" w:color="auto" w:fill="auto"/>
          </w:tcPr>
          <w:p w14:paraId="4B32210A" w14:textId="2E240DE8" w:rsidR="000A7790" w:rsidRPr="00581E7A" w:rsidRDefault="00581E7A" w:rsidP="005C194D">
            <w:pPr>
              <w:pStyle w:val="anchor"/>
              <w:spacing w:before="20" w:after="20"/>
            </w:pPr>
            <w:r>
              <w:t>Haematoma</w:t>
            </w:r>
          </w:p>
        </w:tc>
        <w:tc>
          <w:tcPr>
            <w:tcW w:w="1374" w:type="dxa"/>
            <w:shd w:val="clear" w:color="auto" w:fill="auto"/>
          </w:tcPr>
          <w:p w14:paraId="5D2A4E01" w14:textId="33C46B51" w:rsidR="000A7790" w:rsidRPr="00F43329" w:rsidRDefault="005B6CD7" w:rsidP="00307EE7">
            <w:pPr>
              <w:pStyle w:val="anchor"/>
              <w:spacing w:before="20" w:after="20"/>
              <w:jc w:val="center"/>
            </w:pPr>
            <w:r>
              <w:t>-</w:t>
            </w:r>
          </w:p>
        </w:tc>
        <w:tc>
          <w:tcPr>
            <w:tcW w:w="1346" w:type="dxa"/>
            <w:shd w:val="clear" w:color="auto" w:fill="auto"/>
          </w:tcPr>
          <w:p w14:paraId="3AFF603E" w14:textId="288299ED" w:rsidR="000A7790" w:rsidRPr="00581E7A" w:rsidRDefault="005B6CD7" w:rsidP="00307EE7">
            <w:pPr>
              <w:pStyle w:val="anchor"/>
              <w:spacing w:before="20" w:after="20"/>
              <w:jc w:val="center"/>
            </w:pPr>
            <w:r>
              <w:t>-</w:t>
            </w:r>
          </w:p>
        </w:tc>
        <w:tc>
          <w:tcPr>
            <w:tcW w:w="1375" w:type="dxa"/>
            <w:shd w:val="clear" w:color="auto" w:fill="auto"/>
          </w:tcPr>
          <w:p w14:paraId="721C093B" w14:textId="03393CD9" w:rsidR="000A7790" w:rsidRPr="00581E7A" w:rsidRDefault="005B6CD7" w:rsidP="00307EE7">
            <w:pPr>
              <w:pStyle w:val="anchor"/>
              <w:spacing w:before="20" w:after="20"/>
              <w:jc w:val="center"/>
            </w:pPr>
            <w:r>
              <w:t>-</w:t>
            </w:r>
          </w:p>
        </w:tc>
        <w:tc>
          <w:tcPr>
            <w:tcW w:w="1248" w:type="dxa"/>
            <w:shd w:val="clear" w:color="auto" w:fill="auto"/>
          </w:tcPr>
          <w:p w14:paraId="389B0D0D" w14:textId="14D00D03" w:rsidR="000A7790" w:rsidRPr="00581E7A" w:rsidRDefault="005B6CD7" w:rsidP="00307EE7">
            <w:pPr>
              <w:pStyle w:val="anchor"/>
              <w:spacing w:before="20" w:after="20"/>
              <w:jc w:val="center"/>
            </w:pPr>
            <w:r>
              <w:t>-</w:t>
            </w:r>
          </w:p>
        </w:tc>
        <w:tc>
          <w:tcPr>
            <w:tcW w:w="1297" w:type="dxa"/>
            <w:shd w:val="clear" w:color="auto" w:fill="auto"/>
          </w:tcPr>
          <w:p w14:paraId="2F5085DD" w14:textId="5C87A65F" w:rsidR="000A7790" w:rsidRPr="00581E7A" w:rsidRDefault="00FE7D22" w:rsidP="00307EE7">
            <w:pPr>
              <w:pStyle w:val="anchor"/>
              <w:spacing w:before="20" w:after="20"/>
              <w:jc w:val="center"/>
            </w:pPr>
            <w:r>
              <w:t>16(11)</w:t>
            </w:r>
          </w:p>
        </w:tc>
        <w:tc>
          <w:tcPr>
            <w:tcW w:w="1268" w:type="dxa"/>
            <w:shd w:val="clear" w:color="auto" w:fill="auto"/>
          </w:tcPr>
          <w:p w14:paraId="3F2C3678" w14:textId="5B066D57" w:rsidR="000A7790" w:rsidRPr="00581E7A" w:rsidRDefault="00FE7D22" w:rsidP="00307EE7">
            <w:pPr>
              <w:pStyle w:val="anchor"/>
              <w:spacing w:before="20" w:after="20"/>
              <w:jc w:val="center"/>
            </w:pPr>
            <w:r>
              <w:t>41(27.5)</w:t>
            </w:r>
          </w:p>
        </w:tc>
      </w:tr>
      <w:tr w:rsidR="001E648C" w14:paraId="13F55EEA" w14:textId="77777777" w:rsidTr="005C194D">
        <w:tc>
          <w:tcPr>
            <w:tcW w:w="2039" w:type="dxa"/>
            <w:shd w:val="clear" w:color="auto" w:fill="auto"/>
          </w:tcPr>
          <w:p w14:paraId="044DF1E6" w14:textId="6229114C" w:rsidR="001E648C" w:rsidRDefault="001E648C" w:rsidP="005C194D">
            <w:pPr>
              <w:pStyle w:val="anchor"/>
              <w:spacing w:before="20" w:after="20"/>
            </w:pPr>
            <w:r>
              <w:t>Deep vein thrombosis</w:t>
            </w:r>
          </w:p>
        </w:tc>
        <w:tc>
          <w:tcPr>
            <w:tcW w:w="1374" w:type="dxa"/>
            <w:shd w:val="clear" w:color="auto" w:fill="auto"/>
          </w:tcPr>
          <w:p w14:paraId="3D45C67E" w14:textId="16DD1B0A" w:rsidR="001E648C" w:rsidRPr="00F43329" w:rsidRDefault="0019205C" w:rsidP="00307EE7">
            <w:pPr>
              <w:pStyle w:val="anchor"/>
              <w:spacing w:before="20" w:after="20"/>
              <w:jc w:val="center"/>
            </w:pPr>
            <w:r>
              <w:t>0</w:t>
            </w:r>
          </w:p>
        </w:tc>
        <w:tc>
          <w:tcPr>
            <w:tcW w:w="1346" w:type="dxa"/>
            <w:shd w:val="clear" w:color="auto" w:fill="auto"/>
          </w:tcPr>
          <w:p w14:paraId="38DCA39E" w14:textId="4EC5D730" w:rsidR="001E648C" w:rsidRPr="00581E7A" w:rsidRDefault="0019205C" w:rsidP="00307EE7">
            <w:pPr>
              <w:pStyle w:val="anchor"/>
              <w:spacing w:before="20" w:after="20"/>
              <w:jc w:val="center"/>
            </w:pPr>
            <w:r>
              <w:t>1(0.9)</w:t>
            </w:r>
          </w:p>
        </w:tc>
        <w:tc>
          <w:tcPr>
            <w:tcW w:w="1375" w:type="dxa"/>
            <w:shd w:val="clear" w:color="auto" w:fill="auto"/>
          </w:tcPr>
          <w:p w14:paraId="037DC80F" w14:textId="2B729B9A" w:rsidR="001E648C" w:rsidRPr="00581E7A" w:rsidRDefault="005B6CD7" w:rsidP="00307EE7">
            <w:pPr>
              <w:pStyle w:val="anchor"/>
              <w:spacing w:before="20" w:after="20"/>
              <w:jc w:val="center"/>
            </w:pPr>
            <w:r>
              <w:t>-</w:t>
            </w:r>
          </w:p>
        </w:tc>
        <w:tc>
          <w:tcPr>
            <w:tcW w:w="1248" w:type="dxa"/>
            <w:shd w:val="clear" w:color="auto" w:fill="auto"/>
          </w:tcPr>
          <w:p w14:paraId="0B708AE5" w14:textId="5E9FC844" w:rsidR="001E648C" w:rsidRPr="00581E7A" w:rsidRDefault="005B6CD7" w:rsidP="00307EE7">
            <w:pPr>
              <w:pStyle w:val="anchor"/>
              <w:spacing w:before="20" w:after="20"/>
              <w:jc w:val="center"/>
            </w:pPr>
            <w:r>
              <w:t>-</w:t>
            </w:r>
          </w:p>
        </w:tc>
        <w:tc>
          <w:tcPr>
            <w:tcW w:w="1297" w:type="dxa"/>
            <w:shd w:val="clear" w:color="auto" w:fill="auto"/>
          </w:tcPr>
          <w:p w14:paraId="778D2371" w14:textId="21355363" w:rsidR="001E648C" w:rsidRDefault="001E648C" w:rsidP="00307EE7">
            <w:pPr>
              <w:pStyle w:val="anchor"/>
              <w:spacing w:before="20" w:after="20"/>
              <w:jc w:val="center"/>
            </w:pPr>
            <w:r>
              <w:t>3(2)</w:t>
            </w:r>
          </w:p>
        </w:tc>
        <w:tc>
          <w:tcPr>
            <w:tcW w:w="1268" w:type="dxa"/>
            <w:shd w:val="clear" w:color="auto" w:fill="auto"/>
          </w:tcPr>
          <w:p w14:paraId="7C95A55A" w14:textId="15CCCA72" w:rsidR="001E648C" w:rsidRDefault="001E648C" w:rsidP="00307EE7">
            <w:pPr>
              <w:pStyle w:val="anchor"/>
              <w:spacing w:before="20" w:after="20"/>
              <w:jc w:val="center"/>
            </w:pPr>
            <w:r>
              <w:t>4(2.7)</w:t>
            </w:r>
          </w:p>
        </w:tc>
      </w:tr>
      <w:tr w:rsidR="001E648C" w14:paraId="5E1EE44C" w14:textId="77777777" w:rsidTr="005C194D">
        <w:tc>
          <w:tcPr>
            <w:tcW w:w="2039" w:type="dxa"/>
            <w:shd w:val="clear" w:color="auto" w:fill="auto"/>
          </w:tcPr>
          <w:p w14:paraId="6191176E" w14:textId="5C897AB5" w:rsidR="001E648C" w:rsidRDefault="001E648C" w:rsidP="005C194D">
            <w:pPr>
              <w:pStyle w:val="anchor"/>
              <w:spacing w:before="20" w:after="20"/>
            </w:pPr>
            <w:r>
              <w:t>Pulmonary embolism</w:t>
            </w:r>
          </w:p>
        </w:tc>
        <w:tc>
          <w:tcPr>
            <w:tcW w:w="1374" w:type="dxa"/>
            <w:shd w:val="clear" w:color="auto" w:fill="auto"/>
          </w:tcPr>
          <w:p w14:paraId="163CB4B3" w14:textId="3FE1D196" w:rsidR="001E648C" w:rsidRPr="00F43329" w:rsidRDefault="005B6CD7" w:rsidP="00307EE7">
            <w:pPr>
              <w:pStyle w:val="anchor"/>
              <w:spacing w:before="20" w:after="20"/>
              <w:jc w:val="center"/>
            </w:pPr>
            <w:r>
              <w:t>-</w:t>
            </w:r>
          </w:p>
        </w:tc>
        <w:tc>
          <w:tcPr>
            <w:tcW w:w="1346" w:type="dxa"/>
            <w:shd w:val="clear" w:color="auto" w:fill="auto"/>
          </w:tcPr>
          <w:p w14:paraId="31ECF36C" w14:textId="4A3CAD43" w:rsidR="001E648C" w:rsidRPr="00581E7A" w:rsidRDefault="005B6CD7" w:rsidP="00307EE7">
            <w:pPr>
              <w:pStyle w:val="anchor"/>
              <w:spacing w:before="20" w:after="20"/>
              <w:jc w:val="center"/>
            </w:pPr>
            <w:r>
              <w:t>-</w:t>
            </w:r>
          </w:p>
        </w:tc>
        <w:tc>
          <w:tcPr>
            <w:tcW w:w="1375" w:type="dxa"/>
            <w:shd w:val="clear" w:color="auto" w:fill="auto"/>
          </w:tcPr>
          <w:p w14:paraId="6A433925" w14:textId="1CE882E5" w:rsidR="001E648C" w:rsidRPr="00581E7A" w:rsidRDefault="00046A16" w:rsidP="00307EE7">
            <w:pPr>
              <w:pStyle w:val="anchor"/>
              <w:spacing w:before="20" w:after="20"/>
              <w:jc w:val="center"/>
            </w:pPr>
            <w:r>
              <w:t>1(0.12)</w:t>
            </w:r>
          </w:p>
        </w:tc>
        <w:tc>
          <w:tcPr>
            <w:tcW w:w="1248" w:type="dxa"/>
            <w:shd w:val="clear" w:color="auto" w:fill="auto"/>
          </w:tcPr>
          <w:p w14:paraId="2FF42226" w14:textId="60D6429C" w:rsidR="001E648C" w:rsidRPr="00581E7A" w:rsidRDefault="005B6CD7" w:rsidP="00307EE7">
            <w:pPr>
              <w:pStyle w:val="anchor"/>
              <w:spacing w:before="20" w:after="20"/>
              <w:jc w:val="center"/>
            </w:pPr>
            <w:r>
              <w:t>-</w:t>
            </w:r>
          </w:p>
        </w:tc>
        <w:tc>
          <w:tcPr>
            <w:tcW w:w="1297" w:type="dxa"/>
            <w:shd w:val="clear" w:color="auto" w:fill="auto"/>
          </w:tcPr>
          <w:p w14:paraId="43CEE040" w14:textId="6C7F23D8" w:rsidR="001E648C" w:rsidRDefault="001E648C" w:rsidP="00307EE7">
            <w:pPr>
              <w:pStyle w:val="anchor"/>
              <w:spacing w:before="20" w:after="20"/>
              <w:jc w:val="center"/>
            </w:pPr>
            <w:r>
              <w:t>0</w:t>
            </w:r>
          </w:p>
        </w:tc>
        <w:tc>
          <w:tcPr>
            <w:tcW w:w="1268" w:type="dxa"/>
            <w:shd w:val="clear" w:color="auto" w:fill="auto"/>
          </w:tcPr>
          <w:p w14:paraId="727DC5EC" w14:textId="648F0AA8" w:rsidR="001E648C" w:rsidRDefault="001E648C" w:rsidP="00307EE7">
            <w:pPr>
              <w:pStyle w:val="anchor"/>
              <w:spacing w:before="20" w:after="20"/>
              <w:jc w:val="center"/>
            </w:pPr>
            <w:r>
              <w:t>1(0.7)</w:t>
            </w:r>
          </w:p>
        </w:tc>
      </w:tr>
      <w:tr w:rsidR="00347767" w14:paraId="23A7EA2C" w14:textId="77777777" w:rsidTr="005C194D">
        <w:tc>
          <w:tcPr>
            <w:tcW w:w="2039" w:type="dxa"/>
            <w:shd w:val="clear" w:color="auto" w:fill="auto"/>
          </w:tcPr>
          <w:p w14:paraId="56B2A554" w14:textId="00874922" w:rsidR="00347767" w:rsidRDefault="00347767" w:rsidP="005C194D">
            <w:pPr>
              <w:pStyle w:val="anchor"/>
              <w:spacing w:before="20" w:after="20"/>
            </w:pPr>
            <w:r>
              <w:t>Ischaemic vascular event</w:t>
            </w:r>
          </w:p>
        </w:tc>
        <w:tc>
          <w:tcPr>
            <w:tcW w:w="1374" w:type="dxa"/>
            <w:shd w:val="clear" w:color="auto" w:fill="auto"/>
          </w:tcPr>
          <w:p w14:paraId="1E7D78A9" w14:textId="610D3DB8" w:rsidR="00347767" w:rsidRPr="00F43329" w:rsidRDefault="00347767" w:rsidP="00307EE7">
            <w:pPr>
              <w:pStyle w:val="anchor"/>
              <w:spacing w:before="20" w:after="20"/>
              <w:jc w:val="center"/>
            </w:pPr>
            <w:r>
              <w:t>1(0.9)</w:t>
            </w:r>
          </w:p>
        </w:tc>
        <w:tc>
          <w:tcPr>
            <w:tcW w:w="1346" w:type="dxa"/>
            <w:shd w:val="clear" w:color="auto" w:fill="auto"/>
          </w:tcPr>
          <w:p w14:paraId="4E8AA982" w14:textId="7EC499D7" w:rsidR="00347767" w:rsidRPr="00581E7A" w:rsidRDefault="005B6CD7" w:rsidP="00307EE7">
            <w:pPr>
              <w:pStyle w:val="anchor"/>
              <w:spacing w:before="20" w:after="20"/>
              <w:jc w:val="center"/>
            </w:pPr>
            <w:r>
              <w:t>-</w:t>
            </w:r>
          </w:p>
        </w:tc>
        <w:tc>
          <w:tcPr>
            <w:tcW w:w="1375" w:type="dxa"/>
            <w:shd w:val="clear" w:color="auto" w:fill="auto"/>
          </w:tcPr>
          <w:p w14:paraId="3895D052" w14:textId="1EE49CCE" w:rsidR="00347767" w:rsidRPr="00581E7A" w:rsidRDefault="005B6CD7" w:rsidP="00307EE7">
            <w:pPr>
              <w:pStyle w:val="anchor"/>
              <w:spacing w:before="20" w:after="20"/>
              <w:jc w:val="center"/>
            </w:pPr>
            <w:r>
              <w:t>-</w:t>
            </w:r>
          </w:p>
        </w:tc>
        <w:tc>
          <w:tcPr>
            <w:tcW w:w="1248" w:type="dxa"/>
            <w:shd w:val="clear" w:color="auto" w:fill="auto"/>
          </w:tcPr>
          <w:p w14:paraId="6665A970" w14:textId="7870C434" w:rsidR="00347767" w:rsidRPr="00581E7A" w:rsidRDefault="005B6CD7" w:rsidP="00307EE7">
            <w:pPr>
              <w:pStyle w:val="anchor"/>
              <w:spacing w:before="20" w:after="20"/>
              <w:jc w:val="center"/>
            </w:pPr>
            <w:r>
              <w:t>-</w:t>
            </w:r>
          </w:p>
        </w:tc>
        <w:tc>
          <w:tcPr>
            <w:tcW w:w="1297" w:type="dxa"/>
            <w:shd w:val="clear" w:color="auto" w:fill="auto"/>
          </w:tcPr>
          <w:p w14:paraId="65220ABF" w14:textId="42A41F46" w:rsidR="00347767" w:rsidRDefault="005B6CD7" w:rsidP="00307EE7">
            <w:pPr>
              <w:pStyle w:val="anchor"/>
              <w:spacing w:before="20" w:after="20"/>
              <w:jc w:val="center"/>
            </w:pPr>
            <w:r>
              <w:t>-</w:t>
            </w:r>
          </w:p>
        </w:tc>
        <w:tc>
          <w:tcPr>
            <w:tcW w:w="1268" w:type="dxa"/>
            <w:shd w:val="clear" w:color="auto" w:fill="auto"/>
          </w:tcPr>
          <w:p w14:paraId="66033227" w14:textId="6841B95D" w:rsidR="00347767" w:rsidRDefault="005B6CD7" w:rsidP="00307EE7">
            <w:pPr>
              <w:pStyle w:val="anchor"/>
              <w:spacing w:before="20" w:after="20"/>
              <w:jc w:val="center"/>
            </w:pPr>
            <w:r>
              <w:t>-</w:t>
            </w:r>
          </w:p>
        </w:tc>
      </w:tr>
    </w:tbl>
    <w:p w14:paraId="4AB8B96E" w14:textId="77777777" w:rsidR="000A7790" w:rsidRPr="000A7790" w:rsidRDefault="000A7790" w:rsidP="00FF1917">
      <w:pPr>
        <w:pStyle w:val="anchor"/>
      </w:pPr>
    </w:p>
    <w:p w14:paraId="33C65E76" w14:textId="77777777" w:rsidR="003F3C3B" w:rsidRDefault="003F3C3B">
      <w:pPr>
        <w:pStyle w:val="Heading1"/>
      </w:pPr>
      <w:r>
        <w:t>DOSAGE AND ADMINISTRATION</w:t>
      </w:r>
    </w:p>
    <w:p w14:paraId="5C229C6C" w14:textId="77777777" w:rsidR="00F71F00" w:rsidRDefault="00F71F00" w:rsidP="00F71F00"/>
    <w:p w14:paraId="36D7C6FB" w14:textId="77777777" w:rsidR="000D53AF" w:rsidRDefault="000D53AF" w:rsidP="000D53AF">
      <w:pPr>
        <w:jc w:val="both"/>
        <w:rPr>
          <w:rFonts w:cs="Arial"/>
          <w:szCs w:val="22"/>
        </w:rPr>
      </w:pPr>
      <w:r w:rsidRPr="0050146B">
        <w:rPr>
          <w:rFonts w:cs="Arial"/>
          <w:szCs w:val="22"/>
        </w:rPr>
        <w:t>Particular attention should be paid to the specific dosing instructions for each proprietary LMWH as different units of measurement (units or mg) are used to express doses. Fraxiparine should therefore not be used interchangeably with other low weight molecular weight heparins during ongoing treatment. In addition, care should be taken to use the correct formulation of nadroparin, either Fraxiparine or Fraxiparine Forte, as this will affect the dosing regimen.</w:t>
      </w:r>
    </w:p>
    <w:p w14:paraId="0EF96CAB" w14:textId="77777777" w:rsidR="00953DAD" w:rsidRPr="0050146B" w:rsidRDefault="00953DAD" w:rsidP="000D53AF">
      <w:pPr>
        <w:jc w:val="both"/>
        <w:rPr>
          <w:rFonts w:cs="Arial"/>
          <w:szCs w:val="22"/>
        </w:rPr>
      </w:pPr>
    </w:p>
    <w:p w14:paraId="11CA9BAA" w14:textId="77777777" w:rsidR="00615A4D" w:rsidRDefault="00953DAD" w:rsidP="00953DAD">
      <w:r>
        <w:t xml:space="preserve">Platelet count must be monitored throughout </w:t>
      </w:r>
      <w:r w:rsidR="00D014A2">
        <w:t xml:space="preserve">treatment with </w:t>
      </w:r>
      <w:r>
        <w:t xml:space="preserve">Fraxiparine </w:t>
      </w:r>
      <w:r w:rsidRPr="00953DAD">
        <w:t xml:space="preserve">(see PRECAUTIONS). </w:t>
      </w:r>
    </w:p>
    <w:p w14:paraId="24C27D6F" w14:textId="77777777" w:rsidR="00615A4D" w:rsidRDefault="00615A4D" w:rsidP="00953DAD">
      <w:r>
        <w:t>Specific recommendations regarding the timing of Fraxiparine dosing surrounding spinal/epidural anaesthesia or spinal lumbar puncture should be followed (see PRECAUTIONS).</w:t>
      </w:r>
    </w:p>
    <w:p w14:paraId="5452D966" w14:textId="77777777" w:rsidR="000D53AF" w:rsidRPr="000D53AF" w:rsidRDefault="000D53AF" w:rsidP="000D53AF"/>
    <w:p w14:paraId="096B023D" w14:textId="77777777" w:rsidR="003F3C3B" w:rsidRPr="008A5BA6" w:rsidRDefault="00F71F00">
      <w:pPr>
        <w:pStyle w:val="Heading3"/>
        <w:rPr>
          <w:b/>
          <w:u w:val="none"/>
        </w:rPr>
      </w:pPr>
      <w:r w:rsidRPr="00F71F00">
        <w:rPr>
          <w:b/>
          <w:u w:val="none"/>
        </w:rPr>
        <w:t>Administration</w:t>
      </w:r>
    </w:p>
    <w:p w14:paraId="69418C04" w14:textId="77777777" w:rsidR="003F3C3B" w:rsidRDefault="003F3C3B"/>
    <w:p w14:paraId="12A55597" w14:textId="77777777" w:rsidR="003F3C3B" w:rsidRDefault="003F3C3B">
      <w:r>
        <w:t>Usually by subcutaneous injection into the lateral abdominal wall.</w:t>
      </w:r>
    </w:p>
    <w:p w14:paraId="6BD1370D" w14:textId="77777777" w:rsidR="003F3C3B" w:rsidRDefault="003F3C3B"/>
    <w:p w14:paraId="5439EC93" w14:textId="77777777" w:rsidR="008C39D5" w:rsidRDefault="003F3C3B">
      <w:r>
        <w:t xml:space="preserve">When Fraxiparine is given by subcutaneous injection, the usual site for injection is the lateral abdominal wall, although the thigh may be used as an alternative. </w:t>
      </w:r>
      <w:r w:rsidRPr="008C39D5">
        <w:t>The</w:t>
      </w:r>
      <w:r>
        <w:t xml:space="preserve"> needle should be inserted perpendicularly into a pinched-up fold of skin which should be held gently but firmly until the injection has been completed. Do not rub the injection site.  </w:t>
      </w:r>
    </w:p>
    <w:p w14:paraId="4D35B12C" w14:textId="77777777" w:rsidR="008C39D5" w:rsidRDefault="008C39D5"/>
    <w:p w14:paraId="1FDAC2CC" w14:textId="77777777" w:rsidR="003F3C3B" w:rsidRDefault="003F3C3B">
      <w:r>
        <w:t xml:space="preserve">Fraxiparine is not intended for </w:t>
      </w:r>
      <w:r w:rsidR="00A65AE0">
        <w:t xml:space="preserve">intramuscular </w:t>
      </w:r>
      <w:r>
        <w:t>administration.</w:t>
      </w:r>
      <w:r w:rsidR="008C39D5">
        <w:t xml:space="preserve"> </w:t>
      </w:r>
    </w:p>
    <w:p w14:paraId="266FCF79" w14:textId="77777777" w:rsidR="001556D1" w:rsidRDefault="001556D1"/>
    <w:p w14:paraId="2A7713C0" w14:textId="77777777" w:rsidR="003F3C3B" w:rsidRDefault="003F3C3B">
      <w:pPr>
        <w:rPr>
          <w:b/>
          <w:bCs/>
        </w:rPr>
      </w:pPr>
      <w:r>
        <w:rPr>
          <w:b/>
          <w:bCs/>
        </w:rPr>
        <w:t>Removal of Packaging Prior to Injection</w:t>
      </w:r>
    </w:p>
    <w:p w14:paraId="353D6878" w14:textId="77777777" w:rsidR="003F3C3B" w:rsidRDefault="003F3C3B"/>
    <w:p w14:paraId="0FDD9485" w14:textId="77777777" w:rsidR="003F3C3B" w:rsidRDefault="003F3C3B" w:rsidP="000361C7">
      <w:pPr>
        <w:jc w:val="both"/>
      </w:pPr>
      <w:r>
        <w:lastRenderedPageBreak/>
        <w:t>To divide the syringes, carefully fold, several times, the twin pack so that the syringes are back to back, then slowly using an even pressure divide the two syringes starting from the plunger end of the pack.</w:t>
      </w:r>
    </w:p>
    <w:p w14:paraId="42976C63" w14:textId="77777777" w:rsidR="003F3C3B" w:rsidRDefault="003F3C3B" w:rsidP="000361C7">
      <w:pPr>
        <w:jc w:val="both"/>
      </w:pPr>
    </w:p>
    <w:p w14:paraId="4625E30A" w14:textId="77777777" w:rsidR="003F3C3B" w:rsidRDefault="003F3C3B" w:rsidP="000361C7">
      <w:pPr>
        <w:jc w:val="both"/>
      </w:pPr>
      <w:r>
        <w:t xml:space="preserve">To remove the syringe from its plastic packaging, gently tear the top backing </w:t>
      </w:r>
      <w:r w:rsidR="003E4FF8">
        <w:t xml:space="preserve">film </w:t>
      </w:r>
      <w:r>
        <w:t>completely from the plastic tray (starting from the plunger end), then allow the syringe to roll onto the palm of your other hand.</w:t>
      </w:r>
    </w:p>
    <w:p w14:paraId="3683BEA4" w14:textId="77777777" w:rsidR="003F3C3B" w:rsidRDefault="003F3C3B" w:rsidP="000361C7">
      <w:pPr>
        <w:jc w:val="both"/>
      </w:pPr>
    </w:p>
    <w:p w14:paraId="77356268" w14:textId="77777777" w:rsidR="003F3C3B" w:rsidRDefault="003F3C3B" w:rsidP="000361C7">
      <w:pPr>
        <w:jc w:val="both"/>
      </w:pPr>
      <w:r>
        <w:t>The rubber cap over the needle may appear to be asymmetrical on the syringe, however, this occurs during packaging and does not mean that the needle is bent.</w:t>
      </w:r>
    </w:p>
    <w:p w14:paraId="560D1EE6" w14:textId="77777777" w:rsidR="003F3C3B" w:rsidRDefault="003F3C3B">
      <w:pPr>
        <w:rPr>
          <w:u w:val="single"/>
        </w:rPr>
      </w:pPr>
    </w:p>
    <w:p w14:paraId="506745C7" w14:textId="77777777" w:rsidR="003F3C3B" w:rsidRDefault="003F3C3B" w:rsidP="00307EE7">
      <w:pPr>
        <w:keepNext/>
        <w:rPr>
          <w:b/>
          <w:bCs/>
        </w:rPr>
      </w:pPr>
      <w:r>
        <w:rPr>
          <w:b/>
          <w:bCs/>
        </w:rPr>
        <w:t>Preparation of Syringe for Subcutaneous Injection</w:t>
      </w:r>
    </w:p>
    <w:p w14:paraId="24ECD689" w14:textId="77777777" w:rsidR="003F3C3B" w:rsidRDefault="003F3C3B" w:rsidP="00307EE7">
      <w:pPr>
        <w:keepNext/>
      </w:pPr>
    </w:p>
    <w:p w14:paraId="2CEF072F" w14:textId="77777777" w:rsidR="003F3C3B" w:rsidRDefault="003F3C3B" w:rsidP="00307EE7">
      <w:pPr>
        <w:keepNext/>
      </w:pPr>
      <w:r>
        <w:t>To remove the cap from the syringe needle:</w:t>
      </w:r>
    </w:p>
    <w:p w14:paraId="68F35F80" w14:textId="77777777" w:rsidR="003F3C3B" w:rsidRDefault="003F3C3B"/>
    <w:p w14:paraId="5BA3B200" w14:textId="77777777" w:rsidR="003F3C3B" w:rsidRDefault="003F3C3B">
      <w:r>
        <w:t>Hold the syringe vertically (grey cap uppermost)</w:t>
      </w:r>
    </w:p>
    <w:p w14:paraId="31F0978C" w14:textId="77777777" w:rsidR="003F3C3B" w:rsidRDefault="003F3C3B"/>
    <w:p w14:paraId="75F29EC3" w14:textId="77777777" w:rsidR="003F3C3B" w:rsidRDefault="003F3C3B" w:rsidP="000361C7">
      <w:pPr>
        <w:jc w:val="both"/>
      </w:pPr>
      <w:r>
        <w:t>Hold the grey cap by its collar, and the syringe barrel in your other hand, then slowly rotate the syringe barrel gently pulling downwards at the same time, until the needle is fully withdrawn from the cap.</w:t>
      </w:r>
    </w:p>
    <w:p w14:paraId="77C194EC" w14:textId="77777777" w:rsidR="003F3C3B" w:rsidRDefault="003F3C3B" w:rsidP="000361C7">
      <w:pPr>
        <w:jc w:val="both"/>
      </w:pPr>
      <w:r>
        <w:t>Do not pull the cap upwards from the syringe - this may bend the needle.</w:t>
      </w:r>
    </w:p>
    <w:p w14:paraId="587B2C20" w14:textId="77777777" w:rsidR="003F3C3B" w:rsidRDefault="003F3C3B" w:rsidP="000361C7">
      <w:pPr>
        <w:jc w:val="both"/>
      </w:pPr>
    </w:p>
    <w:p w14:paraId="0858B45A" w14:textId="77777777" w:rsidR="003F3C3B" w:rsidRDefault="003F3C3B" w:rsidP="000361C7">
      <w:pPr>
        <w:jc w:val="both"/>
      </w:pPr>
      <w:r>
        <w:t xml:space="preserve">Fraxiparine 0.2 mL - 1,900 IU </w:t>
      </w:r>
      <w:r w:rsidR="00F65309">
        <w:t>anti-Xa</w:t>
      </w:r>
      <w:r>
        <w:t xml:space="preserve">, 0.3 mL - 2,850 IU </w:t>
      </w:r>
      <w:r w:rsidR="00F65309">
        <w:t xml:space="preserve">anti-Xa </w:t>
      </w:r>
      <w:r>
        <w:t xml:space="preserve">and 0.4 mL - 3,800 IU </w:t>
      </w:r>
      <w:r w:rsidR="00F65309">
        <w:t xml:space="preserve">anti-Xa </w:t>
      </w:r>
      <w:r>
        <w:t xml:space="preserve">prefilled syringes are intended for administration of unit dosages only. The entire contents of the syringe should be injected. </w:t>
      </w:r>
      <w:r w:rsidRPr="00E57F5D">
        <w:t>There may</w:t>
      </w:r>
      <w:r>
        <w:t xml:space="preserve"> be a small air bubble in the syringe</w:t>
      </w:r>
      <w:r w:rsidR="00434502">
        <w:t>,</w:t>
      </w:r>
      <w:r w:rsidR="008A5BA6">
        <w:t xml:space="preserve"> </w:t>
      </w:r>
      <w:r>
        <w:t>but this does not have to be removed.</w:t>
      </w:r>
    </w:p>
    <w:p w14:paraId="4E0B8350" w14:textId="77777777" w:rsidR="003F3C3B" w:rsidRDefault="003F3C3B" w:rsidP="000361C7">
      <w:pPr>
        <w:jc w:val="both"/>
      </w:pPr>
    </w:p>
    <w:p w14:paraId="2AB96AC2" w14:textId="77777777" w:rsidR="003F3C3B" w:rsidRDefault="003F3C3B" w:rsidP="000361C7">
      <w:pPr>
        <w:jc w:val="both"/>
      </w:pPr>
      <w:r>
        <w:t xml:space="preserve">Fraxiparine 0.6 mL - 5,700 IU </w:t>
      </w:r>
      <w:r w:rsidR="00F65309">
        <w:t>anti-Xa</w:t>
      </w:r>
      <w:r>
        <w:t xml:space="preserve">, 0.8 mL - 7,600 IU </w:t>
      </w:r>
      <w:r w:rsidR="00F65309">
        <w:t xml:space="preserve">anti-Xa </w:t>
      </w:r>
      <w:r>
        <w:t xml:space="preserve">and 1.0 mL - 9,500 IU </w:t>
      </w:r>
      <w:r w:rsidR="00F65309">
        <w:t xml:space="preserve">anti-Xa </w:t>
      </w:r>
      <w:r>
        <w:t>prefilled graduated syringes may be used to administer adjusted dosages. Hold the syringe vertically with the needle uppermost and ensure the air bubble is at the top of the syringe. Advance the plunger to the volume/dosage required, expelling air and any excess.</w:t>
      </w:r>
    </w:p>
    <w:p w14:paraId="26414E06" w14:textId="77777777" w:rsidR="0017051D" w:rsidRDefault="0017051D">
      <w:pPr>
        <w:rPr>
          <w:b/>
          <w:bCs/>
        </w:rPr>
      </w:pPr>
    </w:p>
    <w:p w14:paraId="325B02D7" w14:textId="77777777" w:rsidR="003F3C3B" w:rsidRDefault="003F3C3B">
      <w:pPr>
        <w:rPr>
          <w:b/>
          <w:bCs/>
        </w:rPr>
      </w:pPr>
      <w:r>
        <w:rPr>
          <w:b/>
          <w:bCs/>
        </w:rPr>
        <w:t>Method for Subcutaneous Administration</w:t>
      </w:r>
    </w:p>
    <w:p w14:paraId="6888B098" w14:textId="77777777" w:rsidR="003F3C3B" w:rsidRPr="00772100" w:rsidRDefault="003F3C3B">
      <w:pPr>
        <w:rPr>
          <w:szCs w:val="22"/>
        </w:rPr>
      </w:pPr>
    </w:p>
    <w:p w14:paraId="5EEBA3CA" w14:textId="77777777" w:rsidR="003F3C3B" w:rsidRDefault="003F3C3B" w:rsidP="002E0746">
      <w:pPr>
        <w:pStyle w:val="ListNumber"/>
        <w:spacing w:after="0"/>
        <w:rPr>
          <w:szCs w:val="22"/>
        </w:rPr>
      </w:pPr>
      <w:r w:rsidRPr="00772100">
        <w:rPr>
          <w:szCs w:val="22"/>
        </w:rPr>
        <w:t>A suitable site for injection is the subcutaneous tissue of the lateral abdominal wall, away from any wound or weight bearing site. Alternatively injection may be made into the thigh.</w:t>
      </w:r>
    </w:p>
    <w:p w14:paraId="10F75DCB" w14:textId="77777777" w:rsidR="002E0746" w:rsidRPr="00772100" w:rsidRDefault="002E0746" w:rsidP="002E0746">
      <w:pPr>
        <w:pStyle w:val="ListNumber"/>
        <w:numPr>
          <w:ilvl w:val="0"/>
          <w:numId w:val="0"/>
        </w:numPr>
        <w:spacing w:after="0"/>
        <w:ind w:left="357"/>
        <w:rPr>
          <w:szCs w:val="22"/>
        </w:rPr>
      </w:pPr>
    </w:p>
    <w:p w14:paraId="7CD5ED50" w14:textId="77777777" w:rsidR="003F3C3B" w:rsidRDefault="003F3C3B" w:rsidP="002E0746">
      <w:pPr>
        <w:pStyle w:val="ListNumber"/>
        <w:spacing w:after="0"/>
        <w:rPr>
          <w:szCs w:val="22"/>
        </w:rPr>
      </w:pPr>
      <w:r w:rsidRPr="00772100">
        <w:rPr>
          <w:szCs w:val="22"/>
        </w:rPr>
        <w:t>Pinch a skin fold.</w:t>
      </w:r>
      <w:r w:rsidRPr="00772100">
        <w:rPr>
          <w:szCs w:val="22"/>
        </w:rPr>
        <w:br/>
        <w:t>Note: the use of alcohol may toughen the skin, making subsequent injection difficult.</w:t>
      </w:r>
    </w:p>
    <w:p w14:paraId="35FE1B96" w14:textId="77777777" w:rsidR="002E0746" w:rsidRDefault="002E0746" w:rsidP="002E0746">
      <w:pPr>
        <w:pStyle w:val="ListParagraph"/>
        <w:rPr>
          <w:szCs w:val="22"/>
        </w:rPr>
      </w:pPr>
    </w:p>
    <w:p w14:paraId="70751757" w14:textId="77777777" w:rsidR="003F3C3B" w:rsidRPr="002E0746" w:rsidRDefault="003F3C3B" w:rsidP="002E0746">
      <w:pPr>
        <w:pStyle w:val="ListNumber"/>
        <w:spacing w:after="0"/>
        <w:rPr>
          <w:rFonts w:cs="Arial"/>
          <w:szCs w:val="22"/>
        </w:rPr>
      </w:pPr>
      <w:r w:rsidRPr="008A5BA6">
        <w:rPr>
          <w:szCs w:val="22"/>
        </w:rPr>
        <w:t>Maintain the fold and insert the needle vertically to its full depth then inject Fraxiparine over 10 to 15 seconds. There may be a small air bubble in the barrel of the syringe</w:t>
      </w:r>
      <w:r w:rsidR="00434502">
        <w:rPr>
          <w:szCs w:val="22"/>
        </w:rPr>
        <w:t>,</w:t>
      </w:r>
      <w:r w:rsidRPr="008A5BA6">
        <w:rPr>
          <w:szCs w:val="22"/>
        </w:rPr>
        <w:t xml:space="preserve"> but this does not have to be removed.</w:t>
      </w:r>
    </w:p>
    <w:p w14:paraId="570D5A3E" w14:textId="77777777" w:rsidR="002E0746" w:rsidRPr="008A5BA6" w:rsidRDefault="002E0746" w:rsidP="002E0746">
      <w:pPr>
        <w:pStyle w:val="ListNumber"/>
        <w:numPr>
          <w:ilvl w:val="0"/>
          <w:numId w:val="0"/>
        </w:numPr>
        <w:spacing w:after="0"/>
        <w:ind w:left="357"/>
        <w:rPr>
          <w:rFonts w:cs="Arial"/>
          <w:szCs w:val="22"/>
        </w:rPr>
      </w:pPr>
    </w:p>
    <w:p w14:paraId="364BDD42" w14:textId="77777777" w:rsidR="002E0746" w:rsidRDefault="003F3C3B" w:rsidP="002E0746">
      <w:pPr>
        <w:pStyle w:val="ListNumber"/>
        <w:spacing w:after="0"/>
        <w:rPr>
          <w:rFonts w:cs="Arial"/>
          <w:szCs w:val="22"/>
        </w:rPr>
      </w:pPr>
      <w:r w:rsidRPr="008A5BA6">
        <w:rPr>
          <w:rFonts w:cs="Arial"/>
          <w:szCs w:val="22"/>
        </w:rPr>
        <w:t>Still holding the skin fold, withdraw the needle vertically.</w:t>
      </w:r>
      <w:r w:rsidRPr="008A5BA6">
        <w:rPr>
          <w:rFonts w:cs="Arial"/>
          <w:szCs w:val="22"/>
        </w:rPr>
        <w:br/>
        <w:t>Do not rub the site of injection.</w:t>
      </w:r>
    </w:p>
    <w:p w14:paraId="1773F390" w14:textId="77777777" w:rsidR="002E0746" w:rsidRDefault="002E0746" w:rsidP="002E0746">
      <w:pPr>
        <w:pStyle w:val="ListParagraph"/>
        <w:rPr>
          <w:rFonts w:cs="Arial"/>
          <w:szCs w:val="22"/>
        </w:rPr>
      </w:pPr>
    </w:p>
    <w:p w14:paraId="565392D5" w14:textId="77777777" w:rsidR="002E0746" w:rsidRPr="00A65AE0" w:rsidRDefault="002E0746" w:rsidP="002E0746">
      <w:pPr>
        <w:pStyle w:val="ListNumber"/>
        <w:spacing w:after="0"/>
        <w:rPr>
          <w:rFonts w:cs="Arial"/>
          <w:szCs w:val="22"/>
        </w:rPr>
      </w:pPr>
      <w:r w:rsidRPr="001D3E65">
        <w:t>After the injection is given, install the safety system on the Fraxiparine syringe and dispose of carefully.</w:t>
      </w:r>
    </w:p>
    <w:p w14:paraId="5F34E612" w14:textId="77777777" w:rsidR="00005432" w:rsidRDefault="00005432" w:rsidP="00005432">
      <w:pPr>
        <w:pStyle w:val="ListParagraph"/>
        <w:rPr>
          <w:rFonts w:cs="Arial"/>
          <w:szCs w:val="22"/>
        </w:rPr>
      </w:pPr>
    </w:p>
    <w:p w14:paraId="0B6B2193" w14:textId="58847534" w:rsidR="003F3C3B" w:rsidRPr="002E0746" w:rsidRDefault="009622AF" w:rsidP="002E0746">
      <w:pPr>
        <w:rPr>
          <w:rFonts w:cs="Arial"/>
          <w:szCs w:val="22"/>
        </w:rPr>
      </w:pPr>
      <w:r w:rsidRPr="002E0746">
        <w:rPr>
          <w:rFonts w:cs="Arial"/>
          <w:szCs w:val="22"/>
        </w:rPr>
        <w:t>Fraxiparine is not intended for intramuscular or intravenous administration</w:t>
      </w:r>
      <w:r w:rsidR="00175FAD">
        <w:rPr>
          <w:rFonts w:cs="Arial"/>
          <w:szCs w:val="22"/>
        </w:rPr>
        <w:t xml:space="preserve"> (except in haemo</w:t>
      </w:r>
      <w:r w:rsidR="00367022">
        <w:rPr>
          <w:rFonts w:cs="Arial"/>
          <w:szCs w:val="22"/>
        </w:rPr>
        <w:t>dialysis)</w:t>
      </w:r>
      <w:r w:rsidR="008C39D5" w:rsidRPr="002E0746">
        <w:rPr>
          <w:rFonts w:cs="Arial"/>
          <w:szCs w:val="22"/>
        </w:rPr>
        <w:t xml:space="preserve"> </w:t>
      </w:r>
    </w:p>
    <w:p w14:paraId="27F3C07F" w14:textId="77777777" w:rsidR="008A5BA6" w:rsidRPr="002E0746" w:rsidRDefault="008A5BA6">
      <w:pPr>
        <w:rPr>
          <w:rFonts w:cs="Arial"/>
          <w:szCs w:val="22"/>
        </w:rPr>
      </w:pPr>
    </w:p>
    <w:p w14:paraId="4D2C958A" w14:textId="77777777" w:rsidR="003F3C3B" w:rsidRPr="008A5BA6" w:rsidRDefault="00F71F00">
      <w:pPr>
        <w:rPr>
          <w:b/>
          <w:szCs w:val="22"/>
        </w:rPr>
      </w:pPr>
      <w:r w:rsidRPr="00F71F00">
        <w:rPr>
          <w:b/>
          <w:szCs w:val="22"/>
        </w:rPr>
        <w:t>Dosage</w:t>
      </w:r>
    </w:p>
    <w:p w14:paraId="42719AF6" w14:textId="77777777" w:rsidR="003F3C3B" w:rsidRDefault="003F3C3B"/>
    <w:p w14:paraId="1B52A251" w14:textId="23B728CD" w:rsidR="003F3C3B" w:rsidRDefault="003F3C3B">
      <w:r>
        <w:rPr>
          <w:b/>
          <w:i/>
        </w:rPr>
        <w:lastRenderedPageBreak/>
        <w:t>Fraxiparine should only be administered by subcutaneous route</w:t>
      </w:r>
      <w:r w:rsidR="00F65A19">
        <w:rPr>
          <w:b/>
          <w:i/>
        </w:rPr>
        <w:t xml:space="preserve"> (except in haemodialysis).</w:t>
      </w:r>
    </w:p>
    <w:p w14:paraId="4C29B3D3" w14:textId="77777777" w:rsidR="003F3C3B" w:rsidRDefault="003F3C3B"/>
    <w:p w14:paraId="76E47A8B" w14:textId="77777777" w:rsidR="003F3C3B" w:rsidRDefault="003F3C3B">
      <w:pPr>
        <w:pStyle w:val="Heading1"/>
      </w:pPr>
      <w:r>
        <w:t>Prophylaxis of DVT:</w:t>
      </w:r>
    </w:p>
    <w:p w14:paraId="363E1EFB" w14:textId="77777777" w:rsidR="00EC0735" w:rsidRPr="00EC0735" w:rsidRDefault="003F3C3B" w:rsidP="00EC0735">
      <w:pPr>
        <w:pStyle w:val="Heading2"/>
      </w:pPr>
      <w:r>
        <w:t>General Surgery</w:t>
      </w:r>
    </w:p>
    <w:p w14:paraId="08376006" w14:textId="77777777" w:rsidR="00737D08" w:rsidRDefault="00737D08"/>
    <w:p w14:paraId="4F6B7BAE" w14:textId="77777777" w:rsidR="00737D08" w:rsidRDefault="00737D08" w:rsidP="00737D08">
      <w:r>
        <w:t xml:space="preserve">The recommended dose of </w:t>
      </w:r>
      <w:r w:rsidR="00CF7B89">
        <w:t>Fraxiparine</w:t>
      </w:r>
      <w:r>
        <w:t xml:space="preserve"> is 0.3 m</w:t>
      </w:r>
      <w:r w:rsidR="00C72483">
        <w:t>L</w:t>
      </w:r>
      <w:r>
        <w:t xml:space="preserve"> (2,850 anti-Xa IU) administered subcutaneously 2 to 4 hours before surgery, and then once daily on subsequent days. Treatment should be continued for at least seven days, and throughout the risk period, until the patient is ambulant. </w:t>
      </w:r>
    </w:p>
    <w:p w14:paraId="69749036" w14:textId="77777777" w:rsidR="003F3C3B" w:rsidRDefault="003F3C3B" w:rsidP="00307EE7">
      <w:pPr>
        <w:pStyle w:val="Heading2"/>
      </w:pPr>
      <w:r>
        <w:t>Orthopaedic Surgery</w:t>
      </w:r>
    </w:p>
    <w:p w14:paraId="37CD44D4" w14:textId="77777777" w:rsidR="003F3C3B" w:rsidRDefault="003F3C3B" w:rsidP="00307EE7">
      <w:pPr>
        <w:keepNext/>
      </w:pPr>
    </w:p>
    <w:p w14:paraId="58D6515B" w14:textId="77777777" w:rsidR="00923F1F" w:rsidRDefault="00923F1F" w:rsidP="00307EE7">
      <w:pPr>
        <w:keepNext/>
      </w:pPr>
      <w:r>
        <w:t>Fraxiparine is administered subcutaneously and the dose is adjusted for body weight according to the table below. This is based on a target dose of 38 anti-Xa IU per kg body weight, and is increased by 50% on the fourth post-operative day. The initial dose is administered 12 hours before surgery and a second dose 12 hours after the end of surgery. Treatment is then continued once daily throughout the risk period and until the patient is ambulant.  The minimum treatment period is 10 days.</w:t>
      </w:r>
    </w:p>
    <w:p w14:paraId="0E84287D" w14:textId="77777777" w:rsidR="00F61E5B" w:rsidRDefault="00F61E5B" w:rsidP="00307EE7">
      <w:pPr>
        <w:keepNext/>
      </w:pPr>
    </w:p>
    <w:p w14:paraId="30FBEFD1" w14:textId="77777777" w:rsidR="00923F1F" w:rsidRDefault="00923F1F" w:rsidP="00FF1917">
      <w:pPr>
        <w:pStyle w:val="anchor"/>
      </w:pPr>
    </w:p>
    <w:tbl>
      <w:tblPr>
        <w:tblW w:w="0" w:type="auto"/>
        <w:tblInd w:w="108" w:type="dxa"/>
        <w:tblLayout w:type="fixed"/>
        <w:tblLook w:val="0000" w:firstRow="0" w:lastRow="0" w:firstColumn="0" w:lastColumn="0" w:noHBand="0" w:noVBand="0"/>
      </w:tblPr>
      <w:tblGrid>
        <w:gridCol w:w="1560"/>
        <w:gridCol w:w="1560"/>
        <w:gridCol w:w="1791"/>
        <w:gridCol w:w="1880"/>
        <w:gridCol w:w="1844"/>
      </w:tblGrid>
      <w:tr w:rsidR="00923F1F" w14:paraId="447C439F" w14:textId="77777777" w:rsidTr="00923F1F">
        <w:trPr>
          <w:cantSplit/>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4C2C0402" w14:textId="77777777" w:rsidR="00923F1F" w:rsidRPr="00C72483" w:rsidRDefault="00FE2B9F" w:rsidP="00923F1F">
            <w:pPr>
              <w:pStyle w:val="TableCell"/>
              <w:jc w:val="center"/>
              <w:rPr>
                <w:rFonts w:ascii="Arial" w:hAnsi="Arial" w:cs="Arial"/>
                <w:sz w:val="22"/>
                <w:szCs w:val="22"/>
              </w:rPr>
            </w:pPr>
            <w:r w:rsidRPr="00FE2B9F">
              <w:rPr>
                <w:rFonts w:ascii="Arial" w:hAnsi="Arial" w:cs="Arial"/>
                <w:b/>
                <w:sz w:val="22"/>
                <w:szCs w:val="22"/>
              </w:rPr>
              <w:t>Body weight (kg)</w:t>
            </w: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4FA2ADD2" w14:textId="77777777" w:rsidR="00923F1F" w:rsidRPr="00C72483" w:rsidRDefault="00FE2B9F" w:rsidP="00923F1F">
            <w:pPr>
              <w:pStyle w:val="TableCell"/>
              <w:jc w:val="center"/>
              <w:rPr>
                <w:rFonts w:ascii="Arial" w:hAnsi="Arial" w:cs="Arial"/>
                <w:sz w:val="22"/>
                <w:szCs w:val="22"/>
              </w:rPr>
            </w:pPr>
            <w:r w:rsidRPr="00FE2B9F">
              <w:rPr>
                <w:rFonts w:ascii="Arial" w:hAnsi="Arial" w:cs="Arial"/>
                <w:b/>
                <w:sz w:val="22"/>
                <w:szCs w:val="22"/>
              </w:rPr>
              <w:t>12 hours before and after surgery, and  then once daily to the third post-operative day</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tcPr>
          <w:p w14:paraId="2EF33D1D" w14:textId="77777777" w:rsidR="00923F1F" w:rsidRPr="00C72483" w:rsidRDefault="00FE2B9F" w:rsidP="00923F1F">
            <w:pPr>
              <w:pStyle w:val="TableCell"/>
              <w:jc w:val="center"/>
              <w:rPr>
                <w:rFonts w:ascii="Arial" w:hAnsi="Arial" w:cs="Arial"/>
                <w:sz w:val="22"/>
                <w:szCs w:val="22"/>
              </w:rPr>
            </w:pPr>
            <w:r w:rsidRPr="00FE2B9F">
              <w:rPr>
                <w:rFonts w:ascii="Arial" w:hAnsi="Arial" w:cs="Arial"/>
                <w:b/>
                <w:sz w:val="22"/>
                <w:szCs w:val="22"/>
              </w:rPr>
              <w:t>From the fourth post-operative day onwards</w:t>
            </w:r>
          </w:p>
        </w:tc>
      </w:tr>
      <w:tr w:rsidR="00923F1F" w14:paraId="766403BB" w14:textId="77777777" w:rsidTr="00923F1F">
        <w:trPr>
          <w:cantSplit/>
        </w:trPr>
        <w:tc>
          <w:tcPr>
            <w:tcW w:w="1560" w:type="dxa"/>
            <w:vMerge/>
            <w:tcBorders>
              <w:top w:val="nil"/>
              <w:left w:val="single" w:sz="4" w:space="0" w:color="auto"/>
              <w:bottom w:val="single" w:sz="4" w:space="0" w:color="auto"/>
              <w:right w:val="single" w:sz="4" w:space="0" w:color="auto"/>
            </w:tcBorders>
            <w:shd w:val="clear" w:color="auto" w:fill="auto"/>
          </w:tcPr>
          <w:p w14:paraId="6E3B0C8A" w14:textId="77777777" w:rsidR="00923F1F" w:rsidRPr="00C72483" w:rsidRDefault="00923F1F" w:rsidP="00923F1F">
            <w:pPr>
              <w:pStyle w:val="TableCell"/>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5D0BE8" w14:textId="77777777" w:rsidR="00923F1F" w:rsidRPr="00C72483" w:rsidRDefault="00FE2B9F" w:rsidP="00C72483">
            <w:pPr>
              <w:pStyle w:val="TableCell"/>
              <w:jc w:val="center"/>
              <w:rPr>
                <w:rFonts w:ascii="Arial" w:hAnsi="Arial" w:cs="Arial"/>
                <w:sz w:val="22"/>
                <w:szCs w:val="22"/>
              </w:rPr>
            </w:pPr>
            <w:r w:rsidRPr="00FE2B9F">
              <w:rPr>
                <w:rFonts w:ascii="Arial" w:hAnsi="Arial" w:cs="Arial"/>
                <w:b/>
                <w:sz w:val="22"/>
                <w:szCs w:val="22"/>
              </w:rPr>
              <w:t>Volume injected (m</w:t>
            </w:r>
            <w:r w:rsidR="00C72483">
              <w:rPr>
                <w:rFonts w:ascii="Arial" w:hAnsi="Arial" w:cs="Arial"/>
                <w:b/>
                <w:sz w:val="22"/>
                <w:szCs w:val="22"/>
              </w:rPr>
              <w:t>L</w:t>
            </w:r>
            <w:r w:rsidRPr="00FE2B9F">
              <w:rPr>
                <w:rFonts w:ascii="Arial" w:hAnsi="Arial" w:cs="Arial"/>
                <w:b/>
                <w:sz w:val="22"/>
                <w:szCs w:val="22"/>
              </w:rPr>
              <w:t>)</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0E9EB434" w14:textId="77777777" w:rsidR="00923F1F" w:rsidRPr="00C72483" w:rsidRDefault="00FE2B9F" w:rsidP="00923F1F">
            <w:pPr>
              <w:pStyle w:val="TableCell"/>
              <w:jc w:val="center"/>
              <w:rPr>
                <w:rFonts w:ascii="Arial" w:hAnsi="Arial" w:cs="Arial"/>
                <w:sz w:val="22"/>
                <w:szCs w:val="22"/>
              </w:rPr>
            </w:pPr>
            <w:r w:rsidRPr="00FE2B9F">
              <w:rPr>
                <w:rFonts w:ascii="Arial" w:hAnsi="Arial" w:cs="Arial"/>
                <w:b/>
                <w:sz w:val="22"/>
                <w:szCs w:val="22"/>
              </w:rPr>
              <w:t>Anti-Xa IU</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7973D819" w14:textId="77777777" w:rsidR="00923F1F" w:rsidRPr="00C72483" w:rsidRDefault="00FE2B9F" w:rsidP="00923F1F">
            <w:pPr>
              <w:pStyle w:val="TableCell"/>
              <w:jc w:val="center"/>
              <w:rPr>
                <w:rFonts w:ascii="Arial" w:hAnsi="Arial" w:cs="Arial"/>
                <w:sz w:val="22"/>
                <w:szCs w:val="22"/>
              </w:rPr>
            </w:pPr>
            <w:r w:rsidRPr="00FE2B9F">
              <w:rPr>
                <w:rFonts w:ascii="Arial" w:hAnsi="Arial" w:cs="Arial"/>
                <w:b/>
                <w:sz w:val="22"/>
                <w:szCs w:val="22"/>
              </w:rPr>
              <w:t>Volume injected (m</w:t>
            </w:r>
            <w:r w:rsidR="00C72483">
              <w:rPr>
                <w:rFonts w:ascii="Arial" w:hAnsi="Arial" w:cs="Arial"/>
                <w:b/>
                <w:sz w:val="22"/>
                <w:szCs w:val="22"/>
              </w:rPr>
              <w:t>L</w:t>
            </w:r>
            <w:r w:rsidRPr="00FE2B9F">
              <w:rPr>
                <w:rFonts w:ascii="Arial" w:hAnsi="Arial" w:cs="Arial"/>
                <w:b/>
                <w:sz w:val="22"/>
                <w:szCs w:val="22"/>
              </w:rPr>
              <w:t>)</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C363389" w14:textId="77777777" w:rsidR="00923F1F" w:rsidRPr="00C72483" w:rsidRDefault="00FE2B9F" w:rsidP="00923F1F">
            <w:pPr>
              <w:pStyle w:val="TableCell"/>
              <w:jc w:val="center"/>
              <w:rPr>
                <w:rFonts w:ascii="Arial" w:hAnsi="Arial" w:cs="Arial"/>
                <w:sz w:val="22"/>
                <w:szCs w:val="22"/>
              </w:rPr>
            </w:pPr>
            <w:r w:rsidRPr="00FE2B9F">
              <w:rPr>
                <w:rFonts w:ascii="Arial" w:hAnsi="Arial" w:cs="Arial"/>
                <w:b/>
                <w:sz w:val="22"/>
                <w:szCs w:val="22"/>
              </w:rPr>
              <w:t>Anti-Xa IU</w:t>
            </w:r>
          </w:p>
        </w:tc>
      </w:tr>
      <w:tr w:rsidR="00923F1F" w14:paraId="6F4AA1DE" w14:textId="77777777" w:rsidTr="00923F1F">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5F00B9A"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40-60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F9F7BA"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0.2</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54A159E2"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1,900</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4D021F99"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0.3</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5830B05"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2,850</w:t>
            </w:r>
          </w:p>
        </w:tc>
      </w:tr>
      <w:tr w:rsidR="00923F1F" w14:paraId="7F059B04" w14:textId="77777777" w:rsidTr="00923F1F">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D30C6CC"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61-80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475167"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0.3</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120ADFB2"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2,850</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46346C22"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0.4</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4251E3B"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3,800</w:t>
            </w:r>
          </w:p>
        </w:tc>
      </w:tr>
      <w:tr w:rsidR="00923F1F" w14:paraId="644009BC" w14:textId="77777777" w:rsidTr="00923F1F">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518E3A3"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81-124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E1AF5D"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0.4</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4B118A1B"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3,800</w:t>
            </w:r>
          </w:p>
        </w:tc>
        <w:tc>
          <w:tcPr>
            <w:tcW w:w="1880" w:type="dxa"/>
            <w:tcBorders>
              <w:top w:val="single" w:sz="4" w:space="0" w:color="auto"/>
              <w:left w:val="single" w:sz="4" w:space="0" w:color="auto"/>
              <w:bottom w:val="single" w:sz="4" w:space="0" w:color="auto"/>
              <w:right w:val="single" w:sz="4" w:space="0" w:color="auto"/>
            </w:tcBorders>
            <w:shd w:val="clear" w:color="auto" w:fill="auto"/>
          </w:tcPr>
          <w:p w14:paraId="7AEC0971"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0.6</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C3339DF" w14:textId="77777777" w:rsidR="00923F1F" w:rsidRPr="00C72483" w:rsidRDefault="00FE2B9F" w:rsidP="00923F1F">
            <w:pPr>
              <w:pStyle w:val="TableCell"/>
              <w:jc w:val="center"/>
              <w:rPr>
                <w:rFonts w:ascii="Arial" w:hAnsi="Arial" w:cs="Arial"/>
                <w:sz w:val="22"/>
                <w:szCs w:val="22"/>
              </w:rPr>
            </w:pPr>
            <w:r w:rsidRPr="00FE2B9F">
              <w:rPr>
                <w:rFonts w:ascii="Arial" w:hAnsi="Arial" w:cs="Arial"/>
                <w:sz w:val="22"/>
                <w:szCs w:val="22"/>
              </w:rPr>
              <w:t>5,700</w:t>
            </w:r>
          </w:p>
        </w:tc>
      </w:tr>
    </w:tbl>
    <w:p w14:paraId="07C25674" w14:textId="77777777" w:rsidR="003F3C3B" w:rsidRDefault="003F3C3B"/>
    <w:p w14:paraId="457B5BDC" w14:textId="77777777" w:rsidR="00434502" w:rsidRPr="00332695" w:rsidRDefault="003F3C3B">
      <w:pPr>
        <w:pStyle w:val="Heading1"/>
      </w:pPr>
      <w:r w:rsidRPr="00332695">
        <w:t>Treatment of DVT:</w:t>
      </w:r>
    </w:p>
    <w:p w14:paraId="287FD7D9" w14:textId="77777777" w:rsidR="003F3C3B" w:rsidRPr="00434502" w:rsidRDefault="003F3C3B" w:rsidP="0058131D">
      <w:pPr>
        <w:rPr>
          <w:b/>
        </w:rPr>
      </w:pPr>
    </w:p>
    <w:p w14:paraId="4B8859E7" w14:textId="77777777" w:rsidR="00B0600E" w:rsidRDefault="00B0600E" w:rsidP="00B0600E">
      <w:pPr>
        <w:rPr>
          <w:szCs w:val="22"/>
        </w:rPr>
      </w:pPr>
      <w:r w:rsidRPr="00CF7B89">
        <w:rPr>
          <w:szCs w:val="22"/>
        </w:rPr>
        <w:t xml:space="preserve">In the treatment of DVT, oral anticoagulant therapy should be initiated as soon as possible unless contraindicated. Treatment with Fraxiparine should not be stopped before the </w:t>
      </w:r>
      <w:r w:rsidR="00BC2EF3">
        <w:rPr>
          <w:szCs w:val="22"/>
        </w:rPr>
        <w:t xml:space="preserve">target </w:t>
      </w:r>
      <w:r w:rsidRPr="00CF7B89">
        <w:rPr>
          <w:szCs w:val="22"/>
        </w:rPr>
        <w:t>International Normalised Ratio</w:t>
      </w:r>
      <w:r w:rsidR="00B771E3">
        <w:rPr>
          <w:szCs w:val="22"/>
        </w:rPr>
        <w:t xml:space="preserve"> (INR)</w:t>
      </w:r>
      <w:r w:rsidRPr="00CF7B89">
        <w:rPr>
          <w:szCs w:val="22"/>
        </w:rPr>
        <w:t xml:space="preserve"> is reached.</w:t>
      </w:r>
    </w:p>
    <w:p w14:paraId="48EDC3FD" w14:textId="77777777" w:rsidR="00313AC9" w:rsidRPr="00CF7B89" w:rsidRDefault="00313AC9" w:rsidP="00B0600E">
      <w:pPr>
        <w:rPr>
          <w:szCs w:val="22"/>
        </w:rPr>
      </w:pPr>
    </w:p>
    <w:p w14:paraId="6484AF47" w14:textId="77777777" w:rsidR="00313AC9" w:rsidRDefault="00313AC9" w:rsidP="00313AC9">
      <w:r>
        <w:t>It is recommended that Fraxiparine is administered subcutaneously twice daily (every 12 hours) for a usual duration of 10 days. The dose should be adjusted for body weight according to the table below, which is based on a target dose of 86 anti-Xa IU per kg body weight.</w:t>
      </w:r>
      <w:r w:rsidRPr="00731F7A">
        <w:t xml:space="preserve"> </w:t>
      </w:r>
    </w:p>
    <w:p w14:paraId="514525FC" w14:textId="77777777" w:rsidR="00313AC9" w:rsidRDefault="00313AC9" w:rsidP="00313AC9"/>
    <w:tbl>
      <w:tblPr>
        <w:tblW w:w="0" w:type="auto"/>
        <w:tblInd w:w="108" w:type="dxa"/>
        <w:tblLayout w:type="fixed"/>
        <w:tblLook w:val="0000" w:firstRow="0" w:lastRow="0" w:firstColumn="0" w:lastColumn="0" w:noHBand="0" w:noVBand="0"/>
      </w:tblPr>
      <w:tblGrid>
        <w:gridCol w:w="2639"/>
        <w:gridCol w:w="2639"/>
        <w:gridCol w:w="2639"/>
      </w:tblGrid>
      <w:tr w:rsidR="00313AC9" w:rsidRPr="009D2EEA" w14:paraId="5B00688D" w14:textId="77777777" w:rsidTr="00BC3144">
        <w:trPr>
          <w:cantSplit/>
        </w:trPr>
        <w:tc>
          <w:tcPr>
            <w:tcW w:w="2639" w:type="dxa"/>
            <w:vMerge w:val="restart"/>
            <w:tcBorders>
              <w:top w:val="single" w:sz="4" w:space="0" w:color="auto"/>
              <w:left w:val="single" w:sz="4" w:space="0" w:color="auto"/>
              <w:bottom w:val="single" w:sz="4" w:space="0" w:color="auto"/>
              <w:right w:val="single" w:sz="4" w:space="0" w:color="auto"/>
            </w:tcBorders>
            <w:shd w:val="clear" w:color="auto" w:fill="auto"/>
          </w:tcPr>
          <w:p w14:paraId="64CF23AA" w14:textId="77777777" w:rsidR="00313AC9" w:rsidRPr="009D2EEA" w:rsidRDefault="00313AC9" w:rsidP="00BC3144">
            <w:pPr>
              <w:pStyle w:val="TableCell"/>
              <w:jc w:val="center"/>
              <w:rPr>
                <w:rFonts w:ascii="Arial" w:hAnsi="Arial" w:cs="Arial"/>
                <w:sz w:val="22"/>
                <w:szCs w:val="22"/>
              </w:rPr>
            </w:pPr>
            <w:r w:rsidRPr="00AD19B0">
              <w:rPr>
                <w:rFonts w:ascii="Arial" w:hAnsi="Arial" w:cs="Arial"/>
                <w:b/>
                <w:sz w:val="22"/>
                <w:szCs w:val="22"/>
              </w:rPr>
              <w:t>Body weight (kg)</w:t>
            </w:r>
          </w:p>
        </w:tc>
        <w:tc>
          <w:tcPr>
            <w:tcW w:w="5278" w:type="dxa"/>
            <w:gridSpan w:val="2"/>
            <w:tcBorders>
              <w:top w:val="single" w:sz="4" w:space="0" w:color="auto"/>
              <w:left w:val="single" w:sz="4" w:space="0" w:color="auto"/>
              <w:bottom w:val="single" w:sz="4" w:space="0" w:color="auto"/>
              <w:right w:val="single" w:sz="4" w:space="0" w:color="auto"/>
            </w:tcBorders>
            <w:shd w:val="clear" w:color="auto" w:fill="auto"/>
          </w:tcPr>
          <w:p w14:paraId="799818E8" w14:textId="77777777" w:rsidR="00313AC9" w:rsidRPr="009D2EEA" w:rsidRDefault="00313AC9" w:rsidP="00BC3144">
            <w:pPr>
              <w:pStyle w:val="TableCell"/>
              <w:jc w:val="center"/>
              <w:rPr>
                <w:rFonts w:ascii="Arial" w:hAnsi="Arial" w:cs="Arial"/>
                <w:sz w:val="22"/>
                <w:szCs w:val="22"/>
              </w:rPr>
            </w:pPr>
            <w:r w:rsidRPr="001C5730">
              <w:rPr>
                <w:rFonts w:ascii="Arial" w:hAnsi="Arial" w:cs="Arial"/>
                <w:b/>
                <w:sz w:val="22"/>
                <w:szCs w:val="22"/>
              </w:rPr>
              <w:t>Twice daily</w:t>
            </w:r>
            <w:r w:rsidRPr="00AD19B0">
              <w:rPr>
                <w:rFonts w:ascii="Arial" w:hAnsi="Arial" w:cs="Arial"/>
                <w:b/>
                <w:sz w:val="22"/>
                <w:szCs w:val="22"/>
              </w:rPr>
              <w:t xml:space="preserve"> for a usual duration of 10 days</w:t>
            </w:r>
          </w:p>
        </w:tc>
      </w:tr>
      <w:tr w:rsidR="00313AC9" w:rsidRPr="009D2EEA" w14:paraId="2B7C5BFC" w14:textId="77777777" w:rsidTr="00BC3144">
        <w:trPr>
          <w:cantSplit/>
        </w:trPr>
        <w:tc>
          <w:tcPr>
            <w:tcW w:w="2639" w:type="dxa"/>
            <w:vMerge/>
            <w:tcBorders>
              <w:top w:val="nil"/>
              <w:left w:val="single" w:sz="4" w:space="0" w:color="auto"/>
              <w:bottom w:val="single" w:sz="4" w:space="0" w:color="auto"/>
              <w:right w:val="single" w:sz="4" w:space="0" w:color="auto"/>
            </w:tcBorders>
            <w:shd w:val="clear" w:color="auto" w:fill="auto"/>
          </w:tcPr>
          <w:p w14:paraId="39B7D532" w14:textId="77777777" w:rsidR="00313AC9" w:rsidRDefault="00313AC9" w:rsidP="00BC3144">
            <w:pPr>
              <w:pStyle w:val="TableCell"/>
              <w:jc w:val="center"/>
              <w:rPr>
                <w:rFonts w:ascii="Arial" w:hAnsi="Arial" w:cs="Arial"/>
                <w:sz w:val="22"/>
                <w:szCs w:val="22"/>
              </w:rPr>
            </w:pP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5C7AAF30" w14:textId="77777777" w:rsidR="00313AC9" w:rsidRDefault="00313AC9" w:rsidP="00C72483">
            <w:pPr>
              <w:pStyle w:val="TableCell"/>
              <w:jc w:val="center"/>
              <w:rPr>
                <w:rFonts w:ascii="Arial" w:hAnsi="Arial" w:cs="Arial"/>
                <w:sz w:val="22"/>
                <w:szCs w:val="22"/>
              </w:rPr>
            </w:pPr>
            <w:r w:rsidRPr="00C22282">
              <w:rPr>
                <w:rFonts w:ascii="Arial" w:hAnsi="Arial" w:cs="Arial"/>
                <w:b/>
                <w:sz w:val="22"/>
                <w:szCs w:val="22"/>
              </w:rPr>
              <w:t>Volume injected (m</w:t>
            </w:r>
            <w:r w:rsidR="00C72483">
              <w:rPr>
                <w:rFonts w:ascii="Arial" w:hAnsi="Arial" w:cs="Arial"/>
                <w:b/>
                <w:sz w:val="22"/>
                <w:szCs w:val="22"/>
              </w:rPr>
              <w:t>L</w:t>
            </w:r>
            <w:r w:rsidRPr="00C22282">
              <w:rPr>
                <w:rFonts w:ascii="Arial" w:hAnsi="Arial" w:cs="Arial"/>
                <w:b/>
                <w:sz w:val="22"/>
                <w:szCs w:val="22"/>
              </w:rPr>
              <w:t>)</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99F9DF9" w14:textId="77777777" w:rsidR="00313AC9" w:rsidRDefault="00313AC9" w:rsidP="00BC3144">
            <w:pPr>
              <w:pStyle w:val="TableCell"/>
              <w:jc w:val="center"/>
              <w:rPr>
                <w:rFonts w:ascii="Arial" w:hAnsi="Arial" w:cs="Arial"/>
                <w:sz w:val="22"/>
                <w:szCs w:val="22"/>
              </w:rPr>
            </w:pPr>
            <w:r w:rsidRPr="00C22282">
              <w:rPr>
                <w:rFonts w:ascii="Arial" w:hAnsi="Arial" w:cs="Arial"/>
                <w:b/>
                <w:sz w:val="22"/>
                <w:szCs w:val="22"/>
              </w:rPr>
              <w:t>Anti-Xa IU</w:t>
            </w:r>
          </w:p>
        </w:tc>
      </w:tr>
      <w:tr w:rsidR="00313AC9" w:rsidRPr="009D2EEA" w14:paraId="5806951C"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5CE1960E"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&lt;50</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55468A2D"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0.4</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0E2FBA31"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3,800</w:t>
            </w:r>
          </w:p>
        </w:tc>
      </w:tr>
      <w:tr w:rsidR="00313AC9" w:rsidRPr="009D2EEA" w14:paraId="48E69371"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0F932C91"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50-59</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1C215E8A"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0.5</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47349FE3"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4,750</w:t>
            </w:r>
          </w:p>
        </w:tc>
      </w:tr>
      <w:tr w:rsidR="00313AC9" w:rsidRPr="009D2EEA" w14:paraId="4608BE1D"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50B336EF"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60-69</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064F4359"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0.6</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29D75C9D"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5,700</w:t>
            </w:r>
          </w:p>
        </w:tc>
      </w:tr>
      <w:tr w:rsidR="00313AC9" w:rsidRPr="009D2EEA" w14:paraId="4A2BF5E1"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58723886"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70-79</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30EF4C4A"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0.7</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74E8407"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6,650</w:t>
            </w:r>
          </w:p>
        </w:tc>
      </w:tr>
      <w:tr w:rsidR="00313AC9" w:rsidRPr="009D2EEA" w14:paraId="00D3C722"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1384A3D0"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80-89</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28D2BB1"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0.8</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5CD209EE"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7,600</w:t>
            </w:r>
          </w:p>
        </w:tc>
      </w:tr>
      <w:tr w:rsidR="00313AC9" w:rsidRPr="009D2EEA" w14:paraId="4CD90813"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578B0465" w14:textId="77777777" w:rsidR="00313AC9" w:rsidRPr="009D2EEA" w:rsidRDefault="00FE2B9F" w:rsidP="00BC3144">
            <w:pPr>
              <w:pStyle w:val="TableCell"/>
              <w:jc w:val="center"/>
              <w:rPr>
                <w:rFonts w:ascii="Arial" w:hAnsi="Arial" w:cs="Arial"/>
                <w:sz w:val="22"/>
                <w:szCs w:val="22"/>
              </w:rPr>
            </w:pPr>
            <w:r w:rsidRPr="00AD19B0">
              <w:rPr>
                <w:rFonts w:ascii="Arial" w:hAnsi="Arial" w:cs="Arial"/>
                <w:sz w:val="22"/>
                <w:szCs w:val="22"/>
              </w:rPr>
              <w:fldChar w:fldCharType="begin"/>
            </w:r>
            <w:r w:rsidR="00313AC9" w:rsidRPr="00AD19B0">
              <w:rPr>
                <w:rFonts w:ascii="Arial" w:hAnsi="Arial" w:cs="Arial"/>
                <w:sz w:val="22"/>
                <w:szCs w:val="22"/>
              </w:rPr>
              <w:instrText>SYMBOL 8805\u</w:instrText>
            </w:r>
            <w:r w:rsidRPr="00AD19B0">
              <w:rPr>
                <w:rFonts w:ascii="Arial" w:hAnsi="Arial" w:cs="Arial"/>
                <w:sz w:val="22"/>
                <w:szCs w:val="22"/>
              </w:rPr>
              <w:fldChar w:fldCharType="end"/>
            </w:r>
            <w:r w:rsidR="00313AC9" w:rsidRPr="00AD19B0">
              <w:rPr>
                <w:rFonts w:ascii="Arial" w:hAnsi="Arial" w:cs="Arial"/>
                <w:sz w:val="22"/>
                <w:szCs w:val="22"/>
              </w:rPr>
              <w:t>90</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0B347482"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0.9</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766647AF" w14:textId="77777777" w:rsidR="00313AC9" w:rsidRPr="009D2EEA" w:rsidRDefault="00313AC9" w:rsidP="00BC3144">
            <w:pPr>
              <w:pStyle w:val="TableCell"/>
              <w:jc w:val="center"/>
              <w:rPr>
                <w:rFonts w:ascii="Arial" w:hAnsi="Arial" w:cs="Arial"/>
                <w:sz w:val="22"/>
                <w:szCs w:val="22"/>
              </w:rPr>
            </w:pPr>
            <w:r w:rsidRPr="00AD19B0">
              <w:rPr>
                <w:rFonts w:ascii="Arial" w:hAnsi="Arial" w:cs="Arial"/>
                <w:sz w:val="22"/>
                <w:szCs w:val="22"/>
              </w:rPr>
              <w:t>8,550</w:t>
            </w:r>
          </w:p>
        </w:tc>
      </w:tr>
    </w:tbl>
    <w:p w14:paraId="3D17925A" w14:textId="77777777" w:rsidR="00313AC9" w:rsidRDefault="00313AC9" w:rsidP="00313AC9"/>
    <w:p w14:paraId="4C564B2E" w14:textId="77777777" w:rsidR="003F3C3B" w:rsidRDefault="003F3C3B">
      <w:pPr>
        <w:pStyle w:val="Heading1"/>
      </w:pPr>
      <w:r>
        <w:lastRenderedPageBreak/>
        <w:t>Prevention of Clotting During Haemodialysis</w:t>
      </w:r>
      <w:r w:rsidR="00434502">
        <w:t>:</w:t>
      </w:r>
    </w:p>
    <w:p w14:paraId="258EFE4D" w14:textId="77777777" w:rsidR="003F3C3B" w:rsidRDefault="003F3C3B"/>
    <w:p w14:paraId="79BE9A99" w14:textId="77777777" w:rsidR="005F3B81" w:rsidRDefault="005F3B81" w:rsidP="005F3B81">
      <w:r>
        <w:t xml:space="preserve">In the prevention of clotting during haemodialysis, the dose of Fraxiparine must be optimised for each individual patient, also taking into account the technical conditions of the dialysis. </w:t>
      </w:r>
    </w:p>
    <w:p w14:paraId="203DDC7D" w14:textId="77777777" w:rsidR="005F3B81" w:rsidRDefault="005F3B81" w:rsidP="005F3B81"/>
    <w:p w14:paraId="00407976" w14:textId="77777777" w:rsidR="005F3B81" w:rsidRDefault="005F3B81" w:rsidP="005F3B81">
      <w:r>
        <w:t>Fraxiparine is usually given as a single dose into the arterial line at the start of each session. For patients without increased risk of haemorrhage the following initial doses are suggested according to body weight and are usually sufficient for a four hour session:</w:t>
      </w:r>
    </w:p>
    <w:p w14:paraId="4480535F" w14:textId="77777777" w:rsidR="0073636D" w:rsidRDefault="0073636D" w:rsidP="005F3B81"/>
    <w:p w14:paraId="0A0B4380" w14:textId="77777777" w:rsidR="00313AC9" w:rsidRDefault="00313AC9" w:rsidP="005F3B81"/>
    <w:tbl>
      <w:tblPr>
        <w:tblW w:w="0" w:type="auto"/>
        <w:tblInd w:w="108" w:type="dxa"/>
        <w:tblLayout w:type="fixed"/>
        <w:tblLook w:val="0000" w:firstRow="0" w:lastRow="0" w:firstColumn="0" w:lastColumn="0" w:noHBand="0" w:noVBand="0"/>
      </w:tblPr>
      <w:tblGrid>
        <w:gridCol w:w="2639"/>
        <w:gridCol w:w="2639"/>
        <w:gridCol w:w="2639"/>
      </w:tblGrid>
      <w:tr w:rsidR="00313AC9" w14:paraId="5CC2DA11" w14:textId="77777777" w:rsidTr="00BC3144">
        <w:trPr>
          <w:cantSplit/>
        </w:trPr>
        <w:tc>
          <w:tcPr>
            <w:tcW w:w="2639" w:type="dxa"/>
            <w:vMerge w:val="restart"/>
            <w:tcBorders>
              <w:top w:val="single" w:sz="4" w:space="0" w:color="auto"/>
              <w:left w:val="single" w:sz="4" w:space="0" w:color="auto"/>
              <w:bottom w:val="single" w:sz="4" w:space="0" w:color="auto"/>
              <w:right w:val="single" w:sz="4" w:space="0" w:color="auto"/>
            </w:tcBorders>
            <w:shd w:val="clear" w:color="auto" w:fill="auto"/>
          </w:tcPr>
          <w:p w14:paraId="6D293B25"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b/>
                <w:sz w:val="22"/>
                <w:szCs w:val="22"/>
              </w:rPr>
              <w:t>Body weight (kg)</w:t>
            </w:r>
          </w:p>
        </w:tc>
        <w:tc>
          <w:tcPr>
            <w:tcW w:w="5278" w:type="dxa"/>
            <w:gridSpan w:val="2"/>
            <w:tcBorders>
              <w:top w:val="single" w:sz="4" w:space="0" w:color="auto"/>
              <w:left w:val="single" w:sz="4" w:space="0" w:color="auto"/>
              <w:bottom w:val="single" w:sz="4" w:space="0" w:color="auto"/>
              <w:right w:val="single" w:sz="4" w:space="0" w:color="auto"/>
            </w:tcBorders>
            <w:shd w:val="clear" w:color="auto" w:fill="auto"/>
          </w:tcPr>
          <w:p w14:paraId="61CEFCBD"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b/>
                <w:sz w:val="22"/>
                <w:szCs w:val="22"/>
              </w:rPr>
              <w:t>Injected into the arterial line at the start of dialysis</w:t>
            </w:r>
          </w:p>
        </w:tc>
      </w:tr>
      <w:tr w:rsidR="00313AC9" w14:paraId="1D015483" w14:textId="77777777" w:rsidTr="00BC3144">
        <w:trPr>
          <w:cantSplit/>
        </w:trPr>
        <w:tc>
          <w:tcPr>
            <w:tcW w:w="2639" w:type="dxa"/>
            <w:vMerge/>
            <w:tcBorders>
              <w:top w:val="nil"/>
              <w:left w:val="single" w:sz="4" w:space="0" w:color="auto"/>
              <w:bottom w:val="single" w:sz="4" w:space="0" w:color="auto"/>
              <w:right w:val="single" w:sz="4" w:space="0" w:color="auto"/>
            </w:tcBorders>
            <w:shd w:val="clear" w:color="auto" w:fill="auto"/>
          </w:tcPr>
          <w:p w14:paraId="3A349E3C" w14:textId="77777777" w:rsidR="00313AC9" w:rsidRPr="00C72483" w:rsidRDefault="00313AC9" w:rsidP="00311E72">
            <w:pPr>
              <w:pStyle w:val="TableCell"/>
              <w:keepNext/>
              <w:jc w:val="center"/>
              <w:rPr>
                <w:rFonts w:ascii="Arial" w:hAnsi="Arial" w:cs="Arial"/>
                <w:sz w:val="22"/>
                <w:szCs w:val="22"/>
              </w:rPr>
            </w:pP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0FA73865" w14:textId="77777777" w:rsidR="00313AC9" w:rsidRPr="00C72483" w:rsidRDefault="00FE2B9F" w:rsidP="00311E72">
            <w:pPr>
              <w:pStyle w:val="TableCell"/>
              <w:keepNext/>
              <w:jc w:val="center"/>
              <w:rPr>
                <w:rFonts w:ascii="Arial" w:hAnsi="Arial" w:cs="Arial"/>
                <w:sz w:val="22"/>
                <w:szCs w:val="22"/>
              </w:rPr>
            </w:pPr>
            <w:r w:rsidRPr="00FE2B9F">
              <w:rPr>
                <w:rFonts w:ascii="Arial" w:hAnsi="Arial" w:cs="Arial"/>
                <w:b/>
                <w:sz w:val="22"/>
                <w:szCs w:val="22"/>
              </w:rPr>
              <w:t>Volume injected (m</w:t>
            </w:r>
            <w:r w:rsidR="00C72483">
              <w:rPr>
                <w:rFonts w:ascii="Arial" w:hAnsi="Arial" w:cs="Arial"/>
                <w:b/>
                <w:sz w:val="22"/>
                <w:szCs w:val="22"/>
              </w:rPr>
              <w:t>L</w:t>
            </w:r>
            <w:r w:rsidRPr="00FE2B9F">
              <w:rPr>
                <w:rFonts w:ascii="Arial" w:hAnsi="Arial" w:cs="Arial"/>
                <w:b/>
                <w:sz w:val="22"/>
                <w:szCs w:val="22"/>
              </w:rPr>
              <w:t>)</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1D2B30F1" w14:textId="77777777" w:rsidR="00313AC9" w:rsidRPr="00C72483" w:rsidRDefault="00FE2B9F" w:rsidP="00311E72">
            <w:pPr>
              <w:pStyle w:val="TableCell"/>
              <w:keepNext/>
              <w:jc w:val="center"/>
              <w:rPr>
                <w:rFonts w:ascii="Arial" w:hAnsi="Arial" w:cs="Arial"/>
                <w:sz w:val="22"/>
                <w:szCs w:val="22"/>
              </w:rPr>
            </w:pPr>
            <w:r w:rsidRPr="00FE2B9F">
              <w:rPr>
                <w:rFonts w:ascii="Arial" w:hAnsi="Arial" w:cs="Arial"/>
                <w:b/>
                <w:sz w:val="22"/>
                <w:szCs w:val="22"/>
              </w:rPr>
              <w:t>Anti-Xa IU</w:t>
            </w:r>
          </w:p>
        </w:tc>
      </w:tr>
      <w:tr w:rsidR="00313AC9" w14:paraId="573EF25A"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5713D997"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&lt;50</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2F8F51F2"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0.3</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28476D75"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2,850</w:t>
            </w:r>
          </w:p>
        </w:tc>
      </w:tr>
      <w:tr w:rsidR="00313AC9" w14:paraId="6D7AF542"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24E44029"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50-69</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37E3A16"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0.4</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7C874BFC"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3,800</w:t>
            </w:r>
          </w:p>
        </w:tc>
      </w:tr>
      <w:tr w:rsidR="00313AC9" w14:paraId="00581920" w14:textId="77777777" w:rsidTr="00BC3144">
        <w:trPr>
          <w:cantSplit/>
        </w:trPr>
        <w:tc>
          <w:tcPr>
            <w:tcW w:w="2639" w:type="dxa"/>
            <w:tcBorders>
              <w:top w:val="single" w:sz="4" w:space="0" w:color="auto"/>
              <w:left w:val="single" w:sz="4" w:space="0" w:color="auto"/>
              <w:bottom w:val="single" w:sz="4" w:space="0" w:color="auto"/>
              <w:right w:val="single" w:sz="4" w:space="0" w:color="auto"/>
            </w:tcBorders>
            <w:shd w:val="clear" w:color="auto" w:fill="auto"/>
          </w:tcPr>
          <w:p w14:paraId="211FE8C7"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fldChar w:fldCharType="begin"/>
            </w:r>
            <w:r w:rsidRPr="00FE2B9F">
              <w:rPr>
                <w:rFonts w:ascii="Arial" w:hAnsi="Arial" w:cs="Arial"/>
                <w:sz w:val="22"/>
                <w:szCs w:val="22"/>
              </w:rPr>
              <w:instrText>SYMBOL 8805\u</w:instrText>
            </w:r>
            <w:r w:rsidRPr="00FE2B9F">
              <w:rPr>
                <w:rFonts w:ascii="Arial" w:hAnsi="Arial" w:cs="Arial"/>
                <w:sz w:val="22"/>
                <w:szCs w:val="22"/>
              </w:rPr>
              <w:fldChar w:fldCharType="end"/>
            </w:r>
            <w:r w:rsidRPr="00FE2B9F">
              <w:rPr>
                <w:rFonts w:ascii="Arial" w:hAnsi="Arial" w:cs="Arial"/>
                <w:sz w:val="22"/>
                <w:szCs w:val="22"/>
              </w:rPr>
              <w:t>70</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031E140"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0.6</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749B2E9C" w14:textId="77777777" w:rsidR="00313AC9" w:rsidRPr="00C72483" w:rsidRDefault="00FE2B9F" w:rsidP="00307EE7">
            <w:pPr>
              <w:pStyle w:val="TableCell"/>
              <w:keepNext/>
              <w:jc w:val="center"/>
              <w:rPr>
                <w:rFonts w:ascii="Arial" w:hAnsi="Arial" w:cs="Arial"/>
                <w:sz w:val="22"/>
                <w:szCs w:val="22"/>
              </w:rPr>
            </w:pPr>
            <w:r w:rsidRPr="00FE2B9F">
              <w:rPr>
                <w:rFonts w:ascii="Arial" w:hAnsi="Arial" w:cs="Arial"/>
                <w:sz w:val="22"/>
                <w:szCs w:val="22"/>
              </w:rPr>
              <w:t>5,700</w:t>
            </w:r>
          </w:p>
        </w:tc>
      </w:tr>
    </w:tbl>
    <w:p w14:paraId="4EC89D3E" w14:textId="77777777" w:rsidR="00313AC9" w:rsidRDefault="00313AC9" w:rsidP="00313AC9"/>
    <w:p w14:paraId="01452B58" w14:textId="77777777" w:rsidR="003F3C3B" w:rsidRDefault="003F3C3B">
      <w:r>
        <w:t>An additional smaller dose may be given during dialysis for sessions lasting longer than 4 hours. The dose in subsequent dialysis sessions should be adjusted as necessary according to observed effect.</w:t>
      </w:r>
    </w:p>
    <w:p w14:paraId="559C8C56" w14:textId="77777777" w:rsidR="00737D08" w:rsidRDefault="00737D08"/>
    <w:p w14:paraId="71C09003" w14:textId="77777777" w:rsidR="00737D08" w:rsidRDefault="00737D08" w:rsidP="00737D08">
      <w:r>
        <w:t>Patients should be carefully monitored throughout each dialysis session for signs of bleeding or clotting in the dialysis circuit.</w:t>
      </w:r>
    </w:p>
    <w:p w14:paraId="0361C76B" w14:textId="77777777" w:rsidR="00A225FD" w:rsidRDefault="00A225FD" w:rsidP="00737D08"/>
    <w:p w14:paraId="592BFEF4" w14:textId="77777777" w:rsidR="00A225FD" w:rsidRDefault="00A225FD" w:rsidP="00737D08">
      <w:r>
        <w:t xml:space="preserve">Fraxiparine is contraindicated in patients with an increased risk of haemorrhage (see CONTRAINDICATIONS). </w:t>
      </w:r>
    </w:p>
    <w:p w14:paraId="7FF2DE49" w14:textId="77777777" w:rsidR="00B60C71" w:rsidRDefault="00B60C71" w:rsidP="00737D08"/>
    <w:p w14:paraId="388E4576" w14:textId="77777777" w:rsidR="00B60C71" w:rsidRPr="00307EE7" w:rsidRDefault="00B60C71" w:rsidP="00B60C71">
      <w:pPr>
        <w:rPr>
          <w:b/>
          <w:szCs w:val="24"/>
        </w:rPr>
      </w:pPr>
      <w:r w:rsidRPr="00307EE7">
        <w:rPr>
          <w:b/>
          <w:szCs w:val="24"/>
        </w:rPr>
        <w:t xml:space="preserve">Medical Patients </w:t>
      </w:r>
      <w:r>
        <w:rPr>
          <w:b/>
          <w:szCs w:val="24"/>
        </w:rPr>
        <w:t xml:space="preserve">immobilised </w:t>
      </w:r>
      <w:r w:rsidRPr="00307EE7">
        <w:rPr>
          <w:b/>
          <w:szCs w:val="24"/>
        </w:rPr>
        <w:t>due to acute illness:</w:t>
      </w:r>
    </w:p>
    <w:p w14:paraId="450B8540" w14:textId="77777777" w:rsidR="00B60C71" w:rsidRPr="00307EE7" w:rsidRDefault="00B60C71" w:rsidP="00B60C71">
      <w:pPr>
        <w:rPr>
          <w:b/>
          <w:szCs w:val="24"/>
        </w:rPr>
      </w:pPr>
    </w:p>
    <w:p w14:paraId="6603C9BB" w14:textId="77777777" w:rsidR="00B60C71" w:rsidRPr="00307EE7" w:rsidRDefault="00B60C71" w:rsidP="00B60C71">
      <w:pPr>
        <w:rPr>
          <w:szCs w:val="24"/>
        </w:rPr>
      </w:pPr>
      <w:proofErr w:type="spellStart"/>
      <w:r w:rsidRPr="00307EE7">
        <w:rPr>
          <w:szCs w:val="24"/>
        </w:rPr>
        <w:t>Fraxiparine</w:t>
      </w:r>
      <w:proofErr w:type="spellEnd"/>
      <w:r w:rsidRPr="00307EE7">
        <w:rPr>
          <w:szCs w:val="24"/>
        </w:rPr>
        <w:t xml:space="preserve"> is administered subcutaneously once daily. Treatment should be started within 12-24 hours of admission and should only be initiated when expected duration of bedrest/immobilisation is at least 3 days. Maximum duration of treatment is 28 days.</w:t>
      </w:r>
    </w:p>
    <w:p w14:paraId="3A5EF0D6" w14:textId="77777777" w:rsidR="00B60C71" w:rsidRPr="00307EE7" w:rsidRDefault="00B60C71" w:rsidP="00B60C71">
      <w:pPr>
        <w:rPr>
          <w:szCs w:val="24"/>
        </w:rPr>
      </w:pPr>
    </w:p>
    <w:p w14:paraId="674A1CC7" w14:textId="77777777" w:rsidR="00B60C71" w:rsidRPr="00307EE7" w:rsidRDefault="00B60C71" w:rsidP="00B60C71">
      <w:pPr>
        <w:rPr>
          <w:szCs w:val="24"/>
        </w:rPr>
      </w:pPr>
      <w:r w:rsidRPr="00307EE7">
        <w:rPr>
          <w:szCs w:val="24"/>
        </w:rPr>
        <w:t xml:space="preserve">The dose should be adjusted for body weight according to the table below. Treatment should be continued throughout the risk period of thromboembolism. </w:t>
      </w:r>
    </w:p>
    <w:p w14:paraId="213EF2BC" w14:textId="77777777" w:rsidR="00B60C71" w:rsidRPr="00307EE7" w:rsidRDefault="00B60C71" w:rsidP="00B60C71">
      <w:pPr>
        <w:ind w:left="720"/>
        <w:rPr>
          <w:szCs w:val="24"/>
        </w:rPr>
      </w:pPr>
    </w:p>
    <w:tbl>
      <w:tblPr>
        <w:tblW w:w="0" w:type="auto"/>
        <w:tblInd w:w="108" w:type="dxa"/>
        <w:tblLook w:val="0000" w:firstRow="0" w:lastRow="0" w:firstColumn="0" w:lastColumn="0" w:noHBand="0" w:noVBand="0"/>
      </w:tblPr>
      <w:tblGrid>
        <w:gridCol w:w="1648"/>
        <w:gridCol w:w="2736"/>
        <w:gridCol w:w="3072"/>
      </w:tblGrid>
      <w:tr w:rsidR="00B60C71" w:rsidRPr="00307EE7" w14:paraId="641B3C3F" w14:textId="77777777" w:rsidTr="00871683">
        <w:trPr>
          <w:cantSplit/>
          <w:trHeight w:val="317"/>
        </w:trPr>
        <w:tc>
          <w:tcPr>
            <w:tcW w:w="1648" w:type="dxa"/>
            <w:vMerge w:val="restart"/>
            <w:tcBorders>
              <w:top w:val="single" w:sz="4" w:space="0" w:color="auto"/>
              <w:left w:val="single" w:sz="4" w:space="0" w:color="auto"/>
              <w:bottom w:val="single" w:sz="4" w:space="0" w:color="auto"/>
              <w:right w:val="single" w:sz="4" w:space="0" w:color="auto"/>
            </w:tcBorders>
            <w:shd w:val="clear" w:color="auto" w:fill="auto"/>
          </w:tcPr>
          <w:p w14:paraId="06F2D41E" w14:textId="77777777" w:rsidR="00B60C71" w:rsidRPr="00307EE7" w:rsidRDefault="00B60C71" w:rsidP="00871683">
            <w:pPr>
              <w:pStyle w:val="TableCell"/>
              <w:jc w:val="center"/>
              <w:rPr>
                <w:rFonts w:ascii="Arial" w:hAnsi="Arial" w:cs="Arial"/>
                <w:sz w:val="22"/>
                <w:szCs w:val="22"/>
              </w:rPr>
            </w:pPr>
            <w:r w:rsidRPr="00307EE7">
              <w:rPr>
                <w:rFonts w:ascii="Arial" w:hAnsi="Arial" w:cs="Arial"/>
                <w:b/>
                <w:sz w:val="22"/>
                <w:szCs w:val="22"/>
              </w:rPr>
              <w:t>Body weight (kg)</w:t>
            </w:r>
          </w:p>
        </w:tc>
        <w:tc>
          <w:tcPr>
            <w:tcW w:w="5808" w:type="dxa"/>
            <w:gridSpan w:val="2"/>
            <w:tcBorders>
              <w:top w:val="single" w:sz="4" w:space="0" w:color="auto"/>
              <w:left w:val="single" w:sz="4" w:space="0" w:color="auto"/>
              <w:bottom w:val="single" w:sz="4" w:space="0" w:color="auto"/>
              <w:right w:val="single" w:sz="4" w:space="0" w:color="auto"/>
            </w:tcBorders>
            <w:shd w:val="clear" w:color="auto" w:fill="auto"/>
          </w:tcPr>
          <w:p w14:paraId="2CC030C2" w14:textId="77777777" w:rsidR="00B60C71" w:rsidRPr="00307EE7" w:rsidRDefault="00B60C71" w:rsidP="00871683">
            <w:pPr>
              <w:pStyle w:val="TableCell"/>
              <w:jc w:val="center"/>
              <w:rPr>
                <w:rFonts w:ascii="Arial" w:hAnsi="Arial" w:cs="Arial"/>
                <w:sz w:val="22"/>
                <w:szCs w:val="22"/>
              </w:rPr>
            </w:pPr>
            <w:r w:rsidRPr="00307EE7">
              <w:rPr>
                <w:rFonts w:ascii="Arial" w:hAnsi="Arial" w:cs="Arial"/>
                <w:b/>
                <w:sz w:val="22"/>
                <w:szCs w:val="22"/>
              </w:rPr>
              <w:t>Once daily</w:t>
            </w:r>
          </w:p>
        </w:tc>
      </w:tr>
      <w:tr w:rsidR="00B60C71" w:rsidRPr="00307EE7" w14:paraId="128731E6" w14:textId="77777777" w:rsidTr="00871683">
        <w:trPr>
          <w:cantSplit/>
          <w:trHeight w:val="326"/>
        </w:trPr>
        <w:tc>
          <w:tcPr>
            <w:tcW w:w="1648" w:type="dxa"/>
            <w:vMerge/>
            <w:tcBorders>
              <w:top w:val="nil"/>
              <w:left w:val="single" w:sz="4" w:space="0" w:color="auto"/>
              <w:bottom w:val="single" w:sz="4" w:space="0" w:color="auto"/>
              <w:right w:val="single" w:sz="4" w:space="0" w:color="auto"/>
            </w:tcBorders>
            <w:shd w:val="clear" w:color="auto" w:fill="auto"/>
          </w:tcPr>
          <w:p w14:paraId="03E31874" w14:textId="77777777" w:rsidR="00B60C71" w:rsidRPr="00E05148" w:rsidRDefault="00B60C71" w:rsidP="00871683">
            <w:pPr>
              <w:pStyle w:val="TableCell"/>
              <w:jc w:val="center"/>
              <w:rPr>
                <w:rFonts w:ascii="Arial" w:hAnsi="Arial" w:cs="Arial"/>
                <w:sz w:val="22"/>
                <w:szCs w:val="22"/>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3A2DCC45" w14:textId="77777777" w:rsidR="00B60C71" w:rsidRPr="00E05148" w:rsidRDefault="00B60C71" w:rsidP="00871683">
            <w:pPr>
              <w:pStyle w:val="TableCell"/>
              <w:jc w:val="center"/>
              <w:rPr>
                <w:rFonts w:ascii="Arial" w:hAnsi="Arial" w:cs="Arial"/>
                <w:sz w:val="22"/>
                <w:szCs w:val="22"/>
              </w:rPr>
            </w:pPr>
            <w:r w:rsidRPr="00E05148">
              <w:rPr>
                <w:rFonts w:ascii="Arial" w:hAnsi="Arial" w:cs="Arial"/>
                <w:b/>
                <w:sz w:val="22"/>
                <w:szCs w:val="22"/>
              </w:rPr>
              <w:t>Volume injected (mL)</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0A023A67" w14:textId="77777777" w:rsidR="00B60C71" w:rsidRPr="00E05148" w:rsidRDefault="00B60C71" w:rsidP="00871683">
            <w:pPr>
              <w:pStyle w:val="TableCell"/>
              <w:jc w:val="center"/>
              <w:rPr>
                <w:rFonts w:ascii="Arial" w:hAnsi="Arial" w:cs="Arial"/>
                <w:sz w:val="22"/>
                <w:szCs w:val="22"/>
              </w:rPr>
            </w:pPr>
            <w:r w:rsidRPr="00E05148">
              <w:rPr>
                <w:rFonts w:ascii="Arial" w:hAnsi="Arial" w:cs="Arial"/>
                <w:b/>
                <w:sz w:val="22"/>
                <w:szCs w:val="22"/>
              </w:rPr>
              <w:t>Anti-</w:t>
            </w:r>
            <w:proofErr w:type="spellStart"/>
            <w:r w:rsidRPr="00E05148">
              <w:rPr>
                <w:rFonts w:ascii="Arial" w:hAnsi="Arial" w:cs="Arial"/>
                <w:b/>
                <w:sz w:val="22"/>
                <w:szCs w:val="22"/>
              </w:rPr>
              <w:t>Xa</w:t>
            </w:r>
            <w:proofErr w:type="spellEnd"/>
            <w:r w:rsidRPr="00E05148">
              <w:rPr>
                <w:rFonts w:ascii="Arial" w:hAnsi="Arial" w:cs="Arial"/>
                <w:b/>
                <w:sz w:val="22"/>
                <w:szCs w:val="22"/>
              </w:rPr>
              <w:t xml:space="preserve"> IU</w:t>
            </w:r>
          </w:p>
        </w:tc>
      </w:tr>
      <w:tr w:rsidR="00B60C71" w:rsidRPr="00307EE7" w14:paraId="24FCF9E6" w14:textId="77777777" w:rsidTr="00871683">
        <w:trPr>
          <w:cantSplit/>
          <w:trHeight w:val="326"/>
        </w:trPr>
        <w:tc>
          <w:tcPr>
            <w:tcW w:w="1648" w:type="dxa"/>
            <w:tcBorders>
              <w:top w:val="single" w:sz="4" w:space="0" w:color="auto"/>
              <w:left w:val="single" w:sz="4" w:space="0" w:color="auto"/>
              <w:bottom w:val="single" w:sz="4" w:space="0" w:color="auto"/>
              <w:right w:val="single" w:sz="4" w:space="0" w:color="auto"/>
            </w:tcBorders>
            <w:shd w:val="clear" w:color="auto" w:fill="auto"/>
          </w:tcPr>
          <w:p w14:paraId="67920C09" w14:textId="77777777" w:rsidR="00B60C71" w:rsidRPr="00307EE7" w:rsidRDefault="00B60C71" w:rsidP="00871683">
            <w:pPr>
              <w:pStyle w:val="TableCell"/>
              <w:jc w:val="center"/>
              <w:rPr>
                <w:rFonts w:ascii="Arial" w:hAnsi="Arial" w:cs="Arial"/>
                <w:sz w:val="22"/>
                <w:szCs w:val="22"/>
              </w:rPr>
            </w:pPr>
            <w:r w:rsidRPr="00307EE7">
              <w:rPr>
                <w:rFonts w:ascii="Arial" w:hAnsi="Arial" w:cs="Arial"/>
                <w:sz w:val="22"/>
                <w:szCs w:val="22"/>
              </w:rPr>
              <w:fldChar w:fldCharType="begin"/>
            </w:r>
            <w:r w:rsidRPr="00307EE7">
              <w:rPr>
                <w:rFonts w:ascii="Arial" w:hAnsi="Arial" w:cs="Arial"/>
                <w:sz w:val="22"/>
                <w:szCs w:val="22"/>
              </w:rPr>
              <w:instrText>SYMBOL 8804\u</w:instrText>
            </w:r>
            <w:r w:rsidRPr="00307EE7">
              <w:rPr>
                <w:rFonts w:ascii="Arial" w:hAnsi="Arial" w:cs="Arial"/>
                <w:sz w:val="22"/>
                <w:szCs w:val="22"/>
              </w:rPr>
              <w:fldChar w:fldCharType="end"/>
            </w:r>
            <w:r w:rsidRPr="00307EE7">
              <w:rPr>
                <w:rFonts w:ascii="Arial" w:hAnsi="Arial" w:cs="Arial"/>
                <w:sz w:val="22"/>
                <w:szCs w:val="22"/>
              </w:rPr>
              <w:t>70</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68E49A0C" w14:textId="77777777" w:rsidR="00B60C71" w:rsidRPr="00307EE7" w:rsidRDefault="00B60C71" w:rsidP="00871683">
            <w:pPr>
              <w:pStyle w:val="TableCell"/>
              <w:jc w:val="center"/>
              <w:rPr>
                <w:rFonts w:ascii="Arial" w:hAnsi="Arial" w:cs="Arial"/>
                <w:sz w:val="22"/>
                <w:szCs w:val="22"/>
              </w:rPr>
            </w:pPr>
            <w:r w:rsidRPr="00307EE7">
              <w:rPr>
                <w:rFonts w:ascii="Arial" w:hAnsi="Arial" w:cs="Arial"/>
                <w:sz w:val="22"/>
                <w:szCs w:val="22"/>
              </w:rPr>
              <w:t>0.4</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4F6A3F7" w14:textId="77777777" w:rsidR="00B60C71" w:rsidRPr="00307EE7" w:rsidRDefault="00B60C71" w:rsidP="00871683">
            <w:pPr>
              <w:pStyle w:val="TableCell"/>
              <w:jc w:val="center"/>
              <w:rPr>
                <w:rFonts w:ascii="Arial" w:hAnsi="Arial" w:cs="Arial"/>
                <w:sz w:val="22"/>
                <w:szCs w:val="22"/>
              </w:rPr>
            </w:pPr>
            <w:r w:rsidRPr="00307EE7">
              <w:rPr>
                <w:rFonts w:ascii="Arial" w:hAnsi="Arial" w:cs="Arial"/>
                <w:sz w:val="22"/>
                <w:szCs w:val="22"/>
              </w:rPr>
              <w:t>3,800</w:t>
            </w:r>
          </w:p>
        </w:tc>
      </w:tr>
      <w:tr w:rsidR="00B60C71" w:rsidRPr="00307EE7" w14:paraId="79CD5887" w14:textId="77777777" w:rsidTr="00871683">
        <w:trPr>
          <w:cantSplit/>
          <w:trHeight w:val="362"/>
        </w:trPr>
        <w:tc>
          <w:tcPr>
            <w:tcW w:w="1648" w:type="dxa"/>
            <w:tcBorders>
              <w:top w:val="single" w:sz="4" w:space="0" w:color="auto"/>
              <w:left w:val="single" w:sz="4" w:space="0" w:color="auto"/>
              <w:bottom w:val="single" w:sz="4" w:space="0" w:color="auto"/>
              <w:right w:val="single" w:sz="4" w:space="0" w:color="auto"/>
            </w:tcBorders>
            <w:shd w:val="clear" w:color="auto" w:fill="auto"/>
          </w:tcPr>
          <w:p w14:paraId="180BA4C1" w14:textId="77777777" w:rsidR="00B60C71" w:rsidRPr="00307EE7" w:rsidRDefault="00B60C71" w:rsidP="00871683">
            <w:pPr>
              <w:pStyle w:val="TableCell"/>
              <w:jc w:val="center"/>
              <w:rPr>
                <w:rFonts w:ascii="Arial" w:hAnsi="Arial" w:cs="Arial"/>
                <w:sz w:val="22"/>
                <w:szCs w:val="22"/>
              </w:rPr>
            </w:pPr>
            <w:r w:rsidRPr="00307EE7">
              <w:rPr>
                <w:rFonts w:ascii="Arial" w:hAnsi="Arial" w:cs="Arial"/>
                <w:sz w:val="22"/>
                <w:szCs w:val="22"/>
              </w:rPr>
              <w:t>&gt;70</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1BC3C6F" w14:textId="77777777" w:rsidR="00B60C71" w:rsidRPr="00307EE7" w:rsidRDefault="00B60C71" w:rsidP="00871683">
            <w:pPr>
              <w:pStyle w:val="TableCell"/>
              <w:jc w:val="center"/>
              <w:rPr>
                <w:rFonts w:ascii="Arial" w:hAnsi="Arial" w:cs="Arial"/>
                <w:sz w:val="22"/>
                <w:szCs w:val="22"/>
              </w:rPr>
            </w:pPr>
            <w:r w:rsidRPr="00307EE7">
              <w:rPr>
                <w:rFonts w:ascii="Arial" w:hAnsi="Arial" w:cs="Arial"/>
                <w:sz w:val="22"/>
                <w:szCs w:val="22"/>
              </w:rPr>
              <w:t>0.6</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D672A43" w14:textId="77777777" w:rsidR="00B60C71" w:rsidRPr="00307EE7" w:rsidRDefault="00B60C71" w:rsidP="00871683">
            <w:pPr>
              <w:pStyle w:val="TableCell"/>
              <w:jc w:val="center"/>
              <w:rPr>
                <w:rFonts w:ascii="Arial" w:hAnsi="Arial" w:cs="Arial"/>
                <w:sz w:val="22"/>
                <w:szCs w:val="22"/>
              </w:rPr>
            </w:pPr>
            <w:r w:rsidRPr="00307EE7">
              <w:rPr>
                <w:rFonts w:ascii="Arial" w:hAnsi="Arial" w:cs="Arial"/>
                <w:sz w:val="22"/>
                <w:szCs w:val="22"/>
              </w:rPr>
              <w:t>5,700</w:t>
            </w:r>
          </w:p>
        </w:tc>
      </w:tr>
    </w:tbl>
    <w:p w14:paraId="55CA2D8D" w14:textId="77777777" w:rsidR="00B60C71" w:rsidRPr="00307EE7" w:rsidRDefault="00B60C71" w:rsidP="00B60C71">
      <w:r w:rsidRPr="00307EE7">
        <w:rPr>
          <w:szCs w:val="24"/>
        </w:rPr>
        <w:t>In elderly patients, dose reduction to 0.3 mL (2,850 Anti-</w:t>
      </w:r>
      <w:proofErr w:type="spellStart"/>
      <w:r w:rsidRPr="00307EE7">
        <w:rPr>
          <w:szCs w:val="24"/>
        </w:rPr>
        <w:t>Xa</w:t>
      </w:r>
      <w:proofErr w:type="spellEnd"/>
      <w:r w:rsidRPr="00307EE7">
        <w:rPr>
          <w:szCs w:val="24"/>
        </w:rPr>
        <w:t xml:space="preserve"> IU) may be appropriate</w:t>
      </w:r>
      <w:r w:rsidRPr="00307EE7">
        <w:t>.</w:t>
      </w:r>
    </w:p>
    <w:p w14:paraId="13A4E913" w14:textId="77777777" w:rsidR="00B60C71" w:rsidRDefault="00B60C71">
      <w:pPr>
        <w:pStyle w:val="Heading3"/>
        <w:rPr>
          <w:b/>
          <w:u w:val="none"/>
        </w:rPr>
      </w:pPr>
    </w:p>
    <w:p w14:paraId="07E0C17E" w14:textId="77777777" w:rsidR="003F3C3B" w:rsidRPr="00232EAD" w:rsidRDefault="00700A55">
      <w:pPr>
        <w:pStyle w:val="Heading3"/>
        <w:rPr>
          <w:b/>
          <w:u w:val="none"/>
        </w:rPr>
      </w:pPr>
      <w:r w:rsidRPr="00700A55">
        <w:rPr>
          <w:b/>
          <w:u w:val="none"/>
        </w:rPr>
        <w:t xml:space="preserve">Dosage for the Elderly </w:t>
      </w:r>
    </w:p>
    <w:p w14:paraId="546BB2FF" w14:textId="77777777" w:rsidR="003F3C3B" w:rsidRPr="0063743D" w:rsidRDefault="003F3C3B"/>
    <w:p w14:paraId="42BED1A1" w14:textId="77777777" w:rsidR="00005432" w:rsidRDefault="00C22AAE" w:rsidP="00005432">
      <w:pPr>
        <w:rPr>
          <w:rFonts w:cs="Arial"/>
          <w:szCs w:val="22"/>
        </w:rPr>
      </w:pPr>
      <w:r w:rsidRPr="0063743D">
        <w:rPr>
          <w:rFonts w:cs="Arial"/>
          <w:szCs w:val="22"/>
        </w:rPr>
        <w:t xml:space="preserve">No dosage adjustment is necessary in the elderly, unless renal function in impaired. </w:t>
      </w:r>
      <w:r w:rsidR="00FE502D" w:rsidRPr="0063743D">
        <w:rPr>
          <w:rFonts w:cs="Arial"/>
          <w:szCs w:val="22"/>
        </w:rPr>
        <w:t xml:space="preserve">It is recommended that renal function is assessed before initiating treatment (see </w:t>
      </w:r>
      <w:r w:rsidR="009A6B2D">
        <w:rPr>
          <w:rFonts w:cs="Arial"/>
          <w:szCs w:val="22"/>
        </w:rPr>
        <w:t xml:space="preserve">Dosage for the </w:t>
      </w:r>
      <w:r w:rsidR="00FE502D" w:rsidRPr="0063743D">
        <w:rPr>
          <w:rFonts w:cs="Arial"/>
          <w:szCs w:val="22"/>
        </w:rPr>
        <w:t>Renal</w:t>
      </w:r>
      <w:r w:rsidR="009A6B2D">
        <w:rPr>
          <w:rFonts w:cs="Arial"/>
          <w:szCs w:val="22"/>
        </w:rPr>
        <w:t>ly</w:t>
      </w:r>
      <w:r w:rsidR="00FE502D" w:rsidRPr="0063743D">
        <w:rPr>
          <w:rFonts w:cs="Arial"/>
          <w:szCs w:val="22"/>
        </w:rPr>
        <w:t xml:space="preserve"> Impair</w:t>
      </w:r>
      <w:r w:rsidR="009A6B2D">
        <w:rPr>
          <w:rFonts w:cs="Arial"/>
          <w:szCs w:val="22"/>
        </w:rPr>
        <w:t>ed</w:t>
      </w:r>
      <w:r w:rsidR="00FE502D" w:rsidRPr="0063743D">
        <w:rPr>
          <w:rFonts w:cs="Arial"/>
          <w:szCs w:val="22"/>
        </w:rPr>
        <w:t xml:space="preserve"> below and Pharmacokinetics).</w:t>
      </w:r>
    </w:p>
    <w:p w14:paraId="2B44D8E1" w14:textId="77777777" w:rsidR="00FE502D" w:rsidRDefault="00FE502D" w:rsidP="000361C7">
      <w:pPr>
        <w:jc w:val="both"/>
        <w:rPr>
          <w:rFonts w:cs="Arial"/>
          <w:szCs w:val="22"/>
        </w:rPr>
      </w:pPr>
    </w:p>
    <w:p w14:paraId="3E3D37EE" w14:textId="77777777" w:rsidR="00B97D77" w:rsidRPr="0063743D" w:rsidRDefault="00B97D77" w:rsidP="000361C7">
      <w:pPr>
        <w:jc w:val="both"/>
        <w:rPr>
          <w:rFonts w:cs="Arial"/>
          <w:szCs w:val="22"/>
        </w:rPr>
      </w:pPr>
    </w:p>
    <w:p w14:paraId="0B40FEA4" w14:textId="77777777" w:rsidR="00FE502D" w:rsidRPr="00232EAD" w:rsidRDefault="00700A55" w:rsidP="000361C7">
      <w:pPr>
        <w:jc w:val="both"/>
        <w:rPr>
          <w:rFonts w:cs="Arial"/>
          <w:b/>
          <w:szCs w:val="22"/>
        </w:rPr>
      </w:pPr>
      <w:r w:rsidRPr="00700A55">
        <w:rPr>
          <w:rFonts w:cs="Arial"/>
          <w:b/>
          <w:szCs w:val="22"/>
        </w:rPr>
        <w:t>Dosage for the Renally Impaired</w:t>
      </w:r>
    </w:p>
    <w:p w14:paraId="57759751" w14:textId="77777777" w:rsidR="00FE502D" w:rsidRDefault="00FE502D" w:rsidP="000361C7">
      <w:pPr>
        <w:pStyle w:val="listindentnospace"/>
        <w:ind w:left="0"/>
        <w:jc w:val="both"/>
        <w:rPr>
          <w:rStyle w:val="CSIchar"/>
          <w:rFonts w:ascii="Arial" w:hAnsi="Arial" w:cs="Arial"/>
          <w:sz w:val="22"/>
          <w:szCs w:val="22"/>
        </w:rPr>
      </w:pPr>
    </w:p>
    <w:p w14:paraId="553AF20A" w14:textId="77777777" w:rsidR="005F07A7" w:rsidRPr="005F07A7" w:rsidRDefault="00060F96" w:rsidP="000361C7">
      <w:pPr>
        <w:pStyle w:val="listindentnospace"/>
        <w:ind w:left="0"/>
        <w:jc w:val="both"/>
        <w:rPr>
          <w:rStyle w:val="CSIchar"/>
          <w:rFonts w:ascii="Arial" w:hAnsi="Arial" w:cs="Arial"/>
          <w:sz w:val="22"/>
          <w:szCs w:val="22"/>
        </w:rPr>
      </w:pPr>
      <w:r w:rsidRPr="00060F96">
        <w:rPr>
          <w:rFonts w:ascii="Arial" w:hAnsi="Arial" w:cs="Arial"/>
          <w:sz w:val="22"/>
          <w:szCs w:val="22"/>
        </w:rPr>
        <w:t>The following dose reduction recommendations are based on population pharmacokinetic modelling and the efficacy and safety of the dose reductions have not been evaluated in clinical trials</w:t>
      </w:r>
      <w:r w:rsidR="005F07A7" w:rsidRPr="005F07A7">
        <w:rPr>
          <w:rFonts w:ascii="Arial" w:hAnsi="Arial" w:cs="Arial"/>
          <w:sz w:val="22"/>
          <w:szCs w:val="22"/>
        </w:rPr>
        <w:t>.</w:t>
      </w:r>
    </w:p>
    <w:p w14:paraId="51644DE3" w14:textId="77777777" w:rsidR="005F07A7" w:rsidRPr="0063743D" w:rsidRDefault="005F07A7" w:rsidP="000361C7">
      <w:pPr>
        <w:pStyle w:val="listindentnospace"/>
        <w:ind w:left="0"/>
        <w:jc w:val="both"/>
        <w:rPr>
          <w:rStyle w:val="CSIchar"/>
          <w:rFonts w:ascii="Arial" w:hAnsi="Arial" w:cs="Arial"/>
          <w:sz w:val="22"/>
          <w:szCs w:val="22"/>
        </w:rPr>
      </w:pPr>
    </w:p>
    <w:p w14:paraId="100CD8A8" w14:textId="77777777" w:rsidR="00286AEF" w:rsidRPr="00BC2EF3" w:rsidRDefault="00005432" w:rsidP="000361C7">
      <w:pPr>
        <w:pStyle w:val="listindentnospace"/>
        <w:ind w:left="0"/>
        <w:jc w:val="both"/>
        <w:rPr>
          <w:rStyle w:val="CSIchar"/>
          <w:rFonts w:ascii="Arial" w:hAnsi="Arial" w:cs="Arial"/>
          <w:i/>
          <w:sz w:val="22"/>
          <w:szCs w:val="22"/>
          <w:shd w:val="clear" w:color="auto" w:fill="auto"/>
        </w:rPr>
      </w:pPr>
      <w:r w:rsidRPr="00005432">
        <w:rPr>
          <w:rStyle w:val="CSIchar"/>
          <w:rFonts w:ascii="Arial" w:hAnsi="Arial" w:cs="Arial"/>
          <w:i/>
          <w:sz w:val="22"/>
          <w:szCs w:val="22"/>
          <w:shd w:val="clear" w:color="auto" w:fill="auto"/>
        </w:rPr>
        <w:t>Prophylactic treatment of DVT:</w:t>
      </w:r>
    </w:p>
    <w:p w14:paraId="57E05AAE" w14:textId="77777777" w:rsidR="00286AEF" w:rsidRDefault="00286AEF" w:rsidP="000361C7">
      <w:pPr>
        <w:pStyle w:val="listindentnospace"/>
        <w:ind w:left="0"/>
        <w:jc w:val="both"/>
        <w:rPr>
          <w:rStyle w:val="CSIchar"/>
          <w:rFonts w:ascii="Arial" w:hAnsi="Arial" w:cs="Arial"/>
          <w:sz w:val="22"/>
          <w:szCs w:val="22"/>
          <w:shd w:val="clear" w:color="auto" w:fill="auto"/>
        </w:rPr>
      </w:pPr>
    </w:p>
    <w:p w14:paraId="5503A126" w14:textId="77777777" w:rsidR="00005432" w:rsidRDefault="00286AEF" w:rsidP="00005432">
      <w:pPr>
        <w:pStyle w:val="listindentnospace"/>
        <w:ind w:left="0"/>
        <w:rPr>
          <w:rStyle w:val="CSIchar"/>
          <w:rFonts w:ascii="Arial" w:hAnsi="Arial" w:cs="Arial"/>
          <w:sz w:val="22"/>
          <w:szCs w:val="22"/>
          <w:shd w:val="clear" w:color="auto" w:fill="auto"/>
        </w:rPr>
      </w:pPr>
      <w:r>
        <w:rPr>
          <w:rStyle w:val="CSIchar"/>
          <w:rFonts w:ascii="Arial" w:hAnsi="Arial" w:cs="Arial"/>
          <w:sz w:val="22"/>
          <w:szCs w:val="22"/>
          <w:shd w:val="clear" w:color="auto" w:fill="auto"/>
        </w:rPr>
        <w:t>D</w:t>
      </w:r>
      <w:r w:rsidR="001D61C4" w:rsidRPr="00232EAD">
        <w:rPr>
          <w:rStyle w:val="CSIchar"/>
          <w:rFonts w:ascii="Arial" w:hAnsi="Arial" w:cs="Arial"/>
          <w:sz w:val="22"/>
          <w:szCs w:val="22"/>
          <w:shd w:val="clear" w:color="auto" w:fill="auto"/>
        </w:rPr>
        <w:t>ose reduction is not required in patients with mild renal impairment (creatinine clearance greater than or equal to 50 m</w:t>
      </w:r>
      <w:r w:rsidR="00C72483">
        <w:rPr>
          <w:rStyle w:val="CSIchar"/>
          <w:rFonts w:ascii="Arial" w:hAnsi="Arial" w:cs="Arial"/>
          <w:sz w:val="22"/>
          <w:szCs w:val="22"/>
          <w:shd w:val="clear" w:color="auto" w:fill="auto"/>
        </w:rPr>
        <w:t>L</w:t>
      </w:r>
      <w:r w:rsidR="001D61C4" w:rsidRPr="00232EAD">
        <w:rPr>
          <w:rStyle w:val="CSIchar"/>
          <w:rFonts w:ascii="Arial" w:hAnsi="Arial" w:cs="Arial"/>
          <w:sz w:val="22"/>
          <w:szCs w:val="22"/>
          <w:shd w:val="clear" w:color="auto" w:fill="auto"/>
        </w:rPr>
        <w:t>/min</w:t>
      </w:r>
      <w:r w:rsidR="00C22AAE" w:rsidRPr="0063743D">
        <w:rPr>
          <w:rStyle w:val="CSIchar"/>
          <w:rFonts w:ascii="Arial" w:hAnsi="Arial" w:cs="Arial"/>
          <w:sz w:val="22"/>
          <w:szCs w:val="22"/>
          <w:shd w:val="clear" w:color="auto" w:fill="auto"/>
        </w:rPr>
        <w:t xml:space="preserve">). </w:t>
      </w:r>
    </w:p>
    <w:p w14:paraId="074A03C7" w14:textId="77777777" w:rsidR="00005432" w:rsidRDefault="00005432" w:rsidP="00005432">
      <w:pPr>
        <w:pStyle w:val="listindentnospace"/>
        <w:ind w:left="0"/>
        <w:rPr>
          <w:rStyle w:val="CSIchar"/>
          <w:rFonts w:ascii="Arial" w:hAnsi="Arial" w:cs="Arial"/>
          <w:sz w:val="22"/>
          <w:szCs w:val="22"/>
          <w:shd w:val="clear" w:color="auto" w:fill="auto"/>
        </w:rPr>
      </w:pPr>
    </w:p>
    <w:p w14:paraId="3D7F9C05" w14:textId="77777777" w:rsidR="00005432" w:rsidRDefault="001D61C4" w:rsidP="00005432">
      <w:pPr>
        <w:pStyle w:val="listindentnospace"/>
        <w:ind w:left="0"/>
        <w:rPr>
          <w:rStyle w:val="CSIchar"/>
          <w:rFonts w:ascii="Arial" w:hAnsi="Arial" w:cs="Arial"/>
          <w:sz w:val="22"/>
          <w:szCs w:val="22"/>
          <w:shd w:val="clear" w:color="auto" w:fill="auto"/>
        </w:rPr>
      </w:pPr>
      <w:r w:rsidRPr="00232EAD">
        <w:rPr>
          <w:rStyle w:val="CSIchar"/>
          <w:rFonts w:ascii="Arial" w:hAnsi="Arial" w:cs="Arial"/>
          <w:sz w:val="22"/>
          <w:szCs w:val="22"/>
          <w:shd w:val="clear" w:color="auto" w:fill="auto"/>
        </w:rPr>
        <w:t>Moderate and severe renal impairment is associated with increased exposure to nadroparin. These patients are at increased risk of thromboembolism and haemorrhage.</w:t>
      </w:r>
    </w:p>
    <w:p w14:paraId="63914488" w14:textId="77777777" w:rsidR="00005432" w:rsidRDefault="00005432" w:rsidP="00005432">
      <w:pPr>
        <w:pStyle w:val="listindentnospace"/>
        <w:ind w:left="0"/>
        <w:rPr>
          <w:rStyle w:val="CSIchar"/>
          <w:rFonts w:ascii="Arial" w:hAnsi="Arial" w:cs="Arial"/>
          <w:b/>
          <w:sz w:val="22"/>
          <w:szCs w:val="22"/>
          <w:shd w:val="clear" w:color="auto" w:fill="auto"/>
        </w:rPr>
      </w:pPr>
    </w:p>
    <w:p w14:paraId="56FEF1A4" w14:textId="77777777" w:rsidR="00005432" w:rsidRDefault="00313AC9" w:rsidP="00005432">
      <w:pPr>
        <w:pStyle w:val="listindentnospace"/>
        <w:ind w:left="0"/>
        <w:rPr>
          <w:rStyle w:val="CSIchar"/>
          <w:rFonts w:ascii="Arial" w:hAnsi="Arial" w:cs="Arial"/>
          <w:sz w:val="22"/>
          <w:szCs w:val="22"/>
        </w:rPr>
      </w:pPr>
      <w:bookmarkStart w:id="1" w:name="OLE_LINK1"/>
      <w:r w:rsidRPr="00D222B3">
        <w:rPr>
          <w:rStyle w:val="CSIchar"/>
          <w:rFonts w:ascii="Arial" w:hAnsi="Arial" w:cs="Arial"/>
          <w:sz w:val="22"/>
          <w:szCs w:val="22"/>
          <w:shd w:val="clear" w:color="auto" w:fill="auto"/>
        </w:rPr>
        <w:t>If a dose reduction is considered appropriate by the prescribing physician, taking into account the individual risk factors for haemorrhage and thromboembolis</w:t>
      </w:r>
      <w:r w:rsidRPr="00D41146">
        <w:rPr>
          <w:rStyle w:val="CSIchar"/>
          <w:rFonts w:ascii="Arial" w:hAnsi="Arial" w:cs="Arial"/>
          <w:sz w:val="22"/>
          <w:szCs w:val="22"/>
          <w:shd w:val="clear" w:color="auto" w:fill="auto"/>
        </w:rPr>
        <w:t>m in patients with moderate renal impairment (creatinine clearance greater than or equal to 30 m</w:t>
      </w:r>
      <w:r w:rsidR="00C72483">
        <w:rPr>
          <w:rStyle w:val="CSIchar"/>
          <w:rFonts w:ascii="Arial" w:hAnsi="Arial" w:cs="Arial"/>
          <w:sz w:val="22"/>
          <w:szCs w:val="22"/>
          <w:shd w:val="clear" w:color="auto" w:fill="auto"/>
        </w:rPr>
        <w:t>L</w:t>
      </w:r>
      <w:r w:rsidRPr="00D41146">
        <w:rPr>
          <w:rStyle w:val="CSIchar"/>
          <w:rFonts w:ascii="Arial" w:hAnsi="Arial" w:cs="Arial"/>
          <w:sz w:val="22"/>
          <w:szCs w:val="22"/>
          <w:shd w:val="clear" w:color="auto" w:fill="auto"/>
        </w:rPr>
        <w:t>/min and less than 50 m</w:t>
      </w:r>
      <w:r w:rsidR="00C72483">
        <w:rPr>
          <w:rStyle w:val="CSIchar"/>
          <w:rFonts w:ascii="Arial" w:hAnsi="Arial" w:cs="Arial"/>
          <w:sz w:val="22"/>
          <w:szCs w:val="22"/>
          <w:shd w:val="clear" w:color="auto" w:fill="auto"/>
        </w:rPr>
        <w:t>L</w:t>
      </w:r>
      <w:r w:rsidRPr="00D41146">
        <w:rPr>
          <w:rStyle w:val="CSIchar"/>
          <w:rFonts w:ascii="Arial" w:hAnsi="Arial" w:cs="Arial"/>
          <w:sz w:val="22"/>
          <w:szCs w:val="22"/>
          <w:shd w:val="clear" w:color="auto" w:fill="auto"/>
        </w:rPr>
        <w:t xml:space="preserve">/min) </w:t>
      </w:r>
      <w:r w:rsidRPr="00D014A2">
        <w:rPr>
          <w:rStyle w:val="CSIchar"/>
          <w:rFonts w:ascii="Arial" w:hAnsi="Arial" w:cs="Arial"/>
          <w:sz w:val="22"/>
          <w:szCs w:val="22"/>
          <w:shd w:val="clear" w:color="auto" w:fill="auto"/>
        </w:rPr>
        <w:t>the dose should be reduced by 25 to 33%.</w:t>
      </w:r>
    </w:p>
    <w:p w14:paraId="0D89116C" w14:textId="77777777" w:rsidR="00005432" w:rsidRDefault="00005432" w:rsidP="00005432">
      <w:pPr>
        <w:pStyle w:val="listindentnospace"/>
        <w:ind w:left="0"/>
        <w:rPr>
          <w:rStyle w:val="CSIchar"/>
          <w:rFonts w:ascii="Arial" w:hAnsi="Arial" w:cs="Arial"/>
          <w:sz w:val="22"/>
          <w:szCs w:val="22"/>
        </w:rPr>
      </w:pPr>
    </w:p>
    <w:p w14:paraId="5E6E24D7" w14:textId="77777777" w:rsidR="00005432" w:rsidRDefault="00313AC9" w:rsidP="00005432">
      <w:pPr>
        <w:pStyle w:val="listindentnospace"/>
        <w:ind w:left="0"/>
        <w:rPr>
          <w:rFonts w:ascii="Arial" w:hAnsi="Arial" w:cs="Arial"/>
          <w:sz w:val="22"/>
          <w:szCs w:val="22"/>
        </w:rPr>
      </w:pPr>
      <w:r w:rsidRPr="00D222B3">
        <w:rPr>
          <w:rStyle w:val="CSIchar"/>
          <w:rFonts w:ascii="Arial" w:hAnsi="Arial" w:cs="Arial"/>
          <w:sz w:val="22"/>
          <w:szCs w:val="22"/>
          <w:shd w:val="clear" w:color="auto" w:fill="auto"/>
        </w:rPr>
        <w:t xml:space="preserve">The dose should be reduced by 25 to 33% in patients with severe renal impairment </w:t>
      </w:r>
      <w:r w:rsidRPr="00D41146">
        <w:rPr>
          <w:rStyle w:val="CSIchar"/>
          <w:rFonts w:ascii="Arial" w:hAnsi="Arial" w:cs="Arial"/>
          <w:sz w:val="22"/>
          <w:szCs w:val="22"/>
          <w:shd w:val="clear" w:color="auto" w:fill="auto"/>
        </w:rPr>
        <w:t>(creatinine clearance less than 30 m</w:t>
      </w:r>
      <w:r w:rsidR="00C72483">
        <w:rPr>
          <w:rStyle w:val="CSIchar"/>
          <w:rFonts w:ascii="Arial" w:hAnsi="Arial" w:cs="Arial"/>
          <w:sz w:val="22"/>
          <w:szCs w:val="22"/>
          <w:shd w:val="clear" w:color="auto" w:fill="auto"/>
        </w:rPr>
        <w:t>L</w:t>
      </w:r>
      <w:r w:rsidRPr="00D41146">
        <w:rPr>
          <w:rStyle w:val="CSIchar"/>
          <w:rFonts w:ascii="Arial" w:hAnsi="Arial" w:cs="Arial"/>
          <w:sz w:val="22"/>
          <w:szCs w:val="22"/>
          <w:shd w:val="clear" w:color="auto" w:fill="auto"/>
        </w:rPr>
        <w:t>/min)</w:t>
      </w:r>
      <w:r>
        <w:rPr>
          <w:rStyle w:val="CSIchar"/>
          <w:rFonts w:ascii="Arial" w:hAnsi="Arial" w:cs="Arial"/>
          <w:sz w:val="22"/>
          <w:szCs w:val="22"/>
          <w:shd w:val="clear" w:color="auto" w:fill="auto"/>
        </w:rPr>
        <w:t xml:space="preserve"> (see PRECAUTIONS and Pharmacokinetics)</w:t>
      </w:r>
      <w:r w:rsidRPr="00D41146">
        <w:rPr>
          <w:rStyle w:val="CSIchar"/>
          <w:rFonts w:ascii="Arial" w:hAnsi="Arial" w:cs="Arial"/>
          <w:sz w:val="22"/>
          <w:szCs w:val="22"/>
          <w:shd w:val="clear" w:color="auto" w:fill="auto"/>
        </w:rPr>
        <w:t>.</w:t>
      </w:r>
    </w:p>
    <w:bookmarkEnd w:id="1"/>
    <w:p w14:paraId="42882652" w14:textId="77777777" w:rsidR="00470473" w:rsidRDefault="00470473" w:rsidP="000361C7">
      <w:pPr>
        <w:pStyle w:val="listindentnospace"/>
        <w:ind w:left="0"/>
        <w:jc w:val="both"/>
        <w:rPr>
          <w:rStyle w:val="CSIchar"/>
          <w:rFonts w:ascii="Arial" w:hAnsi="Arial" w:cs="Arial"/>
          <w:b/>
          <w:i/>
          <w:sz w:val="22"/>
          <w:szCs w:val="22"/>
          <w:shd w:val="clear" w:color="auto" w:fill="auto"/>
        </w:rPr>
      </w:pPr>
    </w:p>
    <w:p w14:paraId="7C32E5F0" w14:textId="77777777" w:rsidR="00286AEF" w:rsidRPr="00BC2EF3" w:rsidRDefault="00005432" w:rsidP="000361C7">
      <w:pPr>
        <w:pStyle w:val="listindentnospace"/>
        <w:ind w:left="0"/>
        <w:jc w:val="both"/>
        <w:rPr>
          <w:rStyle w:val="CSIchar"/>
          <w:rFonts w:ascii="Arial" w:hAnsi="Arial" w:cs="Arial"/>
          <w:i/>
          <w:sz w:val="22"/>
          <w:szCs w:val="22"/>
          <w:shd w:val="clear" w:color="auto" w:fill="auto"/>
        </w:rPr>
      </w:pPr>
      <w:r w:rsidRPr="00005432">
        <w:rPr>
          <w:rStyle w:val="CSIchar"/>
          <w:rFonts w:ascii="Arial" w:hAnsi="Arial" w:cs="Arial"/>
          <w:i/>
          <w:sz w:val="22"/>
          <w:szCs w:val="22"/>
          <w:shd w:val="clear" w:color="auto" w:fill="auto"/>
        </w:rPr>
        <w:t xml:space="preserve">Treatment of </w:t>
      </w:r>
      <w:r w:rsidR="00A638D2">
        <w:rPr>
          <w:rStyle w:val="CSIchar"/>
          <w:rFonts w:ascii="Arial" w:hAnsi="Arial" w:cs="Arial"/>
          <w:i/>
          <w:sz w:val="22"/>
          <w:szCs w:val="22"/>
          <w:shd w:val="clear" w:color="auto" w:fill="auto"/>
        </w:rPr>
        <w:t>DVT</w:t>
      </w:r>
      <w:r w:rsidRPr="00005432">
        <w:rPr>
          <w:rStyle w:val="CSIchar"/>
          <w:rFonts w:ascii="Arial" w:hAnsi="Arial" w:cs="Arial"/>
          <w:i/>
          <w:sz w:val="22"/>
          <w:szCs w:val="22"/>
          <w:shd w:val="clear" w:color="auto" w:fill="auto"/>
        </w:rPr>
        <w:t>:</w:t>
      </w:r>
    </w:p>
    <w:p w14:paraId="47AC1356" w14:textId="77777777" w:rsidR="00286AEF" w:rsidRDefault="00286AEF" w:rsidP="000361C7">
      <w:pPr>
        <w:pStyle w:val="listindentnospace"/>
        <w:ind w:left="0"/>
        <w:jc w:val="both"/>
        <w:rPr>
          <w:rStyle w:val="CSIchar"/>
          <w:rFonts w:ascii="Arial" w:hAnsi="Arial" w:cs="Arial"/>
          <w:sz w:val="22"/>
          <w:szCs w:val="22"/>
          <w:shd w:val="clear" w:color="auto" w:fill="auto"/>
        </w:rPr>
      </w:pPr>
    </w:p>
    <w:p w14:paraId="2F6E9A7E" w14:textId="77777777" w:rsidR="00005432" w:rsidRDefault="00286AEF" w:rsidP="00005432">
      <w:pPr>
        <w:pStyle w:val="listindentnospace"/>
        <w:ind w:left="0"/>
        <w:rPr>
          <w:rStyle w:val="CSIchar"/>
          <w:rFonts w:ascii="Arial" w:hAnsi="Arial" w:cs="Arial"/>
          <w:sz w:val="22"/>
          <w:szCs w:val="22"/>
          <w:shd w:val="clear" w:color="auto" w:fill="auto"/>
        </w:rPr>
      </w:pPr>
      <w:r>
        <w:rPr>
          <w:rStyle w:val="CSIchar"/>
          <w:rFonts w:ascii="Arial" w:hAnsi="Arial" w:cs="Arial"/>
          <w:sz w:val="22"/>
          <w:szCs w:val="22"/>
          <w:shd w:val="clear" w:color="auto" w:fill="auto"/>
        </w:rPr>
        <w:t>D</w:t>
      </w:r>
      <w:r w:rsidR="001D61C4" w:rsidRPr="00286AEF">
        <w:rPr>
          <w:rStyle w:val="CSIchar"/>
          <w:rFonts w:ascii="Arial" w:hAnsi="Arial" w:cs="Arial"/>
          <w:sz w:val="22"/>
          <w:szCs w:val="22"/>
          <w:shd w:val="clear" w:color="auto" w:fill="auto"/>
        </w:rPr>
        <w:t>ose reduction is not required in patients with mild renal impairment (creatinine clearance greater than or equal to 50 m</w:t>
      </w:r>
      <w:r w:rsidR="00C72483">
        <w:rPr>
          <w:rStyle w:val="CSIchar"/>
          <w:rFonts w:ascii="Arial" w:hAnsi="Arial" w:cs="Arial"/>
          <w:sz w:val="22"/>
          <w:szCs w:val="22"/>
          <w:shd w:val="clear" w:color="auto" w:fill="auto"/>
        </w:rPr>
        <w:t>L</w:t>
      </w:r>
      <w:r w:rsidR="001D61C4" w:rsidRPr="00286AEF">
        <w:rPr>
          <w:rStyle w:val="CSIchar"/>
          <w:rFonts w:ascii="Arial" w:hAnsi="Arial" w:cs="Arial"/>
          <w:sz w:val="22"/>
          <w:szCs w:val="22"/>
          <w:shd w:val="clear" w:color="auto" w:fill="auto"/>
        </w:rPr>
        <w:t>/min).</w:t>
      </w:r>
      <w:r w:rsidR="00DC3BDC" w:rsidRPr="0063743D">
        <w:rPr>
          <w:rStyle w:val="CSIchar"/>
          <w:rFonts w:ascii="Arial" w:hAnsi="Arial" w:cs="Arial"/>
          <w:sz w:val="22"/>
          <w:szCs w:val="22"/>
          <w:shd w:val="clear" w:color="auto" w:fill="auto"/>
        </w:rPr>
        <w:t xml:space="preserve"> </w:t>
      </w:r>
    </w:p>
    <w:p w14:paraId="41299BDB" w14:textId="77777777" w:rsidR="00005432" w:rsidRDefault="00005432" w:rsidP="00005432">
      <w:pPr>
        <w:pStyle w:val="listindentnospace"/>
        <w:ind w:left="0"/>
        <w:rPr>
          <w:rStyle w:val="CSIchar"/>
          <w:rFonts w:ascii="Arial" w:hAnsi="Arial" w:cs="Arial"/>
          <w:sz w:val="22"/>
          <w:szCs w:val="22"/>
          <w:shd w:val="clear" w:color="auto" w:fill="auto"/>
        </w:rPr>
      </w:pPr>
    </w:p>
    <w:p w14:paraId="744CF05B" w14:textId="77777777" w:rsidR="00005432" w:rsidRDefault="001D61C4" w:rsidP="00005432">
      <w:pPr>
        <w:pStyle w:val="listindentnospace"/>
        <w:ind w:left="0"/>
        <w:rPr>
          <w:rStyle w:val="CSIchar"/>
          <w:rFonts w:ascii="Arial" w:hAnsi="Arial" w:cs="Arial"/>
          <w:sz w:val="22"/>
          <w:szCs w:val="22"/>
          <w:shd w:val="clear" w:color="auto" w:fill="auto"/>
        </w:rPr>
      </w:pPr>
      <w:r w:rsidRPr="00286AEF">
        <w:rPr>
          <w:rStyle w:val="CSIchar"/>
          <w:rFonts w:ascii="Arial" w:hAnsi="Arial" w:cs="Arial"/>
          <w:sz w:val="22"/>
          <w:szCs w:val="22"/>
          <w:shd w:val="clear" w:color="auto" w:fill="auto"/>
        </w:rPr>
        <w:t>Moderate and severe renal impairment is associated with increased exposure to nadroparin. These patients are at increased risk of thromboembolism and haemorrhage</w:t>
      </w:r>
      <w:r w:rsidR="00313AC9">
        <w:rPr>
          <w:rStyle w:val="CSIchar"/>
          <w:rFonts w:ascii="Arial" w:hAnsi="Arial" w:cs="Arial"/>
          <w:sz w:val="22"/>
          <w:szCs w:val="22"/>
          <w:shd w:val="clear" w:color="auto" w:fill="auto"/>
        </w:rPr>
        <w:t>.</w:t>
      </w:r>
    </w:p>
    <w:p w14:paraId="46ADBE0E" w14:textId="77777777" w:rsidR="00005432" w:rsidRDefault="00005432" w:rsidP="00005432">
      <w:pPr>
        <w:pStyle w:val="listindentnospace"/>
        <w:ind w:left="0"/>
        <w:rPr>
          <w:rStyle w:val="CSIchar"/>
          <w:rFonts w:ascii="Arial" w:hAnsi="Arial" w:cs="Arial"/>
          <w:sz w:val="22"/>
          <w:szCs w:val="22"/>
          <w:shd w:val="clear" w:color="auto" w:fill="auto"/>
        </w:rPr>
      </w:pPr>
    </w:p>
    <w:p w14:paraId="1261079D" w14:textId="77777777" w:rsidR="00005432" w:rsidRDefault="00313AC9" w:rsidP="00005432">
      <w:pPr>
        <w:pStyle w:val="listindentnospace"/>
        <w:ind w:left="0"/>
        <w:rPr>
          <w:rStyle w:val="CSIchar"/>
          <w:rFonts w:ascii="Arial" w:hAnsi="Arial" w:cs="Arial"/>
          <w:sz w:val="22"/>
          <w:szCs w:val="22"/>
          <w:shd w:val="clear" w:color="auto" w:fill="auto"/>
        </w:rPr>
      </w:pPr>
      <w:r>
        <w:rPr>
          <w:rStyle w:val="CSIchar"/>
          <w:rFonts w:ascii="Arial" w:hAnsi="Arial" w:cs="Arial"/>
          <w:sz w:val="22"/>
          <w:szCs w:val="22"/>
          <w:shd w:val="clear" w:color="auto" w:fill="auto"/>
        </w:rPr>
        <w:t>If a</w:t>
      </w:r>
      <w:r w:rsidR="00C045B1" w:rsidRPr="0063743D">
        <w:rPr>
          <w:rStyle w:val="CSIchar"/>
          <w:rFonts w:ascii="Arial" w:hAnsi="Arial" w:cs="Arial"/>
          <w:sz w:val="22"/>
          <w:szCs w:val="22"/>
          <w:shd w:val="clear" w:color="auto" w:fill="auto"/>
        </w:rPr>
        <w:t xml:space="preserve"> </w:t>
      </w:r>
      <w:r w:rsidR="001D61C4" w:rsidRPr="00286AEF">
        <w:rPr>
          <w:rStyle w:val="CSIchar"/>
          <w:rFonts w:ascii="Arial" w:hAnsi="Arial" w:cs="Arial"/>
          <w:sz w:val="22"/>
          <w:szCs w:val="22"/>
          <w:shd w:val="clear" w:color="auto" w:fill="auto"/>
        </w:rPr>
        <w:t>dose reduction</w:t>
      </w:r>
      <w:r w:rsidR="00C045B1" w:rsidRPr="0063743D">
        <w:rPr>
          <w:rStyle w:val="CSIchar"/>
          <w:rFonts w:ascii="Arial" w:hAnsi="Arial" w:cs="Arial"/>
          <w:sz w:val="22"/>
          <w:szCs w:val="22"/>
          <w:shd w:val="clear" w:color="auto" w:fill="auto"/>
        </w:rPr>
        <w:t xml:space="preserve"> </w:t>
      </w:r>
      <w:r>
        <w:rPr>
          <w:rStyle w:val="CSIchar"/>
          <w:rFonts w:ascii="Arial" w:hAnsi="Arial" w:cs="Arial"/>
          <w:sz w:val="22"/>
          <w:szCs w:val="22"/>
          <w:shd w:val="clear" w:color="auto" w:fill="auto"/>
        </w:rPr>
        <w:t>is</w:t>
      </w:r>
      <w:r w:rsidR="00DC3BDC" w:rsidRPr="0063743D">
        <w:rPr>
          <w:rStyle w:val="CSIchar"/>
          <w:rFonts w:ascii="Arial" w:hAnsi="Arial" w:cs="Arial"/>
          <w:sz w:val="22"/>
          <w:szCs w:val="22"/>
          <w:shd w:val="clear" w:color="auto" w:fill="auto"/>
        </w:rPr>
        <w:t xml:space="preserve"> </w:t>
      </w:r>
      <w:r w:rsidR="001D61C4" w:rsidRPr="00286AEF">
        <w:rPr>
          <w:rStyle w:val="CSIchar"/>
          <w:rFonts w:ascii="Arial" w:hAnsi="Arial" w:cs="Arial"/>
          <w:sz w:val="22"/>
          <w:szCs w:val="22"/>
          <w:shd w:val="clear" w:color="auto" w:fill="auto"/>
        </w:rPr>
        <w:t>considered appropriate by the prescribing physician, taking into account the individual risk factors for haemorrhage and thromboembolism</w:t>
      </w:r>
      <w:r w:rsidR="00DC3BDC" w:rsidRPr="0063743D">
        <w:rPr>
          <w:rStyle w:val="CSIchar"/>
          <w:rFonts w:ascii="Arial" w:hAnsi="Arial" w:cs="Arial"/>
          <w:sz w:val="22"/>
          <w:szCs w:val="22"/>
          <w:shd w:val="clear" w:color="auto" w:fill="auto"/>
        </w:rPr>
        <w:t xml:space="preserve"> in patients with moderate renal impairment (creatinine clearance greater than </w:t>
      </w:r>
      <w:r>
        <w:rPr>
          <w:rStyle w:val="CSIchar"/>
          <w:rFonts w:ascii="Arial" w:hAnsi="Arial" w:cs="Arial"/>
          <w:sz w:val="22"/>
          <w:szCs w:val="22"/>
          <w:shd w:val="clear" w:color="auto" w:fill="auto"/>
        </w:rPr>
        <w:t>or</w:t>
      </w:r>
      <w:r w:rsidRPr="0063743D">
        <w:rPr>
          <w:rStyle w:val="CSIchar"/>
          <w:rFonts w:ascii="Arial" w:hAnsi="Arial" w:cs="Arial"/>
          <w:sz w:val="22"/>
          <w:szCs w:val="22"/>
          <w:shd w:val="clear" w:color="auto" w:fill="auto"/>
        </w:rPr>
        <w:t xml:space="preserve"> </w:t>
      </w:r>
      <w:r w:rsidR="00DC3BDC" w:rsidRPr="0063743D">
        <w:rPr>
          <w:rStyle w:val="CSIchar"/>
          <w:rFonts w:ascii="Arial" w:hAnsi="Arial" w:cs="Arial"/>
          <w:sz w:val="22"/>
          <w:szCs w:val="22"/>
          <w:shd w:val="clear" w:color="auto" w:fill="auto"/>
        </w:rPr>
        <w:t>equal to 30 m</w:t>
      </w:r>
      <w:r w:rsidR="00C72483">
        <w:rPr>
          <w:rStyle w:val="CSIchar"/>
          <w:rFonts w:ascii="Arial" w:hAnsi="Arial" w:cs="Arial"/>
          <w:sz w:val="22"/>
          <w:szCs w:val="22"/>
          <w:shd w:val="clear" w:color="auto" w:fill="auto"/>
        </w:rPr>
        <w:t>L</w:t>
      </w:r>
      <w:r w:rsidR="00DC3BDC" w:rsidRPr="0063743D">
        <w:rPr>
          <w:rStyle w:val="CSIchar"/>
          <w:rFonts w:ascii="Arial" w:hAnsi="Arial" w:cs="Arial"/>
          <w:sz w:val="22"/>
          <w:szCs w:val="22"/>
          <w:shd w:val="clear" w:color="auto" w:fill="auto"/>
        </w:rPr>
        <w:t>/min and less than 50 m</w:t>
      </w:r>
      <w:r w:rsidR="00C72483">
        <w:rPr>
          <w:rStyle w:val="CSIchar"/>
          <w:rFonts w:ascii="Arial" w:hAnsi="Arial" w:cs="Arial"/>
          <w:sz w:val="22"/>
          <w:szCs w:val="22"/>
          <w:shd w:val="clear" w:color="auto" w:fill="auto"/>
        </w:rPr>
        <w:t>L</w:t>
      </w:r>
      <w:r w:rsidR="00DC3BDC" w:rsidRPr="0063743D">
        <w:rPr>
          <w:rStyle w:val="CSIchar"/>
          <w:rFonts w:ascii="Arial" w:hAnsi="Arial" w:cs="Arial"/>
          <w:sz w:val="22"/>
          <w:szCs w:val="22"/>
          <w:shd w:val="clear" w:color="auto" w:fill="auto"/>
        </w:rPr>
        <w:t>/min)</w:t>
      </w:r>
      <w:r w:rsidR="00D014A2" w:rsidRPr="00D014A2">
        <w:rPr>
          <w:rStyle w:val="CSIchar"/>
          <w:rFonts w:ascii="Arial" w:hAnsi="Arial" w:cs="Arial"/>
          <w:sz w:val="22"/>
          <w:szCs w:val="22"/>
          <w:shd w:val="clear" w:color="auto" w:fill="auto"/>
        </w:rPr>
        <w:t xml:space="preserve"> the dose should be reduced by 25 to 33%.</w:t>
      </w:r>
    </w:p>
    <w:p w14:paraId="2F6DD46C" w14:textId="77777777" w:rsidR="00005432" w:rsidRDefault="00005432" w:rsidP="00005432">
      <w:pPr>
        <w:pStyle w:val="listindentnospace"/>
        <w:ind w:left="0"/>
        <w:rPr>
          <w:rStyle w:val="CSIchar"/>
          <w:rFonts w:ascii="Arial" w:hAnsi="Arial" w:cs="Arial"/>
          <w:sz w:val="22"/>
          <w:szCs w:val="22"/>
          <w:shd w:val="clear" w:color="auto" w:fill="auto"/>
          <w:lang w:val="en-AU"/>
        </w:rPr>
      </w:pPr>
    </w:p>
    <w:p w14:paraId="237B0A87" w14:textId="77777777" w:rsidR="00005432" w:rsidRDefault="00470473" w:rsidP="00005432">
      <w:pPr>
        <w:pStyle w:val="listindentnospace"/>
        <w:ind w:left="0"/>
        <w:rPr>
          <w:rFonts w:ascii="Arial" w:hAnsi="Arial" w:cs="Arial"/>
          <w:sz w:val="22"/>
          <w:szCs w:val="22"/>
        </w:rPr>
      </w:pPr>
      <w:r>
        <w:rPr>
          <w:rStyle w:val="CSIchar"/>
          <w:rFonts w:ascii="Arial" w:hAnsi="Arial" w:cs="Arial"/>
          <w:sz w:val="22"/>
          <w:szCs w:val="22"/>
          <w:shd w:val="clear" w:color="auto" w:fill="auto"/>
        </w:rPr>
        <w:t xml:space="preserve">However, </w:t>
      </w:r>
      <w:r w:rsidR="00465A2B">
        <w:rPr>
          <w:rStyle w:val="CSIchar"/>
          <w:rFonts w:ascii="Arial" w:hAnsi="Arial" w:cs="Arial"/>
          <w:sz w:val="22"/>
          <w:szCs w:val="22"/>
          <w:shd w:val="clear" w:color="auto" w:fill="auto"/>
        </w:rPr>
        <w:t xml:space="preserve">Fraxiparine </w:t>
      </w:r>
      <w:r w:rsidR="001D61C4" w:rsidRPr="00286AEF">
        <w:rPr>
          <w:rStyle w:val="CSIchar"/>
          <w:rFonts w:ascii="Arial" w:hAnsi="Arial" w:cs="Arial"/>
          <w:sz w:val="22"/>
          <w:szCs w:val="22"/>
          <w:shd w:val="clear" w:color="auto" w:fill="auto"/>
        </w:rPr>
        <w:t>is contraindicated in patients with severe renal impairment</w:t>
      </w:r>
      <w:r w:rsidR="00FE502D" w:rsidRPr="0063743D">
        <w:rPr>
          <w:rFonts w:ascii="Arial" w:hAnsi="Arial" w:cs="Arial"/>
          <w:sz w:val="22"/>
          <w:szCs w:val="22"/>
        </w:rPr>
        <w:t xml:space="preserve"> (see </w:t>
      </w:r>
      <w:r w:rsidR="00465A2B">
        <w:rPr>
          <w:rFonts w:ascii="Arial" w:hAnsi="Arial" w:cs="Arial"/>
          <w:sz w:val="22"/>
          <w:szCs w:val="22"/>
        </w:rPr>
        <w:t xml:space="preserve">CONTRAINDICATIONS, </w:t>
      </w:r>
      <w:r w:rsidR="000E4BF4" w:rsidRPr="0063743D">
        <w:rPr>
          <w:rFonts w:ascii="Arial" w:hAnsi="Arial" w:cs="Arial"/>
          <w:sz w:val="22"/>
          <w:szCs w:val="22"/>
        </w:rPr>
        <w:t>P</w:t>
      </w:r>
      <w:r w:rsidR="000E4BF4">
        <w:rPr>
          <w:rFonts w:ascii="Arial" w:hAnsi="Arial" w:cs="Arial"/>
          <w:sz w:val="22"/>
          <w:szCs w:val="22"/>
        </w:rPr>
        <w:t>RECAUTIONS</w:t>
      </w:r>
      <w:r w:rsidR="000E4BF4" w:rsidRPr="0063743D">
        <w:rPr>
          <w:rFonts w:ascii="Arial" w:hAnsi="Arial" w:cs="Arial"/>
          <w:sz w:val="22"/>
          <w:szCs w:val="22"/>
        </w:rPr>
        <w:t xml:space="preserve"> </w:t>
      </w:r>
      <w:r w:rsidR="00FE502D" w:rsidRPr="0063743D">
        <w:rPr>
          <w:rFonts w:ascii="Arial" w:hAnsi="Arial" w:cs="Arial"/>
          <w:sz w:val="22"/>
          <w:szCs w:val="22"/>
        </w:rPr>
        <w:t>and Pharmacokinetics).</w:t>
      </w:r>
    </w:p>
    <w:p w14:paraId="6BCF8CAA" w14:textId="77777777" w:rsidR="003B52FF" w:rsidRDefault="003B52FF" w:rsidP="000361C7">
      <w:pPr>
        <w:pStyle w:val="listindentnospace"/>
        <w:ind w:left="0"/>
        <w:jc w:val="both"/>
        <w:rPr>
          <w:rFonts w:ascii="Arial" w:hAnsi="Arial" w:cs="Arial"/>
          <w:sz w:val="22"/>
          <w:szCs w:val="22"/>
        </w:rPr>
      </w:pPr>
    </w:p>
    <w:p w14:paraId="14543B4A" w14:textId="77777777" w:rsidR="005E7439" w:rsidRPr="009A6B2D" w:rsidRDefault="005E7439" w:rsidP="00332695">
      <w:pPr>
        <w:pStyle w:val="BridgeheadGDS"/>
      </w:pPr>
      <w:r w:rsidRPr="009A6B2D">
        <w:t>Children and Adolescents</w:t>
      </w:r>
    </w:p>
    <w:p w14:paraId="7E733E27" w14:textId="77777777" w:rsidR="005E7439" w:rsidRDefault="005E7439" w:rsidP="005E7439">
      <w:r>
        <w:t>Fraxiparine is not recommended in children and adolescents as there are insufficient safety and efficacy data to establish dosage in patients aged less than 18 years.</w:t>
      </w:r>
    </w:p>
    <w:p w14:paraId="262447D2" w14:textId="77777777" w:rsidR="00186F6B" w:rsidRDefault="00186F6B" w:rsidP="000361C7">
      <w:pPr>
        <w:pStyle w:val="listindentnospace"/>
        <w:ind w:left="0"/>
        <w:jc w:val="both"/>
        <w:rPr>
          <w:rFonts w:ascii="Arial" w:hAnsi="Arial" w:cs="Arial"/>
          <w:sz w:val="22"/>
          <w:szCs w:val="22"/>
        </w:rPr>
      </w:pPr>
    </w:p>
    <w:p w14:paraId="58E3FB42" w14:textId="77777777" w:rsidR="008C3DC2" w:rsidRDefault="008C3DC2" w:rsidP="00332695">
      <w:pPr>
        <w:pStyle w:val="BridgeheadGDS"/>
      </w:pPr>
      <w:r>
        <w:t>Hepatic impairment</w:t>
      </w:r>
    </w:p>
    <w:p w14:paraId="36BCD235" w14:textId="7D324664" w:rsidR="00186F6B" w:rsidRPr="00793E6D" w:rsidRDefault="008C3DC2" w:rsidP="00793E6D">
      <w:r>
        <w:t>There have been no studies conducted in patients with hepatic impairment.</w:t>
      </w:r>
    </w:p>
    <w:p w14:paraId="75FDDA13" w14:textId="77777777" w:rsidR="00793E6D" w:rsidRDefault="00793E6D" w:rsidP="00793E6D">
      <w:pPr>
        <w:pStyle w:val="listindentnospace"/>
        <w:ind w:left="0"/>
        <w:rPr>
          <w:rFonts w:ascii="Arial" w:hAnsi="Arial" w:cs="Arial"/>
          <w:sz w:val="22"/>
          <w:szCs w:val="22"/>
        </w:rPr>
      </w:pPr>
    </w:p>
    <w:p w14:paraId="0E7F8EA1" w14:textId="77777777" w:rsidR="005556C2" w:rsidRDefault="005556C2">
      <w:pPr>
        <w:rPr>
          <w:b/>
          <w:bCs/>
        </w:rPr>
      </w:pPr>
    </w:p>
    <w:p w14:paraId="12EC1ADB" w14:textId="77777777" w:rsidR="003F3C3B" w:rsidRDefault="003F3C3B">
      <w:pPr>
        <w:rPr>
          <w:b/>
          <w:bCs/>
        </w:rPr>
      </w:pPr>
      <w:r>
        <w:rPr>
          <w:b/>
          <w:bCs/>
        </w:rPr>
        <w:t>OVERDOSAGE</w:t>
      </w:r>
    </w:p>
    <w:p w14:paraId="06CF06D9" w14:textId="77777777" w:rsidR="003F3C3B" w:rsidRDefault="003F3C3B"/>
    <w:p w14:paraId="4F466AA7" w14:textId="77777777" w:rsidR="00005432" w:rsidRDefault="001D61C4" w:rsidP="00005432">
      <w:r w:rsidRPr="00C21D74">
        <w:t xml:space="preserve">Haemorrhage is the major clinical sign of </w:t>
      </w:r>
      <w:r w:rsidR="00313AC9">
        <w:t xml:space="preserve">subcutaneous or intravenous </w:t>
      </w:r>
      <w:r w:rsidRPr="00C21D74">
        <w:t>overdosage</w:t>
      </w:r>
      <w:r w:rsidR="003F3C3B">
        <w:t xml:space="preserve">.  </w:t>
      </w:r>
      <w:r w:rsidRPr="00C21D74">
        <w:t>The platelet count and other coagulation parameters should be measured.  Minor bleeding rarely requires specific therapy, and reducing or delaying subsequent doses of Fraxiparine is usually sufficient.</w:t>
      </w:r>
    </w:p>
    <w:p w14:paraId="5B766EDE" w14:textId="77777777" w:rsidR="003F3C3B" w:rsidRDefault="003F3C3B" w:rsidP="000361C7">
      <w:pPr>
        <w:jc w:val="both"/>
      </w:pPr>
    </w:p>
    <w:p w14:paraId="6988318F" w14:textId="77777777" w:rsidR="00313AC9" w:rsidRPr="00C21D74" w:rsidRDefault="00313AC9" w:rsidP="00313AC9">
      <w:pPr>
        <w:pStyle w:val="NoNumHead3"/>
      </w:pPr>
      <w:r w:rsidRPr="00C21D74">
        <w:lastRenderedPageBreak/>
        <w:t>Treatment</w:t>
      </w:r>
    </w:p>
    <w:p w14:paraId="28E21EE8" w14:textId="77777777" w:rsidR="001556D1" w:rsidRDefault="003F3C3B" w:rsidP="000361C7">
      <w:pPr>
        <w:jc w:val="both"/>
      </w:pPr>
      <w:r>
        <w:t xml:space="preserve">There is no clinical experience on </w:t>
      </w:r>
      <w:r w:rsidR="0026085D">
        <w:t>t</w:t>
      </w:r>
      <w:r w:rsidR="004E6761">
        <w:t xml:space="preserve">he </w:t>
      </w:r>
      <w:r>
        <w:t xml:space="preserve">use of protamine sulphate to neutralise the effect of </w:t>
      </w:r>
      <w:r w:rsidR="00BD4CD8">
        <w:t xml:space="preserve">nadroparin </w:t>
      </w:r>
      <w:r>
        <w:t xml:space="preserve">overdosage. It should </w:t>
      </w:r>
      <w:r w:rsidR="00906DC9">
        <w:t xml:space="preserve">be considered </w:t>
      </w:r>
      <w:r>
        <w:t>only in emergency situations. Serious overdosage may be partly neutralised by the slow intravenous injection of protamine. Particular care should be taken to avoid overdosage with protamine as even with high doses of protamine, the anti Xa activity of Fraxiparine may remain, even though the anticoagulant activity is neutralised. 6 mg of protamine sulphate neutralises about 0.1 mL (950 IU AXa) Fraxiparine.</w:t>
      </w:r>
      <w:r w:rsidR="00906DC9">
        <w:t xml:space="preserve"> The amount of protamine </w:t>
      </w:r>
      <w:r w:rsidR="00BC299A">
        <w:t xml:space="preserve">to be </w:t>
      </w:r>
      <w:r w:rsidR="00906DC9">
        <w:t xml:space="preserve">injected should take into account the time elapsed from the injection of </w:t>
      </w:r>
      <w:r w:rsidR="009C7C44">
        <w:t>F</w:t>
      </w:r>
      <w:r w:rsidR="00BC299A">
        <w:t>raxiparine</w:t>
      </w:r>
      <w:r w:rsidR="000E2B64">
        <w:t xml:space="preserve"> </w:t>
      </w:r>
      <w:r w:rsidR="00906DC9">
        <w:t>and a reduction may be</w:t>
      </w:r>
      <w:r w:rsidR="0026085D">
        <w:t xml:space="preserve"> appropriate</w:t>
      </w:r>
      <w:r w:rsidR="00906DC9">
        <w:t>.</w:t>
      </w:r>
      <w:r>
        <w:t xml:space="preserve"> If transfusion is required, fresh frozen plasma should be used.</w:t>
      </w:r>
    </w:p>
    <w:p w14:paraId="05C86999" w14:textId="77777777" w:rsidR="005F07A7" w:rsidRDefault="005F07A7" w:rsidP="000361C7">
      <w:pPr>
        <w:jc w:val="both"/>
      </w:pPr>
    </w:p>
    <w:p w14:paraId="7487D8B6" w14:textId="77777777" w:rsidR="005F07A7" w:rsidRPr="005F07A7" w:rsidRDefault="00060F96" w:rsidP="005F07A7">
      <w:pPr>
        <w:pStyle w:val="NormalWeb"/>
        <w:rPr>
          <w:rFonts w:ascii="Arial" w:hAnsi="Arial" w:cs="Arial"/>
          <w:sz w:val="20"/>
          <w:szCs w:val="22"/>
        </w:rPr>
      </w:pPr>
      <w:r w:rsidRPr="00060F96">
        <w:rPr>
          <w:rFonts w:ascii="Arial" w:hAnsi="Arial" w:cs="Arial"/>
          <w:sz w:val="22"/>
          <w:szCs w:val="22"/>
        </w:rPr>
        <w:t>For information on the management of overdose, contact the Poison Information Centre on 131126 (Australia</w:t>
      </w:r>
      <w:r w:rsidRPr="00060F96">
        <w:rPr>
          <w:rFonts w:ascii="Arial" w:hAnsi="Arial" w:cs="Arial"/>
          <w:sz w:val="20"/>
          <w:szCs w:val="22"/>
        </w:rPr>
        <w:t>).</w:t>
      </w:r>
    </w:p>
    <w:p w14:paraId="1A91BEEC" w14:textId="77777777" w:rsidR="005F07A7" w:rsidRDefault="005F07A7" w:rsidP="000361C7">
      <w:pPr>
        <w:jc w:val="both"/>
      </w:pPr>
    </w:p>
    <w:p w14:paraId="64562080" w14:textId="77777777" w:rsidR="003F3C3B" w:rsidRDefault="003F3C3B">
      <w:pPr>
        <w:pStyle w:val="Heading1"/>
      </w:pPr>
      <w:r>
        <w:t>PRESENTATION</w:t>
      </w:r>
      <w:r w:rsidR="00C36246">
        <w:t xml:space="preserve"> AND STORAGE CONDITIONS</w:t>
      </w:r>
    </w:p>
    <w:p w14:paraId="5729B440" w14:textId="77777777" w:rsidR="003F3C3B" w:rsidRDefault="003F3C3B"/>
    <w:p w14:paraId="75F4EEB6" w14:textId="77777777" w:rsidR="003F3C3B" w:rsidRDefault="003F3C3B">
      <w:r>
        <w:t xml:space="preserve">Disposable glass pre-filled single use syringes containing nadroparin calcium 9,500 IU </w:t>
      </w:r>
      <w:r w:rsidR="00F65309">
        <w:t>anti-Xa</w:t>
      </w:r>
      <w:r>
        <w:t xml:space="preserve">/mL in water for injections with sufficient </w:t>
      </w:r>
      <w:r w:rsidR="00C57941">
        <w:t xml:space="preserve">calcium hydroxide </w:t>
      </w:r>
      <w:r>
        <w:t xml:space="preserve">or dilute </w:t>
      </w:r>
      <w:r w:rsidR="00C57941">
        <w:t xml:space="preserve">hydrochloric </w:t>
      </w:r>
      <w:r>
        <w:t>acid to adjust the pH to between 5 and 7.5.</w:t>
      </w:r>
    </w:p>
    <w:p w14:paraId="5076B8CC" w14:textId="77777777" w:rsidR="003F3C3B" w:rsidRDefault="003F3C3B"/>
    <w:tbl>
      <w:tblPr>
        <w:tblW w:w="0" w:type="auto"/>
        <w:tblInd w:w="108" w:type="dxa"/>
        <w:tblLayout w:type="fixed"/>
        <w:tblLook w:val="0000" w:firstRow="0" w:lastRow="0" w:firstColumn="0" w:lastColumn="0" w:noHBand="0" w:noVBand="0"/>
      </w:tblPr>
      <w:tblGrid>
        <w:gridCol w:w="1384"/>
        <w:gridCol w:w="2021"/>
        <w:gridCol w:w="3791"/>
        <w:gridCol w:w="1947"/>
      </w:tblGrid>
      <w:tr w:rsidR="003F3C3B" w14:paraId="71171018" w14:textId="77777777" w:rsidTr="00B97D77">
        <w:tc>
          <w:tcPr>
            <w:tcW w:w="1384" w:type="dxa"/>
            <w:tcBorders>
              <w:top w:val="single" w:sz="6" w:space="0" w:color="auto"/>
              <w:left w:val="single" w:sz="6" w:space="0" w:color="auto"/>
              <w:bottom w:val="single" w:sz="6" w:space="0" w:color="auto"/>
              <w:right w:val="single" w:sz="6" w:space="0" w:color="auto"/>
            </w:tcBorders>
          </w:tcPr>
          <w:p w14:paraId="759C4D89" w14:textId="77777777" w:rsidR="003F3C3B" w:rsidRDefault="003F3C3B">
            <w:pPr>
              <w:rPr>
                <w:b/>
                <w:bCs/>
              </w:rPr>
            </w:pPr>
            <w:r>
              <w:rPr>
                <w:b/>
                <w:bCs/>
              </w:rPr>
              <w:t>Volume</w:t>
            </w:r>
          </w:p>
        </w:tc>
        <w:tc>
          <w:tcPr>
            <w:tcW w:w="2021" w:type="dxa"/>
            <w:tcBorders>
              <w:top w:val="single" w:sz="6" w:space="0" w:color="auto"/>
              <w:left w:val="single" w:sz="6" w:space="0" w:color="auto"/>
              <w:bottom w:val="single" w:sz="6" w:space="0" w:color="auto"/>
              <w:right w:val="single" w:sz="6" w:space="0" w:color="auto"/>
            </w:tcBorders>
          </w:tcPr>
          <w:p w14:paraId="08578266" w14:textId="77777777" w:rsidR="003F3C3B" w:rsidRDefault="003F3C3B">
            <w:pPr>
              <w:rPr>
                <w:b/>
                <w:bCs/>
              </w:rPr>
            </w:pPr>
            <w:r>
              <w:rPr>
                <w:b/>
                <w:bCs/>
              </w:rPr>
              <w:t>Type of Syringe</w:t>
            </w:r>
          </w:p>
        </w:tc>
        <w:tc>
          <w:tcPr>
            <w:tcW w:w="3791" w:type="dxa"/>
            <w:tcBorders>
              <w:top w:val="single" w:sz="6" w:space="0" w:color="auto"/>
              <w:left w:val="single" w:sz="6" w:space="0" w:color="auto"/>
              <w:bottom w:val="single" w:sz="6" w:space="0" w:color="auto"/>
              <w:right w:val="single" w:sz="6" w:space="0" w:color="auto"/>
            </w:tcBorders>
          </w:tcPr>
          <w:p w14:paraId="20323FD3" w14:textId="77777777" w:rsidR="003F3C3B" w:rsidRPr="004A3E7B" w:rsidRDefault="003F3C3B">
            <w:pPr>
              <w:rPr>
                <w:b/>
                <w:bCs/>
                <w:lang w:val="it-IT"/>
              </w:rPr>
            </w:pPr>
            <w:r w:rsidRPr="004A3E7B">
              <w:rPr>
                <w:b/>
                <w:bCs/>
                <w:lang w:val="it-IT"/>
              </w:rPr>
              <w:t>Nadroparin Calcium (IU anti-Xa)</w:t>
            </w:r>
          </w:p>
        </w:tc>
        <w:tc>
          <w:tcPr>
            <w:tcW w:w="1947" w:type="dxa"/>
            <w:tcBorders>
              <w:top w:val="single" w:sz="6" w:space="0" w:color="auto"/>
              <w:left w:val="single" w:sz="6" w:space="0" w:color="auto"/>
              <w:bottom w:val="single" w:sz="6" w:space="0" w:color="auto"/>
              <w:right w:val="single" w:sz="6" w:space="0" w:color="auto"/>
            </w:tcBorders>
          </w:tcPr>
          <w:p w14:paraId="42C7410B" w14:textId="77777777" w:rsidR="003F3C3B" w:rsidRDefault="003F3C3B">
            <w:pPr>
              <w:rPr>
                <w:b/>
                <w:bCs/>
              </w:rPr>
            </w:pPr>
            <w:r>
              <w:rPr>
                <w:b/>
                <w:bCs/>
              </w:rPr>
              <w:t xml:space="preserve">Pack size </w:t>
            </w:r>
          </w:p>
        </w:tc>
      </w:tr>
      <w:tr w:rsidR="003F3C3B" w14:paraId="647A6106" w14:textId="77777777" w:rsidTr="00B97D77">
        <w:tc>
          <w:tcPr>
            <w:tcW w:w="1384" w:type="dxa"/>
            <w:tcBorders>
              <w:top w:val="single" w:sz="6" w:space="0" w:color="auto"/>
              <w:left w:val="single" w:sz="6" w:space="0" w:color="auto"/>
              <w:bottom w:val="single" w:sz="6" w:space="0" w:color="auto"/>
              <w:right w:val="single" w:sz="6" w:space="0" w:color="auto"/>
            </w:tcBorders>
          </w:tcPr>
          <w:p w14:paraId="1CD16567" w14:textId="77777777" w:rsidR="003F3C3B" w:rsidRDefault="003F3C3B">
            <w:r>
              <w:t>0.2 mL</w:t>
            </w:r>
          </w:p>
        </w:tc>
        <w:tc>
          <w:tcPr>
            <w:tcW w:w="2021" w:type="dxa"/>
            <w:tcBorders>
              <w:top w:val="single" w:sz="6" w:space="0" w:color="auto"/>
              <w:left w:val="single" w:sz="6" w:space="0" w:color="auto"/>
              <w:bottom w:val="single" w:sz="6" w:space="0" w:color="auto"/>
              <w:right w:val="single" w:sz="6" w:space="0" w:color="auto"/>
            </w:tcBorders>
          </w:tcPr>
          <w:p w14:paraId="282BDD7C" w14:textId="77777777" w:rsidR="003F3C3B" w:rsidRDefault="003F3C3B">
            <w:r>
              <w:t>Ungraduated</w:t>
            </w:r>
          </w:p>
        </w:tc>
        <w:tc>
          <w:tcPr>
            <w:tcW w:w="3791" w:type="dxa"/>
            <w:tcBorders>
              <w:top w:val="single" w:sz="6" w:space="0" w:color="auto"/>
              <w:left w:val="single" w:sz="6" w:space="0" w:color="auto"/>
              <w:bottom w:val="single" w:sz="6" w:space="0" w:color="auto"/>
              <w:right w:val="single" w:sz="6" w:space="0" w:color="auto"/>
            </w:tcBorders>
          </w:tcPr>
          <w:p w14:paraId="35DCB94F" w14:textId="77777777" w:rsidR="003F3C3B" w:rsidRDefault="003F3C3B">
            <w:pPr>
              <w:jc w:val="center"/>
            </w:pPr>
            <w:r>
              <w:t>1,900</w:t>
            </w:r>
          </w:p>
        </w:tc>
        <w:tc>
          <w:tcPr>
            <w:tcW w:w="1947" w:type="dxa"/>
            <w:tcBorders>
              <w:top w:val="single" w:sz="6" w:space="0" w:color="auto"/>
              <w:left w:val="single" w:sz="6" w:space="0" w:color="auto"/>
              <w:bottom w:val="single" w:sz="6" w:space="0" w:color="auto"/>
              <w:right w:val="single" w:sz="6" w:space="0" w:color="auto"/>
            </w:tcBorders>
          </w:tcPr>
          <w:p w14:paraId="6FBDEEAD" w14:textId="77777777" w:rsidR="003F3C3B" w:rsidRDefault="003F3C3B">
            <w:r>
              <w:t>2 and 10</w:t>
            </w:r>
          </w:p>
        </w:tc>
      </w:tr>
      <w:tr w:rsidR="003F3C3B" w14:paraId="40742591" w14:textId="77777777" w:rsidTr="00B97D77">
        <w:tc>
          <w:tcPr>
            <w:tcW w:w="1384" w:type="dxa"/>
            <w:tcBorders>
              <w:top w:val="single" w:sz="6" w:space="0" w:color="auto"/>
              <w:left w:val="single" w:sz="6" w:space="0" w:color="auto"/>
              <w:bottom w:val="single" w:sz="6" w:space="0" w:color="auto"/>
              <w:right w:val="single" w:sz="6" w:space="0" w:color="auto"/>
            </w:tcBorders>
          </w:tcPr>
          <w:p w14:paraId="45E91EE3" w14:textId="77777777" w:rsidR="003F3C3B" w:rsidRDefault="003F3C3B">
            <w:r>
              <w:t>0.3 mL</w:t>
            </w:r>
          </w:p>
        </w:tc>
        <w:tc>
          <w:tcPr>
            <w:tcW w:w="2021" w:type="dxa"/>
            <w:tcBorders>
              <w:top w:val="single" w:sz="6" w:space="0" w:color="auto"/>
              <w:left w:val="single" w:sz="6" w:space="0" w:color="auto"/>
              <w:bottom w:val="single" w:sz="6" w:space="0" w:color="auto"/>
              <w:right w:val="single" w:sz="6" w:space="0" w:color="auto"/>
            </w:tcBorders>
          </w:tcPr>
          <w:p w14:paraId="1B52C009" w14:textId="77777777" w:rsidR="003F3C3B" w:rsidRDefault="003F3C3B">
            <w:r>
              <w:t>Ungraduated</w:t>
            </w:r>
          </w:p>
        </w:tc>
        <w:tc>
          <w:tcPr>
            <w:tcW w:w="3791" w:type="dxa"/>
            <w:tcBorders>
              <w:top w:val="single" w:sz="6" w:space="0" w:color="auto"/>
              <w:left w:val="single" w:sz="6" w:space="0" w:color="auto"/>
              <w:bottom w:val="single" w:sz="6" w:space="0" w:color="auto"/>
              <w:right w:val="single" w:sz="6" w:space="0" w:color="auto"/>
            </w:tcBorders>
          </w:tcPr>
          <w:p w14:paraId="509DDD61" w14:textId="77777777" w:rsidR="003F3C3B" w:rsidRDefault="003F3C3B">
            <w:pPr>
              <w:jc w:val="center"/>
            </w:pPr>
            <w:r>
              <w:t>2,850</w:t>
            </w:r>
          </w:p>
        </w:tc>
        <w:tc>
          <w:tcPr>
            <w:tcW w:w="1947" w:type="dxa"/>
            <w:tcBorders>
              <w:top w:val="single" w:sz="6" w:space="0" w:color="auto"/>
              <w:left w:val="single" w:sz="6" w:space="0" w:color="auto"/>
              <w:bottom w:val="single" w:sz="6" w:space="0" w:color="auto"/>
              <w:right w:val="single" w:sz="6" w:space="0" w:color="auto"/>
            </w:tcBorders>
          </w:tcPr>
          <w:p w14:paraId="5342B059" w14:textId="77777777" w:rsidR="003F3C3B" w:rsidRDefault="003F3C3B">
            <w:r>
              <w:t>2 and 10</w:t>
            </w:r>
          </w:p>
        </w:tc>
      </w:tr>
      <w:tr w:rsidR="003F3C3B" w14:paraId="3728DF01" w14:textId="77777777" w:rsidTr="00B97D77">
        <w:tc>
          <w:tcPr>
            <w:tcW w:w="1384" w:type="dxa"/>
            <w:tcBorders>
              <w:top w:val="single" w:sz="6" w:space="0" w:color="auto"/>
              <w:left w:val="single" w:sz="6" w:space="0" w:color="auto"/>
              <w:right w:val="single" w:sz="6" w:space="0" w:color="auto"/>
            </w:tcBorders>
          </w:tcPr>
          <w:p w14:paraId="42D20058" w14:textId="77777777" w:rsidR="003F3C3B" w:rsidRDefault="003F3C3B">
            <w:r>
              <w:t>0.4 mL</w:t>
            </w:r>
          </w:p>
        </w:tc>
        <w:tc>
          <w:tcPr>
            <w:tcW w:w="2021" w:type="dxa"/>
            <w:tcBorders>
              <w:top w:val="single" w:sz="6" w:space="0" w:color="auto"/>
              <w:left w:val="single" w:sz="6" w:space="0" w:color="auto"/>
              <w:right w:val="single" w:sz="6" w:space="0" w:color="auto"/>
            </w:tcBorders>
          </w:tcPr>
          <w:p w14:paraId="0D64138D" w14:textId="77777777" w:rsidR="003F3C3B" w:rsidRDefault="003F3C3B">
            <w:r>
              <w:t>Ungraduated</w:t>
            </w:r>
          </w:p>
        </w:tc>
        <w:tc>
          <w:tcPr>
            <w:tcW w:w="3791" w:type="dxa"/>
            <w:tcBorders>
              <w:top w:val="single" w:sz="6" w:space="0" w:color="auto"/>
              <w:left w:val="single" w:sz="6" w:space="0" w:color="auto"/>
              <w:right w:val="single" w:sz="6" w:space="0" w:color="auto"/>
            </w:tcBorders>
          </w:tcPr>
          <w:p w14:paraId="534ECB0F" w14:textId="77777777" w:rsidR="003F3C3B" w:rsidRDefault="003F3C3B">
            <w:pPr>
              <w:jc w:val="center"/>
            </w:pPr>
            <w:r>
              <w:t>3,800</w:t>
            </w:r>
          </w:p>
        </w:tc>
        <w:tc>
          <w:tcPr>
            <w:tcW w:w="1947" w:type="dxa"/>
            <w:tcBorders>
              <w:top w:val="single" w:sz="6" w:space="0" w:color="auto"/>
              <w:left w:val="single" w:sz="6" w:space="0" w:color="auto"/>
              <w:right w:val="single" w:sz="6" w:space="0" w:color="auto"/>
            </w:tcBorders>
          </w:tcPr>
          <w:p w14:paraId="10D0D931" w14:textId="77777777" w:rsidR="003F3C3B" w:rsidRDefault="003F3C3B">
            <w:r>
              <w:t>2 and 10</w:t>
            </w:r>
          </w:p>
        </w:tc>
      </w:tr>
      <w:tr w:rsidR="003F3C3B" w14:paraId="1B5F4954" w14:textId="77777777" w:rsidTr="00B97D77">
        <w:tc>
          <w:tcPr>
            <w:tcW w:w="1384" w:type="dxa"/>
            <w:tcBorders>
              <w:top w:val="single" w:sz="6" w:space="0" w:color="auto"/>
              <w:left w:val="single" w:sz="6" w:space="0" w:color="auto"/>
              <w:bottom w:val="single" w:sz="6" w:space="0" w:color="auto"/>
              <w:right w:val="single" w:sz="6" w:space="0" w:color="auto"/>
            </w:tcBorders>
          </w:tcPr>
          <w:p w14:paraId="35FFF7AA" w14:textId="77777777" w:rsidR="003F3C3B" w:rsidRDefault="003F3C3B">
            <w:r>
              <w:t>0.6 mL</w:t>
            </w:r>
          </w:p>
        </w:tc>
        <w:tc>
          <w:tcPr>
            <w:tcW w:w="2021" w:type="dxa"/>
            <w:tcBorders>
              <w:top w:val="single" w:sz="6" w:space="0" w:color="auto"/>
              <w:left w:val="single" w:sz="6" w:space="0" w:color="auto"/>
              <w:bottom w:val="single" w:sz="6" w:space="0" w:color="auto"/>
              <w:right w:val="single" w:sz="6" w:space="0" w:color="auto"/>
            </w:tcBorders>
          </w:tcPr>
          <w:p w14:paraId="37CD077B" w14:textId="77777777" w:rsidR="003F3C3B" w:rsidRDefault="003F3C3B">
            <w:r>
              <w:t>Graduated</w:t>
            </w:r>
          </w:p>
        </w:tc>
        <w:tc>
          <w:tcPr>
            <w:tcW w:w="3791" w:type="dxa"/>
            <w:tcBorders>
              <w:top w:val="single" w:sz="6" w:space="0" w:color="auto"/>
              <w:left w:val="single" w:sz="6" w:space="0" w:color="auto"/>
              <w:bottom w:val="single" w:sz="6" w:space="0" w:color="auto"/>
              <w:right w:val="single" w:sz="6" w:space="0" w:color="auto"/>
            </w:tcBorders>
          </w:tcPr>
          <w:p w14:paraId="4FA4C18A" w14:textId="77777777" w:rsidR="003F3C3B" w:rsidRDefault="003F3C3B">
            <w:pPr>
              <w:jc w:val="center"/>
            </w:pPr>
            <w:r>
              <w:t>5,700</w:t>
            </w:r>
          </w:p>
        </w:tc>
        <w:tc>
          <w:tcPr>
            <w:tcW w:w="1947" w:type="dxa"/>
            <w:tcBorders>
              <w:top w:val="single" w:sz="6" w:space="0" w:color="auto"/>
              <w:left w:val="single" w:sz="6" w:space="0" w:color="auto"/>
              <w:bottom w:val="single" w:sz="6" w:space="0" w:color="auto"/>
              <w:right w:val="single" w:sz="6" w:space="0" w:color="auto"/>
            </w:tcBorders>
          </w:tcPr>
          <w:p w14:paraId="7EA1AC63" w14:textId="77777777" w:rsidR="003F3C3B" w:rsidRDefault="003F3C3B">
            <w:r>
              <w:t>2 and 10</w:t>
            </w:r>
          </w:p>
        </w:tc>
      </w:tr>
      <w:tr w:rsidR="003F3C3B" w14:paraId="20AA9B60" w14:textId="77777777" w:rsidTr="00B97D77">
        <w:tc>
          <w:tcPr>
            <w:tcW w:w="1384" w:type="dxa"/>
            <w:tcBorders>
              <w:top w:val="single" w:sz="6" w:space="0" w:color="auto"/>
              <w:left w:val="single" w:sz="6" w:space="0" w:color="auto"/>
              <w:bottom w:val="single" w:sz="6" w:space="0" w:color="auto"/>
              <w:right w:val="single" w:sz="6" w:space="0" w:color="auto"/>
            </w:tcBorders>
          </w:tcPr>
          <w:p w14:paraId="318CDCA1" w14:textId="77777777" w:rsidR="003F3C3B" w:rsidRDefault="003F3C3B">
            <w:r>
              <w:t>0.8 mL</w:t>
            </w:r>
          </w:p>
        </w:tc>
        <w:tc>
          <w:tcPr>
            <w:tcW w:w="2021" w:type="dxa"/>
            <w:tcBorders>
              <w:top w:val="single" w:sz="6" w:space="0" w:color="auto"/>
              <w:left w:val="single" w:sz="6" w:space="0" w:color="auto"/>
              <w:bottom w:val="single" w:sz="6" w:space="0" w:color="auto"/>
              <w:right w:val="single" w:sz="6" w:space="0" w:color="auto"/>
            </w:tcBorders>
          </w:tcPr>
          <w:p w14:paraId="03F8E069" w14:textId="77777777" w:rsidR="003F3C3B" w:rsidRDefault="003F3C3B">
            <w:r>
              <w:t>Graduated</w:t>
            </w:r>
          </w:p>
        </w:tc>
        <w:tc>
          <w:tcPr>
            <w:tcW w:w="3791" w:type="dxa"/>
            <w:tcBorders>
              <w:top w:val="single" w:sz="6" w:space="0" w:color="auto"/>
              <w:left w:val="single" w:sz="6" w:space="0" w:color="auto"/>
              <w:bottom w:val="single" w:sz="6" w:space="0" w:color="auto"/>
              <w:right w:val="single" w:sz="6" w:space="0" w:color="auto"/>
            </w:tcBorders>
          </w:tcPr>
          <w:p w14:paraId="7DC5E067" w14:textId="77777777" w:rsidR="003F3C3B" w:rsidRDefault="003F3C3B">
            <w:pPr>
              <w:jc w:val="center"/>
            </w:pPr>
            <w:r>
              <w:t>7,600</w:t>
            </w:r>
          </w:p>
        </w:tc>
        <w:tc>
          <w:tcPr>
            <w:tcW w:w="1947" w:type="dxa"/>
            <w:tcBorders>
              <w:top w:val="single" w:sz="6" w:space="0" w:color="auto"/>
              <w:left w:val="single" w:sz="6" w:space="0" w:color="auto"/>
              <w:bottom w:val="single" w:sz="6" w:space="0" w:color="auto"/>
              <w:right w:val="single" w:sz="6" w:space="0" w:color="auto"/>
            </w:tcBorders>
          </w:tcPr>
          <w:p w14:paraId="2B3EBB77" w14:textId="77777777" w:rsidR="003F3C3B" w:rsidRDefault="00B62225">
            <w:r>
              <w:t xml:space="preserve">2 and </w:t>
            </w:r>
            <w:r w:rsidR="003F3C3B">
              <w:t>10</w:t>
            </w:r>
          </w:p>
        </w:tc>
      </w:tr>
      <w:tr w:rsidR="003F3C3B" w14:paraId="3B401B1D" w14:textId="77777777" w:rsidTr="00B97D77">
        <w:trPr>
          <w:cantSplit/>
        </w:trPr>
        <w:tc>
          <w:tcPr>
            <w:tcW w:w="1384" w:type="dxa"/>
            <w:tcBorders>
              <w:top w:val="single" w:sz="6" w:space="0" w:color="auto"/>
              <w:left w:val="single" w:sz="6" w:space="0" w:color="auto"/>
              <w:bottom w:val="single" w:sz="6" w:space="0" w:color="auto"/>
              <w:right w:val="single" w:sz="6" w:space="0" w:color="auto"/>
            </w:tcBorders>
          </w:tcPr>
          <w:p w14:paraId="4C176EDE" w14:textId="77777777" w:rsidR="003F3C3B" w:rsidRDefault="003F3C3B">
            <w:r>
              <w:t>1.0 mL</w:t>
            </w:r>
          </w:p>
        </w:tc>
        <w:tc>
          <w:tcPr>
            <w:tcW w:w="2021" w:type="dxa"/>
            <w:tcBorders>
              <w:top w:val="single" w:sz="6" w:space="0" w:color="auto"/>
              <w:left w:val="single" w:sz="6" w:space="0" w:color="auto"/>
              <w:bottom w:val="single" w:sz="6" w:space="0" w:color="auto"/>
              <w:right w:val="single" w:sz="6" w:space="0" w:color="auto"/>
            </w:tcBorders>
          </w:tcPr>
          <w:p w14:paraId="3A050EF2" w14:textId="77777777" w:rsidR="003F3C3B" w:rsidRDefault="003F3C3B">
            <w:r>
              <w:t>Graduated</w:t>
            </w:r>
          </w:p>
        </w:tc>
        <w:tc>
          <w:tcPr>
            <w:tcW w:w="3791" w:type="dxa"/>
            <w:tcBorders>
              <w:top w:val="single" w:sz="6" w:space="0" w:color="auto"/>
              <w:left w:val="single" w:sz="6" w:space="0" w:color="auto"/>
              <w:bottom w:val="single" w:sz="6" w:space="0" w:color="auto"/>
              <w:right w:val="single" w:sz="6" w:space="0" w:color="auto"/>
            </w:tcBorders>
          </w:tcPr>
          <w:p w14:paraId="6F1B1AA6" w14:textId="77777777" w:rsidR="003F3C3B" w:rsidRDefault="003F3C3B">
            <w:pPr>
              <w:jc w:val="center"/>
            </w:pPr>
            <w:r>
              <w:t>9,500</w:t>
            </w:r>
          </w:p>
        </w:tc>
        <w:tc>
          <w:tcPr>
            <w:tcW w:w="1947" w:type="dxa"/>
            <w:tcBorders>
              <w:top w:val="single" w:sz="6" w:space="0" w:color="auto"/>
              <w:left w:val="single" w:sz="6" w:space="0" w:color="auto"/>
              <w:bottom w:val="single" w:sz="6" w:space="0" w:color="auto"/>
              <w:right w:val="single" w:sz="6" w:space="0" w:color="auto"/>
            </w:tcBorders>
          </w:tcPr>
          <w:p w14:paraId="7DDA501B" w14:textId="77777777" w:rsidR="003F3C3B" w:rsidRDefault="00B62225">
            <w:r>
              <w:t xml:space="preserve">2 and </w:t>
            </w:r>
            <w:r w:rsidR="003F3C3B">
              <w:t>10</w:t>
            </w:r>
          </w:p>
        </w:tc>
      </w:tr>
    </w:tbl>
    <w:p w14:paraId="255CF264" w14:textId="1DEBA6A8" w:rsidR="00B62225" w:rsidRDefault="00B62225" w:rsidP="00B62225">
      <w:pPr>
        <w:tabs>
          <w:tab w:val="center" w:pos="4536"/>
          <w:tab w:val="center" w:pos="9072"/>
        </w:tabs>
        <w:spacing w:before="120"/>
        <w:jc w:val="both"/>
        <w:outlineLvl w:val="0"/>
        <w:rPr>
          <w:sz w:val="20"/>
        </w:rPr>
      </w:pPr>
      <w:proofErr w:type="gramStart"/>
      <w:r>
        <w:rPr>
          <w:sz w:val="20"/>
        </w:rPr>
        <w:t>*  All</w:t>
      </w:r>
      <w:proofErr w:type="gramEnd"/>
      <w:r>
        <w:rPr>
          <w:sz w:val="20"/>
        </w:rPr>
        <w:t xml:space="preserve"> </w:t>
      </w:r>
      <w:r w:rsidR="00234AC1">
        <w:rPr>
          <w:sz w:val="20"/>
        </w:rPr>
        <w:t xml:space="preserve">volumes </w:t>
      </w:r>
      <w:r w:rsidR="008238A9">
        <w:rPr>
          <w:sz w:val="20"/>
        </w:rPr>
        <w:t xml:space="preserve">and </w:t>
      </w:r>
      <w:r w:rsidR="00A735BC">
        <w:rPr>
          <w:sz w:val="20"/>
        </w:rPr>
        <w:t>pack sizes</w:t>
      </w:r>
      <w:r>
        <w:rPr>
          <w:sz w:val="20"/>
        </w:rPr>
        <w:t xml:space="preserve"> </w:t>
      </w:r>
      <w:r w:rsidR="008238A9">
        <w:rPr>
          <w:sz w:val="20"/>
        </w:rPr>
        <w:t xml:space="preserve">may not be </w:t>
      </w:r>
      <w:r>
        <w:rPr>
          <w:sz w:val="20"/>
        </w:rPr>
        <w:t>available in Australia.</w:t>
      </w:r>
    </w:p>
    <w:p w14:paraId="79CBAB69" w14:textId="77777777" w:rsidR="003F3C3B" w:rsidRDefault="003F3C3B"/>
    <w:p w14:paraId="157BC71E" w14:textId="77777777" w:rsidR="00006B16" w:rsidRDefault="003F3C3B">
      <w:r>
        <w:t>Store below 25</w:t>
      </w:r>
      <w:r w:rsidR="004F69C1">
        <w:rPr>
          <w:rFonts w:cs="Arial"/>
          <w:vertAlign w:val="superscript"/>
        </w:rPr>
        <w:t>°</w:t>
      </w:r>
      <w:r>
        <w:t xml:space="preserve">C but do not freeze.  Do not refrigerate as cold injections may be painful.  </w:t>
      </w:r>
    </w:p>
    <w:p w14:paraId="489299FF" w14:textId="77777777" w:rsidR="00006B16" w:rsidRDefault="00006B16"/>
    <w:p w14:paraId="3B2AAC25" w14:textId="77777777" w:rsidR="003F3C3B" w:rsidRDefault="003F3C3B">
      <w:r>
        <w:t>Use once only and discard any unused portion of each syringe. Do not mix with other preparations.  Do not use after the expiry date shown on the carton.</w:t>
      </w:r>
    </w:p>
    <w:p w14:paraId="6F1ADF7B" w14:textId="77777777" w:rsidR="001556D1" w:rsidRDefault="001556D1"/>
    <w:p w14:paraId="74FC5BEE" w14:textId="77777777" w:rsidR="00C36246" w:rsidRDefault="00C36246"/>
    <w:p w14:paraId="105FA92F" w14:textId="77777777" w:rsidR="00C36246" w:rsidRPr="00C36246" w:rsidRDefault="00700A55">
      <w:pPr>
        <w:rPr>
          <w:b/>
        </w:rPr>
      </w:pPr>
      <w:r w:rsidRPr="00700A55">
        <w:rPr>
          <w:b/>
        </w:rPr>
        <w:t xml:space="preserve">NAME AND ADDRESS OF </w:t>
      </w:r>
      <w:r w:rsidR="004F69C1">
        <w:rPr>
          <w:b/>
        </w:rPr>
        <w:t xml:space="preserve">THE </w:t>
      </w:r>
      <w:r w:rsidRPr="00700A55">
        <w:rPr>
          <w:b/>
        </w:rPr>
        <w:t>SPONSOR</w:t>
      </w:r>
    </w:p>
    <w:p w14:paraId="40EA1CF5" w14:textId="77777777" w:rsidR="003F3C3B" w:rsidRDefault="003F3C3B"/>
    <w:p w14:paraId="7065B546" w14:textId="77777777" w:rsidR="00C57941" w:rsidRDefault="00592C73" w:rsidP="00120343">
      <w:pPr>
        <w:tabs>
          <w:tab w:val="left" w:pos="0"/>
        </w:tabs>
        <w:jc w:val="both"/>
        <w:rPr>
          <w:rFonts w:cs="Arial"/>
          <w:szCs w:val="24"/>
        </w:rPr>
      </w:pPr>
      <w:r>
        <w:rPr>
          <w:rFonts w:cs="Arial"/>
          <w:szCs w:val="24"/>
        </w:rPr>
        <w:t>Aspen Pharmacare Australia Pty Ltd</w:t>
      </w:r>
    </w:p>
    <w:p w14:paraId="08E82935" w14:textId="77777777" w:rsidR="00592C73" w:rsidRDefault="00592C73" w:rsidP="00120343">
      <w:pPr>
        <w:tabs>
          <w:tab w:val="left" w:pos="0"/>
        </w:tabs>
        <w:jc w:val="both"/>
        <w:rPr>
          <w:rFonts w:cs="Arial"/>
          <w:szCs w:val="24"/>
        </w:rPr>
      </w:pPr>
      <w:r>
        <w:rPr>
          <w:rFonts w:cs="Arial"/>
          <w:szCs w:val="24"/>
        </w:rPr>
        <w:t>34-36 Chandos Street</w:t>
      </w:r>
    </w:p>
    <w:p w14:paraId="4D818396" w14:textId="77777777" w:rsidR="00592C73" w:rsidRPr="00511F04" w:rsidRDefault="00592C73" w:rsidP="00120343">
      <w:pPr>
        <w:tabs>
          <w:tab w:val="left" w:pos="0"/>
        </w:tabs>
        <w:jc w:val="both"/>
        <w:rPr>
          <w:rFonts w:cs="Arial"/>
          <w:szCs w:val="24"/>
        </w:rPr>
      </w:pPr>
      <w:r>
        <w:rPr>
          <w:rFonts w:cs="Arial"/>
          <w:szCs w:val="24"/>
        </w:rPr>
        <w:t>St Leonards NSW 2065</w:t>
      </w:r>
    </w:p>
    <w:p w14:paraId="7CA1E735" w14:textId="77777777" w:rsidR="003F3C3B" w:rsidRDefault="003F3C3B"/>
    <w:p w14:paraId="6A2FD4A9" w14:textId="77777777" w:rsidR="00F94256" w:rsidRDefault="00F94256"/>
    <w:p w14:paraId="47FE53B3" w14:textId="77777777" w:rsidR="004F69C1" w:rsidRDefault="00700A55">
      <w:pPr>
        <w:rPr>
          <w:b/>
        </w:rPr>
      </w:pPr>
      <w:r w:rsidRPr="00700A55">
        <w:rPr>
          <w:b/>
        </w:rPr>
        <w:t>POISON SCHEDULE OF THE MEDICINE</w:t>
      </w:r>
      <w:r w:rsidRPr="00700A55">
        <w:rPr>
          <w:b/>
        </w:rPr>
        <w:br/>
      </w:r>
    </w:p>
    <w:p w14:paraId="02DDE0FC" w14:textId="77777777" w:rsidR="004F69C1" w:rsidRPr="004F69C1" w:rsidRDefault="00700A55">
      <w:r w:rsidRPr="00700A55">
        <w:t>S4</w:t>
      </w:r>
      <w:r w:rsidR="00696491">
        <w:t xml:space="preserve"> - </w:t>
      </w:r>
      <w:r w:rsidR="004F69C1">
        <w:t>Prescription Only Medicine</w:t>
      </w:r>
    </w:p>
    <w:p w14:paraId="150CC6B1" w14:textId="77777777" w:rsidR="004F69C1" w:rsidRPr="004F69C1" w:rsidRDefault="004F69C1">
      <w:pPr>
        <w:rPr>
          <w:b/>
        </w:rPr>
      </w:pPr>
    </w:p>
    <w:p w14:paraId="262F2F0C" w14:textId="77777777" w:rsidR="004F69C1" w:rsidRDefault="004F69C1"/>
    <w:p w14:paraId="7B2CB96B" w14:textId="52FD5618" w:rsidR="00C36246" w:rsidRDefault="0014234D">
      <w:pPr>
        <w:rPr>
          <w:b/>
        </w:rPr>
      </w:pPr>
      <w:r>
        <w:rPr>
          <w:b/>
        </w:rPr>
        <w:t>DATE OF FIRST INCLUSION IN THE</w:t>
      </w:r>
      <w:r w:rsidR="006A6609" w:rsidRPr="00C36246">
        <w:rPr>
          <w:b/>
        </w:rPr>
        <w:t xml:space="preserve"> </w:t>
      </w:r>
      <w:r w:rsidR="00C36246" w:rsidRPr="00C36246">
        <w:rPr>
          <w:b/>
        </w:rPr>
        <w:t>AUSTRALIAN</w:t>
      </w:r>
      <w:r w:rsidR="00811335">
        <w:rPr>
          <w:b/>
        </w:rPr>
        <w:t xml:space="preserve"> </w:t>
      </w:r>
      <w:r w:rsidR="00C36246" w:rsidRPr="00C36246">
        <w:rPr>
          <w:b/>
        </w:rPr>
        <w:t>REGISTER OF THERAP</w:t>
      </w:r>
      <w:r w:rsidR="00C36246">
        <w:rPr>
          <w:b/>
        </w:rPr>
        <w:t>EU</w:t>
      </w:r>
      <w:r w:rsidR="00C36246" w:rsidRPr="00C36246">
        <w:rPr>
          <w:b/>
        </w:rPr>
        <w:t>TIC GOODS (</w:t>
      </w:r>
      <w:r>
        <w:rPr>
          <w:b/>
        </w:rPr>
        <w:t xml:space="preserve">the </w:t>
      </w:r>
      <w:r w:rsidR="00C36246" w:rsidRPr="00C36246">
        <w:rPr>
          <w:b/>
        </w:rPr>
        <w:t>ARTG)</w:t>
      </w:r>
      <w:r w:rsidR="006A6609">
        <w:rPr>
          <w:b/>
        </w:rPr>
        <w:t>:</w:t>
      </w:r>
    </w:p>
    <w:p w14:paraId="7DD24ACF" w14:textId="77777777" w:rsidR="00C36246" w:rsidRPr="00C36246" w:rsidRDefault="00C36246">
      <w:pPr>
        <w:rPr>
          <w:b/>
        </w:rPr>
      </w:pPr>
    </w:p>
    <w:p w14:paraId="078CDAAB" w14:textId="77777777" w:rsidR="003F3C3B" w:rsidRDefault="00EA626B">
      <w:r>
        <w:t>14 August 1995</w:t>
      </w:r>
    </w:p>
    <w:p w14:paraId="41AD8226" w14:textId="77777777" w:rsidR="00C36246" w:rsidRDefault="00C36246"/>
    <w:p w14:paraId="1473D358" w14:textId="5BDCC802" w:rsidR="0014234D" w:rsidRDefault="0014234D">
      <w:pPr>
        <w:rPr>
          <w:b/>
        </w:rPr>
      </w:pPr>
      <w:r>
        <w:rPr>
          <w:b/>
        </w:rPr>
        <w:t>DATE OF MOST RECENT AMENDMENT</w:t>
      </w:r>
      <w:r w:rsidR="006A6609">
        <w:rPr>
          <w:b/>
        </w:rPr>
        <w:t xml:space="preserve">: </w:t>
      </w:r>
    </w:p>
    <w:p w14:paraId="7208B90C" w14:textId="77777777" w:rsidR="009708FF" w:rsidRDefault="009708FF">
      <w:pPr>
        <w:rPr>
          <w:lang w:val="it-IT"/>
        </w:rPr>
      </w:pPr>
    </w:p>
    <w:p w14:paraId="3866D634" w14:textId="6C914100" w:rsidR="00974512" w:rsidRPr="004A3E7B" w:rsidRDefault="002D05DA">
      <w:pPr>
        <w:rPr>
          <w:lang w:val="it-IT"/>
        </w:rPr>
      </w:pPr>
      <w:r>
        <w:rPr>
          <w:lang w:val="it-IT"/>
        </w:rPr>
        <w:t>31 August 2017</w:t>
      </w:r>
    </w:p>
    <w:p w14:paraId="5C346008" w14:textId="77777777" w:rsidR="004700C1" w:rsidRDefault="004700C1"/>
    <w:p w14:paraId="6054F642" w14:textId="77777777" w:rsidR="003F3C3B" w:rsidRPr="005556C2" w:rsidRDefault="00AD5090">
      <w:r>
        <w:t>Fraxiparine</w:t>
      </w:r>
      <w:r w:rsidRPr="00AD5090">
        <w:rPr>
          <w:rFonts w:cs="Arial"/>
          <w:vertAlign w:val="superscript"/>
        </w:rPr>
        <w:t>®</w:t>
      </w:r>
      <w:r>
        <w:t xml:space="preserve"> is a registered trade mark of </w:t>
      </w:r>
      <w:r w:rsidR="00E55A41" w:rsidRPr="005556C2">
        <w:t>Aspen Global Incorporated</w:t>
      </w:r>
      <w:r w:rsidRPr="005556C2">
        <w:t>.</w:t>
      </w:r>
    </w:p>
    <w:p w14:paraId="36783CA3" w14:textId="77777777" w:rsidR="006A6609" w:rsidRDefault="006A6609"/>
    <w:p w14:paraId="3DBAF9F4" w14:textId="77777777" w:rsidR="003F3C3B" w:rsidRDefault="003F3C3B"/>
    <w:sectPr w:rsidR="003F3C3B" w:rsidSect="00997D7E">
      <w:headerReference w:type="default" r:id="rId9"/>
      <w:footerReference w:type="default" r:id="rId10"/>
      <w:endnotePr>
        <w:numFmt w:val="decimal"/>
      </w:endnotePr>
      <w:pgSz w:w="11907" w:h="16840" w:code="9"/>
      <w:pgMar w:top="1554" w:right="967" w:bottom="999" w:left="983" w:header="1134" w:footer="78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1CFF" w14:textId="77777777" w:rsidR="00E053C6" w:rsidRDefault="00E053C6">
      <w:r>
        <w:separator/>
      </w:r>
    </w:p>
  </w:endnote>
  <w:endnote w:type="continuationSeparator" w:id="0">
    <w:p w14:paraId="7F56431A" w14:textId="77777777" w:rsidR="00E053C6" w:rsidRDefault="00E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2812" w14:textId="777466B4" w:rsidR="00E053C6" w:rsidRPr="006E3B31" w:rsidRDefault="00E053C6">
    <w:pPr>
      <w:pStyle w:val="Footer"/>
      <w:jc w:val="center"/>
      <w:rPr>
        <w:sz w:val="18"/>
        <w:szCs w:val="18"/>
      </w:rPr>
    </w:pPr>
    <w:r w:rsidRPr="006E3B31">
      <w:rPr>
        <w:sz w:val="18"/>
        <w:szCs w:val="18"/>
      </w:rPr>
      <w:fldChar w:fldCharType="begin"/>
    </w:r>
    <w:r w:rsidRPr="006E3B31">
      <w:rPr>
        <w:sz w:val="18"/>
        <w:szCs w:val="18"/>
      </w:rPr>
      <w:instrText xml:space="preserve"> PAGE   \* MERGEFORMAT </w:instrText>
    </w:r>
    <w:r w:rsidRPr="006E3B31">
      <w:rPr>
        <w:sz w:val="18"/>
        <w:szCs w:val="18"/>
      </w:rPr>
      <w:fldChar w:fldCharType="separate"/>
    </w:r>
    <w:r w:rsidR="007616B8">
      <w:rPr>
        <w:noProof/>
        <w:sz w:val="18"/>
        <w:szCs w:val="18"/>
      </w:rPr>
      <w:t>2</w:t>
    </w:r>
    <w:r w:rsidRPr="006E3B31">
      <w:rPr>
        <w:sz w:val="18"/>
        <w:szCs w:val="18"/>
      </w:rPr>
      <w:fldChar w:fldCharType="end"/>
    </w:r>
  </w:p>
  <w:p w14:paraId="794AEA7D" w14:textId="77777777" w:rsidR="00E053C6" w:rsidRPr="005D543B" w:rsidRDefault="00E053C6" w:rsidP="005D5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A8DE4" w14:textId="77777777" w:rsidR="00E053C6" w:rsidRDefault="00E053C6">
      <w:r>
        <w:separator/>
      </w:r>
    </w:p>
  </w:footnote>
  <w:footnote w:type="continuationSeparator" w:id="0">
    <w:p w14:paraId="585961C6" w14:textId="77777777" w:rsidR="00E053C6" w:rsidRDefault="00E05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053C6" w:rsidRPr="002E7F61" w14:paraId="07D82EC4" w14:textId="77777777" w:rsidTr="00E053C6">
      <w:trPr>
        <w:trHeight w:val="602"/>
      </w:trPr>
      <w:tc>
        <w:tcPr>
          <w:tcW w:w="8720" w:type="dxa"/>
          <w:shd w:val="clear" w:color="auto" w:fill="E4F2E0"/>
        </w:tcPr>
        <w:p w14:paraId="2ACCA4BA" w14:textId="77777777" w:rsidR="00E053C6" w:rsidRPr="002E7F61" w:rsidRDefault="00E053C6" w:rsidP="00E053C6">
          <w:pPr>
            <w:pStyle w:val="Footer"/>
            <w:rPr>
              <w:b/>
              <w:sz w:val="18"/>
              <w:szCs w:val="18"/>
            </w:rPr>
          </w:pPr>
          <w:r w:rsidRPr="002E7F61">
            <w:rPr>
              <w:b/>
              <w:sz w:val="18"/>
              <w:szCs w:val="18"/>
            </w:rPr>
            <w:t xml:space="preserve">Attachment 1: Product information for </w:t>
          </w:r>
          <w:r w:rsidRPr="008F6713">
            <w:rPr>
              <w:b/>
              <w:sz w:val="18"/>
              <w:szCs w:val="18"/>
            </w:rPr>
            <w:t xml:space="preserve">AusPAR </w:t>
          </w:r>
          <w:proofErr w:type="spellStart"/>
          <w:r w:rsidRPr="008F6713">
            <w:rPr>
              <w:b/>
              <w:sz w:val="18"/>
              <w:szCs w:val="18"/>
            </w:rPr>
            <w:t>Fraxiparine</w:t>
          </w:r>
          <w:proofErr w:type="spellEnd"/>
          <w:r w:rsidRPr="008F6713">
            <w:rPr>
              <w:b/>
              <w:sz w:val="18"/>
              <w:szCs w:val="18"/>
            </w:rPr>
            <w:t xml:space="preserve"> Aspen Pharmacare Australia Pty Ltd PM-2016-02215-1-3</w:t>
          </w:r>
          <w:r>
            <w:rPr>
              <w:b/>
              <w:sz w:val="18"/>
              <w:szCs w:val="18"/>
            </w:rPr>
            <w:t xml:space="preserve"> </w:t>
          </w:r>
          <w:r w:rsidRPr="008F6713">
            <w:rPr>
              <w:b/>
              <w:sz w:val="18"/>
              <w:szCs w:val="18"/>
            </w:rPr>
            <w:t>Final 4 Sep 2018</w:t>
          </w:r>
          <w:r w:rsidRPr="002E7F61">
            <w:rPr>
              <w:b/>
              <w:sz w:val="18"/>
              <w:szCs w:val="18"/>
            </w:rPr>
            <w:t>. This Product information was approved at the time this AusPAR was published.</w:t>
          </w:r>
        </w:p>
      </w:tc>
    </w:tr>
  </w:tbl>
  <w:p w14:paraId="5592E50E" w14:textId="77777777" w:rsidR="00E053C6" w:rsidRDefault="00E05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3C62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EA2BF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BC8DB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418CF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2FB48F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46FB3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C16D7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9F2C6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D8288CE"/>
    <w:lvl w:ilvl="0">
      <w:start w:val="1"/>
      <w:numFmt w:val="decimal"/>
      <w:pStyle w:val="ListNumber"/>
      <w:lvlText w:val="%1."/>
      <w:lvlJc w:val="left"/>
      <w:pPr>
        <w:tabs>
          <w:tab w:val="num" w:pos="480"/>
        </w:tabs>
        <w:ind w:left="480" w:hanging="360"/>
      </w:pPr>
    </w:lvl>
  </w:abstractNum>
  <w:abstractNum w:abstractNumId="9">
    <w:nsid w:val="FFFFFF89"/>
    <w:multiLevelType w:val="singleLevel"/>
    <w:tmpl w:val="ED1269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0D02F50"/>
    <w:multiLevelType w:val="hybridMultilevel"/>
    <w:tmpl w:val="AD922DDE"/>
    <w:lvl w:ilvl="0" w:tplc="5C6E8596">
      <w:start w:val="1"/>
      <w:numFmt w:val="decimal"/>
      <w:lvlText w:val="%1."/>
      <w:lvlJc w:val="left"/>
      <w:pPr>
        <w:tabs>
          <w:tab w:val="num" w:pos="720"/>
        </w:tabs>
        <w:ind w:left="720" w:hanging="360"/>
      </w:pPr>
    </w:lvl>
    <w:lvl w:ilvl="1" w:tplc="308E3228" w:tentative="1">
      <w:start w:val="1"/>
      <w:numFmt w:val="lowerLetter"/>
      <w:lvlText w:val="%2."/>
      <w:lvlJc w:val="left"/>
      <w:pPr>
        <w:tabs>
          <w:tab w:val="num" w:pos="1440"/>
        </w:tabs>
        <w:ind w:left="1440" w:hanging="360"/>
      </w:pPr>
    </w:lvl>
    <w:lvl w:ilvl="2" w:tplc="710668A8" w:tentative="1">
      <w:start w:val="1"/>
      <w:numFmt w:val="lowerRoman"/>
      <w:lvlText w:val="%3."/>
      <w:lvlJc w:val="right"/>
      <w:pPr>
        <w:tabs>
          <w:tab w:val="num" w:pos="2160"/>
        </w:tabs>
        <w:ind w:left="2160" w:hanging="180"/>
      </w:pPr>
    </w:lvl>
    <w:lvl w:ilvl="3" w:tplc="7D28C380" w:tentative="1">
      <w:start w:val="1"/>
      <w:numFmt w:val="decimal"/>
      <w:lvlText w:val="%4."/>
      <w:lvlJc w:val="left"/>
      <w:pPr>
        <w:tabs>
          <w:tab w:val="num" w:pos="2880"/>
        </w:tabs>
        <w:ind w:left="2880" w:hanging="360"/>
      </w:pPr>
    </w:lvl>
    <w:lvl w:ilvl="4" w:tplc="94AC3094" w:tentative="1">
      <w:start w:val="1"/>
      <w:numFmt w:val="lowerLetter"/>
      <w:lvlText w:val="%5."/>
      <w:lvlJc w:val="left"/>
      <w:pPr>
        <w:tabs>
          <w:tab w:val="num" w:pos="3600"/>
        </w:tabs>
        <w:ind w:left="3600" w:hanging="360"/>
      </w:pPr>
    </w:lvl>
    <w:lvl w:ilvl="5" w:tplc="F23C809E" w:tentative="1">
      <w:start w:val="1"/>
      <w:numFmt w:val="lowerRoman"/>
      <w:lvlText w:val="%6."/>
      <w:lvlJc w:val="right"/>
      <w:pPr>
        <w:tabs>
          <w:tab w:val="num" w:pos="4320"/>
        </w:tabs>
        <w:ind w:left="4320" w:hanging="180"/>
      </w:pPr>
    </w:lvl>
    <w:lvl w:ilvl="6" w:tplc="8F7ACD3E" w:tentative="1">
      <w:start w:val="1"/>
      <w:numFmt w:val="decimal"/>
      <w:lvlText w:val="%7."/>
      <w:lvlJc w:val="left"/>
      <w:pPr>
        <w:tabs>
          <w:tab w:val="num" w:pos="5040"/>
        </w:tabs>
        <w:ind w:left="5040" w:hanging="360"/>
      </w:pPr>
    </w:lvl>
    <w:lvl w:ilvl="7" w:tplc="79B6964E" w:tentative="1">
      <w:start w:val="1"/>
      <w:numFmt w:val="lowerLetter"/>
      <w:lvlText w:val="%8."/>
      <w:lvlJc w:val="left"/>
      <w:pPr>
        <w:tabs>
          <w:tab w:val="num" w:pos="5760"/>
        </w:tabs>
        <w:ind w:left="5760" w:hanging="360"/>
      </w:pPr>
    </w:lvl>
    <w:lvl w:ilvl="8" w:tplc="DE0C2B0E" w:tentative="1">
      <w:start w:val="1"/>
      <w:numFmt w:val="lowerRoman"/>
      <w:lvlText w:val="%9."/>
      <w:lvlJc w:val="right"/>
      <w:pPr>
        <w:tabs>
          <w:tab w:val="num" w:pos="6480"/>
        </w:tabs>
        <w:ind w:left="6480" w:hanging="180"/>
      </w:pPr>
    </w:lvl>
  </w:abstractNum>
  <w:abstractNum w:abstractNumId="12">
    <w:nsid w:val="11CA27C6"/>
    <w:multiLevelType w:val="hybridMultilevel"/>
    <w:tmpl w:val="0922D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D76416"/>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9E40455"/>
    <w:multiLevelType w:val="hybridMultilevel"/>
    <w:tmpl w:val="BD980FEE"/>
    <w:lvl w:ilvl="0" w:tplc="20A0208A">
      <w:start w:val="1"/>
      <w:numFmt w:val="bullet"/>
      <w:lvlText w:val=""/>
      <w:lvlJc w:val="left"/>
      <w:pPr>
        <w:tabs>
          <w:tab w:val="num" w:pos="720"/>
        </w:tabs>
        <w:ind w:left="720" w:hanging="360"/>
      </w:pPr>
      <w:rPr>
        <w:rFonts w:ascii="Symbol" w:hAnsi="Symbol" w:hint="default"/>
      </w:rPr>
    </w:lvl>
    <w:lvl w:ilvl="1" w:tplc="B4549DDC" w:tentative="1">
      <w:start w:val="1"/>
      <w:numFmt w:val="bullet"/>
      <w:lvlText w:val="o"/>
      <w:lvlJc w:val="left"/>
      <w:pPr>
        <w:tabs>
          <w:tab w:val="num" w:pos="1440"/>
        </w:tabs>
        <w:ind w:left="1440" w:hanging="360"/>
      </w:pPr>
      <w:rPr>
        <w:rFonts w:ascii="Courier New" w:hAnsi="Courier New" w:cs="Courier New" w:hint="default"/>
      </w:rPr>
    </w:lvl>
    <w:lvl w:ilvl="2" w:tplc="9168BB04" w:tentative="1">
      <w:start w:val="1"/>
      <w:numFmt w:val="bullet"/>
      <w:lvlText w:val=""/>
      <w:lvlJc w:val="left"/>
      <w:pPr>
        <w:tabs>
          <w:tab w:val="num" w:pos="2160"/>
        </w:tabs>
        <w:ind w:left="2160" w:hanging="360"/>
      </w:pPr>
      <w:rPr>
        <w:rFonts w:ascii="Wingdings" w:hAnsi="Wingdings" w:hint="default"/>
      </w:rPr>
    </w:lvl>
    <w:lvl w:ilvl="3" w:tplc="11D0CD26" w:tentative="1">
      <w:start w:val="1"/>
      <w:numFmt w:val="bullet"/>
      <w:lvlText w:val=""/>
      <w:lvlJc w:val="left"/>
      <w:pPr>
        <w:tabs>
          <w:tab w:val="num" w:pos="2880"/>
        </w:tabs>
        <w:ind w:left="2880" w:hanging="360"/>
      </w:pPr>
      <w:rPr>
        <w:rFonts w:ascii="Symbol" w:hAnsi="Symbol" w:hint="default"/>
      </w:rPr>
    </w:lvl>
    <w:lvl w:ilvl="4" w:tplc="AF8CFA4A" w:tentative="1">
      <w:start w:val="1"/>
      <w:numFmt w:val="bullet"/>
      <w:lvlText w:val="o"/>
      <w:lvlJc w:val="left"/>
      <w:pPr>
        <w:tabs>
          <w:tab w:val="num" w:pos="3600"/>
        </w:tabs>
        <w:ind w:left="3600" w:hanging="360"/>
      </w:pPr>
      <w:rPr>
        <w:rFonts w:ascii="Courier New" w:hAnsi="Courier New" w:cs="Courier New" w:hint="default"/>
      </w:rPr>
    </w:lvl>
    <w:lvl w:ilvl="5" w:tplc="6D5E50E4" w:tentative="1">
      <w:start w:val="1"/>
      <w:numFmt w:val="bullet"/>
      <w:lvlText w:val=""/>
      <w:lvlJc w:val="left"/>
      <w:pPr>
        <w:tabs>
          <w:tab w:val="num" w:pos="4320"/>
        </w:tabs>
        <w:ind w:left="4320" w:hanging="360"/>
      </w:pPr>
      <w:rPr>
        <w:rFonts w:ascii="Wingdings" w:hAnsi="Wingdings" w:hint="default"/>
      </w:rPr>
    </w:lvl>
    <w:lvl w:ilvl="6" w:tplc="99A4931E" w:tentative="1">
      <w:start w:val="1"/>
      <w:numFmt w:val="bullet"/>
      <w:lvlText w:val=""/>
      <w:lvlJc w:val="left"/>
      <w:pPr>
        <w:tabs>
          <w:tab w:val="num" w:pos="5040"/>
        </w:tabs>
        <w:ind w:left="5040" w:hanging="360"/>
      </w:pPr>
      <w:rPr>
        <w:rFonts w:ascii="Symbol" w:hAnsi="Symbol" w:hint="default"/>
      </w:rPr>
    </w:lvl>
    <w:lvl w:ilvl="7" w:tplc="4D9A98B0" w:tentative="1">
      <w:start w:val="1"/>
      <w:numFmt w:val="bullet"/>
      <w:lvlText w:val="o"/>
      <w:lvlJc w:val="left"/>
      <w:pPr>
        <w:tabs>
          <w:tab w:val="num" w:pos="5760"/>
        </w:tabs>
        <w:ind w:left="5760" w:hanging="360"/>
      </w:pPr>
      <w:rPr>
        <w:rFonts w:ascii="Courier New" w:hAnsi="Courier New" w:cs="Courier New" w:hint="default"/>
      </w:rPr>
    </w:lvl>
    <w:lvl w:ilvl="8" w:tplc="3E943452" w:tentative="1">
      <w:start w:val="1"/>
      <w:numFmt w:val="bullet"/>
      <w:lvlText w:val=""/>
      <w:lvlJc w:val="left"/>
      <w:pPr>
        <w:tabs>
          <w:tab w:val="num" w:pos="6480"/>
        </w:tabs>
        <w:ind w:left="6480" w:hanging="360"/>
      </w:pPr>
      <w:rPr>
        <w:rFonts w:ascii="Wingdings" w:hAnsi="Wingdings" w:hint="default"/>
      </w:rPr>
    </w:lvl>
  </w:abstractNum>
  <w:abstractNum w:abstractNumId="15">
    <w:nsid w:val="1E7055C4"/>
    <w:multiLevelType w:val="singleLevel"/>
    <w:tmpl w:val="0C09000F"/>
    <w:lvl w:ilvl="0">
      <w:start w:val="1"/>
      <w:numFmt w:val="decimal"/>
      <w:lvlText w:val="%1."/>
      <w:legacy w:legacy="1" w:legacySpace="0" w:legacyIndent="360"/>
      <w:lvlJc w:val="left"/>
      <w:pPr>
        <w:ind w:left="360" w:hanging="360"/>
      </w:pPr>
    </w:lvl>
  </w:abstractNum>
  <w:abstractNum w:abstractNumId="16">
    <w:nsid w:val="227764E8"/>
    <w:multiLevelType w:val="hybridMultilevel"/>
    <w:tmpl w:val="DF10F6C6"/>
    <w:lvl w:ilvl="0" w:tplc="DFCC3E9C">
      <w:start w:val="1"/>
      <w:numFmt w:val="bullet"/>
      <w:lvlText w:val=""/>
      <w:lvlJc w:val="left"/>
      <w:pPr>
        <w:tabs>
          <w:tab w:val="num" w:pos="720"/>
        </w:tabs>
        <w:ind w:left="720" w:hanging="360"/>
      </w:pPr>
      <w:rPr>
        <w:rFonts w:ascii="Symbol" w:hAnsi="Symbol" w:hint="default"/>
      </w:rPr>
    </w:lvl>
    <w:lvl w:ilvl="1" w:tplc="77C8C122" w:tentative="1">
      <w:start w:val="1"/>
      <w:numFmt w:val="bullet"/>
      <w:lvlText w:val="o"/>
      <w:lvlJc w:val="left"/>
      <w:pPr>
        <w:tabs>
          <w:tab w:val="num" w:pos="1440"/>
        </w:tabs>
        <w:ind w:left="1440" w:hanging="360"/>
      </w:pPr>
      <w:rPr>
        <w:rFonts w:ascii="Courier New" w:hAnsi="Courier New" w:cs="Courier New" w:hint="default"/>
      </w:rPr>
    </w:lvl>
    <w:lvl w:ilvl="2" w:tplc="CD7A5766" w:tentative="1">
      <w:start w:val="1"/>
      <w:numFmt w:val="bullet"/>
      <w:lvlText w:val=""/>
      <w:lvlJc w:val="left"/>
      <w:pPr>
        <w:tabs>
          <w:tab w:val="num" w:pos="2160"/>
        </w:tabs>
        <w:ind w:left="2160" w:hanging="360"/>
      </w:pPr>
      <w:rPr>
        <w:rFonts w:ascii="Wingdings" w:hAnsi="Wingdings" w:hint="default"/>
      </w:rPr>
    </w:lvl>
    <w:lvl w:ilvl="3" w:tplc="5E78BF26" w:tentative="1">
      <w:start w:val="1"/>
      <w:numFmt w:val="bullet"/>
      <w:lvlText w:val=""/>
      <w:lvlJc w:val="left"/>
      <w:pPr>
        <w:tabs>
          <w:tab w:val="num" w:pos="2880"/>
        </w:tabs>
        <w:ind w:left="2880" w:hanging="360"/>
      </w:pPr>
      <w:rPr>
        <w:rFonts w:ascii="Symbol" w:hAnsi="Symbol" w:hint="default"/>
      </w:rPr>
    </w:lvl>
    <w:lvl w:ilvl="4" w:tplc="B8CC0A86" w:tentative="1">
      <w:start w:val="1"/>
      <w:numFmt w:val="bullet"/>
      <w:lvlText w:val="o"/>
      <w:lvlJc w:val="left"/>
      <w:pPr>
        <w:tabs>
          <w:tab w:val="num" w:pos="3600"/>
        </w:tabs>
        <w:ind w:left="3600" w:hanging="360"/>
      </w:pPr>
      <w:rPr>
        <w:rFonts w:ascii="Courier New" w:hAnsi="Courier New" w:cs="Courier New" w:hint="default"/>
      </w:rPr>
    </w:lvl>
    <w:lvl w:ilvl="5" w:tplc="0942727C" w:tentative="1">
      <w:start w:val="1"/>
      <w:numFmt w:val="bullet"/>
      <w:lvlText w:val=""/>
      <w:lvlJc w:val="left"/>
      <w:pPr>
        <w:tabs>
          <w:tab w:val="num" w:pos="4320"/>
        </w:tabs>
        <w:ind w:left="4320" w:hanging="360"/>
      </w:pPr>
      <w:rPr>
        <w:rFonts w:ascii="Wingdings" w:hAnsi="Wingdings" w:hint="default"/>
      </w:rPr>
    </w:lvl>
    <w:lvl w:ilvl="6" w:tplc="68CEFFB8" w:tentative="1">
      <w:start w:val="1"/>
      <w:numFmt w:val="bullet"/>
      <w:lvlText w:val=""/>
      <w:lvlJc w:val="left"/>
      <w:pPr>
        <w:tabs>
          <w:tab w:val="num" w:pos="5040"/>
        </w:tabs>
        <w:ind w:left="5040" w:hanging="360"/>
      </w:pPr>
      <w:rPr>
        <w:rFonts w:ascii="Symbol" w:hAnsi="Symbol" w:hint="default"/>
      </w:rPr>
    </w:lvl>
    <w:lvl w:ilvl="7" w:tplc="BC72D490" w:tentative="1">
      <w:start w:val="1"/>
      <w:numFmt w:val="bullet"/>
      <w:lvlText w:val="o"/>
      <w:lvlJc w:val="left"/>
      <w:pPr>
        <w:tabs>
          <w:tab w:val="num" w:pos="5760"/>
        </w:tabs>
        <w:ind w:left="5760" w:hanging="360"/>
      </w:pPr>
      <w:rPr>
        <w:rFonts w:ascii="Courier New" w:hAnsi="Courier New" w:cs="Courier New" w:hint="default"/>
      </w:rPr>
    </w:lvl>
    <w:lvl w:ilvl="8" w:tplc="0E66E190" w:tentative="1">
      <w:start w:val="1"/>
      <w:numFmt w:val="bullet"/>
      <w:lvlText w:val=""/>
      <w:lvlJc w:val="left"/>
      <w:pPr>
        <w:tabs>
          <w:tab w:val="num" w:pos="6480"/>
        </w:tabs>
        <w:ind w:left="6480" w:hanging="360"/>
      </w:pPr>
      <w:rPr>
        <w:rFonts w:ascii="Wingdings" w:hAnsi="Wingdings" w:hint="default"/>
      </w:rPr>
    </w:lvl>
  </w:abstractNum>
  <w:abstractNum w:abstractNumId="17">
    <w:nsid w:val="250B4890"/>
    <w:multiLevelType w:val="hybridMultilevel"/>
    <w:tmpl w:val="7B969EC8"/>
    <w:lvl w:ilvl="0" w:tplc="F1E44578">
      <w:start w:val="1"/>
      <w:numFmt w:val="bullet"/>
      <w:lvlText w:val=""/>
      <w:lvlJc w:val="left"/>
      <w:pPr>
        <w:tabs>
          <w:tab w:val="num" w:pos="720"/>
        </w:tabs>
        <w:ind w:left="720" w:hanging="360"/>
      </w:pPr>
      <w:rPr>
        <w:rFonts w:ascii="Symbol" w:hAnsi="Symbol" w:hint="default"/>
      </w:rPr>
    </w:lvl>
    <w:lvl w:ilvl="1" w:tplc="6F48A64E" w:tentative="1">
      <w:start w:val="1"/>
      <w:numFmt w:val="bullet"/>
      <w:lvlText w:val="o"/>
      <w:lvlJc w:val="left"/>
      <w:pPr>
        <w:tabs>
          <w:tab w:val="num" w:pos="1440"/>
        </w:tabs>
        <w:ind w:left="1440" w:hanging="360"/>
      </w:pPr>
      <w:rPr>
        <w:rFonts w:ascii="Courier New" w:hAnsi="Courier New" w:cs="Courier New" w:hint="default"/>
      </w:rPr>
    </w:lvl>
    <w:lvl w:ilvl="2" w:tplc="93828CDA" w:tentative="1">
      <w:start w:val="1"/>
      <w:numFmt w:val="bullet"/>
      <w:lvlText w:val=""/>
      <w:lvlJc w:val="left"/>
      <w:pPr>
        <w:tabs>
          <w:tab w:val="num" w:pos="2160"/>
        </w:tabs>
        <w:ind w:left="2160" w:hanging="360"/>
      </w:pPr>
      <w:rPr>
        <w:rFonts w:ascii="Wingdings" w:hAnsi="Wingdings" w:hint="default"/>
      </w:rPr>
    </w:lvl>
    <w:lvl w:ilvl="3" w:tplc="FEDA774E" w:tentative="1">
      <w:start w:val="1"/>
      <w:numFmt w:val="bullet"/>
      <w:lvlText w:val=""/>
      <w:lvlJc w:val="left"/>
      <w:pPr>
        <w:tabs>
          <w:tab w:val="num" w:pos="2880"/>
        </w:tabs>
        <w:ind w:left="2880" w:hanging="360"/>
      </w:pPr>
      <w:rPr>
        <w:rFonts w:ascii="Symbol" w:hAnsi="Symbol" w:hint="default"/>
      </w:rPr>
    </w:lvl>
    <w:lvl w:ilvl="4" w:tplc="8046A1B8" w:tentative="1">
      <w:start w:val="1"/>
      <w:numFmt w:val="bullet"/>
      <w:lvlText w:val="o"/>
      <w:lvlJc w:val="left"/>
      <w:pPr>
        <w:tabs>
          <w:tab w:val="num" w:pos="3600"/>
        </w:tabs>
        <w:ind w:left="3600" w:hanging="360"/>
      </w:pPr>
      <w:rPr>
        <w:rFonts w:ascii="Courier New" w:hAnsi="Courier New" w:cs="Courier New" w:hint="default"/>
      </w:rPr>
    </w:lvl>
    <w:lvl w:ilvl="5" w:tplc="A7E6D31E" w:tentative="1">
      <w:start w:val="1"/>
      <w:numFmt w:val="bullet"/>
      <w:lvlText w:val=""/>
      <w:lvlJc w:val="left"/>
      <w:pPr>
        <w:tabs>
          <w:tab w:val="num" w:pos="4320"/>
        </w:tabs>
        <w:ind w:left="4320" w:hanging="360"/>
      </w:pPr>
      <w:rPr>
        <w:rFonts w:ascii="Wingdings" w:hAnsi="Wingdings" w:hint="default"/>
      </w:rPr>
    </w:lvl>
    <w:lvl w:ilvl="6" w:tplc="AEC08A0C" w:tentative="1">
      <w:start w:val="1"/>
      <w:numFmt w:val="bullet"/>
      <w:lvlText w:val=""/>
      <w:lvlJc w:val="left"/>
      <w:pPr>
        <w:tabs>
          <w:tab w:val="num" w:pos="5040"/>
        </w:tabs>
        <w:ind w:left="5040" w:hanging="360"/>
      </w:pPr>
      <w:rPr>
        <w:rFonts w:ascii="Symbol" w:hAnsi="Symbol" w:hint="default"/>
      </w:rPr>
    </w:lvl>
    <w:lvl w:ilvl="7" w:tplc="8ED27132" w:tentative="1">
      <w:start w:val="1"/>
      <w:numFmt w:val="bullet"/>
      <w:lvlText w:val="o"/>
      <w:lvlJc w:val="left"/>
      <w:pPr>
        <w:tabs>
          <w:tab w:val="num" w:pos="5760"/>
        </w:tabs>
        <w:ind w:left="5760" w:hanging="360"/>
      </w:pPr>
      <w:rPr>
        <w:rFonts w:ascii="Courier New" w:hAnsi="Courier New" w:cs="Courier New" w:hint="default"/>
      </w:rPr>
    </w:lvl>
    <w:lvl w:ilvl="8" w:tplc="19D8EF88" w:tentative="1">
      <w:start w:val="1"/>
      <w:numFmt w:val="bullet"/>
      <w:lvlText w:val=""/>
      <w:lvlJc w:val="left"/>
      <w:pPr>
        <w:tabs>
          <w:tab w:val="num" w:pos="6480"/>
        </w:tabs>
        <w:ind w:left="6480" w:hanging="360"/>
      </w:pPr>
      <w:rPr>
        <w:rFonts w:ascii="Wingdings" w:hAnsi="Wingdings" w:hint="default"/>
      </w:rPr>
    </w:lvl>
  </w:abstractNum>
  <w:abstractNum w:abstractNumId="18">
    <w:nsid w:val="33E7719F"/>
    <w:multiLevelType w:val="hybridMultilevel"/>
    <w:tmpl w:val="5D2E4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7977A2"/>
    <w:multiLevelType w:val="singleLevel"/>
    <w:tmpl w:val="7250F40C"/>
    <w:lvl w:ilvl="0">
      <w:start w:val="1"/>
      <w:numFmt w:val="bullet"/>
      <w:pStyle w:val="listbull"/>
      <w:lvlText w:val=""/>
      <w:lvlJc w:val="left"/>
      <w:pPr>
        <w:tabs>
          <w:tab w:val="num" w:pos="567"/>
        </w:tabs>
        <w:ind w:left="567" w:hanging="567"/>
      </w:pPr>
      <w:rPr>
        <w:rFonts w:ascii="Symbol" w:hAnsi="Symbol" w:hint="default"/>
      </w:rPr>
    </w:lvl>
  </w:abstractNum>
  <w:abstractNum w:abstractNumId="20">
    <w:nsid w:val="43DA45E9"/>
    <w:multiLevelType w:val="hybridMultilevel"/>
    <w:tmpl w:val="8C8EB87C"/>
    <w:lvl w:ilvl="0" w:tplc="6210787E">
      <w:start w:val="1"/>
      <w:numFmt w:val="bullet"/>
      <w:lvlText w:val=""/>
      <w:lvlJc w:val="left"/>
      <w:pPr>
        <w:tabs>
          <w:tab w:val="num" w:pos="720"/>
        </w:tabs>
        <w:ind w:left="720" w:hanging="360"/>
      </w:pPr>
      <w:rPr>
        <w:rFonts w:ascii="Symbol" w:hAnsi="Symbol" w:hint="default"/>
      </w:rPr>
    </w:lvl>
    <w:lvl w:ilvl="1" w:tplc="E8B07000" w:tentative="1">
      <w:start w:val="1"/>
      <w:numFmt w:val="bullet"/>
      <w:lvlText w:val="o"/>
      <w:lvlJc w:val="left"/>
      <w:pPr>
        <w:tabs>
          <w:tab w:val="num" w:pos="1440"/>
        </w:tabs>
        <w:ind w:left="1440" w:hanging="360"/>
      </w:pPr>
      <w:rPr>
        <w:rFonts w:ascii="Courier New" w:hAnsi="Courier New" w:cs="Courier New" w:hint="default"/>
      </w:rPr>
    </w:lvl>
    <w:lvl w:ilvl="2" w:tplc="34143356" w:tentative="1">
      <w:start w:val="1"/>
      <w:numFmt w:val="bullet"/>
      <w:lvlText w:val=""/>
      <w:lvlJc w:val="left"/>
      <w:pPr>
        <w:tabs>
          <w:tab w:val="num" w:pos="2160"/>
        </w:tabs>
        <w:ind w:left="2160" w:hanging="360"/>
      </w:pPr>
      <w:rPr>
        <w:rFonts w:ascii="Wingdings" w:hAnsi="Wingdings" w:hint="default"/>
      </w:rPr>
    </w:lvl>
    <w:lvl w:ilvl="3" w:tplc="CFDA9786" w:tentative="1">
      <w:start w:val="1"/>
      <w:numFmt w:val="bullet"/>
      <w:lvlText w:val=""/>
      <w:lvlJc w:val="left"/>
      <w:pPr>
        <w:tabs>
          <w:tab w:val="num" w:pos="2880"/>
        </w:tabs>
        <w:ind w:left="2880" w:hanging="360"/>
      </w:pPr>
      <w:rPr>
        <w:rFonts w:ascii="Symbol" w:hAnsi="Symbol" w:hint="default"/>
      </w:rPr>
    </w:lvl>
    <w:lvl w:ilvl="4" w:tplc="8FE6DE96" w:tentative="1">
      <w:start w:val="1"/>
      <w:numFmt w:val="bullet"/>
      <w:lvlText w:val="o"/>
      <w:lvlJc w:val="left"/>
      <w:pPr>
        <w:tabs>
          <w:tab w:val="num" w:pos="3600"/>
        </w:tabs>
        <w:ind w:left="3600" w:hanging="360"/>
      </w:pPr>
      <w:rPr>
        <w:rFonts w:ascii="Courier New" w:hAnsi="Courier New" w:cs="Courier New" w:hint="default"/>
      </w:rPr>
    </w:lvl>
    <w:lvl w:ilvl="5" w:tplc="B86CA2C4" w:tentative="1">
      <w:start w:val="1"/>
      <w:numFmt w:val="bullet"/>
      <w:lvlText w:val=""/>
      <w:lvlJc w:val="left"/>
      <w:pPr>
        <w:tabs>
          <w:tab w:val="num" w:pos="4320"/>
        </w:tabs>
        <w:ind w:left="4320" w:hanging="360"/>
      </w:pPr>
      <w:rPr>
        <w:rFonts w:ascii="Wingdings" w:hAnsi="Wingdings" w:hint="default"/>
      </w:rPr>
    </w:lvl>
    <w:lvl w:ilvl="6" w:tplc="DC16C010" w:tentative="1">
      <w:start w:val="1"/>
      <w:numFmt w:val="bullet"/>
      <w:lvlText w:val=""/>
      <w:lvlJc w:val="left"/>
      <w:pPr>
        <w:tabs>
          <w:tab w:val="num" w:pos="5040"/>
        </w:tabs>
        <w:ind w:left="5040" w:hanging="360"/>
      </w:pPr>
      <w:rPr>
        <w:rFonts w:ascii="Symbol" w:hAnsi="Symbol" w:hint="default"/>
      </w:rPr>
    </w:lvl>
    <w:lvl w:ilvl="7" w:tplc="B2FE2AC8" w:tentative="1">
      <w:start w:val="1"/>
      <w:numFmt w:val="bullet"/>
      <w:lvlText w:val="o"/>
      <w:lvlJc w:val="left"/>
      <w:pPr>
        <w:tabs>
          <w:tab w:val="num" w:pos="5760"/>
        </w:tabs>
        <w:ind w:left="5760" w:hanging="360"/>
      </w:pPr>
      <w:rPr>
        <w:rFonts w:ascii="Courier New" w:hAnsi="Courier New" w:cs="Courier New" w:hint="default"/>
      </w:rPr>
    </w:lvl>
    <w:lvl w:ilvl="8" w:tplc="C5889EA2" w:tentative="1">
      <w:start w:val="1"/>
      <w:numFmt w:val="bullet"/>
      <w:lvlText w:val=""/>
      <w:lvlJc w:val="left"/>
      <w:pPr>
        <w:tabs>
          <w:tab w:val="num" w:pos="6480"/>
        </w:tabs>
        <w:ind w:left="6480" w:hanging="360"/>
      </w:pPr>
      <w:rPr>
        <w:rFonts w:ascii="Wingdings" w:hAnsi="Wingdings" w:hint="default"/>
      </w:rPr>
    </w:lvl>
  </w:abstractNum>
  <w:abstractNum w:abstractNumId="21">
    <w:nsid w:val="4B9F4825"/>
    <w:multiLevelType w:val="hybridMultilevel"/>
    <w:tmpl w:val="E1925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491850"/>
    <w:multiLevelType w:val="hybridMultilevel"/>
    <w:tmpl w:val="DD965CB4"/>
    <w:lvl w:ilvl="0" w:tplc="76622A6E">
      <w:start w:val="1"/>
      <w:numFmt w:val="bullet"/>
      <w:lvlText w:val=""/>
      <w:lvlJc w:val="left"/>
      <w:pPr>
        <w:tabs>
          <w:tab w:val="num" w:pos="720"/>
        </w:tabs>
        <w:ind w:left="720" w:hanging="360"/>
      </w:pPr>
      <w:rPr>
        <w:rFonts w:ascii="Symbol" w:hAnsi="Symbol" w:hint="default"/>
      </w:rPr>
    </w:lvl>
    <w:lvl w:ilvl="1" w:tplc="14985CD2" w:tentative="1">
      <w:start w:val="1"/>
      <w:numFmt w:val="bullet"/>
      <w:lvlText w:val="o"/>
      <w:lvlJc w:val="left"/>
      <w:pPr>
        <w:tabs>
          <w:tab w:val="num" w:pos="1440"/>
        </w:tabs>
        <w:ind w:left="1440" w:hanging="360"/>
      </w:pPr>
      <w:rPr>
        <w:rFonts w:ascii="Courier New" w:hAnsi="Courier New" w:cs="Courier New" w:hint="default"/>
      </w:rPr>
    </w:lvl>
    <w:lvl w:ilvl="2" w:tplc="50100DE0" w:tentative="1">
      <w:start w:val="1"/>
      <w:numFmt w:val="bullet"/>
      <w:lvlText w:val=""/>
      <w:lvlJc w:val="left"/>
      <w:pPr>
        <w:tabs>
          <w:tab w:val="num" w:pos="2160"/>
        </w:tabs>
        <w:ind w:left="2160" w:hanging="360"/>
      </w:pPr>
      <w:rPr>
        <w:rFonts w:ascii="Wingdings" w:hAnsi="Wingdings" w:hint="default"/>
      </w:rPr>
    </w:lvl>
    <w:lvl w:ilvl="3" w:tplc="9920DDEA" w:tentative="1">
      <w:start w:val="1"/>
      <w:numFmt w:val="bullet"/>
      <w:lvlText w:val=""/>
      <w:lvlJc w:val="left"/>
      <w:pPr>
        <w:tabs>
          <w:tab w:val="num" w:pos="2880"/>
        </w:tabs>
        <w:ind w:left="2880" w:hanging="360"/>
      </w:pPr>
      <w:rPr>
        <w:rFonts w:ascii="Symbol" w:hAnsi="Symbol" w:hint="default"/>
      </w:rPr>
    </w:lvl>
    <w:lvl w:ilvl="4" w:tplc="1612F65C" w:tentative="1">
      <w:start w:val="1"/>
      <w:numFmt w:val="bullet"/>
      <w:lvlText w:val="o"/>
      <w:lvlJc w:val="left"/>
      <w:pPr>
        <w:tabs>
          <w:tab w:val="num" w:pos="3600"/>
        </w:tabs>
        <w:ind w:left="3600" w:hanging="360"/>
      </w:pPr>
      <w:rPr>
        <w:rFonts w:ascii="Courier New" w:hAnsi="Courier New" w:cs="Courier New" w:hint="default"/>
      </w:rPr>
    </w:lvl>
    <w:lvl w:ilvl="5" w:tplc="D9A08164" w:tentative="1">
      <w:start w:val="1"/>
      <w:numFmt w:val="bullet"/>
      <w:lvlText w:val=""/>
      <w:lvlJc w:val="left"/>
      <w:pPr>
        <w:tabs>
          <w:tab w:val="num" w:pos="4320"/>
        </w:tabs>
        <w:ind w:left="4320" w:hanging="360"/>
      </w:pPr>
      <w:rPr>
        <w:rFonts w:ascii="Wingdings" w:hAnsi="Wingdings" w:hint="default"/>
      </w:rPr>
    </w:lvl>
    <w:lvl w:ilvl="6" w:tplc="36885B18" w:tentative="1">
      <w:start w:val="1"/>
      <w:numFmt w:val="bullet"/>
      <w:lvlText w:val=""/>
      <w:lvlJc w:val="left"/>
      <w:pPr>
        <w:tabs>
          <w:tab w:val="num" w:pos="5040"/>
        </w:tabs>
        <w:ind w:left="5040" w:hanging="360"/>
      </w:pPr>
      <w:rPr>
        <w:rFonts w:ascii="Symbol" w:hAnsi="Symbol" w:hint="default"/>
      </w:rPr>
    </w:lvl>
    <w:lvl w:ilvl="7" w:tplc="1082C150" w:tentative="1">
      <w:start w:val="1"/>
      <w:numFmt w:val="bullet"/>
      <w:lvlText w:val="o"/>
      <w:lvlJc w:val="left"/>
      <w:pPr>
        <w:tabs>
          <w:tab w:val="num" w:pos="5760"/>
        </w:tabs>
        <w:ind w:left="5760" w:hanging="360"/>
      </w:pPr>
      <w:rPr>
        <w:rFonts w:ascii="Courier New" w:hAnsi="Courier New" w:cs="Courier New" w:hint="default"/>
      </w:rPr>
    </w:lvl>
    <w:lvl w:ilvl="8" w:tplc="A998DB18" w:tentative="1">
      <w:start w:val="1"/>
      <w:numFmt w:val="bullet"/>
      <w:lvlText w:val=""/>
      <w:lvlJc w:val="left"/>
      <w:pPr>
        <w:tabs>
          <w:tab w:val="num" w:pos="6480"/>
        </w:tabs>
        <w:ind w:left="6480" w:hanging="360"/>
      </w:pPr>
      <w:rPr>
        <w:rFonts w:ascii="Wingdings" w:hAnsi="Wingdings" w:hint="default"/>
      </w:rPr>
    </w:lvl>
  </w:abstractNum>
  <w:abstractNum w:abstractNumId="23">
    <w:nsid w:val="6C70535A"/>
    <w:multiLevelType w:val="hybridMultilevel"/>
    <w:tmpl w:val="DC240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E964A56"/>
    <w:multiLevelType w:val="hybridMultilevel"/>
    <w:tmpl w:val="2E721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BEB2B17"/>
    <w:multiLevelType w:val="singleLevel"/>
    <w:tmpl w:val="56987024"/>
    <w:lvl w:ilvl="0">
      <w:start w:val="1"/>
      <w:numFmt w:val="decimal"/>
      <w:lvlText w:val="%1."/>
      <w:legacy w:legacy="1" w:legacySpace="0" w:legacyIndent="360"/>
      <w:lvlJc w:val="left"/>
      <w:pPr>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15"/>
  </w:num>
  <w:num w:numId="4">
    <w:abstractNumId w:val="15"/>
    <w:lvlOverride w:ilvl="0">
      <w:lvl w:ilvl="0">
        <w:start w:val="1"/>
        <w:numFmt w:val="decimal"/>
        <w:lvlText w:val="%1."/>
        <w:legacy w:legacy="1" w:legacySpace="0" w:legacyIndent="360"/>
        <w:lvlJc w:val="left"/>
        <w:pPr>
          <w:ind w:left="360" w:hanging="360"/>
        </w:pPr>
      </w:lvl>
    </w:lvlOverride>
  </w:num>
  <w:num w:numId="5">
    <w:abstractNumId w:val="15"/>
    <w:lvlOverride w:ilvl="0">
      <w:lvl w:ilvl="0">
        <w:start w:val="1"/>
        <w:numFmt w:val="decimal"/>
        <w:lvlText w:val="%1."/>
        <w:legacy w:legacy="1" w:legacySpace="0" w:legacyIndent="360"/>
        <w:lvlJc w:val="left"/>
        <w:pPr>
          <w:ind w:left="360" w:hanging="360"/>
        </w:pPr>
      </w:lvl>
    </w:lvlOverride>
  </w:num>
  <w:num w:numId="6">
    <w:abstractNumId w:val="15"/>
    <w:lvlOverride w:ilvl="0">
      <w:lvl w:ilvl="0">
        <w:start w:val="1"/>
        <w:numFmt w:val="decimal"/>
        <w:lvlText w:val="%1."/>
        <w:legacy w:legacy="1" w:legacySpace="0" w:legacyIndent="360"/>
        <w:lvlJc w:val="left"/>
        <w:pPr>
          <w:ind w:left="360" w:hanging="360"/>
        </w:pPr>
      </w:lvl>
    </w:lvlOverride>
  </w:num>
  <w:num w:numId="7">
    <w:abstractNumId w:val="9"/>
  </w:num>
  <w:num w:numId="8">
    <w:abstractNumId w:val="11"/>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3"/>
  </w:num>
  <w:num w:numId="19">
    <w:abstractNumId w:val="14"/>
  </w:num>
  <w:num w:numId="20">
    <w:abstractNumId w:val="20"/>
  </w:num>
  <w:num w:numId="21">
    <w:abstractNumId w:val="17"/>
  </w:num>
  <w:num w:numId="22">
    <w:abstractNumId w:val="22"/>
  </w:num>
  <w:num w:numId="23">
    <w:abstractNumId w:val="16"/>
  </w:num>
  <w:num w:numId="24">
    <w:abstractNumId w:val="19"/>
  </w:num>
  <w:num w:numId="25">
    <w:abstractNumId w:val="18"/>
  </w:num>
  <w:num w:numId="26">
    <w:abstractNumId w:val="21"/>
  </w:num>
  <w:num w:numId="27">
    <w:abstractNumId w:val="24"/>
  </w:num>
  <w:num w:numId="28">
    <w:abstractNumId w:val="25"/>
    <w:lvlOverride w:ilvl="0">
      <w:lvl w:ilvl="0">
        <w:start w:val="1"/>
        <w:numFmt w:val="decimal"/>
        <w:lvlText w:val="%1."/>
        <w:legacy w:legacy="1" w:legacySpace="0" w:legacyIndent="360"/>
        <w:lvlJc w:val="left"/>
        <w:pPr>
          <w:ind w:left="360" w:hanging="360"/>
        </w:pPr>
      </w:lvl>
    </w:lvlOverride>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61"/>
    <w:rsid w:val="000013CC"/>
    <w:rsid w:val="00002D11"/>
    <w:rsid w:val="00005432"/>
    <w:rsid w:val="00006B16"/>
    <w:rsid w:val="00006D0A"/>
    <w:rsid w:val="000171B0"/>
    <w:rsid w:val="000204CC"/>
    <w:rsid w:val="000351DC"/>
    <w:rsid w:val="000361C7"/>
    <w:rsid w:val="000363F2"/>
    <w:rsid w:val="000432EC"/>
    <w:rsid w:val="00046A16"/>
    <w:rsid w:val="000471F6"/>
    <w:rsid w:val="000477C3"/>
    <w:rsid w:val="00060F96"/>
    <w:rsid w:val="00061802"/>
    <w:rsid w:val="0006283F"/>
    <w:rsid w:val="000632A2"/>
    <w:rsid w:val="00065DCA"/>
    <w:rsid w:val="00073C51"/>
    <w:rsid w:val="00075DC5"/>
    <w:rsid w:val="0008342F"/>
    <w:rsid w:val="000851D5"/>
    <w:rsid w:val="00087676"/>
    <w:rsid w:val="00091BD7"/>
    <w:rsid w:val="00093159"/>
    <w:rsid w:val="000A7790"/>
    <w:rsid w:val="000A7ABD"/>
    <w:rsid w:val="000A7AFE"/>
    <w:rsid w:val="000C26E6"/>
    <w:rsid w:val="000C3CCD"/>
    <w:rsid w:val="000C5548"/>
    <w:rsid w:val="000C7AD1"/>
    <w:rsid w:val="000D189F"/>
    <w:rsid w:val="000D4F34"/>
    <w:rsid w:val="000D53AF"/>
    <w:rsid w:val="000E2B64"/>
    <w:rsid w:val="000E3384"/>
    <w:rsid w:val="000E4BF4"/>
    <w:rsid w:val="000E7153"/>
    <w:rsid w:val="000F039A"/>
    <w:rsid w:val="000F1D20"/>
    <w:rsid w:val="001123F2"/>
    <w:rsid w:val="00120343"/>
    <w:rsid w:val="00131C10"/>
    <w:rsid w:val="00132A80"/>
    <w:rsid w:val="00132A93"/>
    <w:rsid w:val="0013372E"/>
    <w:rsid w:val="00134E42"/>
    <w:rsid w:val="001400EC"/>
    <w:rsid w:val="0014234D"/>
    <w:rsid w:val="001556D1"/>
    <w:rsid w:val="00165955"/>
    <w:rsid w:val="0017051D"/>
    <w:rsid w:val="001716E7"/>
    <w:rsid w:val="0017378A"/>
    <w:rsid w:val="00175F80"/>
    <w:rsid w:val="00175FAD"/>
    <w:rsid w:val="0017697C"/>
    <w:rsid w:val="00176B40"/>
    <w:rsid w:val="00186F6B"/>
    <w:rsid w:val="0019205C"/>
    <w:rsid w:val="00192B1E"/>
    <w:rsid w:val="00192E86"/>
    <w:rsid w:val="00193AB1"/>
    <w:rsid w:val="001A0855"/>
    <w:rsid w:val="001A3457"/>
    <w:rsid w:val="001B1F86"/>
    <w:rsid w:val="001B41E1"/>
    <w:rsid w:val="001B4EA5"/>
    <w:rsid w:val="001D61C4"/>
    <w:rsid w:val="001E648C"/>
    <w:rsid w:val="001F3294"/>
    <w:rsid w:val="001F37D5"/>
    <w:rsid w:val="0020253A"/>
    <w:rsid w:val="002148BD"/>
    <w:rsid w:val="002150E6"/>
    <w:rsid w:val="00217228"/>
    <w:rsid w:val="00222F98"/>
    <w:rsid w:val="0022725C"/>
    <w:rsid w:val="00230192"/>
    <w:rsid w:val="00231A20"/>
    <w:rsid w:val="00232EAD"/>
    <w:rsid w:val="00234AC1"/>
    <w:rsid w:val="00236A4E"/>
    <w:rsid w:val="00237BE9"/>
    <w:rsid w:val="0024028F"/>
    <w:rsid w:val="00240C61"/>
    <w:rsid w:val="00245092"/>
    <w:rsid w:val="002504DF"/>
    <w:rsid w:val="00250B68"/>
    <w:rsid w:val="002514F1"/>
    <w:rsid w:val="00253097"/>
    <w:rsid w:val="00255C1F"/>
    <w:rsid w:val="0026085D"/>
    <w:rsid w:val="002672C9"/>
    <w:rsid w:val="00272388"/>
    <w:rsid w:val="00275E73"/>
    <w:rsid w:val="002801F7"/>
    <w:rsid w:val="00280FE0"/>
    <w:rsid w:val="00281C8B"/>
    <w:rsid w:val="00283559"/>
    <w:rsid w:val="00283887"/>
    <w:rsid w:val="0028525C"/>
    <w:rsid w:val="00285702"/>
    <w:rsid w:val="00286AEF"/>
    <w:rsid w:val="002B2CFF"/>
    <w:rsid w:val="002B3B87"/>
    <w:rsid w:val="002B53C4"/>
    <w:rsid w:val="002B5995"/>
    <w:rsid w:val="002B6F88"/>
    <w:rsid w:val="002C1E3C"/>
    <w:rsid w:val="002C2D42"/>
    <w:rsid w:val="002C5882"/>
    <w:rsid w:val="002C754C"/>
    <w:rsid w:val="002D05DA"/>
    <w:rsid w:val="002D0E78"/>
    <w:rsid w:val="002D2284"/>
    <w:rsid w:val="002D2AD9"/>
    <w:rsid w:val="002E0746"/>
    <w:rsid w:val="002E7B20"/>
    <w:rsid w:val="002E7E8A"/>
    <w:rsid w:val="002F024B"/>
    <w:rsid w:val="003008BF"/>
    <w:rsid w:val="0030299C"/>
    <w:rsid w:val="00307EE7"/>
    <w:rsid w:val="00311E72"/>
    <w:rsid w:val="00313AC9"/>
    <w:rsid w:val="00321DFB"/>
    <w:rsid w:val="0032352A"/>
    <w:rsid w:val="0032621D"/>
    <w:rsid w:val="00326BF6"/>
    <w:rsid w:val="00332434"/>
    <w:rsid w:val="00332695"/>
    <w:rsid w:val="00332984"/>
    <w:rsid w:val="00337A99"/>
    <w:rsid w:val="0034028D"/>
    <w:rsid w:val="00344F7F"/>
    <w:rsid w:val="00347767"/>
    <w:rsid w:val="00364080"/>
    <w:rsid w:val="00367022"/>
    <w:rsid w:val="003929EC"/>
    <w:rsid w:val="00393DD5"/>
    <w:rsid w:val="00394AC1"/>
    <w:rsid w:val="003A2538"/>
    <w:rsid w:val="003A33B6"/>
    <w:rsid w:val="003A4EED"/>
    <w:rsid w:val="003A5D58"/>
    <w:rsid w:val="003A5FD1"/>
    <w:rsid w:val="003B20E4"/>
    <w:rsid w:val="003B52FF"/>
    <w:rsid w:val="003B5D8A"/>
    <w:rsid w:val="003C01A4"/>
    <w:rsid w:val="003C0A2D"/>
    <w:rsid w:val="003C1EBC"/>
    <w:rsid w:val="003C2206"/>
    <w:rsid w:val="003C3D1C"/>
    <w:rsid w:val="003C5EA3"/>
    <w:rsid w:val="003D0945"/>
    <w:rsid w:val="003D1C10"/>
    <w:rsid w:val="003D6344"/>
    <w:rsid w:val="003D7B14"/>
    <w:rsid w:val="003E21CB"/>
    <w:rsid w:val="003E384C"/>
    <w:rsid w:val="003E4FF8"/>
    <w:rsid w:val="003E7209"/>
    <w:rsid w:val="003F3C3B"/>
    <w:rsid w:val="0040144A"/>
    <w:rsid w:val="0040210A"/>
    <w:rsid w:val="00403EEE"/>
    <w:rsid w:val="00405358"/>
    <w:rsid w:val="00420446"/>
    <w:rsid w:val="0042198B"/>
    <w:rsid w:val="004278B2"/>
    <w:rsid w:val="00434502"/>
    <w:rsid w:val="00435504"/>
    <w:rsid w:val="00443CDD"/>
    <w:rsid w:val="004500B7"/>
    <w:rsid w:val="00451840"/>
    <w:rsid w:val="00460067"/>
    <w:rsid w:val="00462BA9"/>
    <w:rsid w:val="00465A2B"/>
    <w:rsid w:val="00466D1A"/>
    <w:rsid w:val="004700C1"/>
    <w:rsid w:val="00470400"/>
    <w:rsid w:val="00470473"/>
    <w:rsid w:val="004766AB"/>
    <w:rsid w:val="00476BCB"/>
    <w:rsid w:val="0048108C"/>
    <w:rsid w:val="00481EEA"/>
    <w:rsid w:val="004855C9"/>
    <w:rsid w:val="00486AEC"/>
    <w:rsid w:val="004942B7"/>
    <w:rsid w:val="0049659D"/>
    <w:rsid w:val="004A0A86"/>
    <w:rsid w:val="004A3E7B"/>
    <w:rsid w:val="004B0E84"/>
    <w:rsid w:val="004B7788"/>
    <w:rsid w:val="004C3027"/>
    <w:rsid w:val="004C741B"/>
    <w:rsid w:val="004D2BDC"/>
    <w:rsid w:val="004D5170"/>
    <w:rsid w:val="004D5681"/>
    <w:rsid w:val="004E110D"/>
    <w:rsid w:val="004E6761"/>
    <w:rsid w:val="004F69C1"/>
    <w:rsid w:val="00500F36"/>
    <w:rsid w:val="00501E40"/>
    <w:rsid w:val="00505044"/>
    <w:rsid w:val="005106ED"/>
    <w:rsid w:val="00511E31"/>
    <w:rsid w:val="00511F04"/>
    <w:rsid w:val="00513DD2"/>
    <w:rsid w:val="0051652F"/>
    <w:rsid w:val="00520586"/>
    <w:rsid w:val="00526714"/>
    <w:rsid w:val="00527673"/>
    <w:rsid w:val="005302BE"/>
    <w:rsid w:val="0053196D"/>
    <w:rsid w:val="0053774A"/>
    <w:rsid w:val="00543B23"/>
    <w:rsid w:val="005507B7"/>
    <w:rsid w:val="005556C2"/>
    <w:rsid w:val="00555E9C"/>
    <w:rsid w:val="00556134"/>
    <w:rsid w:val="005578F5"/>
    <w:rsid w:val="005602E9"/>
    <w:rsid w:val="0056425B"/>
    <w:rsid w:val="00565431"/>
    <w:rsid w:val="00566844"/>
    <w:rsid w:val="00573784"/>
    <w:rsid w:val="005770DF"/>
    <w:rsid w:val="005777D8"/>
    <w:rsid w:val="0058131D"/>
    <w:rsid w:val="00581E7A"/>
    <w:rsid w:val="00582F9D"/>
    <w:rsid w:val="00591BF9"/>
    <w:rsid w:val="00592C73"/>
    <w:rsid w:val="005955DA"/>
    <w:rsid w:val="005A0F8B"/>
    <w:rsid w:val="005A6FB0"/>
    <w:rsid w:val="005B515E"/>
    <w:rsid w:val="005B6CD7"/>
    <w:rsid w:val="005B742D"/>
    <w:rsid w:val="005C00C1"/>
    <w:rsid w:val="005C00D3"/>
    <w:rsid w:val="005C194D"/>
    <w:rsid w:val="005C5954"/>
    <w:rsid w:val="005C5C51"/>
    <w:rsid w:val="005D200D"/>
    <w:rsid w:val="005D2531"/>
    <w:rsid w:val="005D543B"/>
    <w:rsid w:val="005E073F"/>
    <w:rsid w:val="005E297E"/>
    <w:rsid w:val="005E4B70"/>
    <w:rsid w:val="005E65C1"/>
    <w:rsid w:val="005E7439"/>
    <w:rsid w:val="005F07A7"/>
    <w:rsid w:val="005F3B81"/>
    <w:rsid w:val="005F3C1D"/>
    <w:rsid w:val="00602498"/>
    <w:rsid w:val="00603185"/>
    <w:rsid w:val="00607260"/>
    <w:rsid w:val="00607804"/>
    <w:rsid w:val="00610AC8"/>
    <w:rsid w:val="0061343F"/>
    <w:rsid w:val="00615A4D"/>
    <w:rsid w:val="006160DB"/>
    <w:rsid w:val="00617C50"/>
    <w:rsid w:val="00625214"/>
    <w:rsid w:val="0062707F"/>
    <w:rsid w:val="00631F0E"/>
    <w:rsid w:val="0063743D"/>
    <w:rsid w:val="006379AC"/>
    <w:rsid w:val="006451C7"/>
    <w:rsid w:val="00646BBD"/>
    <w:rsid w:val="00653994"/>
    <w:rsid w:val="0067008B"/>
    <w:rsid w:val="00672842"/>
    <w:rsid w:val="00677EBD"/>
    <w:rsid w:val="00683FF6"/>
    <w:rsid w:val="00687FEC"/>
    <w:rsid w:val="00696491"/>
    <w:rsid w:val="00696ED3"/>
    <w:rsid w:val="00697334"/>
    <w:rsid w:val="006A0F8E"/>
    <w:rsid w:val="006A4C19"/>
    <w:rsid w:val="006A622B"/>
    <w:rsid w:val="006A6609"/>
    <w:rsid w:val="006B1F8E"/>
    <w:rsid w:val="006B2396"/>
    <w:rsid w:val="006C35AC"/>
    <w:rsid w:val="006C6EE7"/>
    <w:rsid w:val="006D0FAD"/>
    <w:rsid w:val="006E03D1"/>
    <w:rsid w:val="006E3B31"/>
    <w:rsid w:val="006E6ED2"/>
    <w:rsid w:val="006F5637"/>
    <w:rsid w:val="006F7C7C"/>
    <w:rsid w:val="00700A55"/>
    <w:rsid w:val="00703B71"/>
    <w:rsid w:val="0070408C"/>
    <w:rsid w:val="00705A0B"/>
    <w:rsid w:val="0070612B"/>
    <w:rsid w:val="00707AF1"/>
    <w:rsid w:val="00731332"/>
    <w:rsid w:val="00731F7A"/>
    <w:rsid w:val="007362CC"/>
    <w:rsid w:val="0073636D"/>
    <w:rsid w:val="00737D08"/>
    <w:rsid w:val="00746AF5"/>
    <w:rsid w:val="00761430"/>
    <w:rsid w:val="007616B8"/>
    <w:rsid w:val="00761AAD"/>
    <w:rsid w:val="00772100"/>
    <w:rsid w:val="0077595B"/>
    <w:rsid w:val="00783418"/>
    <w:rsid w:val="00785252"/>
    <w:rsid w:val="00786559"/>
    <w:rsid w:val="00787881"/>
    <w:rsid w:val="00793E6D"/>
    <w:rsid w:val="00794E76"/>
    <w:rsid w:val="007952B6"/>
    <w:rsid w:val="007966EE"/>
    <w:rsid w:val="007A26C7"/>
    <w:rsid w:val="007A4787"/>
    <w:rsid w:val="007A4950"/>
    <w:rsid w:val="007B2F60"/>
    <w:rsid w:val="007B7618"/>
    <w:rsid w:val="007B76D2"/>
    <w:rsid w:val="007C22ED"/>
    <w:rsid w:val="007C4189"/>
    <w:rsid w:val="007C4FD3"/>
    <w:rsid w:val="007C5DB9"/>
    <w:rsid w:val="007D4428"/>
    <w:rsid w:val="007D50EE"/>
    <w:rsid w:val="007D5ADE"/>
    <w:rsid w:val="007D5E0C"/>
    <w:rsid w:val="00811335"/>
    <w:rsid w:val="008166AA"/>
    <w:rsid w:val="008238A9"/>
    <w:rsid w:val="0083199C"/>
    <w:rsid w:val="00834DB4"/>
    <w:rsid w:val="00840DFA"/>
    <w:rsid w:val="00843461"/>
    <w:rsid w:val="00843522"/>
    <w:rsid w:val="008437AB"/>
    <w:rsid w:val="0084386B"/>
    <w:rsid w:val="00852319"/>
    <w:rsid w:val="008566DB"/>
    <w:rsid w:val="00860CC7"/>
    <w:rsid w:val="00861079"/>
    <w:rsid w:val="00871683"/>
    <w:rsid w:val="00874435"/>
    <w:rsid w:val="0087529C"/>
    <w:rsid w:val="00894EEA"/>
    <w:rsid w:val="00897591"/>
    <w:rsid w:val="008A21A5"/>
    <w:rsid w:val="008A2861"/>
    <w:rsid w:val="008A2E90"/>
    <w:rsid w:val="008A5BA6"/>
    <w:rsid w:val="008A607E"/>
    <w:rsid w:val="008A73D0"/>
    <w:rsid w:val="008B6418"/>
    <w:rsid w:val="008B6F60"/>
    <w:rsid w:val="008C0379"/>
    <w:rsid w:val="008C39D5"/>
    <w:rsid w:val="008C3DC2"/>
    <w:rsid w:val="008C482D"/>
    <w:rsid w:val="008C6C4D"/>
    <w:rsid w:val="008D171B"/>
    <w:rsid w:val="008D4D99"/>
    <w:rsid w:val="008E0BF1"/>
    <w:rsid w:val="008F27A8"/>
    <w:rsid w:val="00906DC9"/>
    <w:rsid w:val="009130F7"/>
    <w:rsid w:val="00916508"/>
    <w:rsid w:val="00916FA1"/>
    <w:rsid w:val="0092090A"/>
    <w:rsid w:val="00923F1F"/>
    <w:rsid w:val="00943236"/>
    <w:rsid w:val="0094577B"/>
    <w:rsid w:val="00951EB4"/>
    <w:rsid w:val="00953DAD"/>
    <w:rsid w:val="00954FAA"/>
    <w:rsid w:val="009604C1"/>
    <w:rsid w:val="009622AF"/>
    <w:rsid w:val="00965A2A"/>
    <w:rsid w:val="009708FF"/>
    <w:rsid w:val="0097328B"/>
    <w:rsid w:val="00973A19"/>
    <w:rsid w:val="00974512"/>
    <w:rsid w:val="00975CFD"/>
    <w:rsid w:val="009770A5"/>
    <w:rsid w:val="00984CF0"/>
    <w:rsid w:val="00992274"/>
    <w:rsid w:val="00995153"/>
    <w:rsid w:val="00997D7E"/>
    <w:rsid w:val="009A018F"/>
    <w:rsid w:val="009A2386"/>
    <w:rsid w:val="009A6B2D"/>
    <w:rsid w:val="009A6D2E"/>
    <w:rsid w:val="009B79F7"/>
    <w:rsid w:val="009C4E07"/>
    <w:rsid w:val="009C7C44"/>
    <w:rsid w:val="009D33AE"/>
    <w:rsid w:val="009D36D3"/>
    <w:rsid w:val="009D45B0"/>
    <w:rsid w:val="009D57E0"/>
    <w:rsid w:val="009D7D5B"/>
    <w:rsid w:val="009E5823"/>
    <w:rsid w:val="009E642A"/>
    <w:rsid w:val="009E7252"/>
    <w:rsid w:val="009E789D"/>
    <w:rsid w:val="009F0FF1"/>
    <w:rsid w:val="009F2409"/>
    <w:rsid w:val="009F4E6C"/>
    <w:rsid w:val="009F526A"/>
    <w:rsid w:val="00A033DD"/>
    <w:rsid w:val="00A056C8"/>
    <w:rsid w:val="00A069AB"/>
    <w:rsid w:val="00A106E6"/>
    <w:rsid w:val="00A10E1B"/>
    <w:rsid w:val="00A16DCF"/>
    <w:rsid w:val="00A225FD"/>
    <w:rsid w:val="00A2260A"/>
    <w:rsid w:val="00A26150"/>
    <w:rsid w:val="00A3280A"/>
    <w:rsid w:val="00A35CAE"/>
    <w:rsid w:val="00A43163"/>
    <w:rsid w:val="00A456D4"/>
    <w:rsid w:val="00A5072F"/>
    <w:rsid w:val="00A50FBC"/>
    <w:rsid w:val="00A542ED"/>
    <w:rsid w:val="00A57F53"/>
    <w:rsid w:val="00A638D2"/>
    <w:rsid w:val="00A63A5B"/>
    <w:rsid w:val="00A63E66"/>
    <w:rsid w:val="00A64690"/>
    <w:rsid w:val="00A64FCA"/>
    <w:rsid w:val="00A65443"/>
    <w:rsid w:val="00A65AE0"/>
    <w:rsid w:val="00A67DDD"/>
    <w:rsid w:val="00A735BC"/>
    <w:rsid w:val="00A810DB"/>
    <w:rsid w:val="00A81D24"/>
    <w:rsid w:val="00A82CE4"/>
    <w:rsid w:val="00A8373F"/>
    <w:rsid w:val="00A84C31"/>
    <w:rsid w:val="00A926D0"/>
    <w:rsid w:val="00A93503"/>
    <w:rsid w:val="00A94021"/>
    <w:rsid w:val="00AA13D9"/>
    <w:rsid w:val="00AA311A"/>
    <w:rsid w:val="00AA4DC0"/>
    <w:rsid w:val="00AA7C48"/>
    <w:rsid w:val="00AB181B"/>
    <w:rsid w:val="00AB2B51"/>
    <w:rsid w:val="00AC3260"/>
    <w:rsid w:val="00AC5FD4"/>
    <w:rsid w:val="00AD5090"/>
    <w:rsid w:val="00AD67CB"/>
    <w:rsid w:val="00AE03A2"/>
    <w:rsid w:val="00AE7002"/>
    <w:rsid w:val="00AF341F"/>
    <w:rsid w:val="00AF6CF6"/>
    <w:rsid w:val="00B012AB"/>
    <w:rsid w:val="00B05C77"/>
    <w:rsid w:val="00B0600E"/>
    <w:rsid w:val="00B1362F"/>
    <w:rsid w:val="00B137C8"/>
    <w:rsid w:val="00B13FC3"/>
    <w:rsid w:val="00B404AB"/>
    <w:rsid w:val="00B42378"/>
    <w:rsid w:val="00B4503B"/>
    <w:rsid w:val="00B476D3"/>
    <w:rsid w:val="00B4797F"/>
    <w:rsid w:val="00B52F51"/>
    <w:rsid w:val="00B55A9A"/>
    <w:rsid w:val="00B5767A"/>
    <w:rsid w:val="00B60C71"/>
    <w:rsid w:val="00B62225"/>
    <w:rsid w:val="00B66B55"/>
    <w:rsid w:val="00B7302D"/>
    <w:rsid w:val="00B737B0"/>
    <w:rsid w:val="00B761C2"/>
    <w:rsid w:val="00B771E3"/>
    <w:rsid w:val="00B842B1"/>
    <w:rsid w:val="00B84B26"/>
    <w:rsid w:val="00B8545A"/>
    <w:rsid w:val="00B9242D"/>
    <w:rsid w:val="00B9265A"/>
    <w:rsid w:val="00B93194"/>
    <w:rsid w:val="00B966E0"/>
    <w:rsid w:val="00B9790C"/>
    <w:rsid w:val="00B97D77"/>
    <w:rsid w:val="00BA3065"/>
    <w:rsid w:val="00BB19AC"/>
    <w:rsid w:val="00BB3682"/>
    <w:rsid w:val="00BB42A8"/>
    <w:rsid w:val="00BC1A1B"/>
    <w:rsid w:val="00BC299A"/>
    <w:rsid w:val="00BC2EF3"/>
    <w:rsid w:val="00BC3144"/>
    <w:rsid w:val="00BD0CDE"/>
    <w:rsid w:val="00BD2900"/>
    <w:rsid w:val="00BD2DF6"/>
    <w:rsid w:val="00BD4CD8"/>
    <w:rsid w:val="00BD757C"/>
    <w:rsid w:val="00BD78D7"/>
    <w:rsid w:val="00BE0968"/>
    <w:rsid w:val="00BE1920"/>
    <w:rsid w:val="00BE2F64"/>
    <w:rsid w:val="00BE5AE5"/>
    <w:rsid w:val="00BF5C03"/>
    <w:rsid w:val="00BF6B72"/>
    <w:rsid w:val="00C03916"/>
    <w:rsid w:val="00C045B1"/>
    <w:rsid w:val="00C0464E"/>
    <w:rsid w:val="00C12E0A"/>
    <w:rsid w:val="00C153EF"/>
    <w:rsid w:val="00C175B5"/>
    <w:rsid w:val="00C2088F"/>
    <w:rsid w:val="00C21D74"/>
    <w:rsid w:val="00C22AAE"/>
    <w:rsid w:val="00C2668A"/>
    <w:rsid w:val="00C36246"/>
    <w:rsid w:val="00C36DE6"/>
    <w:rsid w:val="00C41880"/>
    <w:rsid w:val="00C5034E"/>
    <w:rsid w:val="00C52A3C"/>
    <w:rsid w:val="00C52B77"/>
    <w:rsid w:val="00C54F92"/>
    <w:rsid w:val="00C569A3"/>
    <w:rsid w:val="00C57941"/>
    <w:rsid w:val="00C608C1"/>
    <w:rsid w:val="00C63FCC"/>
    <w:rsid w:val="00C66C81"/>
    <w:rsid w:val="00C66E73"/>
    <w:rsid w:val="00C6796E"/>
    <w:rsid w:val="00C6798E"/>
    <w:rsid w:val="00C72483"/>
    <w:rsid w:val="00C74BA0"/>
    <w:rsid w:val="00C80D10"/>
    <w:rsid w:val="00C924C7"/>
    <w:rsid w:val="00CB1879"/>
    <w:rsid w:val="00CB4DAC"/>
    <w:rsid w:val="00CC20DA"/>
    <w:rsid w:val="00CD70DD"/>
    <w:rsid w:val="00CE04B0"/>
    <w:rsid w:val="00CE2375"/>
    <w:rsid w:val="00CE3209"/>
    <w:rsid w:val="00CE32D8"/>
    <w:rsid w:val="00CE5F1E"/>
    <w:rsid w:val="00CE7EAC"/>
    <w:rsid w:val="00CF2A1C"/>
    <w:rsid w:val="00CF7B89"/>
    <w:rsid w:val="00D0052E"/>
    <w:rsid w:val="00D014A2"/>
    <w:rsid w:val="00D04023"/>
    <w:rsid w:val="00D10D1D"/>
    <w:rsid w:val="00D12BDE"/>
    <w:rsid w:val="00D222B3"/>
    <w:rsid w:val="00D22C85"/>
    <w:rsid w:val="00D30B60"/>
    <w:rsid w:val="00D31541"/>
    <w:rsid w:val="00D41146"/>
    <w:rsid w:val="00D4557A"/>
    <w:rsid w:val="00D45E68"/>
    <w:rsid w:val="00D4768A"/>
    <w:rsid w:val="00D5113A"/>
    <w:rsid w:val="00D561B1"/>
    <w:rsid w:val="00D63620"/>
    <w:rsid w:val="00D73392"/>
    <w:rsid w:val="00D74657"/>
    <w:rsid w:val="00D75E81"/>
    <w:rsid w:val="00D82801"/>
    <w:rsid w:val="00D84103"/>
    <w:rsid w:val="00D91003"/>
    <w:rsid w:val="00DA5683"/>
    <w:rsid w:val="00DA6664"/>
    <w:rsid w:val="00DA7C35"/>
    <w:rsid w:val="00DB2703"/>
    <w:rsid w:val="00DB500E"/>
    <w:rsid w:val="00DC3BDC"/>
    <w:rsid w:val="00DE08F5"/>
    <w:rsid w:val="00DE1456"/>
    <w:rsid w:val="00DF11BE"/>
    <w:rsid w:val="00E048F2"/>
    <w:rsid w:val="00E04BE2"/>
    <w:rsid w:val="00E053C6"/>
    <w:rsid w:val="00E11C08"/>
    <w:rsid w:val="00E1337F"/>
    <w:rsid w:val="00E17DF4"/>
    <w:rsid w:val="00E17F1F"/>
    <w:rsid w:val="00E26E99"/>
    <w:rsid w:val="00E31655"/>
    <w:rsid w:val="00E37267"/>
    <w:rsid w:val="00E47C02"/>
    <w:rsid w:val="00E5163B"/>
    <w:rsid w:val="00E55A41"/>
    <w:rsid w:val="00E56F35"/>
    <w:rsid w:val="00E57DB8"/>
    <w:rsid w:val="00E57F5D"/>
    <w:rsid w:val="00E66AA0"/>
    <w:rsid w:val="00E74685"/>
    <w:rsid w:val="00E74CBD"/>
    <w:rsid w:val="00E80928"/>
    <w:rsid w:val="00E8208C"/>
    <w:rsid w:val="00E83175"/>
    <w:rsid w:val="00EA1A08"/>
    <w:rsid w:val="00EA626B"/>
    <w:rsid w:val="00EB477E"/>
    <w:rsid w:val="00EC0735"/>
    <w:rsid w:val="00EC1F0E"/>
    <w:rsid w:val="00EC64D8"/>
    <w:rsid w:val="00ED021C"/>
    <w:rsid w:val="00ED6CC4"/>
    <w:rsid w:val="00EE0F44"/>
    <w:rsid w:val="00EE4B60"/>
    <w:rsid w:val="00F01F0F"/>
    <w:rsid w:val="00F02DBD"/>
    <w:rsid w:val="00F04225"/>
    <w:rsid w:val="00F07188"/>
    <w:rsid w:val="00F2544F"/>
    <w:rsid w:val="00F3528B"/>
    <w:rsid w:val="00F35591"/>
    <w:rsid w:val="00F43329"/>
    <w:rsid w:val="00F53731"/>
    <w:rsid w:val="00F53C38"/>
    <w:rsid w:val="00F53ED4"/>
    <w:rsid w:val="00F61E5B"/>
    <w:rsid w:val="00F64EFB"/>
    <w:rsid w:val="00F65309"/>
    <w:rsid w:val="00F65A19"/>
    <w:rsid w:val="00F65A2E"/>
    <w:rsid w:val="00F65A91"/>
    <w:rsid w:val="00F65FE3"/>
    <w:rsid w:val="00F71F00"/>
    <w:rsid w:val="00F73087"/>
    <w:rsid w:val="00F75E09"/>
    <w:rsid w:val="00F77B9A"/>
    <w:rsid w:val="00F94256"/>
    <w:rsid w:val="00F96C0D"/>
    <w:rsid w:val="00F972BA"/>
    <w:rsid w:val="00FA0335"/>
    <w:rsid w:val="00FA2F1B"/>
    <w:rsid w:val="00FB53BD"/>
    <w:rsid w:val="00FB66E9"/>
    <w:rsid w:val="00FC0087"/>
    <w:rsid w:val="00FC1B0E"/>
    <w:rsid w:val="00FC711E"/>
    <w:rsid w:val="00FD2042"/>
    <w:rsid w:val="00FD6179"/>
    <w:rsid w:val="00FE06E1"/>
    <w:rsid w:val="00FE1F8D"/>
    <w:rsid w:val="00FE2B9F"/>
    <w:rsid w:val="00FE502D"/>
    <w:rsid w:val="00FE7D22"/>
    <w:rsid w:val="00FF0304"/>
    <w:rsid w:val="00FF1917"/>
    <w:rsid w:val="00FF3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3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oa heading"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08"/>
    <w:rPr>
      <w:rFonts w:ascii="Arial" w:hAnsi="Arial"/>
      <w:sz w:val="22"/>
      <w:lang w:eastAsia="en-US"/>
    </w:rPr>
  </w:style>
  <w:style w:type="paragraph" w:styleId="Heading1">
    <w:name w:val="heading 1"/>
    <w:basedOn w:val="Normal"/>
    <w:next w:val="Normal"/>
    <w:qFormat/>
    <w:rsid w:val="00EA1A08"/>
    <w:pPr>
      <w:keepNext/>
      <w:spacing w:before="240" w:after="60"/>
      <w:outlineLvl w:val="0"/>
    </w:pPr>
    <w:rPr>
      <w:rFonts w:cs="Arial"/>
      <w:b/>
      <w:bCs/>
      <w:kern w:val="32"/>
      <w:szCs w:val="32"/>
    </w:rPr>
  </w:style>
  <w:style w:type="paragraph" w:styleId="Heading2">
    <w:name w:val="heading 2"/>
    <w:basedOn w:val="Normal"/>
    <w:next w:val="Normal"/>
    <w:qFormat/>
    <w:rsid w:val="00EA1A08"/>
    <w:pPr>
      <w:keepNext/>
      <w:spacing w:before="240" w:after="60"/>
      <w:outlineLvl w:val="1"/>
    </w:pPr>
    <w:rPr>
      <w:rFonts w:cs="Arial"/>
      <w:b/>
      <w:bCs/>
      <w:i/>
      <w:iCs/>
      <w:szCs w:val="28"/>
    </w:rPr>
  </w:style>
  <w:style w:type="paragraph" w:styleId="Heading3">
    <w:name w:val="heading 3"/>
    <w:basedOn w:val="Normal"/>
    <w:next w:val="Normal"/>
    <w:qFormat/>
    <w:rsid w:val="00EA1A08"/>
    <w:pPr>
      <w:keepNext/>
      <w:spacing w:before="240" w:after="60"/>
      <w:outlineLvl w:val="2"/>
    </w:pPr>
    <w:rPr>
      <w:rFonts w:cs="Arial"/>
      <w:bCs/>
      <w:szCs w:val="26"/>
      <w:u w:val="single"/>
    </w:rPr>
  </w:style>
  <w:style w:type="paragraph" w:styleId="Heading4">
    <w:name w:val="heading 4"/>
    <w:basedOn w:val="Normal"/>
    <w:next w:val="Normal"/>
    <w:qFormat/>
    <w:rsid w:val="00EA1A0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A1A08"/>
    <w:pPr>
      <w:spacing w:before="240" w:after="60"/>
      <w:outlineLvl w:val="4"/>
    </w:pPr>
    <w:rPr>
      <w:b/>
      <w:bCs/>
      <w:i/>
      <w:iCs/>
      <w:sz w:val="26"/>
      <w:szCs w:val="26"/>
    </w:rPr>
  </w:style>
  <w:style w:type="paragraph" w:styleId="Heading6">
    <w:name w:val="heading 6"/>
    <w:basedOn w:val="Normal"/>
    <w:next w:val="Normal"/>
    <w:qFormat/>
    <w:rsid w:val="00EA1A08"/>
    <w:pPr>
      <w:spacing w:before="240" w:after="60"/>
      <w:outlineLvl w:val="5"/>
    </w:pPr>
    <w:rPr>
      <w:rFonts w:ascii="Times New Roman" w:hAnsi="Times New Roman"/>
      <w:b/>
      <w:bCs/>
      <w:szCs w:val="22"/>
    </w:rPr>
  </w:style>
  <w:style w:type="paragraph" w:styleId="Heading7">
    <w:name w:val="heading 7"/>
    <w:basedOn w:val="Normal"/>
    <w:next w:val="Normal"/>
    <w:qFormat/>
    <w:rsid w:val="00EA1A08"/>
    <w:pPr>
      <w:spacing w:before="240" w:after="60"/>
      <w:outlineLvl w:val="6"/>
    </w:pPr>
    <w:rPr>
      <w:rFonts w:ascii="Times New Roman" w:hAnsi="Times New Roman"/>
      <w:sz w:val="24"/>
      <w:szCs w:val="24"/>
    </w:rPr>
  </w:style>
  <w:style w:type="paragraph" w:styleId="Heading8">
    <w:name w:val="heading 8"/>
    <w:basedOn w:val="Normal"/>
    <w:next w:val="Normal"/>
    <w:qFormat/>
    <w:rsid w:val="00EA1A08"/>
    <w:pPr>
      <w:spacing w:before="240" w:after="60"/>
      <w:outlineLvl w:val="7"/>
    </w:pPr>
    <w:rPr>
      <w:rFonts w:ascii="Times New Roman" w:hAnsi="Times New Roman"/>
      <w:i/>
      <w:iCs/>
      <w:sz w:val="24"/>
      <w:szCs w:val="24"/>
    </w:rPr>
  </w:style>
  <w:style w:type="paragraph" w:styleId="Heading9">
    <w:name w:val="heading 9"/>
    <w:basedOn w:val="Normal"/>
    <w:next w:val="Normal"/>
    <w:qFormat/>
    <w:rsid w:val="00EA1A08"/>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A1A08"/>
    <w:rPr>
      <w:rFonts w:ascii="Arial" w:hAnsi="Arial"/>
    </w:rPr>
  </w:style>
  <w:style w:type="paragraph" w:styleId="Footer">
    <w:name w:val="footer"/>
    <w:basedOn w:val="Normal"/>
    <w:link w:val="FooterChar"/>
    <w:rsid w:val="00EA1A08"/>
    <w:pPr>
      <w:tabs>
        <w:tab w:val="center" w:pos="4153"/>
        <w:tab w:val="right" w:pos="8306"/>
      </w:tabs>
    </w:pPr>
  </w:style>
  <w:style w:type="paragraph" w:styleId="Header">
    <w:name w:val="header"/>
    <w:basedOn w:val="Normal"/>
    <w:rsid w:val="00EA1A08"/>
    <w:pPr>
      <w:tabs>
        <w:tab w:val="center" w:pos="4320"/>
        <w:tab w:val="right" w:pos="8640"/>
      </w:tabs>
    </w:pPr>
  </w:style>
  <w:style w:type="character" w:styleId="PageNumber">
    <w:name w:val="page number"/>
    <w:basedOn w:val="DefaultParagraphFont"/>
    <w:rsid w:val="00EA1A08"/>
    <w:rPr>
      <w:rFonts w:ascii="Arial" w:hAnsi="Arial"/>
    </w:rPr>
  </w:style>
  <w:style w:type="paragraph" w:styleId="BodyText">
    <w:name w:val="Body Text"/>
    <w:basedOn w:val="Normal"/>
    <w:rsid w:val="00EA1A08"/>
    <w:pPr>
      <w:jc w:val="both"/>
    </w:pPr>
    <w:rPr>
      <w:sz w:val="24"/>
    </w:rPr>
  </w:style>
  <w:style w:type="character" w:styleId="CommentReference">
    <w:name w:val="annotation reference"/>
    <w:basedOn w:val="DefaultParagraphFont"/>
    <w:semiHidden/>
    <w:rsid w:val="00EA1A08"/>
    <w:rPr>
      <w:sz w:val="16"/>
      <w:szCs w:val="16"/>
    </w:rPr>
  </w:style>
  <w:style w:type="paragraph" w:customStyle="1" w:styleId="Style1">
    <w:name w:val="Style1"/>
    <w:basedOn w:val="Normal"/>
    <w:rsid w:val="00EA1A08"/>
  </w:style>
  <w:style w:type="paragraph" w:styleId="Title">
    <w:name w:val="Title"/>
    <w:basedOn w:val="Normal"/>
    <w:qFormat/>
    <w:rsid w:val="00EA1A08"/>
    <w:pPr>
      <w:spacing w:before="240" w:after="60"/>
      <w:jc w:val="center"/>
      <w:outlineLvl w:val="0"/>
    </w:pPr>
    <w:rPr>
      <w:rFonts w:cs="Arial"/>
      <w:b/>
      <w:bCs/>
      <w:kern w:val="28"/>
      <w:sz w:val="32"/>
      <w:szCs w:val="32"/>
    </w:rPr>
  </w:style>
  <w:style w:type="paragraph" w:styleId="Subtitle">
    <w:name w:val="Subtitle"/>
    <w:basedOn w:val="Normal"/>
    <w:qFormat/>
    <w:rsid w:val="00EA1A08"/>
    <w:pPr>
      <w:spacing w:after="60"/>
      <w:jc w:val="center"/>
      <w:outlineLvl w:val="1"/>
    </w:pPr>
    <w:rPr>
      <w:rFonts w:cs="Arial"/>
      <w:sz w:val="24"/>
      <w:szCs w:val="24"/>
    </w:rPr>
  </w:style>
  <w:style w:type="paragraph" w:styleId="ListBullet">
    <w:name w:val="List Bullet"/>
    <w:basedOn w:val="Normal"/>
    <w:autoRedefine/>
    <w:rsid w:val="006E3B31"/>
    <w:pPr>
      <w:spacing w:after="60"/>
      <w:jc w:val="both"/>
    </w:pPr>
    <w:rPr>
      <w:i/>
      <w:szCs w:val="22"/>
    </w:rPr>
  </w:style>
  <w:style w:type="paragraph" w:styleId="ListNumber">
    <w:name w:val="List Number"/>
    <w:basedOn w:val="Normal"/>
    <w:rsid w:val="00EA1A08"/>
    <w:pPr>
      <w:numPr>
        <w:numId w:val="9"/>
      </w:numPr>
      <w:tabs>
        <w:tab w:val="clear" w:pos="480"/>
        <w:tab w:val="num" w:pos="360"/>
      </w:tabs>
      <w:spacing w:after="120"/>
      <w:ind w:left="357" w:hanging="357"/>
    </w:pPr>
  </w:style>
  <w:style w:type="paragraph" w:styleId="CommentText">
    <w:name w:val="annotation text"/>
    <w:basedOn w:val="Normal"/>
    <w:link w:val="CommentTextChar"/>
    <w:semiHidden/>
    <w:rsid w:val="00EA1A08"/>
    <w:rPr>
      <w:sz w:val="20"/>
    </w:rPr>
  </w:style>
  <w:style w:type="paragraph" w:styleId="BlockText">
    <w:name w:val="Block Text"/>
    <w:basedOn w:val="Normal"/>
    <w:rsid w:val="00EA1A08"/>
    <w:pPr>
      <w:spacing w:after="120"/>
      <w:ind w:left="1440" w:right="1440"/>
    </w:pPr>
  </w:style>
  <w:style w:type="paragraph" w:styleId="BodyText2">
    <w:name w:val="Body Text 2"/>
    <w:basedOn w:val="Normal"/>
    <w:rsid w:val="00EA1A08"/>
    <w:pPr>
      <w:spacing w:after="120" w:line="480" w:lineRule="auto"/>
    </w:pPr>
  </w:style>
  <w:style w:type="paragraph" w:styleId="BodyText3">
    <w:name w:val="Body Text 3"/>
    <w:basedOn w:val="Normal"/>
    <w:rsid w:val="00EA1A08"/>
    <w:pPr>
      <w:spacing w:after="120"/>
    </w:pPr>
    <w:rPr>
      <w:sz w:val="16"/>
      <w:szCs w:val="16"/>
    </w:rPr>
  </w:style>
  <w:style w:type="paragraph" w:styleId="BodyTextFirstIndent">
    <w:name w:val="Body Text First Indent"/>
    <w:basedOn w:val="BodyText"/>
    <w:rsid w:val="00EA1A08"/>
    <w:pPr>
      <w:spacing w:after="120"/>
      <w:ind w:firstLine="210"/>
      <w:jc w:val="left"/>
    </w:pPr>
    <w:rPr>
      <w:sz w:val="22"/>
    </w:rPr>
  </w:style>
  <w:style w:type="paragraph" w:styleId="BodyTextIndent">
    <w:name w:val="Body Text Indent"/>
    <w:basedOn w:val="Normal"/>
    <w:rsid w:val="00EA1A08"/>
    <w:pPr>
      <w:spacing w:after="120"/>
      <w:ind w:left="360"/>
    </w:pPr>
  </w:style>
  <w:style w:type="paragraph" w:styleId="BodyTextFirstIndent2">
    <w:name w:val="Body Text First Indent 2"/>
    <w:basedOn w:val="BodyTextIndent"/>
    <w:rsid w:val="00EA1A08"/>
    <w:pPr>
      <w:ind w:firstLine="210"/>
    </w:pPr>
  </w:style>
  <w:style w:type="paragraph" w:styleId="BodyTextIndent2">
    <w:name w:val="Body Text Indent 2"/>
    <w:basedOn w:val="Normal"/>
    <w:rsid w:val="00EA1A08"/>
    <w:pPr>
      <w:spacing w:after="120" w:line="480" w:lineRule="auto"/>
      <w:ind w:left="360"/>
    </w:pPr>
  </w:style>
  <w:style w:type="paragraph" w:styleId="BodyTextIndent3">
    <w:name w:val="Body Text Indent 3"/>
    <w:basedOn w:val="Normal"/>
    <w:rsid w:val="00EA1A08"/>
    <w:pPr>
      <w:spacing w:after="120"/>
      <w:ind w:left="360"/>
    </w:pPr>
    <w:rPr>
      <w:sz w:val="16"/>
      <w:szCs w:val="16"/>
    </w:rPr>
  </w:style>
  <w:style w:type="paragraph" w:styleId="Caption">
    <w:name w:val="caption"/>
    <w:basedOn w:val="Normal"/>
    <w:next w:val="Normal"/>
    <w:qFormat/>
    <w:rsid w:val="00EA1A08"/>
    <w:pPr>
      <w:spacing w:before="120" w:after="120"/>
    </w:pPr>
    <w:rPr>
      <w:b/>
      <w:bCs/>
      <w:sz w:val="20"/>
    </w:rPr>
  </w:style>
  <w:style w:type="paragraph" w:styleId="Closing">
    <w:name w:val="Closing"/>
    <w:basedOn w:val="Normal"/>
    <w:rsid w:val="00EA1A08"/>
    <w:pPr>
      <w:ind w:left="4320"/>
    </w:pPr>
  </w:style>
  <w:style w:type="paragraph" w:styleId="Date">
    <w:name w:val="Date"/>
    <w:basedOn w:val="Normal"/>
    <w:next w:val="Normal"/>
    <w:rsid w:val="00EA1A08"/>
  </w:style>
  <w:style w:type="paragraph" w:styleId="DocumentMap">
    <w:name w:val="Document Map"/>
    <w:basedOn w:val="Normal"/>
    <w:semiHidden/>
    <w:rsid w:val="00EA1A08"/>
    <w:pPr>
      <w:shd w:val="clear" w:color="auto" w:fill="000080"/>
    </w:pPr>
    <w:rPr>
      <w:rFonts w:ascii="Tahoma" w:hAnsi="Tahoma" w:cs="Tahoma"/>
    </w:rPr>
  </w:style>
  <w:style w:type="paragraph" w:styleId="E-mailSignature">
    <w:name w:val="E-mail Signature"/>
    <w:basedOn w:val="Normal"/>
    <w:rsid w:val="00EA1A08"/>
  </w:style>
  <w:style w:type="paragraph" w:styleId="EndnoteText">
    <w:name w:val="endnote text"/>
    <w:basedOn w:val="Normal"/>
    <w:semiHidden/>
    <w:rsid w:val="00EA1A08"/>
    <w:rPr>
      <w:sz w:val="20"/>
    </w:rPr>
  </w:style>
  <w:style w:type="paragraph" w:styleId="EnvelopeAddress">
    <w:name w:val="envelope address"/>
    <w:basedOn w:val="Normal"/>
    <w:rsid w:val="00EA1A08"/>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EA1A08"/>
    <w:rPr>
      <w:rFonts w:cs="Arial"/>
      <w:sz w:val="20"/>
    </w:rPr>
  </w:style>
  <w:style w:type="paragraph" w:styleId="FootnoteText">
    <w:name w:val="footnote text"/>
    <w:basedOn w:val="Normal"/>
    <w:semiHidden/>
    <w:rsid w:val="00EA1A08"/>
    <w:rPr>
      <w:sz w:val="20"/>
    </w:rPr>
  </w:style>
  <w:style w:type="paragraph" w:styleId="HTMLAddress">
    <w:name w:val="HTML Address"/>
    <w:basedOn w:val="Normal"/>
    <w:rsid w:val="00EA1A08"/>
    <w:rPr>
      <w:i/>
      <w:iCs/>
    </w:rPr>
  </w:style>
  <w:style w:type="paragraph" w:styleId="HTMLPreformatted">
    <w:name w:val="HTML Preformatted"/>
    <w:basedOn w:val="Normal"/>
    <w:rsid w:val="00EA1A08"/>
    <w:rPr>
      <w:rFonts w:ascii="Courier New" w:hAnsi="Courier New" w:cs="Courier New"/>
      <w:sz w:val="20"/>
    </w:rPr>
  </w:style>
  <w:style w:type="paragraph" w:styleId="Index1">
    <w:name w:val="index 1"/>
    <w:basedOn w:val="Normal"/>
    <w:next w:val="Normal"/>
    <w:autoRedefine/>
    <w:semiHidden/>
    <w:rsid w:val="00EA1A08"/>
    <w:pPr>
      <w:ind w:left="220" w:hanging="220"/>
    </w:pPr>
  </w:style>
  <w:style w:type="paragraph" w:styleId="Index2">
    <w:name w:val="index 2"/>
    <w:basedOn w:val="Normal"/>
    <w:next w:val="Normal"/>
    <w:autoRedefine/>
    <w:semiHidden/>
    <w:rsid w:val="00EA1A08"/>
    <w:pPr>
      <w:ind w:left="440" w:hanging="220"/>
    </w:pPr>
  </w:style>
  <w:style w:type="paragraph" w:styleId="Index3">
    <w:name w:val="index 3"/>
    <w:basedOn w:val="Normal"/>
    <w:next w:val="Normal"/>
    <w:autoRedefine/>
    <w:semiHidden/>
    <w:rsid w:val="00EA1A08"/>
    <w:pPr>
      <w:ind w:left="660" w:hanging="220"/>
    </w:pPr>
  </w:style>
  <w:style w:type="paragraph" w:styleId="Index4">
    <w:name w:val="index 4"/>
    <w:basedOn w:val="Normal"/>
    <w:next w:val="Normal"/>
    <w:autoRedefine/>
    <w:semiHidden/>
    <w:rsid w:val="00EA1A08"/>
    <w:pPr>
      <w:ind w:left="880" w:hanging="220"/>
    </w:pPr>
  </w:style>
  <w:style w:type="paragraph" w:styleId="Index5">
    <w:name w:val="index 5"/>
    <w:basedOn w:val="Normal"/>
    <w:next w:val="Normal"/>
    <w:autoRedefine/>
    <w:semiHidden/>
    <w:rsid w:val="00EA1A08"/>
    <w:pPr>
      <w:ind w:left="1100" w:hanging="220"/>
    </w:pPr>
  </w:style>
  <w:style w:type="paragraph" w:styleId="Index6">
    <w:name w:val="index 6"/>
    <w:basedOn w:val="Normal"/>
    <w:next w:val="Normal"/>
    <w:autoRedefine/>
    <w:semiHidden/>
    <w:rsid w:val="00EA1A08"/>
    <w:pPr>
      <w:ind w:left="1320" w:hanging="220"/>
    </w:pPr>
  </w:style>
  <w:style w:type="paragraph" w:styleId="Index7">
    <w:name w:val="index 7"/>
    <w:basedOn w:val="Normal"/>
    <w:next w:val="Normal"/>
    <w:autoRedefine/>
    <w:semiHidden/>
    <w:rsid w:val="00EA1A08"/>
    <w:pPr>
      <w:ind w:left="1540" w:hanging="220"/>
    </w:pPr>
  </w:style>
  <w:style w:type="paragraph" w:styleId="Index8">
    <w:name w:val="index 8"/>
    <w:basedOn w:val="Normal"/>
    <w:next w:val="Normal"/>
    <w:autoRedefine/>
    <w:semiHidden/>
    <w:rsid w:val="00EA1A08"/>
    <w:pPr>
      <w:ind w:left="1760" w:hanging="220"/>
    </w:pPr>
  </w:style>
  <w:style w:type="paragraph" w:styleId="Index9">
    <w:name w:val="index 9"/>
    <w:basedOn w:val="Normal"/>
    <w:next w:val="Normal"/>
    <w:autoRedefine/>
    <w:semiHidden/>
    <w:rsid w:val="00EA1A08"/>
    <w:pPr>
      <w:ind w:left="1980" w:hanging="220"/>
    </w:pPr>
  </w:style>
  <w:style w:type="paragraph" w:styleId="IndexHeading">
    <w:name w:val="index heading"/>
    <w:basedOn w:val="Normal"/>
    <w:next w:val="Index1"/>
    <w:semiHidden/>
    <w:rsid w:val="00EA1A08"/>
    <w:rPr>
      <w:rFonts w:cs="Arial"/>
      <w:b/>
      <w:bCs/>
    </w:rPr>
  </w:style>
  <w:style w:type="paragraph" w:styleId="List">
    <w:name w:val="List"/>
    <w:basedOn w:val="Normal"/>
    <w:rsid w:val="00EA1A08"/>
    <w:pPr>
      <w:ind w:left="360" w:hanging="360"/>
    </w:pPr>
  </w:style>
  <w:style w:type="paragraph" w:styleId="List2">
    <w:name w:val="List 2"/>
    <w:basedOn w:val="Normal"/>
    <w:rsid w:val="00EA1A08"/>
    <w:pPr>
      <w:ind w:left="720" w:hanging="360"/>
    </w:pPr>
  </w:style>
  <w:style w:type="paragraph" w:styleId="List3">
    <w:name w:val="List 3"/>
    <w:basedOn w:val="Normal"/>
    <w:rsid w:val="00EA1A08"/>
    <w:pPr>
      <w:ind w:left="1080" w:hanging="360"/>
    </w:pPr>
  </w:style>
  <w:style w:type="paragraph" w:styleId="List4">
    <w:name w:val="List 4"/>
    <w:basedOn w:val="Normal"/>
    <w:rsid w:val="00EA1A08"/>
    <w:pPr>
      <w:ind w:left="1440" w:hanging="360"/>
    </w:pPr>
  </w:style>
  <w:style w:type="paragraph" w:styleId="List5">
    <w:name w:val="List 5"/>
    <w:basedOn w:val="Normal"/>
    <w:rsid w:val="00EA1A08"/>
    <w:pPr>
      <w:ind w:left="1800" w:hanging="360"/>
    </w:pPr>
  </w:style>
  <w:style w:type="paragraph" w:styleId="ListBullet2">
    <w:name w:val="List Bullet 2"/>
    <w:basedOn w:val="Normal"/>
    <w:autoRedefine/>
    <w:rsid w:val="00EA1A08"/>
    <w:pPr>
      <w:numPr>
        <w:numId w:val="10"/>
      </w:numPr>
    </w:pPr>
  </w:style>
  <w:style w:type="paragraph" w:styleId="ListBullet3">
    <w:name w:val="List Bullet 3"/>
    <w:basedOn w:val="Normal"/>
    <w:autoRedefine/>
    <w:rsid w:val="00EA1A08"/>
    <w:pPr>
      <w:numPr>
        <w:numId w:val="11"/>
      </w:numPr>
    </w:pPr>
  </w:style>
  <w:style w:type="paragraph" w:styleId="ListBullet4">
    <w:name w:val="List Bullet 4"/>
    <w:basedOn w:val="Normal"/>
    <w:autoRedefine/>
    <w:rsid w:val="00EA1A08"/>
    <w:pPr>
      <w:numPr>
        <w:numId w:val="12"/>
      </w:numPr>
    </w:pPr>
  </w:style>
  <w:style w:type="paragraph" w:styleId="ListBullet5">
    <w:name w:val="List Bullet 5"/>
    <w:basedOn w:val="Normal"/>
    <w:autoRedefine/>
    <w:rsid w:val="00EA1A08"/>
    <w:pPr>
      <w:numPr>
        <w:numId w:val="13"/>
      </w:numPr>
    </w:pPr>
  </w:style>
  <w:style w:type="paragraph" w:styleId="ListContinue">
    <w:name w:val="List Continue"/>
    <w:basedOn w:val="Normal"/>
    <w:rsid w:val="00EA1A08"/>
    <w:pPr>
      <w:spacing w:after="120"/>
      <w:ind w:left="360"/>
    </w:pPr>
  </w:style>
  <w:style w:type="paragraph" w:styleId="ListContinue2">
    <w:name w:val="List Continue 2"/>
    <w:basedOn w:val="Normal"/>
    <w:rsid w:val="00EA1A08"/>
    <w:pPr>
      <w:spacing w:after="120"/>
      <w:ind w:left="720"/>
    </w:pPr>
  </w:style>
  <w:style w:type="paragraph" w:styleId="ListContinue3">
    <w:name w:val="List Continue 3"/>
    <w:basedOn w:val="Normal"/>
    <w:rsid w:val="00EA1A08"/>
    <w:pPr>
      <w:spacing w:after="120"/>
      <w:ind w:left="1080"/>
    </w:pPr>
  </w:style>
  <w:style w:type="paragraph" w:styleId="ListContinue4">
    <w:name w:val="List Continue 4"/>
    <w:basedOn w:val="Normal"/>
    <w:rsid w:val="00EA1A08"/>
    <w:pPr>
      <w:spacing w:after="120"/>
      <w:ind w:left="1440"/>
    </w:pPr>
  </w:style>
  <w:style w:type="paragraph" w:styleId="ListContinue5">
    <w:name w:val="List Continue 5"/>
    <w:basedOn w:val="Normal"/>
    <w:rsid w:val="00EA1A08"/>
    <w:pPr>
      <w:spacing w:after="120"/>
      <w:ind w:left="1800"/>
    </w:pPr>
  </w:style>
  <w:style w:type="paragraph" w:styleId="ListNumber2">
    <w:name w:val="List Number 2"/>
    <w:basedOn w:val="Normal"/>
    <w:rsid w:val="00EA1A08"/>
    <w:pPr>
      <w:numPr>
        <w:numId w:val="14"/>
      </w:numPr>
    </w:pPr>
  </w:style>
  <w:style w:type="paragraph" w:styleId="ListNumber3">
    <w:name w:val="List Number 3"/>
    <w:basedOn w:val="Normal"/>
    <w:rsid w:val="00EA1A08"/>
    <w:pPr>
      <w:numPr>
        <w:numId w:val="15"/>
      </w:numPr>
    </w:pPr>
  </w:style>
  <w:style w:type="paragraph" w:styleId="ListNumber4">
    <w:name w:val="List Number 4"/>
    <w:basedOn w:val="Normal"/>
    <w:rsid w:val="00EA1A08"/>
    <w:pPr>
      <w:numPr>
        <w:numId w:val="16"/>
      </w:numPr>
    </w:pPr>
  </w:style>
  <w:style w:type="paragraph" w:styleId="ListNumber5">
    <w:name w:val="List Number 5"/>
    <w:basedOn w:val="Normal"/>
    <w:rsid w:val="00EA1A08"/>
    <w:pPr>
      <w:numPr>
        <w:numId w:val="17"/>
      </w:numPr>
    </w:pPr>
  </w:style>
  <w:style w:type="paragraph" w:styleId="MacroText">
    <w:name w:val="macro"/>
    <w:semiHidden/>
    <w:rsid w:val="00EA1A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1A0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uiPriority w:val="99"/>
    <w:rsid w:val="00EA1A08"/>
    <w:rPr>
      <w:rFonts w:ascii="Times New Roman" w:hAnsi="Times New Roman"/>
      <w:sz w:val="24"/>
      <w:szCs w:val="24"/>
    </w:rPr>
  </w:style>
  <w:style w:type="paragraph" w:styleId="NormalIndent">
    <w:name w:val="Normal Indent"/>
    <w:basedOn w:val="Normal"/>
    <w:rsid w:val="00EA1A08"/>
    <w:pPr>
      <w:ind w:left="720"/>
    </w:pPr>
  </w:style>
  <w:style w:type="paragraph" w:styleId="NoteHeading">
    <w:name w:val="Note Heading"/>
    <w:basedOn w:val="Normal"/>
    <w:next w:val="Normal"/>
    <w:rsid w:val="00EA1A08"/>
  </w:style>
  <w:style w:type="paragraph" w:styleId="PlainText">
    <w:name w:val="Plain Text"/>
    <w:basedOn w:val="Normal"/>
    <w:rsid w:val="00EA1A08"/>
    <w:rPr>
      <w:rFonts w:ascii="Courier New" w:hAnsi="Courier New" w:cs="Courier New"/>
      <w:sz w:val="20"/>
    </w:rPr>
  </w:style>
  <w:style w:type="paragraph" w:styleId="Salutation">
    <w:name w:val="Salutation"/>
    <w:basedOn w:val="Normal"/>
    <w:next w:val="Normal"/>
    <w:rsid w:val="00EA1A08"/>
  </w:style>
  <w:style w:type="paragraph" w:styleId="Signature">
    <w:name w:val="Signature"/>
    <w:basedOn w:val="Normal"/>
    <w:rsid w:val="00EA1A08"/>
    <w:pPr>
      <w:ind w:left="4320"/>
    </w:pPr>
  </w:style>
  <w:style w:type="paragraph" w:styleId="TableofAuthorities">
    <w:name w:val="table of authorities"/>
    <w:basedOn w:val="Normal"/>
    <w:next w:val="Normal"/>
    <w:semiHidden/>
    <w:rsid w:val="00EA1A08"/>
    <w:pPr>
      <w:ind w:left="220" w:hanging="220"/>
    </w:pPr>
  </w:style>
  <w:style w:type="paragraph" w:styleId="TableofFigures">
    <w:name w:val="table of figures"/>
    <w:basedOn w:val="Normal"/>
    <w:next w:val="Normal"/>
    <w:semiHidden/>
    <w:rsid w:val="00EA1A08"/>
    <w:pPr>
      <w:ind w:left="440" w:hanging="440"/>
    </w:pPr>
  </w:style>
  <w:style w:type="paragraph" w:styleId="TOAHeading">
    <w:name w:val="toa heading"/>
    <w:basedOn w:val="Normal"/>
    <w:next w:val="Normal"/>
    <w:semiHidden/>
    <w:rsid w:val="00EA1A08"/>
    <w:pPr>
      <w:spacing w:before="120"/>
    </w:pPr>
    <w:rPr>
      <w:rFonts w:cs="Arial"/>
      <w:b/>
      <w:bCs/>
      <w:sz w:val="24"/>
      <w:szCs w:val="24"/>
    </w:rPr>
  </w:style>
  <w:style w:type="paragraph" w:styleId="TOC1">
    <w:name w:val="toc 1"/>
    <w:basedOn w:val="Normal"/>
    <w:next w:val="Normal"/>
    <w:autoRedefine/>
    <w:semiHidden/>
    <w:rsid w:val="00EA1A08"/>
  </w:style>
  <w:style w:type="paragraph" w:styleId="TOC2">
    <w:name w:val="toc 2"/>
    <w:basedOn w:val="Normal"/>
    <w:next w:val="Normal"/>
    <w:autoRedefine/>
    <w:semiHidden/>
    <w:rsid w:val="00EA1A08"/>
    <w:pPr>
      <w:ind w:left="220"/>
    </w:pPr>
  </w:style>
  <w:style w:type="paragraph" w:styleId="TOC3">
    <w:name w:val="toc 3"/>
    <w:basedOn w:val="Normal"/>
    <w:next w:val="Normal"/>
    <w:autoRedefine/>
    <w:semiHidden/>
    <w:rsid w:val="00EA1A08"/>
    <w:pPr>
      <w:ind w:left="440"/>
    </w:pPr>
  </w:style>
  <w:style w:type="paragraph" w:styleId="TOC4">
    <w:name w:val="toc 4"/>
    <w:basedOn w:val="Normal"/>
    <w:next w:val="Normal"/>
    <w:autoRedefine/>
    <w:semiHidden/>
    <w:rsid w:val="00EA1A08"/>
    <w:pPr>
      <w:ind w:left="660"/>
    </w:pPr>
  </w:style>
  <w:style w:type="paragraph" w:styleId="TOC5">
    <w:name w:val="toc 5"/>
    <w:basedOn w:val="Normal"/>
    <w:next w:val="Normal"/>
    <w:autoRedefine/>
    <w:semiHidden/>
    <w:rsid w:val="00EA1A08"/>
    <w:pPr>
      <w:ind w:left="880"/>
    </w:pPr>
  </w:style>
  <w:style w:type="paragraph" w:styleId="TOC6">
    <w:name w:val="toc 6"/>
    <w:basedOn w:val="Normal"/>
    <w:next w:val="Normal"/>
    <w:autoRedefine/>
    <w:semiHidden/>
    <w:rsid w:val="00EA1A08"/>
    <w:pPr>
      <w:ind w:left="1100"/>
    </w:pPr>
  </w:style>
  <w:style w:type="paragraph" w:styleId="TOC7">
    <w:name w:val="toc 7"/>
    <w:basedOn w:val="Normal"/>
    <w:next w:val="Normal"/>
    <w:autoRedefine/>
    <w:semiHidden/>
    <w:rsid w:val="00EA1A08"/>
    <w:pPr>
      <w:ind w:left="1320"/>
    </w:pPr>
  </w:style>
  <w:style w:type="paragraph" w:styleId="TOC8">
    <w:name w:val="toc 8"/>
    <w:basedOn w:val="Normal"/>
    <w:next w:val="Normal"/>
    <w:autoRedefine/>
    <w:semiHidden/>
    <w:rsid w:val="00EA1A08"/>
    <w:pPr>
      <w:ind w:left="1540"/>
    </w:pPr>
  </w:style>
  <w:style w:type="paragraph" w:styleId="TOC9">
    <w:name w:val="toc 9"/>
    <w:basedOn w:val="Normal"/>
    <w:next w:val="Normal"/>
    <w:autoRedefine/>
    <w:semiHidden/>
    <w:rsid w:val="00EA1A08"/>
    <w:pPr>
      <w:ind w:left="1760"/>
    </w:pPr>
  </w:style>
  <w:style w:type="character" w:styleId="LineNumber">
    <w:name w:val="line number"/>
    <w:basedOn w:val="DefaultParagraphFont"/>
    <w:rsid w:val="00EA1A08"/>
  </w:style>
  <w:style w:type="table" w:styleId="TableGrid">
    <w:name w:val="Table Grid"/>
    <w:basedOn w:val="TableNormal"/>
    <w:uiPriority w:val="59"/>
    <w:rsid w:val="003F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char">
    <w:name w:val="CSIchar"/>
    <w:basedOn w:val="DefaultParagraphFont"/>
    <w:rsid w:val="00462BA9"/>
    <w:rPr>
      <w:bdr w:val="none" w:sz="0" w:space="0" w:color="auto"/>
      <w:shd w:val="clear" w:color="auto" w:fill="CCCCCC"/>
    </w:rPr>
  </w:style>
  <w:style w:type="paragraph" w:customStyle="1" w:styleId="BridgeheadGDS">
    <w:name w:val="Bridgehead GDS"/>
    <w:basedOn w:val="Normal"/>
    <w:autoRedefine/>
    <w:rsid w:val="00332695"/>
    <w:pPr>
      <w:keepNext/>
      <w:spacing w:after="240"/>
      <w:outlineLvl w:val="0"/>
    </w:pPr>
    <w:rPr>
      <w:rFonts w:cs="Arial"/>
      <w:b/>
      <w:szCs w:val="22"/>
      <w:lang w:val="en-GB"/>
    </w:rPr>
  </w:style>
  <w:style w:type="paragraph" w:styleId="BalloonText">
    <w:name w:val="Balloon Text"/>
    <w:basedOn w:val="Normal"/>
    <w:semiHidden/>
    <w:rsid w:val="00462BA9"/>
    <w:rPr>
      <w:rFonts w:ascii="Tahoma" w:hAnsi="Tahoma" w:cs="Tahoma"/>
      <w:sz w:val="16"/>
      <w:szCs w:val="16"/>
    </w:rPr>
  </w:style>
  <w:style w:type="paragraph" w:customStyle="1" w:styleId="listdash">
    <w:name w:val="list:dash"/>
    <w:basedOn w:val="Normal"/>
    <w:rsid w:val="00462BA9"/>
    <w:pPr>
      <w:numPr>
        <w:numId w:val="18"/>
      </w:numPr>
      <w:spacing w:after="240"/>
    </w:pPr>
    <w:rPr>
      <w:rFonts w:ascii="Times New Roman" w:hAnsi="Times New Roman"/>
      <w:sz w:val="24"/>
      <w:lang w:val="en-GB"/>
    </w:rPr>
  </w:style>
  <w:style w:type="paragraph" w:customStyle="1" w:styleId="listindentnospace">
    <w:name w:val="list:indentnospace"/>
    <w:basedOn w:val="Normal"/>
    <w:rsid w:val="00FE502D"/>
    <w:pPr>
      <w:ind w:left="567"/>
    </w:pPr>
    <w:rPr>
      <w:rFonts w:ascii="Times New Roman" w:hAnsi="Times New Roman"/>
      <w:sz w:val="24"/>
      <w:lang w:val="en-GB"/>
    </w:rPr>
  </w:style>
  <w:style w:type="paragraph" w:styleId="CommentSubject">
    <w:name w:val="annotation subject"/>
    <w:basedOn w:val="CommentText"/>
    <w:next w:val="CommentText"/>
    <w:semiHidden/>
    <w:rsid w:val="00281C8B"/>
    <w:rPr>
      <w:b/>
      <w:bCs/>
    </w:rPr>
  </w:style>
  <w:style w:type="paragraph" w:customStyle="1" w:styleId="Bridgehead">
    <w:name w:val="Bridgehead"/>
    <w:basedOn w:val="Normal"/>
    <w:autoRedefine/>
    <w:rsid w:val="003A2538"/>
    <w:pPr>
      <w:keepNext/>
      <w:spacing w:after="240"/>
      <w:outlineLvl w:val="0"/>
    </w:pPr>
    <w:rPr>
      <w:rFonts w:ascii="Times New Roman" w:hAnsi="Times New Roman"/>
      <w:b/>
      <w:lang w:val="en-GB"/>
    </w:rPr>
  </w:style>
  <w:style w:type="paragraph" w:customStyle="1" w:styleId="centredbold">
    <w:name w:val="centredbold"/>
    <w:basedOn w:val="Normal"/>
    <w:rsid w:val="00BD2900"/>
    <w:pPr>
      <w:jc w:val="center"/>
    </w:pPr>
    <w:rPr>
      <w:rFonts w:ascii="Times New Roman" w:hAnsi="Times New Roman"/>
      <w:b/>
      <w:sz w:val="24"/>
      <w:lang w:eastAsia="en-AU"/>
    </w:rPr>
  </w:style>
  <w:style w:type="character" w:customStyle="1" w:styleId="FooterChar">
    <w:name w:val="Footer Char"/>
    <w:basedOn w:val="DefaultParagraphFont"/>
    <w:link w:val="Footer"/>
    <w:rsid w:val="00E8208C"/>
    <w:rPr>
      <w:rFonts w:ascii="Arial" w:hAnsi="Arial"/>
      <w:sz w:val="22"/>
      <w:lang w:eastAsia="en-US"/>
    </w:rPr>
  </w:style>
  <w:style w:type="paragraph" w:customStyle="1" w:styleId="NoNumHead2">
    <w:name w:val="NoNum:Head2"/>
    <w:basedOn w:val="Normal"/>
    <w:next w:val="Normal"/>
    <w:link w:val="NoNumHead2Char"/>
    <w:autoRedefine/>
    <w:rsid w:val="00BE0968"/>
    <w:pPr>
      <w:keepNext/>
      <w:spacing w:before="120" w:after="240"/>
      <w:outlineLvl w:val="0"/>
    </w:pPr>
    <w:rPr>
      <w:b/>
      <w:sz w:val="26"/>
      <w:lang w:val="en-GB"/>
    </w:rPr>
  </w:style>
  <w:style w:type="paragraph" w:customStyle="1" w:styleId="anchor">
    <w:name w:val="anchor"/>
    <w:basedOn w:val="Normal"/>
    <w:autoRedefine/>
    <w:rsid w:val="00FF1917"/>
    <w:rPr>
      <w:rFonts w:cs="Arial"/>
      <w:szCs w:val="22"/>
      <w:lang w:val="en-GB"/>
    </w:rPr>
  </w:style>
  <w:style w:type="character" w:customStyle="1" w:styleId="NoNumHead2Char">
    <w:name w:val="NoNum:Head2 Char"/>
    <w:basedOn w:val="DefaultParagraphFont"/>
    <w:link w:val="NoNumHead2"/>
    <w:rsid w:val="00BE0968"/>
    <w:rPr>
      <w:rFonts w:ascii="Arial" w:hAnsi="Arial"/>
      <w:b/>
      <w:sz w:val="26"/>
      <w:lang w:val="en-GB" w:eastAsia="en-US"/>
    </w:rPr>
  </w:style>
  <w:style w:type="paragraph" w:customStyle="1" w:styleId="listindent">
    <w:name w:val="list:indent"/>
    <w:basedOn w:val="Normal"/>
    <w:rsid w:val="00DA5683"/>
    <w:pPr>
      <w:spacing w:after="240"/>
      <w:ind w:left="567"/>
    </w:pPr>
    <w:rPr>
      <w:rFonts w:ascii="Times New Roman" w:hAnsi="Times New Roman"/>
      <w:sz w:val="24"/>
      <w:lang w:val="en-GB"/>
    </w:rPr>
  </w:style>
  <w:style w:type="paragraph" w:customStyle="1" w:styleId="listbull">
    <w:name w:val="list:bull"/>
    <w:basedOn w:val="Normal"/>
    <w:rsid w:val="00965A2A"/>
    <w:pPr>
      <w:numPr>
        <w:numId w:val="24"/>
      </w:numPr>
      <w:spacing w:after="240"/>
    </w:pPr>
    <w:rPr>
      <w:rFonts w:ascii="Times New Roman" w:hAnsi="Times New Roman"/>
      <w:sz w:val="24"/>
      <w:lang w:val="en-GB"/>
    </w:rPr>
  </w:style>
  <w:style w:type="paragraph" w:customStyle="1" w:styleId="Postspace">
    <w:name w:val="Postspace"/>
    <w:basedOn w:val="Normal"/>
    <w:autoRedefine/>
    <w:rsid w:val="00737D08"/>
    <w:pPr>
      <w:spacing w:after="220"/>
      <w:jc w:val="center"/>
    </w:pPr>
    <w:rPr>
      <w:rFonts w:cs="Arial"/>
      <w:b/>
      <w:sz w:val="28"/>
      <w:szCs w:val="28"/>
      <w:lang w:val="en-GB"/>
    </w:rPr>
  </w:style>
  <w:style w:type="paragraph" w:customStyle="1" w:styleId="TableCell">
    <w:name w:val="TableCell"/>
    <w:basedOn w:val="Normal"/>
    <w:rsid w:val="00737D08"/>
    <w:rPr>
      <w:rFonts w:ascii="Times New Roman" w:hAnsi="Times New Roman"/>
      <w:sz w:val="24"/>
      <w:lang w:val="en-GB"/>
    </w:rPr>
  </w:style>
  <w:style w:type="paragraph" w:customStyle="1" w:styleId="NoNumHead3">
    <w:name w:val="NoNum:Head3"/>
    <w:basedOn w:val="NoNumHead2"/>
    <w:next w:val="Normal"/>
    <w:autoRedefine/>
    <w:rsid w:val="003A33B6"/>
    <w:rPr>
      <w:b w:val="0"/>
      <w:i/>
      <w:sz w:val="22"/>
    </w:rPr>
  </w:style>
  <w:style w:type="paragraph" w:styleId="Revision">
    <w:name w:val="Revision"/>
    <w:hidden/>
    <w:uiPriority w:val="99"/>
    <w:semiHidden/>
    <w:rsid w:val="00E80928"/>
    <w:rPr>
      <w:rFonts w:ascii="Arial" w:hAnsi="Arial"/>
      <w:sz w:val="22"/>
      <w:lang w:eastAsia="en-US"/>
    </w:rPr>
  </w:style>
  <w:style w:type="character" w:customStyle="1" w:styleId="CommentTextChar">
    <w:name w:val="Comment Text Char"/>
    <w:basedOn w:val="DefaultParagraphFont"/>
    <w:link w:val="CommentText"/>
    <w:semiHidden/>
    <w:rsid w:val="00923F1F"/>
    <w:rPr>
      <w:rFonts w:ascii="Arial" w:hAnsi="Arial"/>
      <w:lang w:eastAsia="en-US"/>
    </w:rPr>
  </w:style>
  <w:style w:type="paragraph" w:styleId="ListParagraph">
    <w:name w:val="List Paragraph"/>
    <w:basedOn w:val="Normal"/>
    <w:uiPriority w:val="34"/>
    <w:qFormat/>
    <w:rsid w:val="002E07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oa heading"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08"/>
    <w:rPr>
      <w:rFonts w:ascii="Arial" w:hAnsi="Arial"/>
      <w:sz w:val="22"/>
      <w:lang w:eastAsia="en-US"/>
    </w:rPr>
  </w:style>
  <w:style w:type="paragraph" w:styleId="Heading1">
    <w:name w:val="heading 1"/>
    <w:basedOn w:val="Normal"/>
    <w:next w:val="Normal"/>
    <w:qFormat/>
    <w:rsid w:val="00EA1A08"/>
    <w:pPr>
      <w:keepNext/>
      <w:spacing w:before="240" w:after="60"/>
      <w:outlineLvl w:val="0"/>
    </w:pPr>
    <w:rPr>
      <w:rFonts w:cs="Arial"/>
      <w:b/>
      <w:bCs/>
      <w:kern w:val="32"/>
      <w:szCs w:val="32"/>
    </w:rPr>
  </w:style>
  <w:style w:type="paragraph" w:styleId="Heading2">
    <w:name w:val="heading 2"/>
    <w:basedOn w:val="Normal"/>
    <w:next w:val="Normal"/>
    <w:qFormat/>
    <w:rsid w:val="00EA1A08"/>
    <w:pPr>
      <w:keepNext/>
      <w:spacing w:before="240" w:after="60"/>
      <w:outlineLvl w:val="1"/>
    </w:pPr>
    <w:rPr>
      <w:rFonts w:cs="Arial"/>
      <w:b/>
      <w:bCs/>
      <w:i/>
      <w:iCs/>
      <w:szCs w:val="28"/>
    </w:rPr>
  </w:style>
  <w:style w:type="paragraph" w:styleId="Heading3">
    <w:name w:val="heading 3"/>
    <w:basedOn w:val="Normal"/>
    <w:next w:val="Normal"/>
    <w:qFormat/>
    <w:rsid w:val="00EA1A08"/>
    <w:pPr>
      <w:keepNext/>
      <w:spacing w:before="240" w:after="60"/>
      <w:outlineLvl w:val="2"/>
    </w:pPr>
    <w:rPr>
      <w:rFonts w:cs="Arial"/>
      <w:bCs/>
      <w:szCs w:val="26"/>
      <w:u w:val="single"/>
    </w:rPr>
  </w:style>
  <w:style w:type="paragraph" w:styleId="Heading4">
    <w:name w:val="heading 4"/>
    <w:basedOn w:val="Normal"/>
    <w:next w:val="Normal"/>
    <w:qFormat/>
    <w:rsid w:val="00EA1A0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A1A08"/>
    <w:pPr>
      <w:spacing w:before="240" w:after="60"/>
      <w:outlineLvl w:val="4"/>
    </w:pPr>
    <w:rPr>
      <w:b/>
      <w:bCs/>
      <w:i/>
      <w:iCs/>
      <w:sz w:val="26"/>
      <w:szCs w:val="26"/>
    </w:rPr>
  </w:style>
  <w:style w:type="paragraph" w:styleId="Heading6">
    <w:name w:val="heading 6"/>
    <w:basedOn w:val="Normal"/>
    <w:next w:val="Normal"/>
    <w:qFormat/>
    <w:rsid w:val="00EA1A08"/>
    <w:pPr>
      <w:spacing w:before="240" w:after="60"/>
      <w:outlineLvl w:val="5"/>
    </w:pPr>
    <w:rPr>
      <w:rFonts w:ascii="Times New Roman" w:hAnsi="Times New Roman"/>
      <w:b/>
      <w:bCs/>
      <w:szCs w:val="22"/>
    </w:rPr>
  </w:style>
  <w:style w:type="paragraph" w:styleId="Heading7">
    <w:name w:val="heading 7"/>
    <w:basedOn w:val="Normal"/>
    <w:next w:val="Normal"/>
    <w:qFormat/>
    <w:rsid w:val="00EA1A08"/>
    <w:pPr>
      <w:spacing w:before="240" w:after="60"/>
      <w:outlineLvl w:val="6"/>
    </w:pPr>
    <w:rPr>
      <w:rFonts w:ascii="Times New Roman" w:hAnsi="Times New Roman"/>
      <w:sz w:val="24"/>
      <w:szCs w:val="24"/>
    </w:rPr>
  </w:style>
  <w:style w:type="paragraph" w:styleId="Heading8">
    <w:name w:val="heading 8"/>
    <w:basedOn w:val="Normal"/>
    <w:next w:val="Normal"/>
    <w:qFormat/>
    <w:rsid w:val="00EA1A08"/>
    <w:pPr>
      <w:spacing w:before="240" w:after="60"/>
      <w:outlineLvl w:val="7"/>
    </w:pPr>
    <w:rPr>
      <w:rFonts w:ascii="Times New Roman" w:hAnsi="Times New Roman"/>
      <w:i/>
      <w:iCs/>
      <w:sz w:val="24"/>
      <w:szCs w:val="24"/>
    </w:rPr>
  </w:style>
  <w:style w:type="paragraph" w:styleId="Heading9">
    <w:name w:val="heading 9"/>
    <w:basedOn w:val="Normal"/>
    <w:next w:val="Normal"/>
    <w:qFormat/>
    <w:rsid w:val="00EA1A08"/>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A1A08"/>
    <w:rPr>
      <w:rFonts w:ascii="Arial" w:hAnsi="Arial"/>
    </w:rPr>
  </w:style>
  <w:style w:type="paragraph" w:styleId="Footer">
    <w:name w:val="footer"/>
    <w:basedOn w:val="Normal"/>
    <w:link w:val="FooterChar"/>
    <w:rsid w:val="00EA1A08"/>
    <w:pPr>
      <w:tabs>
        <w:tab w:val="center" w:pos="4153"/>
        <w:tab w:val="right" w:pos="8306"/>
      </w:tabs>
    </w:pPr>
  </w:style>
  <w:style w:type="paragraph" w:styleId="Header">
    <w:name w:val="header"/>
    <w:basedOn w:val="Normal"/>
    <w:rsid w:val="00EA1A08"/>
    <w:pPr>
      <w:tabs>
        <w:tab w:val="center" w:pos="4320"/>
        <w:tab w:val="right" w:pos="8640"/>
      </w:tabs>
    </w:pPr>
  </w:style>
  <w:style w:type="character" w:styleId="PageNumber">
    <w:name w:val="page number"/>
    <w:basedOn w:val="DefaultParagraphFont"/>
    <w:rsid w:val="00EA1A08"/>
    <w:rPr>
      <w:rFonts w:ascii="Arial" w:hAnsi="Arial"/>
    </w:rPr>
  </w:style>
  <w:style w:type="paragraph" w:styleId="BodyText">
    <w:name w:val="Body Text"/>
    <w:basedOn w:val="Normal"/>
    <w:rsid w:val="00EA1A08"/>
    <w:pPr>
      <w:jc w:val="both"/>
    </w:pPr>
    <w:rPr>
      <w:sz w:val="24"/>
    </w:rPr>
  </w:style>
  <w:style w:type="character" w:styleId="CommentReference">
    <w:name w:val="annotation reference"/>
    <w:basedOn w:val="DefaultParagraphFont"/>
    <w:semiHidden/>
    <w:rsid w:val="00EA1A08"/>
    <w:rPr>
      <w:sz w:val="16"/>
      <w:szCs w:val="16"/>
    </w:rPr>
  </w:style>
  <w:style w:type="paragraph" w:customStyle="1" w:styleId="Style1">
    <w:name w:val="Style1"/>
    <w:basedOn w:val="Normal"/>
    <w:rsid w:val="00EA1A08"/>
  </w:style>
  <w:style w:type="paragraph" w:styleId="Title">
    <w:name w:val="Title"/>
    <w:basedOn w:val="Normal"/>
    <w:qFormat/>
    <w:rsid w:val="00EA1A08"/>
    <w:pPr>
      <w:spacing w:before="240" w:after="60"/>
      <w:jc w:val="center"/>
      <w:outlineLvl w:val="0"/>
    </w:pPr>
    <w:rPr>
      <w:rFonts w:cs="Arial"/>
      <w:b/>
      <w:bCs/>
      <w:kern w:val="28"/>
      <w:sz w:val="32"/>
      <w:szCs w:val="32"/>
    </w:rPr>
  </w:style>
  <w:style w:type="paragraph" w:styleId="Subtitle">
    <w:name w:val="Subtitle"/>
    <w:basedOn w:val="Normal"/>
    <w:qFormat/>
    <w:rsid w:val="00EA1A08"/>
    <w:pPr>
      <w:spacing w:after="60"/>
      <w:jc w:val="center"/>
      <w:outlineLvl w:val="1"/>
    </w:pPr>
    <w:rPr>
      <w:rFonts w:cs="Arial"/>
      <w:sz w:val="24"/>
      <w:szCs w:val="24"/>
    </w:rPr>
  </w:style>
  <w:style w:type="paragraph" w:styleId="ListBullet">
    <w:name w:val="List Bullet"/>
    <w:basedOn w:val="Normal"/>
    <w:autoRedefine/>
    <w:rsid w:val="006E3B31"/>
    <w:pPr>
      <w:spacing w:after="60"/>
      <w:jc w:val="both"/>
    </w:pPr>
    <w:rPr>
      <w:i/>
      <w:szCs w:val="22"/>
    </w:rPr>
  </w:style>
  <w:style w:type="paragraph" w:styleId="ListNumber">
    <w:name w:val="List Number"/>
    <w:basedOn w:val="Normal"/>
    <w:rsid w:val="00EA1A08"/>
    <w:pPr>
      <w:numPr>
        <w:numId w:val="9"/>
      </w:numPr>
      <w:tabs>
        <w:tab w:val="clear" w:pos="480"/>
        <w:tab w:val="num" w:pos="360"/>
      </w:tabs>
      <w:spacing w:after="120"/>
      <w:ind w:left="357" w:hanging="357"/>
    </w:pPr>
  </w:style>
  <w:style w:type="paragraph" w:styleId="CommentText">
    <w:name w:val="annotation text"/>
    <w:basedOn w:val="Normal"/>
    <w:link w:val="CommentTextChar"/>
    <w:semiHidden/>
    <w:rsid w:val="00EA1A08"/>
    <w:rPr>
      <w:sz w:val="20"/>
    </w:rPr>
  </w:style>
  <w:style w:type="paragraph" w:styleId="BlockText">
    <w:name w:val="Block Text"/>
    <w:basedOn w:val="Normal"/>
    <w:rsid w:val="00EA1A08"/>
    <w:pPr>
      <w:spacing w:after="120"/>
      <w:ind w:left="1440" w:right="1440"/>
    </w:pPr>
  </w:style>
  <w:style w:type="paragraph" w:styleId="BodyText2">
    <w:name w:val="Body Text 2"/>
    <w:basedOn w:val="Normal"/>
    <w:rsid w:val="00EA1A08"/>
    <w:pPr>
      <w:spacing w:after="120" w:line="480" w:lineRule="auto"/>
    </w:pPr>
  </w:style>
  <w:style w:type="paragraph" w:styleId="BodyText3">
    <w:name w:val="Body Text 3"/>
    <w:basedOn w:val="Normal"/>
    <w:rsid w:val="00EA1A08"/>
    <w:pPr>
      <w:spacing w:after="120"/>
    </w:pPr>
    <w:rPr>
      <w:sz w:val="16"/>
      <w:szCs w:val="16"/>
    </w:rPr>
  </w:style>
  <w:style w:type="paragraph" w:styleId="BodyTextFirstIndent">
    <w:name w:val="Body Text First Indent"/>
    <w:basedOn w:val="BodyText"/>
    <w:rsid w:val="00EA1A08"/>
    <w:pPr>
      <w:spacing w:after="120"/>
      <w:ind w:firstLine="210"/>
      <w:jc w:val="left"/>
    </w:pPr>
    <w:rPr>
      <w:sz w:val="22"/>
    </w:rPr>
  </w:style>
  <w:style w:type="paragraph" w:styleId="BodyTextIndent">
    <w:name w:val="Body Text Indent"/>
    <w:basedOn w:val="Normal"/>
    <w:rsid w:val="00EA1A08"/>
    <w:pPr>
      <w:spacing w:after="120"/>
      <w:ind w:left="360"/>
    </w:pPr>
  </w:style>
  <w:style w:type="paragraph" w:styleId="BodyTextFirstIndent2">
    <w:name w:val="Body Text First Indent 2"/>
    <w:basedOn w:val="BodyTextIndent"/>
    <w:rsid w:val="00EA1A08"/>
    <w:pPr>
      <w:ind w:firstLine="210"/>
    </w:pPr>
  </w:style>
  <w:style w:type="paragraph" w:styleId="BodyTextIndent2">
    <w:name w:val="Body Text Indent 2"/>
    <w:basedOn w:val="Normal"/>
    <w:rsid w:val="00EA1A08"/>
    <w:pPr>
      <w:spacing w:after="120" w:line="480" w:lineRule="auto"/>
      <w:ind w:left="360"/>
    </w:pPr>
  </w:style>
  <w:style w:type="paragraph" w:styleId="BodyTextIndent3">
    <w:name w:val="Body Text Indent 3"/>
    <w:basedOn w:val="Normal"/>
    <w:rsid w:val="00EA1A08"/>
    <w:pPr>
      <w:spacing w:after="120"/>
      <w:ind w:left="360"/>
    </w:pPr>
    <w:rPr>
      <w:sz w:val="16"/>
      <w:szCs w:val="16"/>
    </w:rPr>
  </w:style>
  <w:style w:type="paragraph" w:styleId="Caption">
    <w:name w:val="caption"/>
    <w:basedOn w:val="Normal"/>
    <w:next w:val="Normal"/>
    <w:qFormat/>
    <w:rsid w:val="00EA1A08"/>
    <w:pPr>
      <w:spacing w:before="120" w:after="120"/>
    </w:pPr>
    <w:rPr>
      <w:b/>
      <w:bCs/>
      <w:sz w:val="20"/>
    </w:rPr>
  </w:style>
  <w:style w:type="paragraph" w:styleId="Closing">
    <w:name w:val="Closing"/>
    <w:basedOn w:val="Normal"/>
    <w:rsid w:val="00EA1A08"/>
    <w:pPr>
      <w:ind w:left="4320"/>
    </w:pPr>
  </w:style>
  <w:style w:type="paragraph" w:styleId="Date">
    <w:name w:val="Date"/>
    <w:basedOn w:val="Normal"/>
    <w:next w:val="Normal"/>
    <w:rsid w:val="00EA1A08"/>
  </w:style>
  <w:style w:type="paragraph" w:styleId="DocumentMap">
    <w:name w:val="Document Map"/>
    <w:basedOn w:val="Normal"/>
    <w:semiHidden/>
    <w:rsid w:val="00EA1A08"/>
    <w:pPr>
      <w:shd w:val="clear" w:color="auto" w:fill="000080"/>
    </w:pPr>
    <w:rPr>
      <w:rFonts w:ascii="Tahoma" w:hAnsi="Tahoma" w:cs="Tahoma"/>
    </w:rPr>
  </w:style>
  <w:style w:type="paragraph" w:styleId="E-mailSignature">
    <w:name w:val="E-mail Signature"/>
    <w:basedOn w:val="Normal"/>
    <w:rsid w:val="00EA1A08"/>
  </w:style>
  <w:style w:type="paragraph" w:styleId="EndnoteText">
    <w:name w:val="endnote text"/>
    <w:basedOn w:val="Normal"/>
    <w:semiHidden/>
    <w:rsid w:val="00EA1A08"/>
    <w:rPr>
      <w:sz w:val="20"/>
    </w:rPr>
  </w:style>
  <w:style w:type="paragraph" w:styleId="EnvelopeAddress">
    <w:name w:val="envelope address"/>
    <w:basedOn w:val="Normal"/>
    <w:rsid w:val="00EA1A08"/>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EA1A08"/>
    <w:rPr>
      <w:rFonts w:cs="Arial"/>
      <w:sz w:val="20"/>
    </w:rPr>
  </w:style>
  <w:style w:type="paragraph" w:styleId="FootnoteText">
    <w:name w:val="footnote text"/>
    <w:basedOn w:val="Normal"/>
    <w:semiHidden/>
    <w:rsid w:val="00EA1A08"/>
    <w:rPr>
      <w:sz w:val="20"/>
    </w:rPr>
  </w:style>
  <w:style w:type="paragraph" w:styleId="HTMLAddress">
    <w:name w:val="HTML Address"/>
    <w:basedOn w:val="Normal"/>
    <w:rsid w:val="00EA1A08"/>
    <w:rPr>
      <w:i/>
      <w:iCs/>
    </w:rPr>
  </w:style>
  <w:style w:type="paragraph" w:styleId="HTMLPreformatted">
    <w:name w:val="HTML Preformatted"/>
    <w:basedOn w:val="Normal"/>
    <w:rsid w:val="00EA1A08"/>
    <w:rPr>
      <w:rFonts w:ascii="Courier New" w:hAnsi="Courier New" w:cs="Courier New"/>
      <w:sz w:val="20"/>
    </w:rPr>
  </w:style>
  <w:style w:type="paragraph" w:styleId="Index1">
    <w:name w:val="index 1"/>
    <w:basedOn w:val="Normal"/>
    <w:next w:val="Normal"/>
    <w:autoRedefine/>
    <w:semiHidden/>
    <w:rsid w:val="00EA1A08"/>
    <w:pPr>
      <w:ind w:left="220" w:hanging="220"/>
    </w:pPr>
  </w:style>
  <w:style w:type="paragraph" w:styleId="Index2">
    <w:name w:val="index 2"/>
    <w:basedOn w:val="Normal"/>
    <w:next w:val="Normal"/>
    <w:autoRedefine/>
    <w:semiHidden/>
    <w:rsid w:val="00EA1A08"/>
    <w:pPr>
      <w:ind w:left="440" w:hanging="220"/>
    </w:pPr>
  </w:style>
  <w:style w:type="paragraph" w:styleId="Index3">
    <w:name w:val="index 3"/>
    <w:basedOn w:val="Normal"/>
    <w:next w:val="Normal"/>
    <w:autoRedefine/>
    <w:semiHidden/>
    <w:rsid w:val="00EA1A08"/>
    <w:pPr>
      <w:ind w:left="660" w:hanging="220"/>
    </w:pPr>
  </w:style>
  <w:style w:type="paragraph" w:styleId="Index4">
    <w:name w:val="index 4"/>
    <w:basedOn w:val="Normal"/>
    <w:next w:val="Normal"/>
    <w:autoRedefine/>
    <w:semiHidden/>
    <w:rsid w:val="00EA1A08"/>
    <w:pPr>
      <w:ind w:left="880" w:hanging="220"/>
    </w:pPr>
  </w:style>
  <w:style w:type="paragraph" w:styleId="Index5">
    <w:name w:val="index 5"/>
    <w:basedOn w:val="Normal"/>
    <w:next w:val="Normal"/>
    <w:autoRedefine/>
    <w:semiHidden/>
    <w:rsid w:val="00EA1A08"/>
    <w:pPr>
      <w:ind w:left="1100" w:hanging="220"/>
    </w:pPr>
  </w:style>
  <w:style w:type="paragraph" w:styleId="Index6">
    <w:name w:val="index 6"/>
    <w:basedOn w:val="Normal"/>
    <w:next w:val="Normal"/>
    <w:autoRedefine/>
    <w:semiHidden/>
    <w:rsid w:val="00EA1A08"/>
    <w:pPr>
      <w:ind w:left="1320" w:hanging="220"/>
    </w:pPr>
  </w:style>
  <w:style w:type="paragraph" w:styleId="Index7">
    <w:name w:val="index 7"/>
    <w:basedOn w:val="Normal"/>
    <w:next w:val="Normal"/>
    <w:autoRedefine/>
    <w:semiHidden/>
    <w:rsid w:val="00EA1A08"/>
    <w:pPr>
      <w:ind w:left="1540" w:hanging="220"/>
    </w:pPr>
  </w:style>
  <w:style w:type="paragraph" w:styleId="Index8">
    <w:name w:val="index 8"/>
    <w:basedOn w:val="Normal"/>
    <w:next w:val="Normal"/>
    <w:autoRedefine/>
    <w:semiHidden/>
    <w:rsid w:val="00EA1A08"/>
    <w:pPr>
      <w:ind w:left="1760" w:hanging="220"/>
    </w:pPr>
  </w:style>
  <w:style w:type="paragraph" w:styleId="Index9">
    <w:name w:val="index 9"/>
    <w:basedOn w:val="Normal"/>
    <w:next w:val="Normal"/>
    <w:autoRedefine/>
    <w:semiHidden/>
    <w:rsid w:val="00EA1A08"/>
    <w:pPr>
      <w:ind w:left="1980" w:hanging="220"/>
    </w:pPr>
  </w:style>
  <w:style w:type="paragraph" w:styleId="IndexHeading">
    <w:name w:val="index heading"/>
    <w:basedOn w:val="Normal"/>
    <w:next w:val="Index1"/>
    <w:semiHidden/>
    <w:rsid w:val="00EA1A08"/>
    <w:rPr>
      <w:rFonts w:cs="Arial"/>
      <w:b/>
      <w:bCs/>
    </w:rPr>
  </w:style>
  <w:style w:type="paragraph" w:styleId="List">
    <w:name w:val="List"/>
    <w:basedOn w:val="Normal"/>
    <w:rsid w:val="00EA1A08"/>
    <w:pPr>
      <w:ind w:left="360" w:hanging="360"/>
    </w:pPr>
  </w:style>
  <w:style w:type="paragraph" w:styleId="List2">
    <w:name w:val="List 2"/>
    <w:basedOn w:val="Normal"/>
    <w:rsid w:val="00EA1A08"/>
    <w:pPr>
      <w:ind w:left="720" w:hanging="360"/>
    </w:pPr>
  </w:style>
  <w:style w:type="paragraph" w:styleId="List3">
    <w:name w:val="List 3"/>
    <w:basedOn w:val="Normal"/>
    <w:rsid w:val="00EA1A08"/>
    <w:pPr>
      <w:ind w:left="1080" w:hanging="360"/>
    </w:pPr>
  </w:style>
  <w:style w:type="paragraph" w:styleId="List4">
    <w:name w:val="List 4"/>
    <w:basedOn w:val="Normal"/>
    <w:rsid w:val="00EA1A08"/>
    <w:pPr>
      <w:ind w:left="1440" w:hanging="360"/>
    </w:pPr>
  </w:style>
  <w:style w:type="paragraph" w:styleId="List5">
    <w:name w:val="List 5"/>
    <w:basedOn w:val="Normal"/>
    <w:rsid w:val="00EA1A08"/>
    <w:pPr>
      <w:ind w:left="1800" w:hanging="360"/>
    </w:pPr>
  </w:style>
  <w:style w:type="paragraph" w:styleId="ListBullet2">
    <w:name w:val="List Bullet 2"/>
    <w:basedOn w:val="Normal"/>
    <w:autoRedefine/>
    <w:rsid w:val="00EA1A08"/>
    <w:pPr>
      <w:numPr>
        <w:numId w:val="10"/>
      </w:numPr>
    </w:pPr>
  </w:style>
  <w:style w:type="paragraph" w:styleId="ListBullet3">
    <w:name w:val="List Bullet 3"/>
    <w:basedOn w:val="Normal"/>
    <w:autoRedefine/>
    <w:rsid w:val="00EA1A08"/>
    <w:pPr>
      <w:numPr>
        <w:numId w:val="11"/>
      </w:numPr>
    </w:pPr>
  </w:style>
  <w:style w:type="paragraph" w:styleId="ListBullet4">
    <w:name w:val="List Bullet 4"/>
    <w:basedOn w:val="Normal"/>
    <w:autoRedefine/>
    <w:rsid w:val="00EA1A08"/>
    <w:pPr>
      <w:numPr>
        <w:numId w:val="12"/>
      </w:numPr>
    </w:pPr>
  </w:style>
  <w:style w:type="paragraph" w:styleId="ListBullet5">
    <w:name w:val="List Bullet 5"/>
    <w:basedOn w:val="Normal"/>
    <w:autoRedefine/>
    <w:rsid w:val="00EA1A08"/>
    <w:pPr>
      <w:numPr>
        <w:numId w:val="13"/>
      </w:numPr>
    </w:pPr>
  </w:style>
  <w:style w:type="paragraph" w:styleId="ListContinue">
    <w:name w:val="List Continue"/>
    <w:basedOn w:val="Normal"/>
    <w:rsid w:val="00EA1A08"/>
    <w:pPr>
      <w:spacing w:after="120"/>
      <w:ind w:left="360"/>
    </w:pPr>
  </w:style>
  <w:style w:type="paragraph" w:styleId="ListContinue2">
    <w:name w:val="List Continue 2"/>
    <w:basedOn w:val="Normal"/>
    <w:rsid w:val="00EA1A08"/>
    <w:pPr>
      <w:spacing w:after="120"/>
      <w:ind w:left="720"/>
    </w:pPr>
  </w:style>
  <w:style w:type="paragraph" w:styleId="ListContinue3">
    <w:name w:val="List Continue 3"/>
    <w:basedOn w:val="Normal"/>
    <w:rsid w:val="00EA1A08"/>
    <w:pPr>
      <w:spacing w:after="120"/>
      <w:ind w:left="1080"/>
    </w:pPr>
  </w:style>
  <w:style w:type="paragraph" w:styleId="ListContinue4">
    <w:name w:val="List Continue 4"/>
    <w:basedOn w:val="Normal"/>
    <w:rsid w:val="00EA1A08"/>
    <w:pPr>
      <w:spacing w:after="120"/>
      <w:ind w:left="1440"/>
    </w:pPr>
  </w:style>
  <w:style w:type="paragraph" w:styleId="ListContinue5">
    <w:name w:val="List Continue 5"/>
    <w:basedOn w:val="Normal"/>
    <w:rsid w:val="00EA1A08"/>
    <w:pPr>
      <w:spacing w:after="120"/>
      <w:ind w:left="1800"/>
    </w:pPr>
  </w:style>
  <w:style w:type="paragraph" w:styleId="ListNumber2">
    <w:name w:val="List Number 2"/>
    <w:basedOn w:val="Normal"/>
    <w:rsid w:val="00EA1A08"/>
    <w:pPr>
      <w:numPr>
        <w:numId w:val="14"/>
      </w:numPr>
    </w:pPr>
  </w:style>
  <w:style w:type="paragraph" w:styleId="ListNumber3">
    <w:name w:val="List Number 3"/>
    <w:basedOn w:val="Normal"/>
    <w:rsid w:val="00EA1A08"/>
    <w:pPr>
      <w:numPr>
        <w:numId w:val="15"/>
      </w:numPr>
    </w:pPr>
  </w:style>
  <w:style w:type="paragraph" w:styleId="ListNumber4">
    <w:name w:val="List Number 4"/>
    <w:basedOn w:val="Normal"/>
    <w:rsid w:val="00EA1A08"/>
    <w:pPr>
      <w:numPr>
        <w:numId w:val="16"/>
      </w:numPr>
    </w:pPr>
  </w:style>
  <w:style w:type="paragraph" w:styleId="ListNumber5">
    <w:name w:val="List Number 5"/>
    <w:basedOn w:val="Normal"/>
    <w:rsid w:val="00EA1A08"/>
    <w:pPr>
      <w:numPr>
        <w:numId w:val="17"/>
      </w:numPr>
    </w:pPr>
  </w:style>
  <w:style w:type="paragraph" w:styleId="MacroText">
    <w:name w:val="macro"/>
    <w:semiHidden/>
    <w:rsid w:val="00EA1A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1A0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uiPriority w:val="99"/>
    <w:rsid w:val="00EA1A08"/>
    <w:rPr>
      <w:rFonts w:ascii="Times New Roman" w:hAnsi="Times New Roman"/>
      <w:sz w:val="24"/>
      <w:szCs w:val="24"/>
    </w:rPr>
  </w:style>
  <w:style w:type="paragraph" w:styleId="NormalIndent">
    <w:name w:val="Normal Indent"/>
    <w:basedOn w:val="Normal"/>
    <w:rsid w:val="00EA1A08"/>
    <w:pPr>
      <w:ind w:left="720"/>
    </w:pPr>
  </w:style>
  <w:style w:type="paragraph" w:styleId="NoteHeading">
    <w:name w:val="Note Heading"/>
    <w:basedOn w:val="Normal"/>
    <w:next w:val="Normal"/>
    <w:rsid w:val="00EA1A08"/>
  </w:style>
  <w:style w:type="paragraph" w:styleId="PlainText">
    <w:name w:val="Plain Text"/>
    <w:basedOn w:val="Normal"/>
    <w:rsid w:val="00EA1A08"/>
    <w:rPr>
      <w:rFonts w:ascii="Courier New" w:hAnsi="Courier New" w:cs="Courier New"/>
      <w:sz w:val="20"/>
    </w:rPr>
  </w:style>
  <w:style w:type="paragraph" w:styleId="Salutation">
    <w:name w:val="Salutation"/>
    <w:basedOn w:val="Normal"/>
    <w:next w:val="Normal"/>
    <w:rsid w:val="00EA1A08"/>
  </w:style>
  <w:style w:type="paragraph" w:styleId="Signature">
    <w:name w:val="Signature"/>
    <w:basedOn w:val="Normal"/>
    <w:rsid w:val="00EA1A08"/>
    <w:pPr>
      <w:ind w:left="4320"/>
    </w:pPr>
  </w:style>
  <w:style w:type="paragraph" w:styleId="TableofAuthorities">
    <w:name w:val="table of authorities"/>
    <w:basedOn w:val="Normal"/>
    <w:next w:val="Normal"/>
    <w:semiHidden/>
    <w:rsid w:val="00EA1A08"/>
    <w:pPr>
      <w:ind w:left="220" w:hanging="220"/>
    </w:pPr>
  </w:style>
  <w:style w:type="paragraph" w:styleId="TableofFigures">
    <w:name w:val="table of figures"/>
    <w:basedOn w:val="Normal"/>
    <w:next w:val="Normal"/>
    <w:semiHidden/>
    <w:rsid w:val="00EA1A08"/>
    <w:pPr>
      <w:ind w:left="440" w:hanging="440"/>
    </w:pPr>
  </w:style>
  <w:style w:type="paragraph" w:styleId="TOAHeading">
    <w:name w:val="toa heading"/>
    <w:basedOn w:val="Normal"/>
    <w:next w:val="Normal"/>
    <w:semiHidden/>
    <w:rsid w:val="00EA1A08"/>
    <w:pPr>
      <w:spacing w:before="120"/>
    </w:pPr>
    <w:rPr>
      <w:rFonts w:cs="Arial"/>
      <w:b/>
      <w:bCs/>
      <w:sz w:val="24"/>
      <w:szCs w:val="24"/>
    </w:rPr>
  </w:style>
  <w:style w:type="paragraph" w:styleId="TOC1">
    <w:name w:val="toc 1"/>
    <w:basedOn w:val="Normal"/>
    <w:next w:val="Normal"/>
    <w:autoRedefine/>
    <w:semiHidden/>
    <w:rsid w:val="00EA1A08"/>
  </w:style>
  <w:style w:type="paragraph" w:styleId="TOC2">
    <w:name w:val="toc 2"/>
    <w:basedOn w:val="Normal"/>
    <w:next w:val="Normal"/>
    <w:autoRedefine/>
    <w:semiHidden/>
    <w:rsid w:val="00EA1A08"/>
    <w:pPr>
      <w:ind w:left="220"/>
    </w:pPr>
  </w:style>
  <w:style w:type="paragraph" w:styleId="TOC3">
    <w:name w:val="toc 3"/>
    <w:basedOn w:val="Normal"/>
    <w:next w:val="Normal"/>
    <w:autoRedefine/>
    <w:semiHidden/>
    <w:rsid w:val="00EA1A08"/>
    <w:pPr>
      <w:ind w:left="440"/>
    </w:pPr>
  </w:style>
  <w:style w:type="paragraph" w:styleId="TOC4">
    <w:name w:val="toc 4"/>
    <w:basedOn w:val="Normal"/>
    <w:next w:val="Normal"/>
    <w:autoRedefine/>
    <w:semiHidden/>
    <w:rsid w:val="00EA1A08"/>
    <w:pPr>
      <w:ind w:left="660"/>
    </w:pPr>
  </w:style>
  <w:style w:type="paragraph" w:styleId="TOC5">
    <w:name w:val="toc 5"/>
    <w:basedOn w:val="Normal"/>
    <w:next w:val="Normal"/>
    <w:autoRedefine/>
    <w:semiHidden/>
    <w:rsid w:val="00EA1A08"/>
    <w:pPr>
      <w:ind w:left="880"/>
    </w:pPr>
  </w:style>
  <w:style w:type="paragraph" w:styleId="TOC6">
    <w:name w:val="toc 6"/>
    <w:basedOn w:val="Normal"/>
    <w:next w:val="Normal"/>
    <w:autoRedefine/>
    <w:semiHidden/>
    <w:rsid w:val="00EA1A08"/>
    <w:pPr>
      <w:ind w:left="1100"/>
    </w:pPr>
  </w:style>
  <w:style w:type="paragraph" w:styleId="TOC7">
    <w:name w:val="toc 7"/>
    <w:basedOn w:val="Normal"/>
    <w:next w:val="Normal"/>
    <w:autoRedefine/>
    <w:semiHidden/>
    <w:rsid w:val="00EA1A08"/>
    <w:pPr>
      <w:ind w:left="1320"/>
    </w:pPr>
  </w:style>
  <w:style w:type="paragraph" w:styleId="TOC8">
    <w:name w:val="toc 8"/>
    <w:basedOn w:val="Normal"/>
    <w:next w:val="Normal"/>
    <w:autoRedefine/>
    <w:semiHidden/>
    <w:rsid w:val="00EA1A08"/>
    <w:pPr>
      <w:ind w:left="1540"/>
    </w:pPr>
  </w:style>
  <w:style w:type="paragraph" w:styleId="TOC9">
    <w:name w:val="toc 9"/>
    <w:basedOn w:val="Normal"/>
    <w:next w:val="Normal"/>
    <w:autoRedefine/>
    <w:semiHidden/>
    <w:rsid w:val="00EA1A08"/>
    <w:pPr>
      <w:ind w:left="1760"/>
    </w:pPr>
  </w:style>
  <w:style w:type="character" w:styleId="LineNumber">
    <w:name w:val="line number"/>
    <w:basedOn w:val="DefaultParagraphFont"/>
    <w:rsid w:val="00EA1A08"/>
  </w:style>
  <w:style w:type="table" w:styleId="TableGrid">
    <w:name w:val="Table Grid"/>
    <w:basedOn w:val="TableNormal"/>
    <w:uiPriority w:val="59"/>
    <w:rsid w:val="003F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char">
    <w:name w:val="CSIchar"/>
    <w:basedOn w:val="DefaultParagraphFont"/>
    <w:rsid w:val="00462BA9"/>
    <w:rPr>
      <w:bdr w:val="none" w:sz="0" w:space="0" w:color="auto"/>
      <w:shd w:val="clear" w:color="auto" w:fill="CCCCCC"/>
    </w:rPr>
  </w:style>
  <w:style w:type="paragraph" w:customStyle="1" w:styleId="BridgeheadGDS">
    <w:name w:val="Bridgehead GDS"/>
    <w:basedOn w:val="Normal"/>
    <w:autoRedefine/>
    <w:rsid w:val="00332695"/>
    <w:pPr>
      <w:keepNext/>
      <w:spacing w:after="240"/>
      <w:outlineLvl w:val="0"/>
    </w:pPr>
    <w:rPr>
      <w:rFonts w:cs="Arial"/>
      <w:b/>
      <w:szCs w:val="22"/>
      <w:lang w:val="en-GB"/>
    </w:rPr>
  </w:style>
  <w:style w:type="paragraph" w:styleId="BalloonText">
    <w:name w:val="Balloon Text"/>
    <w:basedOn w:val="Normal"/>
    <w:semiHidden/>
    <w:rsid w:val="00462BA9"/>
    <w:rPr>
      <w:rFonts w:ascii="Tahoma" w:hAnsi="Tahoma" w:cs="Tahoma"/>
      <w:sz w:val="16"/>
      <w:szCs w:val="16"/>
    </w:rPr>
  </w:style>
  <w:style w:type="paragraph" w:customStyle="1" w:styleId="listdash">
    <w:name w:val="list:dash"/>
    <w:basedOn w:val="Normal"/>
    <w:rsid w:val="00462BA9"/>
    <w:pPr>
      <w:numPr>
        <w:numId w:val="18"/>
      </w:numPr>
      <w:spacing w:after="240"/>
    </w:pPr>
    <w:rPr>
      <w:rFonts w:ascii="Times New Roman" w:hAnsi="Times New Roman"/>
      <w:sz w:val="24"/>
      <w:lang w:val="en-GB"/>
    </w:rPr>
  </w:style>
  <w:style w:type="paragraph" w:customStyle="1" w:styleId="listindentnospace">
    <w:name w:val="list:indentnospace"/>
    <w:basedOn w:val="Normal"/>
    <w:rsid w:val="00FE502D"/>
    <w:pPr>
      <w:ind w:left="567"/>
    </w:pPr>
    <w:rPr>
      <w:rFonts w:ascii="Times New Roman" w:hAnsi="Times New Roman"/>
      <w:sz w:val="24"/>
      <w:lang w:val="en-GB"/>
    </w:rPr>
  </w:style>
  <w:style w:type="paragraph" w:styleId="CommentSubject">
    <w:name w:val="annotation subject"/>
    <w:basedOn w:val="CommentText"/>
    <w:next w:val="CommentText"/>
    <w:semiHidden/>
    <w:rsid w:val="00281C8B"/>
    <w:rPr>
      <w:b/>
      <w:bCs/>
    </w:rPr>
  </w:style>
  <w:style w:type="paragraph" w:customStyle="1" w:styleId="Bridgehead">
    <w:name w:val="Bridgehead"/>
    <w:basedOn w:val="Normal"/>
    <w:autoRedefine/>
    <w:rsid w:val="003A2538"/>
    <w:pPr>
      <w:keepNext/>
      <w:spacing w:after="240"/>
      <w:outlineLvl w:val="0"/>
    </w:pPr>
    <w:rPr>
      <w:rFonts w:ascii="Times New Roman" w:hAnsi="Times New Roman"/>
      <w:b/>
      <w:lang w:val="en-GB"/>
    </w:rPr>
  </w:style>
  <w:style w:type="paragraph" w:customStyle="1" w:styleId="centredbold">
    <w:name w:val="centredbold"/>
    <w:basedOn w:val="Normal"/>
    <w:rsid w:val="00BD2900"/>
    <w:pPr>
      <w:jc w:val="center"/>
    </w:pPr>
    <w:rPr>
      <w:rFonts w:ascii="Times New Roman" w:hAnsi="Times New Roman"/>
      <w:b/>
      <w:sz w:val="24"/>
      <w:lang w:eastAsia="en-AU"/>
    </w:rPr>
  </w:style>
  <w:style w:type="character" w:customStyle="1" w:styleId="FooterChar">
    <w:name w:val="Footer Char"/>
    <w:basedOn w:val="DefaultParagraphFont"/>
    <w:link w:val="Footer"/>
    <w:rsid w:val="00E8208C"/>
    <w:rPr>
      <w:rFonts w:ascii="Arial" w:hAnsi="Arial"/>
      <w:sz w:val="22"/>
      <w:lang w:eastAsia="en-US"/>
    </w:rPr>
  </w:style>
  <w:style w:type="paragraph" w:customStyle="1" w:styleId="NoNumHead2">
    <w:name w:val="NoNum:Head2"/>
    <w:basedOn w:val="Normal"/>
    <w:next w:val="Normal"/>
    <w:link w:val="NoNumHead2Char"/>
    <w:autoRedefine/>
    <w:rsid w:val="00BE0968"/>
    <w:pPr>
      <w:keepNext/>
      <w:spacing w:before="120" w:after="240"/>
      <w:outlineLvl w:val="0"/>
    </w:pPr>
    <w:rPr>
      <w:b/>
      <w:sz w:val="26"/>
      <w:lang w:val="en-GB"/>
    </w:rPr>
  </w:style>
  <w:style w:type="paragraph" w:customStyle="1" w:styleId="anchor">
    <w:name w:val="anchor"/>
    <w:basedOn w:val="Normal"/>
    <w:autoRedefine/>
    <w:rsid w:val="00FF1917"/>
    <w:rPr>
      <w:rFonts w:cs="Arial"/>
      <w:szCs w:val="22"/>
      <w:lang w:val="en-GB"/>
    </w:rPr>
  </w:style>
  <w:style w:type="character" w:customStyle="1" w:styleId="NoNumHead2Char">
    <w:name w:val="NoNum:Head2 Char"/>
    <w:basedOn w:val="DefaultParagraphFont"/>
    <w:link w:val="NoNumHead2"/>
    <w:rsid w:val="00BE0968"/>
    <w:rPr>
      <w:rFonts w:ascii="Arial" w:hAnsi="Arial"/>
      <w:b/>
      <w:sz w:val="26"/>
      <w:lang w:val="en-GB" w:eastAsia="en-US"/>
    </w:rPr>
  </w:style>
  <w:style w:type="paragraph" w:customStyle="1" w:styleId="listindent">
    <w:name w:val="list:indent"/>
    <w:basedOn w:val="Normal"/>
    <w:rsid w:val="00DA5683"/>
    <w:pPr>
      <w:spacing w:after="240"/>
      <w:ind w:left="567"/>
    </w:pPr>
    <w:rPr>
      <w:rFonts w:ascii="Times New Roman" w:hAnsi="Times New Roman"/>
      <w:sz w:val="24"/>
      <w:lang w:val="en-GB"/>
    </w:rPr>
  </w:style>
  <w:style w:type="paragraph" w:customStyle="1" w:styleId="listbull">
    <w:name w:val="list:bull"/>
    <w:basedOn w:val="Normal"/>
    <w:rsid w:val="00965A2A"/>
    <w:pPr>
      <w:numPr>
        <w:numId w:val="24"/>
      </w:numPr>
      <w:spacing w:after="240"/>
    </w:pPr>
    <w:rPr>
      <w:rFonts w:ascii="Times New Roman" w:hAnsi="Times New Roman"/>
      <w:sz w:val="24"/>
      <w:lang w:val="en-GB"/>
    </w:rPr>
  </w:style>
  <w:style w:type="paragraph" w:customStyle="1" w:styleId="Postspace">
    <w:name w:val="Postspace"/>
    <w:basedOn w:val="Normal"/>
    <w:autoRedefine/>
    <w:rsid w:val="00737D08"/>
    <w:pPr>
      <w:spacing w:after="220"/>
      <w:jc w:val="center"/>
    </w:pPr>
    <w:rPr>
      <w:rFonts w:cs="Arial"/>
      <w:b/>
      <w:sz w:val="28"/>
      <w:szCs w:val="28"/>
      <w:lang w:val="en-GB"/>
    </w:rPr>
  </w:style>
  <w:style w:type="paragraph" w:customStyle="1" w:styleId="TableCell">
    <w:name w:val="TableCell"/>
    <w:basedOn w:val="Normal"/>
    <w:rsid w:val="00737D08"/>
    <w:rPr>
      <w:rFonts w:ascii="Times New Roman" w:hAnsi="Times New Roman"/>
      <w:sz w:val="24"/>
      <w:lang w:val="en-GB"/>
    </w:rPr>
  </w:style>
  <w:style w:type="paragraph" w:customStyle="1" w:styleId="NoNumHead3">
    <w:name w:val="NoNum:Head3"/>
    <w:basedOn w:val="NoNumHead2"/>
    <w:next w:val="Normal"/>
    <w:autoRedefine/>
    <w:rsid w:val="003A33B6"/>
    <w:rPr>
      <w:b w:val="0"/>
      <w:i/>
      <w:sz w:val="22"/>
    </w:rPr>
  </w:style>
  <w:style w:type="paragraph" w:styleId="Revision">
    <w:name w:val="Revision"/>
    <w:hidden/>
    <w:uiPriority w:val="99"/>
    <w:semiHidden/>
    <w:rsid w:val="00E80928"/>
    <w:rPr>
      <w:rFonts w:ascii="Arial" w:hAnsi="Arial"/>
      <w:sz w:val="22"/>
      <w:lang w:eastAsia="en-US"/>
    </w:rPr>
  </w:style>
  <w:style w:type="character" w:customStyle="1" w:styleId="CommentTextChar">
    <w:name w:val="Comment Text Char"/>
    <w:basedOn w:val="DefaultParagraphFont"/>
    <w:link w:val="CommentText"/>
    <w:semiHidden/>
    <w:rsid w:val="00923F1F"/>
    <w:rPr>
      <w:rFonts w:ascii="Arial" w:hAnsi="Arial"/>
      <w:lang w:eastAsia="en-US"/>
    </w:rPr>
  </w:style>
  <w:style w:type="paragraph" w:styleId="ListParagraph">
    <w:name w:val="List Paragraph"/>
    <w:basedOn w:val="Normal"/>
    <w:uiPriority w:val="34"/>
    <w:qFormat/>
    <w:rsid w:val="002E0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0B30-43CB-4B4F-AA94-9A8271FB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5656</Words>
  <Characters>32685</Characters>
  <Application>Microsoft Office Word</Application>
  <DocSecurity>0</DocSecurity>
  <Lines>535</Lines>
  <Paragraphs>195</Paragraphs>
  <ScaleCrop>false</ScaleCrop>
  <HeadingPairs>
    <vt:vector size="2" baseType="variant">
      <vt:variant>
        <vt:lpstr>Title</vt:lpstr>
      </vt:variant>
      <vt:variant>
        <vt:i4>1</vt:i4>
      </vt:variant>
    </vt:vector>
  </HeadingPairs>
  <TitlesOfParts>
    <vt:vector size="1" baseType="lpstr">
      <vt:lpstr>_FRAXIPARINE</vt:lpstr>
    </vt:vector>
  </TitlesOfParts>
  <Company>Sanofi Winthrop Australia</Company>
  <LinksUpToDate>false</LinksUpToDate>
  <CharactersWithSpaces>38146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Nadroparin</dc:title>
  <dc:subject>prescription medicines</dc:subject>
  <dc:creator>Henry Skupek</dc:creator>
  <cp:keywords>AusPARs</cp:keywords>
  <cp:lastPrinted>2015-07-20T23:48:00Z</cp:lastPrinted>
  <dcterms:created xsi:type="dcterms:W3CDTF">2018-10-03T23:34:00Z</dcterms:created>
  <dcterms:modified xsi:type="dcterms:W3CDTF">2018-10-04T06:08:00Z</dcterms:modified>
</cp:coreProperties>
</file>