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6D7" w:rsidRDefault="00053A2D" w:rsidP="00F17C1A">
      <w:pPr>
        <w:pStyle w:val="StyleHeading1TimesNewRoman10ptJustifiedBefore6pt"/>
      </w:pPr>
      <w:r w:rsidRPr="00053A2D">
        <w:rPr>
          <w:sz w:val="34"/>
          <w:szCs w:val="34"/>
        </w:rPr>
        <w:t>SATIVEX</w:t>
      </w:r>
      <w:r w:rsidRPr="00053A2D">
        <w:rPr>
          <w:sz w:val="34"/>
          <w:szCs w:val="34"/>
          <w:vertAlign w:val="superscript"/>
        </w:rPr>
        <w:t>®</w:t>
      </w:r>
    </w:p>
    <w:p w:rsidR="00840877" w:rsidRPr="0052731B" w:rsidRDefault="00053A2D" w:rsidP="00F17C1A">
      <w:pPr>
        <w:pStyle w:val="Heading2"/>
        <w:jc w:val="both"/>
        <w:rPr>
          <w:sz w:val="28"/>
        </w:rPr>
      </w:pPr>
      <w:proofErr w:type="spellStart"/>
      <w:proofErr w:type="gramStart"/>
      <w:r w:rsidRPr="00053A2D">
        <w:rPr>
          <w:sz w:val="28"/>
        </w:rPr>
        <w:t>nabiximols</w:t>
      </w:r>
      <w:proofErr w:type="spellEnd"/>
      <w:proofErr w:type="gramEnd"/>
    </w:p>
    <w:p w:rsidR="00897710" w:rsidRDefault="00897710" w:rsidP="00FD5AE5">
      <w:pPr>
        <w:pStyle w:val="Heading1"/>
        <w:pBdr>
          <w:top w:val="double" w:sz="4" w:space="1" w:color="auto"/>
          <w:left w:val="double" w:sz="4" w:space="1" w:color="auto"/>
          <w:bottom w:val="double" w:sz="4" w:space="1" w:color="auto"/>
          <w:right w:val="double" w:sz="4" w:space="1" w:color="auto"/>
        </w:pBdr>
      </w:pPr>
      <w:r>
        <w:t>WARNING</w:t>
      </w:r>
    </w:p>
    <w:p w:rsidR="00C417F0" w:rsidRPr="00897710" w:rsidRDefault="00C417F0" w:rsidP="00FD5AE5">
      <w:pPr>
        <w:pBdr>
          <w:top w:val="double" w:sz="4" w:space="1" w:color="auto"/>
          <w:left w:val="double" w:sz="4" w:space="1" w:color="auto"/>
          <w:bottom w:val="double" w:sz="4" w:space="1" w:color="auto"/>
          <w:right w:val="double" w:sz="4" w:space="1" w:color="auto"/>
        </w:pBdr>
      </w:pPr>
      <w:r w:rsidRPr="00897710">
        <w:t xml:space="preserve">The maximum recommended dose of </w:t>
      </w:r>
      <w:proofErr w:type="spellStart"/>
      <w:r w:rsidRPr="00897710">
        <w:t>Sativex</w:t>
      </w:r>
      <w:proofErr w:type="spellEnd"/>
      <w:r w:rsidRPr="00897710">
        <w:t xml:space="preserve"> should not be exceeded. High doses of </w:t>
      </w:r>
      <w:proofErr w:type="spellStart"/>
      <w:r w:rsidRPr="00897710">
        <w:t>Sativex</w:t>
      </w:r>
      <w:proofErr w:type="spellEnd"/>
      <w:r w:rsidRPr="00897710">
        <w:t xml:space="preserve"> increase the risk of serious psychiatric adverse events including psychosis, hallucinations, delusions, and homicidal and </w:t>
      </w:r>
      <w:r w:rsidR="00897710" w:rsidRPr="00897710">
        <w:t>suicidal</w:t>
      </w:r>
      <w:r w:rsidRPr="00897710">
        <w:t xml:space="preserve"> ideation.</w:t>
      </w:r>
    </w:p>
    <w:p w:rsidR="00053A2D" w:rsidRDefault="00840877" w:rsidP="00053A2D">
      <w:pPr>
        <w:pStyle w:val="Heading1"/>
      </w:pPr>
      <w:r w:rsidRPr="00840877">
        <w:t>NAME</w:t>
      </w:r>
      <w:r>
        <w:t xml:space="preserve"> OF THE MEDICINE</w:t>
      </w:r>
    </w:p>
    <w:p w:rsidR="00BD5420" w:rsidRDefault="0052731B" w:rsidP="00F17C1A">
      <w:pPr>
        <w:jc w:val="both"/>
      </w:pPr>
      <w:r>
        <w:rPr>
          <w:szCs w:val="22"/>
        </w:rPr>
        <w:t>Active ingredient:</w:t>
      </w:r>
      <w:r w:rsidR="00E24C6E">
        <w:rPr>
          <w:szCs w:val="22"/>
        </w:rPr>
        <w:t xml:space="preserve"> </w:t>
      </w:r>
      <w:proofErr w:type="spellStart"/>
      <w:r w:rsidR="00E24C6E">
        <w:rPr>
          <w:szCs w:val="22"/>
        </w:rPr>
        <w:t>n</w:t>
      </w:r>
      <w:r w:rsidR="00E24C6E">
        <w:t>abiximols</w:t>
      </w:r>
      <w:proofErr w:type="spellEnd"/>
      <w:r w:rsidR="00E24C6E">
        <w:t xml:space="preserve"> </w:t>
      </w:r>
      <w:r>
        <w:t>(</w:t>
      </w:r>
      <w:r w:rsidR="00D02522">
        <w:t>AAN</w:t>
      </w:r>
      <w:r w:rsidR="00E24C6E">
        <w:t>)</w:t>
      </w:r>
      <w:r w:rsidR="000130F1" w:rsidRPr="000130F1">
        <w:rPr>
          <w:rFonts w:eastAsiaTheme="minorHAnsi"/>
          <w:szCs w:val="24"/>
          <w:lang w:val="en-GB"/>
        </w:rPr>
        <w:t xml:space="preserve"> </w:t>
      </w:r>
    </w:p>
    <w:p w:rsidR="000D0D8D" w:rsidRPr="008B71C9" w:rsidRDefault="000D0D8D" w:rsidP="00F17C1A">
      <w:pPr>
        <w:rPr>
          <w:szCs w:val="22"/>
        </w:rPr>
      </w:pPr>
      <w:r w:rsidRPr="008B71C9">
        <w:rPr>
          <w:szCs w:val="22"/>
        </w:rPr>
        <w:t xml:space="preserve">Each </w:t>
      </w:r>
      <w:proofErr w:type="spellStart"/>
      <w:r w:rsidRPr="008B71C9">
        <w:rPr>
          <w:szCs w:val="22"/>
        </w:rPr>
        <w:t>m</w:t>
      </w:r>
      <w:r w:rsidR="00F17C1A">
        <w:rPr>
          <w:szCs w:val="22"/>
        </w:rPr>
        <w:t>L</w:t>
      </w:r>
      <w:proofErr w:type="spellEnd"/>
      <w:r w:rsidRPr="008B71C9">
        <w:rPr>
          <w:szCs w:val="22"/>
        </w:rPr>
        <w:t xml:space="preserve"> </w:t>
      </w:r>
      <w:proofErr w:type="spellStart"/>
      <w:r w:rsidR="000D7397" w:rsidRPr="000D7397">
        <w:rPr>
          <w:szCs w:val="22"/>
          <w:lang w:val="en-US"/>
        </w:rPr>
        <w:t>Sativex</w:t>
      </w:r>
      <w:proofErr w:type="spellEnd"/>
      <w:r w:rsidR="000D7397" w:rsidRPr="000D7397">
        <w:rPr>
          <w:szCs w:val="22"/>
          <w:lang w:val="en-US"/>
        </w:rPr>
        <w:t xml:space="preserve"> </w:t>
      </w:r>
      <w:proofErr w:type="spellStart"/>
      <w:r w:rsidR="000D7397" w:rsidRPr="000D7397">
        <w:rPr>
          <w:szCs w:val="22"/>
          <w:lang w:val="en-US"/>
        </w:rPr>
        <w:t>oromucosal</w:t>
      </w:r>
      <w:proofErr w:type="spellEnd"/>
      <w:r w:rsidR="000D7397" w:rsidRPr="000D7397">
        <w:rPr>
          <w:szCs w:val="22"/>
          <w:lang w:val="en-US"/>
        </w:rPr>
        <w:t xml:space="preserve"> spray </w:t>
      </w:r>
      <w:r w:rsidRPr="008B71C9">
        <w:rPr>
          <w:szCs w:val="22"/>
        </w:rPr>
        <w:t>contains:</w:t>
      </w:r>
    </w:p>
    <w:p w:rsidR="000D0D8D" w:rsidRDefault="000D7397" w:rsidP="00F17C1A">
      <w:pPr>
        <w:jc w:val="both"/>
        <w:rPr>
          <w:szCs w:val="22"/>
        </w:rPr>
      </w:pPr>
      <w:r>
        <w:rPr>
          <w:szCs w:val="22"/>
        </w:rPr>
        <w:t>80</w:t>
      </w:r>
      <w:r w:rsidR="000D0D8D" w:rsidRPr="00E2763A">
        <w:rPr>
          <w:szCs w:val="22"/>
        </w:rPr>
        <w:t xml:space="preserve"> mg of extracts (</w:t>
      </w:r>
      <w:proofErr w:type="spellStart"/>
      <w:r>
        <w:rPr>
          <w:szCs w:val="22"/>
        </w:rPr>
        <w:t>nabiximols</w:t>
      </w:r>
      <w:proofErr w:type="spellEnd"/>
      <w:r w:rsidR="000D0D8D" w:rsidRPr="00E2763A">
        <w:rPr>
          <w:szCs w:val="22"/>
        </w:rPr>
        <w:t xml:space="preserve">) from </w:t>
      </w:r>
      <w:r w:rsidR="000D0D8D" w:rsidRPr="00E2763A">
        <w:rPr>
          <w:i/>
          <w:szCs w:val="22"/>
        </w:rPr>
        <w:t xml:space="preserve">Cannabis </w:t>
      </w:r>
      <w:proofErr w:type="spellStart"/>
      <w:r w:rsidR="000D0D8D" w:rsidRPr="00E2763A">
        <w:rPr>
          <w:i/>
          <w:szCs w:val="22"/>
        </w:rPr>
        <w:t>sativa</w:t>
      </w:r>
      <w:proofErr w:type="spellEnd"/>
      <w:r w:rsidR="000D0D8D" w:rsidRPr="00E2763A">
        <w:rPr>
          <w:i/>
          <w:szCs w:val="22"/>
        </w:rPr>
        <w:t xml:space="preserve"> </w:t>
      </w:r>
      <w:r w:rsidR="000D0D8D" w:rsidRPr="00E2763A">
        <w:rPr>
          <w:szCs w:val="22"/>
        </w:rPr>
        <w:t xml:space="preserve">L., folium cum </w:t>
      </w:r>
      <w:proofErr w:type="spellStart"/>
      <w:r w:rsidR="000D0D8D" w:rsidRPr="00E2763A">
        <w:rPr>
          <w:szCs w:val="22"/>
        </w:rPr>
        <w:t>flore</w:t>
      </w:r>
      <w:proofErr w:type="spellEnd"/>
      <w:r w:rsidR="000D0D8D" w:rsidRPr="00E2763A">
        <w:rPr>
          <w:szCs w:val="22"/>
        </w:rPr>
        <w:t xml:space="preserve"> (Cannabis leaf and flower)</w:t>
      </w:r>
      <w:r w:rsidR="006853E6">
        <w:rPr>
          <w:szCs w:val="22"/>
        </w:rPr>
        <w:t>,</w:t>
      </w:r>
      <w:r w:rsidR="000D0D8D" w:rsidRPr="00E2763A">
        <w:rPr>
          <w:szCs w:val="22"/>
        </w:rPr>
        <w:t xml:space="preserve"> corresponding to 27 mg delta-9-tetrahydrocannabinol</w:t>
      </w:r>
      <w:r w:rsidR="005A185D">
        <w:rPr>
          <w:szCs w:val="22"/>
        </w:rPr>
        <w:t xml:space="preserve"> (THC)</w:t>
      </w:r>
      <w:r w:rsidR="000D0D8D" w:rsidRPr="00E2763A">
        <w:rPr>
          <w:szCs w:val="22"/>
        </w:rPr>
        <w:t xml:space="preserve"> and 25 mg</w:t>
      </w:r>
      <w:r w:rsidR="000D0D8D" w:rsidRPr="008B71C9">
        <w:rPr>
          <w:szCs w:val="22"/>
        </w:rPr>
        <w:t xml:space="preserve"> </w:t>
      </w:r>
      <w:proofErr w:type="spellStart"/>
      <w:r w:rsidR="000D0D8D" w:rsidRPr="008B71C9">
        <w:rPr>
          <w:szCs w:val="22"/>
        </w:rPr>
        <w:t>cannabidiol</w:t>
      </w:r>
      <w:proofErr w:type="spellEnd"/>
      <w:r w:rsidR="005A185D">
        <w:rPr>
          <w:szCs w:val="22"/>
        </w:rPr>
        <w:t xml:space="preserve"> (CBD)</w:t>
      </w:r>
      <w:r w:rsidR="000130F1">
        <w:rPr>
          <w:szCs w:val="22"/>
        </w:rPr>
        <w:t xml:space="preserve"> </w:t>
      </w:r>
      <w:r w:rsidRPr="000D7397">
        <w:rPr>
          <w:szCs w:val="22"/>
        </w:rPr>
        <w:t xml:space="preserve">and lesser amounts of other </w:t>
      </w:r>
      <w:proofErr w:type="spellStart"/>
      <w:r w:rsidRPr="000D7397">
        <w:rPr>
          <w:szCs w:val="22"/>
        </w:rPr>
        <w:t>cannabinoids</w:t>
      </w:r>
      <w:proofErr w:type="spellEnd"/>
      <w:r w:rsidRPr="000D7397">
        <w:rPr>
          <w:szCs w:val="22"/>
        </w:rPr>
        <w:t xml:space="preserve"> </w:t>
      </w:r>
      <w:r w:rsidRPr="000D7397">
        <w:rPr>
          <w:szCs w:val="22"/>
          <w:lang w:val="en-US"/>
        </w:rPr>
        <w:t xml:space="preserve">(56 mg total </w:t>
      </w:r>
      <w:proofErr w:type="spellStart"/>
      <w:r w:rsidRPr="000D7397">
        <w:rPr>
          <w:szCs w:val="22"/>
          <w:lang w:val="en-US"/>
        </w:rPr>
        <w:t>cannabinoids</w:t>
      </w:r>
      <w:proofErr w:type="spellEnd"/>
      <w:r w:rsidRPr="000D7397">
        <w:rPr>
          <w:szCs w:val="22"/>
          <w:lang w:val="en-US"/>
        </w:rPr>
        <w:t>)</w:t>
      </w:r>
      <w:r w:rsidR="000D0D8D" w:rsidRPr="008B71C9">
        <w:rPr>
          <w:szCs w:val="22"/>
        </w:rPr>
        <w:t>.</w:t>
      </w:r>
    </w:p>
    <w:p w:rsidR="00D576FF" w:rsidRPr="008B71C9" w:rsidRDefault="00D576FF" w:rsidP="00F17C1A">
      <w:pPr>
        <w:jc w:val="both"/>
        <w:rPr>
          <w:szCs w:val="22"/>
        </w:rPr>
      </w:pPr>
      <w:r w:rsidRPr="00D576FF">
        <w:rPr>
          <w:szCs w:val="22"/>
        </w:rPr>
        <w:t>The name '</w:t>
      </w:r>
      <w:proofErr w:type="spellStart"/>
      <w:r w:rsidRPr="00D576FF">
        <w:rPr>
          <w:szCs w:val="22"/>
        </w:rPr>
        <w:t>dronabinol</w:t>
      </w:r>
      <w:proofErr w:type="spellEnd"/>
      <w:r w:rsidRPr="00D576FF">
        <w:rPr>
          <w:szCs w:val="22"/>
        </w:rPr>
        <w:t xml:space="preserve">' is used for pure, synthetically-derived delta-9-tetrahydrocannabinol rather than the extracted delta-9-tetrahydrocannabinol present in </w:t>
      </w:r>
      <w:proofErr w:type="spellStart"/>
      <w:r w:rsidRPr="00D576FF">
        <w:rPr>
          <w:szCs w:val="22"/>
        </w:rPr>
        <w:t>Sativex</w:t>
      </w:r>
      <w:proofErr w:type="spellEnd"/>
      <w:r w:rsidRPr="00D576FF">
        <w:rPr>
          <w:szCs w:val="22"/>
        </w:rPr>
        <w:t>.</w:t>
      </w:r>
      <w:r w:rsidRPr="008B71C9">
        <w:rPr>
          <w:szCs w:val="22"/>
        </w:rPr>
        <w:t xml:space="preserve"> </w:t>
      </w:r>
    </w:p>
    <w:p w:rsidR="000D0D8D" w:rsidRPr="00C527E6" w:rsidRDefault="000D0D8D" w:rsidP="00F17C1A">
      <w:pPr>
        <w:ind w:right="32"/>
        <w:rPr>
          <w:szCs w:val="22"/>
          <w:lang w:val="fr-FR"/>
        </w:rPr>
      </w:pPr>
      <w:r w:rsidRPr="00C527E6">
        <w:rPr>
          <w:szCs w:val="22"/>
          <w:lang w:val="fr-FR"/>
        </w:rPr>
        <w:t>Extraction solvent: Liquid carbon dioxide.</w:t>
      </w:r>
    </w:p>
    <w:p w:rsidR="00EE7EAB" w:rsidRDefault="000D0D8D">
      <w:pPr>
        <w:ind w:right="32"/>
        <w:rPr>
          <w:szCs w:val="22"/>
        </w:rPr>
      </w:pPr>
      <w:r w:rsidRPr="008B71C9">
        <w:rPr>
          <w:szCs w:val="22"/>
        </w:rPr>
        <w:t xml:space="preserve">Each 100 </w:t>
      </w:r>
      <w:proofErr w:type="spellStart"/>
      <w:r w:rsidRPr="008B71C9">
        <w:rPr>
          <w:szCs w:val="22"/>
        </w:rPr>
        <w:t>microlitre</w:t>
      </w:r>
      <w:proofErr w:type="spellEnd"/>
      <w:r w:rsidRPr="008B71C9">
        <w:rPr>
          <w:szCs w:val="22"/>
        </w:rPr>
        <w:t xml:space="preserve"> spray contains</w:t>
      </w:r>
      <w:r w:rsidR="000E12EE">
        <w:rPr>
          <w:szCs w:val="22"/>
        </w:rPr>
        <w:t xml:space="preserve"> </w:t>
      </w:r>
      <w:r w:rsidRPr="008B71C9">
        <w:rPr>
          <w:szCs w:val="22"/>
        </w:rPr>
        <w:t>2.7 mg THC and 2.5 mg CBD.</w:t>
      </w:r>
    </w:p>
    <w:p w:rsidR="000D0D8D" w:rsidRDefault="000D0D8D" w:rsidP="00F17C1A">
      <w:pPr>
        <w:ind w:right="32"/>
        <w:rPr>
          <w:szCs w:val="22"/>
        </w:rPr>
      </w:pPr>
      <w:r w:rsidRPr="008B71C9">
        <w:rPr>
          <w:szCs w:val="22"/>
        </w:rPr>
        <w:t xml:space="preserve">Each 100 </w:t>
      </w:r>
      <w:proofErr w:type="spellStart"/>
      <w:r w:rsidRPr="008B71C9">
        <w:rPr>
          <w:szCs w:val="22"/>
        </w:rPr>
        <w:t>microlitre</w:t>
      </w:r>
      <w:proofErr w:type="spellEnd"/>
      <w:r w:rsidRPr="008B71C9">
        <w:rPr>
          <w:szCs w:val="22"/>
        </w:rPr>
        <w:t xml:space="preserve"> spray also contains up to 0.04 g alcohol.</w:t>
      </w:r>
    </w:p>
    <w:p w:rsidR="00BD5420" w:rsidRDefault="00BD5420" w:rsidP="00BD5420">
      <w:pPr>
        <w:jc w:val="both"/>
        <w:rPr>
          <w:bCs/>
        </w:rPr>
      </w:pPr>
      <w:r w:rsidRPr="001723E0">
        <w:rPr>
          <w:bCs/>
          <w:lang w:val="en-US"/>
        </w:rPr>
        <w:t xml:space="preserve">THC is </w:t>
      </w:r>
      <w:r w:rsidRPr="001723E0">
        <w:rPr>
          <w:lang w:val="en-US"/>
        </w:rPr>
        <w:t>trans-</w:t>
      </w:r>
      <w:proofErr w:type="gramStart"/>
      <w:r w:rsidRPr="001723E0">
        <w:rPr>
          <w:lang w:val="en-US"/>
        </w:rPr>
        <w:t>delta[</w:t>
      </w:r>
      <w:proofErr w:type="gramEnd"/>
      <w:r w:rsidRPr="001723E0">
        <w:rPr>
          <w:lang w:val="en-US"/>
        </w:rPr>
        <w:t>9]-</w:t>
      </w:r>
      <w:proofErr w:type="spellStart"/>
      <w:r w:rsidRPr="001723E0">
        <w:rPr>
          <w:lang w:val="en-US"/>
        </w:rPr>
        <w:t>tetrahydrocannabinol</w:t>
      </w:r>
      <w:proofErr w:type="spellEnd"/>
      <w:r w:rsidRPr="001723E0">
        <w:rPr>
          <w:lang w:val="en-US"/>
        </w:rPr>
        <w:t xml:space="preserve">.  </w:t>
      </w:r>
      <w:r>
        <w:t>The molecular formula of THC is C</w:t>
      </w:r>
      <w:r>
        <w:rPr>
          <w:vertAlign w:val="subscript"/>
        </w:rPr>
        <w:t>21</w:t>
      </w:r>
      <w:r>
        <w:t>H</w:t>
      </w:r>
      <w:r>
        <w:rPr>
          <w:vertAlign w:val="subscript"/>
        </w:rPr>
        <w:t>30</w:t>
      </w:r>
      <w:r>
        <w:t>O</w:t>
      </w:r>
      <w:r>
        <w:rPr>
          <w:vertAlign w:val="subscript"/>
        </w:rPr>
        <w:t>2</w:t>
      </w:r>
      <w:r>
        <w:t xml:space="preserve">, </w:t>
      </w:r>
      <w:r w:rsidR="00D576FF">
        <w:t>its</w:t>
      </w:r>
      <w:r>
        <w:t xml:space="preserve"> molecular weight is 314.47</w:t>
      </w:r>
      <w:r w:rsidR="00D576FF">
        <w:t>,</w:t>
      </w:r>
      <w:r>
        <w:t xml:space="preserve"> and </w:t>
      </w:r>
      <w:r w:rsidR="00D576FF">
        <w:t xml:space="preserve">it </w:t>
      </w:r>
      <w:r>
        <w:t xml:space="preserve">is assigned CAS Number 1972-08-3.  </w:t>
      </w:r>
      <w:r w:rsidRPr="00A37C63">
        <w:t xml:space="preserve">CBD is </w:t>
      </w:r>
      <w:proofErr w:type="spellStart"/>
      <w:r>
        <w:t>cannabidiol</w:t>
      </w:r>
      <w:proofErr w:type="spellEnd"/>
      <w:r>
        <w:t>.  The molecular formula of CBD is C</w:t>
      </w:r>
      <w:r>
        <w:rPr>
          <w:vertAlign w:val="subscript"/>
        </w:rPr>
        <w:t>21</w:t>
      </w:r>
      <w:r>
        <w:t>H</w:t>
      </w:r>
      <w:r>
        <w:rPr>
          <w:vertAlign w:val="subscript"/>
        </w:rPr>
        <w:t>30</w:t>
      </w:r>
      <w:r>
        <w:t>O</w:t>
      </w:r>
      <w:r>
        <w:rPr>
          <w:vertAlign w:val="subscript"/>
        </w:rPr>
        <w:t xml:space="preserve">2, </w:t>
      </w:r>
      <w:r w:rsidR="00D576FF">
        <w:t>its</w:t>
      </w:r>
      <w:r>
        <w:t xml:space="preserve"> molecular weight is 314.47 and</w:t>
      </w:r>
      <w:r w:rsidR="00D576FF">
        <w:t xml:space="preserve"> it</w:t>
      </w:r>
      <w:r>
        <w:t xml:space="preserve"> is assigned CAS Number 13956-29-1.  The chemical structures of THC and CBD are shown below:  </w:t>
      </w:r>
    </w:p>
    <w:p w:rsidR="00BD5420" w:rsidRPr="00A37C63" w:rsidRDefault="00BD5420" w:rsidP="00BD5420">
      <w:pPr>
        <w:jc w:val="both"/>
      </w:pPr>
    </w:p>
    <w:p w:rsidR="00BD5420" w:rsidRDefault="00D676A1" w:rsidP="00BD5420">
      <w:pPr>
        <w:jc w:val="both"/>
      </w:pPr>
      <w:r>
        <w:rPr>
          <w:noProof/>
          <w:lang w:eastAsia="en-AU"/>
        </w:rPr>
        <w:drawing>
          <wp:inline distT="0" distB="0" distL="0" distR="0">
            <wp:extent cx="2352675" cy="160020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2675" cy="1600200"/>
                    </a:xfrm>
                    <a:prstGeom prst="rect">
                      <a:avLst/>
                    </a:prstGeom>
                    <a:noFill/>
                    <a:ln>
                      <a:noFill/>
                    </a:ln>
                  </pic:spPr>
                </pic:pic>
              </a:graphicData>
            </a:graphic>
          </wp:inline>
        </w:drawing>
      </w:r>
      <w:r w:rsidR="00BD5420">
        <w:t xml:space="preserve">  </w:t>
      </w:r>
      <w:r>
        <w:rPr>
          <w:noProof/>
          <w:lang w:eastAsia="en-AU"/>
        </w:rPr>
        <w:drawing>
          <wp:inline distT="0" distB="0" distL="0" distR="0">
            <wp:extent cx="2209800" cy="1533525"/>
            <wp:effectExtent l="0" t="0" r="0"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1533525"/>
                    </a:xfrm>
                    <a:prstGeom prst="rect">
                      <a:avLst/>
                    </a:prstGeom>
                    <a:noFill/>
                    <a:ln>
                      <a:noFill/>
                    </a:ln>
                  </pic:spPr>
                </pic:pic>
              </a:graphicData>
            </a:graphic>
          </wp:inline>
        </w:drawing>
      </w:r>
    </w:p>
    <w:p w:rsidR="00BD5420" w:rsidRPr="008B71C9" w:rsidRDefault="00BD5420" w:rsidP="00F17C1A">
      <w:pPr>
        <w:ind w:right="32"/>
        <w:rPr>
          <w:szCs w:val="22"/>
        </w:rPr>
      </w:pPr>
    </w:p>
    <w:p w:rsidR="00053A2D" w:rsidRDefault="003916D7" w:rsidP="00053A2D">
      <w:pPr>
        <w:pStyle w:val="Heading1"/>
      </w:pPr>
      <w:r w:rsidRPr="00840877">
        <w:lastRenderedPageBreak/>
        <w:t>DESCRIPTION</w:t>
      </w:r>
    </w:p>
    <w:p w:rsidR="007E4B41" w:rsidRDefault="007E4B41" w:rsidP="007E4B41">
      <w:pPr>
        <w:jc w:val="both"/>
        <w:rPr>
          <w:noProof/>
        </w:rPr>
      </w:pPr>
      <w:r w:rsidRPr="00CC463E">
        <w:rPr>
          <w:noProof/>
        </w:rPr>
        <w:t>S</w:t>
      </w:r>
      <w:r>
        <w:rPr>
          <w:noProof/>
        </w:rPr>
        <w:t>ativex is supplied as a solution in a spray container and is for use as an oromucosal spray only.</w:t>
      </w:r>
    </w:p>
    <w:p w:rsidR="003916D7" w:rsidRDefault="00E740DA" w:rsidP="00F17C1A">
      <w:pPr>
        <w:jc w:val="both"/>
        <w:rPr>
          <w:bCs/>
        </w:rPr>
      </w:pPr>
      <w:r>
        <w:t xml:space="preserve">The drug substances are produced from cultivated </w:t>
      </w:r>
      <w:r>
        <w:rPr>
          <w:i/>
          <w:iCs/>
        </w:rPr>
        <w:t xml:space="preserve">Cannabis </w:t>
      </w:r>
      <w:proofErr w:type="spellStart"/>
      <w:r>
        <w:rPr>
          <w:i/>
          <w:iCs/>
        </w:rPr>
        <w:t>sativa</w:t>
      </w:r>
      <w:proofErr w:type="spellEnd"/>
      <w:r>
        <w:t xml:space="preserve"> L. plants.</w:t>
      </w:r>
      <w:r w:rsidR="006C3D5E">
        <w:rPr>
          <w:bCs/>
        </w:rPr>
        <w:t xml:space="preserve"> </w:t>
      </w:r>
      <w:r w:rsidR="00CC463E">
        <w:rPr>
          <w:bCs/>
        </w:rPr>
        <w:t>The drug substances are partially purified extracts</w:t>
      </w:r>
      <w:r w:rsidR="00B1092F">
        <w:rPr>
          <w:bCs/>
        </w:rPr>
        <w:t>, therefore botanical drug substances (BDS)</w:t>
      </w:r>
      <w:r w:rsidR="00CC463E">
        <w:rPr>
          <w:bCs/>
        </w:rPr>
        <w:t>.</w:t>
      </w:r>
      <w:r w:rsidR="006C3D5E">
        <w:rPr>
          <w:bCs/>
        </w:rPr>
        <w:t xml:space="preserve"> </w:t>
      </w:r>
      <w:r>
        <w:rPr>
          <w:bCs/>
        </w:rPr>
        <w:t xml:space="preserve">The plants have been specifically bred to produce two separate </w:t>
      </w:r>
      <w:proofErr w:type="spellStart"/>
      <w:r>
        <w:rPr>
          <w:bCs/>
        </w:rPr>
        <w:t>chemotypes</w:t>
      </w:r>
      <w:proofErr w:type="spellEnd"/>
      <w:r>
        <w:rPr>
          <w:bCs/>
        </w:rPr>
        <w:t>, expressing</w:t>
      </w:r>
      <w:r w:rsidR="006C3D5E" w:rsidRPr="00713D8A">
        <w:rPr>
          <w:bCs/>
        </w:rPr>
        <w:t xml:space="preserve"> their </w:t>
      </w:r>
      <w:proofErr w:type="spellStart"/>
      <w:r w:rsidR="006C3D5E" w:rsidRPr="00713D8A">
        <w:rPr>
          <w:bCs/>
        </w:rPr>
        <w:t>cannabinoid</w:t>
      </w:r>
      <w:proofErr w:type="spellEnd"/>
      <w:r w:rsidR="006C3D5E" w:rsidRPr="00713D8A">
        <w:rPr>
          <w:bCs/>
        </w:rPr>
        <w:t xml:space="preserve"> content as high delta-9-tetrahydrocannabinol (THC) or high </w:t>
      </w:r>
      <w:proofErr w:type="spellStart"/>
      <w:r w:rsidR="006C3D5E" w:rsidRPr="00713D8A">
        <w:rPr>
          <w:bCs/>
        </w:rPr>
        <w:t>cannabidiol</w:t>
      </w:r>
      <w:proofErr w:type="spellEnd"/>
      <w:r w:rsidR="006C3D5E" w:rsidRPr="00713D8A">
        <w:rPr>
          <w:bCs/>
        </w:rPr>
        <w:t xml:space="preserve"> (CBD) </w:t>
      </w:r>
      <w:proofErr w:type="spellStart"/>
      <w:r w:rsidR="006C3D5E" w:rsidRPr="00713D8A">
        <w:rPr>
          <w:bCs/>
        </w:rPr>
        <w:t>chemotypes</w:t>
      </w:r>
      <w:proofErr w:type="spellEnd"/>
      <w:r w:rsidR="006C3D5E" w:rsidRPr="00713D8A">
        <w:rPr>
          <w:bCs/>
        </w:rPr>
        <w:t>.</w:t>
      </w:r>
      <w:r w:rsidR="00187CEF" w:rsidRPr="00713D8A">
        <w:rPr>
          <w:bCs/>
        </w:rPr>
        <w:t xml:space="preserve">  The physical descriptions of both THC</w:t>
      </w:r>
      <w:r w:rsidR="00B1092F">
        <w:rPr>
          <w:bCs/>
        </w:rPr>
        <w:t xml:space="preserve"> BDS</w:t>
      </w:r>
      <w:r w:rsidR="00187CEF" w:rsidRPr="00713D8A">
        <w:rPr>
          <w:bCs/>
        </w:rPr>
        <w:t xml:space="preserve"> and CBD</w:t>
      </w:r>
      <w:r w:rsidR="00B1092F">
        <w:rPr>
          <w:bCs/>
        </w:rPr>
        <w:t xml:space="preserve"> BDS</w:t>
      </w:r>
      <w:r w:rsidR="00187CEF" w:rsidRPr="00713D8A">
        <w:rPr>
          <w:bCs/>
        </w:rPr>
        <w:t xml:space="preserve"> are brown, viscous, semi-solid (soft) extracts with a characteristic odour of cannabis</w:t>
      </w:r>
      <w:r w:rsidR="008B7F7B" w:rsidRPr="00713D8A">
        <w:rPr>
          <w:bCs/>
        </w:rPr>
        <w:t xml:space="preserve"> and </w:t>
      </w:r>
      <w:r w:rsidR="00713D8A">
        <w:rPr>
          <w:bCs/>
        </w:rPr>
        <w:t>are</w:t>
      </w:r>
      <w:r w:rsidR="008B7F7B" w:rsidRPr="00713D8A">
        <w:rPr>
          <w:bCs/>
        </w:rPr>
        <w:t xml:space="preserve"> almost insoluble in water, but </w:t>
      </w:r>
      <w:r w:rsidR="00713D8A">
        <w:rPr>
          <w:bCs/>
        </w:rPr>
        <w:t xml:space="preserve">exhibit </w:t>
      </w:r>
      <w:r w:rsidR="008B7F7B" w:rsidRPr="00713D8A">
        <w:rPr>
          <w:bCs/>
        </w:rPr>
        <w:t>good solubility in most organic solvents</w:t>
      </w:r>
      <w:r w:rsidR="00187CEF" w:rsidRPr="00713D8A">
        <w:rPr>
          <w:bCs/>
        </w:rPr>
        <w:t>.</w:t>
      </w:r>
    </w:p>
    <w:p w:rsidR="005C0081" w:rsidRPr="008B71C9" w:rsidRDefault="005C0081" w:rsidP="00F17C1A">
      <w:pPr>
        <w:ind w:right="-329"/>
        <w:jc w:val="both"/>
        <w:rPr>
          <w:szCs w:val="22"/>
        </w:rPr>
      </w:pPr>
      <w:proofErr w:type="spellStart"/>
      <w:r w:rsidRPr="00CC463E">
        <w:rPr>
          <w:szCs w:val="22"/>
          <w:lang w:val="en-US"/>
        </w:rPr>
        <w:t>S</w:t>
      </w:r>
      <w:r w:rsidR="00CC463E">
        <w:rPr>
          <w:szCs w:val="22"/>
          <w:lang w:val="en-US"/>
        </w:rPr>
        <w:t>ativex</w:t>
      </w:r>
      <w:proofErr w:type="spellEnd"/>
      <w:r w:rsidRPr="005C0081">
        <w:rPr>
          <w:szCs w:val="22"/>
          <w:lang w:val="en-US"/>
        </w:rPr>
        <w:t xml:space="preserve"> contains e</w:t>
      </w:r>
      <w:r>
        <w:rPr>
          <w:szCs w:val="22"/>
          <w:lang w:val="en-US"/>
        </w:rPr>
        <w:t>thanol</w:t>
      </w:r>
      <w:r w:rsidR="00752ED8">
        <w:rPr>
          <w:szCs w:val="22"/>
          <w:lang w:val="en-US"/>
        </w:rPr>
        <w:t xml:space="preserve"> absolute</w:t>
      </w:r>
      <w:r w:rsidRPr="005C0081">
        <w:rPr>
          <w:szCs w:val="22"/>
          <w:lang w:val="en-US"/>
        </w:rPr>
        <w:t>, propylene glycol and p</w:t>
      </w:r>
      <w:proofErr w:type="spellStart"/>
      <w:r w:rsidRPr="008B71C9">
        <w:rPr>
          <w:szCs w:val="22"/>
        </w:rPr>
        <w:t>eppermint</w:t>
      </w:r>
      <w:proofErr w:type="spellEnd"/>
      <w:r w:rsidRPr="008B71C9">
        <w:rPr>
          <w:szCs w:val="22"/>
        </w:rPr>
        <w:t xml:space="preserve"> oil</w:t>
      </w:r>
      <w:r>
        <w:rPr>
          <w:szCs w:val="22"/>
        </w:rPr>
        <w:t xml:space="preserve"> as inactive ingredients.</w:t>
      </w:r>
    </w:p>
    <w:p w:rsidR="00053A2D" w:rsidRDefault="003916D7" w:rsidP="00053A2D">
      <w:pPr>
        <w:pStyle w:val="Heading1"/>
      </w:pPr>
      <w:r>
        <w:t>PHARMACOLOGY</w:t>
      </w:r>
    </w:p>
    <w:p w:rsidR="00053A2D" w:rsidRDefault="003916D7" w:rsidP="00053A2D">
      <w:pPr>
        <w:pStyle w:val="Heading2"/>
      </w:pPr>
      <w:proofErr w:type="spellStart"/>
      <w:r>
        <w:t>Pharmacodynamic</w:t>
      </w:r>
      <w:proofErr w:type="spellEnd"/>
      <w:r>
        <w:t xml:space="preserve"> Properties</w:t>
      </w:r>
    </w:p>
    <w:p w:rsidR="003916D7" w:rsidRDefault="003916D7" w:rsidP="00F17C1A">
      <w:pPr>
        <w:jc w:val="both"/>
        <w:rPr>
          <w:noProof/>
        </w:rPr>
      </w:pPr>
      <w:r>
        <w:rPr>
          <w:noProof/>
        </w:rPr>
        <w:t xml:space="preserve">Pharmacotherapeutic group: </w:t>
      </w:r>
      <w:r w:rsidR="00E24248">
        <w:rPr>
          <w:noProof/>
        </w:rPr>
        <w:t>Other Analgesics</w:t>
      </w:r>
      <w:r w:rsidR="00262A2A">
        <w:rPr>
          <w:noProof/>
        </w:rPr>
        <w:t xml:space="preserve"> </w:t>
      </w:r>
      <w:r w:rsidR="00262A2A" w:rsidRPr="00262A2A">
        <w:rPr>
          <w:noProof/>
          <w:lang w:val="en-US"/>
        </w:rPr>
        <w:t xml:space="preserve">and Antipyretics </w:t>
      </w:r>
    </w:p>
    <w:p w:rsidR="00E24248" w:rsidRDefault="00E24248" w:rsidP="00F17C1A">
      <w:pPr>
        <w:jc w:val="both"/>
        <w:rPr>
          <w:noProof/>
        </w:rPr>
      </w:pPr>
      <w:r w:rsidRPr="008B71C9">
        <w:rPr>
          <w:szCs w:val="22"/>
        </w:rPr>
        <w:t>ATC Code:</w:t>
      </w:r>
      <w:r>
        <w:rPr>
          <w:szCs w:val="22"/>
        </w:rPr>
        <w:t xml:space="preserve"> N02BG10</w:t>
      </w:r>
    </w:p>
    <w:p w:rsidR="00053A2D" w:rsidRDefault="003916D7" w:rsidP="00053A2D">
      <w:pPr>
        <w:pStyle w:val="Heading2"/>
      </w:pPr>
      <w:bookmarkStart w:id="0" w:name="OLE_LINK2"/>
      <w:r>
        <w:t xml:space="preserve">Mechanism of </w:t>
      </w:r>
      <w:r w:rsidR="00BD5420">
        <w:t>A</w:t>
      </w:r>
      <w:r>
        <w:t xml:space="preserve">ction and </w:t>
      </w:r>
      <w:proofErr w:type="spellStart"/>
      <w:r w:rsidR="00BD5420">
        <w:t>P</w:t>
      </w:r>
      <w:r>
        <w:t>harmacodynamic</w:t>
      </w:r>
      <w:proofErr w:type="spellEnd"/>
      <w:r>
        <w:t xml:space="preserve"> </w:t>
      </w:r>
      <w:r w:rsidR="00BD5420">
        <w:t>E</w:t>
      </w:r>
      <w:r>
        <w:t>ffects</w:t>
      </w:r>
    </w:p>
    <w:p w:rsidR="00E24248" w:rsidRPr="00962BDA" w:rsidRDefault="00D576FF" w:rsidP="00F17C1A">
      <w:pPr>
        <w:jc w:val="both"/>
        <w:rPr>
          <w:szCs w:val="22"/>
        </w:rPr>
      </w:pPr>
      <w:r w:rsidRPr="00D576FF">
        <w:rPr>
          <w:szCs w:val="22"/>
        </w:rPr>
        <w:t xml:space="preserve">There are at least two types of </w:t>
      </w:r>
      <w:proofErr w:type="spellStart"/>
      <w:r w:rsidRPr="00D576FF">
        <w:rPr>
          <w:szCs w:val="22"/>
        </w:rPr>
        <w:t>cannabinoid</w:t>
      </w:r>
      <w:proofErr w:type="spellEnd"/>
      <w:r w:rsidRPr="00D576FF">
        <w:rPr>
          <w:szCs w:val="22"/>
        </w:rPr>
        <w:t xml:space="preserve"> (CB) receptors a</w:t>
      </w:r>
      <w:r w:rsidR="00E24248" w:rsidRPr="00962BDA">
        <w:rPr>
          <w:szCs w:val="22"/>
        </w:rPr>
        <w:t xml:space="preserve">s part of the human </w:t>
      </w:r>
      <w:proofErr w:type="spellStart"/>
      <w:r w:rsidR="00E24248" w:rsidRPr="00962BDA">
        <w:rPr>
          <w:szCs w:val="22"/>
        </w:rPr>
        <w:t>endocannabinoid</w:t>
      </w:r>
      <w:proofErr w:type="spellEnd"/>
      <w:r w:rsidR="00E24248" w:rsidRPr="00962BDA">
        <w:rPr>
          <w:szCs w:val="22"/>
        </w:rPr>
        <w:t xml:space="preserve"> system</w:t>
      </w:r>
      <w:r>
        <w:rPr>
          <w:szCs w:val="22"/>
        </w:rPr>
        <w:t>.</w:t>
      </w:r>
      <w:r w:rsidR="00E24248" w:rsidRPr="00962BDA">
        <w:rPr>
          <w:szCs w:val="22"/>
        </w:rPr>
        <w:t xml:space="preserve"> CB</w:t>
      </w:r>
      <w:r w:rsidR="00E24248" w:rsidRPr="00962BDA">
        <w:rPr>
          <w:szCs w:val="22"/>
          <w:vertAlign w:val="subscript"/>
        </w:rPr>
        <w:t>1</w:t>
      </w:r>
      <w:r w:rsidR="00E24248" w:rsidRPr="00962BDA">
        <w:rPr>
          <w:szCs w:val="22"/>
        </w:rPr>
        <w:t xml:space="preserve"> </w:t>
      </w:r>
      <w:r>
        <w:rPr>
          <w:szCs w:val="22"/>
        </w:rPr>
        <w:t>is</w:t>
      </w:r>
      <w:r w:rsidR="00E24248" w:rsidRPr="00962BDA">
        <w:rPr>
          <w:szCs w:val="22"/>
        </w:rPr>
        <w:t xml:space="preserve"> found </w:t>
      </w:r>
      <w:r>
        <w:rPr>
          <w:szCs w:val="22"/>
        </w:rPr>
        <w:t>mainly in</w:t>
      </w:r>
      <w:r w:rsidR="00E24248" w:rsidRPr="00962BDA">
        <w:rPr>
          <w:szCs w:val="22"/>
        </w:rPr>
        <w:t xml:space="preserve"> nerve terminals </w:t>
      </w:r>
      <w:r>
        <w:rPr>
          <w:szCs w:val="22"/>
        </w:rPr>
        <w:t xml:space="preserve">in the CNS where </w:t>
      </w:r>
      <w:r w:rsidRPr="00D576FF">
        <w:rPr>
          <w:szCs w:val="22"/>
        </w:rPr>
        <w:t>it modulates neurotransmitter release and CB</w:t>
      </w:r>
      <w:r w:rsidRPr="00884647">
        <w:rPr>
          <w:szCs w:val="22"/>
          <w:vertAlign w:val="subscript"/>
        </w:rPr>
        <w:t>2</w:t>
      </w:r>
      <w:r w:rsidRPr="00D576FF">
        <w:rPr>
          <w:szCs w:val="22"/>
        </w:rPr>
        <w:t xml:space="preserve"> is found primarily in cells of the immune system.  </w:t>
      </w:r>
      <w:r w:rsidR="00E24248" w:rsidRPr="00962BDA">
        <w:rPr>
          <w:szCs w:val="22"/>
        </w:rPr>
        <w:t>THC</w:t>
      </w:r>
      <w:r w:rsidRPr="00D576FF">
        <w:rPr>
          <w:szCs w:val="22"/>
        </w:rPr>
        <w:t>, the main psychotropic constituent of cannabis,</w:t>
      </w:r>
      <w:r w:rsidR="00E24248" w:rsidRPr="00962BDA">
        <w:rPr>
          <w:szCs w:val="22"/>
        </w:rPr>
        <w:t xml:space="preserve"> acts as a partial agonist at both CB</w:t>
      </w:r>
      <w:r w:rsidR="00E24248" w:rsidRPr="00962BDA">
        <w:rPr>
          <w:szCs w:val="22"/>
          <w:vertAlign w:val="subscript"/>
        </w:rPr>
        <w:t>1</w:t>
      </w:r>
      <w:r w:rsidR="00E24248" w:rsidRPr="00962BDA">
        <w:rPr>
          <w:szCs w:val="22"/>
        </w:rPr>
        <w:t xml:space="preserve"> and CB</w:t>
      </w:r>
      <w:r w:rsidR="00E24248" w:rsidRPr="00962BDA">
        <w:rPr>
          <w:szCs w:val="22"/>
          <w:vertAlign w:val="subscript"/>
        </w:rPr>
        <w:t>2</w:t>
      </w:r>
      <w:r w:rsidR="00E24248" w:rsidRPr="00962BDA">
        <w:rPr>
          <w:szCs w:val="22"/>
        </w:rPr>
        <w:t xml:space="preserve"> receptors.</w:t>
      </w:r>
    </w:p>
    <w:p w:rsidR="00E24248" w:rsidRDefault="00E24248" w:rsidP="00F17C1A">
      <w:pPr>
        <w:jc w:val="both"/>
        <w:rPr>
          <w:color w:val="000000"/>
          <w:szCs w:val="22"/>
        </w:rPr>
      </w:pPr>
      <w:r w:rsidRPr="00962BDA">
        <w:rPr>
          <w:color w:val="000000"/>
          <w:szCs w:val="22"/>
        </w:rPr>
        <w:t>In animal models of MS and spasticity CB receptor agonists have been shown to ameliorate limb stiffness and improve motor function. These effects are prevented by CB antagonists, and CB</w:t>
      </w:r>
      <w:r w:rsidRPr="00962BDA">
        <w:rPr>
          <w:color w:val="000000"/>
          <w:szCs w:val="22"/>
          <w:vertAlign w:val="subscript"/>
        </w:rPr>
        <w:t xml:space="preserve">1 </w:t>
      </w:r>
      <w:r w:rsidRPr="00962BDA">
        <w:rPr>
          <w:color w:val="000000"/>
          <w:szCs w:val="22"/>
        </w:rPr>
        <w:t>knockout mice show more severe spasticity. In the CREAE (chronic relapsing experimental autoimmune encephalomyelitis) mouse model</w:t>
      </w:r>
      <w:r>
        <w:rPr>
          <w:color w:val="000000"/>
          <w:szCs w:val="22"/>
        </w:rPr>
        <w:t>,</w:t>
      </w:r>
      <w:r w:rsidRPr="00962BDA">
        <w:rPr>
          <w:color w:val="000000"/>
          <w:szCs w:val="22"/>
        </w:rPr>
        <w:t xml:space="preserve"> </w:t>
      </w:r>
      <w:proofErr w:type="spellStart"/>
      <w:r w:rsidR="00C73E02" w:rsidRPr="00CC463E">
        <w:rPr>
          <w:color w:val="000000"/>
          <w:szCs w:val="22"/>
        </w:rPr>
        <w:t>S</w:t>
      </w:r>
      <w:r w:rsidR="00CC463E">
        <w:rPr>
          <w:color w:val="000000"/>
          <w:szCs w:val="22"/>
        </w:rPr>
        <w:t>ativex</w:t>
      </w:r>
      <w:proofErr w:type="spellEnd"/>
      <w:r w:rsidRPr="00962BDA">
        <w:rPr>
          <w:color w:val="000000"/>
          <w:szCs w:val="22"/>
        </w:rPr>
        <w:t xml:space="preserve"> produced a dose-related reduction in the hind limb stiffness.</w:t>
      </w:r>
    </w:p>
    <w:p w:rsidR="00D576FF" w:rsidRPr="00962BDA" w:rsidRDefault="00D576FF" w:rsidP="00F17C1A">
      <w:pPr>
        <w:jc w:val="both"/>
        <w:rPr>
          <w:color w:val="000000"/>
          <w:szCs w:val="22"/>
        </w:rPr>
      </w:pPr>
      <w:r w:rsidRPr="00D576FF">
        <w:rPr>
          <w:color w:val="000000"/>
          <w:szCs w:val="22"/>
        </w:rPr>
        <w:t xml:space="preserve">CBD has little activity at </w:t>
      </w:r>
      <w:proofErr w:type="spellStart"/>
      <w:r w:rsidRPr="00D576FF">
        <w:rPr>
          <w:color w:val="000000"/>
          <w:szCs w:val="22"/>
        </w:rPr>
        <w:t>cannabinoid</w:t>
      </w:r>
      <w:proofErr w:type="spellEnd"/>
      <w:r w:rsidRPr="00D576FF">
        <w:rPr>
          <w:color w:val="000000"/>
          <w:szCs w:val="22"/>
        </w:rPr>
        <w:t xml:space="preserve"> receptors, but does have </w:t>
      </w:r>
      <w:proofErr w:type="spellStart"/>
      <w:r w:rsidRPr="00D576FF">
        <w:rPr>
          <w:color w:val="000000"/>
          <w:szCs w:val="22"/>
        </w:rPr>
        <w:t>neuroprotective</w:t>
      </w:r>
      <w:proofErr w:type="spellEnd"/>
      <w:r w:rsidRPr="00D576FF">
        <w:rPr>
          <w:color w:val="000000"/>
          <w:szCs w:val="22"/>
        </w:rPr>
        <w:t xml:space="preserve"> properties, most likely mediated by its ability to modulate intra-cellular calcium. It is also able to modulate the course of the disease in animal models of MS.  The key pharmacology of CBD in MS probably relates to its ability to inhibit</w:t>
      </w:r>
      <w:r w:rsidRPr="00D576FF">
        <w:rPr>
          <w:b/>
          <w:color w:val="000000"/>
          <w:szCs w:val="22"/>
        </w:rPr>
        <w:t xml:space="preserve"> </w:t>
      </w:r>
      <w:proofErr w:type="spellStart"/>
      <w:r w:rsidRPr="00D576FF">
        <w:rPr>
          <w:color w:val="000000"/>
          <w:szCs w:val="22"/>
        </w:rPr>
        <w:t>microglial</w:t>
      </w:r>
      <w:proofErr w:type="spellEnd"/>
      <w:r w:rsidRPr="00D576FF">
        <w:rPr>
          <w:color w:val="000000"/>
          <w:szCs w:val="22"/>
        </w:rPr>
        <w:t xml:space="preserve"> activity and T-cell proliferation.</w:t>
      </w:r>
      <w:r w:rsidR="00897710">
        <w:rPr>
          <w:color w:val="000000"/>
          <w:szCs w:val="22"/>
        </w:rPr>
        <w:t xml:space="preserve"> It is unknown whether CBD in </w:t>
      </w:r>
      <w:proofErr w:type="spellStart"/>
      <w:r w:rsidR="00897710">
        <w:rPr>
          <w:color w:val="000000"/>
          <w:szCs w:val="22"/>
        </w:rPr>
        <w:t>Sativex</w:t>
      </w:r>
      <w:proofErr w:type="spellEnd"/>
      <w:r w:rsidR="00897710">
        <w:rPr>
          <w:color w:val="000000"/>
          <w:szCs w:val="22"/>
        </w:rPr>
        <w:t xml:space="preserve"> has a facilitating or antagonising effect on the anti-spasticity action of THC.</w:t>
      </w:r>
    </w:p>
    <w:p w:rsidR="00053A2D" w:rsidRDefault="00BD5420" w:rsidP="00053A2D">
      <w:pPr>
        <w:pStyle w:val="Heading2"/>
      </w:pPr>
      <w:r>
        <w:lastRenderedPageBreak/>
        <w:t>Pharmacokinetics</w:t>
      </w:r>
    </w:p>
    <w:bookmarkEnd w:id="0"/>
    <w:p w:rsidR="00053A2D" w:rsidRDefault="003916D7" w:rsidP="00053A2D">
      <w:pPr>
        <w:pStyle w:val="Heading3"/>
        <w:rPr>
          <w:noProof/>
        </w:rPr>
      </w:pPr>
      <w:r>
        <w:rPr>
          <w:noProof/>
        </w:rPr>
        <w:t>Absorption</w:t>
      </w:r>
      <w:r w:rsidR="00BD5420">
        <w:rPr>
          <w:noProof/>
        </w:rPr>
        <w:t>:</w:t>
      </w:r>
    </w:p>
    <w:p w:rsidR="00E24248" w:rsidRPr="00962BDA" w:rsidRDefault="00E24248" w:rsidP="00F17C1A">
      <w:pPr>
        <w:jc w:val="both"/>
        <w:rPr>
          <w:szCs w:val="22"/>
        </w:rPr>
      </w:pPr>
      <w:r w:rsidRPr="00962BDA">
        <w:rPr>
          <w:szCs w:val="22"/>
        </w:rPr>
        <w:t xml:space="preserve">Following administration of </w:t>
      </w:r>
      <w:proofErr w:type="spellStart"/>
      <w:r w:rsidR="00C73E02" w:rsidRPr="00CC463E">
        <w:rPr>
          <w:szCs w:val="22"/>
        </w:rPr>
        <w:t>S</w:t>
      </w:r>
      <w:r w:rsidR="00CC463E">
        <w:rPr>
          <w:szCs w:val="22"/>
        </w:rPr>
        <w:t>ativex</w:t>
      </w:r>
      <w:proofErr w:type="spellEnd"/>
      <w:r w:rsidRPr="00962BDA">
        <w:rPr>
          <w:szCs w:val="22"/>
        </w:rPr>
        <w:t xml:space="preserve"> (four sprays), both THC and CBD are absorbed fairly rapidly and appear in the plasma within 15 minutes after single </w:t>
      </w:r>
      <w:proofErr w:type="spellStart"/>
      <w:r w:rsidRPr="00962BDA">
        <w:rPr>
          <w:szCs w:val="22"/>
        </w:rPr>
        <w:t>oromucosal</w:t>
      </w:r>
      <w:proofErr w:type="spellEnd"/>
      <w:r w:rsidRPr="00962BDA">
        <w:rPr>
          <w:szCs w:val="22"/>
        </w:rPr>
        <w:t xml:space="preserve"> administration.  With </w:t>
      </w:r>
      <w:proofErr w:type="spellStart"/>
      <w:r w:rsidR="00C73E02">
        <w:rPr>
          <w:szCs w:val="22"/>
        </w:rPr>
        <w:t>S</w:t>
      </w:r>
      <w:r w:rsidR="00C40EF1">
        <w:rPr>
          <w:szCs w:val="22"/>
        </w:rPr>
        <w:t>ativex</w:t>
      </w:r>
      <w:proofErr w:type="spellEnd"/>
      <w:r w:rsidRPr="00962BDA">
        <w:rPr>
          <w:szCs w:val="22"/>
        </w:rPr>
        <w:t xml:space="preserve">, a mean </w:t>
      </w:r>
      <w:proofErr w:type="spellStart"/>
      <w:r w:rsidRPr="00962BDA">
        <w:rPr>
          <w:szCs w:val="22"/>
        </w:rPr>
        <w:t>C</w:t>
      </w:r>
      <w:r w:rsidRPr="00962BDA">
        <w:rPr>
          <w:szCs w:val="22"/>
          <w:vertAlign w:val="subscript"/>
        </w:rPr>
        <w:t>max</w:t>
      </w:r>
      <w:proofErr w:type="spellEnd"/>
      <w:r w:rsidRPr="00962BDA">
        <w:rPr>
          <w:szCs w:val="22"/>
        </w:rPr>
        <w:t xml:space="preserve"> </w:t>
      </w:r>
      <w:proofErr w:type="gramStart"/>
      <w:r w:rsidRPr="00962BDA">
        <w:rPr>
          <w:szCs w:val="22"/>
        </w:rPr>
        <w:t xml:space="preserve">of about 4 </w:t>
      </w:r>
      <w:proofErr w:type="spellStart"/>
      <w:r w:rsidRPr="00962BDA">
        <w:rPr>
          <w:szCs w:val="22"/>
        </w:rPr>
        <w:t>ng</w:t>
      </w:r>
      <w:proofErr w:type="spellEnd"/>
      <w:r w:rsidRPr="00962BDA">
        <w:rPr>
          <w:szCs w:val="22"/>
        </w:rPr>
        <w:t>/</w:t>
      </w:r>
      <w:proofErr w:type="spellStart"/>
      <w:r w:rsidRPr="00962BDA">
        <w:rPr>
          <w:szCs w:val="22"/>
        </w:rPr>
        <w:t>mL</w:t>
      </w:r>
      <w:proofErr w:type="spellEnd"/>
      <w:proofErr w:type="gramEnd"/>
      <w:r w:rsidRPr="00962BDA">
        <w:rPr>
          <w:szCs w:val="22"/>
        </w:rPr>
        <w:t xml:space="preserve"> was reached some 45-120 minutes after a single dose administration of a 10.8 mg THC dose</w:t>
      </w:r>
      <w:r w:rsidR="00CC463E">
        <w:rPr>
          <w:szCs w:val="22"/>
        </w:rPr>
        <w:t>,</w:t>
      </w:r>
      <w:r w:rsidR="00731EFF">
        <w:rPr>
          <w:szCs w:val="22"/>
        </w:rPr>
        <w:t xml:space="preserve"> </w:t>
      </w:r>
      <w:r w:rsidRPr="00962BDA">
        <w:rPr>
          <w:szCs w:val="22"/>
        </w:rPr>
        <w:t xml:space="preserve">and was generally well tolerated with little evidence of significant </w:t>
      </w:r>
      <w:proofErr w:type="spellStart"/>
      <w:r w:rsidRPr="00962BDA">
        <w:rPr>
          <w:szCs w:val="22"/>
        </w:rPr>
        <w:t>psychoactivity</w:t>
      </w:r>
      <w:proofErr w:type="spellEnd"/>
      <w:r w:rsidRPr="00962BDA">
        <w:rPr>
          <w:szCs w:val="22"/>
        </w:rPr>
        <w:t>.</w:t>
      </w:r>
    </w:p>
    <w:p w:rsidR="00E24248" w:rsidRPr="00962BDA" w:rsidRDefault="00E24248" w:rsidP="00D06145">
      <w:pPr>
        <w:spacing w:before="0"/>
        <w:jc w:val="both"/>
        <w:rPr>
          <w:szCs w:val="22"/>
        </w:rPr>
      </w:pPr>
      <w:r w:rsidRPr="00962BDA">
        <w:rPr>
          <w:szCs w:val="22"/>
        </w:rPr>
        <w:t>There is a high degree of variability in pharmacokinetic parameters between patients.</w:t>
      </w:r>
      <w:r>
        <w:rPr>
          <w:szCs w:val="22"/>
        </w:rPr>
        <w:t xml:space="preserve">  </w:t>
      </w:r>
      <w:r w:rsidRPr="00962BDA">
        <w:rPr>
          <w:szCs w:val="22"/>
        </w:rPr>
        <w:t xml:space="preserve">Following a single dose administration of </w:t>
      </w:r>
      <w:proofErr w:type="spellStart"/>
      <w:r w:rsidR="00C73E02">
        <w:rPr>
          <w:szCs w:val="22"/>
        </w:rPr>
        <w:t>S</w:t>
      </w:r>
      <w:r w:rsidR="00C40EF1">
        <w:rPr>
          <w:szCs w:val="22"/>
        </w:rPr>
        <w:t>ativex</w:t>
      </w:r>
      <w:proofErr w:type="spellEnd"/>
      <w:r w:rsidRPr="00962BDA">
        <w:rPr>
          <w:szCs w:val="22"/>
        </w:rPr>
        <w:t xml:space="preserve"> (four sprays) under fasted conditions, the mean plasma level of THC showed a 57.3% CV for </w:t>
      </w:r>
      <w:proofErr w:type="spellStart"/>
      <w:r w:rsidRPr="00962BDA">
        <w:rPr>
          <w:szCs w:val="22"/>
        </w:rPr>
        <w:t>C</w:t>
      </w:r>
      <w:r w:rsidRPr="00962BDA">
        <w:rPr>
          <w:rFonts w:ascii="Times New Roman Bold" w:hAnsi="Times New Roman Bold"/>
          <w:szCs w:val="22"/>
          <w:vertAlign w:val="subscript"/>
        </w:rPr>
        <w:t>max</w:t>
      </w:r>
      <w:proofErr w:type="spellEnd"/>
      <w:r w:rsidRPr="00962BDA">
        <w:rPr>
          <w:szCs w:val="22"/>
        </w:rPr>
        <w:t xml:space="preserve"> (range 0.97-9.34</w:t>
      </w:r>
      <w:r w:rsidR="001409FA">
        <w:rPr>
          <w:szCs w:val="22"/>
        </w:rPr>
        <w:t xml:space="preserve"> </w:t>
      </w:r>
      <w:proofErr w:type="spellStart"/>
      <w:r w:rsidRPr="00962BDA">
        <w:rPr>
          <w:szCs w:val="22"/>
        </w:rPr>
        <w:t>ng</w:t>
      </w:r>
      <w:proofErr w:type="spellEnd"/>
      <w:r w:rsidRPr="00962BDA">
        <w:rPr>
          <w:szCs w:val="22"/>
        </w:rPr>
        <w:t>/</w:t>
      </w:r>
      <w:proofErr w:type="spellStart"/>
      <w:r w:rsidRPr="00962BDA">
        <w:rPr>
          <w:szCs w:val="22"/>
        </w:rPr>
        <w:t>mL</w:t>
      </w:r>
      <w:proofErr w:type="spellEnd"/>
      <w:r w:rsidRPr="00962BDA">
        <w:rPr>
          <w:szCs w:val="22"/>
        </w:rPr>
        <w:t>) and a 58.5% CV for AUC (range 4.2-30.84 h*</w:t>
      </w:r>
      <w:proofErr w:type="spellStart"/>
      <w:r w:rsidRPr="00962BDA">
        <w:rPr>
          <w:szCs w:val="22"/>
        </w:rPr>
        <w:t>ng</w:t>
      </w:r>
      <w:proofErr w:type="spellEnd"/>
      <w:r w:rsidRPr="00962BDA">
        <w:rPr>
          <w:szCs w:val="22"/>
        </w:rPr>
        <w:t>/</w:t>
      </w:r>
      <w:proofErr w:type="spellStart"/>
      <w:r w:rsidRPr="00962BDA">
        <w:rPr>
          <w:szCs w:val="22"/>
        </w:rPr>
        <w:t>mL</w:t>
      </w:r>
      <w:proofErr w:type="spellEnd"/>
      <w:r w:rsidRPr="00962BDA">
        <w:rPr>
          <w:szCs w:val="22"/>
        </w:rPr>
        <w:t>).  Similarly the %CV for CBD was 64.1% (range 0.24-2.57ng/</w:t>
      </w:r>
      <w:proofErr w:type="spellStart"/>
      <w:r w:rsidRPr="00962BDA">
        <w:rPr>
          <w:szCs w:val="22"/>
        </w:rPr>
        <w:t>mL</w:t>
      </w:r>
      <w:proofErr w:type="spellEnd"/>
      <w:r w:rsidRPr="00962BDA">
        <w:rPr>
          <w:szCs w:val="22"/>
        </w:rPr>
        <w:t xml:space="preserve">) and 72.5% (range 2.18-14.85 </w:t>
      </w:r>
      <w:proofErr w:type="spellStart"/>
      <w:r w:rsidRPr="00962BDA">
        <w:rPr>
          <w:szCs w:val="22"/>
        </w:rPr>
        <w:t>ng</w:t>
      </w:r>
      <w:proofErr w:type="spellEnd"/>
      <w:r w:rsidRPr="00962BDA">
        <w:rPr>
          <w:szCs w:val="22"/>
        </w:rPr>
        <w:t>/</w:t>
      </w:r>
      <w:proofErr w:type="spellStart"/>
      <w:r w:rsidRPr="00962BDA">
        <w:rPr>
          <w:szCs w:val="22"/>
        </w:rPr>
        <w:t>mL</w:t>
      </w:r>
      <w:proofErr w:type="spellEnd"/>
      <w:r w:rsidRPr="00962BDA">
        <w:rPr>
          <w:szCs w:val="22"/>
        </w:rPr>
        <w:t>) for the same parameters respectively.  After nine consecutive days of dosing the % CV values for the same parameters were 54.2% (</w:t>
      </w:r>
      <w:proofErr w:type="spellStart"/>
      <w:r w:rsidRPr="00962BDA">
        <w:rPr>
          <w:szCs w:val="22"/>
        </w:rPr>
        <w:t>C</w:t>
      </w:r>
      <w:r w:rsidRPr="00962BDA">
        <w:rPr>
          <w:rFonts w:ascii="Times New Roman Bold" w:hAnsi="Times New Roman Bold"/>
          <w:szCs w:val="22"/>
          <w:vertAlign w:val="subscript"/>
        </w:rPr>
        <w:t>max</w:t>
      </w:r>
      <w:proofErr w:type="spellEnd"/>
      <w:r w:rsidRPr="00962BDA">
        <w:rPr>
          <w:szCs w:val="22"/>
        </w:rPr>
        <w:t xml:space="preserve"> range = 0.92-6.37) and 37.4% (AUC</w:t>
      </w:r>
      <w:r w:rsidRPr="00962BDA">
        <w:rPr>
          <w:szCs w:val="22"/>
          <w:vertAlign w:val="subscript"/>
        </w:rPr>
        <w:t>0</w:t>
      </w:r>
      <w:r w:rsidRPr="00962BDA">
        <w:rPr>
          <w:szCs w:val="22"/>
        </w:rPr>
        <w:t>-τ = 5.34-15.01 h*</w:t>
      </w:r>
      <w:proofErr w:type="spellStart"/>
      <w:r w:rsidRPr="00962BDA">
        <w:rPr>
          <w:szCs w:val="22"/>
        </w:rPr>
        <w:t>ng</w:t>
      </w:r>
      <w:proofErr w:type="spellEnd"/>
      <w:r w:rsidRPr="00962BDA">
        <w:rPr>
          <w:szCs w:val="22"/>
        </w:rPr>
        <w:t>/</w:t>
      </w:r>
      <w:proofErr w:type="spellStart"/>
      <w:r w:rsidRPr="00962BDA">
        <w:rPr>
          <w:szCs w:val="22"/>
        </w:rPr>
        <w:t>mL</w:t>
      </w:r>
      <w:proofErr w:type="spellEnd"/>
      <w:r w:rsidRPr="00962BDA">
        <w:rPr>
          <w:szCs w:val="22"/>
        </w:rPr>
        <w:t>) for THC and 75.7% (</w:t>
      </w:r>
      <w:proofErr w:type="spellStart"/>
      <w:r w:rsidRPr="00962BDA">
        <w:rPr>
          <w:szCs w:val="22"/>
        </w:rPr>
        <w:t>C</w:t>
      </w:r>
      <w:r w:rsidRPr="00962BDA">
        <w:rPr>
          <w:rFonts w:ascii="Times New Roman Bold" w:hAnsi="Times New Roman Bold"/>
          <w:szCs w:val="22"/>
          <w:vertAlign w:val="subscript"/>
        </w:rPr>
        <w:t>max</w:t>
      </w:r>
      <w:proofErr w:type="spellEnd"/>
      <w:r w:rsidRPr="00962BDA">
        <w:rPr>
          <w:szCs w:val="22"/>
        </w:rPr>
        <w:t xml:space="preserve"> range 0.34-3.39 </w:t>
      </w:r>
      <w:proofErr w:type="spellStart"/>
      <w:r w:rsidRPr="00962BDA">
        <w:rPr>
          <w:szCs w:val="22"/>
        </w:rPr>
        <w:t>ng</w:t>
      </w:r>
      <w:proofErr w:type="spellEnd"/>
      <w:r w:rsidRPr="00962BDA">
        <w:rPr>
          <w:szCs w:val="22"/>
        </w:rPr>
        <w:t>/</w:t>
      </w:r>
      <w:proofErr w:type="spellStart"/>
      <w:r w:rsidRPr="00962BDA">
        <w:rPr>
          <w:szCs w:val="22"/>
        </w:rPr>
        <w:t>mL</w:t>
      </w:r>
      <w:proofErr w:type="spellEnd"/>
      <w:r w:rsidRPr="00962BDA">
        <w:rPr>
          <w:szCs w:val="22"/>
        </w:rPr>
        <w:t>) and 46.6% (AUC</w:t>
      </w:r>
      <w:r w:rsidRPr="00962BDA">
        <w:rPr>
          <w:szCs w:val="22"/>
          <w:vertAlign w:val="subscript"/>
        </w:rPr>
        <w:t>0</w:t>
      </w:r>
      <w:r w:rsidRPr="00962BDA">
        <w:rPr>
          <w:szCs w:val="22"/>
        </w:rPr>
        <w:t>-τ = 2.40-13.19 h*</w:t>
      </w:r>
      <w:proofErr w:type="spellStart"/>
      <w:r w:rsidRPr="00962BDA">
        <w:rPr>
          <w:szCs w:val="22"/>
        </w:rPr>
        <w:t>ng</w:t>
      </w:r>
      <w:proofErr w:type="spellEnd"/>
      <w:r w:rsidRPr="00962BDA">
        <w:rPr>
          <w:szCs w:val="22"/>
        </w:rPr>
        <w:t>/</w:t>
      </w:r>
      <w:proofErr w:type="spellStart"/>
      <w:r w:rsidRPr="00962BDA">
        <w:rPr>
          <w:szCs w:val="22"/>
        </w:rPr>
        <w:t>mL</w:t>
      </w:r>
      <w:proofErr w:type="spellEnd"/>
      <w:r w:rsidRPr="00962BDA">
        <w:rPr>
          <w:szCs w:val="22"/>
        </w:rPr>
        <w:t>) for CBD respectively.</w:t>
      </w:r>
    </w:p>
    <w:p w:rsidR="00E24248" w:rsidRDefault="00E24248" w:rsidP="00F17C1A">
      <w:pPr>
        <w:jc w:val="both"/>
        <w:rPr>
          <w:szCs w:val="22"/>
        </w:rPr>
      </w:pPr>
      <w:r w:rsidRPr="00962BDA">
        <w:rPr>
          <w:szCs w:val="22"/>
        </w:rPr>
        <w:t>There is a high degree of variability in pharmacokinetic parameters within patients follo</w:t>
      </w:r>
      <w:r>
        <w:rPr>
          <w:szCs w:val="22"/>
        </w:rPr>
        <w:t xml:space="preserve">wing single and repeat dosing.  </w:t>
      </w:r>
      <w:r w:rsidRPr="00962BDA">
        <w:rPr>
          <w:szCs w:val="22"/>
        </w:rPr>
        <w:t xml:space="preserve">Of 12 subjects who received four sprays of </w:t>
      </w:r>
      <w:proofErr w:type="spellStart"/>
      <w:r w:rsidR="00C73E02" w:rsidRPr="00CC463E">
        <w:rPr>
          <w:szCs w:val="22"/>
        </w:rPr>
        <w:t>S</w:t>
      </w:r>
      <w:r w:rsidR="00CC463E">
        <w:rPr>
          <w:szCs w:val="22"/>
        </w:rPr>
        <w:t>ativex</w:t>
      </w:r>
      <w:proofErr w:type="spellEnd"/>
      <w:r w:rsidRPr="00962BDA">
        <w:rPr>
          <w:szCs w:val="22"/>
        </w:rPr>
        <w:t xml:space="preserve"> as a single dose, eight had reductions in </w:t>
      </w:r>
      <w:proofErr w:type="spellStart"/>
      <w:r w:rsidRPr="00962BDA">
        <w:rPr>
          <w:szCs w:val="22"/>
        </w:rPr>
        <w:t>C</w:t>
      </w:r>
      <w:r w:rsidRPr="00962BDA">
        <w:rPr>
          <w:rFonts w:ascii="Times New Roman Bold" w:hAnsi="Times New Roman Bold"/>
          <w:szCs w:val="22"/>
          <w:vertAlign w:val="subscript"/>
        </w:rPr>
        <w:t>max</w:t>
      </w:r>
      <w:proofErr w:type="spellEnd"/>
      <w:r w:rsidRPr="00962BDA">
        <w:rPr>
          <w:szCs w:val="22"/>
        </w:rPr>
        <w:t xml:space="preserve"> after nine days of multiple dosing, whilst three had increases (1 drop-out).  For CBD, seven had reductions in </w:t>
      </w:r>
      <w:proofErr w:type="spellStart"/>
      <w:r w:rsidRPr="00962BDA">
        <w:rPr>
          <w:szCs w:val="22"/>
        </w:rPr>
        <w:t>C</w:t>
      </w:r>
      <w:r w:rsidRPr="00962BDA">
        <w:rPr>
          <w:rFonts w:ascii="Times New Roman Bold" w:hAnsi="Times New Roman Bold"/>
          <w:szCs w:val="22"/>
          <w:vertAlign w:val="subscript"/>
        </w:rPr>
        <w:t>max</w:t>
      </w:r>
      <w:proofErr w:type="spellEnd"/>
      <w:r w:rsidRPr="00962BDA">
        <w:rPr>
          <w:rFonts w:ascii="Times New Roman Bold" w:hAnsi="Times New Roman Bold"/>
          <w:szCs w:val="22"/>
          <w:vertAlign w:val="subscript"/>
        </w:rPr>
        <w:t xml:space="preserve"> </w:t>
      </w:r>
      <w:r w:rsidRPr="00962BDA">
        <w:rPr>
          <w:szCs w:val="22"/>
        </w:rPr>
        <w:t>after multiple dosing, whilst four had increases.</w:t>
      </w:r>
    </w:p>
    <w:p w:rsidR="00E24248" w:rsidRPr="00962BDA" w:rsidRDefault="00E24248" w:rsidP="00F17C1A">
      <w:pPr>
        <w:jc w:val="both"/>
        <w:rPr>
          <w:szCs w:val="22"/>
        </w:rPr>
      </w:pPr>
      <w:r w:rsidRPr="00962BDA">
        <w:rPr>
          <w:szCs w:val="22"/>
        </w:rPr>
        <w:t xml:space="preserve">When </w:t>
      </w:r>
      <w:proofErr w:type="spellStart"/>
      <w:r w:rsidR="00C73E02" w:rsidRPr="00CC463E">
        <w:rPr>
          <w:szCs w:val="22"/>
        </w:rPr>
        <w:t>S</w:t>
      </w:r>
      <w:r w:rsidR="00CC463E">
        <w:rPr>
          <w:szCs w:val="22"/>
        </w:rPr>
        <w:t>ativex</w:t>
      </w:r>
      <w:proofErr w:type="spellEnd"/>
      <w:r w:rsidRPr="00731EFF">
        <w:rPr>
          <w:szCs w:val="22"/>
        </w:rPr>
        <w:t xml:space="preserve"> i</w:t>
      </w:r>
      <w:r w:rsidRPr="00962BDA">
        <w:rPr>
          <w:szCs w:val="22"/>
        </w:rPr>
        <w:t xml:space="preserve">s administered </w:t>
      </w:r>
      <w:proofErr w:type="spellStart"/>
      <w:r w:rsidRPr="00962BDA">
        <w:rPr>
          <w:szCs w:val="22"/>
        </w:rPr>
        <w:t>oromucosally</w:t>
      </w:r>
      <w:proofErr w:type="spellEnd"/>
      <w:r w:rsidRPr="00962BDA">
        <w:rPr>
          <w:szCs w:val="22"/>
        </w:rPr>
        <w:t xml:space="preserve">, plasma levels of THC and other </w:t>
      </w:r>
      <w:proofErr w:type="spellStart"/>
      <w:r w:rsidRPr="00962BDA">
        <w:rPr>
          <w:szCs w:val="22"/>
        </w:rPr>
        <w:t>cannabinoids</w:t>
      </w:r>
      <w:proofErr w:type="spellEnd"/>
      <w:r w:rsidRPr="00962BDA">
        <w:rPr>
          <w:szCs w:val="22"/>
        </w:rPr>
        <w:t xml:space="preserve"> are lower compared with the levels achieved following inhalation of </w:t>
      </w:r>
      <w:proofErr w:type="spellStart"/>
      <w:r w:rsidRPr="00962BDA">
        <w:rPr>
          <w:szCs w:val="22"/>
        </w:rPr>
        <w:t>cannabinoids</w:t>
      </w:r>
      <w:proofErr w:type="spellEnd"/>
      <w:r w:rsidRPr="00962BDA">
        <w:rPr>
          <w:szCs w:val="22"/>
        </w:rPr>
        <w:t xml:space="preserve"> at a similar dose.  A dose of 8 mg of vaporised THC extract</w:t>
      </w:r>
      <w:r w:rsidR="00CC463E">
        <w:rPr>
          <w:szCs w:val="22"/>
        </w:rPr>
        <w:t>,</w:t>
      </w:r>
      <w:r w:rsidRPr="00962BDA">
        <w:rPr>
          <w:szCs w:val="22"/>
        </w:rPr>
        <w:t xml:space="preserve"> administered by inhalation resulted in mean plasma </w:t>
      </w:r>
      <w:proofErr w:type="spellStart"/>
      <w:r w:rsidRPr="00962BDA">
        <w:rPr>
          <w:szCs w:val="22"/>
        </w:rPr>
        <w:t>C</w:t>
      </w:r>
      <w:r w:rsidRPr="00962BDA">
        <w:rPr>
          <w:szCs w:val="22"/>
          <w:vertAlign w:val="subscript"/>
        </w:rPr>
        <w:t>max</w:t>
      </w:r>
      <w:proofErr w:type="spellEnd"/>
      <w:r w:rsidRPr="00962BDA">
        <w:rPr>
          <w:szCs w:val="22"/>
        </w:rPr>
        <w:t xml:space="preserve"> </w:t>
      </w:r>
      <w:proofErr w:type="gramStart"/>
      <w:r w:rsidRPr="00962BDA">
        <w:rPr>
          <w:szCs w:val="22"/>
        </w:rPr>
        <w:t xml:space="preserve">of more than 100 </w:t>
      </w:r>
      <w:proofErr w:type="spellStart"/>
      <w:r w:rsidRPr="00962BDA">
        <w:rPr>
          <w:szCs w:val="22"/>
        </w:rPr>
        <w:t>ng</w:t>
      </w:r>
      <w:proofErr w:type="spellEnd"/>
      <w:r w:rsidRPr="00962BDA">
        <w:rPr>
          <w:szCs w:val="22"/>
        </w:rPr>
        <w:t>/</w:t>
      </w:r>
      <w:proofErr w:type="spellStart"/>
      <w:r w:rsidRPr="00962BDA">
        <w:rPr>
          <w:szCs w:val="22"/>
        </w:rPr>
        <w:t>mL</w:t>
      </w:r>
      <w:proofErr w:type="spellEnd"/>
      <w:proofErr w:type="gramEnd"/>
      <w:r w:rsidRPr="00962BDA">
        <w:rPr>
          <w:szCs w:val="22"/>
        </w:rPr>
        <w:t xml:space="preserve"> within minutes of administration, wi</w:t>
      </w:r>
      <w:r w:rsidR="00A15A73">
        <w:rPr>
          <w:szCs w:val="22"/>
        </w:rPr>
        <w:t xml:space="preserve">th significant </w:t>
      </w:r>
      <w:proofErr w:type="spellStart"/>
      <w:r w:rsidR="00A15A73">
        <w:rPr>
          <w:szCs w:val="22"/>
        </w:rPr>
        <w:t>psychoactivity</w:t>
      </w:r>
      <w:proofErr w:type="spellEnd"/>
      <w:r w:rsidR="00A15A73">
        <w:rPr>
          <w:szCs w:val="22"/>
        </w:rPr>
        <w:t>.</w:t>
      </w:r>
    </w:p>
    <w:p w:rsidR="00E24248" w:rsidRDefault="00E24248" w:rsidP="00110E50">
      <w:pPr>
        <w:spacing w:line="240" w:lineRule="auto"/>
        <w:rPr>
          <w:b/>
        </w:rPr>
      </w:pPr>
      <w:r w:rsidRPr="008B71C9">
        <w:rPr>
          <w:b/>
        </w:rPr>
        <w:t>Table</w:t>
      </w:r>
      <w:r w:rsidR="00A15A73">
        <w:rPr>
          <w:b/>
        </w:rPr>
        <w:t xml:space="preserve"> </w:t>
      </w:r>
      <w:proofErr w:type="gramStart"/>
      <w:r w:rsidR="00A15A73">
        <w:rPr>
          <w:b/>
        </w:rPr>
        <w:t xml:space="preserve">1  </w:t>
      </w:r>
      <w:r w:rsidRPr="008B71C9">
        <w:rPr>
          <w:b/>
        </w:rPr>
        <w:t>PK</w:t>
      </w:r>
      <w:proofErr w:type="gramEnd"/>
      <w:r w:rsidRPr="008B71C9">
        <w:rPr>
          <w:b/>
        </w:rPr>
        <w:t xml:space="preserve"> parameters for </w:t>
      </w:r>
      <w:proofErr w:type="spellStart"/>
      <w:r w:rsidRPr="00CC463E">
        <w:rPr>
          <w:b/>
        </w:rPr>
        <w:t>S</w:t>
      </w:r>
      <w:r w:rsidR="00CC463E">
        <w:rPr>
          <w:b/>
        </w:rPr>
        <w:t>ativex</w:t>
      </w:r>
      <w:proofErr w:type="spellEnd"/>
      <w:r w:rsidRPr="008B71C9">
        <w:rPr>
          <w:b/>
        </w:rPr>
        <w:t>, for vaporised THC extract and smoked cannabis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1985"/>
        <w:gridCol w:w="1984"/>
        <w:gridCol w:w="1985"/>
      </w:tblGrid>
      <w:tr w:rsidR="00174827" w:rsidTr="00174827">
        <w:tc>
          <w:tcPr>
            <w:tcW w:w="2977" w:type="dxa"/>
          </w:tcPr>
          <w:p w:rsidR="00174827" w:rsidRPr="008B71C9" w:rsidRDefault="00174827" w:rsidP="00174827"/>
        </w:tc>
        <w:tc>
          <w:tcPr>
            <w:tcW w:w="1985" w:type="dxa"/>
          </w:tcPr>
          <w:p w:rsidR="00174827" w:rsidRPr="008B71C9" w:rsidRDefault="00174827" w:rsidP="00D06145">
            <w:pPr>
              <w:jc w:val="center"/>
            </w:pPr>
            <w:proofErr w:type="spellStart"/>
            <w:r w:rsidRPr="008B71C9">
              <w:t>C</w:t>
            </w:r>
            <w:r w:rsidRPr="00174827">
              <w:rPr>
                <w:vertAlign w:val="subscript"/>
              </w:rPr>
              <w:t>max</w:t>
            </w:r>
            <w:proofErr w:type="spellEnd"/>
            <w:r w:rsidRPr="00174827">
              <w:rPr>
                <w:vertAlign w:val="subscript"/>
              </w:rPr>
              <w:t xml:space="preserve">  </w:t>
            </w:r>
            <w:r w:rsidRPr="008B71C9">
              <w:t>THC</w:t>
            </w:r>
            <w:r w:rsidR="00D06145">
              <w:br/>
            </w:r>
            <w:proofErr w:type="spellStart"/>
            <w:r w:rsidRPr="008B71C9">
              <w:t>ng</w:t>
            </w:r>
            <w:proofErr w:type="spellEnd"/>
            <w:r w:rsidRPr="008B71C9">
              <w:t>/</w:t>
            </w:r>
            <w:proofErr w:type="spellStart"/>
            <w:r w:rsidRPr="008B71C9">
              <w:t>m</w:t>
            </w:r>
            <w:r>
              <w:t>L</w:t>
            </w:r>
            <w:proofErr w:type="spellEnd"/>
          </w:p>
        </w:tc>
        <w:tc>
          <w:tcPr>
            <w:tcW w:w="1984" w:type="dxa"/>
          </w:tcPr>
          <w:p w:rsidR="00174827" w:rsidRPr="008B71C9" w:rsidRDefault="00174827" w:rsidP="00D06145">
            <w:pPr>
              <w:jc w:val="center"/>
            </w:pPr>
            <w:proofErr w:type="spellStart"/>
            <w:r w:rsidRPr="008B71C9">
              <w:t>T</w:t>
            </w:r>
            <w:r w:rsidRPr="00174827">
              <w:rPr>
                <w:vertAlign w:val="subscript"/>
              </w:rPr>
              <w:t>max</w:t>
            </w:r>
            <w:proofErr w:type="spellEnd"/>
            <w:r w:rsidRPr="00174827">
              <w:rPr>
                <w:vertAlign w:val="subscript"/>
              </w:rPr>
              <w:t xml:space="preserve">  </w:t>
            </w:r>
            <w:r w:rsidRPr="008B71C9">
              <w:t>THC</w:t>
            </w:r>
            <w:r w:rsidR="00D06145">
              <w:br/>
            </w:r>
            <w:r w:rsidRPr="008B71C9">
              <w:t>minutes</w:t>
            </w:r>
          </w:p>
        </w:tc>
        <w:tc>
          <w:tcPr>
            <w:tcW w:w="1985" w:type="dxa"/>
          </w:tcPr>
          <w:p w:rsidR="00174827" w:rsidRPr="00174827" w:rsidRDefault="00174827" w:rsidP="00174827">
            <w:pPr>
              <w:jc w:val="center"/>
              <w:rPr>
                <w:lang w:val="de-DE"/>
              </w:rPr>
            </w:pPr>
            <w:r w:rsidRPr="00174827">
              <w:rPr>
                <w:lang w:val="de-DE"/>
              </w:rPr>
              <w:t xml:space="preserve">AUC </w:t>
            </w:r>
            <w:r w:rsidRPr="00174827">
              <w:rPr>
                <w:vertAlign w:val="subscript"/>
                <w:lang w:val="de-DE"/>
              </w:rPr>
              <w:t xml:space="preserve">(0-t) </w:t>
            </w:r>
            <w:r w:rsidRPr="00174827">
              <w:rPr>
                <w:lang w:val="de-DE"/>
              </w:rPr>
              <w:t>THC ng/mL/min</w:t>
            </w:r>
          </w:p>
        </w:tc>
      </w:tr>
      <w:tr w:rsidR="00174827" w:rsidTr="00174827">
        <w:tc>
          <w:tcPr>
            <w:tcW w:w="2977" w:type="dxa"/>
          </w:tcPr>
          <w:p w:rsidR="00174827" w:rsidRPr="008B71C9" w:rsidRDefault="00174827" w:rsidP="00174827">
            <w:proofErr w:type="spellStart"/>
            <w:r>
              <w:t>Sativex</w:t>
            </w:r>
            <w:proofErr w:type="spellEnd"/>
          </w:p>
          <w:p w:rsidR="00174827" w:rsidRPr="008B71C9" w:rsidRDefault="00174827" w:rsidP="00174827">
            <w:r w:rsidRPr="008B71C9">
              <w:t xml:space="preserve">(providing </w:t>
            </w:r>
            <w:r>
              <w:t>21.6</w:t>
            </w:r>
            <w:r w:rsidRPr="008B71C9">
              <w:t xml:space="preserve"> mg THC)</w:t>
            </w:r>
          </w:p>
        </w:tc>
        <w:tc>
          <w:tcPr>
            <w:tcW w:w="1985" w:type="dxa"/>
          </w:tcPr>
          <w:p w:rsidR="00174827" w:rsidRPr="008B71C9" w:rsidRDefault="00174827" w:rsidP="00174827">
            <w:pPr>
              <w:jc w:val="center"/>
            </w:pPr>
            <w:r>
              <w:t>5.40</w:t>
            </w:r>
          </w:p>
        </w:tc>
        <w:tc>
          <w:tcPr>
            <w:tcW w:w="1984" w:type="dxa"/>
          </w:tcPr>
          <w:p w:rsidR="00174827" w:rsidRPr="008B71C9" w:rsidRDefault="00174827" w:rsidP="00174827">
            <w:pPr>
              <w:jc w:val="center"/>
            </w:pPr>
            <w:r>
              <w:t>60</w:t>
            </w:r>
          </w:p>
        </w:tc>
        <w:tc>
          <w:tcPr>
            <w:tcW w:w="1985" w:type="dxa"/>
          </w:tcPr>
          <w:p w:rsidR="00174827" w:rsidRPr="008B71C9" w:rsidRDefault="00174827" w:rsidP="00174827">
            <w:pPr>
              <w:jc w:val="center"/>
            </w:pPr>
            <w:r>
              <w:t>1362</w:t>
            </w:r>
          </w:p>
        </w:tc>
      </w:tr>
      <w:tr w:rsidR="00174827" w:rsidTr="00174827">
        <w:tc>
          <w:tcPr>
            <w:tcW w:w="2977" w:type="dxa"/>
          </w:tcPr>
          <w:p w:rsidR="00174827" w:rsidRPr="008B71C9" w:rsidRDefault="00174827" w:rsidP="00174827">
            <w:r w:rsidRPr="008B71C9">
              <w:t>Inhaled vaporised THC extract (providing 8 mg THC)</w:t>
            </w:r>
          </w:p>
        </w:tc>
        <w:tc>
          <w:tcPr>
            <w:tcW w:w="1985" w:type="dxa"/>
          </w:tcPr>
          <w:p w:rsidR="00174827" w:rsidRPr="008B71C9" w:rsidRDefault="00174827" w:rsidP="00174827">
            <w:pPr>
              <w:jc w:val="center"/>
            </w:pPr>
            <w:r w:rsidRPr="008B71C9">
              <w:t>118.6</w:t>
            </w:r>
          </w:p>
        </w:tc>
        <w:tc>
          <w:tcPr>
            <w:tcW w:w="1984" w:type="dxa"/>
          </w:tcPr>
          <w:p w:rsidR="00174827" w:rsidRPr="008B71C9" w:rsidRDefault="00174827" w:rsidP="00174827">
            <w:pPr>
              <w:jc w:val="center"/>
            </w:pPr>
            <w:r w:rsidRPr="008B71C9">
              <w:t>17.0</w:t>
            </w:r>
          </w:p>
        </w:tc>
        <w:tc>
          <w:tcPr>
            <w:tcW w:w="1985" w:type="dxa"/>
          </w:tcPr>
          <w:p w:rsidR="00174827" w:rsidRPr="008B71C9" w:rsidRDefault="00174827" w:rsidP="00174827">
            <w:pPr>
              <w:jc w:val="center"/>
            </w:pPr>
            <w:r w:rsidRPr="008B71C9">
              <w:t>5987.9</w:t>
            </w:r>
          </w:p>
        </w:tc>
      </w:tr>
      <w:tr w:rsidR="00174827" w:rsidTr="00174827">
        <w:tc>
          <w:tcPr>
            <w:tcW w:w="2977" w:type="dxa"/>
          </w:tcPr>
          <w:p w:rsidR="00174827" w:rsidRPr="008B71C9" w:rsidRDefault="00174827" w:rsidP="00174827">
            <w:r w:rsidRPr="008B71C9">
              <w:t>Smoked cannabis*</w:t>
            </w:r>
          </w:p>
          <w:p w:rsidR="00174827" w:rsidRPr="008B71C9" w:rsidRDefault="00174827" w:rsidP="00174827">
            <w:r w:rsidRPr="008B71C9">
              <w:t xml:space="preserve">(providing </w:t>
            </w:r>
            <w:r>
              <w:t>33.8</w:t>
            </w:r>
            <w:r w:rsidRPr="008B71C9">
              <w:t xml:space="preserve"> mg THC)</w:t>
            </w:r>
          </w:p>
        </w:tc>
        <w:tc>
          <w:tcPr>
            <w:tcW w:w="1985" w:type="dxa"/>
          </w:tcPr>
          <w:p w:rsidR="00174827" w:rsidRPr="008B71C9" w:rsidRDefault="00174827" w:rsidP="00174827">
            <w:pPr>
              <w:jc w:val="center"/>
            </w:pPr>
            <w:r>
              <w:t>162.2</w:t>
            </w:r>
          </w:p>
        </w:tc>
        <w:tc>
          <w:tcPr>
            <w:tcW w:w="1984" w:type="dxa"/>
          </w:tcPr>
          <w:p w:rsidR="00174827" w:rsidRPr="008B71C9" w:rsidRDefault="00174827" w:rsidP="00174827">
            <w:pPr>
              <w:jc w:val="center"/>
            </w:pPr>
            <w:r>
              <w:t>9.0</w:t>
            </w:r>
          </w:p>
        </w:tc>
        <w:tc>
          <w:tcPr>
            <w:tcW w:w="1985" w:type="dxa"/>
          </w:tcPr>
          <w:p w:rsidR="00174827" w:rsidRPr="008B71C9" w:rsidRDefault="00174827" w:rsidP="00174827">
            <w:pPr>
              <w:jc w:val="center"/>
            </w:pPr>
            <w:r w:rsidRPr="008B71C9">
              <w:t>No data</w:t>
            </w:r>
          </w:p>
        </w:tc>
      </w:tr>
    </w:tbl>
    <w:p w:rsidR="00E24248" w:rsidRPr="00125C4B" w:rsidRDefault="00E24248" w:rsidP="00E24248">
      <w:pPr>
        <w:rPr>
          <w:i/>
          <w:sz w:val="18"/>
          <w:szCs w:val="18"/>
        </w:rPr>
      </w:pPr>
      <w:r w:rsidRPr="00125C4B">
        <w:rPr>
          <w:i/>
          <w:sz w:val="18"/>
          <w:szCs w:val="18"/>
        </w:rPr>
        <w:t>*</w:t>
      </w:r>
      <w:proofErr w:type="spellStart"/>
      <w:r w:rsidRPr="00125C4B">
        <w:rPr>
          <w:i/>
          <w:sz w:val="18"/>
          <w:szCs w:val="18"/>
        </w:rPr>
        <w:t>Huestis</w:t>
      </w:r>
      <w:proofErr w:type="spellEnd"/>
      <w:r w:rsidRPr="00125C4B">
        <w:rPr>
          <w:i/>
          <w:sz w:val="18"/>
          <w:szCs w:val="18"/>
        </w:rPr>
        <w:t xml:space="preserve"> et al, Journal of Analytical Toxicology 1992; 16:276-82.</w:t>
      </w:r>
    </w:p>
    <w:p w:rsidR="00053A2D" w:rsidRDefault="003916D7" w:rsidP="00053A2D">
      <w:pPr>
        <w:pStyle w:val="Heading3"/>
      </w:pPr>
      <w:r w:rsidRPr="00F17C1A">
        <w:lastRenderedPageBreak/>
        <w:t>Distribution</w:t>
      </w:r>
      <w:r w:rsidR="00BD5420">
        <w:t>:</w:t>
      </w:r>
    </w:p>
    <w:p w:rsidR="008935C9" w:rsidRPr="00962BDA" w:rsidRDefault="008935C9" w:rsidP="00F17C1A">
      <w:pPr>
        <w:jc w:val="both"/>
        <w:rPr>
          <w:szCs w:val="22"/>
        </w:rPr>
      </w:pPr>
      <w:r w:rsidRPr="00962BDA">
        <w:rPr>
          <w:szCs w:val="22"/>
        </w:rPr>
        <w:t xml:space="preserve">As </w:t>
      </w:r>
      <w:proofErr w:type="spellStart"/>
      <w:r w:rsidRPr="00962BDA">
        <w:rPr>
          <w:szCs w:val="22"/>
        </w:rPr>
        <w:t>cannabinoids</w:t>
      </w:r>
      <w:proofErr w:type="spellEnd"/>
      <w:r w:rsidRPr="00962BDA">
        <w:rPr>
          <w:szCs w:val="22"/>
        </w:rPr>
        <w:t xml:space="preserve"> are highly </w:t>
      </w:r>
      <w:proofErr w:type="spellStart"/>
      <w:r w:rsidRPr="00962BDA">
        <w:rPr>
          <w:szCs w:val="22"/>
        </w:rPr>
        <w:t>lipophilic</w:t>
      </w:r>
      <w:proofErr w:type="spellEnd"/>
      <w:r w:rsidRPr="00962BDA">
        <w:rPr>
          <w:szCs w:val="22"/>
        </w:rPr>
        <w:t>, they are quickly absorbed and distributed into body fat.</w:t>
      </w:r>
      <w:r w:rsidRPr="00962BDA">
        <w:rPr>
          <w:b/>
          <w:szCs w:val="22"/>
        </w:rPr>
        <w:t xml:space="preserve"> </w:t>
      </w:r>
      <w:r w:rsidRPr="00962BDA">
        <w:rPr>
          <w:szCs w:val="22"/>
        </w:rPr>
        <w:t xml:space="preserve"> The resultant concentrations in the blood following </w:t>
      </w:r>
      <w:proofErr w:type="spellStart"/>
      <w:r w:rsidRPr="00962BDA">
        <w:rPr>
          <w:szCs w:val="22"/>
        </w:rPr>
        <w:t>oromucosal</w:t>
      </w:r>
      <w:proofErr w:type="spellEnd"/>
      <w:r w:rsidRPr="00962BDA">
        <w:rPr>
          <w:szCs w:val="22"/>
        </w:rPr>
        <w:t xml:space="preserve"> administration of </w:t>
      </w:r>
      <w:proofErr w:type="spellStart"/>
      <w:r w:rsidR="00C73E02" w:rsidRPr="00CC463E">
        <w:rPr>
          <w:szCs w:val="22"/>
        </w:rPr>
        <w:t>S</w:t>
      </w:r>
      <w:r w:rsidR="00CC463E">
        <w:rPr>
          <w:szCs w:val="22"/>
        </w:rPr>
        <w:t>ativex</w:t>
      </w:r>
      <w:proofErr w:type="spellEnd"/>
      <w:r w:rsidRPr="00962BDA">
        <w:rPr>
          <w:b/>
          <w:szCs w:val="22"/>
        </w:rPr>
        <w:t xml:space="preserve"> </w:t>
      </w:r>
      <w:r w:rsidRPr="00962BDA">
        <w:rPr>
          <w:szCs w:val="22"/>
        </w:rPr>
        <w:t>are lower than those obtained by inhaling the same dose of THC because absorption is slower and redistribution into fatty tissues is rapid.  Additionally some of the THC undergoes hepatic</w:t>
      </w:r>
      <w:r>
        <w:rPr>
          <w:szCs w:val="22"/>
        </w:rPr>
        <w:t xml:space="preserve"> </w:t>
      </w:r>
      <w:r w:rsidRPr="00962BDA">
        <w:rPr>
          <w:szCs w:val="22"/>
        </w:rPr>
        <w:t>first pass metabolism to 11-OH-THC, the primary metabolite of THC, and CBD similarly to 7-OH-CBD.  Protein binding of THC is high (~97%).  THC and CBD may be stored for as long as four weeks in the fatty tissues from which they are slowly released at sub-therapeutic levels back into the blood stream, then metabolised and excreted via the urine and faeces.</w:t>
      </w:r>
    </w:p>
    <w:p w:rsidR="00053A2D" w:rsidRDefault="003916D7" w:rsidP="00053A2D">
      <w:pPr>
        <w:pStyle w:val="Heading3"/>
        <w:rPr>
          <w:lang w:val="en-CA"/>
        </w:rPr>
      </w:pPr>
      <w:r w:rsidRPr="00F17C1A">
        <w:rPr>
          <w:lang w:val="en-CA"/>
        </w:rPr>
        <w:t>Metabolism</w:t>
      </w:r>
      <w:r w:rsidR="00DD38F2">
        <w:rPr>
          <w:lang w:val="en-CA"/>
        </w:rPr>
        <w:t>:</w:t>
      </w:r>
    </w:p>
    <w:p w:rsidR="008935C9" w:rsidRDefault="008935C9" w:rsidP="00F17C1A">
      <w:pPr>
        <w:jc w:val="both"/>
        <w:rPr>
          <w:szCs w:val="22"/>
        </w:rPr>
      </w:pPr>
      <w:r w:rsidRPr="00962BDA">
        <w:rPr>
          <w:szCs w:val="22"/>
        </w:rPr>
        <w:t>THC and CBD are metabolised in the liver</w:t>
      </w:r>
      <w:r w:rsidR="00CC463E">
        <w:rPr>
          <w:szCs w:val="22"/>
        </w:rPr>
        <w:t>,</w:t>
      </w:r>
      <w:r w:rsidR="00B81F73">
        <w:rPr>
          <w:szCs w:val="22"/>
        </w:rPr>
        <w:t xml:space="preserve"> </w:t>
      </w:r>
      <w:r w:rsidR="00B81F73" w:rsidRPr="008B71C9">
        <w:rPr>
          <w:szCs w:val="22"/>
        </w:rPr>
        <w:t>and approximately one third of the parent drugs and their metabolites are excreted in the urine (the remainder via the faeces)</w:t>
      </w:r>
      <w:r w:rsidR="00CC463E">
        <w:rPr>
          <w:szCs w:val="22"/>
        </w:rPr>
        <w:t>.</w:t>
      </w:r>
      <w:r w:rsidR="00B81F73">
        <w:rPr>
          <w:szCs w:val="22"/>
        </w:rPr>
        <w:t xml:space="preserve"> </w:t>
      </w:r>
      <w:r w:rsidR="00726CB3">
        <w:rPr>
          <w:szCs w:val="22"/>
        </w:rPr>
        <w:t>S</w:t>
      </w:r>
      <w:r w:rsidR="00B81F73" w:rsidRPr="008B71C9">
        <w:rPr>
          <w:szCs w:val="22"/>
        </w:rPr>
        <w:t>everal THC metabolites</w:t>
      </w:r>
      <w:r w:rsidR="00726CB3">
        <w:rPr>
          <w:szCs w:val="22"/>
        </w:rPr>
        <w:t xml:space="preserve"> may be psychoactive</w:t>
      </w:r>
      <w:r w:rsidR="00B81F73" w:rsidRPr="008B71C9">
        <w:rPr>
          <w:szCs w:val="22"/>
        </w:rPr>
        <w:t>.</w:t>
      </w:r>
      <w:r w:rsidR="00B81F73">
        <w:rPr>
          <w:szCs w:val="22"/>
        </w:rPr>
        <w:t xml:space="preserve">  </w:t>
      </w:r>
      <w:r w:rsidRPr="00962BDA">
        <w:rPr>
          <w:szCs w:val="22"/>
        </w:rPr>
        <w:t>Additionally some of the THC undergoes hepatic</w:t>
      </w:r>
      <w:r>
        <w:rPr>
          <w:szCs w:val="22"/>
        </w:rPr>
        <w:t xml:space="preserve"> </w:t>
      </w:r>
      <w:r w:rsidRPr="00962BDA">
        <w:rPr>
          <w:szCs w:val="22"/>
        </w:rPr>
        <w:t>first pass metabolism to 11-OH-THC, the primary metabolite of THC, and CBD similarly to 7-OH-CBD</w:t>
      </w:r>
      <w:r>
        <w:rPr>
          <w:szCs w:val="22"/>
        </w:rPr>
        <w:t xml:space="preserve">. </w:t>
      </w:r>
      <w:r w:rsidRPr="00962BDA">
        <w:rPr>
          <w:szCs w:val="22"/>
        </w:rPr>
        <w:t xml:space="preserve"> Human hepatic P</w:t>
      </w:r>
      <w:r w:rsidRPr="00962BDA">
        <w:rPr>
          <w:szCs w:val="22"/>
          <w:vertAlign w:val="subscript"/>
        </w:rPr>
        <w:t xml:space="preserve">450 </w:t>
      </w:r>
      <w:r w:rsidRPr="00962BDA">
        <w:rPr>
          <w:szCs w:val="22"/>
        </w:rPr>
        <w:t xml:space="preserve">2C9 </w:t>
      </w:r>
      <w:proofErr w:type="spellStart"/>
      <w:r w:rsidRPr="00962BDA">
        <w:rPr>
          <w:szCs w:val="22"/>
        </w:rPr>
        <w:t>isozyme</w:t>
      </w:r>
      <w:proofErr w:type="spellEnd"/>
      <w:r w:rsidRPr="00962BDA">
        <w:rPr>
          <w:szCs w:val="22"/>
        </w:rPr>
        <w:t xml:space="preserve"> catalyses the formation of 11-OH-THC, the primary metabolite, which is further metabolised by the liver to other compounds including 11-nor-carboxy-</w:t>
      </w:r>
      <w:r w:rsidRPr="00962BDA">
        <w:rPr>
          <w:szCs w:val="22"/>
        </w:rPr>
        <w:sym w:font="Symbol" w:char="F044"/>
      </w:r>
      <w:r w:rsidRPr="00962BDA">
        <w:rPr>
          <w:szCs w:val="22"/>
          <w:vertAlign w:val="superscript"/>
        </w:rPr>
        <w:t>9</w:t>
      </w:r>
      <w:r w:rsidRPr="00962BDA">
        <w:rPr>
          <w:szCs w:val="22"/>
        </w:rPr>
        <w:t>-THC (THC-COOH), the most abundant metabolite in human plasma and urine.  The P</w:t>
      </w:r>
      <w:r w:rsidRPr="00962BDA">
        <w:rPr>
          <w:szCs w:val="22"/>
          <w:vertAlign w:val="subscript"/>
        </w:rPr>
        <w:t>450</w:t>
      </w:r>
      <w:r w:rsidRPr="00962BDA">
        <w:rPr>
          <w:szCs w:val="22"/>
        </w:rPr>
        <w:t xml:space="preserve">-3A subfamily catalyses the formation of other </w:t>
      </w:r>
      <w:proofErr w:type="spellStart"/>
      <w:r w:rsidRPr="00962BDA">
        <w:rPr>
          <w:szCs w:val="22"/>
        </w:rPr>
        <w:t>hydroxylated</w:t>
      </w:r>
      <w:proofErr w:type="spellEnd"/>
      <w:r w:rsidRPr="00962BDA">
        <w:rPr>
          <w:szCs w:val="22"/>
        </w:rPr>
        <w:t xml:space="preserve"> minor metabolites.  CBD is extensively metabolised and more than 33 metabolites have been identified in urine.  The major metabolic route is hydroxylation and oxidation at C-7 followed by further hydroxylation in the </w:t>
      </w:r>
      <w:proofErr w:type="spellStart"/>
      <w:r w:rsidRPr="00962BDA">
        <w:rPr>
          <w:szCs w:val="22"/>
        </w:rPr>
        <w:t>pentyl</w:t>
      </w:r>
      <w:proofErr w:type="spellEnd"/>
      <w:r w:rsidRPr="00962BDA">
        <w:rPr>
          <w:szCs w:val="22"/>
        </w:rPr>
        <w:t xml:space="preserve"> and </w:t>
      </w:r>
      <w:proofErr w:type="spellStart"/>
      <w:r w:rsidRPr="00962BDA">
        <w:rPr>
          <w:szCs w:val="22"/>
        </w:rPr>
        <w:t>propenyl</w:t>
      </w:r>
      <w:proofErr w:type="spellEnd"/>
      <w:r w:rsidRPr="00962BDA">
        <w:rPr>
          <w:szCs w:val="22"/>
        </w:rPr>
        <w:t xml:space="preserve"> groups.  The major oxidi</w:t>
      </w:r>
      <w:r>
        <w:rPr>
          <w:szCs w:val="22"/>
        </w:rPr>
        <w:t>s</w:t>
      </w:r>
      <w:r w:rsidRPr="00962BDA">
        <w:rPr>
          <w:szCs w:val="22"/>
        </w:rPr>
        <w:t xml:space="preserve">ed metabolite identified is CBD-7-oic acid containing a </w:t>
      </w:r>
      <w:proofErr w:type="spellStart"/>
      <w:r w:rsidRPr="00962BDA">
        <w:rPr>
          <w:szCs w:val="22"/>
        </w:rPr>
        <w:t>hydroxyethyl</w:t>
      </w:r>
      <w:proofErr w:type="spellEnd"/>
      <w:r w:rsidRPr="00962BDA">
        <w:rPr>
          <w:szCs w:val="22"/>
        </w:rPr>
        <w:t xml:space="preserve"> side chain.</w:t>
      </w:r>
    </w:p>
    <w:p w:rsidR="008935C9" w:rsidRDefault="008935C9" w:rsidP="00F17C1A">
      <w:pPr>
        <w:jc w:val="both"/>
        <w:rPr>
          <w:szCs w:val="22"/>
        </w:rPr>
      </w:pPr>
      <w:r w:rsidRPr="00E531A9">
        <w:rPr>
          <w:szCs w:val="22"/>
        </w:rPr>
        <w:t xml:space="preserve">See </w:t>
      </w:r>
      <w:r w:rsidR="00B923D4">
        <w:rPr>
          <w:szCs w:val="22"/>
        </w:rPr>
        <w:t>INTERACTIONS WITH OTHER MEDICINES</w:t>
      </w:r>
      <w:r>
        <w:rPr>
          <w:szCs w:val="22"/>
        </w:rPr>
        <w:t xml:space="preserve"> </w:t>
      </w:r>
      <w:r w:rsidRPr="00E531A9">
        <w:rPr>
          <w:szCs w:val="22"/>
        </w:rPr>
        <w:t>for information on drug interaction and metabolism by the</w:t>
      </w:r>
      <w:r w:rsidRPr="00962BDA">
        <w:rPr>
          <w:szCs w:val="22"/>
        </w:rPr>
        <w:t xml:space="preserve"> </w:t>
      </w:r>
      <w:proofErr w:type="spellStart"/>
      <w:r w:rsidRPr="00962BDA">
        <w:rPr>
          <w:szCs w:val="22"/>
        </w:rPr>
        <w:t>cytochrome</w:t>
      </w:r>
      <w:proofErr w:type="spellEnd"/>
      <w:r w:rsidRPr="00962BDA">
        <w:rPr>
          <w:szCs w:val="22"/>
        </w:rPr>
        <w:t xml:space="preserve"> P</w:t>
      </w:r>
      <w:r w:rsidRPr="00962BDA">
        <w:rPr>
          <w:szCs w:val="22"/>
          <w:vertAlign w:val="subscript"/>
        </w:rPr>
        <w:t>4</w:t>
      </w:r>
      <w:r w:rsidRPr="00E531A9">
        <w:rPr>
          <w:szCs w:val="22"/>
          <w:vertAlign w:val="subscript"/>
        </w:rPr>
        <w:t>50</w:t>
      </w:r>
      <w:r w:rsidRPr="00E531A9">
        <w:rPr>
          <w:szCs w:val="22"/>
        </w:rPr>
        <w:t xml:space="preserve"> enzyme system.</w:t>
      </w:r>
    </w:p>
    <w:p w:rsidR="00053A2D" w:rsidRDefault="003916D7" w:rsidP="00053A2D">
      <w:pPr>
        <w:pStyle w:val="Heading3"/>
        <w:rPr>
          <w:noProof/>
        </w:rPr>
      </w:pPr>
      <w:r w:rsidRPr="00F17C1A">
        <w:rPr>
          <w:noProof/>
        </w:rPr>
        <w:t>Excretion</w:t>
      </w:r>
      <w:r w:rsidR="00DD38F2">
        <w:rPr>
          <w:noProof/>
        </w:rPr>
        <w:t>:</w:t>
      </w:r>
    </w:p>
    <w:p w:rsidR="00A73C59" w:rsidRPr="008B71C9" w:rsidRDefault="00A73C59" w:rsidP="00F17C1A">
      <w:pPr>
        <w:jc w:val="both"/>
        <w:rPr>
          <w:szCs w:val="22"/>
        </w:rPr>
      </w:pPr>
      <w:r w:rsidRPr="008B71C9">
        <w:rPr>
          <w:szCs w:val="22"/>
        </w:rPr>
        <w:t xml:space="preserve">From clinical studies with </w:t>
      </w:r>
      <w:proofErr w:type="spellStart"/>
      <w:r w:rsidR="00C73E02" w:rsidRPr="00726CB3">
        <w:rPr>
          <w:szCs w:val="22"/>
        </w:rPr>
        <w:t>S</w:t>
      </w:r>
      <w:r w:rsidR="00726CB3">
        <w:rPr>
          <w:szCs w:val="22"/>
        </w:rPr>
        <w:t>ativex</w:t>
      </w:r>
      <w:proofErr w:type="spellEnd"/>
      <w:r w:rsidRPr="008B71C9">
        <w:rPr>
          <w:szCs w:val="22"/>
        </w:rPr>
        <w:t>, a non-compartmental PK analysis shows that the first order terminal elimination half life from plasma is 1.94, 3.72 and 5.25 hours for THC and 5.28, 6.39 and 9.36 for CBD following the administration of 2, 4 and 8 sprays respectively.</w:t>
      </w:r>
    </w:p>
    <w:p w:rsidR="003916D7" w:rsidRDefault="00A73C59" w:rsidP="00F17C1A">
      <w:pPr>
        <w:jc w:val="both"/>
        <w:rPr>
          <w:snapToGrid w:val="0"/>
          <w:lang w:val="en-GB"/>
        </w:rPr>
      </w:pPr>
      <w:r w:rsidRPr="008B71C9">
        <w:t xml:space="preserve">From the literature, elimination of oral </w:t>
      </w:r>
      <w:proofErr w:type="spellStart"/>
      <w:r w:rsidRPr="008B71C9">
        <w:t>cannabinoids</w:t>
      </w:r>
      <w:proofErr w:type="spellEnd"/>
      <w:r w:rsidRPr="008B71C9">
        <w:t xml:space="preserve"> from plasma is bi-</w:t>
      </w:r>
      <w:proofErr w:type="spellStart"/>
      <w:r w:rsidRPr="008B71C9">
        <w:t>phasic</w:t>
      </w:r>
      <w:proofErr w:type="spellEnd"/>
      <w:r w:rsidRPr="008B71C9">
        <w:t xml:space="preserve"> with an initial half-life of approximately four hours and the terminal elimination half-lives are of the order of 24 to 36 hours or longer. </w:t>
      </w:r>
      <w:r>
        <w:t xml:space="preserve"> </w:t>
      </w:r>
      <w:proofErr w:type="spellStart"/>
      <w:r w:rsidRPr="008B71C9">
        <w:t>Cannabinoids</w:t>
      </w:r>
      <w:proofErr w:type="spellEnd"/>
      <w:r w:rsidRPr="008B71C9">
        <w:t xml:space="preserve"> are distributed throughout the body; they are highly lipid soluble and accumulate in fatty tissue.</w:t>
      </w:r>
      <w:r>
        <w:t xml:space="preserve">  </w:t>
      </w:r>
      <w:r w:rsidRPr="008B71C9">
        <w:t xml:space="preserve">The release of </w:t>
      </w:r>
      <w:proofErr w:type="spellStart"/>
      <w:r w:rsidRPr="008B71C9">
        <w:t>cannabinoids</w:t>
      </w:r>
      <w:proofErr w:type="spellEnd"/>
      <w:r w:rsidRPr="008B71C9">
        <w:t xml:space="preserve"> from fatty tissue is responsible for the prolonged terminal elimination half-life</w:t>
      </w:r>
      <w:r>
        <w:t>.</w:t>
      </w:r>
    </w:p>
    <w:p w:rsidR="00F753BD" w:rsidRDefault="00F753BD">
      <w:pPr>
        <w:spacing w:before="0" w:line="240" w:lineRule="auto"/>
        <w:rPr>
          <w:b/>
          <w:sz w:val="30"/>
          <w:u w:val="single"/>
        </w:rPr>
      </w:pPr>
      <w:r>
        <w:br w:type="page"/>
      </w:r>
    </w:p>
    <w:p w:rsidR="00053A2D" w:rsidRDefault="00DD38F2" w:rsidP="00053A2D">
      <w:pPr>
        <w:pStyle w:val="Heading1"/>
      </w:pPr>
      <w:r>
        <w:lastRenderedPageBreak/>
        <w:t>CLINICAL TRIALS</w:t>
      </w:r>
    </w:p>
    <w:p w:rsidR="001F23E5" w:rsidRPr="00962BDA" w:rsidRDefault="00B923D4" w:rsidP="00F17C1A">
      <w:pPr>
        <w:jc w:val="both"/>
        <w:rPr>
          <w:color w:val="000000"/>
          <w:szCs w:val="22"/>
        </w:rPr>
      </w:pPr>
      <w:proofErr w:type="spellStart"/>
      <w:r w:rsidRPr="00B923D4">
        <w:rPr>
          <w:color w:val="000000"/>
          <w:szCs w:val="22"/>
          <w:lang w:val="en-US"/>
        </w:rPr>
        <w:t>Sativex</w:t>
      </w:r>
      <w:proofErr w:type="spellEnd"/>
      <w:r w:rsidRPr="00B923D4">
        <w:rPr>
          <w:color w:val="000000"/>
          <w:szCs w:val="22"/>
          <w:lang w:val="en-US"/>
        </w:rPr>
        <w:t xml:space="preserve"> has been studied at doses </w:t>
      </w:r>
      <w:proofErr w:type="gramStart"/>
      <w:r w:rsidRPr="00B923D4">
        <w:rPr>
          <w:color w:val="000000"/>
          <w:szCs w:val="22"/>
          <w:lang w:val="en-US"/>
        </w:rPr>
        <w:t>of up to 48 sprays/day in controlled clinical trials of up to 19 weeks duration in more than 1500 patients with MS</w:t>
      </w:r>
      <w:proofErr w:type="gramEnd"/>
      <w:r w:rsidRPr="00B923D4">
        <w:rPr>
          <w:color w:val="000000"/>
          <w:szCs w:val="22"/>
          <w:lang w:val="en-US"/>
        </w:rPr>
        <w:t xml:space="preserve">. </w:t>
      </w:r>
      <w:r w:rsidR="001F23E5" w:rsidRPr="00962BDA">
        <w:rPr>
          <w:color w:val="000000"/>
          <w:szCs w:val="22"/>
        </w:rPr>
        <w:t xml:space="preserve">In the pivotal trials to assess the efficacy and safety of </w:t>
      </w:r>
      <w:proofErr w:type="spellStart"/>
      <w:r w:rsidR="00C73E02" w:rsidRPr="00726CB3">
        <w:rPr>
          <w:color w:val="000000"/>
          <w:szCs w:val="22"/>
        </w:rPr>
        <w:t>S</w:t>
      </w:r>
      <w:r w:rsidR="00726CB3">
        <w:rPr>
          <w:color w:val="000000"/>
          <w:szCs w:val="22"/>
        </w:rPr>
        <w:t>ativex</w:t>
      </w:r>
      <w:proofErr w:type="spellEnd"/>
      <w:r w:rsidR="001F23E5" w:rsidRPr="00962BDA">
        <w:rPr>
          <w:color w:val="000000"/>
          <w:szCs w:val="22"/>
        </w:rPr>
        <w:t xml:space="preserve"> for symptom improvement in patients with moderate to severe spasticity due to </w:t>
      </w:r>
      <w:r w:rsidR="009C7DEE">
        <w:rPr>
          <w:color w:val="000000"/>
          <w:szCs w:val="22"/>
        </w:rPr>
        <w:t>MS</w:t>
      </w:r>
      <w:r w:rsidR="001F23E5" w:rsidRPr="00962BDA">
        <w:rPr>
          <w:color w:val="000000"/>
          <w:szCs w:val="22"/>
        </w:rPr>
        <w:t xml:space="preserve"> the primary efficacy measure was a 0 to 10 point Numeric Rating Scale (NRS) on which patients indicated the average level of their spasticity related symptoms over the last 24 hours where 0 is no spasticity and 10 is the worst possible spasticity. </w:t>
      </w:r>
    </w:p>
    <w:p w:rsidR="001F23E5" w:rsidRPr="00962BDA" w:rsidRDefault="001F23E5" w:rsidP="00F17C1A">
      <w:pPr>
        <w:jc w:val="both"/>
        <w:rPr>
          <w:color w:val="000000"/>
          <w:szCs w:val="22"/>
        </w:rPr>
      </w:pPr>
      <w:r w:rsidRPr="00962BDA">
        <w:rPr>
          <w:color w:val="000000"/>
          <w:szCs w:val="22"/>
        </w:rPr>
        <w:t>In a first Phase 3 placebo controlled trial over a 6-week treatment period</w:t>
      </w:r>
      <w:r w:rsidR="009C7DEE">
        <w:rPr>
          <w:color w:val="000000"/>
          <w:szCs w:val="22"/>
        </w:rPr>
        <w:t>,</w:t>
      </w:r>
      <w:r w:rsidRPr="00962BDA">
        <w:rPr>
          <w:color w:val="000000"/>
          <w:szCs w:val="22"/>
        </w:rPr>
        <w:t xml:space="preserve"> the difference from placebo reached statistical significance but the difference between treatments of 0.5 to 0.6 points on the 0-10 point NRS was </w:t>
      </w:r>
      <w:r w:rsidR="00BE1578">
        <w:rPr>
          <w:color w:val="000000"/>
          <w:szCs w:val="22"/>
        </w:rPr>
        <w:t>not great</w:t>
      </w:r>
      <w:r w:rsidRPr="00962BDA">
        <w:rPr>
          <w:color w:val="000000"/>
          <w:szCs w:val="22"/>
        </w:rPr>
        <w:t xml:space="preserve">. </w:t>
      </w:r>
      <w:r w:rsidR="009C7DEE">
        <w:rPr>
          <w:color w:val="000000"/>
          <w:szCs w:val="22"/>
        </w:rPr>
        <w:t xml:space="preserve"> </w:t>
      </w:r>
      <w:r w:rsidRPr="00962BDA">
        <w:rPr>
          <w:color w:val="000000"/>
          <w:szCs w:val="22"/>
        </w:rPr>
        <w:t xml:space="preserve">In a responder analysis 40% </w:t>
      </w:r>
      <w:proofErr w:type="spellStart"/>
      <w:r w:rsidR="00C73E02" w:rsidRPr="00726CB3">
        <w:rPr>
          <w:color w:val="000000"/>
          <w:szCs w:val="22"/>
        </w:rPr>
        <w:t>S</w:t>
      </w:r>
      <w:r w:rsidR="00726CB3">
        <w:rPr>
          <w:color w:val="000000"/>
          <w:szCs w:val="22"/>
        </w:rPr>
        <w:t>ativex</w:t>
      </w:r>
      <w:proofErr w:type="spellEnd"/>
      <w:r w:rsidRPr="00962BDA">
        <w:rPr>
          <w:color w:val="000000"/>
          <w:szCs w:val="22"/>
        </w:rPr>
        <w:t xml:space="preserve"> and 22% placebo</w:t>
      </w:r>
      <w:r w:rsidR="00156A81">
        <w:rPr>
          <w:color w:val="000000"/>
          <w:szCs w:val="22"/>
        </w:rPr>
        <w:t xml:space="preserve"> </w:t>
      </w:r>
      <w:r w:rsidRPr="00962BDA">
        <w:rPr>
          <w:color w:val="000000"/>
          <w:szCs w:val="22"/>
        </w:rPr>
        <w:t xml:space="preserve">responded to treatment using the criterion of greater than a 30% reduction in NRS score. </w:t>
      </w:r>
      <w:r w:rsidR="00156A81">
        <w:rPr>
          <w:color w:val="000000"/>
          <w:szCs w:val="22"/>
        </w:rPr>
        <w:t xml:space="preserve"> </w:t>
      </w:r>
    </w:p>
    <w:p w:rsidR="001F23E5" w:rsidRPr="00962BDA" w:rsidRDefault="001F23E5" w:rsidP="00F17C1A">
      <w:pPr>
        <w:jc w:val="both"/>
        <w:rPr>
          <w:color w:val="000000"/>
          <w:szCs w:val="22"/>
        </w:rPr>
      </w:pPr>
      <w:r w:rsidRPr="00962BDA">
        <w:rPr>
          <w:color w:val="000000"/>
          <w:szCs w:val="22"/>
        </w:rPr>
        <w:t>A second 14</w:t>
      </w:r>
      <w:r w:rsidR="00716489">
        <w:rPr>
          <w:color w:val="000000"/>
          <w:szCs w:val="22"/>
        </w:rPr>
        <w:t>-</w:t>
      </w:r>
      <w:r w:rsidRPr="00962BDA">
        <w:rPr>
          <w:color w:val="000000"/>
          <w:szCs w:val="22"/>
        </w:rPr>
        <w:t>week Phase 3 study failed to show a significant treatment effect</w:t>
      </w:r>
      <w:r w:rsidRPr="00726CB3">
        <w:rPr>
          <w:color w:val="000000"/>
          <w:szCs w:val="22"/>
        </w:rPr>
        <w:t>.</w:t>
      </w:r>
      <w:r w:rsidR="00716489">
        <w:rPr>
          <w:color w:val="000000"/>
          <w:szCs w:val="22"/>
        </w:rPr>
        <w:t xml:space="preserve"> </w:t>
      </w:r>
      <w:r w:rsidRPr="00962BDA">
        <w:rPr>
          <w:color w:val="000000"/>
          <w:szCs w:val="22"/>
        </w:rPr>
        <w:t xml:space="preserve"> The difference from placebo on the NRS score was 0.2 points.</w:t>
      </w:r>
    </w:p>
    <w:p w:rsidR="001F23E5" w:rsidRPr="00962BDA" w:rsidRDefault="001F23E5" w:rsidP="00F17C1A">
      <w:pPr>
        <w:jc w:val="both"/>
        <w:rPr>
          <w:color w:val="000000"/>
          <w:szCs w:val="22"/>
        </w:rPr>
      </w:pPr>
      <w:r w:rsidRPr="00962BDA">
        <w:rPr>
          <w:color w:val="000000"/>
          <w:szCs w:val="22"/>
        </w:rPr>
        <w:t xml:space="preserve">It was postulated that a clinically </w:t>
      </w:r>
      <w:r w:rsidR="00B923D4">
        <w:rPr>
          <w:color w:val="000000"/>
          <w:szCs w:val="22"/>
        </w:rPr>
        <w:t>useful</w:t>
      </w:r>
      <w:r w:rsidR="00B923D4" w:rsidRPr="00962BDA">
        <w:rPr>
          <w:color w:val="000000"/>
          <w:szCs w:val="22"/>
        </w:rPr>
        <w:t xml:space="preserve"> </w:t>
      </w:r>
      <w:r w:rsidRPr="00962BDA">
        <w:rPr>
          <w:color w:val="000000"/>
          <w:szCs w:val="22"/>
        </w:rPr>
        <w:t xml:space="preserve">treatment effect in some patients </w:t>
      </w:r>
      <w:r w:rsidR="00B923D4">
        <w:rPr>
          <w:color w:val="000000"/>
          <w:szCs w:val="22"/>
        </w:rPr>
        <w:t>might be</w:t>
      </w:r>
      <w:r w:rsidRPr="00962BDA">
        <w:rPr>
          <w:color w:val="000000"/>
          <w:szCs w:val="22"/>
        </w:rPr>
        <w:t xml:space="preserve"> partly masked by data from non-responders in the analyses of mean changes.</w:t>
      </w:r>
      <w:r w:rsidR="00716489">
        <w:rPr>
          <w:color w:val="000000"/>
          <w:szCs w:val="22"/>
        </w:rPr>
        <w:t xml:space="preserve"> </w:t>
      </w:r>
      <w:r w:rsidRPr="00962BDA">
        <w:rPr>
          <w:color w:val="000000"/>
          <w:szCs w:val="22"/>
        </w:rPr>
        <w:t xml:space="preserve"> In analyses comparing NRS scores with patient global impression of change (PGI), a 19% NRS response was estimated to represent a clinically relevant improvement on the PGI and a response of 28% “much improved” on the PGI.</w:t>
      </w:r>
      <w:r w:rsidR="00716489">
        <w:rPr>
          <w:color w:val="000000"/>
          <w:szCs w:val="22"/>
        </w:rPr>
        <w:t xml:space="preserve"> </w:t>
      </w:r>
      <w:r w:rsidRPr="00962BDA">
        <w:rPr>
          <w:color w:val="000000"/>
          <w:szCs w:val="22"/>
        </w:rPr>
        <w:t xml:space="preserve"> In post hoc exploratory combined analyses of the above two studies, a 4</w:t>
      </w:r>
      <w:r>
        <w:rPr>
          <w:color w:val="000000"/>
          <w:szCs w:val="22"/>
        </w:rPr>
        <w:t>-</w:t>
      </w:r>
      <w:r w:rsidRPr="00962BDA">
        <w:rPr>
          <w:color w:val="000000"/>
          <w:szCs w:val="22"/>
        </w:rPr>
        <w:t xml:space="preserve">week trial period using a 20% NRS response threshold was </w:t>
      </w:r>
      <w:r w:rsidR="00B923D4">
        <w:rPr>
          <w:color w:val="000000"/>
          <w:szCs w:val="22"/>
        </w:rPr>
        <w:t>predictive</w:t>
      </w:r>
      <w:r w:rsidRPr="00962BDA">
        <w:rPr>
          <w:color w:val="000000"/>
          <w:szCs w:val="22"/>
        </w:rPr>
        <w:t xml:space="preserve"> of eventual response defined as a 30% reduction. </w:t>
      </w:r>
    </w:p>
    <w:p w:rsidR="001F23E5" w:rsidRPr="00962BDA" w:rsidRDefault="001F23E5" w:rsidP="00F17C1A">
      <w:pPr>
        <w:jc w:val="both"/>
        <w:rPr>
          <w:color w:val="000000"/>
          <w:szCs w:val="22"/>
        </w:rPr>
      </w:pPr>
      <w:r w:rsidRPr="00962BDA">
        <w:rPr>
          <w:color w:val="000000"/>
          <w:szCs w:val="22"/>
        </w:rPr>
        <w:t>A third Phase 3 trial incorporated a formalised 4</w:t>
      </w:r>
      <w:r>
        <w:rPr>
          <w:color w:val="000000"/>
          <w:szCs w:val="22"/>
        </w:rPr>
        <w:t>-</w:t>
      </w:r>
      <w:r w:rsidRPr="00962BDA">
        <w:rPr>
          <w:color w:val="000000"/>
          <w:szCs w:val="22"/>
        </w:rPr>
        <w:t xml:space="preserve">week therapeutic trial period prior to randomisation. </w:t>
      </w:r>
      <w:r w:rsidR="00716489">
        <w:rPr>
          <w:color w:val="000000"/>
          <w:szCs w:val="22"/>
        </w:rPr>
        <w:t xml:space="preserve"> </w:t>
      </w:r>
      <w:r w:rsidRPr="00962BDA">
        <w:rPr>
          <w:color w:val="000000"/>
          <w:szCs w:val="22"/>
        </w:rPr>
        <w:t xml:space="preserve">The aim of the trial was to assess the benefit of continued treatment for patients who achieve an initial response to treatment. </w:t>
      </w:r>
      <w:r w:rsidR="00716489">
        <w:rPr>
          <w:color w:val="000000"/>
          <w:szCs w:val="22"/>
        </w:rPr>
        <w:t xml:space="preserve"> </w:t>
      </w:r>
      <w:r w:rsidRPr="007653B9">
        <w:rPr>
          <w:color w:val="000000"/>
          <w:szCs w:val="22"/>
        </w:rPr>
        <w:t xml:space="preserve">572 patients with MS and refractory spasticity </w:t>
      </w:r>
      <w:r w:rsidRPr="00962BDA">
        <w:rPr>
          <w:color w:val="000000"/>
          <w:szCs w:val="22"/>
        </w:rPr>
        <w:t xml:space="preserve">all received single blind </w:t>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for four weeks. </w:t>
      </w:r>
      <w:r w:rsidR="00716489">
        <w:rPr>
          <w:color w:val="000000"/>
          <w:szCs w:val="22"/>
        </w:rPr>
        <w:t xml:space="preserve"> </w:t>
      </w:r>
      <w:r w:rsidR="00ED1EE4">
        <w:rPr>
          <w:color w:val="000000"/>
          <w:szCs w:val="22"/>
        </w:rPr>
        <w:t xml:space="preserve">Of these, 272 subjects (48%) responded </w:t>
      </w:r>
      <w:proofErr w:type="gramStart"/>
      <w:r w:rsidR="00ED1EE4">
        <w:rPr>
          <w:color w:val="000000"/>
          <w:szCs w:val="22"/>
        </w:rPr>
        <w:t xml:space="preserve">with </w:t>
      </w:r>
      <w:r w:rsidRPr="00962BDA">
        <w:rPr>
          <w:color w:val="000000"/>
          <w:szCs w:val="22"/>
        </w:rPr>
        <w:t xml:space="preserve"> a</w:t>
      </w:r>
      <w:proofErr w:type="gramEnd"/>
      <w:r w:rsidRPr="00962BDA">
        <w:rPr>
          <w:color w:val="000000"/>
          <w:szCs w:val="22"/>
        </w:rPr>
        <w:t xml:space="preserve"> reduction of at least 20% on the spasticity symptom NRS, with a mean change from the start of treatment of -3.0 points</w:t>
      </w:r>
      <w:r w:rsidR="00B923D4">
        <w:rPr>
          <w:color w:val="000000"/>
          <w:szCs w:val="22"/>
        </w:rPr>
        <w:t xml:space="preserve"> on the 10 point NRS</w:t>
      </w:r>
      <w:r w:rsidRPr="00962BDA">
        <w:rPr>
          <w:color w:val="000000"/>
          <w:szCs w:val="22"/>
        </w:rPr>
        <w:t xml:space="preserve">. </w:t>
      </w:r>
      <w:r w:rsidR="00716489">
        <w:rPr>
          <w:color w:val="000000"/>
          <w:szCs w:val="22"/>
        </w:rPr>
        <w:t xml:space="preserve"> </w:t>
      </w:r>
      <w:r w:rsidR="00ED1EE4">
        <w:rPr>
          <w:color w:val="000000"/>
          <w:szCs w:val="22"/>
        </w:rPr>
        <w:t xml:space="preserve">Of these, 241 patients were eligible to be </w:t>
      </w:r>
      <w:r w:rsidRPr="00962BDA">
        <w:rPr>
          <w:color w:val="000000"/>
          <w:szCs w:val="22"/>
        </w:rPr>
        <w:t>randomised to either continue to receive active or switch to placebo for the 12</w:t>
      </w:r>
      <w:r w:rsidR="00716489">
        <w:rPr>
          <w:color w:val="000000"/>
          <w:szCs w:val="22"/>
        </w:rPr>
        <w:t>-</w:t>
      </w:r>
      <w:r w:rsidRPr="00962BDA">
        <w:rPr>
          <w:color w:val="000000"/>
          <w:szCs w:val="22"/>
        </w:rPr>
        <w:t xml:space="preserve">week </w:t>
      </w:r>
      <w:r w:rsidRPr="00962BDA">
        <w:rPr>
          <w:color w:val="000000"/>
          <w:szCs w:val="22"/>
          <w:lang w:eastAsia="en-GB"/>
        </w:rPr>
        <w:t>double-blind phase, for a total of 16 weeks treatment overall</w:t>
      </w:r>
      <w:r w:rsidRPr="00962BDA">
        <w:rPr>
          <w:color w:val="000000"/>
          <w:szCs w:val="22"/>
        </w:rPr>
        <w:t xml:space="preserve">. </w:t>
      </w:r>
    </w:p>
    <w:p w:rsidR="001F23E5" w:rsidRPr="00962BDA" w:rsidRDefault="001F23E5" w:rsidP="00F17C1A">
      <w:pPr>
        <w:jc w:val="both"/>
        <w:rPr>
          <w:color w:val="000000"/>
          <w:szCs w:val="22"/>
        </w:rPr>
      </w:pPr>
      <w:r w:rsidRPr="00962BDA">
        <w:rPr>
          <w:color w:val="000000"/>
          <w:szCs w:val="22"/>
        </w:rPr>
        <w:t xml:space="preserve">During the double-blind phase the </w:t>
      </w:r>
      <w:r w:rsidR="00B923D4">
        <w:rPr>
          <w:color w:val="000000"/>
          <w:szCs w:val="22"/>
        </w:rPr>
        <w:t xml:space="preserve">mean NRS scores for </w:t>
      </w:r>
      <w:r w:rsidRPr="00962BDA">
        <w:rPr>
          <w:color w:val="000000"/>
          <w:szCs w:val="22"/>
        </w:rPr>
        <w:t xml:space="preserve">patients receiving </w:t>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generally </w:t>
      </w:r>
      <w:r w:rsidR="00B923D4">
        <w:rPr>
          <w:color w:val="000000"/>
          <w:szCs w:val="22"/>
        </w:rPr>
        <w:t>remained stable</w:t>
      </w:r>
      <w:r w:rsidRPr="00962BDA">
        <w:rPr>
          <w:color w:val="000000"/>
          <w:szCs w:val="22"/>
        </w:rPr>
        <w:t xml:space="preserve"> (mean change from randomisation in NRS score -0.19), while the </w:t>
      </w:r>
      <w:r w:rsidR="00B923D4">
        <w:rPr>
          <w:color w:val="000000"/>
          <w:szCs w:val="22"/>
        </w:rPr>
        <w:t xml:space="preserve">mean NRS score for </w:t>
      </w:r>
      <w:r w:rsidRPr="00962BDA">
        <w:rPr>
          <w:color w:val="000000"/>
          <w:szCs w:val="22"/>
        </w:rPr>
        <w:t xml:space="preserve">patients switched to placebo </w:t>
      </w:r>
      <w:r w:rsidR="00BF43EA">
        <w:rPr>
          <w:color w:val="000000"/>
          <w:szCs w:val="22"/>
        </w:rPr>
        <w:t>increased</w:t>
      </w:r>
      <w:r w:rsidRPr="00962BDA">
        <w:rPr>
          <w:color w:val="000000"/>
          <w:szCs w:val="22"/>
        </w:rPr>
        <w:t xml:space="preserve"> towards pre-treatment levels (mean change in NRS score +0.64). </w:t>
      </w:r>
      <w:r w:rsidR="00287EF9">
        <w:rPr>
          <w:color w:val="000000"/>
          <w:szCs w:val="22"/>
        </w:rPr>
        <w:t xml:space="preserve"> </w:t>
      </w:r>
      <w:r w:rsidRPr="00962BDA">
        <w:rPr>
          <w:color w:val="000000"/>
          <w:szCs w:val="22"/>
        </w:rPr>
        <w:t xml:space="preserve">The difference* between treatment groups was 0.84 (95% CI -1.29, -0.40). </w:t>
      </w:r>
      <w:r w:rsidR="00287EF9">
        <w:rPr>
          <w:color w:val="000000"/>
          <w:szCs w:val="22"/>
        </w:rPr>
        <w:t xml:space="preserve"> </w:t>
      </w:r>
    </w:p>
    <w:p w:rsidR="00BE1578" w:rsidRPr="002120BF" w:rsidRDefault="00BE1578" w:rsidP="00BE1578">
      <w:pPr>
        <w:jc w:val="both"/>
        <w:rPr>
          <w:rFonts w:cs="Arial"/>
          <w:color w:val="000000"/>
          <w:sz w:val="22"/>
          <w:szCs w:val="22"/>
        </w:rPr>
      </w:pPr>
      <w:r>
        <w:rPr>
          <w:i/>
          <w:color w:val="000000"/>
          <w:szCs w:val="22"/>
        </w:rPr>
        <w:t>(</w:t>
      </w:r>
      <w:r w:rsidR="001F23E5" w:rsidRPr="00287EF9">
        <w:rPr>
          <w:i/>
          <w:color w:val="000000"/>
          <w:szCs w:val="22"/>
        </w:rPr>
        <w:t>* Difference adjusted for centre, baseline NRS and ambulatory status</w:t>
      </w:r>
      <w:r>
        <w:rPr>
          <w:i/>
          <w:color w:val="000000"/>
          <w:szCs w:val="22"/>
        </w:rPr>
        <w:t>).</w:t>
      </w:r>
      <w:r w:rsidRPr="00BE1578">
        <w:rPr>
          <w:rFonts w:cs="Arial"/>
          <w:color w:val="000000"/>
          <w:sz w:val="22"/>
          <w:szCs w:val="22"/>
        </w:rPr>
        <w:t xml:space="preserve"> </w:t>
      </w:r>
      <w:r w:rsidR="009D1974">
        <w:rPr>
          <w:rFonts w:cs="Arial"/>
          <w:color w:val="000000"/>
          <w:sz w:val="22"/>
          <w:szCs w:val="22"/>
        </w:rPr>
        <w:t xml:space="preserve"> </w:t>
      </w:r>
      <w:r w:rsidRPr="00BE1578">
        <w:rPr>
          <w:rFonts w:cs="Arial"/>
          <w:color w:val="000000"/>
        </w:rPr>
        <w:t>Thus, the</w:t>
      </w:r>
      <w:r w:rsidRPr="00BE1578">
        <w:t xml:space="preserve"> primary outcome measure was highly statistically significantly in favour of </w:t>
      </w:r>
      <w:proofErr w:type="spellStart"/>
      <w:r w:rsidRPr="00BE1578">
        <w:t>Sativex</w:t>
      </w:r>
      <w:proofErr w:type="spellEnd"/>
      <w:r w:rsidRPr="00BE1578">
        <w:t xml:space="preserve"> (p=0.0002).</w:t>
      </w:r>
      <w:r w:rsidRPr="002120BF">
        <w:rPr>
          <w:sz w:val="22"/>
          <w:szCs w:val="22"/>
        </w:rPr>
        <w:t xml:space="preserve"> </w:t>
      </w:r>
      <w:r w:rsidRPr="002120BF">
        <w:rPr>
          <w:rFonts w:cs="Arial"/>
          <w:color w:val="000000"/>
          <w:sz w:val="22"/>
          <w:szCs w:val="22"/>
        </w:rPr>
        <w:t xml:space="preserve"> </w:t>
      </w:r>
    </w:p>
    <w:p w:rsidR="007653B9" w:rsidRDefault="001F23E5" w:rsidP="00F17C1A">
      <w:pPr>
        <w:jc w:val="both"/>
        <w:rPr>
          <w:color w:val="000000"/>
          <w:szCs w:val="22"/>
        </w:rPr>
      </w:pPr>
      <w:r w:rsidRPr="00962BDA">
        <w:rPr>
          <w:color w:val="000000"/>
          <w:szCs w:val="22"/>
        </w:rPr>
        <w:lastRenderedPageBreak/>
        <w:t xml:space="preserve">Of those patients who had </w:t>
      </w:r>
      <w:r w:rsidR="00D576FF">
        <w:rPr>
          <w:color w:val="000000"/>
          <w:szCs w:val="22"/>
        </w:rPr>
        <w:t xml:space="preserve">at least </w:t>
      </w:r>
      <w:r w:rsidRPr="00962BDA">
        <w:rPr>
          <w:color w:val="000000"/>
          <w:szCs w:val="22"/>
        </w:rPr>
        <w:t xml:space="preserve">a 20% reduction from screening in NRS </w:t>
      </w:r>
      <w:r w:rsidR="00D576FF">
        <w:rPr>
          <w:color w:val="000000"/>
          <w:szCs w:val="22"/>
        </w:rPr>
        <w:t xml:space="preserve">spasticity </w:t>
      </w:r>
      <w:r w:rsidRPr="00962BDA">
        <w:rPr>
          <w:color w:val="000000"/>
          <w:szCs w:val="22"/>
        </w:rPr>
        <w:t xml:space="preserve">score at week 4 and </w:t>
      </w:r>
      <w:r w:rsidR="00287EF9">
        <w:rPr>
          <w:color w:val="000000"/>
          <w:szCs w:val="22"/>
        </w:rPr>
        <w:t xml:space="preserve">who </w:t>
      </w:r>
      <w:r w:rsidRPr="00962BDA">
        <w:rPr>
          <w:color w:val="000000"/>
          <w:szCs w:val="22"/>
        </w:rPr>
        <w:t>continued in the trial to receive randomised treatment, 74% (</w:t>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and 51% (placebo) achieved a 30% reduction at week 16. </w:t>
      </w:r>
      <w:r w:rsidR="00287EF9">
        <w:rPr>
          <w:color w:val="000000"/>
          <w:szCs w:val="22"/>
        </w:rPr>
        <w:t xml:space="preserve"> </w:t>
      </w:r>
      <w:r w:rsidR="00884647">
        <w:rPr>
          <w:color w:val="000000"/>
          <w:szCs w:val="22"/>
        </w:rPr>
        <w:t>Thus</w:t>
      </w:r>
      <w:r w:rsidR="00D576FF" w:rsidRPr="00D576FF">
        <w:rPr>
          <w:color w:val="000000"/>
          <w:szCs w:val="22"/>
        </w:rPr>
        <w:t xml:space="preserve">, the </w:t>
      </w:r>
      <w:proofErr w:type="gramStart"/>
      <w:r w:rsidR="00D576FF" w:rsidRPr="00D576FF">
        <w:rPr>
          <w:color w:val="000000"/>
          <w:szCs w:val="22"/>
        </w:rPr>
        <w:t>attributable</w:t>
      </w:r>
      <w:proofErr w:type="gramEnd"/>
      <w:r w:rsidR="00D576FF" w:rsidRPr="00D576FF">
        <w:rPr>
          <w:color w:val="000000"/>
          <w:szCs w:val="22"/>
        </w:rPr>
        <w:t xml:space="preserve"> response rate was 23% in the randomised </w:t>
      </w:r>
      <w:r w:rsidR="006370EC">
        <w:rPr>
          <w:color w:val="000000"/>
          <w:szCs w:val="22"/>
        </w:rPr>
        <w:t>cohort</w:t>
      </w:r>
      <w:r w:rsidR="00897710">
        <w:rPr>
          <w:color w:val="000000"/>
          <w:szCs w:val="22"/>
        </w:rPr>
        <w:t xml:space="preserve"> </w:t>
      </w:r>
      <w:r w:rsidR="00876985">
        <w:rPr>
          <w:color w:val="000000"/>
          <w:szCs w:val="22"/>
        </w:rPr>
        <w:t>(</w:t>
      </w:r>
      <w:r w:rsidR="00897710">
        <w:rPr>
          <w:color w:val="000000"/>
          <w:szCs w:val="22"/>
        </w:rPr>
        <w:t>which equates to around 10% of the original cohort</w:t>
      </w:r>
      <w:r w:rsidR="00876985">
        <w:rPr>
          <w:color w:val="000000"/>
          <w:szCs w:val="22"/>
        </w:rPr>
        <w:t>)</w:t>
      </w:r>
      <w:r w:rsidR="00D576FF" w:rsidRPr="00D576FF">
        <w:rPr>
          <w:color w:val="000000"/>
          <w:szCs w:val="22"/>
        </w:rPr>
        <w:t>.</w:t>
      </w:r>
    </w:p>
    <w:p w:rsidR="001F23E5" w:rsidRPr="00962BDA" w:rsidRDefault="001F23E5" w:rsidP="00F17C1A">
      <w:pPr>
        <w:jc w:val="both"/>
        <w:rPr>
          <w:color w:val="000000"/>
          <w:szCs w:val="22"/>
        </w:rPr>
      </w:pPr>
      <w:r w:rsidRPr="00962BDA">
        <w:rPr>
          <w:color w:val="000000"/>
          <w:szCs w:val="22"/>
        </w:rPr>
        <w:t xml:space="preserve">The results over the 12-week randomised phase are shown below for the secondary endpoints. </w:t>
      </w:r>
      <w:r w:rsidR="00287EF9">
        <w:rPr>
          <w:color w:val="000000"/>
          <w:szCs w:val="22"/>
        </w:rPr>
        <w:t xml:space="preserve"> </w:t>
      </w:r>
      <w:r w:rsidRPr="00962BDA">
        <w:rPr>
          <w:color w:val="000000"/>
          <w:szCs w:val="22"/>
        </w:rPr>
        <w:t xml:space="preserve">The majority of secondary endpoints showed a similar pattern to the NRS score, with patients who continued to receive </w:t>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maintaining the improvement seen from the initial 4-week treatment period, while patients switching to placebo begin to decline back to pre-treatment levels</w:t>
      </w:r>
      <w:r w:rsidR="00287EF9">
        <w:rPr>
          <w:color w:val="000000"/>
          <w:szCs w:val="22"/>
        </w:rPr>
        <w:t>.</w:t>
      </w:r>
    </w:p>
    <w:p w:rsidR="001F23E5" w:rsidRPr="00962BDA" w:rsidRDefault="001F23E5" w:rsidP="00F17C1A">
      <w:pPr>
        <w:ind w:left="3481" w:hanging="3481"/>
        <w:rPr>
          <w:color w:val="000000"/>
          <w:szCs w:val="22"/>
        </w:rPr>
      </w:pPr>
      <w:r w:rsidRPr="00962BDA">
        <w:rPr>
          <w:color w:val="000000"/>
          <w:szCs w:val="22"/>
        </w:rPr>
        <w:t xml:space="preserve">Modified Ashworth Score: </w:t>
      </w:r>
      <w:r w:rsidRPr="00962BDA">
        <w:rPr>
          <w:color w:val="000000"/>
          <w:szCs w:val="22"/>
        </w:rPr>
        <w:tab/>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w:t>
      </w:r>
      <w:proofErr w:type="gramStart"/>
      <w:r w:rsidRPr="00962BDA">
        <w:rPr>
          <w:color w:val="000000"/>
          <w:szCs w:val="22"/>
        </w:rPr>
        <w:t>0.1 ;</w:t>
      </w:r>
      <w:proofErr w:type="gramEnd"/>
      <w:r w:rsidRPr="00962BDA">
        <w:rPr>
          <w:color w:val="000000"/>
          <w:szCs w:val="22"/>
        </w:rPr>
        <w:t xml:space="preserve"> Placebo  +1.8 ; </w:t>
      </w:r>
    </w:p>
    <w:p w:rsidR="001F23E5" w:rsidRPr="00962BDA" w:rsidRDefault="001F23E5" w:rsidP="00F17C1A">
      <w:pPr>
        <w:ind w:left="3481" w:hanging="3481"/>
        <w:rPr>
          <w:color w:val="000000"/>
          <w:szCs w:val="22"/>
        </w:rPr>
      </w:pPr>
      <w:r w:rsidRPr="00962BDA">
        <w:rPr>
          <w:color w:val="000000"/>
          <w:szCs w:val="22"/>
        </w:rPr>
        <w:tab/>
        <w:t xml:space="preserve">Adjusted </w:t>
      </w:r>
      <w:proofErr w:type="gramStart"/>
      <w:r w:rsidRPr="00962BDA">
        <w:rPr>
          <w:color w:val="000000"/>
          <w:szCs w:val="22"/>
        </w:rPr>
        <w:t>Difference  -</w:t>
      </w:r>
      <w:proofErr w:type="gramEnd"/>
      <w:r w:rsidRPr="00962BDA">
        <w:rPr>
          <w:color w:val="000000"/>
          <w:szCs w:val="22"/>
        </w:rPr>
        <w:t>1.75 (95% CI -3.80, 0.30)</w:t>
      </w:r>
    </w:p>
    <w:p w:rsidR="001F23E5" w:rsidRPr="00962BDA" w:rsidRDefault="001F23E5" w:rsidP="00F17C1A">
      <w:pPr>
        <w:ind w:left="3481" w:hanging="3481"/>
        <w:rPr>
          <w:color w:val="000000"/>
          <w:szCs w:val="22"/>
        </w:rPr>
      </w:pPr>
      <w:r w:rsidRPr="00962BDA">
        <w:rPr>
          <w:color w:val="000000"/>
          <w:szCs w:val="22"/>
        </w:rPr>
        <w:t xml:space="preserve">Spasm frequency (per day): </w:t>
      </w:r>
      <w:r w:rsidRPr="00962BDA">
        <w:rPr>
          <w:color w:val="000000"/>
          <w:szCs w:val="22"/>
        </w:rPr>
        <w:tab/>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w:t>
      </w:r>
      <w:proofErr w:type="gramStart"/>
      <w:r w:rsidRPr="00962BDA">
        <w:rPr>
          <w:color w:val="000000"/>
          <w:szCs w:val="22"/>
        </w:rPr>
        <w:t>0.05 ;</w:t>
      </w:r>
      <w:proofErr w:type="gramEnd"/>
      <w:r w:rsidRPr="00962BDA">
        <w:rPr>
          <w:color w:val="000000"/>
          <w:szCs w:val="22"/>
        </w:rPr>
        <w:t xml:space="preserve"> Placebo +2.41</w:t>
      </w:r>
    </w:p>
    <w:p w:rsidR="001F23E5" w:rsidRPr="00962BDA" w:rsidRDefault="001F23E5" w:rsidP="00F17C1A">
      <w:pPr>
        <w:ind w:left="3481" w:hanging="3481"/>
        <w:rPr>
          <w:color w:val="000000"/>
          <w:szCs w:val="22"/>
        </w:rPr>
      </w:pPr>
      <w:r w:rsidRPr="00962BDA">
        <w:rPr>
          <w:color w:val="000000"/>
          <w:szCs w:val="22"/>
        </w:rPr>
        <w:tab/>
        <w:t xml:space="preserve">Adjusted </w:t>
      </w:r>
      <w:proofErr w:type="gramStart"/>
      <w:r w:rsidRPr="00962BDA">
        <w:rPr>
          <w:color w:val="000000"/>
          <w:szCs w:val="22"/>
        </w:rPr>
        <w:t>Difference  -</w:t>
      </w:r>
      <w:proofErr w:type="gramEnd"/>
      <w:r w:rsidRPr="00962BDA">
        <w:rPr>
          <w:color w:val="000000"/>
          <w:szCs w:val="22"/>
        </w:rPr>
        <w:t>2.53 (95% CI -4.27, -0.79)</w:t>
      </w:r>
    </w:p>
    <w:p w:rsidR="001F23E5" w:rsidRPr="00962BDA" w:rsidRDefault="001F23E5" w:rsidP="00F17C1A">
      <w:pPr>
        <w:ind w:left="3481" w:hanging="3481"/>
        <w:rPr>
          <w:color w:val="000000"/>
          <w:szCs w:val="22"/>
        </w:rPr>
      </w:pPr>
      <w:r w:rsidRPr="00962BDA">
        <w:rPr>
          <w:color w:val="000000"/>
          <w:szCs w:val="22"/>
        </w:rPr>
        <w:t xml:space="preserve">Sleep disruption by spasticity: </w:t>
      </w:r>
      <w:r w:rsidRPr="00962BDA">
        <w:rPr>
          <w:color w:val="000000"/>
          <w:szCs w:val="22"/>
        </w:rPr>
        <w:tab/>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w:t>
      </w:r>
      <w:proofErr w:type="gramStart"/>
      <w:r w:rsidRPr="00962BDA">
        <w:rPr>
          <w:color w:val="000000"/>
          <w:szCs w:val="22"/>
        </w:rPr>
        <w:t>0.25 ;</w:t>
      </w:r>
      <w:proofErr w:type="gramEnd"/>
      <w:r w:rsidRPr="00962BDA">
        <w:rPr>
          <w:color w:val="000000"/>
          <w:szCs w:val="22"/>
        </w:rPr>
        <w:t xml:space="preserve"> Placebo  +0.59 ; </w:t>
      </w:r>
    </w:p>
    <w:p w:rsidR="001F23E5" w:rsidRPr="00962BDA" w:rsidRDefault="001F23E5" w:rsidP="00F17C1A">
      <w:pPr>
        <w:ind w:left="3481" w:hanging="3481"/>
        <w:rPr>
          <w:color w:val="000000"/>
          <w:szCs w:val="22"/>
        </w:rPr>
      </w:pPr>
      <w:r w:rsidRPr="00962BDA">
        <w:rPr>
          <w:color w:val="000000"/>
          <w:szCs w:val="22"/>
        </w:rPr>
        <w:t>(0 to 10 NRS)</w:t>
      </w:r>
      <w:r w:rsidRPr="00962BDA">
        <w:rPr>
          <w:color w:val="000000"/>
          <w:szCs w:val="22"/>
        </w:rPr>
        <w:tab/>
        <w:t>Adjusted Difference -0.88 (95% CI -1.25, -0.51)</w:t>
      </w:r>
    </w:p>
    <w:p w:rsidR="001F23E5" w:rsidRPr="00962BDA" w:rsidRDefault="001F23E5" w:rsidP="00F17C1A">
      <w:pPr>
        <w:ind w:left="3481" w:hanging="3481"/>
        <w:rPr>
          <w:color w:val="000000"/>
          <w:szCs w:val="22"/>
        </w:rPr>
      </w:pPr>
      <w:r w:rsidRPr="00962BDA">
        <w:rPr>
          <w:color w:val="000000"/>
          <w:szCs w:val="22"/>
        </w:rPr>
        <w:t xml:space="preserve">Timed 10 metre </w:t>
      </w:r>
      <w:proofErr w:type="gramStart"/>
      <w:r w:rsidRPr="00962BDA">
        <w:rPr>
          <w:color w:val="000000"/>
          <w:szCs w:val="22"/>
        </w:rPr>
        <w:t>walk</w:t>
      </w:r>
      <w:proofErr w:type="gramEnd"/>
      <w:r w:rsidRPr="00962BDA">
        <w:rPr>
          <w:color w:val="000000"/>
          <w:szCs w:val="22"/>
        </w:rPr>
        <w:t xml:space="preserve"> (seconds): </w:t>
      </w:r>
      <w:r w:rsidRPr="00962BDA">
        <w:rPr>
          <w:color w:val="000000"/>
          <w:szCs w:val="22"/>
        </w:rPr>
        <w:tab/>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-2.3; Placebo +2.0; </w:t>
      </w:r>
    </w:p>
    <w:p w:rsidR="001F23E5" w:rsidRPr="00962BDA" w:rsidRDefault="001F23E5" w:rsidP="00F17C1A">
      <w:pPr>
        <w:ind w:left="3481" w:hanging="3481"/>
        <w:rPr>
          <w:color w:val="000000"/>
          <w:szCs w:val="22"/>
        </w:rPr>
      </w:pPr>
      <w:r w:rsidRPr="00962BDA">
        <w:rPr>
          <w:color w:val="000000"/>
          <w:szCs w:val="22"/>
        </w:rPr>
        <w:tab/>
        <w:t>Adjusted Difference -3.34 (95% CI -6.96, 0.26)</w:t>
      </w:r>
    </w:p>
    <w:p w:rsidR="001F23E5" w:rsidRPr="00962BDA" w:rsidRDefault="001F23E5" w:rsidP="00F17C1A">
      <w:pPr>
        <w:ind w:left="3481" w:hanging="3481"/>
        <w:rPr>
          <w:color w:val="000000"/>
          <w:szCs w:val="22"/>
        </w:rPr>
      </w:pPr>
      <w:proofErr w:type="spellStart"/>
      <w:r w:rsidRPr="00962BDA">
        <w:rPr>
          <w:color w:val="000000"/>
          <w:szCs w:val="22"/>
        </w:rPr>
        <w:t>Motricity</w:t>
      </w:r>
      <w:proofErr w:type="spellEnd"/>
      <w:r w:rsidRPr="00962BDA">
        <w:rPr>
          <w:color w:val="000000"/>
          <w:szCs w:val="22"/>
        </w:rPr>
        <w:t xml:space="preserve"> index (arm and leg): </w:t>
      </w:r>
      <w:r w:rsidRPr="00962BDA">
        <w:rPr>
          <w:color w:val="000000"/>
          <w:szCs w:val="22"/>
        </w:rPr>
        <w:tab/>
        <w:t>No differences between treatment groups were seen.</w:t>
      </w:r>
    </w:p>
    <w:p w:rsidR="001F23E5" w:rsidRPr="00962BDA" w:rsidRDefault="001F23E5" w:rsidP="00F17C1A">
      <w:pPr>
        <w:ind w:left="3481" w:hanging="3481"/>
        <w:rPr>
          <w:color w:val="000000"/>
          <w:szCs w:val="22"/>
        </w:rPr>
      </w:pPr>
      <w:proofErr w:type="spellStart"/>
      <w:r w:rsidRPr="00962BDA">
        <w:rPr>
          <w:color w:val="000000"/>
          <w:szCs w:val="22"/>
        </w:rPr>
        <w:t>Barthel</w:t>
      </w:r>
      <w:proofErr w:type="spellEnd"/>
      <w:r w:rsidRPr="00962BDA">
        <w:rPr>
          <w:color w:val="000000"/>
          <w:szCs w:val="22"/>
        </w:rPr>
        <w:t xml:space="preserve"> Activities of Daily Living:</w:t>
      </w:r>
      <w:r w:rsidRPr="00962BDA">
        <w:rPr>
          <w:color w:val="000000"/>
          <w:szCs w:val="22"/>
        </w:rPr>
        <w:tab/>
        <w:t>Odds ratio for improvement: 2.04</w:t>
      </w:r>
    </w:p>
    <w:p w:rsidR="001F23E5" w:rsidRPr="00962BDA" w:rsidRDefault="001F23E5" w:rsidP="00F17C1A">
      <w:pPr>
        <w:jc w:val="both"/>
        <w:rPr>
          <w:color w:val="000000"/>
          <w:szCs w:val="22"/>
        </w:rPr>
      </w:pPr>
      <w:r w:rsidRPr="00962BDA">
        <w:rPr>
          <w:color w:val="000000"/>
          <w:szCs w:val="22"/>
        </w:rPr>
        <w:t>Subject global impression of change (OR</w:t>
      </w:r>
      <w:r w:rsidR="00B22048">
        <w:rPr>
          <w:color w:val="000000"/>
          <w:szCs w:val="22"/>
        </w:rPr>
        <w:t xml:space="preserve"> </w:t>
      </w:r>
      <w:r w:rsidRPr="00962BDA">
        <w:rPr>
          <w:color w:val="000000"/>
          <w:szCs w:val="22"/>
        </w:rPr>
        <w:t>=</w:t>
      </w:r>
      <w:r w:rsidR="00B22048">
        <w:rPr>
          <w:color w:val="000000"/>
          <w:szCs w:val="22"/>
        </w:rPr>
        <w:t xml:space="preserve"> </w:t>
      </w:r>
      <w:r w:rsidRPr="00962BDA">
        <w:rPr>
          <w:color w:val="000000"/>
          <w:szCs w:val="22"/>
        </w:rPr>
        <w:t>1.71), carer global impression of change (OR</w:t>
      </w:r>
      <w:r w:rsidR="00B22048">
        <w:rPr>
          <w:color w:val="000000"/>
          <w:szCs w:val="22"/>
        </w:rPr>
        <w:t xml:space="preserve"> </w:t>
      </w:r>
      <w:r w:rsidRPr="00962BDA">
        <w:rPr>
          <w:color w:val="000000"/>
          <w:szCs w:val="22"/>
        </w:rPr>
        <w:t>=</w:t>
      </w:r>
      <w:r w:rsidR="00B22048">
        <w:rPr>
          <w:color w:val="000000"/>
          <w:szCs w:val="22"/>
        </w:rPr>
        <w:t xml:space="preserve"> </w:t>
      </w:r>
      <w:r w:rsidRPr="00962BDA">
        <w:rPr>
          <w:color w:val="000000"/>
          <w:szCs w:val="22"/>
        </w:rPr>
        <w:t>2.40) and physician global impression of change (OR</w:t>
      </w:r>
      <w:r w:rsidR="00B22048">
        <w:rPr>
          <w:color w:val="000000"/>
          <w:szCs w:val="22"/>
        </w:rPr>
        <w:t xml:space="preserve"> </w:t>
      </w:r>
      <w:r w:rsidRPr="00962BDA">
        <w:rPr>
          <w:color w:val="000000"/>
          <w:szCs w:val="22"/>
        </w:rPr>
        <w:t>=</w:t>
      </w:r>
      <w:r w:rsidR="00B22048">
        <w:rPr>
          <w:color w:val="000000"/>
          <w:szCs w:val="22"/>
        </w:rPr>
        <w:t xml:space="preserve"> </w:t>
      </w:r>
      <w:r w:rsidRPr="00962BDA">
        <w:rPr>
          <w:color w:val="000000"/>
          <w:szCs w:val="22"/>
        </w:rPr>
        <w:t xml:space="preserve">1.96) all showed highly statistically significant superiority of </w:t>
      </w:r>
      <w:proofErr w:type="spellStart"/>
      <w:r w:rsidR="00C73E02">
        <w:rPr>
          <w:color w:val="000000"/>
          <w:szCs w:val="22"/>
        </w:rPr>
        <w:t>S</w:t>
      </w:r>
      <w:r w:rsidR="007653B9">
        <w:rPr>
          <w:color w:val="000000"/>
          <w:szCs w:val="22"/>
        </w:rPr>
        <w:t>ativex</w:t>
      </w:r>
      <w:proofErr w:type="spellEnd"/>
      <w:r w:rsidRPr="00962BDA">
        <w:rPr>
          <w:color w:val="000000"/>
          <w:szCs w:val="22"/>
        </w:rPr>
        <w:t xml:space="preserve"> over placebo. </w:t>
      </w:r>
    </w:p>
    <w:p w:rsidR="00BE1578" w:rsidRDefault="001F23E5" w:rsidP="00BE1578">
      <w:pPr>
        <w:jc w:val="both"/>
      </w:pPr>
      <w:r w:rsidRPr="00962BDA">
        <w:rPr>
          <w:color w:val="000000"/>
          <w:szCs w:val="22"/>
        </w:rPr>
        <w:t xml:space="preserve">The benefit of continued treatment in the long-term was </w:t>
      </w:r>
      <w:r w:rsidR="00BF43EA">
        <w:rPr>
          <w:color w:val="000000"/>
          <w:szCs w:val="22"/>
        </w:rPr>
        <w:t>studied</w:t>
      </w:r>
      <w:r w:rsidR="00BF43EA" w:rsidRPr="00962BDA">
        <w:rPr>
          <w:color w:val="000000"/>
          <w:szCs w:val="22"/>
        </w:rPr>
        <w:t xml:space="preserve"> </w:t>
      </w:r>
      <w:r w:rsidRPr="00962BDA">
        <w:rPr>
          <w:color w:val="000000"/>
          <w:szCs w:val="22"/>
        </w:rPr>
        <w:t xml:space="preserve">in a placebo controlled, parallel group, randomised withdrawal </w:t>
      </w:r>
      <w:r w:rsidR="00BF43EA">
        <w:rPr>
          <w:color w:val="000000"/>
          <w:szCs w:val="22"/>
        </w:rPr>
        <w:t>trial</w:t>
      </w:r>
      <w:r w:rsidR="00B22048">
        <w:rPr>
          <w:color w:val="000000"/>
          <w:szCs w:val="22"/>
        </w:rPr>
        <w:t>,</w:t>
      </w:r>
      <w:r w:rsidRPr="00962BDA">
        <w:rPr>
          <w:color w:val="000000"/>
          <w:szCs w:val="22"/>
        </w:rPr>
        <w:t xml:space="preserve"> in subjects taking long-term </w:t>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w:t>
      </w:r>
      <w:r w:rsidR="00B22048">
        <w:rPr>
          <w:color w:val="000000"/>
          <w:szCs w:val="22"/>
        </w:rPr>
        <w:t xml:space="preserve"> </w:t>
      </w:r>
      <w:r w:rsidR="00BF43EA">
        <w:rPr>
          <w:color w:val="000000"/>
          <w:szCs w:val="22"/>
        </w:rPr>
        <w:t>Thirty</w:t>
      </w:r>
      <w:r w:rsidR="00CC5431">
        <w:rPr>
          <w:color w:val="000000"/>
          <w:szCs w:val="22"/>
        </w:rPr>
        <w:t>-</w:t>
      </w:r>
      <w:r w:rsidR="00BF43EA">
        <w:rPr>
          <w:color w:val="000000"/>
          <w:szCs w:val="22"/>
        </w:rPr>
        <w:t>six</w:t>
      </w:r>
      <w:r w:rsidRPr="00962BDA">
        <w:rPr>
          <w:color w:val="000000"/>
          <w:szCs w:val="22"/>
        </w:rPr>
        <w:t xml:space="preserve"> patients with a mean duration of </w:t>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use prior to the trial of 3.6 years were randomised to either continue with </w:t>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treatment or switch to placebo for 28 days.  The primary endpoint was time to treatment failure, defined as the time from the first day of randomised treatment to a 20% increase in NRS or premature withdrawal from randomised treatment. </w:t>
      </w:r>
      <w:r w:rsidR="00B22048">
        <w:rPr>
          <w:color w:val="000000"/>
          <w:szCs w:val="22"/>
        </w:rPr>
        <w:t xml:space="preserve"> </w:t>
      </w:r>
      <w:r w:rsidRPr="00962BDA">
        <w:rPr>
          <w:color w:val="000000"/>
          <w:szCs w:val="22"/>
        </w:rPr>
        <w:t xml:space="preserve">Treatment failure was experienced by 44% of </w:t>
      </w:r>
      <w:proofErr w:type="spellStart"/>
      <w:r w:rsidR="00C73E02" w:rsidRPr="007653B9">
        <w:rPr>
          <w:color w:val="000000"/>
          <w:szCs w:val="22"/>
        </w:rPr>
        <w:t>S</w:t>
      </w:r>
      <w:r w:rsidR="007653B9">
        <w:rPr>
          <w:color w:val="000000"/>
          <w:szCs w:val="22"/>
        </w:rPr>
        <w:t>ativex</w:t>
      </w:r>
      <w:proofErr w:type="spellEnd"/>
      <w:r w:rsidRPr="00962BDA">
        <w:rPr>
          <w:color w:val="000000"/>
          <w:szCs w:val="22"/>
        </w:rPr>
        <w:t xml:space="preserve"> patients and 94% of placebo patients</w:t>
      </w:r>
      <w:r w:rsidR="007653B9">
        <w:rPr>
          <w:color w:val="000000"/>
          <w:szCs w:val="22"/>
        </w:rPr>
        <w:t>,</w:t>
      </w:r>
      <w:r w:rsidRPr="00962BDA">
        <w:rPr>
          <w:color w:val="000000"/>
          <w:szCs w:val="22"/>
        </w:rPr>
        <w:t xml:space="preserve"> hazard ratio 0.335 (95% CI 0.16, 0.69). </w:t>
      </w:r>
      <w:r w:rsidR="00BE1578" w:rsidRPr="00CF102D">
        <w:rPr>
          <w:rFonts w:cs="Arial"/>
          <w:color w:val="000000"/>
          <w:sz w:val="22"/>
          <w:szCs w:val="22"/>
        </w:rPr>
        <w:t xml:space="preserve"> </w:t>
      </w:r>
      <w:r w:rsidR="00BE1578" w:rsidRPr="00BE1578">
        <w:t xml:space="preserve">The primary efficacy endpoint was significantly in favour of </w:t>
      </w:r>
      <w:proofErr w:type="spellStart"/>
      <w:r w:rsidR="00BE1578" w:rsidRPr="00BE1578">
        <w:t>Sativex</w:t>
      </w:r>
      <w:proofErr w:type="spellEnd"/>
      <w:r w:rsidR="00BE1578" w:rsidRPr="00BE1578">
        <w:t xml:space="preserve"> (p=0.013).</w:t>
      </w:r>
      <w:r w:rsidR="004A11EA">
        <w:t xml:space="preserve"> </w:t>
      </w:r>
      <w:r w:rsidR="004A11EA" w:rsidRPr="004A11EA">
        <w:t xml:space="preserve">It is possible that some treatment failures on placebo could have reflected temporary factors associated with drug withdrawal. It is not known whether such patients would have improved again if they had remained off </w:t>
      </w:r>
      <w:proofErr w:type="spellStart"/>
      <w:r w:rsidR="004A11EA" w:rsidRPr="004A11EA">
        <w:t>Sativex</w:t>
      </w:r>
      <w:proofErr w:type="spellEnd"/>
      <w:r w:rsidR="004A11EA" w:rsidRPr="004A11EA">
        <w:t>.</w:t>
      </w:r>
    </w:p>
    <w:p w:rsidR="00053A2D" w:rsidRDefault="003916D7" w:rsidP="00053A2D">
      <w:pPr>
        <w:pStyle w:val="Heading1"/>
      </w:pPr>
      <w:r>
        <w:lastRenderedPageBreak/>
        <w:t>INDICATIONS</w:t>
      </w:r>
    </w:p>
    <w:p w:rsidR="00D24151" w:rsidRPr="00962BDA" w:rsidRDefault="00C73E02" w:rsidP="00F17C1A">
      <w:pPr>
        <w:jc w:val="both"/>
        <w:rPr>
          <w:strike/>
          <w:szCs w:val="22"/>
        </w:rPr>
      </w:pPr>
      <w:proofErr w:type="spellStart"/>
      <w:r w:rsidRPr="007653B9">
        <w:rPr>
          <w:color w:val="000000"/>
          <w:szCs w:val="22"/>
        </w:rPr>
        <w:t>S</w:t>
      </w:r>
      <w:r w:rsidR="007653B9">
        <w:rPr>
          <w:color w:val="000000"/>
          <w:szCs w:val="22"/>
        </w:rPr>
        <w:t>ativex</w:t>
      </w:r>
      <w:proofErr w:type="spellEnd"/>
      <w:r w:rsidR="00D24151" w:rsidRPr="00962BDA">
        <w:rPr>
          <w:color w:val="000000"/>
          <w:szCs w:val="22"/>
        </w:rPr>
        <w:t xml:space="preserve"> </w:t>
      </w:r>
      <w:r w:rsidR="00D24151" w:rsidRPr="00962BDA">
        <w:rPr>
          <w:szCs w:val="22"/>
        </w:rPr>
        <w:t xml:space="preserve">is indicated as treatment, for </w:t>
      </w:r>
      <w:r w:rsidR="00D24151" w:rsidRPr="00962BDA">
        <w:rPr>
          <w:color w:val="000000"/>
          <w:szCs w:val="22"/>
        </w:rPr>
        <w:t>symptom improvement in patients with moderate to severe spasticity due to</w:t>
      </w:r>
      <w:r w:rsidR="00D24151" w:rsidRPr="00962BDA">
        <w:rPr>
          <w:szCs w:val="22"/>
        </w:rPr>
        <w:t xml:space="preserve"> multiple sclerosis (MS) who have not responded adequately to other anti-spasticity medication and who demonstrate </w:t>
      </w:r>
      <w:r w:rsidR="00D24151" w:rsidRPr="00962BDA">
        <w:rPr>
          <w:color w:val="000000"/>
          <w:szCs w:val="22"/>
        </w:rPr>
        <w:t xml:space="preserve">clinically significant improvement </w:t>
      </w:r>
      <w:r w:rsidR="00D24151" w:rsidRPr="00962BDA">
        <w:rPr>
          <w:iCs/>
          <w:color w:val="000000"/>
        </w:rPr>
        <w:t>in spasticity related symptoms</w:t>
      </w:r>
      <w:r w:rsidR="00D24151" w:rsidRPr="00962BDA">
        <w:rPr>
          <w:b/>
          <w:iCs/>
          <w:color w:val="000000"/>
        </w:rPr>
        <w:t xml:space="preserve"> </w:t>
      </w:r>
      <w:r w:rsidR="00D24151" w:rsidRPr="00962BDA">
        <w:rPr>
          <w:color w:val="000000"/>
          <w:szCs w:val="22"/>
        </w:rPr>
        <w:t xml:space="preserve">during an initial trial of therapy. </w:t>
      </w:r>
    </w:p>
    <w:p w:rsidR="00053A2D" w:rsidRDefault="003916D7" w:rsidP="00053A2D">
      <w:pPr>
        <w:pStyle w:val="Heading1"/>
      </w:pPr>
      <w:r>
        <w:t>CONTRAINDICATIONS</w:t>
      </w:r>
    </w:p>
    <w:p w:rsidR="00617924" w:rsidRPr="008B71C9" w:rsidRDefault="00C73E02" w:rsidP="00F17C1A">
      <w:pPr>
        <w:jc w:val="both"/>
      </w:pPr>
      <w:proofErr w:type="spellStart"/>
      <w:r w:rsidRPr="007653B9">
        <w:t>S</w:t>
      </w:r>
      <w:r w:rsidR="007653B9">
        <w:t>ativex</w:t>
      </w:r>
      <w:proofErr w:type="spellEnd"/>
      <w:r w:rsidR="00617924" w:rsidRPr="008B71C9">
        <w:t xml:space="preserve"> is contraindicated in patients:</w:t>
      </w:r>
    </w:p>
    <w:p w:rsidR="00617924" w:rsidRDefault="00617924" w:rsidP="00F17C1A">
      <w:pPr>
        <w:numPr>
          <w:ilvl w:val="0"/>
          <w:numId w:val="15"/>
        </w:numPr>
        <w:tabs>
          <w:tab w:val="left" w:pos="567"/>
        </w:tabs>
        <w:jc w:val="both"/>
      </w:pPr>
      <w:r w:rsidRPr="008B71C9">
        <w:t xml:space="preserve">With hypersensitivity to </w:t>
      </w:r>
      <w:proofErr w:type="spellStart"/>
      <w:r w:rsidRPr="008B71C9">
        <w:t>cannabinoids</w:t>
      </w:r>
      <w:proofErr w:type="spellEnd"/>
      <w:r w:rsidRPr="008B71C9">
        <w:t xml:space="preserve"> or to any of the </w:t>
      </w:r>
      <w:proofErr w:type="spellStart"/>
      <w:r w:rsidRPr="008B71C9">
        <w:t>excipients</w:t>
      </w:r>
      <w:proofErr w:type="spellEnd"/>
      <w:r w:rsidRPr="008B71C9">
        <w:t>.</w:t>
      </w:r>
      <w:r w:rsidR="00C36FAF">
        <w:t xml:space="preserve"> </w:t>
      </w:r>
    </w:p>
    <w:p w:rsidR="00617924" w:rsidRPr="008B71C9" w:rsidRDefault="00617924" w:rsidP="00F17C1A">
      <w:pPr>
        <w:numPr>
          <w:ilvl w:val="0"/>
          <w:numId w:val="15"/>
        </w:numPr>
        <w:tabs>
          <w:tab w:val="clear" w:pos="720"/>
          <w:tab w:val="num" w:pos="567"/>
        </w:tabs>
        <w:jc w:val="both"/>
      </w:pPr>
      <w:r w:rsidRPr="008B71C9">
        <w:t>With any known or suspected history or family history of schizophrenia, or other psychotic illness; history of severe personality disorder or other significant psychiatric disorder other than depression associated with their underlying condition.</w:t>
      </w:r>
    </w:p>
    <w:p w:rsidR="00617924" w:rsidRPr="008B71C9" w:rsidRDefault="00617924" w:rsidP="00F17C1A">
      <w:pPr>
        <w:numPr>
          <w:ilvl w:val="0"/>
          <w:numId w:val="16"/>
        </w:numPr>
        <w:tabs>
          <w:tab w:val="left" w:pos="567"/>
        </w:tabs>
        <w:jc w:val="both"/>
      </w:pPr>
      <w:r>
        <w:t xml:space="preserve">Who </w:t>
      </w:r>
      <w:proofErr w:type="gramStart"/>
      <w:r>
        <w:t>are</w:t>
      </w:r>
      <w:proofErr w:type="gramEnd"/>
      <w:r>
        <w:t xml:space="preserve"> breast feeding</w:t>
      </w:r>
      <w:r w:rsidRPr="008B71C9">
        <w:t xml:space="preserve"> (in view of the</w:t>
      </w:r>
      <w:r w:rsidRPr="00962BDA">
        <w:t xml:space="preserve"> </w:t>
      </w:r>
      <w:r w:rsidRPr="008B71C9">
        <w:t xml:space="preserve">considerable levels of </w:t>
      </w:r>
      <w:proofErr w:type="spellStart"/>
      <w:r w:rsidRPr="008B71C9">
        <w:t>cannabinoids</w:t>
      </w:r>
      <w:proofErr w:type="spellEnd"/>
      <w:r>
        <w:t xml:space="preserve"> </w:t>
      </w:r>
      <w:r w:rsidRPr="00962BDA">
        <w:t>likely</w:t>
      </w:r>
      <w:r w:rsidRPr="008B71C9">
        <w:t xml:space="preserve"> in maternal breast milk and the potential adverse developmental effects in infants</w:t>
      </w:r>
      <w:r>
        <w:t>.</w:t>
      </w:r>
      <w:r w:rsidR="00F238F7">
        <w:t xml:space="preserve">  See PRECAUTIONS – </w:t>
      </w:r>
      <w:r w:rsidR="00C40EF1">
        <w:t>Use in Lactation</w:t>
      </w:r>
      <w:r w:rsidR="00F238F7">
        <w:t>).</w:t>
      </w:r>
    </w:p>
    <w:p w:rsidR="00053A2D" w:rsidRDefault="003916D7" w:rsidP="00053A2D">
      <w:pPr>
        <w:pStyle w:val="Heading1"/>
        <w:rPr>
          <w:rFonts w:cs="Symbol"/>
          <w:szCs w:val="24"/>
          <w:lang w:val="en-CA"/>
        </w:rPr>
      </w:pPr>
      <w:r>
        <w:t>PRECAUTIONS</w:t>
      </w:r>
    </w:p>
    <w:p w:rsidR="009025F6" w:rsidRDefault="009025F6" w:rsidP="00F17C1A">
      <w:pPr>
        <w:jc w:val="both"/>
        <w:rPr>
          <w:color w:val="000000"/>
          <w:szCs w:val="22"/>
        </w:rPr>
      </w:pPr>
      <w:r w:rsidRPr="009025F6">
        <w:rPr>
          <w:color w:val="000000"/>
          <w:szCs w:val="22"/>
        </w:rPr>
        <w:t xml:space="preserve">Individual response to </w:t>
      </w:r>
      <w:proofErr w:type="spellStart"/>
      <w:r w:rsidRPr="009025F6">
        <w:rPr>
          <w:color w:val="000000"/>
          <w:szCs w:val="22"/>
        </w:rPr>
        <w:t>Sativex</w:t>
      </w:r>
      <w:proofErr w:type="spellEnd"/>
      <w:r w:rsidRPr="009025F6">
        <w:rPr>
          <w:color w:val="000000"/>
          <w:szCs w:val="22"/>
        </w:rPr>
        <w:t xml:space="preserve"> varies widely and patients being considered for treatment with </w:t>
      </w:r>
      <w:proofErr w:type="spellStart"/>
      <w:r w:rsidRPr="009025F6">
        <w:rPr>
          <w:color w:val="000000"/>
          <w:szCs w:val="22"/>
          <w:lang w:val="en-US"/>
        </w:rPr>
        <w:t>Sativex</w:t>
      </w:r>
      <w:proofErr w:type="spellEnd"/>
      <w:r w:rsidRPr="009025F6">
        <w:rPr>
          <w:color w:val="000000"/>
          <w:szCs w:val="22"/>
          <w:lang w:val="en-US"/>
        </w:rPr>
        <w:t xml:space="preserve"> </w:t>
      </w:r>
      <w:r w:rsidRPr="009025F6">
        <w:rPr>
          <w:color w:val="000000"/>
          <w:szCs w:val="22"/>
        </w:rPr>
        <w:t xml:space="preserve">should therefore be assessed by a neurologist or rehabilitation physician. Patients who then commence a trial of </w:t>
      </w:r>
      <w:proofErr w:type="spellStart"/>
      <w:r w:rsidRPr="009025F6">
        <w:rPr>
          <w:color w:val="000000"/>
          <w:szCs w:val="22"/>
          <w:lang w:val="en-US"/>
        </w:rPr>
        <w:t>Sativex</w:t>
      </w:r>
      <w:proofErr w:type="spellEnd"/>
      <w:r w:rsidRPr="009025F6">
        <w:rPr>
          <w:color w:val="000000"/>
          <w:szCs w:val="22"/>
          <w:lang w:val="en-US"/>
        </w:rPr>
        <w:t xml:space="preserve"> </w:t>
      </w:r>
      <w:r w:rsidRPr="009025F6">
        <w:rPr>
          <w:color w:val="000000"/>
          <w:szCs w:val="22"/>
        </w:rPr>
        <w:t xml:space="preserve">should be reassessed by a neurologist or rehabilitation physician after 4 weeks of treatment.  Patients who do not show a clinically significant improvement in spasticity on reassessment should not continue </w:t>
      </w:r>
      <w:proofErr w:type="spellStart"/>
      <w:r w:rsidRPr="009025F6">
        <w:rPr>
          <w:color w:val="000000"/>
          <w:szCs w:val="22"/>
          <w:lang w:val="en-US"/>
        </w:rPr>
        <w:t>Sativex</w:t>
      </w:r>
      <w:proofErr w:type="spellEnd"/>
      <w:r w:rsidRPr="009025F6">
        <w:rPr>
          <w:color w:val="000000"/>
          <w:szCs w:val="22"/>
        </w:rPr>
        <w:t>.</w:t>
      </w:r>
    </w:p>
    <w:p w:rsidR="00356045" w:rsidRDefault="00356045" w:rsidP="00F17C1A">
      <w:pPr>
        <w:jc w:val="both"/>
        <w:rPr>
          <w:color w:val="000000"/>
          <w:szCs w:val="22"/>
        </w:rPr>
      </w:pPr>
      <w:r w:rsidRPr="008B71C9">
        <w:rPr>
          <w:color w:val="000000"/>
          <w:szCs w:val="22"/>
        </w:rPr>
        <w:t xml:space="preserve">Mild or moderate dizziness is commonly reported.  This most frequently occurs in the first few weeks of treatment. </w:t>
      </w:r>
    </w:p>
    <w:p w:rsidR="00385BCA" w:rsidRPr="00385BCA" w:rsidRDefault="00385BCA" w:rsidP="00385BCA">
      <w:pPr>
        <w:jc w:val="both"/>
        <w:rPr>
          <w:color w:val="000000"/>
          <w:szCs w:val="22"/>
          <w:lang w:val="en-US"/>
        </w:rPr>
      </w:pPr>
      <w:proofErr w:type="spellStart"/>
      <w:r w:rsidRPr="00385BCA">
        <w:rPr>
          <w:color w:val="000000"/>
          <w:szCs w:val="22"/>
          <w:lang w:val="en-US"/>
        </w:rPr>
        <w:t>Sativex</w:t>
      </w:r>
      <w:proofErr w:type="spellEnd"/>
      <w:r w:rsidRPr="00385BCA">
        <w:rPr>
          <w:color w:val="000000"/>
          <w:szCs w:val="22"/>
          <w:lang w:val="en-US"/>
        </w:rPr>
        <w:t xml:space="preserve"> is not recommended for use in children or adolescents below 18 years of age due to lack of safety and efficacy data. </w:t>
      </w:r>
    </w:p>
    <w:p w:rsidR="00CC5431" w:rsidRPr="008B71C9" w:rsidRDefault="00385BCA" w:rsidP="00F17C1A">
      <w:pPr>
        <w:jc w:val="both"/>
        <w:rPr>
          <w:color w:val="000000"/>
          <w:szCs w:val="22"/>
        </w:rPr>
      </w:pPr>
      <w:r w:rsidRPr="00385BCA">
        <w:rPr>
          <w:color w:val="000000"/>
          <w:szCs w:val="22"/>
          <w:lang w:val="en-US"/>
        </w:rPr>
        <w:t xml:space="preserve">Alterations in pulse rate and blood pressure have been observed following initial dose introduction so caution during initial dose titration is essential. Fainting episodes have been observed with use of </w:t>
      </w:r>
      <w:proofErr w:type="spellStart"/>
      <w:r w:rsidRPr="00385BCA">
        <w:rPr>
          <w:color w:val="000000"/>
          <w:szCs w:val="22"/>
          <w:lang w:val="en-US"/>
        </w:rPr>
        <w:t>Sativex</w:t>
      </w:r>
      <w:proofErr w:type="spellEnd"/>
      <w:r w:rsidRPr="00385BCA">
        <w:rPr>
          <w:color w:val="000000"/>
          <w:szCs w:val="22"/>
          <w:lang w:val="en-US"/>
        </w:rPr>
        <w:t xml:space="preserve">. </w:t>
      </w:r>
    </w:p>
    <w:p w:rsidR="00356045" w:rsidRPr="008B71C9" w:rsidRDefault="00356045" w:rsidP="00F17C1A">
      <w:pPr>
        <w:jc w:val="both"/>
        <w:rPr>
          <w:color w:val="000000"/>
          <w:szCs w:val="22"/>
        </w:rPr>
      </w:pPr>
      <w:r w:rsidRPr="008B71C9">
        <w:rPr>
          <w:color w:val="000000"/>
          <w:szCs w:val="22"/>
        </w:rPr>
        <w:t xml:space="preserve">Use of </w:t>
      </w:r>
      <w:proofErr w:type="spellStart"/>
      <w:r w:rsidR="00C73E02" w:rsidRPr="007653B9">
        <w:rPr>
          <w:color w:val="000000"/>
          <w:szCs w:val="22"/>
        </w:rPr>
        <w:t>S</w:t>
      </w:r>
      <w:r w:rsidR="007653B9">
        <w:rPr>
          <w:color w:val="000000"/>
          <w:szCs w:val="22"/>
        </w:rPr>
        <w:t>ativex</w:t>
      </w:r>
      <w:proofErr w:type="spellEnd"/>
      <w:r w:rsidRPr="008B71C9">
        <w:rPr>
          <w:color w:val="000000"/>
          <w:szCs w:val="22"/>
        </w:rPr>
        <w:t xml:space="preserve"> is not recommended in patients with serious cardiovascular disease.  However, following dosing in healthy volunteers with </w:t>
      </w:r>
      <w:proofErr w:type="spellStart"/>
      <w:r w:rsidR="00C73E02" w:rsidRPr="007653B9">
        <w:rPr>
          <w:color w:val="000000"/>
          <w:szCs w:val="22"/>
        </w:rPr>
        <w:t>S</w:t>
      </w:r>
      <w:r w:rsidR="007653B9">
        <w:rPr>
          <w:color w:val="000000"/>
          <w:szCs w:val="22"/>
        </w:rPr>
        <w:t>ativex</w:t>
      </w:r>
      <w:proofErr w:type="spellEnd"/>
      <w:r w:rsidRPr="008B71C9">
        <w:rPr>
          <w:color w:val="000000"/>
          <w:szCs w:val="22"/>
        </w:rPr>
        <w:t xml:space="preserve"> up to 18 sprays twice daily, there were no clinically relevant changes in </w:t>
      </w:r>
      <w:proofErr w:type="spellStart"/>
      <w:r w:rsidRPr="008B71C9">
        <w:rPr>
          <w:color w:val="000000"/>
          <w:szCs w:val="22"/>
        </w:rPr>
        <w:t>QTc</w:t>
      </w:r>
      <w:proofErr w:type="spellEnd"/>
      <w:r w:rsidRPr="008B71C9">
        <w:rPr>
          <w:color w:val="000000"/>
          <w:szCs w:val="22"/>
        </w:rPr>
        <w:t>, PR or QRS interval duration, heart rate, or blood pressure.</w:t>
      </w:r>
    </w:p>
    <w:p w:rsidR="00EB1397" w:rsidRDefault="00356045" w:rsidP="00EB1397">
      <w:pPr>
        <w:jc w:val="both"/>
        <w:rPr>
          <w:color w:val="000000"/>
          <w:szCs w:val="22"/>
        </w:rPr>
      </w:pPr>
      <w:r w:rsidRPr="008B71C9">
        <w:rPr>
          <w:color w:val="000000"/>
          <w:szCs w:val="22"/>
        </w:rPr>
        <w:t>Until further information is available, caution should be taken when treating patients with a history of epilepsy, or recurrent seizures.</w:t>
      </w:r>
      <w:r w:rsidR="00EB1397" w:rsidRPr="00EB1397">
        <w:rPr>
          <w:color w:val="000000"/>
          <w:szCs w:val="22"/>
        </w:rPr>
        <w:t xml:space="preserve"> </w:t>
      </w:r>
    </w:p>
    <w:p w:rsidR="00F753BD" w:rsidRDefault="00F753BD">
      <w:pPr>
        <w:spacing w:before="0" w:line="240" w:lineRule="auto"/>
        <w:rPr>
          <w:b/>
          <w:color w:val="000000"/>
          <w:szCs w:val="22"/>
          <w:u w:val="single"/>
        </w:rPr>
      </w:pPr>
      <w:r>
        <w:rPr>
          <w:b/>
          <w:color w:val="000000"/>
          <w:szCs w:val="22"/>
          <w:u w:val="single"/>
        </w:rPr>
        <w:br w:type="page"/>
      </w:r>
    </w:p>
    <w:p w:rsidR="004D46AB" w:rsidRPr="004D46AB" w:rsidRDefault="004D46AB" w:rsidP="004D46AB">
      <w:pPr>
        <w:jc w:val="both"/>
        <w:rPr>
          <w:color w:val="000000"/>
          <w:szCs w:val="22"/>
        </w:rPr>
      </w:pPr>
      <w:r w:rsidRPr="004D46AB">
        <w:rPr>
          <w:b/>
          <w:color w:val="000000"/>
          <w:szCs w:val="22"/>
          <w:u w:val="single"/>
        </w:rPr>
        <w:lastRenderedPageBreak/>
        <w:t>Psychiatric adverse events</w:t>
      </w:r>
    </w:p>
    <w:p w:rsidR="004D46AB" w:rsidRDefault="004D46AB" w:rsidP="004D46AB">
      <w:pPr>
        <w:jc w:val="both"/>
        <w:rPr>
          <w:i/>
          <w:color w:val="000000"/>
          <w:szCs w:val="22"/>
        </w:rPr>
      </w:pPr>
      <w:r w:rsidRPr="004D46AB">
        <w:rPr>
          <w:color w:val="000000"/>
          <w:szCs w:val="22"/>
        </w:rPr>
        <w:t xml:space="preserve">Psychiatric adverse events including disorientation (4.1% </w:t>
      </w:r>
      <w:proofErr w:type="spellStart"/>
      <w:r w:rsidRPr="004D46AB">
        <w:rPr>
          <w:color w:val="000000"/>
          <w:szCs w:val="22"/>
        </w:rPr>
        <w:t>vs</w:t>
      </w:r>
      <w:proofErr w:type="spellEnd"/>
      <w:r w:rsidRPr="004D46AB">
        <w:rPr>
          <w:color w:val="000000"/>
          <w:szCs w:val="22"/>
        </w:rPr>
        <w:t xml:space="preserve"> 0.8%), depression (2.9% </w:t>
      </w:r>
      <w:proofErr w:type="spellStart"/>
      <w:r w:rsidRPr="004D46AB">
        <w:rPr>
          <w:color w:val="000000"/>
          <w:szCs w:val="22"/>
        </w:rPr>
        <w:t>vs</w:t>
      </w:r>
      <w:proofErr w:type="spellEnd"/>
      <w:r w:rsidRPr="004D46AB">
        <w:rPr>
          <w:color w:val="000000"/>
          <w:szCs w:val="22"/>
        </w:rPr>
        <w:t xml:space="preserve"> 2.0%), euphoric mood (2.2% </w:t>
      </w:r>
      <w:proofErr w:type="spellStart"/>
      <w:r w:rsidRPr="004D46AB">
        <w:rPr>
          <w:color w:val="000000"/>
          <w:szCs w:val="22"/>
        </w:rPr>
        <w:t>vs</w:t>
      </w:r>
      <w:proofErr w:type="spellEnd"/>
      <w:r w:rsidRPr="004D46AB">
        <w:rPr>
          <w:color w:val="000000"/>
          <w:szCs w:val="22"/>
        </w:rPr>
        <w:t xml:space="preserve"> 0.9%), and dissociation </w:t>
      </w:r>
      <w:r w:rsidR="00CC5431">
        <w:rPr>
          <w:color w:val="000000"/>
          <w:szCs w:val="22"/>
        </w:rPr>
        <w:t>(</w:t>
      </w:r>
      <w:r w:rsidRPr="004D46AB">
        <w:rPr>
          <w:color w:val="000000"/>
          <w:szCs w:val="22"/>
        </w:rPr>
        <w:t xml:space="preserve">1.7% </w:t>
      </w:r>
      <w:proofErr w:type="spellStart"/>
      <w:r w:rsidRPr="004D46AB">
        <w:rPr>
          <w:color w:val="000000"/>
          <w:szCs w:val="22"/>
        </w:rPr>
        <w:t>vs</w:t>
      </w:r>
      <w:proofErr w:type="spellEnd"/>
      <w:r w:rsidRPr="004D46AB">
        <w:rPr>
          <w:color w:val="000000"/>
          <w:szCs w:val="22"/>
        </w:rPr>
        <w:t xml:space="preserve"> 0.1%) occurred more frequently in patients given </w:t>
      </w:r>
      <w:proofErr w:type="spellStart"/>
      <w:r w:rsidRPr="004D46AB">
        <w:rPr>
          <w:color w:val="000000"/>
          <w:szCs w:val="22"/>
        </w:rPr>
        <w:t>Sativex</w:t>
      </w:r>
      <w:proofErr w:type="spellEnd"/>
      <w:r w:rsidRPr="004D46AB">
        <w:rPr>
          <w:color w:val="000000"/>
          <w:szCs w:val="22"/>
        </w:rPr>
        <w:t xml:space="preserve"> than in those given placebo in clinical trials.  Approximately 10% more patients given </w:t>
      </w:r>
      <w:proofErr w:type="spellStart"/>
      <w:r w:rsidRPr="004D46AB">
        <w:rPr>
          <w:color w:val="000000"/>
          <w:szCs w:val="22"/>
        </w:rPr>
        <w:t>Sativex</w:t>
      </w:r>
      <w:proofErr w:type="spellEnd"/>
      <w:r w:rsidRPr="004D46AB">
        <w:rPr>
          <w:color w:val="000000"/>
          <w:szCs w:val="22"/>
        </w:rPr>
        <w:t xml:space="preserve"> experienced a psychiatric adverse event than those given placebo (17.6% </w:t>
      </w:r>
      <w:proofErr w:type="spellStart"/>
      <w:r w:rsidRPr="004D46AB">
        <w:rPr>
          <w:color w:val="000000"/>
          <w:szCs w:val="22"/>
        </w:rPr>
        <w:t>vs</w:t>
      </w:r>
      <w:proofErr w:type="spellEnd"/>
      <w:r w:rsidRPr="004D46AB">
        <w:rPr>
          <w:color w:val="000000"/>
          <w:szCs w:val="22"/>
        </w:rPr>
        <w:t xml:space="preserve"> 7.8%).  Patients with a personal or family history of psychotic illness should not receive </w:t>
      </w:r>
      <w:proofErr w:type="spellStart"/>
      <w:r w:rsidRPr="004D46AB">
        <w:rPr>
          <w:color w:val="000000"/>
          <w:szCs w:val="22"/>
        </w:rPr>
        <w:t>Sativex</w:t>
      </w:r>
      <w:proofErr w:type="spellEnd"/>
      <w:r w:rsidRPr="004D46AB">
        <w:rPr>
          <w:color w:val="000000"/>
          <w:szCs w:val="22"/>
        </w:rPr>
        <w:t xml:space="preserve">.  Patients with a history of depression should be closely monitored and </w:t>
      </w:r>
      <w:proofErr w:type="spellStart"/>
      <w:r w:rsidRPr="004D46AB">
        <w:rPr>
          <w:color w:val="000000"/>
          <w:szCs w:val="22"/>
        </w:rPr>
        <w:t>Sativex</w:t>
      </w:r>
      <w:proofErr w:type="spellEnd"/>
      <w:r w:rsidRPr="004D46AB">
        <w:rPr>
          <w:color w:val="000000"/>
          <w:szCs w:val="22"/>
        </w:rPr>
        <w:t xml:space="preserve"> discontinued if clinically significant worsening of symptoms occurs on therapy.</w:t>
      </w:r>
      <w:r w:rsidRPr="004D46AB">
        <w:rPr>
          <w:i/>
          <w:color w:val="000000"/>
          <w:szCs w:val="22"/>
        </w:rPr>
        <w:t xml:space="preserve"> </w:t>
      </w:r>
    </w:p>
    <w:p w:rsidR="00356045" w:rsidRDefault="00FA418A" w:rsidP="00F17C1A">
      <w:pPr>
        <w:jc w:val="both"/>
        <w:rPr>
          <w:szCs w:val="22"/>
        </w:rPr>
      </w:pPr>
      <w:r>
        <w:rPr>
          <w:szCs w:val="22"/>
        </w:rPr>
        <w:t>I</w:t>
      </w:r>
      <w:r w:rsidR="00EB1397" w:rsidRPr="008B71C9">
        <w:rPr>
          <w:szCs w:val="22"/>
        </w:rPr>
        <w:t xml:space="preserve">n a few cases a causal association between </w:t>
      </w:r>
      <w:proofErr w:type="spellStart"/>
      <w:r w:rsidR="00EB1397" w:rsidRPr="00340551">
        <w:rPr>
          <w:szCs w:val="22"/>
        </w:rPr>
        <w:t>S</w:t>
      </w:r>
      <w:r w:rsidR="00EB1397">
        <w:rPr>
          <w:szCs w:val="22"/>
        </w:rPr>
        <w:t>ativex</w:t>
      </w:r>
      <w:proofErr w:type="spellEnd"/>
      <w:r w:rsidR="00EB1397" w:rsidRPr="008B71C9">
        <w:rPr>
          <w:szCs w:val="22"/>
        </w:rPr>
        <w:t xml:space="preserve"> administration and suicidal ideation could not be ruled out. </w:t>
      </w:r>
      <w:r w:rsidR="00EB1397">
        <w:rPr>
          <w:szCs w:val="22"/>
        </w:rPr>
        <w:t xml:space="preserve"> </w:t>
      </w:r>
      <w:r w:rsidR="00EB1397" w:rsidRPr="008B71C9">
        <w:rPr>
          <w:szCs w:val="22"/>
        </w:rPr>
        <w:t xml:space="preserve">In </w:t>
      </w:r>
      <w:r w:rsidR="00673DA0">
        <w:rPr>
          <w:szCs w:val="22"/>
        </w:rPr>
        <w:t>this circumstance</w:t>
      </w:r>
      <w:r w:rsidR="00EB1397" w:rsidRPr="008B71C9">
        <w:rPr>
          <w:szCs w:val="22"/>
        </w:rPr>
        <w:t xml:space="preserve">, </w:t>
      </w:r>
      <w:proofErr w:type="spellStart"/>
      <w:r w:rsidR="00EB1397" w:rsidRPr="00340551">
        <w:rPr>
          <w:szCs w:val="22"/>
        </w:rPr>
        <w:t>S</w:t>
      </w:r>
      <w:r w:rsidR="00EB1397">
        <w:rPr>
          <w:szCs w:val="22"/>
        </w:rPr>
        <w:t>ativex</w:t>
      </w:r>
      <w:proofErr w:type="spellEnd"/>
      <w:r w:rsidR="00EB1397" w:rsidRPr="008B71C9">
        <w:rPr>
          <w:szCs w:val="22"/>
        </w:rPr>
        <w:t xml:space="preserve"> should be stopped immediately and the patient monitored until the symptom has completely resolved. </w:t>
      </w:r>
    </w:p>
    <w:p w:rsidR="00F96FA7" w:rsidRPr="008B71C9" w:rsidRDefault="00F96FA7" w:rsidP="00F17C1A">
      <w:pPr>
        <w:jc w:val="both"/>
        <w:rPr>
          <w:color w:val="000000"/>
          <w:szCs w:val="22"/>
        </w:rPr>
      </w:pPr>
      <w:r w:rsidRPr="00F96FA7">
        <w:rPr>
          <w:color w:val="000000"/>
          <w:szCs w:val="22"/>
        </w:rPr>
        <w:t xml:space="preserve">The maximum recommended dose should not be exceeded.  Serious psychiatric adverse events including transient psychosis occurred in 4/41 healthy volunteers given 18 actuations of </w:t>
      </w:r>
      <w:proofErr w:type="spellStart"/>
      <w:r w:rsidRPr="00F96FA7">
        <w:rPr>
          <w:color w:val="000000"/>
          <w:szCs w:val="22"/>
        </w:rPr>
        <w:t>Sativex</w:t>
      </w:r>
      <w:proofErr w:type="spellEnd"/>
      <w:r w:rsidRPr="00F96FA7">
        <w:rPr>
          <w:color w:val="000000"/>
          <w:szCs w:val="22"/>
        </w:rPr>
        <w:t xml:space="preserve"> twice daily.</w:t>
      </w:r>
    </w:p>
    <w:p w:rsidR="00356045" w:rsidRPr="008B71C9" w:rsidRDefault="00356045" w:rsidP="00EB1397">
      <w:pPr>
        <w:jc w:val="both"/>
        <w:rPr>
          <w:szCs w:val="22"/>
        </w:rPr>
      </w:pPr>
      <w:r w:rsidRPr="007653B9">
        <w:rPr>
          <w:szCs w:val="22"/>
        </w:rPr>
        <w:t xml:space="preserve">No specific studies have been carried out in patients with significant hepatic or renal impairment.  </w:t>
      </w:r>
      <w:r w:rsidR="00EB1397" w:rsidRPr="00EB1397">
        <w:rPr>
          <w:szCs w:val="22"/>
          <w:lang w:val="en-US"/>
        </w:rPr>
        <w:t xml:space="preserve">THC and CBD are </w:t>
      </w:r>
      <w:proofErr w:type="spellStart"/>
      <w:r w:rsidR="00EB1397" w:rsidRPr="00EB1397">
        <w:rPr>
          <w:szCs w:val="22"/>
          <w:lang w:val="en-US"/>
        </w:rPr>
        <w:t>metabolised</w:t>
      </w:r>
      <w:proofErr w:type="spellEnd"/>
      <w:r w:rsidR="00EB1397" w:rsidRPr="00EB1397">
        <w:rPr>
          <w:szCs w:val="22"/>
          <w:lang w:val="en-US"/>
        </w:rPr>
        <w:t xml:space="preserve"> in the liver, and approximately one third of the parent drugs and their metabolites are excreted in the urine (the remainder via the </w:t>
      </w:r>
      <w:proofErr w:type="spellStart"/>
      <w:r w:rsidR="00EB1397" w:rsidRPr="00EB1397">
        <w:rPr>
          <w:szCs w:val="22"/>
          <w:lang w:val="en-US"/>
        </w:rPr>
        <w:t>faeces</w:t>
      </w:r>
      <w:proofErr w:type="spellEnd"/>
      <w:r w:rsidR="00EB1397" w:rsidRPr="00EB1397">
        <w:rPr>
          <w:szCs w:val="22"/>
          <w:lang w:val="en-US"/>
        </w:rPr>
        <w:t xml:space="preserve">). </w:t>
      </w:r>
      <w:r w:rsidR="00EB1397">
        <w:rPr>
          <w:szCs w:val="22"/>
          <w:lang w:val="en-US"/>
        </w:rPr>
        <w:t xml:space="preserve"> </w:t>
      </w:r>
      <w:r w:rsidR="00EB1397" w:rsidRPr="00EB1397">
        <w:rPr>
          <w:szCs w:val="22"/>
          <w:lang w:val="en-US"/>
        </w:rPr>
        <w:t xml:space="preserve">Several THC metabolites may be psychoactive. </w:t>
      </w:r>
      <w:r w:rsidR="00EB1397">
        <w:rPr>
          <w:szCs w:val="22"/>
          <w:lang w:val="en-US"/>
        </w:rPr>
        <w:t xml:space="preserve"> </w:t>
      </w:r>
      <w:r w:rsidR="00EB1397" w:rsidRPr="00EB1397">
        <w:rPr>
          <w:szCs w:val="22"/>
          <w:lang w:val="en-US"/>
        </w:rPr>
        <w:t xml:space="preserve">Thus, the systemic exposure and the effects of </w:t>
      </w:r>
      <w:proofErr w:type="spellStart"/>
      <w:r w:rsidR="00EB1397" w:rsidRPr="00EB1397">
        <w:rPr>
          <w:szCs w:val="22"/>
          <w:lang w:val="en-US"/>
        </w:rPr>
        <w:t>Sativex</w:t>
      </w:r>
      <w:proofErr w:type="spellEnd"/>
      <w:r w:rsidR="00EB1397" w:rsidRPr="00EB1397">
        <w:rPr>
          <w:szCs w:val="22"/>
          <w:lang w:val="en-US"/>
        </w:rPr>
        <w:t xml:space="preserve"> are dependent on both renal and hepatic function and </w:t>
      </w:r>
      <w:r w:rsidR="00EB1397">
        <w:rPr>
          <w:szCs w:val="22"/>
          <w:lang w:val="en-US"/>
        </w:rPr>
        <w:t>in patients with significant impaired hepatic or renal function</w:t>
      </w:r>
      <w:r w:rsidRPr="007653B9">
        <w:rPr>
          <w:szCs w:val="22"/>
        </w:rPr>
        <w:t xml:space="preserve"> the effects of </w:t>
      </w:r>
      <w:proofErr w:type="spellStart"/>
      <w:r w:rsidR="00C73E02" w:rsidRPr="007653B9">
        <w:rPr>
          <w:szCs w:val="22"/>
        </w:rPr>
        <w:t>S</w:t>
      </w:r>
      <w:r w:rsidR="007653B9">
        <w:rPr>
          <w:szCs w:val="22"/>
        </w:rPr>
        <w:t>ativex</w:t>
      </w:r>
      <w:proofErr w:type="spellEnd"/>
      <w:r w:rsidRPr="007653B9">
        <w:rPr>
          <w:szCs w:val="22"/>
        </w:rPr>
        <w:t xml:space="preserve"> may be exaggerated or prolonged</w:t>
      </w:r>
      <w:r w:rsidR="00B01CE8" w:rsidRPr="007653B9">
        <w:rPr>
          <w:szCs w:val="22"/>
        </w:rPr>
        <w:t xml:space="preserve"> (see PHARMACOKINETICS -</w:t>
      </w:r>
      <w:r w:rsidR="00CE7646">
        <w:rPr>
          <w:szCs w:val="22"/>
        </w:rPr>
        <w:t xml:space="preserve"> Metabolism</w:t>
      </w:r>
      <w:r w:rsidR="00B01CE8" w:rsidRPr="007653B9">
        <w:rPr>
          <w:szCs w:val="22"/>
        </w:rPr>
        <w:t>)</w:t>
      </w:r>
      <w:r w:rsidRPr="007653B9">
        <w:rPr>
          <w:szCs w:val="22"/>
        </w:rPr>
        <w:t>.  Frequent clinical evaluation by a clinician is recommended in th</w:t>
      </w:r>
      <w:r w:rsidR="00EB1397">
        <w:rPr>
          <w:szCs w:val="22"/>
        </w:rPr>
        <w:t>ese</w:t>
      </w:r>
      <w:r w:rsidRPr="007653B9">
        <w:rPr>
          <w:szCs w:val="22"/>
        </w:rPr>
        <w:t xml:space="preserve"> patient population</w:t>
      </w:r>
      <w:r w:rsidR="00EB1397">
        <w:rPr>
          <w:szCs w:val="22"/>
        </w:rPr>
        <w:t>s</w:t>
      </w:r>
      <w:r w:rsidRPr="007653B9">
        <w:rPr>
          <w:szCs w:val="22"/>
        </w:rPr>
        <w:t>.</w:t>
      </w:r>
    </w:p>
    <w:p w:rsidR="00356045" w:rsidRPr="008B71C9" w:rsidRDefault="00C73E02" w:rsidP="00F17C1A">
      <w:pPr>
        <w:jc w:val="both"/>
        <w:rPr>
          <w:color w:val="000000"/>
          <w:szCs w:val="22"/>
        </w:rPr>
      </w:pPr>
      <w:proofErr w:type="spellStart"/>
      <w:r w:rsidRPr="007653B9">
        <w:rPr>
          <w:color w:val="000000"/>
          <w:szCs w:val="22"/>
        </w:rPr>
        <w:t>S</w:t>
      </w:r>
      <w:r w:rsidR="007653B9">
        <w:rPr>
          <w:color w:val="000000"/>
          <w:szCs w:val="22"/>
        </w:rPr>
        <w:t>ativex</w:t>
      </w:r>
      <w:proofErr w:type="spellEnd"/>
      <w:r w:rsidR="00356045" w:rsidRPr="008B71C9">
        <w:rPr>
          <w:color w:val="000000"/>
          <w:szCs w:val="22"/>
        </w:rPr>
        <w:t xml:space="preserve"> contains approximately 50% v/v of ethanol.  Each actuation contains up to 0.04g of </w:t>
      </w:r>
      <w:r w:rsidR="00356045">
        <w:rPr>
          <w:color w:val="000000"/>
          <w:szCs w:val="22"/>
        </w:rPr>
        <w:t>ethanol</w:t>
      </w:r>
      <w:r w:rsidR="00356045" w:rsidRPr="008B71C9">
        <w:rPr>
          <w:color w:val="000000"/>
          <w:szCs w:val="22"/>
        </w:rPr>
        <w:t>.  A small glass of wine (125</w:t>
      </w:r>
      <w:r w:rsidR="00356045">
        <w:rPr>
          <w:color w:val="000000"/>
          <w:szCs w:val="22"/>
        </w:rPr>
        <w:t xml:space="preserve"> </w:t>
      </w:r>
      <w:proofErr w:type="spellStart"/>
      <w:r w:rsidR="00356045" w:rsidRPr="008B71C9">
        <w:rPr>
          <w:color w:val="000000"/>
          <w:szCs w:val="22"/>
        </w:rPr>
        <w:t>m</w:t>
      </w:r>
      <w:r w:rsidR="00356045">
        <w:rPr>
          <w:color w:val="000000"/>
          <w:szCs w:val="22"/>
        </w:rPr>
        <w:t>L</w:t>
      </w:r>
      <w:proofErr w:type="spellEnd"/>
      <w:r w:rsidR="00356045" w:rsidRPr="008B71C9">
        <w:rPr>
          <w:color w:val="000000"/>
          <w:szCs w:val="22"/>
        </w:rPr>
        <w:t xml:space="preserve">) of nominal ethanol content 12% v/v would contain approximately 12g ethanol.  </w:t>
      </w:r>
      <w:r w:rsidR="00356045" w:rsidRPr="008B71C9">
        <w:rPr>
          <w:szCs w:val="22"/>
        </w:rPr>
        <w:t xml:space="preserve">Most patients respond at doses up to and including 12 sprays a day </w:t>
      </w:r>
      <w:r w:rsidR="00356045">
        <w:rPr>
          <w:szCs w:val="22"/>
        </w:rPr>
        <w:t xml:space="preserve">which would contain less than 0.5 g </w:t>
      </w:r>
      <w:r w:rsidR="00356045" w:rsidRPr="008B71C9">
        <w:rPr>
          <w:color w:val="000000"/>
          <w:szCs w:val="22"/>
        </w:rPr>
        <w:t xml:space="preserve">of ethanol.  </w:t>
      </w:r>
    </w:p>
    <w:p w:rsidR="00356045" w:rsidRPr="008B71C9" w:rsidRDefault="00356045" w:rsidP="00F17C1A">
      <w:pPr>
        <w:jc w:val="both"/>
        <w:rPr>
          <w:szCs w:val="22"/>
        </w:rPr>
      </w:pPr>
      <w:r w:rsidRPr="008B71C9">
        <w:rPr>
          <w:szCs w:val="22"/>
        </w:rPr>
        <w:t xml:space="preserve">There is a risk of an increase in incidence of falls in patients whose spasticity has been reduced and whose muscle strength is insufficient to maintain posture or gait. </w:t>
      </w:r>
      <w:r>
        <w:rPr>
          <w:szCs w:val="22"/>
        </w:rPr>
        <w:t xml:space="preserve"> </w:t>
      </w:r>
      <w:r w:rsidRPr="008B71C9">
        <w:rPr>
          <w:szCs w:val="22"/>
        </w:rPr>
        <w:t xml:space="preserve">In addition to an increased risk of falls, the CNS adverse reactions of </w:t>
      </w:r>
      <w:proofErr w:type="spellStart"/>
      <w:r w:rsidR="00C73E02" w:rsidRPr="007653B9">
        <w:rPr>
          <w:szCs w:val="22"/>
        </w:rPr>
        <w:t>S</w:t>
      </w:r>
      <w:r w:rsidR="007653B9">
        <w:rPr>
          <w:szCs w:val="22"/>
        </w:rPr>
        <w:t>ativex</w:t>
      </w:r>
      <w:proofErr w:type="spellEnd"/>
      <w:r w:rsidRPr="008B71C9">
        <w:rPr>
          <w:szCs w:val="22"/>
        </w:rPr>
        <w:t xml:space="preserve"> could potentially have an impact on various aspects of personal safety, such as with food and hot drink preparation.</w:t>
      </w:r>
    </w:p>
    <w:p w:rsidR="00356045" w:rsidRPr="008B71C9" w:rsidRDefault="00356045" w:rsidP="00F17C1A">
      <w:pPr>
        <w:jc w:val="both"/>
        <w:rPr>
          <w:szCs w:val="22"/>
        </w:rPr>
      </w:pPr>
      <w:r w:rsidRPr="008B71C9">
        <w:rPr>
          <w:szCs w:val="22"/>
        </w:rPr>
        <w:t>Although there is a</w:t>
      </w:r>
      <w:r w:rsidRPr="008B71C9">
        <w:rPr>
          <w:i/>
          <w:szCs w:val="22"/>
        </w:rPr>
        <w:t xml:space="preserve"> </w:t>
      </w:r>
      <w:r w:rsidRPr="008B71C9">
        <w:rPr>
          <w:szCs w:val="22"/>
        </w:rPr>
        <w:t xml:space="preserve">theoretical risk that there may be an additive effect with muscle-relaxing agents such as </w:t>
      </w:r>
      <w:proofErr w:type="spellStart"/>
      <w:r w:rsidRPr="008B71C9">
        <w:rPr>
          <w:szCs w:val="22"/>
        </w:rPr>
        <w:t>baclofen</w:t>
      </w:r>
      <w:proofErr w:type="spellEnd"/>
      <w:r w:rsidRPr="008B71C9">
        <w:rPr>
          <w:szCs w:val="22"/>
        </w:rPr>
        <w:t xml:space="preserve"> and benzodiazepines, thereby increasing the risk of falls, this has not been seen in clinical trials with </w:t>
      </w:r>
      <w:proofErr w:type="spellStart"/>
      <w:r w:rsidR="00C73E02" w:rsidRPr="007653B9">
        <w:rPr>
          <w:szCs w:val="22"/>
        </w:rPr>
        <w:t>S</w:t>
      </w:r>
      <w:r w:rsidR="007653B9">
        <w:rPr>
          <w:szCs w:val="22"/>
        </w:rPr>
        <w:t>ativex</w:t>
      </w:r>
      <w:proofErr w:type="spellEnd"/>
      <w:r w:rsidRPr="008B71C9">
        <w:rPr>
          <w:szCs w:val="22"/>
        </w:rPr>
        <w:t>.  However, patients should be warned of this possibility.</w:t>
      </w:r>
    </w:p>
    <w:p w:rsidR="00356045" w:rsidRPr="008B71C9" w:rsidRDefault="00356045" w:rsidP="00F17C1A">
      <w:pPr>
        <w:jc w:val="both"/>
        <w:rPr>
          <w:color w:val="000000"/>
        </w:rPr>
      </w:pPr>
      <w:r>
        <w:rPr>
          <w:rFonts w:cs="Arial"/>
          <w:color w:val="000000"/>
          <w:szCs w:val="22"/>
        </w:rPr>
        <w:t>Patients</w:t>
      </w:r>
      <w:r w:rsidRPr="008B71C9">
        <w:rPr>
          <w:rFonts w:cs="Arial"/>
          <w:color w:val="000000"/>
          <w:szCs w:val="22"/>
        </w:rPr>
        <w:t xml:space="preserve"> who have</w:t>
      </w:r>
      <w:r w:rsidR="00B01CE8">
        <w:rPr>
          <w:rFonts w:cs="Arial"/>
          <w:color w:val="000000"/>
          <w:szCs w:val="22"/>
        </w:rPr>
        <w:t xml:space="preserve"> </w:t>
      </w:r>
      <w:r w:rsidRPr="008B71C9">
        <w:rPr>
          <w:rFonts w:cs="Arial"/>
          <w:color w:val="000000"/>
          <w:szCs w:val="22"/>
        </w:rPr>
        <w:t xml:space="preserve">a history of substance abuse may be more prone to abuse </w:t>
      </w:r>
      <w:proofErr w:type="spellStart"/>
      <w:r w:rsidR="00C73E02" w:rsidRPr="007653B9">
        <w:rPr>
          <w:rFonts w:cs="Arial"/>
          <w:color w:val="000000"/>
          <w:szCs w:val="22"/>
        </w:rPr>
        <w:t>S</w:t>
      </w:r>
      <w:r w:rsidR="007653B9">
        <w:rPr>
          <w:rFonts w:cs="Arial"/>
          <w:color w:val="000000"/>
          <w:szCs w:val="22"/>
        </w:rPr>
        <w:t>ativex</w:t>
      </w:r>
      <w:proofErr w:type="spellEnd"/>
      <w:r w:rsidRPr="008B71C9">
        <w:rPr>
          <w:rFonts w:cs="Arial"/>
          <w:color w:val="000000"/>
          <w:szCs w:val="22"/>
        </w:rPr>
        <w:t xml:space="preserve"> as well (see </w:t>
      </w:r>
      <w:r w:rsidR="00EB1397">
        <w:rPr>
          <w:rFonts w:cs="Arial"/>
          <w:color w:val="000000"/>
          <w:szCs w:val="22"/>
        </w:rPr>
        <w:t>CLINICAL TRIALS</w:t>
      </w:r>
      <w:r w:rsidRPr="008B71C9">
        <w:rPr>
          <w:rFonts w:cs="Arial"/>
          <w:color w:val="000000"/>
          <w:szCs w:val="22"/>
        </w:rPr>
        <w:t>).</w:t>
      </w:r>
    </w:p>
    <w:p w:rsidR="00356045" w:rsidRDefault="00356045" w:rsidP="00F17C1A">
      <w:pPr>
        <w:jc w:val="both"/>
        <w:rPr>
          <w:szCs w:val="22"/>
        </w:rPr>
      </w:pPr>
      <w:r w:rsidRPr="008B71C9">
        <w:rPr>
          <w:szCs w:val="22"/>
        </w:rPr>
        <w:lastRenderedPageBreak/>
        <w:t xml:space="preserve">The abrupt withdrawal of long-term </w:t>
      </w:r>
      <w:proofErr w:type="spellStart"/>
      <w:r w:rsidR="00C73E02" w:rsidRPr="007653B9">
        <w:rPr>
          <w:color w:val="000000"/>
          <w:szCs w:val="22"/>
        </w:rPr>
        <w:t>S</w:t>
      </w:r>
      <w:r w:rsidR="007653B9">
        <w:rPr>
          <w:color w:val="000000"/>
          <w:szCs w:val="22"/>
        </w:rPr>
        <w:t>ativex</w:t>
      </w:r>
      <w:proofErr w:type="spellEnd"/>
      <w:r w:rsidRPr="008B71C9">
        <w:rPr>
          <w:color w:val="000000"/>
          <w:szCs w:val="22"/>
        </w:rPr>
        <w:t xml:space="preserve"> </w:t>
      </w:r>
      <w:r w:rsidRPr="008B71C9">
        <w:rPr>
          <w:szCs w:val="22"/>
        </w:rPr>
        <w:t xml:space="preserve">treatment has not resulted in a consistent pattern or time-profile of withdrawal-type symptoms and the likely consequence will be limited to transient disturbances of sleep, emotion or appetite in some patients.  No increase in daily dosage has been observed in long-term use and patient self-reported levels of ‘intoxication’ are low.  For these reasons, dependence on </w:t>
      </w:r>
      <w:proofErr w:type="spellStart"/>
      <w:r w:rsidR="00C73E02">
        <w:rPr>
          <w:szCs w:val="22"/>
        </w:rPr>
        <w:t>S</w:t>
      </w:r>
      <w:r w:rsidR="007653B9">
        <w:rPr>
          <w:szCs w:val="22"/>
        </w:rPr>
        <w:t>ativex</w:t>
      </w:r>
      <w:proofErr w:type="spellEnd"/>
      <w:r w:rsidRPr="008B71C9">
        <w:rPr>
          <w:szCs w:val="22"/>
        </w:rPr>
        <w:t xml:space="preserve"> is unlikely.</w:t>
      </w:r>
    </w:p>
    <w:p w:rsidR="001049D3" w:rsidRDefault="001049D3" w:rsidP="00F17C1A">
      <w:pPr>
        <w:jc w:val="both"/>
        <w:rPr>
          <w:szCs w:val="22"/>
        </w:rPr>
      </w:pPr>
      <w:r w:rsidRPr="008B71C9">
        <w:rPr>
          <w:szCs w:val="22"/>
        </w:rPr>
        <w:t>Adverse reactions have been reported which could be associated with the route of administration of the medicine.  Application site type reactions consisted of mainly mild to moderate stinging at the time of application.</w:t>
      </w:r>
      <w:r w:rsidRPr="008B71C9">
        <w:t xml:space="preserve"> </w:t>
      </w:r>
      <w:r>
        <w:t xml:space="preserve"> </w:t>
      </w:r>
      <w:r w:rsidRPr="008B71C9">
        <w:t>Common application site reactions includ</w:t>
      </w:r>
      <w:r w:rsidRPr="00962BDA">
        <w:t xml:space="preserve">e application site pain, oral pain and discomfort, </w:t>
      </w:r>
      <w:proofErr w:type="spellStart"/>
      <w:r w:rsidRPr="00962BDA">
        <w:t>dysgeusia</w:t>
      </w:r>
      <w:proofErr w:type="spellEnd"/>
      <w:r w:rsidRPr="00962BDA">
        <w:t xml:space="preserve">, mouth ulceration and </w:t>
      </w:r>
      <w:proofErr w:type="spellStart"/>
      <w:r w:rsidRPr="00962BDA">
        <w:t>glossodynia</w:t>
      </w:r>
      <w:proofErr w:type="spellEnd"/>
      <w:r w:rsidRPr="00962BDA">
        <w:t>.  T</w:t>
      </w:r>
      <w:r w:rsidRPr="00962BDA">
        <w:rPr>
          <w:rFonts w:cs="Arial"/>
          <w:szCs w:val="22"/>
        </w:rPr>
        <w:t>wo c</w:t>
      </w:r>
      <w:r w:rsidRPr="008B71C9">
        <w:rPr>
          <w:rFonts w:cs="Arial"/>
          <w:szCs w:val="22"/>
        </w:rPr>
        <w:t xml:space="preserve">ases of possible </w:t>
      </w:r>
      <w:proofErr w:type="spellStart"/>
      <w:r w:rsidRPr="008B71C9">
        <w:rPr>
          <w:rFonts w:cs="Arial"/>
          <w:szCs w:val="22"/>
        </w:rPr>
        <w:t>leukoplakia</w:t>
      </w:r>
      <w:proofErr w:type="spellEnd"/>
      <w:r w:rsidRPr="008B71C9">
        <w:rPr>
          <w:rFonts w:cs="Arial"/>
          <w:szCs w:val="22"/>
        </w:rPr>
        <w:t xml:space="preserve"> were observed but neither was confirmed </w:t>
      </w:r>
      <w:proofErr w:type="spellStart"/>
      <w:r w:rsidRPr="008B71C9">
        <w:rPr>
          <w:rFonts w:cs="Arial"/>
          <w:szCs w:val="22"/>
        </w:rPr>
        <w:t>histologically</w:t>
      </w:r>
      <w:proofErr w:type="spellEnd"/>
      <w:r w:rsidRPr="008B71C9">
        <w:rPr>
          <w:rFonts w:cs="Arial"/>
          <w:szCs w:val="22"/>
        </w:rPr>
        <w:t xml:space="preserve">; a third case was unrelated.  </w:t>
      </w:r>
      <w:r w:rsidRPr="008B71C9">
        <w:rPr>
          <w:szCs w:val="22"/>
        </w:rPr>
        <w:t xml:space="preserve">In view of this, patients who observe discomfort or ulceration at the site of application of the medicine are advised to vary the site of application within the mouth and should not continue spraying onto sore or inflamed mucous membrane.  Regular inspection of the oral mucosa is also advised in long-term administration.  If lesions or persistent soreness are observed, medication should be interrupted until complete resolution occurs. </w:t>
      </w:r>
    </w:p>
    <w:p w:rsidR="00F96FA7" w:rsidRPr="00F96FA7" w:rsidRDefault="00F96FA7" w:rsidP="00F96FA7">
      <w:pPr>
        <w:jc w:val="both"/>
        <w:rPr>
          <w:b/>
          <w:szCs w:val="22"/>
          <w:u w:val="single"/>
        </w:rPr>
      </w:pPr>
      <w:proofErr w:type="spellStart"/>
      <w:r w:rsidRPr="00F96FA7">
        <w:rPr>
          <w:b/>
          <w:szCs w:val="22"/>
          <w:u w:val="single"/>
        </w:rPr>
        <w:t>Genotoxicity</w:t>
      </w:r>
      <w:proofErr w:type="spellEnd"/>
    </w:p>
    <w:p w:rsidR="00F96FA7" w:rsidRPr="00F96FA7" w:rsidRDefault="00F96FA7" w:rsidP="00F96FA7">
      <w:pPr>
        <w:jc w:val="both"/>
        <w:rPr>
          <w:szCs w:val="22"/>
        </w:rPr>
      </w:pPr>
      <w:proofErr w:type="spellStart"/>
      <w:r w:rsidRPr="00F96FA7">
        <w:rPr>
          <w:szCs w:val="22"/>
        </w:rPr>
        <w:t>Sativex</w:t>
      </w:r>
      <w:proofErr w:type="spellEnd"/>
      <w:r w:rsidRPr="00F96FA7">
        <w:rPr>
          <w:szCs w:val="22"/>
        </w:rPr>
        <w:t xml:space="preserve"> or a mixture of its component extracts was not </w:t>
      </w:r>
      <w:proofErr w:type="spellStart"/>
      <w:r w:rsidRPr="00F96FA7">
        <w:rPr>
          <w:szCs w:val="22"/>
        </w:rPr>
        <w:t>genotoxic</w:t>
      </w:r>
      <w:proofErr w:type="spellEnd"/>
      <w:r w:rsidRPr="00F96FA7">
        <w:rPr>
          <w:szCs w:val="22"/>
        </w:rPr>
        <w:t xml:space="preserve"> in </w:t>
      </w:r>
      <w:proofErr w:type="spellStart"/>
      <w:r w:rsidRPr="00F96FA7">
        <w:rPr>
          <w:i/>
          <w:szCs w:val="22"/>
        </w:rPr>
        <w:t>in</w:t>
      </w:r>
      <w:proofErr w:type="spellEnd"/>
      <w:r w:rsidRPr="00F96FA7">
        <w:rPr>
          <w:i/>
          <w:szCs w:val="22"/>
        </w:rPr>
        <w:t xml:space="preserve"> vitro</w:t>
      </w:r>
      <w:r w:rsidRPr="00F96FA7">
        <w:rPr>
          <w:szCs w:val="22"/>
        </w:rPr>
        <w:t xml:space="preserve"> tests for bacterial reverse mutation and </w:t>
      </w:r>
      <w:r w:rsidRPr="00F96FA7">
        <w:rPr>
          <w:i/>
          <w:szCs w:val="22"/>
        </w:rPr>
        <w:t>in vivo</w:t>
      </w:r>
      <w:r w:rsidRPr="00F96FA7">
        <w:rPr>
          <w:szCs w:val="22"/>
        </w:rPr>
        <w:t xml:space="preserve"> micronucleus tests for </w:t>
      </w:r>
      <w:proofErr w:type="spellStart"/>
      <w:r w:rsidRPr="00F96FA7">
        <w:rPr>
          <w:szCs w:val="22"/>
        </w:rPr>
        <w:t>clastogenicity</w:t>
      </w:r>
      <w:proofErr w:type="spellEnd"/>
      <w:r w:rsidRPr="00F96FA7">
        <w:rPr>
          <w:szCs w:val="22"/>
        </w:rPr>
        <w:t xml:space="preserve"> in mice and rats, or in an </w:t>
      </w:r>
      <w:r w:rsidRPr="00F96FA7">
        <w:rPr>
          <w:i/>
          <w:szCs w:val="22"/>
        </w:rPr>
        <w:t>ex vivo</w:t>
      </w:r>
      <w:r w:rsidRPr="00F96FA7">
        <w:rPr>
          <w:szCs w:val="22"/>
        </w:rPr>
        <w:t xml:space="preserve"> assay for unscheduled DNA synthesis in rat </w:t>
      </w:r>
      <w:proofErr w:type="spellStart"/>
      <w:r w:rsidRPr="00F96FA7">
        <w:rPr>
          <w:szCs w:val="22"/>
        </w:rPr>
        <w:t>hepatocytes</w:t>
      </w:r>
      <w:proofErr w:type="spellEnd"/>
      <w:r w:rsidRPr="00F96FA7">
        <w:rPr>
          <w:szCs w:val="22"/>
        </w:rPr>
        <w:t xml:space="preserve">. No consistent </w:t>
      </w:r>
      <w:proofErr w:type="spellStart"/>
      <w:r w:rsidRPr="00F96FA7">
        <w:rPr>
          <w:szCs w:val="22"/>
        </w:rPr>
        <w:t>genotoxicity</w:t>
      </w:r>
      <w:proofErr w:type="spellEnd"/>
      <w:r w:rsidRPr="00F96FA7">
        <w:rPr>
          <w:szCs w:val="22"/>
        </w:rPr>
        <w:t xml:space="preserve"> was seen in an </w:t>
      </w:r>
      <w:r w:rsidRPr="00F96FA7">
        <w:rPr>
          <w:i/>
          <w:szCs w:val="22"/>
        </w:rPr>
        <w:t>in vitro</w:t>
      </w:r>
      <w:r w:rsidRPr="00F96FA7">
        <w:rPr>
          <w:szCs w:val="22"/>
        </w:rPr>
        <w:t xml:space="preserve"> test for forward mutation in mouse L5178Y cells.</w:t>
      </w:r>
    </w:p>
    <w:p w:rsidR="00F96FA7" w:rsidRPr="00F96FA7" w:rsidRDefault="00F96FA7" w:rsidP="00F96FA7">
      <w:pPr>
        <w:jc w:val="both"/>
        <w:rPr>
          <w:b/>
          <w:szCs w:val="22"/>
          <w:u w:val="single"/>
        </w:rPr>
      </w:pPr>
      <w:r w:rsidRPr="00F96FA7">
        <w:rPr>
          <w:b/>
          <w:szCs w:val="22"/>
          <w:u w:val="single"/>
        </w:rPr>
        <w:t>Carcinogenicity</w:t>
      </w:r>
    </w:p>
    <w:p w:rsidR="00F96FA7" w:rsidRPr="008B71C9" w:rsidRDefault="00F96FA7" w:rsidP="00F17C1A">
      <w:pPr>
        <w:jc w:val="both"/>
        <w:rPr>
          <w:szCs w:val="22"/>
        </w:rPr>
      </w:pPr>
      <w:r w:rsidRPr="00F96FA7">
        <w:rPr>
          <w:szCs w:val="22"/>
        </w:rPr>
        <w:t xml:space="preserve">A long-term carcinogenicity study has been conducted in rats with CBD BDS using dietary doses of 5-50 mg/kg/day, with no </w:t>
      </w:r>
      <w:proofErr w:type="spellStart"/>
      <w:r w:rsidRPr="00F96FA7">
        <w:rPr>
          <w:szCs w:val="22"/>
        </w:rPr>
        <w:t>oncogenic</w:t>
      </w:r>
      <w:proofErr w:type="spellEnd"/>
      <w:r w:rsidRPr="00F96FA7">
        <w:rPr>
          <w:szCs w:val="22"/>
        </w:rPr>
        <w:t xml:space="preserve"> response being observed. The highest dose resulted in estimated CBD and THC exposures (based on AUC) that were respectively 350 and 40 times that expected in humans with the maximum recommended dose. No studies were conducted with </w:t>
      </w:r>
      <w:proofErr w:type="spellStart"/>
      <w:r w:rsidRPr="00F96FA7">
        <w:rPr>
          <w:szCs w:val="22"/>
        </w:rPr>
        <w:t>Sativex</w:t>
      </w:r>
      <w:proofErr w:type="spellEnd"/>
      <w:r w:rsidRPr="00F96FA7">
        <w:rPr>
          <w:szCs w:val="22"/>
        </w:rPr>
        <w:t xml:space="preserve"> or its other component, THC BDS, but results were available from a published source for mouse and rat studies with oral administration of THC. Doses of THC used in the mouse were 125, 250 and 500 mg/kg/day (17, 35 and 70 times the maximum recommended human dose in terms of body surface area). There was an increase in thyroid follicular cell adenomas in males and females, but only with the lowest dose and the significance of this finding is uncertain. No </w:t>
      </w:r>
      <w:proofErr w:type="spellStart"/>
      <w:r w:rsidRPr="00F96FA7">
        <w:rPr>
          <w:szCs w:val="22"/>
        </w:rPr>
        <w:t>oncogenic</w:t>
      </w:r>
      <w:proofErr w:type="spellEnd"/>
      <w:r w:rsidRPr="00F96FA7">
        <w:rPr>
          <w:szCs w:val="22"/>
        </w:rPr>
        <w:t xml:space="preserve"> responses were seen in rats with THC doses of 12.5-50 mg/kg/day (3-14 times the maximum recommended human dose based on body surface area), associated with estimated exposures (AUC) of 90-550 times that expected in humans with the maximum recommended dose.</w:t>
      </w:r>
    </w:p>
    <w:p w:rsidR="00F753BD" w:rsidRDefault="00F753BD">
      <w:pPr>
        <w:spacing w:before="0" w:line="240" w:lineRule="auto"/>
        <w:rPr>
          <w:b/>
          <w:u w:val="single"/>
        </w:rPr>
      </w:pPr>
      <w:r>
        <w:br w:type="page"/>
      </w:r>
    </w:p>
    <w:p w:rsidR="00053A2D" w:rsidRDefault="00DD38F2" w:rsidP="00053A2D">
      <w:pPr>
        <w:pStyle w:val="Heading2"/>
      </w:pPr>
      <w:r>
        <w:lastRenderedPageBreak/>
        <w:t xml:space="preserve">Effects on </w:t>
      </w:r>
      <w:r w:rsidR="003916D7" w:rsidRPr="00F17C1A">
        <w:t>Fertility</w:t>
      </w:r>
    </w:p>
    <w:p w:rsidR="00F96FA7" w:rsidRPr="00F96FA7" w:rsidRDefault="00F96FA7" w:rsidP="00F96FA7">
      <w:pPr>
        <w:jc w:val="both"/>
        <w:rPr>
          <w:szCs w:val="22"/>
        </w:rPr>
      </w:pPr>
      <w:r w:rsidRPr="00F96FA7">
        <w:rPr>
          <w:szCs w:val="22"/>
        </w:rPr>
        <w:t xml:space="preserve">Fertility in rats was unaffected by oral treatment with a 1:1 mixture of THC BDS and CBD BDS, at doses up to 12.5 mg/kg/day or each active component. This dose resulted in estimated exposures that were well in excess of that expected in humans with the maximum recommended dose (&gt;300 fold based on AUC). Effects on various male reproductive parameters have been reported with </w:t>
      </w:r>
      <w:proofErr w:type="spellStart"/>
      <w:r w:rsidRPr="00F96FA7">
        <w:rPr>
          <w:szCs w:val="22"/>
        </w:rPr>
        <w:t>cannabinoids</w:t>
      </w:r>
      <w:proofErr w:type="spellEnd"/>
      <w:r w:rsidRPr="00F96FA7">
        <w:rPr>
          <w:szCs w:val="22"/>
        </w:rPr>
        <w:t xml:space="preserve"> in some animal studies, but findings were inconsistent or observed at high/toxic doses and their clinical significance is uncertain.</w:t>
      </w:r>
    </w:p>
    <w:p w:rsidR="00053A2D" w:rsidRDefault="003916D7" w:rsidP="00053A2D">
      <w:pPr>
        <w:pStyle w:val="Heading2"/>
      </w:pPr>
      <w:r w:rsidRPr="00F17C1A">
        <w:t>Use in Pregnancy (Category B</w:t>
      </w:r>
      <w:r w:rsidR="00222145" w:rsidRPr="00F17C1A">
        <w:t>2</w:t>
      </w:r>
      <w:r w:rsidRPr="00F17C1A">
        <w:t>)</w:t>
      </w:r>
    </w:p>
    <w:p w:rsidR="00777F2D" w:rsidRDefault="00777F2D" w:rsidP="00F17C1A">
      <w:pPr>
        <w:jc w:val="both"/>
        <w:rPr>
          <w:color w:val="000000"/>
          <w:szCs w:val="22"/>
        </w:rPr>
      </w:pPr>
      <w:r w:rsidRPr="008B71C9">
        <w:rPr>
          <w:color w:val="000000"/>
          <w:szCs w:val="22"/>
        </w:rPr>
        <w:t xml:space="preserve">There is insufficient experience in humans regarding the effects of </w:t>
      </w:r>
      <w:proofErr w:type="spellStart"/>
      <w:r w:rsidR="00C73E02" w:rsidRPr="00340551">
        <w:rPr>
          <w:color w:val="000000"/>
          <w:szCs w:val="22"/>
        </w:rPr>
        <w:t>S</w:t>
      </w:r>
      <w:r w:rsidR="00340551">
        <w:rPr>
          <w:color w:val="000000"/>
          <w:szCs w:val="22"/>
        </w:rPr>
        <w:t>ativex</w:t>
      </w:r>
      <w:proofErr w:type="spellEnd"/>
      <w:r w:rsidRPr="008B71C9">
        <w:rPr>
          <w:color w:val="000000"/>
          <w:szCs w:val="22"/>
        </w:rPr>
        <w:t xml:space="preserve"> on reproduction. </w:t>
      </w:r>
      <w:r>
        <w:rPr>
          <w:color w:val="000000"/>
          <w:szCs w:val="22"/>
        </w:rPr>
        <w:t xml:space="preserve"> </w:t>
      </w:r>
      <w:proofErr w:type="spellStart"/>
      <w:r w:rsidR="00C73E02" w:rsidRPr="00340551">
        <w:rPr>
          <w:color w:val="000000"/>
          <w:szCs w:val="22"/>
        </w:rPr>
        <w:t>S</w:t>
      </w:r>
      <w:r w:rsidR="00340551">
        <w:rPr>
          <w:color w:val="000000"/>
          <w:szCs w:val="22"/>
        </w:rPr>
        <w:t>ativex</w:t>
      </w:r>
      <w:proofErr w:type="spellEnd"/>
      <w:r w:rsidRPr="008B71C9">
        <w:rPr>
          <w:color w:val="000000"/>
          <w:szCs w:val="22"/>
        </w:rPr>
        <w:t xml:space="preserve"> should not be used during pregnancy unless the potential risks to the</w:t>
      </w:r>
      <w:r w:rsidRPr="009F2ED5">
        <w:rPr>
          <w:color w:val="000000"/>
          <w:szCs w:val="22"/>
        </w:rPr>
        <w:t xml:space="preserve"> f</w:t>
      </w:r>
      <w:r w:rsidR="000E12EE">
        <w:rPr>
          <w:color w:val="000000"/>
          <w:szCs w:val="22"/>
        </w:rPr>
        <w:t>o</w:t>
      </w:r>
      <w:r w:rsidRPr="009F2ED5">
        <w:rPr>
          <w:color w:val="000000"/>
          <w:szCs w:val="22"/>
        </w:rPr>
        <w:t>etus a</w:t>
      </w:r>
      <w:r w:rsidRPr="008B71C9">
        <w:rPr>
          <w:color w:val="000000"/>
          <w:szCs w:val="22"/>
        </w:rPr>
        <w:t>nd/or embryo are considered to be outweighed by the benefit of treatment.</w:t>
      </w:r>
    </w:p>
    <w:p w:rsidR="00F96FA7" w:rsidRPr="00F96FA7" w:rsidRDefault="00F96FA7" w:rsidP="00F96FA7">
      <w:pPr>
        <w:jc w:val="both"/>
        <w:rPr>
          <w:color w:val="000000"/>
          <w:szCs w:val="22"/>
        </w:rPr>
      </w:pPr>
      <w:r w:rsidRPr="00F96FA7">
        <w:rPr>
          <w:color w:val="000000"/>
          <w:szCs w:val="22"/>
        </w:rPr>
        <w:t xml:space="preserve">There was no evidence for </w:t>
      </w:r>
      <w:proofErr w:type="spellStart"/>
      <w:r w:rsidRPr="00F96FA7">
        <w:rPr>
          <w:color w:val="000000"/>
          <w:szCs w:val="22"/>
        </w:rPr>
        <w:t>teratogenicity</w:t>
      </w:r>
      <w:proofErr w:type="spellEnd"/>
      <w:r w:rsidRPr="00F96FA7">
        <w:rPr>
          <w:color w:val="000000"/>
          <w:szCs w:val="22"/>
        </w:rPr>
        <w:t xml:space="preserve"> in rats and rabbits treated with oral doses of a 1:1 THC BDS and CBD BDS mixture of up to 12.5 mg/kg/day of each active component. This dose resulted in respective THC and BDS exposures (based on AUC) that were approximately 490 and 320 fold (rats) or 12.5 and 3 fold (rabbits) those expected in humans with the maximum recommended dose. The highest dose was </w:t>
      </w:r>
      <w:proofErr w:type="spellStart"/>
      <w:r w:rsidRPr="00F96FA7">
        <w:rPr>
          <w:color w:val="000000"/>
          <w:szCs w:val="22"/>
        </w:rPr>
        <w:t>maternotoxic</w:t>
      </w:r>
      <w:proofErr w:type="spellEnd"/>
      <w:r w:rsidRPr="00F96FA7">
        <w:rPr>
          <w:color w:val="000000"/>
          <w:szCs w:val="22"/>
        </w:rPr>
        <w:t xml:space="preserve"> in </w:t>
      </w:r>
      <w:r w:rsidR="008B7D4A">
        <w:rPr>
          <w:color w:val="000000"/>
          <w:szCs w:val="22"/>
        </w:rPr>
        <w:t>rabbits</w:t>
      </w:r>
      <w:r w:rsidRPr="00F96FA7">
        <w:rPr>
          <w:color w:val="000000"/>
          <w:szCs w:val="22"/>
        </w:rPr>
        <w:t xml:space="preserve"> and resulted in a slightly lower foetal weight and impaired skeletal ossification. Reduced foetal weights and increased incidences of skeletal variants were seen in rabbits, associated with maternal toxicity which was apparent with all doses tested. </w:t>
      </w:r>
    </w:p>
    <w:p w:rsidR="00F96FA7" w:rsidRPr="008B71C9" w:rsidRDefault="00F96FA7" w:rsidP="00F96FA7">
      <w:pPr>
        <w:jc w:val="both"/>
        <w:rPr>
          <w:color w:val="000000"/>
          <w:szCs w:val="22"/>
        </w:rPr>
      </w:pPr>
      <w:r w:rsidRPr="00F96FA7">
        <w:rPr>
          <w:color w:val="000000"/>
          <w:szCs w:val="22"/>
        </w:rPr>
        <w:t>Oral treatment of rats with 4 mg/kg/day of a 1:1 THC BDS and CBD BDS mixture from the time of implantation to weaning of the offspring resulted in a lower pup body weight gain and slightly impaired righting reflex on day 5</w:t>
      </w:r>
      <w:r w:rsidR="008B7D4A">
        <w:rPr>
          <w:color w:val="000000"/>
          <w:szCs w:val="22"/>
        </w:rPr>
        <w:t xml:space="preserve"> of lactation</w:t>
      </w:r>
      <w:r w:rsidRPr="00F96FA7">
        <w:rPr>
          <w:color w:val="000000"/>
          <w:szCs w:val="22"/>
        </w:rPr>
        <w:t>. The NOEL for these findings (2 mg/kg/day) was below the maximum recommended human dose in terms of body surface area.</w:t>
      </w:r>
    </w:p>
    <w:p w:rsidR="00053A2D" w:rsidRDefault="003916D7" w:rsidP="00053A2D">
      <w:pPr>
        <w:pStyle w:val="Heading2"/>
      </w:pPr>
      <w:r w:rsidRPr="00F17C1A">
        <w:t>Use in Lactation</w:t>
      </w:r>
    </w:p>
    <w:p w:rsidR="00F96FA7" w:rsidRPr="00F96FA7" w:rsidRDefault="00F96FA7" w:rsidP="00F96FA7">
      <w:pPr>
        <w:jc w:val="both"/>
      </w:pPr>
      <w:r w:rsidRPr="00F96FA7">
        <w:t xml:space="preserve">High concentrations of THC and CBD were measured in the milk of lactating rats after oral treatment with a 1:1 mixture of THC BDS and CBD BDS, as may be expected due to the </w:t>
      </w:r>
      <w:proofErr w:type="spellStart"/>
      <w:r w:rsidRPr="00F96FA7">
        <w:t>lipophilic</w:t>
      </w:r>
      <w:proofErr w:type="spellEnd"/>
      <w:r w:rsidRPr="00F96FA7">
        <w:t xml:space="preserve"> nature of </w:t>
      </w:r>
      <w:proofErr w:type="spellStart"/>
      <w:r w:rsidRPr="00F96FA7">
        <w:t>cannabinoids</w:t>
      </w:r>
      <w:proofErr w:type="spellEnd"/>
      <w:r w:rsidRPr="00F96FA7">
        <w:t>. Oral treatment of rats with a 1:1 THC BDS and CBD BDS mixture from the time of implantation to weaning was associated with impaired nursing behaviour and pup survival at doses of 5 mg/kg/day or greater (less than the maximum recommended human dose in terms of body surface area).</w:t>
      </w:r>
    </w:p>
    <w:p w:rsidR="00222145" w:rsidRPr="008B71C9" w:rsidRDefault="00222145" w:rsidP="00F17C1A">
      <w:pPr>
        <w:jc w:val="both"/>
      </w:pPr>
      <w:r w:rsidRPr="008B71C9">
        <w:t xml:space="preserve">Following repeat dosing, </w:t>
      </w:r>
      <w:r w:rsidR="00740CA0">
        <w:t xml:space="preserve">high levels of </w:t>
      </w:r>
      <w:proofErr w:type="spellStart"/>
      <w:r w:rsidRPr="008B71C9">
        <w:t>cannabinoids</w:t>
      </w:r>
      <w:proofErr w:type="spellEnd"/>
      <w:r w:rsidRPr="008B71C9">
        <w:t xml:space="preserve"> are concentrated in breast milk. </w:t>
      </w:r>
      <w:r>
        <w:t xml:space="preserve"> </w:t>
      </w:r>
      <w:r w:rsidRPr="008B71C9">
        <w:t>Doses in excess of normal clinical doses may affect growth rates of breast-fed infants.</w:t>
      </w:r>
    </w:p>
    <w:p w:rsidR="00222145" w:rsidRPr="008B71C9" w:rsidRDefault="00222145" w:rsidP="00F17C1A">
      <w:pPr>
        <w:jc w:val="both"/>
        <w:rPr>
          <w:b/>
          <w:bCs/>
          <w:strike/>
          <w:color w:val="000000"/>
          <w:szCs w:val="22"/>
        </w:rPr>
      </w:pPr>
      <w:r w:rsidRPr="008B71C9">
        <w:rPr>
          <w:color w:val="000000"/>
          <w:szCs w:val="22"/>
        </w:rPr>
        <w:t xml:space="preserve">In view of the considerable levels of </w:t>
      </w:r>
      <w:proofErr w:type="spellStart"/>
      <w:r w:rsidRPr="008B71C9">
        <w:rPr>
          <w:color w:val="000000"/>
          <w:szCs w:val="22"/>
        </w:rPr>
        <w:t>cannabinoids</w:t>
      </w:r>
      <w:proofErr w:type="spellEnd"/>
      <w:r>
        <w:rPr>
          <w:color w:val="000000"/>
          <w:szCs w:val="22"/>
        </w:rPr>
        <w:t xml:space="preserve"> </w:t>
      </w:r>
      <w:r w:rsidRPr="00962BDA">
        <w:rPr>
          <w:color w:val="000000"/>
          <w:szCs w:val="22"/>
        </w:rPr>
        <w:t>likely</w:t>
      </w:r>
      <w:r w:rsidRPr="008B71C9">
        <w:rPr>
          <w:color w:val="000000"/>
          <w:szCs w:val="22"/>
        </w:rPr>
        <w:t xml:space="preserve"> in maternal breast milk and the potential adverse developmental effects in infants, </w:t>
      </w:r>
      <w:proofErr w:type="spellStart"/>
      <w:r w:rsidR="00C73E02" w:rsidRPr="00340551">
        <w:rPr>
          <w:color w:val="000000"/>
          <w:szCs w:val="22"/>
        </w:rPr>
        <w:t>S</w:t>
      </w:r>
      <w:r w:rsidR="00340551">
        <w:rPr>
          <w:color w:val="000000"/>
          <w:szCs w:val="22"/>
        </w:rPr>
        <w:t>ativex</w:t>
      </w:r>
      <w:proofErr w:type="spellEnd"/>
      <w:r w:rsidRPr="008B71C9">
        <w:rPr>
          <w:color w:val="000000"/>
          <w:szCs w:val="22"/>
        </w:rPr>
        <w:t xml:space="preserve"> is contraindicated in </w:t>
      </w:r>
      <w:r>
        <w:rPr>
          <w:color w:val="000000"/>
          <w:szCs w:val="22"/>
        </w:rPr>
        <w:t xml:space="preserve">breast feeding </w:t>
      </w:r>
      <w:r w:rsidRPr="008B71C9">
        <w:rPr>
          <w:color w:val="000000"/>
          <w:szCs w:val="22"/>
        </w:rPr>
        <w:t>mothers</w:t>
      </w:r>
      <w:r w:rsidR="00F238F7">
        <w:rPr>
          <w:color w:val="000000"/>
          <w:szCs w:val="22"/>
        </w:rPr>
        <w:t xml:space="preserve"> (see CONTRAINDICATIONS)</w:t>
      </w:r>
      <w:r w:rsidRPr="008B71C9">
        <w:rPr>
          <w:color w:val="000000"/>
          <w:szCs w:val="22"/>
        </w:rPr>
        <w:t>.</w:t>
      </w:r>
    </w:p>
    <w:p w:rsidR="00053A2D" w:rsidRDefault="00DD38F2" w:rsidP="00053A2D">
      <w:pPr>
        <w:pStyle w:val="Heading2"/>
      </w:pPr>
      <w:r>
        <w:lastRenderedPageBreak/>
        <w:t>Paediatric Use</w:t>
      </w:r>
      <w:r w:rsidR="003916D7" w:rsidRPr="00F17C1A">
        <w:t xml:space="preserve"> (&lt;18 years)</w:t>
      </w:r>
    </w:p>
    <w:p w:rsidR="00356045" w:rsidRPr="00E531A9" w:rsidRDefault="00C73E02" w:rsidP="00F17C1A">
      <w:pPr>
        <w:jc w:val="both"/>
        <w:rPr>
          <w:color w:val="000000"/>
          <w:szCs w:val="22"/>
        </w:rPr>
      </w:pPr>
      <w:proofErr w:type="spellStart"/>
      <w:r w:rsidRPr="00340551">
        <w:rPr>
          <w:color w:val="000000"/>
          <w:szCs w:val="22"/>
        </w:rPr>
        <w:t>S</w:t>
      </w:r>
      <w:r w:rsidR="00340551">
        <w:rPr>
          <w:color w:val="000000"/>
          <w:szCs w:val="22"/>
        </w:rPr>
        <w:t>ativex</w:t>
      </w:r>
      <w:proofErr w:type="spellEnd"/>
      <w:r w:rsidR="00356045" w:rsidRPr="00E531A9">
        <w:rPr>
          <w:color w:val="000000"/>
          <w:szCs w:val="22"/>
        </w:rPr>
        <w:t xml:space="preserve"> is not recommended for use in childre</w:t>
      </w:r>
      <w:r w:rsidR="00356045" w:rsidRPr="00962BDA">
        <w:rPr>
          <w:color w:val="000000"/>
          <w:szCs w:val="22"/>
        </w:rPr>
        <w:t>n or adolescents below 18 years of age due to lack of safety and efficacy data.</w:t>
      </w:r>
    </w:p>
    <w:p w:rsidR="00053A2D" w:rsidRDefault="00DD38F2" w:rsidP="00053A2D">
      <w:pPr>
        <w:pStyle w:val="Heading2"/>
      </w:pPr>
      <w:r>
        <w:t>Use in the Elderly</w:t>
      </w:r>
      <w:r w:rsidR="003916D7" w:rsidRPr="00F17C1A">
        <w:t xml:space="preserve"> (&gt; 65 years)</w:t>
      </w:r>
    </w:p>
    <w:p w:rsidR="00DD38F2" w:rsidRPr="00740CA0" w:rsidRDefault="00886A7A" w:rsidP="00E67D65">
      <w:pPr>
        <w:ind w:right="62"/>
        <w:jc w:val="both"/>
        <w:rPr>
          <w:color w:val="000000"/>
          <w:szCs w:val="22"/>
        </w:rPr>
      </w:pPr>
      <w:r w:rsidRPr="008B71C9">
        <w:rPr>
          <w:color w:val="000000"/>
          <w:szCs w:val="22"/>
        </w:rPr>
        <w:t>No specific studies have been carried out in elderly patients, although patients up to 90 years of age have been included in clinical trials.  However, as elderly patients</w:t>
      </w:r>
      <w:r w:rsidR="000C0CAE">
        <w:rPr>
          <w:color w:val="000000"/>
          <w:szCs w:val="22"/>
        </w:rPr>
        <w:t xml:space="preserve"> may be</w:t>
      </w:r>
      <w:r w:rsidRPr="008B71C9">
        <w:rPr>
          <w:color w:val="000000"/>
          <w:szCs w:val="22"/>
        </w:rPr>
        <w:t xml:space="preserve"> more prone to develop some </w:t>
      </w:r>
      <w:r w:rsidR="000C0CAE">
        <w:rPr>
          <w:color w:val="000000"/>
          <w:szCs w:val="22"/>
        </w:rPr>
        <w:t xml:space="preserve">CNS </w:t>
      </w:r>
      <w:r w:rsidRPr="008B71C9">
        <w:rPr>
          <w:color w:val="000000"/>
          <w:szCs w:val="22"/>
        </w:rPr>
        <w:t>adverse reactions, care should be taken in terms of personal safety such as preparation of hot food and drinks.</w:t>
      </w:r>
      <w:r w:rsidRPr="008B71C9">
        <w:rPr>
          <w:b/>
          <w:color w:val="000000"/>
          <w:szCs w:val="22"/>
        </w:rPr>
        <w:t xml:space="preserve"> </w:t>
      </w:r>
      <w:r w:rsidR="00740CA0" w:rsidRPr="00740CA0">
        <w:rPr>
          <w:color w:val="000000"/>
          <w:szCs w:val="22"/>
        </w:rPr>
        <w:t xml:space="preserve">In clinical trials patients aged over 65 years were three times more likely to have a </w:t>
      </w:r>
      <w:r w:rsidR="000C0CAE">
        <w:rPr>
          <w:color w:val="000000"/>
          <w:szCs w:val="22"/>
        </w:rPr>
        <w:t xml:space="preserve">CNS </w:t>
      </w:r>
      <w:r w:rsidR="00740CA0" w:rsidRPr="00740CA0">
        <w:rPr>
          <w:color w:val="000000"/>
          <w:szCs w:val="22"/>
        </w:rPr>
        <w:t xml:space="preserve">adverse event on </w:t>
      </w:r>
      <w:proofErr w:type="spellStart"/>
      <w:r w:rsidR="00740CA0" w:rsidRPr="00740CA0">
        <w:rPr>
          <w:color w:val="000000"/>
          <w:szCs w:val="22"/>
        </w:rPr>
        <w:t>Sativex</w:t>
      </w:r>
      <w:proofErr w:type="spellEnd"/>
      <w:r w:rsidR="00740CA0" w:rsidRPr="00740CA0">
        <w:rPr>
          <w:color w:val="000000"/>
          <w:szCs w:val="22"/>
        </w:rPr>
        <w:t xml:space="preserve"> than on placebo, and more than a third of all elderly subjects on active treatment had a CNS adverse event.</w:t>
      </w:r>
    </w:p>
    <w:p w:rsidR="00053A2D" w:rsidRDefault="00C92719" w:rsidP="00053A2D">
      <w:pPr>
        <w:pStyle w:val="Heading2"/>
      </w:pPr>
      <w:r>
        <w:t>Effect on Laboratory Tests</w:t>
      </w:r>
    </w:p>
    <w:p w:rsidR="00053A2D" w:rsidRDefault="00C92719" w:rsidP="00053A2D">
      <w:pPr>
        <w:jc w:val="both"/>
        <w:rPr>
          <w:b/>
          <w:color w:val="000000"/>
          <w:szCs w:val="22"/>
        </w:rPr>
      </w:pPr>
      <w:r>
        <w:t xml:space="preserve">During clinical trials with </w:t>
      </w:r>
      <w:proofErr w:type="spellStart"/>
      <w:r w:rsidRPr="00340551">
        <w:t>S</w:t>
      </w:r>
      <w:r>
        <w:t>ativex</w:t>
      </w:r>
      <w:proofErr w:type="spellEnd"/>
      <w:r w:rsidRPr="00340551">
        <w:t>,</w:t>
      </w:r>
      <w:r>
        <w:t xml:space="preserve"> no clinically relevant effects on laboratory tests were observed.</w:t>
      </w:r>
    </w:p>
    <w:p w:rsidR="00053A2D" w:rsidRDefault="003916D7" w:rsidP="00053A2D">
      <w:pPr>
        <w:pStyle w:val="Heading2"/>
      </w:pPr>
      <w:r w:rsidRPr="00F17C1A">
        <w:t xml:space="preserve">Effects on </w:t>
      </w:r>
      <w:r w:rsidR="00C92719">
        <w:t>A</w:t>
      </w:r>
      <w:r w:rsidRPr="00F17C1A">
        <w:t xml:space="preserve">bility to </w:t>
      </w:r>
      <w:r w:rsidR="00C92719">
        <w:t>D</w:t>
      </w:r>
      <w:r w:rsidRPr="00F17C1A">
        <w:t xml:space="preserve">rive and </w:t>
      </w:r>
      <w:r w:rsidR="00C92719">
        <w:t>U</w:t>
      </w:r>
      <w:r w:rsidRPr="00F17C1A">
        <w:t xml:space="preserve">se </w:t>
      </w:r>
      <w:r w:rsidR="00C92719">
        <w:t>M</w:t>
      </w:r>
      <w:r w:rsidRPr="00F17C1A">
        <w:t>achines</w:t>
      </w:r>
    </w:p>
    <w:p w:rsidR="00886A7A" w:rsidRPr="00962BDA" w:rsidRDefault="00C73E02" w:rsidP="00F17C1A">
      <w:pPr>
        <w:jc w:val="both"/>
        <w:rPr>
          <w:color w:val="000000"/>
          <w:szCs w:val="22"/>
        </w:rPr>
      </w:pPr>
      <w:proofErr w:type="spellStart"/>
      <w:r w:rsidRPr="00340551">
        <w:rPr>
          <w:color w:val="000000"/>
          <w:szCs w:val="22"/>
        </w:rPr>
        <w:t>S</w:t>
      </w:r>
      <w:r w:rsidR="00340551">
        <w:rPr>
          <w:color w:val="000000"/>
          <w:szCs w:val="22"/>
        </w:rPr>
        <w:t>ativex</w:t>
      </w:r>
      <w:proofErr w:type="spellEnd"/>
      <w:r w:rsidR="00886A7A" w:rsidRPr="00962BDA">
        <w:rPr>
          <w:color w:val="000000"/>
          <w:szCs w:val="22"/>
        </w:rPr>
        <w:t xml:space="preserve"> may produce undesirable effects such as dizziness and somnolence which may impair judgement and performance of skilled tasks.  </w:t>
      </w:r>
      <w:r w:rsidR="00740CA0" w:rsidRPr="00740CA0">
        <w:rPr>
          <w:color w:val="000000"/>
          <w:szCs w:val="22"/>
        </w:rPr>
        <w:t xml:space="preserve">Therefore, given the combination of existing disability from MS plus the common effects of </w:t>
      </w:r>
      <w:proofErr w:type="spellStart"/>
      <w:r w:rsidR="00740CA0" w:rsidRPr="00740CA0">
        <w:rPr>
          <w:color w:val="000000"/>
          <w:szCs w:val="22"/>
        </w:rPr>
        <w:t>Sativex</w:t>
      </w:r>
      <w:proofErr w:type="spellEnd"/>
      <w:r w:rsidR="00897710">
        <w:rPr>
          <w:color w:val="000000"/>
          <w:szCs w:val="22"/>
        </w:rPr>
        <w:t>,</w:t>
      </w:r>
      <w:r w:rsidR="00897710" w:rsidRPr="00740CA0">
        <w:rPr>
          <w:color w:val="000000"/>
          <w:szCs w:val="22"/>
        </w:rPr>
        <w:t xml:space="preserve"> </w:t>
      </w:r>
      <w:r w:rsidR="00740CA0" w:rsidRPr="00740CA0">
        <w:rPr>
          <w:color w:val="000000"/>
          <w:szCs w:val="22"/>
        </w:rPr>
        <w:t xml:space="preserve">patients taking </w:t>
      </w:r>
      <w:proofErr w:type="spellStart"/>
      <w:r w:rsidR="00740CA0" w:rsidRPr="00740CA0">
        <w:rPr>
          <w:color w:val="000000"/>
          <w:szCs w:val="22"/>
        </w:rPr>
        <w:t>Sativex</w:t>
      </w:r>
      <w:proofErr w:type="spellEnd"/>
      <w:r w:rsidR="00740CA0" w:rsidRPr="00740CA0">
        <w:rPr>
          <w:color w:val="000000"/>
          <w:szCs w:val="22"/>
        </w:rPr>
        <w:t xml:space="preserve"> should not drive, operate dangerous machinery </w:t>
      </w:r>
      <w:r w:rsidR="00897710">
        <w:rPr>
          <w:color w:val="000000"/>
          <w:szCs w:val="22"/>
        </w:rPr>
        <w:t>or</w:t>
      </w:r>
      <w:r w:rsidR="00897710" w:rsidRPr="00740CA0">
        <w:rPr>
          <w:color w:val="000000"/>
          <w:szCs w:val="22"/>
        </w:rPr>
        <w:t xml:space="preserve"> </w:t>
      </w:r>
      <w:r w:rsidR="00740CA0" w:rsidRPr="00740CA0">
        <w:rPr>
          <w:color w:val="000000"/>
          <w:szCs w:val="22"/>
        </w:rPr>
        <w:t xml:space="preserve">engage in hazardous activities. </w:t>
      </w:r>
    </w:p>
    <w:p w:rsidR="00053A2D" w:rsidRDefault="00C92719" w:rsidP="00053A2D">
      <w:pPr>
        <w:pStyle w:val="Heading1"/>
      </w:pPr>
      <w:r>
        <w:t>INTERACTION WITH OTHER MEDICINES</w:t>
      </w:r>
    </w:p>
    <w:p w:rsidR="00877067" w:rsidRPr="008B71C9" w:rsidRDefault="00877067" w:rsidP="00F17C1A">
      <w:pPr>
        <w:jc w:val="both"/>
        <w:rPr>
          <w:color w:val="000000"/>
        </w:rPr>
      </w:pPr>
      <w:r w:rsidRPr="008B71C9">
        <w:rPr>
          <w:color w:val="000000"/>
        </w:rPr>
        <w:t xml:space="preserve">The two main components </w:t>
      </w:r>
      <w:r w:rsidRPr="00340551">
        <w:rPr>
          <w:color w:val="000000"/>
        </w:rPr>
        <w:t xml:space="preserve">of </w:t>
      </w:r>
      <w:proofErr w:type="spellStart"/>
      <w:r w:rsidR="00C73E02" w:rsidRPr="00340551">
        <w:rPr>
          <w:color w:val="000000"/>
        </w:rPr>
        <w:t>S</w:t>
      </w:r>
      <w:r w:rsidR="00340551">
        <w:rPr>
          <w:color w:val="000000"/>
        </w:rPr>
        <w:t>ativex</w:t>
      </w:r>
      <w:proofErr w:type="spellEnd"/>
      <w:r w:rsidRPr="00340551">
        <w:rPr>
          <w:color w:val="000000"/>
        </w:rPr>
        <w:t>,</w:t>
      </w:r>
      <w:r w:rsidRPr="008B71C9">
        <w:rPr>
          <w:color w:val="000000"/>
        </w:rPr>
        <w:t xml:space="preserve"> delta-9-tetrahydrocann</w:t>
      </w:r>
      <w:r>
        <w:rPr>
          <w:color w:val="000000"/>
        </w:rPr>
        <w:t>a</w:t>
      </w:r>
      <w:r w:rsidRPr="008B71C9">
        <w:rPr>
          <w:color w:val="000000"/>
        </w:rPr>
        <w:t>bi</w:t>
      </w:r>
      <w:r>
        <w:rPr>
          <w:color w:val="000000"/>
        </w:rPr>
        <w:t xml:space="preserve">nol (THC) and </w:t>
      </w:r>
      <w:proofErr w:type="spellStart"/>
      <w:r>
        <w:rPr>
          <w:color w:val="000000"/>
        </w:rPr>
        <w:t>cannabidiol</w:t>
      </w:r>
      <w:proofErr w:type="spellEnd"/>
      <w:r>
        <w:rPr>
          <w:color w:val="000000"/>
        </w:rPr>
        <w:t xml:space="preserve"> (CBD)</w:t>
      </w:r>
      <w:r w:rsidRPr="008B71C9">
        <w:rPr>
          <w:color w:val="000000"/>
        </w:rPr>
        <w:t xml:space="preserve"> are metabolised by the</w:t>
      </w:r>
      <w:r>
        <w:rPr>
          <w:color w:val="000000"/>
        </w:rPr>
        <w:t xml:space="preserve"> </w:t>
      </w:r>
      <w:proofErr w:type="spellStart"/>
      <w:r w:rsidRPr="00962BDA">
        <w:rPr>
          <w:color w:val="000000"/>
        </w:rPr>
        <w:t>cytochrome</w:t>
      </w:r>
      <w:proofErr w:type="spellEnd"/>
      <w:r w:rsidRPr="00962BDA">
        <w:rPr>
          <w:color w:val="000000"/>
        </w:rPr>
        <w:t xml:space="preserve"> P</w:t>
      </w:r>
      <w:r w:rsidRPr="00962BDA">
        <w:rPr>
          <w:color w:val="000000"/>
          <w:vertAlign w:val="subscript"/>
        </w:rPr>
        <w:t>4</w:t>
      </w:r>
      <w:r w:rsidRPr="00172B85">
        <w:rPr>
          <w:color w:val="000000"/>
          <w:vertAlign w:val="subscript"/>
        </w:rPr>
        <w:t>50</w:t>
      </w:r>
      <w:r w:rsidRPr="008B71C9">
        <w:rPr>
          <w:color w:val="000000"/>
        </w:rPr>
        <w:t xml:space="preserve"> enzyme system.</w:t>
      </w:r>
      <w:r>
        <w:rPr>
          <w:color w:val="000000"/>
        </w:rPr>
        <w:t xml:space="preserve"> </w:t>
      </w:r>
      <w:r w:rsidRPr="008B71C9">
        <w:rPr>
          <w:color w:val="000000"/>
        </w:rPr>
        <w:t xml:space="preserve"> </w:t>
      </w:r>
    </w:p>
    <w:p w:rsidR="00877067" w:rsidRPr="008B71C9" w:rsidRDefault="00877067" w:rsidP="00F17C1A">
      <w:pPr>
        <w:jc w:val="both"/>
        <w:rPr>
          <w:color w:val="000000"/>
        </w:rPr>
      </w:pPr>
      <w:r w:rsidRPr="008B71C9">
        <w:rPr>
          <w:color w:val="000000"/>
        </w:rPr>
        <w:t xml:space="preserve">The inhibitory effects of </w:t>
      </w:r>
      <w:proofErr w:type="spellStart"/>
      <w:r w:rsidR="00C73E02" w:rsidRPr="00340551">
        <w:rPr>
          <w:color w:val="000000"/>
        </w:rPr>
        <w:t>S</w:t>
      </w:r>
      <w:r w:rsidR="00340551">
        <w:rPr>
          <w:color w:val="000000"/>
        </w:rPr>
        <w:t>ativex</w:t>
      </w:r>
      <w:proofErr w:type="spellEnd"/>
      <w:r w:rsidRPr="008B71C9">
        <w:rPr>
          <w:color w:val="000000"/>
        </w:rPr>
        <w:t xml:space="preserve"> on the </w:t>
      </w:r>
      <w:proofErr w:type="spellStart"/>
      <w:r w:rsidRPr="008B71C9">
        <w:rPr>
          <w:color w:val="000000"/>
        </w:rPr>
        <w:t>cytochrome</w:t>
      </w:r>
      <w:proofErr w:type="spellEnd"/>
      <w:r w:rsidRPr="008B71C9">
        <w:rPr>
          <w:color w:val="000000"/>
        </w:rPr>
        <w:t xml:space="preserve"> P</w:t>
      </w:r>
      <w:r w:rsidRPr="008B71C9">
        <w:rPr>
          <w:color w:val="000000"/>
          <w:vertAlign w:val="subscript"/>
        </w:rPr>
        <w:t>450</w:t>
      </w:r>
      <w:r w:rsidRPr="008B71C9">
        <w:rPr>
          <w:color w:val="000000"/>
        </w:rPr>
        <w:t xml:space="preserve"> system seen </w:t>
      </w:r>
      <w:r w:rsidRPr="008B71C9">
        <w:rPr>
          <w:i/>
          <w:iCs/>
          <w:color w:val="000000"/>
        </w:rPr>
        <w:t xml:space="preserve">in vitro </w:t>
      </w:r>
      <w:r w:rsidRPr="008B71C9">
        <w:rPr>
          <w:color w:val="000000"/>
        </w:rPr>
        <w:t xml:space="preserve">were only seen at </w:t>
      </w:r>
      <w:r w:rsidR="00740CA0">
        <w:rPr>
          <w:color w:val="000000"/>
        </w:rPr>
        <w:t>concentrations</w:t>
      </w:r>
      <w:r w:rsidR="00740CA0" w:rsidRPr="008B71C9">
        <w:rPr>
          <w:color w:val="000000"/>
        </w:rPr>
        <w:t xml:space="preserve"> </w:t>
      </w:r>
      <w:r w:rsidRPr="008B71C9">
        <w:rPr>
          <w:color w:val="000000"/>
        </w:rPr>
        <w:t xml:space="preserve">significantly higher than the maximum observed in clinical trials. </w:t>
      </w:r>
    </w:p>
    <w:p w:rsidR="00877067" w:rsidRPr="008B71C9" w:rsidRDefault="00877067" w:rsidP="00F17C1A">
      <w:pPr>
        <w:jc w:val="both"/>
      </w:pPr>
      <w:r w:rsidRPr="008B71C9">
        <w:t xml:space="preserve">In an </w:t>
      </w:r>
      <w:r w:rsidRPr="008B71C9">
        <w:rPr>
          <w:i/>
        </w:rPr>
        <w:t>in vitro</w:t>
      </w:r>
      <w:r w:rsidRPr="008B71C9">
        <w:t xml:space="preserve"> study with 1:1% (v/v) THC botanical drug substance (BDS) and CBD BDS, no relevant induction of </w:t>
      </w:r>
      <w:proofErr w:type="spellStart"/>
      <w:r w:rsidRPr="00962BDA">
        <w:rPr>
          <w:color w:val="000000"/>
        </w:rPr>
        <w:t>cytochrome</w:t>
      </w:r>
      <w:proofErr w:type="spellEnd"/>
      <w:r w:rsidRPr="00962BDA">
        <w:rPr>
          <w:color w:val="000000"/>
        </w:rPr>
        <w:t xml:space="preserve"> </w:t>
      </w:r>
      <w:r w:rsidRPr="008B71C9">
        <w:t>P</w:t>
      </w:r>
      <w:r w:rsidRPr="008B71C9">
        <w:rPr>
          <w:vertAlign w:val="subscript"/>
        </w:rPr>
        <w:t>450</w:t>
      </w:r>
      <w:r w:rsidRPr="008B71C9">
        <w:t xml:space="preserve"> enzymes was seen for human CYP1A2, CYP2C9, CYP2C19 and CYP3A4 enzymes in human </w:t>
      </w:r>
      <w:proofErr w:type="spellStart"/>
      <w:r w:rsidRPr="008B71C9">
        <w:t>hepatocytes</w:t>
      </w:r>
      <w:proofErr w:type="spellEnd"/>
      <w:r w:rsidRPr="008B71C9">
        <w:t xml:space="preserve">, at doses of up to 1µM (314 </w:t>
      </w:r>
      <w:proofErr w:type="spellStart"/>
      <w:r w:rsidRPr="008B71C9">
        <w:t>ng</w:t>
      </w:r>
      <w:proofErr w:type="spellEnd"/>
      <w:r w:rsidRPr="008B71C9">
        <w:t>/</w:t>
      </w:r>
      <w:proofErr w:type="spellStart"/>
      <w:r w:rsidRPr="008B71C9">
        <w:t>mL</w:t>
      </w:r>
      <w:proofErr w:type="spellEnd"/>
      <w:r w:rsidRPr="008B71C9">
        <w:t>).</w:t>
      </w:r>
    </w:p>
    <w:p w:rsidR="00877067" w:rsidRPr="008B71C9" w:rsidRDefault="00877067" w:rsidP="00F17C1A">
      <w:pPr>
        <w:jc w:val="both"/>
        <w:rPr>
          <w:color w:val="000000"/>
          <w:szCs w:val="22"/>
        </w:rPr>
      </w:pPr>
      <w:r w:rsidRPr="008B71C9">
        <w:rPr>
          <w:color w:val="000000"/>
          <w:szCs w:val="22"/>
        </w:rPr>
        <w:t xml:space="preserve">When </w:t>
      </w:r>
      <w:proofErr w:type="spellStart"/>
      <w:r w:rsidR="00C73E02" w:rsidRPr="00340551">
        <w:rPr>
          <w:color w:val="000000"/>
          <w:szCs w:val="22"/>
        </w:rPr>
        <w:t>S</w:t>
      </w:r>
      <w:r w:rsidR="00340551">
        <w:rPr>
          <w:color w:val="000000"/>
          <w:szCs w:val="22"/>
        </w:rPr>
        <w:t>ativex</w:t>
      </w:r>
      <w:proofErr w:type="spellEnd"/>
      <w:r w:rsidRPr="008B71C9">
        <w:rPr>
          <w:color w:val="000000"/>
          <w:szCs w:val="22"/>
        </w:rPr>
        <w:t xml:space="preserve"> is co-administered with food </w:t>
      </w:r>
      <w:r w:rsidR="001049D3">
        <w:rPr>
          <w:color w:val="000000"/>
          <w:szCs w:val="22"/>
        </w:rPr>
        <w:t>the</w:t>
      </w:r>
      <w:r w:rsidRPr="008B71C9">
        <w:rPr>
          <w:color w:val="000000"/>
          <w:szCs w:val="22"/>
        </w:rPr>
        <w:t xml:space="preserve"> mean </w:t>
      </w:r>
      <w:proofErr w:type="spellStart"/>
      <w:r w:rsidRPr="008B71C9">
        <w:rPr>
          <w:color w:val="000000"/>
          <w:szCs w:val="22"/>
        </w:rPr>
        <w:t>C</w:t>
      </w:r>
      <w:r w:rsidRPr="008B71C9">
        <w:rPr>
          <w:color w:val="000000"/>
          <w:szCs w:val="22"/>
          <w:vertAlign w:val="subscript"/>
        </w:rPr>
        <w:t>max</w:t>
      </w:r>
      <w:proofErr w:type="spellEnd"/>
      <w:r w:rsidR="001049D3">
        <w:rPr>
          <w:color w:val="000000"/>
          <w:szCs w:val="22"/>
        </w:rPr>
        <w:t xml:space="preserve"> and</w:t>
      </w:r>
      <w:r w:rsidRPr="008B71C9">
        <w:rPr>
          <w:color w:val="000000"/>
          <w:szCs w:val="22"/>
        </w:rPr>
        <w:t xml:space="preserve"> AUC </w:t>
      </w:r>
      <w:r w:rsidR="001049D3">
        <w:rPr>
          <w:color w:val="000000"/>
          <w:szCs w:val="22"/>
        </w:rPr>
        <w:t xml:space="preserve">for THC were 1.6- and 2.8-fold higher compared with fasting conditions. Corresponding figures for CBD were </w:t>
      </w:r>
      <w:proofErr w:type="gramStart"/>
      <w:r w:rsidR="001049D3">
        <w:rPr>
          <w:color w:val="000000"/>
          <w:szCs w:val="22"/>
        </w:rPr>
        <w:t>3.3- and 5.1-fold</w:t>
      </w:r>
      <w:proofErr w:type="gramEnd"/>
      <w:r w:rsidR="001049D3">
        <w:rPr>
          <w:color w:val="000000"/>
          <w:szCs w:val="22"/>
        </w:rPr>
        <w:t>.</w:t>
      </w:r>
    </w:p>
    <w:p w:rsidR="001049D3" w:rsidRPr="001049D3" w:rsidRDefault="00877067" w:rsidP="001049D3">
      <w:pPr>
        <w:jc w:val="both"/>
        <w:rPr>
          <w:color w:val="000000"/>
          <w:szCs w:val="22"/>
          <w:lang w:val="en-US"/>
        </w:rPr>
      </w:pPr>
      <w:r w:rsidRPr="008B71C9">
        <w:rPr>
          <w:color w:val="000000"/>
          <w:szCs w:val="22"/>
        </w:rPr>
        <w:t xml:space="preserve">Concomitant treatment with the </w:t>
      </w:r>
      <w:r w:rsidRPr="00962BDA">
        <w:rPr>
          <w:color w:val="000000"/>
          <w:szCs w:val="22"/>
        </w:rPr>
        <w:t xml:space="preserve">CYP3A4 </w:t>
      </w:r>
      <w:r w:rsidRPr="008B71C9">
        <w:rPr>
          <w:color w:val="000000"/>
          <w:szCs w:val="22"/>
        </w:rPr>
        <w:t xml:space="preserve">inhibitor </w:t>
      </w:r>
      <w:proofErr w:type="spellStart"/>
      <w:r w:rsidRPr="008B71C9">
        <w:rPr>
          <w:color w:val="000000"/>
          <w:szCs w:val="22"/>
        </w:rPr>
        <w:t>ketoconazole</w:t>
      </w:r>
      <w:proofErr w:type="spellEnd"/>
      <w:r w:rsidRPr="008B71C9">
        <w:rPr>
          <w:color w:val="000000"/>
          <w:szCs w:val="22"/>
        </w:rPr>
        <w:t xml:space="preserve"> produced an increase in </w:t>
      </w:r>
      <w:proofErr w:type="spellStart"/>
      <w:r w:rsidRPr="008B71C9">
        <w:rPr>
          <w:color w:val="000000"/>
          <w:szCs w:val="22"/>
        </w:rPr>
        <w:t>C</w:t>
      </w:r>
      <w:r w:rsidRPr="008B71C9">
        <w:rPr>
          <w:color w:val="000000"/>
          <w:szCs w:val="22"/>
          <w:vertAlign w:val="subscript"/>
        </w:rPr>
        <w:t>max</w:t>
      </w:r>
      <w:proofErr w:type="spellEnd"/>
      <w:r w:rsidRPr="008B71C9">
        <w:rPr>
          <w:color w:val="000000"/>
          <w:szCs w:val="22"/>
        </w:rPr>
        <w:t xml:space="preserve"> and AUC of THC </w:t>
      </w:r>
      <w:r w:rsidR="001049D3">
        <w:rPr>
          <w:color w:val="000000"/>
          <w:szCs w:val="22"/>
        </w:rPr>
        <w:t>(1.2- and 1.8-fold, respectively),</w:t>
      </w:r>
      <w:r w:rsidRPr="008B71C9">
        <w:rPr>
          <w:color w:val="000000"/>
          <w:szCs w:val="22"/>
        </w:rPr>
        <w:t xml:space="preserve"> its primary metabolite </w:t>
      </w:r>
      <w:r w:rsidR="001049D3">
        <w:rPr>
          <w:color w:val="000000"/>
          <w:szCs w:val="22"/>
        </w:rPr>
        <w:t xml:space="preserve">(3- and 3.6-fold, respectively) </w:t>
      </w:r>
      <w:r w:rsidRPr="008B71C9">
        <w:rPr>
          <w:color w:val="000000"/>
          <w:szCs w:val="22"/>
        </w:rPr>
        <w:t xml:space="preserve">and </w:t>
      </w:r>
      <w:r>
        <w:rPr>
          <w:color w:val="000000"/>
          <w:szCs w:val="22"/>
        </w:rPr>
        <w:t xml:space="preserve">of </w:t>
      </w:r>
      <w:r w:rsidRPr="008B71C9">
        <w:rPr>
          <w:color w:val="000000"/>
          <w:szCs w:val="22"/>
        </w:rPr>
        <w:t>CBD</w:t>
      </w:r>
      <w:r w:rsidR="001049D3">
        <w:rPr>
          <w:color w:val="000000"/>
          <w:szCs w:val="22"/>
        </w:rPr>
        <w:t xml:space="preserve"> (2- and 2-fold, respectively)</w:t>
      </w:r>
      <w:r w:rsidRPr="008B71C9">
        <w:rPr>
          <w:color w:val="000000"/>
          <w:szCs w:val="22"/>
        </w:rPr>
        <w:t xml:space="preserve">.  </w:t>
      </w:r>
      <w:r w:rsidR="001049D3" w:rsidRPr="001049D3">
        <w:rPr>
          <w:color w:val="000000"/>
          <w:szCs w:val="22"/>
          <w:lang w:val="en-US"/>
        </w:rPr>
        <w:t xml:space="preserve">Therefore, if concomitant drug treatment with CYP3A4 inhibitors (e.g. </w:t>
      </w:r>
      <w:proofErr w:type="spellStart"/>
      <w:r w:rsidR="001049D3" w:rsidRPr="001049D3">
        <w:rPr>
          <w:color w:val="000000"/>
          <w:szCs w:val="22"/>
          <w:lang w:val="en-US"/>
        </w:rPr>
        <w:t>ketoconazole</w:t>
      </w:r>
      <w:proofErr w:type="spellEnd"/>
      <w:r w:rsidR="001049D3" w:rsidRPr="001049D3">
        <w:rPr>
          <w:color w:val="000000"/>
          <w:szCs w:val="22"/>
          <w:lang w:val="en-US"/>
        </w:rPr>
        <w:t xml:space="preserve">, </w:t>
      </w:r>
      <w:proofErr w:type="spellStart"/>
      <w:r w:rsidR="001049D3" w:rsidRPr="001049D3">
        <w:rPr>
          <w:color w:val="000000"/>
          <w:szCs w:val="22"/>
          <w:lang w:val="en-US"/>
        </w:rPr>
        <w:t>ritonavir</w:t>
      </w:r>
      <w:proofErr w:type="spellEnd"/>
      <w:r w:rsidR="001049D3" w:rsidRPr="001049D3">
        <w:rPr>
          <w:color w:val="000000"/>
          <w:szCs w:val="22"/>
          <w:lang w:val="en-US"/>
        </w:rPr>
        <w:t xml:space="preserve">, </w:t>
      </w:r>
      <w:proofErr w:type="spellStart"/>
      <w:r w:rsidR="001049D3" w:rsidRPr="001049D3">
        <w:rPr>
          <w:color w:val="000000"/>
          <w:szCs w:val="22"/>
          <w:lang w:val="en-US"/>
        </w:rPr>
        <w:t>clarithromycin</w:t>
      </w:r>
      <w:proofErr w:type="spellEnd"/>
      <w:r w:rsidR="001049D3" w:rsidRPr="001049D3">
        <w:rPr>
          <w:color w:val="000000"/>
          <w:szCs w:val="22"/>
          <w:lang w:val="en-US"/>
        </w:rPr>
        <w:t xml:space="preserve">) is started or stopped during treatment with </w:t>
      </w:r>
      <w:proofErr w:type="spellStart"/>
      <w:r w:rsidR="001049D3" w:rsidRPr="001049D3">
        <w:rPr>
          <w:color w:val="000000"/>
          <w:szCs w:val="22"/>
          <w:lang w:val="en-US"/>
        </w:rPr>
        <w:t>Sativex</w:t>
      </w:r>
      <w:proofErr w:type="spellEnd"/>
      <w:r w:rsidR="001049D3" w:rsidRPr="001049D3">
        <w:rPr>
          <w:color w:val="000000"/>
          <w:szCs w:val="22"/>
          <w:lang w:val="en-US"/>
        </w:rPr>
        <w:t xml:space="preserve">, a new dose titration may be required. </w:t>
      </w:r>
    </w:p>
    <w:p w:rsidR="00877067" w:rsidRPr="008B71C9" w:rsidRDefault="00877067" w:rsidP="00F17C1A">
      <w:pPr>
        <w:jc w:val="both"/>
        <w:rPr>
          <w:color w:val="000000"/>
          <w:szCs w:val="22"/>
        </w:rPr>
      </w:pPr>
      <w:r w:rsidRPr="008B71C9">
        <w:rPr>
          <w:color w:val="000000"/>
          <w:szCs w:val="22"/>
        </w:rPr>
        <w:lastRenderedPageBreak/>
        <w:t xml:space="preserve">Following treatment with the CYP3A4 inducer </w:t>
      </w:r>
      <w:proofErr w:type="spellStart"/>
      <w:r w:rsidRPr="008B71C9">
        <w:rPr>
          <w:color w:val="000000"/>
          <w:szCs w:val="22"/>
        </w:rPr>
        <w:t>rifampicin</w:t>
      </w:r>
      <w:proofErr w:type="spellEnd"/>
      <w:r w:rsidRPr="008B71C9">
        <w:rPr>
          <w:color w:val="000000"/>
          <w:szCs w:val="22"/>
        </w:rPr>
        <w:t xml:space="preserve"> reduction</w:t>
      </w:r>
      <w:r w:rsidR="001049D3">
        <w:rPr>
          <w:color w:val="000000"/>
          <w:szCs w:val="22"/>
        </w:rPr>
        <w:t>s</w:t>
      </w:r>
      <w:r w:rsidRPr="008B71C9">
        <w:rPr>
          <w:color w:val="000000"/>
          <w:szCs w:val="22"/>
        </w:rPr>
        <w:t xml:space="preserve"> in </w:t>
      </w:r>
      <w:proofErr w:type="spellStart"/>
      <w:r w:rsidRPr="008B71C9">
        <w:rPr>
          <w:color w:val="000000"/>
          <w:szCs w:val="22"/>
        </w:rPr>
        <w:t>C</w:t>
      </w:r>
      <w:r w:rsidRPr="008B71C9">
        <w:rPr>
          <w:color w:val="000000"/>
          <w:szCs w:val="22"/>
          <w:vertAlign w:val="subscript"/>
        </w:rPr>
        <w:t>max</w:t>
      </w:r>
      <w:proofErr w:type="spellEnd"/>
      <w:r w:rsidRPr="008B71C9">
        <w:rPr>
          <w:color w:val="000000"/>
          <w:szCs w:val="22"/>
        </w:rPr>
        <w:t xml:space="preserve"> and AUC of THC </w:t>
      </w:r>
      <w:r w:rsidR="001049D3">
        <w:rPr>
          <w:color w:val="000000"/>
          <w:szCs w:val="22"/>
        </w:rPr>
        <w:t>(40% and 20% reduction, respectively),</w:t>
      </w:r>
      <w:r w:rsidRPr="008B71C9">
        <w:rPr>
          <w:color w:val="000000"/>
          <w:szCs w:val="22"/>
        </w:rPr>
        <w:t xml:space="preserve"> its primary metabolite </w:t>
      </w:r>
      <w:r w:rsidR="001049D3">
        <w:rPr>
          <w:color w:val="000000"/>
          <w:szCs w:val="22"/>
        </w:rPr>
        <w:t>(</w:t>
      </w:r>
      <w:r w:rsidR="001D538D">
        <w:rPr>
          <w:color w:val="000000"/>
          <w:szCs w:val="22"/>
        </w:rPr>
        <w:t>85</w:t>
      </w:r>
      <w:r w:rsidR="001049D3">
        <w:rPr>
          <w:color w:val="000000"/>
          <w:szCs w:val="22"/>
        </w:rPr>
        <w:t xml:space="preserve">% and </w:t>
      </w:r>
      <w:r w:rsidR="001D538D">
        <w:rPr>
          <w:color w:val="000000"/>
          <w:szCs w:val="22"/>
        </w:rPr>
        <w:t>87</w:t>
      </w:r>
      <w:r w:rsidR="001049D3">
        <w:rPr>
          <w:color w:val="000000"/>
          <w:szCs w:val="22"/>
        </w:rPr>
        <w:t>% reduction, respectively)</w:t>
      </w:r>
      <w:proofErr w:type="gramStart"/>
      <w:r w:rsidR="001049D3">
        <w:rPr>
          <w:color w:val="000000"/>
          <w:szCs w:val="22"/>
        </w:rPr>
        <w:t>,</w:t>
      </w:r>
      <w:r w:rsidRPr="008B71C9">
        <w:rPr>
          <w:color w:val="000000"/>
          <w:szCs w:val="22"/>
        </w:rPr>
        <w:t>and</w:t>
      </w:r>
      <w:proofErr w:type="gramEnd"/>
      <w:r w:rsidRPr="008B71C9">
        <w:rPr>
          <w:color w:val="000000"/>
          <w:szCs w:val="22"/>
        </w:rPr>
        <w:t xml:space="preserve"> CBD </w:t>
      </w:r>
      <w:r w:rsidR="001D538D">
        <w:rPr>
          <w:color w:val="000000"/>
          <w:szCs w:val="22"/>
        </w:rPr>
        <w:t>(50% and 60% reduction, respectively),</w:t>
      </w:r>
      <w:r w:rsidRPr="008B71C9">
        <w:rPr>
          <w:color w:val="000000"/>
          <w:szCs w:val="22"/>
        </w:rPr>
        <w:t xml:space="preserve">were observed.  </w:t>
      </w:r>
      <w:r w:rsidR="001D538D" w:rsidRPr="001D538D">
        <w:rPr>
          <w:color w:val="000000"/>
          <w:szCs w:val="22"/>
          <w:lang w:val="en-US"/>
        </w:rPr>
        <w:t>Therefore, if concomitant drug treatment with strong enzyme inducers (</w:t>
      </w:r>
      <w:proofErr w:type="spellStart"/>
      <w:r w:rsidR="001D538D" w:rsidRPr="001D538D">
        <w:rPr>
          <w:color w:val="000000"/>
          <w:szCs w:val="22"/>
          <w:lang w:val="en-US"/>
        </w:rPr>
        <w:t>e.g.rifampicin</w:t>
      </w:r>
      <w:proofErr w:type="spellEnd"/>
      <w:r w:rsidR="001D538D" w:rsidRPr="001D538D">
        <w:rPr>
          <w:color w:val="000000"/>
          <w:szCs w:val="22"/>
          <w:lang w:val="en-US"/>
        </w:rPr>
        <w:t xml:space="preserve">, </w:t>
      </w:r>
      <w:proofErr w:type="spellStart"/>
      <w:r w:rsidR="001D538D" w:rsidRPr="001D538D">
        <w:rPr>
          <w:color w:val="000000"/>
          <w:szCs w:val="22"/>
          <w:lang w:val="en-US"/>
        </w:rPr>
        <w:t>carbamazepine</w:t>
      </w:r>
      <w:proofErr w:type="spellEnd"/>
      <w:r w:rsidR="001D538D" w:rsidRPr="001D538D">
        <w:rPr>
          <w:color w:val="000000"/>
          <w:szCs w:val="22"/>
          <w:lang w:val="en-US"/>
        </w:rPr>
        <w:t xml:space="preserve">, St John’s </w:t>
      </w:r>
      <w:proofErr w:type="spellStart"/>
      <w:r w:rsidR="001D538D" w:rsidRPr="001D538D">
        <w:rPr>
          <w:color w:val="000000"/>
          <w:szCs w:val="22"/>
          <w:lang w:val="en-US"/>
        </w:rPr>
        <w:t>Wort</w:t>
      </w:r>
      <w:proofErr w:type="spellEnd"/>
      <w:r w:rsidR="001D538D" w:rsidRPr="001D538D">
        <w:rPr>
          <w:color w:val="000000"/>
          <w:szCs w:val="22"/>
          <w:lang w:val="en-US"/>
        </w:rPr>
        <w:t xml:space="preserve">) is started or stopped during treatment with </w:t>
      </w:r>
      <w:proofErr w:type="spellStart"/>
      <w:r w:rsidR="001D538D" w:rsidRPr="001D538D">
        <w:rPr>
          <w:color w:val="000000"/>
          <w:szCs w:val="22"/>
          <w:lang w:val="en-US"/>
        </w:rPr>
        <w:t>Sativex</w:t>
      </w:r>
      <w:proofErr w:type="spellEnd"/>
      <w:r w:rsidR="001D538D" w:rsidRPr="001D538D">
        <w:rPr>
          <w:color w:val="000000"/>
          <w:szCs w:val="22"/>
          <w:lang w:val="en-US"/>
        </w:rPr>
        <w:t>, a new dose titration may be required.</w:t>
      </w:r>
      <w:r w:rsidR="001D538D">
        <w:rPr>
          <w:color w:val="000000"/>
          <w:szCs w:val="22"/>
          <w:lang w:val="en-US"/>
        </w:rPr>
        <w:t xml:space="preserve"> </w:t>
      </w:r>
    </w:p>
    <w:p w:rsidR="00877067" w:rsidRDefault="00877067" w:rsidP="00F17C1A">
      <w:pPr>
        <w:jc w:val="both"/>
        <w:rPr>
          <w:color w:val="000000"/>
          <w:szCs w:val="22"/>
        </w:rPr>
      </w:pPr>
      <w:r w:rsidRPr="008B71C9">
        <w:rPr>
          <w:color w:val="000000"/>
          <w:szCs w:val="22"/>
        </w:rPr>
        <w:t xml:space="preserve">Concomitant treatment with the CYP2C19 inhibitor </w:t>
      </w:r>
      <w:proofErr w:type="spellStart"/>
      <w:r w:rsidRPr="008B71C9">
        <w:rPr>
          <w:color w:val="000000"/>
          <w:szCs w:val="22"/>
        </w:rPr>
        <w:t>omeprazole</w:t>
      </w:r>
      <w:proofErr w:type="spellEnd"/>
      <w:r w:rsidRPr="008B71C9">
        <w:rPr>
          <w:color w:val="000000"/>
          <w:szCs w:val="22"/>
        </w:rPr>
        <w:t xml:space="preserve"> resulted in no notable change in any of the pharmacokinetic parameters.</w:t>
      </w:r>
    </w:p>
    <w:p w:rsidR="001D538D" w:rsidRPr="001D538D" w:rsidRDefault="001D538D" w:rsidP="00F17C1A">
      <w:pPr>
        <w:jc w:val="both"/>
        <w:rPr>
          <w:color w:val="000000"/>
          <w:szCs w:val="22"/>
        </w:rPr>
      </w:pPr>
      <w:r w:rsidRPr="001D538D">
        <w:rPr>
          <w:color w:val="000000"/>
          <w:szCs w:val="22"/>
          <w:lang w:val="en-US"/>
        </w:rPr>
        <w:t xml:space="preserve">Based on </w:t>
      </w:r>
      <w:r w:rsidRPr="001D538D">
        <w:rPr>
          <w:i/>
          <w:color w:val="000000"/>
          <w:szCs w:val="22"/>
          <w:lang w:val="en-US"/>
        </w:rPr>
        <w:t>in vitro</w:t>
      </w:r>
      <w:r w:rsidRPr="001D538D">
        <w:rPr>
          <w:color w:val="000000"/>
          <w:szCs w:val="22"/>
          <w:lang w:val="en-US"/>
        </w:rPr>
        <w:t xml:space="preserve"> data an inhibition of p-glycoprotein at the intestinal level by CBD cannot be excluded. Therefore, caution is recommended upon concomitant treatment with </w:t>
      </w:r>
      <w:proofErr w:type="spellStart"/>
      <w:r w:rsidRPr="001D538D">
        <w:rPr>
          <w:color w:val="000000"/>
          <w:szCs w:val="22"/>
          <w:lang w:val="en-US"/>
        </w:rPr>
        <w:t>digoxin</w:t>
      </w:r>
      <w:proofErr w:type="spellEnd"/>
      <w:r w:rsidRPr="001D538D">
        <w:rPr>
          <w:color w:val="000000"/>
          <w:szCs w:val="22"/>
          <w:lang w:val="en-US"/>
        </w:rPr>
        <w:t xml:space="preserve"> and other drugs being substrates for p-glycoprotein. </w:t>
      </w:r>
    </w:p>
    <w:p w:rsidR="00877067" w:rsidRPr="008B71C9" w:rsidRDefault="00877067" w:rsidP="00F17C1A">
      <w:pPr>
        <w:jc w:val="both"/>
        <w:rPr>
          <w:color w:val="000000"/>
        </w:rPr>
      </w:pPr>
      <w:r w:rsidRPr="008B71C9">
        <w:rPr>
          <w:color w:val="000000"/>
        </w:rPr>
        <w:t>Care should be taken with hypnotics, sedatives and drugs with potential sedating effects as there may be an additive effect on sedation and muscle relaxing effects.</w:t>
      </w:r>
    </w:p>
    <w:p w:rsidR="00877067" w:rsidRPr="008C0F38" w:rsidRDefault="00877067" w:rsidP="00F17C1A">
      <w:pPr>
        <w:jc w:val="both"/>
        <w:rPr>
          <w:color w:val="000000"/>
        </w:rPr>
      </w:pPr>
      <w:r w:rsidRPr="008C0F38">
        <w:rPr>
          <w:color w:val="000000"/>
        </w:rPr>
        <w:t xml:space="preserve">Although there has been no greater rate of adverse events in patients already taking anti-spasticity agents with </w:t>
      </w:r>
      <w:proofErr w:type="spellStart"/>
      <w:r w:rsidR="00C73E02" w:rsidRPr="00340551">
        <w:rPr>
          <w:color w:val="000000"/>
        </w:rPr>
        <w:t>S</w:t>
      </w:r>
      <w:r w:rsidR="00340551">
        <w:rPr>
          <w:color w:val="000000"/>
        </w:rPr>
        <w:t>ativex</w:t>
      </w:r>
      <w:proofErr w:type="spellEnd"/>
      <w:r w:rsidRPr="008C0F38">
        <w:rPr>
          <w:color w:val="000000"/>
        </w:rPr>
        <w:t xml:space="preserve">, care should be taken when co-administering </w:t>
      </w:r>
      <w:proofErr w:type="spellStart"/>
      <w:r w:rsidR="00C73E02">
        <w:rPr>
          <w:color w:val="000000"/>
        </w:rPr>
        <w:t>S</w:t>
      </w:r>
      <w:r w:rsidR="00340551">
        <w:rPr>
          <w:color w:val="000000"/>
        </w:rPr>
        <w:t>ativex</w:t>
      </w:r>
      <w:proofErr w:type="spellEnd"/>
      <w:r w:rsidRPr="008C0F38">
        <w:rPr>
          <w:color w:val="000000"/>
        </w:rPr>
        <w:t xml:space="preserve"> with such agents since a reduction in muscle tone and power may occur, leading to a greater risk of falls. </w:t>
      </w:r>
    </w:p>
    <w:p w:rsidR="00877067" w:rsidRPr="008B71C9" w:rsidRDefault="00C73E02" w:rsidP="00F17C1A">
      <w:pPr>
        <w:jc w:val="both"/>
        <w:rPr>
          <w:color w:val="000000"/>
        </w:rPr>
      </w:pPr>
      <w:proofErr w:type="spellStart"/>
      <w:r w:rsidRPr="00340551">
        <w:rPr>
          <w:color w:val="000000"/>
        </w:rPr>
        <w:t>S</w:t>
      </w:r>
      <w:r w:rsidR="00340551">
        <w:rPr>
          <w:color w:val="000000"/>
        </w:rPr>
        <w:t>ativex</w:t>
      </w:r>
      <w:proofErr w:type="spellEnd"/>
      <w:r w:rsidR="00877067" w:rsidRPr="00340551">
        <w:rPr>
          <w:color w:val="000000"/>
        </w:rPr>
        <w:t xml:space="preserve"> may</w:t>
      </w:r>
      <w:r w:rsidR="00877067" w:rsidRPr="008B71C9">
        <w:rPr>
          <w:color w:val="000000"/>
        </w:rPr>
        <w:t xml:space="preserve"> interact with alcohol, affecting co-ordination, concentration and ability to respond quickly.</w:t>
      </w:r>
      <w:r w:rsidR="00B61A2A">
        <w:rPr>
          <w:sz w:val="22"/>
          <w:szCs w:val="22"/>
        </w:rPr>
        <w:t xml:space="preserve"> </w:t>
      </w:r>
      <w:r w:rsidR="00B61A2A" w:rsidRPr="005F4267">
        <w:rPr>
          <w:color w:val="000000"/>
        </w:rPr>
        <w:t xml:space="preserve">In general, alcoholic beverages should be avoided whilst using </w:t>
      </w:r>
      <w:proofErr w:type="spellStart"/>
      <w:r w:rsidR="00B61A2A" w:rsidRPr="005F4267">
        <w:rPr>
          <w:color w:val="000000"/>
        </w:rPr>
        <w:t>Sativex</w:t>
      </w:r>
      <w:proofErr w:type="spellEnd"/>
      <w:r w:rsidR="00B61A2A" w:rsidRPr="005F4267">
        <w:rPr>
          <w:color w:val="000000"/>
        </w:rPr>
        <w:t xml:space="preserve"> especially at the beginning of treatment or when changing dose. Patients should be advised that if they do drink alcohol while using </w:t>
      </w:r>
      <w:proofErr w:type="spellStart"/>
      <w:r w:rsidR="00B61A2A" w:rsidRPr="005F4267">
        <w:rPr>
          <w:color w:val="000000"/>
        </w:rPr>
        <w:t>Sativex</w:t>
      </w:r>
      <w:proofErr w:type="spellEnd"/>
      <w:r w:rsidR="00B61A2A" w:rsidRPr="005F4267">
        <w:rPr>
          <w:color w:val="000000"/>
        </w:rPr>
        <w:t xml:space="preserve"> additive CNS effects could increase the risk of falls and other accidents.</w:t>
      </w:r>
    </w:p>
    <w:p w:rsidR="00053A2D" w:rsidRDefault="003916D7" w:rsidP="00053A2D">
      <w:pPr>
        <w:pStyle w:val="Heading1"/>
      </w:pPr>
      <w:r>
        <w:t xml:space="preserve">ADVERSE </w:t>
      </w:r>
      <w:r w:rsidR="005836AE">
        <w:t>EFFECTS</w:t>
      </w:r>
    </w:p>
    <w:p w:rsidR="005836AE" w:rsidRPr="008B71C9" w:rsidRDefault="005836AE" w:rsidP="00F17C1A">
      <w:pPr>
        <w:jc w:val="both"/>
      </w:pPr>
      <w:r w:rsidRPr="008B71C9">
        <w:t xml:space="preserve">The </w:t>
      </w:r>
      <w:proofErr w:type="spellStart"/>
      <w:r w:rsidR="00C73E02" w:rsidRPr="00340551">
        <w:t>S</w:t>
      </w:r>
      <w:r w:rsidR="00340551">
        <w:t>ativex</w:t>
      </w:r>
      <w:proofErr w:type="spellEnd"/>
      <w:r w:rsidRPr="008B71C9">
        <w:t xml:space="preserve"> clinical program has so far involved over </w:t>
      </w:r>
      <w:r>
        <w:t>1500</w:t>
      </w:r>
      <w:r w:rsidRPr="008B71C9">
        <w:t xml:space="preserve"> patients </w:t>
      </w:r>
      <w:r>
        <w:t xml:space="preserve">with MS </w:t>
      </w:r>
      <w:r w:rsidRPr="008B71C9">
        <w:t>in placebo controlled trials and long-term open label studies</w:t>
      </w:r>
      <w:r>
        <w:t xml:space="preserve"> in which some patients used up to 48 sprays per day</w:t>
      </w:r>
      <w:r w:rsidRPr="008B71C9">
        <w:t xml:space="preserve">. </w:t>
      </w:r>
    </w:p>
    <w:p w:rsidR="005836AE" w:rsidRDefault="005836AE" w:rsidP="00F17C1A">
      <w:pPr>
        <w:jc w:val="both"/>
      </w:pPr>
      <w:r w:rsidRPr="008B71C9">
        <w:t xml:space="preserve">The most commonly reported adverse reactions </w:t>
      </w:r>
      <w:r>
        <w:t>in the first four weeks of exposure</w:t>
      </w:r>
      <w:r w:rsidRPr="008B71C9">
        <w:t xml:space="preserve"> were dizziness, which occurs mainly during the initial titration period, and fatigue.  These reactions are usually mild to moderate and resolve within a few days even if treatment is continued (see </w:t>
      </w:r>
      <w:r>
        <w:t>DOSAGE AND ADMINISTRATION</w:t>
      </w:r>
      <w:r w:rsidRPr="008B71C9">
        <w:t xml:space="preserve">).  </w:t>
      </w:r>
      <w:r>
        <w:t>When the recommended dose titration schedule was used, the incidence of dizziness and fatigue in the first four weeks was much reduced.</w:t>
      </w:r>
    </w:p>
    <w:p w:rsidR="005F4267" w:rsidRDefault="005F4267" w:rsidP="005F4267">
      <w:pPr>
        <w:jc w:val="both"/>
      </w:pPr>
      <w:r w:rsidRPr="005F4267">
        <w:t xml:space="preserve">Treatment emergent all-causality adverse events with an incidence of at least 1% for </w:t>
      </w:r>
      <w:proofErr w:type="spellStart"/>
      <w:r w:rsidRPr="005F4267">
        <w:t>Sativex</w:t>
      </w:r>
      <w:proofErr w:type="spellEnd"/>
      <w:r w:rsidRPr="005F4267">
        <w:t xml:space="preserve"> </w:t>
      </w:r>
      <w:r>
        <w:t>in</w:t>
      </w:r>
      <w:r w:rsidR="005836AE" w:rsidRPr="008B71C9">
        <w:t xml:space="preserve"> placebo controlled trials</w:t>
      </w:r>
      <w:r w:rsidR="005836AE">
        <w:t xml:space="preserve"> in patients with </w:t>
      </w:r>
      <w:proofErr w:type="spellStart"/>
      <w:r w:rsidR="005836AE">
        <w:t>MS</w:t>
      </w:r>
      <w:r w:rsidR="005836AE" w:rsidRPr="008B71C9">
        <w:t>are</w:t>
      </w:r>
      <w:proofErr w:type="spellEnd"/>
      <w:r w:rsidR="005836AE" w:rsidRPr="008B71C9">
        <w:t xml:space="preserve"> given below (some of these adverse events may be part of the underlying condition)</w:t>
      </w:r>
      <w:r w:rsidR="005836AE">
        <w:t>.</w:t>
      </w:r>
    </w:p>
    <w:p w:rsidR="00F753BD" w:rsidRDefault="00F753BD">
      <w:pPr>
        <w:spacing w:before="0" w:line="240" w:lineRule="auto"/>
      </w:pPr>
      <w:r>
        <w:br w:type="page"/>
      </w:r>
    </w:p>
    <w:tbl>
      <w:tblPr>
        <w:tblW w:w="9464" w:type="dxa"/>
        <w:tblLayout w:type="fixed"/>
        <w:tblLook w:val="0000"/>
      </w:tblPr>
      <w:tblGrid>
        <w:gridCol w:w="1815"/>
        <w:gridCol w:w="1260"/>
        <w:gridCol w:w="1260"/>
        <w:gridCol w:w="1302"/>
        <w:gridCol w:w="1260"/>
        <w:gridCol w:w="1260"/>
        <w:gridCol w:w="1307"/>
      </w:tblGrid>
      <w:tr w:rsidR="005F4267" w:rsidRPr="00CD05FB" w:rsidTr="00B0289A">
        <w:trPr>
          <w:tblHeader/>
        </w:trPr>
        <w:tc>
          <w:tcPr>
            <w:tcW w:w="18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p>
        </w:tc>
        <w:tc>
          <w:tcPr>
            <w:tcW w:w="38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r w:rsidRPr="00CD05FB">
              <w:rPr>
                <w:b/>
                <w:bCs/>
                <w:sz w:val="20"/>
                <w:szCs w:val="20"/>
              </w:rPr>
              <w:t>All-Causality</w:t>
            </w:r>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r w:rsidRPr="00CD05FB">
              <w:rPr>
                <w:b/>
                <w:bCs/>
                <w:sz w:val="20"/>
                <w:szCs w:val="20"/>
              </w:rPr>
              <w:t>Treatment-related</w:t>
            </w:r>
          </w:p>
        </w:tc>
      </w:tr>
      <w:tr w:rsidR="005F4267" w:rsidRPr="00CD05FB" w:rsidTr="00B0289A">
        <w:trPr>
          <w:tblHeader/>
        </w:trPr>
        <w:tc>
          <w:tcPr>
            <w:tcW w:w="181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r w:rsidRPr="00CD05FB">
              <w:rPr>
                <w:b/>
                <w:bCs/>
                <w:sz w:val="20"/>
                <w:szCs w:val="20"/>
              </w:rPr>
              <w:t>Comparative Subjects</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r w:rsidRPr="00CD05FB">
              <w:rPr>
                <w:b/>
                <w:bCs/>
                <w:sz w:val="20"/>
                <w:szCs w:val="20"/>
              </w:rPr>
              <w:t xml:space="preserve">Non-comparative </w:t>
            </w:r>
            <w:r w:rsidRPr="00CD05FB">
              <w:rPr>
                <w:b/>
                <w:bCs/>
                <w:sz w:val="20"/>
                <w:szCs w:val="20"/>
              </w:rPr>
              <w:br/>
              <w:t>Subjects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r w:rsidRPr="00CD05FB">
              <w:rPr>
                <w:b/>
                <w:bCs/>
                <w:sz w:val="20"/>
                <w:szCs w:val="20"/>
              </w:rPr>
              <w:t>Comparative Subjects</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r w:rsidRPr="00CD05FB">
              <w:rPr>
                <w:b/>
                <w:bCs/>
                <w:sz w:val="20"/>
                <w:szCs w:val="20"/>
              </w:rPr>
              <w:t xml:space="preserve">Non-comparative </w:t>
            </w:r>
            <w:r w:rsidRPr="00CD05FB">
              <w:rPr>
                <w:b/>
                <w:bCs/>
                <w:sz w:val="20"/>
                <w:szCs w:val="20"/>
              </w:rPr>
              <w:br/>
              <w:t>Subjects</w:t>
            </w:r>
          </w:p>
        </w:tc>
      </w:tr>
      <w:tr w:rsidR="005F4267" w:rsidRPr="00CD05FB" w:rsidTr="00B0289A">
        <w:trPr>
          <w:tblHeader/>
        </w:trPr>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r w:rsidRPr="00CD05FB">
              <w:rPr>
                <w:b/>
                <w:bCs/>
                <w:sz w:val="20"/>
                <w:szCs w:val="20"/>
              </w:rPr>
              <w:t xml:space="preserve">System Organ Class </w:t>
            </w:r>
          </w:p>
          <w:p w:rsidR="005F4267" w:rsidRPr="00CD05FB" w:rsidRDefault="005F4267" w:rsidP="006C6F23">
            <w:pPr>
              <w:pStyle w:val="Normal-table"/>
              <w:spacing w:before="0" w:after="0"/>
              <w:jc w:val="center"/>
              <w:rPr>
                <w:rFonts w:eastAsia="Arial Unicode MS"/>
                <w:bCs/>
                <w:sz w:val="20"/>
                <w:szCs w:val="20"/>
              </w:rPr>
            </w:pPr>
            <w:r w:rsidRPr="00CD05FB">
              <w:rPr>
                <w:bCs/>
                <w:sz w:val="20"/>
                <w:szCs w:val="20"/>
              </w:rPr>
              <w:t>Preferred Term</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proofErr w:type="spellStart"/>
            <w:r w:rsidRPr="00CD05FB">
              <w:rPr>
                <w:b/>
                <w:bCs/>
                <w:sz w:val="20"/>
                <w:szCs w:val="20"/>
              </w:rPr>
              <w:t>Sativex</w:t>
            </w:r>
            <w:proofErr w:type="spellEnd"/>
          </w:p>
          <w:p w:rsidR="005F4267" w:rsidRPr="00CD05FB" w:rsidRDefault="005F4267" w:rsidP="006C6F23">
            <w:pPr>
              <w:pStyle w:val="Normal-table"/>
              <w:spacing w:before="0" w:after="0"/>
              <w:jc w:val="center"/>
              <w:rPr>
                <w:b/>
                <w:bCs/>
                <w:sz w:val="20"/>
                <w:szCs w:val="20"/>
              </w:rPr>
            </w:pPr>
            <w:r w:rsidRPr="00CD05FB">
              <w:rPr>
                <w:b/>
                <w:bCs/>
                <w:sz w:val="20"/>
                <w:szCs w:val="20"/>
              </w:rPr>
              <w:t xml:space="preserve">Total </w:t>
            </w:r>
            <w:r w:rsidRPr="00CD05FB">
              <w:rPr>
                <w:b/>
                <w:bCs/>
                <w:sz w:val="20"/>
                <w:szCs w:val="20"/>
              </w:rPr>
              <w:br/>
              <w:t>(n=805)</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r w:rsidRPr="00CD05FB">
              <w:rPr>
                <w:b/>
                <w:bCs/>
                <w:sz w:val="20"/>
                <w:szCs w:val="20"/>
              </w:rPr>
              <w:t>Placebo</w:t>
            </w:r>
          </w:p>
          <w:p w:rsidR="005F4267" w:rsidRPr="00CD05FB" w:rsidRDefault="005F4267" w:rsidP="006C6F23">
            <w:pPr>
              <w:pStyle w:val="Normal-table"/>
              <w:spacing w:before="0" w:after="0"/>
              <w:jc w:val="center"/>
              <w:rPr>
                <w:rFonts w:eastAsia="Arial Unicode MS"/>
                <w:b/>
                <w:bCs/>
                <w:sz w:val="20"/>
                <w:szCs w:val="20"/>
              </w:rPr>
            </w:pPr>
            <w:r w:rsidRPr="00CD05FB">
              <w:rPr>
                <w:b/>
                <w:bCs/>
                <w:sz w:val="20"/>
                <w:szCs w:val="20"/>
              </w:rPr>
              <w:t>Total</w:t>
            </w:r>
            <w:r w:rsidRPr="00CD05FB">
              <w:rPr>
                <w:b/>
                <w:bCs/>
                <w:sz w:val="20"/>
                <w:szCs w:val="20"/>
              </w:rPr>
              <w:br/>
              <w:t>(n=741)</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rFonts w:eastAsia="Arial Unicode MS"/>
                <w:b/>
                <w:bCs/>
                <w:sz w:val="20"/>
                <w:szCs w:val="20"/>
              </w:rPr>
            </w:pPr>
            <w:proofErr w:type="spellStart"/>
            <w:r w:rsidRPr="00CD05FB">
              <w:rPr>
                <w:b/>
                <w:bCs/>
                <w:sz w:val="20"/>
                <w:szCs w:val="20"/>
              </w:rPr>
              <w:t>Sativex</w:t>
            </w:r>
            <w:proofErr w:type="spellEnd"/>
            <w:r w:rsidRPr="00CD05FB">
              <w:rPr>
                <w:b/>
                <w:bCs/>
                <w:sz w:val="20"/>
                <w:szCs w:val="20"/>
              </w:rPr>
              <w:br/>
              <w:t>Total</w:t>
            </w:r>
            <w:r w:rsidRPr="00CD05FB">
              <w:rPr>
                <w:b/>
                <w:bCs/>
                <w:sz w:val="20"/>
                <w:szCs w:val="20"/>
              </w:rPr>
              <w:br/>
              <w:t>(n=1016)</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proofErr w:type="spellStart"/>
            <w:r w:rsidRPr="00CD05FB">
              <w:rPr>
                <w:b/>
                <w:bCs/>
                <w:sz w:val="20"/>
                <w:szCs w:val="20"/>
              </w:rPr>
              <w:t>Sativex</w:t>
            </w:r>
            <w:proofErr w:type="spellEnd"/>
            <w:r w:rsidRPr="00CD05FB">
              <w:rPr>
                <w:b/>
                <w:bCs/>
                <w:sz w:val="20"/>
                <w:szCs w:val="20"/>
              </w:rPr>
              <w:br/>
              <w:t>Total</w:t>
            </w:r>
            <w:r w:rsidRPr="00CD05FB">
              <w:rPr>
                <w:b/>
                <w:bCs/>
                <w:sz w:val="20"/>
                <w:szCs w:val="20"/>
              </w:rPr>
              <w:br/>
              <w:t>(n=805)</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r w:rsidRPr="00CD05FB">
              <w:rPr>
                <w:b/>
                <w:bCs/>
                <w:sz w:val="20"/>
                <w:szCs w:val="20"/>
              </w:rPr>
              <w:t>Placebo</w:t>
            </w:r>
            <w:r w:rsidRPr="00CD05FB">
              <w:rPr>
                <w:b/>
                <w:bCs/>
                <w:sz w:val="20"/>
                <w:szCs w:val="20"/>
              </w:rPr>
              <w:br/>
              <w:t>Total</w:t>
            </w:r>
            <w:r w:rsidRPr="00CD05FB">
              <w:rPr>
                <w:b/>
                <w:bCs/>
                <w:sz w:val="20"/>
                <w:szCs w:val="20"/>
              </w:rPr>
              <w:br/>
              <w:t>(n=741)</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267" w:rsidRPr="00CD05FB" w:rsidRDefault="005F4267" w:rsidP="006C6F23">
            <w:pPr>
              <w:pStyle w:val="Normal-table"/>
              <w:spacing w:before="0" w:after="0"/>
              <w:jc w:val="center"/>
              <w:rPr>
                <w:b/>
                <w:bCs/>
                <w:sz w:val="20"/>
                <w:szCs w:val="20"/>
              </w:rPr>
            </w:pPr>
            <w:proofErr w:type="spellStart"/>
            <w:r w:rsidRPr="00CD05FB">
              <w:rPr>
                <w:b/>
                <w:bCs/>
                <w:sz w:val="20"/>
                <w:szCs w:val="20"/>
              </w:rPr>
              <w:t>Sativex</w:t>
            </w:r>
            <w:proofErr w:type="spellEnd"/>
            <w:r w:rsidRPr="00CD05FB">
              <w:rPr>
                <w:b/>
                <w:bCs/>
                <w:sz w:val="20"/>
                <w:szCs w:val="20"/>
              </w:rPr>
              <w:br/>
              <w:t>Total</w:t>
            </w:r>
            <w:r w:rsidRPr="00CD05FB">
              <w:rPr>
                <w:b/>
                <w:bCs/>
                <w:sz w:val="20"/>
                <w:szCs w:val="20"/>
              </w:rPr>
              <w:br/>
              <w:t>(n=1016)</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left"/>
              <w:rPr>
                <w:sz w:val="20"/>
                <w:szCs w:val="20"/>
              </w:rPr>
            </w:pPr>
            <w:r w:rsidRPr="00CD05FB">
              <w:rPr>
                <w:sz w:val="20"/>
                <w:szCs w:val="20"/>
              </w:rPr>
              <w:t>Overall Subjects with an Event</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628 (78.0%)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492 (66.4%)</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686 (67.5%)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532 (66.1%)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330 (44.5%)</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599 (59.0%)</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rFonts w:eastAsia="Arial Unicode MS"/>
                <w:sz w:val="20"/>
                <w:szCs w:val="20"/>
              </w:rPr>
            </w:pPr>
            <w:r w:rsidRPr="00CD05FB">
              <w:rPr>
                <w:b/>
                <w:sz w:val="20"/>
                <w:szCs w:val="20"/>
              </w:rPr>
              <w:t>Cardiac Disorders</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Tachycardia</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8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3 (0.4%)</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 (0.4%)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5 (0.6%)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rFonts w:eastAsia="Arial Unicode MS"/>
                <w:sz w:val="20"/>
                <w:szCs w:val="20"/>
              </w:rPr>
              <w:t>4 (0.4%)</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sz w:val="20"/>
                <w:szCs w:val="20"/>
              </w:rPr>
            </w:pPr>
            <w:r w:rsidRPr="00CD05FB">
              <w:rPr>
                <w:b/>
                <w:sz w:val="20"/>
                <w:szCs w:val="20"/>
              </w:rPr>
              <w:t>Ear and Labyrinth Disorders</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Vertigo</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52 (6.5%)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15 (2.0%)</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34 (3.3%)</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48 (6.0%)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14 (1.9%)</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32 (3.1%)</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sz w:val="20"/>
                <w:szCs w:val="20"/>
              </w:rPr>
            </w:pPr>
            <w:r w:rsidRPr="00CD05FB">
              <w:rPr>
                <w:b/>
                <w:sz w:val="20"/>
                <w:szCs w:val="20"/>
              </w:rPr>
              <w:t>Eye Disorders</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Vision blurred</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15 (1.9%)</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3 (0.4%)</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16 (1.6%)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13 (1.6%)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2 </w:t>
            </w:r>
            <w:r w:rsidRPr="00CD05FB">
              <w:rPr>
                <w:rFonts w:eastAsia="Arial Unicode MS"/>
                <w:sz w:val="20"/>
                <w:szCs w:val="20"/>
              </w:rPr>
              <w:t>(0.3%)</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8 </w:t>
            </w:r>
            <w:r w:rsidRPr="00CD05FB">
              <w:rPr>
                <w:rFonts w:eastAsia="Arial Unicode MS"/>
                <w:sz w:val="20"/>
                <w:szCs w:val="20"/>
              </w:rPr>
              <w:t>(0.8%)</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sz w:val="20"/>
                <w:szCs w:val="20"/>
              </w:rPr>
            </w:pPr>
            <w:r w:rsidRPr="00CD05FB">
              <w:rPr>
                <w:b/>
                <w:sz w:val="20"/>
                <w:szCs w:val="20"/>
              </w:rPr>
              <w:t>Gastrointestinal Disorders</w:t>
            </w:r>
          </w:p>
        </w:tc>
      </w:tr>
      <w:tr w:rsidR="005F4267" w:rsidRPr="00CD05FB" w:rsidTr="00B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815" w:type="dxa"/>
            <w:tcMar>
              <w:top w:w="15" w:type="dxa"/>
              <w:left w:w="15" w:type="dxa"/>
              <w:bottom w:w="0" w:type="dxa"/>
              <w:right w:w="15" w:type="dxa"/>
            </w:tcMar>
            <w:vAlign w:val="center"/>
          </w:tcPr>
          <w:p w:rsidR="005F4267" w:rsidRPr="00CD05FB" w:rsidRDefault="005F4267" w:rsidP="00B0289A">
            <w:pPr>
              <w:pStyle w:val="Normal-table"/>
              <w:spacing w:before="0" w:after="0"/>
              <w:ind w:left="235"/>
              <w:jc w:val="left"/>
              <w:rPr>
                <w:rFonts w:eastAsia="Arial Unicode MS"/>
                <w:sz w:val="20"/>
                <w:szCs w:val="20"/>
              </w:rPr>
            </w:pPr>
            <w:r w:rsidRPr="00CD05FB">
              <w:rPr>
                <w:rFonts w:eastAsia="Arial Unicode MS"/>
                <w:sz w:val="20"/>
                <w:szCs w:val="20"/>
              </w:rPr>
              <w:t>Nausea</w:t>
            </w:r>
          </w:p>
        </w:tc>
        <w:tc>
          <w:tcPr>
            <w:tcW w:w="1260" w:type="dxa"/>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77 (9.6%)</w:t>
            </w:r>
          </w:p>
        </w:tc>
        <w:tc>
          <w:tcPr>
            <w:tcW w:w="1260" w:type="dxa"/>
            <w:tcMar>
              <w:top w:w="15" w:type="dxa"/>
              <w:left w:w="15" w:type="dxa"/>
              <w:bottom w:w="0" w:type="dxa"/>
              <w:right w:w="15" w:type="dxa"/>
            </w:tcMar>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42 (5.7%)</w:t>
            </w:r>
          </w:p>
        </w:tc>
        <w:tc>
          <w:tcPr>
            <w:tcW w:w="1302" w:type="dxa"/>
            <w:tcMar>
              <w:top w:w="15" w:type="dxa"/>
              <w:left w:w="15" w:type="dxa"/>
              <w:bottom w:w="0" w:type="dxa"/>
              <w:right w:w="15" w:type="dxa"/>
            </w:tcMar>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98 (9.6%)</w:t>
            </w:r>
          </w:p>
        </w:tc>
        <w:tc>
          <w:tcPr>
            <w:tcW w:w="1260" w:type="dxa"/>
          </w:tcPr>
          <w:p w:rsidR="005F4267" w:rsidRPr="00CD05FB" w:rsidRDefault="005F4267" w:rsidP="006C6F23">
            <w:pPr>
              <w:pStyle w:val="Normal-table"/>
              <w:spacing w:before="0" w:after="0"/>
              <w:jc w:val="center"/>
              <w:rPr>
                <w:sz w:val="20"/>
                <w:szCs w:val="20"/>
              </w:rPr>
            </w:pPr>
            <w:r w:rsidRPr="00CD05FB">
              <w:rPr>
                <w:sz w:val="20"/>
                <w:szCs w:val="20"/>
              </w:rPr>
              <w:t>62 (7.7%)</w:t>
            </w:r>
          </w:p>
        </w:tc>
        <w:tc>
          <w:tcPr>
            <w:tcW w:w="1260" w:type="dxa"/>
          </w:tcPr>
          <w:p w:rsidR="005F4267" w:rsidRPr="00CD05FB" w:rsidRDefault="005F4267" w:rsidP="006C6F23">
            <w:pPr>
              <w:pStyle w:val="Normal-table"/>
              <w:spacing w:before="0" w:after="0"/>
              <w:jc w:val="center"/>
              <w:rPr>
                <w:sz w:val="20"/>
                <w:szCs w:val="20"/>
              </w:rPr>
            </w:pPr>
            <w:r w:rsidRPr="00CD05FB">
              <w:rPr>
                <w:sz w:val="20"/>
                <w:szCs w:val="20"/>
              </w:rPr>
              <w:t>27 (3.6%)</w:t>
            </w:r>
          </w:p>
        </w:tc>
        <w:tc>
          <w:tcPr>
            <w:tcW w:w="1307" w:type="dxa"/>
          </w:tcPr>
          <w:p w:rsidR="005F4267" w:rsidRPr="00CD05FB" w:rsidRDefault="005F4267" w:rsidP="006C6F23">
            <w:pPr>
              <w:pStyle w:val="Normal-table"/>
              <w:spacing w:before="0" w:after="0"/>
              <w:jc w:val="center"/>
              <w:rPr>
                <w:sz w:val="20"/>
                <w:szCs w:val="20"/>
              </w:rPr>
            </w:pPr>
            <w:r w:rsidRPr="00CD05FB">
              <w:rPr>
                <w:sz w:val="20"/>
                <w:szCs w:val="20"/>
              </w:rPr>
              <w:t>70 (6.9%)</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Dry Mouth</w:t>
            </w:r>
            <w:r w:rsidRPr="00CD05FB" w:rsidDel="00970592">
              <w:rPr>
                <w:rFonts w:eastAsia="Arial Unicode MS"/>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49 (6.1%)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23 (3.1%)</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60 (5.9%)</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49 (6.1%)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22 (3.0%)</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56 (5.5%)</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Diarrhoea</w:t>
            </w:r>
            <w:r w:rsidRPr="00CD05FB" w:rsidDel="00970592">
              <w:rPr>
                <w:rFonts w:eastAsia="Arial Unicode MS"/>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44 (5.5%)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29 (3.9%)</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84 (8.3%)</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25 (3.1%)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14 (1.9%)</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64 (6.3%)</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 xml:space="preserve">Vomiting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28 (3.5%)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16 (2.2%)</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57 (5.6%)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17 (2.1%)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11 (1.5%)</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28 (2.8%)</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Constipation</w:t>
            </w:r>
            <w:r w:rsidRPr="00CD05FB" w:rsidDel="0044158F">
              <w:rPr>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19 (2.4%)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 (0.5%)</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47 (4.6%)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27 (2.7%)</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Oral Pain</w:t>
            </w:r>
            <w:r w:rsidRPr="00CD05FB" w:rsidDel="0044158F">
              <w:rPr>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17 (2.1%)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16 (2.2%)</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48 (4.7%)</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17 (2.1%)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16 (2.2%)</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45 (4.4%)</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Oral Discomfort</w:t>
            </w:r>
            <w:r w:rsidRPr="00CD05FB">
              <w:rPr>
                <w:rFonts w:eastAsia="Arial Unicode MS"/>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15 (1.9%)</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14 (1.9%)</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20 (2.0%)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14 (1.7%)</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14 (1.9%)</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20 (2.0%)</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Mouth Ulceration</w:t>
            </w:r>
            <w:r w:rsidRPr="00CD05FB">
              <w:rPr>
                <w:rFonts w:eastAsia="Arial Unicode MS"/>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12 (1.5%)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6 (0.8%)</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28 (2.8%)</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11 (1.4%)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5 (0.7%)</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26 (2.6%)</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 xml:space="preserve">Dyspepsia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sz w:val="20"/>
                <w:szCs w:val="20"/>
              </w:rPr>
              <w:t>11 (1.4%)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12 (1.6%)</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26 (2.6%)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9 (1.2%)</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17 (1.7%)</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rFonts w:eastAsia="Arial Unicode MS"/>
                <w:sz w:val="20"/>
                <w:szCs w:val="20"/>
              </w:rPr>
              <w:t>Abdominal pain</w:t>
            </w:r>
            <w:r w:rsidRPr="00CD05FB">
              <w:rPr>
                <w:sz w:val="20"/>
                <w:szCs w:val="20"/>
              </w:rPr>
              <w:t xml:space="preserve"> upper</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11 (1.4%)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 (0.3%)</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11 (1.1%)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(0.8%)</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proofErr w:type="spellStart"/>
            <w:r w:rsidRPr="00CD05FB">
              <w:rPr>
                <w:rFonts w:eastAsia="Arial Unicode MS"/>
                <w:sz w:val="20"/>
                <w:szCs w:val="20"/>
              </w:rPr>
              <w:t>Glossodynia</w:t>
            </w:r>
            <w:proofErr w:type="spellEnd"/>
            <w:r w:rsidRPr="00CD05FB">
              <w:rPr>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9 (1.1%)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10 (1.3%)</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32 (3.1%)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9 (1.1%)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10 (1.3%)</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31 (3.1%)</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sz w:val="20"/>
                <w:szCs w:val="20"/>
              </w:rPr>
            </w:pPr>
            <w:r w:rsidRPr="00CD05FB">
              <w:rPr>
                <w:b/>
                <w:sz w:val="20"/>
                <w:szCs w:val="20"/>
              </w:rPr>
              <w:t>General Disorders and Administration Site Conditions</w:t>
            </w:r>
          </w:p>
        </w:tc>
      </w:tr>
      <w:tr w:rsidR="005F4267" w:rsidRPr="00CD05FB" w:rsidTr="00B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815" w:type="dxa"/>
            <w:tcMar>
              <w:top w:w="15" w:type="dxa"/>
              <w:left w:w="15" w:type="dxa"/>
              <w:bottom w:w="0" w:type="dxa"/>
              <w:right w:w="15" w:type="dxa"/>
            </w:tcMar>
            <w:vAlign w:val="center"/>
          </w:tcPr>
          <w:p w:rsidR="005F4267" w:rsidRPr="00CD05FB" w:rsidRDefault="005F4267" w:rsidP="00B0289A">
            <w:pPr>
              <w:pStyle w:val="Normal-table"/>
              <w:spacing w:before="0" w:after="0"/>
              <w:ind w:left="235"/>
              <w:jc w:val="left"/>
              <w:rPr>
                <w:rFonts w:eastAsia="Arial Unicode MS"/>
                <w:sz w:val="20"/>
                <w:szCs w:val="20"/>
              </w:rPr>
            </w:pPr>
            <w:r w:rsidRPr="00CD05FB">
              <w:rPr>
                <w:sz w:val="20"/>
                <w:szCs w:val="20"/>
              </w:rPr>
              <w:t>Fatigue</w:t>
            </w:r>
          </w:p>
        </w:tc>
        <w:tc>
          <w:tcPr>
            <w:tcW w:w="1260" w:type="dxa"/>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101 (12.5%)</w:t>
            </w:r>
          </w:p>
        </w:tc>
        <w:tc>
          <w:tcPr>
            <w:tcW w:w="1260" w:type="dxa"/>
            <w:tcMar>
              <w:top w:w="15" w:type="dxa"/>
              <w:left w:w="15" w:type="dxa"/>
              <w:bottom w:w="0" w:type="dxa"/>
              <w:right w:w="15" w:type="dxa"/>
            </w:tcMar>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62 (8.4%)</w:t>
            </w:r>
          </w:p>
        </w:tc>
        <w:tc>
          <w:tcPr>
            <w:tcW w:w="1302" w:type="dxa"/>
            <w:tcMar>
              <w:top w:w="15" w:type="dxa"/>
              <w:left w:w="15" w:type="dxa"/>
              <w:bottom w:w="0" w:type="dxa"/>
              <w:right w:w="15" w:type="dxa"/>
            </w:tcMar>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99 (9.7%)</w:t>
            </w:r>
          </w:p>
        </w:tc>
        <w:tc>
          <w:tcPr>
            <w:tcW w:w="1260" w:type="dxa"/>
          </w:tcPr>
          <w:p w:rsidR="005F4267" w:rsidRPr="00CD05FB" w:rsidRDefault="005F4267" w:rsidP="006C6F23">
            <w:pPr>
              <w:pStyle w:val="Normal-table"/>
              <w:spacing w:before="0" w:after="0"/>
              <w:jc w:val="center"/>
              <w:rPr>
                <w:sz w:val="20"/>
                <w:szCs w:val="20"/>
              </w:rPr>
            </w:pPr>
            <w:r w:rsidRPr="00CD05FB">
              <w:rPr>
                <w:sz w:val="20"/>
                <w:szCs w:val="20"/>
              </w:rPr>
              <w:t>89 (11.1%)</w:t>
            </w:r>
          </w:p>
        </w:tc>
        <w:tc>
          <w:tcPr>
            <w:tcW w:w="1260" w:type="dxa"/>
          </w:tcPr>
          <w:p w:rsidR="005F4267" w:rsidRPr="00CD05FB" w:rsidRDefault="005F4267" w:rsidP="006C6F23">
            <w:pPr>
              <w:pStyle w:val="Normal-table"/>
              <w:spacing w:before="0" w:after="0"/>
              <w:jc w:val="center"/>
              <w:rPr>
                <w:sz w:val="20"/>
                <w:szCs w:val="20"/>
              </w:rPr>
            </w:pPr>
            <w:r w:rsidRPr="00CD05FB">
              <w:rPr>
                <w:sz w:val="20"/>
                <w:szCs w:val="20"/>
              </w:rPr>
              <w:t>49 (6.6%)</w:t>
            </w:r>
          </w:p>
        </w:tc>
        <w:tc>
          <w:tcPr>
            <w:tcW w:w="1307" w:type="dxa"/>
          </w:tcPr>
          <w:p w:rsidR="005F4267" w:rsidRPr="00CD05FB" w:rsidRDefault="005F4267" w:rsidP="006C6F23">
            <w:pPr>
              <w:pStyle w:val="Normal-table"/>
              <w:spacing w:before="0" w:after="0"/>
              <w:jc w:val="center"/>
              <w:rPr>
                <w:sz w:val="20"/>
                <w:szCs w:val="20"/>
              </w:rPr>
            </w:pPr>
            <w:r w:rsidRPr="00CD05FB">
              <w:rPr>
                <w:sz w:val="20"/>
                <w:szCs w:val="20"/>
              </w:rPr>
              <w:t>77 (7.6%)</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Asthenia</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45 (5.6%)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23 (3.1%)</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63 (6.2%)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37 (4.6%)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16 (2.2%)</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40 (3.9%)</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rFonts w:eastAsia="Arial Unicode MS"/>
                <w:sz w:val="20"/>
                <w:szCs w:val="20"/>
              </w:rPr>
              <w:t>Feeling drunk</w:t>
            </w:r>
            <w:r w:rsidRPr="00CD05FB">
              <w:rPr>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24 (3.0%)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19 (1.9%)</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23 (2.9%)</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19 (1.9%)</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rFonts w:eastAsia="Arial Unicode MS"/>
                <w:sz w:val="20"/>
                <w:szCs w:val="20"/>
              </w:rPr>
              <w:t>Feeling abnormal</w:t>
            </w:r>
            <w:r w:rsidRPr="00CD05FB">
              <w:rPr>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19 (2.4%)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 (0.5%)</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25 (2.5%)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19 (2.4%)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 (0.5%)</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25 (2.5%)</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 xml:space="preserve">Application site pain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16 (2.0%)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17 (2.3%)</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27 (2.7%)</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16 (2.0%)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17 (2.3%)</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27 (2.7%)</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Pain</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10 (1.2%)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17 (2.3%)</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29 (2.9%)</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 (0.4%)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7 </w:t>
            </w:r>
            <w:r w:rsidRPr="00CD05FB">
              <w:rPr>
                <w:rFonts w:eastAsia="Arial Unicode MS"/>
                <w:sz w:val="20"/>
                <w:szCs w:val="20"/>
              </w:rPr>
              <w:t>(0.9%)</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9 (0.9%)</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rFonts w:eastAsia="Arial Unicode MS"/>
                <w:sz w:val="20"/>
                <w:szCs w:val="20"/>
              </w:rPr>
              <w:t>Malaise</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8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3 (0.4%)</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15 (1.5%)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(0.8%)</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sz w:val="20"/>
                <w:szCs w:val="20"/>
              </w:rPr>
            </w:pPr>
            <w:r w:rsidRPr="00CD05FB">
              <w:rPr>
                <w:b/>
                <w:sz w:val="20"/>
                <w:szCs w:val="20"/>
              </w:rPr>
              <w:t>Infections and Infestations</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Urinary Tract Infection</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71 (8.8%)</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66 (8.9%)</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164 (16.1%)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5 (0.7%)</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(0.8%)</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proofErr w:type="spellStart"/>
            <w:r w:rsidRPr="00CD05FB">
              <w:rPr>
                <w:sz w:val="20"/>
                <w:szCs w:val="20"/>
              </w:rPr>
              <w:t>Nasopharyngitis</w:t>
            </w:r>
            <w:proofErr w:type="spellEnd"/>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22 (2.7%)</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25 (3.4%)</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74 (7.3%)</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2 </w:t>
            </w:r>
            <w:r w:rsidRPr="00CD05FB">
              <w:rPr>
                <w:rFonts w:eastAsia="Arial Unicode MS"/>
                <w:sz w:val="20"/>
                <w:szCs w:val="20"/>
              </w:rPr>
              <w:t>(0.2%)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0</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2 </w:t>
            </w:r>
            <w:r w:rsidRPr="00CD05FB">
              <w:rPr>
                <w:rFonts w:eastAsia="Arial Unicode MS"/>
                <w:sz w:val="20"/>
                <w:szCs w:val="20"/>
              </w:rPr>
              <w:t>(0.2%)</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proofErr w:type="spellStart"/>
            <w:r w:rsidRPr="00CD05FB">
              <w:rPr>
                <w:sz w:val="20"/>
                <w:szCs w:val="20"/>
              </w:rPr>
              <w:t>Pharyngitis</w:t>
            </w:r>
            <w:proofErr w:type="spellEnd"/>
            <w:r w:rsidRPr="00CD05FB">
              <w:rPr>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10 (1.2%)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(1.1%)</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26 (2.6%)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 (0.7%)</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15 (1.5%)</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Viral infection</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10 (1.2%)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2 </w:t>
            </w:r>
            <w:r w:rsidRPr="00CD05FB">
              <w:rPr>
                <w:rFonts w:eastAsia="Arial Unicode MS"/>
                <w:sz w:val="20"/>
                <w:szCs w:val="20"/>
              </w:rPr>
              <w:t>(0.3%)</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12 (1.2%)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0</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2 </w:t>
            </w:r>
            <w:r w:rsidRPr="00CD05FB">
              <w:rPr>
                <w:rFonts w:eastAsia="Arial Unicode MS"/>
                <w:sz w:val="20"/>
                <w:szCs w:val="20"/>
              </w:rPr>
              <w:t>(0.2%)</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keepNext/>
              <w:keepLines/>
              <w:spacing w:before="0" w:after="0"/>
              <w:ind w:left="142"/>
              <w:jc w:val="left"/>
              <w:rPr>
                <w:sz w:val="20"/>
                <w:szCs w:val="20"/>
              </w:rPr>
            </w:pPr>
            <w:r w:rsidRPr="00CD05FB">
              <w:rPr>
                <w:sz w:val="20"/>
                <w:szCs w:val="20"/>
              </w:rPr>
              <w:t>Lower respiratory tract infection</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10 (1.3%)</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33 (3.2%)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0</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 (0.3%)</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sz w:val="20"/>
                <w:szCs w:val="20"/>
              </w:rPr>
            </w:pPr>
            <w:r w:rsidRPr="00CD05FB">
              <w:rPr>
                <w:b/>
                <w:sz w:val="20"/>
                <w:szCs w:val="20"/>
              </w:rPr>
              <w:t>Injury, Poisoning and Procedural Complications</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Fall</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12 (1.5%)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 (0.5%)</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43 (4.2%)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14 (1.4%)</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sz w:val="20"/>
                <w:szCs w:val="20"/>
              </w:rPr>
            </w:pPr>
            <w:r w:rsidRPr="00CD05FB">
              <w:rPr>
                <w:rFonts w:eastAsia="Arial Unicode MS"/>
                <w:b/>
                <w:sz w:val="20"/>
                <w:szCs w:val="20"/>
              </w:rPr>
              <w:t>Metabolism and Nutrition Disorders</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Anorexia</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17 (2.1%)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5 </w:t>
            </w:r>
            <w:r w:rsidRPr="00CD05FB">
              <w:rPr>
                <w:rFonts w:eastAsia="Arial Unicode MS"/>
                <w:sz w:val="20"/>
                <w:szCs w:val="20"/>
              </w:rPr>
              <w:t>(0.7%)</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30 (3.0%)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11 (1.4%)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4 </w:t>
            </w:r>
            <w:r w:rsidRPr="00CD05FB">
              <w:rPr>
                <w:rFonts w:eastAsia="Arial Unicode MS"/>
                <w:sz w:val="20"/>
                <w:szCs w:val="20"/>
              </w:rPr>
              <w:t>(0.5%)</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23 (2.3%)</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Increased appetite</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11 (1.4%)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(0.8%)</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11 (1.4%)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(0.8%)</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sz w:val="20"/>
                <w:szCs w:val="20"/>
              </w:rPr>
            </w:pPr>
            <w:r w:rsidRPr="00CD05FB">
              <w:rPr>
                <w:rFonts w:eastAsia="Arial Unicode MS"/>
                <w:b/>
                <w:sz w:val="20"/>
                <w:szCs w:val="20"/>
              </w:rPr>
              <w:t>Musculoskeletal and Connective Tissue Disorders</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 xml:space="preserve">Muscle Spasms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24 (3.0%)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20 (2.7%)</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48 (4.7%)</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7 (0.9%)</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12 (1.2%)</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Back Pain</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19 (2.4%)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14 (1.9%)</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37 (3.6%)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 (0.3%)</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 xml:space="preserve">Pain In Extremity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16 (2.0%)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19 (2.6%)</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35 (3.4%)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2 </w:t>
            </w:r>
            <w:r w:rsidRPr="00CD05FB">
              <w:rPr>
                <w:rFonts w:eastAsia="Arial Unicode MS"/>
                <w:sz w:val="20"/>
                <w:szCs w:val="20"/>
              </w:rPr>
              <w:t>(0.2%)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 (0.6%)</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 xml:space="preserve">Muscular </w:t>
            </w:r>
            <w:r w:rsidRPr="00CD05FB">
              <w:rPr>
                <w:sz w:val="20"/>
                <w:szCs w:val="20"/>
              </w:rPr>
              <w:lastRenderedPageBreak/>
              <w:t xml:space="preserve">Weakness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lastRenderedPageBreak/>
              <w:t>11 (1.4%)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10 (1.3%)</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30 (3.0%)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 (0.5%)</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21 (2.1%)</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proofErr w:type="spellStart"/>
            <w:r w:rsidRPr="00CD05FB">
              <w:rPr>
                <w:sz w:val="20"/>
                <w:szCs w:val="20"/>
              </w:rPr>
              <w:lastRenderedPageBreak/>
              <w:t>Arthralgia</w:t>
            </w:r>
            <w:proofErr w:type="spellEnd"/>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9 (1.1%)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32 (3.1%)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0</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2 </w:t>
            </w:r>
            <w:r w:rsidRPr="00CD05FB">
              <w:rPr>
                <w:rFonts w:eastAsia="Arial Unicode MS"/>
                <w:sz w:val="20"/>
                <w:szCs w:val="20"/>
              </w:rPr>
              <w:t>(0.2%)</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sz w:val="20"/>
                <w:szCs w:val="20"/>
              </w:rPr>
            </w:pPr>
            <w:r w:rsidRPr="00CD05FB">
              <w:rPr>
                <w:b/>
                <w:sz w:val="20"/>
                <w:szCs w:val="20"/>
              </w:rPr>
              <w:t>Nervous System Disorders</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Dizziness</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201 (25%)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61 (8.2%)</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211 (20.8%)</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200 (24.8%)</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52 (7.0%)</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200 (19.7%)</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 xml:space="preserve">Somnolence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66 (8.2%)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17 (2.3%)</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65 (6.4%)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65 (8.1%)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14 (1.9%)</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64 (6.3%)</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 xml:space="preserve">Headache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49 (6.1%)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56 (7.6%)</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82 (8.1%)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41 (5.1%)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41 (5.5%)</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48 (4.7%)</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 xml:space="preserve">Disturbance in Attention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31 (3.9%)</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 (0.1%)</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37 (3.6%)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30 (3.7%)</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36 (3.5%)</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proofErr w:type="spellStart"/>
            <w:r w:rsidRPr="00CD05FB">
              <w:rPr>
                <w:sz w:val="20"/>
                <w:szCs w:val="20"/>
              </w:rPr>
              <w:t>Dysgeusia</w:t>
            </w:r>
            <w:proofErr w:type="spellEnd"/>
            <w:r w:rsidRPr="00CD05FB">
              <w:rPr>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25 (3.1%)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6 (0.8%)</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36 (3.5%)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25 (3.1%)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 (0.8%)</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34 (3.3%)</w:t>
            </w:r>
          </w:p>
        </w:tc>
      </w:tr>
      <w:tr w:rsidR="005F4267" w:rsidRPr="00CD05FB" w:rsidTr="00B0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815" w:type="dxa"/>
            <w:tcMar>
              <w:top w:w="15" w:type="dxa"/>
              <w:left w:w="15" w:type="dxa"/>
              <w:bottom w:w="0" w:type="dxa"/>
              <w:right w:w="15" w:type="dxa"/>
            </w:tcMar>
            <w:vAlign w:val="center"/>
          </w:tcPr>
          <w:p w:rsidR="005F4267" w:rsidRPr="00CD05FB" w:rsidRDefault="005F4267" w:rsidP="00B0289A">
            <w:pPr>
              <w:pStyle w:val="Normal-table"/>
              <w:spacing w:before="0" w:after="0"/>
              <w:ind w:left="235"/>
              <w:jc w:val="left"/>
              <w:rPr>
                <w:sz w:val="20"/>
                <w:szCs w:val="20"/>
              </w:rPr>
            </w:pPr>
            <w:r w:rsidRPr="00CD05FB">
              <w:rPr>
                <w:sz w:val="20"/>
                <w:szCs w:val="20"/>
              </w:rPr>
              <w:t>Muscle spasticity</w:t>
            </w:r>
          </w:p>
        </w:tc>
        <w:tc>
          <w:tcPr>
            <w:tcW w:w="1260" w:type="dxa"/>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26 (3.2%)</w:t>
            </w:r>
          </w:p>
        </w:tc>
        <w:tc>
          <w:tcPr>
            <w:tcW w:w="1260" w:type="dxa"/>
            <w:tcMar>
              <w:top w:w="15" w:type="dxa"/>
              <w:left w:w="15" w:type="dxa"/>
              <w:bottom w:w="0" w:type="dxa"/>
              <w:right w:w="15" w:type="dxa"/>
            </w:tcMar>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25 (3.4%)</w:t>
            </w:r>
          </w:p>
        </w:tc>
        <w:tc>
          <w:tcPr>
            <w:tcW w:w="1302" w:type="dxa"/>
            <w:tcMar>
              <w:top w:w="15" w:type="dxa"/>
              <w:left w:w="15" w:type="dxa"/>
              <w:bottom w:w="0" w:type="dxa"/>
              <w:right w:w="15" w:type="dxa"/>
            </w:tcMar>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21 (2.1%)</w:t>
            </w:r>
          </w:p>
        </w:tc>
        <w:tc>
          <w:tcPr>
            <w:tcW w:w="1260" w:type="dxa"/>
            <w:vAlign w:val="center"/>
          </w:tcPr>
          <w:p w:rsidR="005F4267" w:rsidRPr="00CD05FB" w:rsidRDefault="005F4267" w:rsidP="006C6F23">
            <w:pPr>
              <w:pStyle w:val="Normal-table"/>
              <w:spacing w:before="0" w:after="0"/>
              <w:jc w:val="center"/>
              <w:rPr>
                <w:sz w:val="20"/>
                <w:szCs w:val="20"/>
              </w:rPr>
            </w:pPr>
            <w:r w:rsidRPr="00CD05FB">
              <w:rPr>
                <w:sz w:val="20"/>
                <w:szCs w:val="20"/>
              </w:rPr>
              <w:t>18 (2.2%)</w:t>
            </w:r>
          </w:p>
        </w:tc>
        <w:tc>
          <w:tcPr>
            <w:tcW w:w="1260" w:type="dxa"/>
            <w:vAlign w:val="center"/>
          </w:tcPr>
          <w:p w:rsidR="005F4267" w:rsidRPr="00CD05FB" w:rsidRDefault="005F4267" w:rsidP="006C6F23">
            <w:pPr>
              <w:pStyle w:val="Normal-table"/>
              <w:spacing w:before="0" w:after="0"/>
              <w:jc w:val="center"/>
              <w:rPr>
                <w:sz w:val="20"/>
                <w:szCs w:val="20"/>
              </w:rPr>
            </w:pPr>
            <w:r w:rsidRPr="00CD05FB">
              <w:rPr>
                <w:sz w:val="20"/>
                <w:szCs w:val="20"/>
              </w:rPr>
              <w:t>15 (2.0%)</w:t>
            </w:r>
          </w:p>
        </w:tc>
        <w:tc>
          <w:tcPr>
            <w:tcW w:w="1307" w:type="dxa"/>
            <w:vAlign w:val="center"/>
          </w:tcPr>
          <w:p w:rsidR="005F4267" w:rsidRPr="00CD05FB" w:rsidRDefault="005F4267" w:rsidP="006C6F23">
            <w:pPr>
              <w:pStyle w:val="Normal-table"/>
              <w:spacing w:before="0" w:after="0"/>
              <w:jc w:val="center"/>
              <w:rPr>
                <w:sz w:val="20"/>
                <w:szCs w:val="20"/>
              </w:rPr>
            </w:pPr>
            <w:r w:rsidRPr="00CD05FB">
              <w:rPr>
                <w:sz w:val="20"/>
                <w:szCs w:val="20"/>
              </w:rPr>
              <w:t xml:space="preserve">8 </w:t>
            </w:r>
            <w:r w:rsidRPr="00CD05FB">
              <w:rPr>
                <w:rFonts w:eastAsia="Arial Unicode MS"/>
                <w:sz w:val="20"/>
                <w:szCs w:val="20"/>
              </w:rPr>
              <w:t>(0.8%)</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 xml:space="preserve">Balance disorder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23 (2.9%)</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13 (1.8%)</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46 (4.5%)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20 (2.5%)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 (0.8%)</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26 (2.6%)</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 xml:space="preserve">Multiple Sclerosis Relapse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20 (2.5%)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24 (3.2%)</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46 (4.5%)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 (0.4%)</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proofErr w:type="spellStart"/>
            <w:r w:rsidRPr="00CD05FB">
              <w:rPr>
                <w:sz w:val="20"/>
                <w:szCs w:val="20"/>
              </w:rPr>
              <w:t>Dysarthria</w:t>
            </w:r>
            <w:proofErr w:type="spellEnd"/>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16 (2.0%)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3 (0.4%)</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13 (1.3%)</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13 (1.6%)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11 (1.1%)</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rFonts w:eastAsia="Arial Unicode MS"/>
                <w:sz w:val="20"/>
                <w:szCs w:val="20"/>
              </w:rPr>
              <w:t>Lethargy</w:t>
            </w:r>
            <w:r w:rsidRPr="00CD05FB">
              <w:rPr>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12 (1.5%)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5 (0.7%)</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26 (2.6%)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10 (1.2%)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 (0.5%)</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21 (2.1%)</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proofErr w:type="spellStart"/>
            <w:r w:rsidRPr="00CD05FB">
              <w:rPr>
                <w:rFonts w:eastAsia="Arial Unicode MS"/>
                <w:sz w:val="20"/>
                <w:szCs w:val="20"/>
              </w:rPr>
              <w:t>Paraesthesia</w:t>
            </w:r>
            <w:proofErr w:type="spellEnd"/>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12 (1.5%)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12 (1.6%)</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12 (1.2%)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 (0.8%)</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9 (0.9%)</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 xml:space="preserve">Memory Impairment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11 (1.4%)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 (0.1%)</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20 (2.0%)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11 (1.4%)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19 (1.9%)</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Amnesia</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9 (1.1%)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2 </w:t>
            </w:r>
            <w:r w:rsidRPr="00CD05FB">
              <w:rPr>
                <w:rFonts w:eastAsia="Arial Unicode MS"/>
                <w:sz w:val="20"/>
                <w:szCs w:val="20"/>
              </w:rPr>
              <w:t>(0.3%)</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13 (1.3%)</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8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r w:rsidRPr="00CD05FB">
              <w:rPr>
                <w:sz w:val="20"/>
                <w:szCs w:val="20"/>
              </w:rPr>
              <w:t xml:space="preserve"> </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10 (1.0%)</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Tremor</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9 (1.1%)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 (0.8%)</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10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 (0.7%)</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7 (0.7%)</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sz w:val="20"/>
                <w:szCs w:val="20"/>
              </w:rPr>
            </w:pPr>
            <w:r w:rsidRPr="00CD05FB">
              <w:rPr>
                <w:b/>
                <w:sz w:val="20"/>
                <w:szCs w:val="20"/>
              </w:rPr>
              <w:t>Psychiatric Disorders</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 xml:space="preserve">Disorientation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33 (4.1%)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6 (0.8%)</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21 (2.1%)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32 (4.0%)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4 (0.5%)</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18 (1.8%)</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sz w:val="20"/>
                <w:szCs w:val="20"/>
              </w:rPr>
              <w:t>Depression</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23 (2.9%)</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15 (2.0%)</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47 (4.6%)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15 (1.9%)</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6 </w:t>
            </w:r>
            <w:r w:rsidRPr="00CD05FB">
              <w:rPr>
                <w:rFonts w:eastAsia="Arial Unicode MS"/>
                <w:sz w:val="20"/>
                <w:szCs w:val="20"/>
              </w:rPr>
              <w:t>(0.8%)</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27 (2.7%)</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 xml:space="preserve">Euphoric Mood </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18 (2.2%)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7 (0.9%)</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24 (2.4%)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18 (2.2%)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7 (0.9%)</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24 (2.4%)</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rFonts w:eastAsia="Arial Unicode MS"/>
                <w:sz w:val="20"/>
                <w:szCs w:val="20"/>
              </w:rPr>
            </w:pPr>
            <w:r w:rsidRPr="00CD05FB">
              <w:rPr>
                <w:rFonts w:eastAsia="Arial Unicode MS"/>
                <w:sz w:val="20"/>
                <w:szCs w:val="20"/>
              </w:rPr>
              <w:t>Dissociation</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tabs>
                <w:tab w:val="left" w:pos="274"/>
                <w:tab w:val="center" w:pos="748"/>
              </w:tabs>
              <w:spacing w:before="0" w:after="0"/>
              <w:jc w:val="center"/>
              <w:rPr>
                <w:rFonts w:eastAsia="Arial Unicode MS"/>
                <w:sz w:val="20"/>
                <w:szCs w:val="20"/>
              </w:rPr>
            </w:pPr>
            <w:r w:rsidRPr="00CD05FB">
              <w:rPr>
                <w:rFonts w:eastAsia="Arial Unicode MS"/>
                <w:sz w:val="20"/>
                <w:szCs w:val="20"/>
              </w:rPr>
              <w:t>14 (1.7%)</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tabs>
                <w:tab w:val="left" w:pos="274"/>
                <w:tab w:val="center" w:pos="748"/>
              </w:tabs>
              <w:spacing w:before="0" w:after="0"/>
              <w:jc w:val="center"/>
              <w:rPr>
                <w:rFonts w:eastAsia="Arial Unicode MS"/>
                <w:sz w:val="20"/>
                <w:szCs w:val="20"/>
              </w:rPr>
            </w:pPr>
            <w:r w:rsidRPr="00CD05FB">
              <w:rPr>
                <w:rFonts w:eastAsia="Arial Unicode MS"/>
                <w:sz w:val="20"/>
                <w:szCs w:val="20"/>
              </w:rPr>
              <w:t>1 (0.1%)</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rFonts w:eastAsia="Arial Unicode MS"/>
                <w:sz w:val="20"/>
                <w:szCs w:val="20"/>
              </w:rPr>
            </w:pPr>
            <w:r w:rsidRPr="00CD05FB">
              <w:rPr>
                <w:rFonts w:eastAsia="Arial Unicode MS"/>
                <w:sz w:val="20"/>
                <w:szCs w:val="20"/>
              </w:rPr>
              <w:t>12 (1.2%)</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14 (1.7%)</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11 (1.1%)</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Insomnia</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11 (1.4%)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16 (2.2%)</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23 (2.3%)</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5 </w:t>
            </w:r>
            <w:r w:rsidRPr="00CD05FB">
              <w:rPr>
                <w:rFonts w:eastAsia="Arial Unicode MS"/>
                <w:sz w:val="20"/>
                <w:szCs w:val="20"/>
              </w:rPr>
              <w:t>(0.6%)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7 (0.9%)</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13 (1.3%)</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keepNext/>
              <w:spacing w:before="0" w:after="0"/>
              <w:jc w:val="left"/>
              <w:rPr>
                <w:sz w:val="20"/>
                <w:szCs w:val="20"/>
              </w:rPr>
            </w:pPr>
            <w:r w:rsidRPr="00CD05FB">
              <w:rPr>
                <w:rFonts w:eastAsia="Arial Unicode MS"/>
                <w:b/>
                <w:sz w:val="20"/>
                <w:szCs w:val="20"/>
              </w:rPr>
              <w:t xml:space="preserve">Respiratory, Thoracic and </w:t>
            </w:r>
            <w:proofErr w:type="spellStart"/>
            <w:r w:rsidRPr="00CD05FB">
              <w:rPr>
                <w:rFonts w:eastAsia="Arial Unicode MS"/>
                <w:b/>
                <w:sz w:val="20"/>
                <w:szCs w:val="20"/>
              </w:rPr>
              <w:t>Mediastinal</w:t>
            </w:r>
            <w:proofErr w:type="spellEnd"/>
            <w:r w:rsidRPr="00CD05FB">
              <w:rPr>
                <w:rFonts w:eastAsia="Arial Unicode MS"/>
                <w:b/>
                <w:sz w:val="20"/>
                <w:szCs w:val="20"/>
              </w:rPr>
              <w:t xml:space="preserve"> Disorders</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keepNext/>
              <w:spacing w:before="0" w:after="0"/>
              <w:ind w:left="142"/>
              <w:jc w:val="left"/>
              <w:rPr>
                <w:sz w:val="20"/>
                <w:szCs w:val="20"/>
              </w:rPr>
            </w:pPr>
            <w:r w:rsidRPr="00CD05FB">
              <w:rPr>
                <w:sz w:val="20"/>
                <w:szCs w:val="20"/>
              </w:rPr>
              <w:t>Cough</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11 (1.4%)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7 (0.9%)</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20 (2.0%)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 xml:space="preserve">3 </w:t>
            </w:r>
            <w:r w:rsidRPr="00CD05FB">
              <w:rPr>
                <w:rFonts w:eastAsia="Arial Unicode MS"/>
                <w:sz w:val="20"/>
                <w:szCs w:val="20"/>
              </w:rPr>
              <w:t>(0.3%)</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keepNext/>
              <w:spacing w:before="0" w:after="0"/>
              <w:ind w:left="142"/>
              <w:jc w:val="left"/>
              <w:rPr>
                <w:sz w:val="20"/>
                <w:szCs w:val="20"/>
              </w:rPr>
            </w:pPr>
            <w:proofErr w:type="spellStart"/>
            <w:r w:rsidRPr="00CD05FB">
              <w:rPr>
                <w:sz w:val="20"/>
                <w:szCs w:val="20"/>
              </w:rPr>
              <w:t>Pharyngolaryngeal</w:t>
            </w:r>
            <w:proofErr w:type="spellEnd"/>
            <w:r w:rsidRPr="00CD05FB">
              <w:rPr>
                <w:sz w:val="20"/>
                <w:szCs w:val="20"/>
              </w:rPr>
              <w:t xml:space="preserve"> pain</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8 (1.0%)</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11 (1.5%)</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1 (0.1%)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 xml:space="preserve">3 </w:t>
            </w:r>
            <w:r w:rsidRPr="00CD05FB">
              <w:rPr>
                <w:rFonts w:eastAsia="Arial Unicode MS"/>
                <w:sz w:val="20"/>
                <w:szCs w:val="20"/>
              </w:rPr>
              <w:t>(0.4%)</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4 (0.5%)</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keepNext/>
              <w:spacing w:before="0" w:after="0"/>
              <w:jc w:val="center"/>
              <w:rPr>
                <w:sz w:val="20"/>
                <w:szCs w:val="20"/>
              </w:rPr>
            </w:pPr>
            <w:r w:rsidRPr="00CD05FB">
              <w:rPr>
                <w:sz w:val="20"/>
                <w:szCs w:val="20"/>
              </w:rPr>
              <w:t>1 (0.1%</w:t>
            </w:r>
          </w:p>
        </w:tc>
      </w:tr>
      <w:tr w:rsidR="00CF5F57" w:rsidRPr="00CD05FB" w:rsidTr="00C417F0">
        <w:tc>
          <w:tcPr>
            <w:tcW w:w="9464" w:type="dxa"/>
            <w:gridSpan w:val="7"/>
            <w:tcBorders>
              <w:top w:val="single" w:sz="4" w:space="0" w:color="auto"/>
              <w:left w:val="single" w:sz="4" w:space="0" w:color="auto"/>
              <w:bottom w:val="single" w:sz="4" w:space="0" w:color="auto"/>
              <w:right w:val="single" w:sz="4" w:space="0" w:color="auto"/>
            </w:tcBorders>
          </w:tcPr>
          <w:p w:rsidR="00CF5F57" w:rsidRPr="00CD05FB" w:rsidRDefault="00CF5F57" w:rsidP="00CF5F57">
            <w:pPr>
              <w:pStyle w:val="Normal-table"/>
              <w:spacing w:before="0" w:after="0"/>
              <w:jc w:val="left"/>
              <w:rPr>
                <w:sz w:val="20"/>
                <w:szCs w:val="20"/>
              </w:rPr>
            </w:pPr>
            <w:r w:rsidRPr="00CD05FB">
              <w:rPr>
                <w:rFonts w:eastAsia="Arial Unicode MS"/>
                <w:b/>
                <w:sz w:val="20"/>
                <w:szCs w:val="20"/>
              </w:rPr>
              <w:t>Vascular Disorders</w:t>
            </w:r>
          </w:p>
        </w:tc>
      </w:tr>
      <w:tr w:rsidR="005F4267" w:rsidRPr="00CD05FB" w:rsidTr="00B0289A">
        <w:tc>
          <w:tcPr>
            <w:tcW w:w="1815" w:type="dxa"/>
            <w:tcBorders>
              <w:top w:val="single" w:sz="4" w:space="0" w:color="auto"/>
              <w:left w:val="single" w:sz="4" w:space="0" w:color="auto"/>
              <w:bottom w:val="single" w:sz="4" w:space="0" w:color="auto"/>
              <w:right w:val="single" w:sz="4" w:space="0" w:color="auto"/>
            </w:tcBorders>
          </w:tcPr>
          <w:p w:rsidR="005F4267" w:rsidRPr="00CD05FB" w:rsidRDefault="005F4267" w:rsidP="00B0289A">
            <w:pPr>
              <w:pStyle w:val="Normal-table"/>
              <w:spacing w:before="0" w:after="0"/>
              <w:ind w:left="142"/>
              <w:jc w:val="left"/>
              <w:rPr>
                <w:sz w:val="20"/>
                <w:szCs w:val="20"/>
              </w:rPr>
            </w:pPr>
            <w:r w:rsidRPr="00CD05FB">
              <w:rPr>
                <w:sz w:val="20"/>
                <w:szCs w:val="20"/>
              </w:rPr>
              <w:t>Hypertension</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9 (1.1%)</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4 </w:t>
            </w:r>
            <w:r w:rsidRPr="00CD05FB">
              <w:rPr>
                <w:rFonts w:eastAsia="Arial Unicode MS"/>
                <w:sz w:val="20"/>
                <w:szCs w:val="20"/>
              </w:rPr>
              <w:t>(0.5%)</w:t>
            </w:r>
          </w:p>
        </w:tc>
        <w:tc>
          <w:tcPr>
            <w:tcW w:w="1302"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15 (1.5%)</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5 (0.6%)</w:t>
            </w:r>
          </w:p>
        </w:tc>
        <w:tc>
          <w:tcPr>
            <w:tcW w:w="1260"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 xml:space="preserve">1 </w:t>
            </w:r>
            <w:r w:rsidRPr="00CD05FB">
              <w:rPr>
                <w:rFonts w:eastAsia="Arial Unicode MS"/>
                <w:sz w:val="20"/>
                <w:szCs w:val="20"/>
              </w:rPr>
              <w:t>(0.1%)</w:t>
            </w:r>
          </w:p>
        </w:tc>
        <w:tc>
          <w:tcPr>
            <w:tcW w:w="1307" w:type="dxa"/>
            <w:tcBorders>
              <w:top w:val="single" w:sz="4" w:space="0" w:color="auto"/>
              <w:left w:val="single" w:sz="4" w:space="0" w:color="auto"/>
              <w:bottom w:val="single" w:sz="4" w:space="0" w:color="auto"/>
              <w:right w:val="single" w:sz="4" w:space="0" w:color="auto"/>
            </w:tcBorders>
          </w:tcPr>
          <w:p w:rsidR="005F4267" w:rsidRPr="00CD05FB" w:rsidRDefault="005F4267" w:rsidP="006C6F23">
            <w:pPr>
              <w:pStyle w:val="Normal-table"/>
              <w:spacing w:before="0" w:after="0"/>
              <w:jc w:val="center"/>
              <w:rPr>
                <w:sz w:val="20"/>
                <w:szCs w:val="20"/>
              </w:rPr>
            </w:pPr>
            <w:r w:rsidRPr="00CD05FB">
              <w:rPr>
                <w:sz w:val="20"/>
                <w:szCs w:val="20"/>
              </w:rPr>
              <w:t>3 (0.3%)</w:t>
            </w:r>
          </w:p>
        </w:tc>
      </w:tr>
    </w:tbl>
    <w:p w:rsidR="005836AE" w:rsidRPr="008B71C9" w:rsidRDefault="005836AE" w:rsidP="00F17C1A">
      <w:pPr>
        <w:jc w:val="both"/>
        <w:rPr>
          <w:szCs w:val="22"/>
        </w:rPr>
      </w:pPr>
      <w:r w:rsidRPr="008B71C9">
        <w:rPr>
          <w:szCs w:val="22"/>
        </w:rPr>
        <w:t xml:space="preserve">A single case of ventricular </w:t>
      </w:r>
      <w:proofErr w:type="spellStart"/>
      <w:r w:rsidRPr="008B71C9">
        <w:rPr>
          <w:szCs w:val="22"/>
        </w:rPr>
        <w:t>bigeminy</w:t>
      </w:r>
      <w:proofErr w:type="spellEnd"/>
      <w:r w:rsidRPr="008B71C9">
        <w:rPr>
          <w:szCs w:val="22"/>
        </w:rPr>
        <w:t xml:space="preserve"> has been reported though this was in the context of acute nut allergy.</w:t>
      </w:r>
    </w:p>
    <w:p w:rsidR="00CA610C" w:rsidRPr="00897710" w:rsidRDefault="008D1AF5" w:rsidP="00CA610C">
      <w:pPr>
        <w:jc w:val="both"/>
        <w:rPr>
          <w:color w:val="000000"/>
        </w:rPr>
      </w:pPr>
      <w:r w:rsidRPr="008D1AF5">
        <w:rPr>
          <w:b/>
          <w:color w:val="000000"/>
          <w:u w:val="single"/>
        </w:rPr>
        <w:t>Abuse potential</w:t>
      </w:r>
    </w:p>
    <w:p w:rsidR="00CA610C" w:rsidRDefault="00CA610C" w:rsidP="00CA610C">
      <w:pPr>
        <w:jc w:val="both"/>
        <w:rPr>
          <w:color w:val="000000"/>
          <w:szCs w:val="22"/>
        </w:rPr>
      </w:pPr>
      <w:r w:rsidRPr="00962BDA">
        <w:rPr>
          <w:rFonts w:cs="Arial"/>
          <w:color w:val="000000"/>
          <w:szCs w:val="22"/>
        </w:rPr>
        <w:t xml:space="preserve">In a study designed to identify its abuse potential, </w:t>
      </w:r>
      <w:proofErr w:type="spellStart"/>
      <w:r w:rsidRPr="007653B9">
        <w:rPr>
          <w:rFonts w:cs="Arial"/>
          <w:color w:val="000000"/>
          <w:szCs w:val="22"/>
        </w:rPr>
        <w:t>S</w:t>
      </w:r>
      <w:r>
        <w:rPr>
          <w:rFonts w:cs="Arial"/>
          <w:color w:val="000000"/>
          <w:szCs w:val="22"/>
        </w:rPr>
        <w:t>ativex</w:t>
      </w:r>
      <w:proofErr w:type="spellEnd"/>
      <w:r w:rsidRPr="00962BDA">
        <w:rPr>
          <w:rFonts w:cs="Arial"/>
          <w:color w:val="000000"/>
          <w:szCs w:val="22"/>
        </w:rPr>
        <w:t xml:space="preserve"> at a dose of 4 sprays taken at one time</w:t>
      </w:r>
      <w:r>
        <w:rPr>
          <w:rFonts w:cs="Arial"/>
          <w:color w:val="000000"/>
          <w:szCs w:val="22"/>
        </w:rPr>
        <w:t>,</w:t>
      </w:r>
      <w:r w:rsidRPr="00962BDA">
        <w:rPr>
          <w:rFonts w:cs="Arial"/>
          <w:color w:val="000000"/>
          <w:szCs w:val="22"/>
        </w:rPr>
        <w:t xml:space="preserve"> </w:t>
      </w:r>
      <w:r w:rsidR="00756722">
        <w:rPr>
          <w:rFonts w:cs="Arial"/>
          <w:color w:val="000000"/>
          <w:szCs w:val="22"/>
        </w:rPr>
        <w:t>did not differ significantly from placebo</w:t>
      </w:r>
      <w:r w:rsidRPr="00962BDA">
        <w:rPr>
          <w:rFonts w:cs="Arial"/>
          <w:color w:val="000000"/>
          <w:szCs w:val="22"/>
        </w:rPr>
        <w:t xml:space="preserve">.  </w:t>
      </w:r>
      <w:r w:rsidRPr="009025F6">
        <w:rPr>
          <w:color w:val="000000"/>
          <w:szCs w:val="22"/>
        </w:rPr>
        <w:t xml:space="preserve">At 8 sprays there was a moderate effect, significantly different from placebo, and the results were more marked at 16 sprays. </w:t>
      </w:r>
      <w:proofErr w:type="spellStart"/>
      <w:r w:rsidRPr="009025F6">
        <w:rPr>
          <w:color w:val="000000"/>
          <w:szCs w:val="22"/>
        </w:rPr>
        <w:t>Sativex</w:t>
      </w:r>
      <w:proofErr w:type="spellEnd"/>
      <w:r w:rsidRPr="009025F6">
        <w:rPr>
          <w:color w:val="000000"/>
          <w:szCs w:val="22"/>
        </w:rPr>
        <w:t xml:space="preserve"> taken at the maximum recommended doses of up to twelve sprays per day sprays has moderate potential for abuse. Patients with a history of substance abuse may abuse </w:t>
      </w:r>
      <w:proofErr w:type="spellStart"/>
      <w:r w:rsidRPr="009025F6">
        <w:rPr>
          <w:color w:val="000000"/>
          <w:szCs w:val="22"/>
        </w:rPr>
        <w:t>Sativex</w:t>
      </w:r>
      <w:proofErr w:type="spellEnd"/>
      <w:r w:rsidRPr="009025F6">
        <w:rPr>
          <w:color w:val="000000"/>
          <w:szCs w:val="22"/>
        </w:rPr>
        <w:t xml:space="preserve"> and if </w:t>
      </w:r>
      <w:proofErr w:type="spellStart"/>
      <w:r w:rsidRPr="009025F6">
        <w:rPr>
          <w:color w:val="000000"/>
          <w:szCs w:val="22"/>
        </w:rPr>
        <w:t>Sativex</w:t>
      </w:r>
      <w:proofErr w:type="spellEnd"/>
      <w:r w:rsidRPr="009025F6">
        <w:rPr>
          <w:color w:val="000000"/>
          <w:szCs w:val="22"/>
        </w:rPr>
        <w:t xml:space="preserve"> is being considered for these patients close monitoring is recommended.</w:t>
      </w:r>
    </w:p>
    <w:p w:rsidR="00F753BD" w:rsidRDefault="00F753BD">
      <w:pPr>
        <w:spacing w:before="0" w:line="240" w:lineRule="auto"/>
        <w:rPr>
          <w:rFonts w:cs="Arial"/>
          <w:b/>
          <w:color w:val="000000"/>
          <w:szCs w:val="22"/>
          <w:u w:val="single"/>
        </w:rPr>
      </w:pPr>
      <w:r>
        <w:rPr>
          <w:rFonts w:cs="Arial"/>
          <w:b/>
          <w:color w:val="000000"/>
          <w:szCs w:val="22"/>
          <w:u w:val="single"/>
        </w:rPr>
        <w:br w:type="page"/>
      </w:r>
    </w:p>
    <w:p w:rsidR="00CA610C" w:rsidRPr="009025F6" w:rsidRDefault="00CA610C" w:rsidP="00CA610C">
      <w:pPr>
        <w:jc w:val="both"/>
        <w:rPr>
          <w:rFonts w:cs="Arial"/>
          <w:b/>
          <w:color w:val="000000"/>
          <w:szCs w:val="22"/>
          <w:u w:val="single"/>
        </w:rPr>
      </w:pPr>
      <w:r w:rsidRPr="009025F6">
        <w:rPr>
          <w:rFonts w:cs="Arial"/>
          <w:b/>
          <w:color w:val="000000"/>
          <w:szCs w:val="22"/>
          <w:u w:val="single"/>
        </w:rPr>
        <w:lastRenderedPageBreak/>
        <w:t>Psychiatric and cognitive adverse effects</w:t>
      </w:r>
    </w:p>
    <w:p w:rsidR="00CA610C" w:rsidRDefault="00CA610C" w:rsidP="00CA610C">
      <w:pPr>
        <w:jc w:val="both"/>
        <w:rPr>
          <w:szCs w:val="22"/>
        </w:rPr>
      </w:pPr>
      <w:r w:rsidRPr="00B22048">
        <w:rPr>
          <w:rFonts w:cs="Arial"/>
          <w:color w:val="000000"/>
          <w:szCs w:val="22"/>
        </w:rPr>
        <w:t xml:space="preserve">In a </w:t>
      </w:r>
      <w:proofErr w:type="spellStart"/>
      <w:r w:rsidRPr="00B22048">
        <w:rPr>
          <w:rFonts w:cs="Arial"/>
          <w:color w:val="000000"/>
          <w:szCs w:val="22"/>
        </w:rPr>
        <w:t>QTc</w:t>
      </w:r>
      <w:proofErr w:type="spellEnd"/>
      <w:r w:rsidRPr="00B22048">
        <w:rPr>
          <w:rFonts w:cs="Arial"/>
          <w:color w:val="000000"/>
          <w:szCs w:val="22"/>
        </w:rPr>
        <w:t xml:space="preserve"> study a dose</w:t>
      </w:r>
      <w:r w:rsidRPr="00962BDA">
        <w:rPr>
          <w:rFonts w:ascii="TimesNewRomanPSMT" w:hAnsi="TimesNewRomanPSMT" w:cs="TimesNewRomanPSMT"/>
          <w:color w:val="000000"/>
          <w:szCs w:val="22"/>
          <w:lang w:eastAsia="en-GB"/>
        </w:rPr>
        <w:t xml:space="preserve"> of </w:t>
      </w:r>
      <w:proofErr w:type="spellStart"/>
      <w:r w:rsidRPr="007653B9">
        <w:rPr>
          <w:rFonts w:ascii="TimesNewRomanPSMT" w:hAnsi="TimesNewRomanPSMT" w:cs="TimesNewRomanPSMT"/>
          <w:color w:val="000000"/>
          <w:szCs w:val="22"/>
          <w:lang w:eastAsia="en-GB"/>
        </w:rPr>
        <w:t>S</w:t>
      </w:r>
      <w:r>
        <w:rPr>
          <w:rFonts w:ascii="TimesNewRomanPSMT" w:hAnsi="TimesNewRomanPSMT" w:cs="TimesNewRomanPSMT"/>
          <w:color w:val="000000"/>
          <w:szCs w:val="22"/>
          <w:lang w:eastAsia="en-GB"/>
        </w:rPr>
        <w:t>ativex</w:t>
      </w:r>
      <w:proofErr w:type="spellEnd"/>
      <w:r w:rsidRPr="00962BDA">
        <w:rPr>
          <w:rFonts w:ascii="TimesNewRomanPSMT" w:hAnsi="TimesNewRomanPSMT" w:cs="TimesNewRomanPSMT"/>
          <w:color w:val="000000"/>
          <w:szCs w:val="22"/>
          <w:lang w:eastAsia="en-GB"/>
        </w:rPr>
        <w:t xml:space="preserve"> 4 sprays over 20 minutes twice daily was well-tolerated, but a substantially </w:t>
      </w:r>
      <w:proofErr w:type="spellStart"/>
      <w:r w:rsidRPr="00962BDA">
        <w:rPr>
          <w:rFonts w:ascii="TimesNewRomanPSMT" w:hAnsi="TimesNewRomanPSMT" w:cs="TimesNewRomanPSMT"/>
          <w:color w:val="000000"/>
          <w:szCs w:val="22"/>
          <w:lang w:eastAsia="en-GB"/>
        </w:rPr>
        <w:t>supratherapeutic</w:t>
      </w:r>
      <w:proofErr w:type="spellEnd"/>
      <w:r w:rsidRPr="00962BDA">
        <w:rPr>
          <w:rFonts w:ascii="TimesNewRomanPSMT" w:hAnsi="TimesNewRomanPSMT" w:cs="TimesNewRomanPSMT"/>
          <w:color w:val="000000"/>
          <w:szCs w:val="22"/>
          <w:lang w:eastAsia="en-GB"/>
        </w:rPr>
        <w:t xml:space="preserve"> dose of 18 sprays over 20 minutes twice daily resulted in significant </w:t>
      </w:r>
      <w:proofErr w:type="spellStart"/>
      <w:r w:rsidRPr="00962BDA">
        <w:rPr>
          <w:rFonts w:ascii="TimesNewRomanPSMT" w:hAnsi="TimesNewRomanPSMT" w:cs="TimesNewRomanPSMT"/>
          <w:color w:val="000000"/>
          <w:szCs w:val="22"/>
          <w:lang w:eastAsia="en-GB"/>
        </w:rPr>
        <w:t>psychoactivity</w:t>
      </w:r>
      <w:proofErr w:type="spellEnd"/>
      <w:r w:rsidRPr="00962BDA">
        <w:rPr>
          <w:rFonts w:ascii="TimesNewRomanPSMT" w:hAnsi="TimesNewRomanPSMT" w:cs="TimesNewRomanPSMT"/>
          <w:color w:val="000000"/>
          <w:szCs w:val="22"/>
          <w:lang w:eastAsia="en-GB"/>
        </w:rPr>
        <w:t xml:space="preserve"> and cognitive impairment.</w:t>
      </w:r>
      <w:r w:rsidRPr="009025F6">
        <w:rPr>
          <w:rFonts w:ascii="TimesNewRomanPSMT" w:hAnsi="TimesNewRomanPSMT" w:cs="TimesNewRomanPSMT"/>
          <w:color w:val="000000"/>
          <w:szCs w:val="22"/>
          <w:lang w:eastAsia="en-GB"/>
        </w:rPr>
        <w:t xml:space="preserve"> 4/41 (9.7%) patients taking substantial multiples of the therapeutic </w:t>
      </w:r>
      <w:proofErr w:type="gramStart"/>
      <w:r w:rsidRPr="009025F6">
        <w:rPr>
          <w:rFonts w:ascii="TimesNewRomanPSMT" w:hAnsi="TimesNewRomanPSMT" w:cs="TimesNewRomanPSMT"/>
          <w:color w:val="000000"/>
          <w:szCs w:val="22"/>
          <w:lang w:eastAsia="en-GB"/>
        </w:rPr>
        <w:t>dose  experienced</w:t>
      </w:r>
      <w:proofErr w:type="gramEnd"/>
      <w:r w:rsidRPr="009025F6">
        <w:rPr>
          <w:rFonts w:ascii="TimesNewRomanPSMT" w:hAnsi="TimesNewRomanPSMT" w:cs="TimesNewRomanPSMT"/>
          <w:color w:val="000000"/>
          <w:szCs w:val="22"/>
          <w:lang w:eastAsia="en-GB"/>
        </w:rPr>
        <w:t xml:space="preserve"> psychiatric adverse effects including hallucinations, delusions, and homicidal and suicidal ideation.</w:t>
      </w:r>
    </w:p>
    <w:p w:rsidR="005836AE" w:rsidRPr="008B71C9" w:rsidRDefault="00872FD2" w:rsidP="00F17C1A">
      <w:pPr>
        <w:rPr>
          <w:szCs w:val="22"/>
        </w:rPr>
      </w:pPr>
      <w:r>
        <w:rPr>
          <w:szCs w:val="22"/>
        </w:rPr>
        <w:t>Please a</w:t>
      </w:r>
      <w:r w:rsidR="005836AE">
        <w:rPr>
          <w:szCs w:val="22"/>
        </w:rPr>
        <w:t xml:space="preserve">lso </w:t>
      </w:r>
      <w:r w:rsidR="00F33308">
        <w:rPr>
          <w:szCs w:val="22"/>
        </w:rPr>
        <w:t xml:space="preserve">refer to </w:t>
      </w:r>
      <w:r>
        <w:rPr>
          <w:szCs w:val="22"/>
        </w:rPr>
        <w:t xml:space="preserve">the </w:t>
      </w:r>
      <w:r w:rsidR="00F33308">
        <w:rPr>
          <w:szCs w:val="22"/>
        </w:rPr>
        <w:t>PRECAUTIONS</w:t>
      </w:r>
      <w:r>
        <w:rPr>
          <w:szCs w:val="22"/>
        </w:rPr>
        <w:t xml:space="preserve"> section</w:t>
      </w:r>
      <w:r w:rsidR="005836AE">
        <w:rPr>
          <w:szCs w:val="22"/>
        </w:rPr>
        <w:t>.</w:t>
      </w:r>
      <w:r w:rsidR="005836AE" w:rsidRPr="008B71C9">
        <w:rPr>
          <w:szCs w:val="22"/>
        </w:rPr>
        <w:t xml:space="preserve"> </w:t>
      </w:r>
    </w:p>
    <w:p w:rsidR="00053A2D" w:rsidRDefault="003916D7" w:rsidP="00053A2D">
      <w:pPr>
        <w:pStyle w:val="Heading1"/>
      </w:pPr>
      <w:r>
        <w:t>DOSAGE AND ADMINISTRATION</w:t>
      </w:r>
    </w:p>
    <w:p w:rsidR="009A4E1B" w:rsidRDefault="009A4E1B" w:rsidP="00F17C1A">
      <w:pPr>
        <w:jc w:val="both"/>
        <w:rPr>
          <w:color w:val="000000"/>
          <w:szCs w:val="22"/>
        </w:rPr>
      </w:pPr>
      <w:r w:rsidRPr="009A4E1B">
        <w:rPr>
          <w:color w:val="000000"/>
          <w:szCs w:val="22"/>
        </w:rPr>
        <w:t xml:space="preserve">Patients being considered for treatment with </w:t>
      </w:r>
      <w:proofErr w:type="spellStart"/>
      <w:r w:rsidRPr="009A4E1B">
        <w:rPr>
          <w:color w:val="000000"/>
          <w:szCs w:val="22"/>
          <w:lang w:val="en-US"/>
        </w:rPr>
        <w:t>Sativex</w:t>
      </w:r>
      <w:proofErr w:type="spellEnd"/>
      <w:r w:rsidRPr="009A4E1B">
        <w:rPr>
          <w:color w:val="000000"/>
          <w:szCs w:val="22"/>
          <w:lang w:val="en-US"/>
        </w:rPr>
        <w:t xml:space="preserve"> </w:t>
      </w:r>
      <w:r w:rsidRPr="009A4E1B">
        <w:rPr>
          <w:color w:val="000000"/>
          <w:szCs w:val="22"/>
        </w:rPr>
        <w:t xml:space="preserve">should be assessed by a neurologist or rehabilitation physician. Patients who then commence a trial of </w:t>
      </w:r>
      <w:proofErr w:type="spellStart"/>
      <w:r w:rsidRPr="009A4E1B">
        <w:rPr>
          <w:color w:val="000000"/>
          <w:szCs w:val="22"/>
          <w:lang w:val="en-US"/>
        </w:rPr>
        <w:t>Sativex</w:t>
      </w:r>
      <w:proofErr w:type="spellEnd"/>
      <w:r w:rsidRPr="009A4E1B">
        <w:rPr>
          <w:color w:val="000000"/>
          <w:szCs w:val="22"/>
          <w:lang w:val="en-US"/>
        </w:rPr>
        <w:t xml:space="preserve"> </w:t>
      </w:r>
      <w:r w:rsidRPr="009A4E1B">
        <w:rPr>
          <w:color w:val="000000"/>
          <w:szCs w:val="22"/>
        </w:rPr>
        <w:t xml:space="preserve">should be reassessed by a neurologist or rehabilitation physician after 4 weeks of treatment.  Patients who do not show a clinically significant improvement in spasticity on reassessment should not continue </w:t>
      </w:r>
      <w:proofErr w:type="spellStart"/>
      <w:r w:rsidRPr="009A4E1B">
        <w:rPr>
          <w:color w:val="000000"/>
          <w:szCs w:val="22"/>
          <w:lang w:val="en-US"/>
        </w:rPr>
        <w:t>Sativex</w:t>
      </w:r>
      <w:proofErr w:type="spellEnd"/>
      <w:r w:rsidRPr="009A4E1B">
        <w:rPr>
          <w:color w:val="000000"/>
          <w:szCs w:val="22"/>
        </w:rPr>
        <w:t>.</w:t>
      </w:r>
    </w:p>
    <w:p w:rsidR="00876985" w:rsidRDefault="00876985" w:rsidP="00876985">
      <w:pPr>
        <w:jc w:val="both"/>
        <w:rPr>
          <w:color w:val="000000"/>
          <w:szCs w:val="22"/>
        </w:rPr>
      </w:pPr>
      <w:r w:rsidRPr="00962BDA">
        <w:rPr>
          <w:color w:val="000000"/>
          <w:szCs w:val="22"/>
        </w:rPr>
        <w:t xml:space="preserve">Treatment must be initiated and supervised by a </w:t>
      </w:r>
      <w:r>
        <w:rPr>
          <w:color w:val="000000"/>
          <w:szCs w:val="22"/>
        </w:rPr>
        <w:t>specialist neurologist or rehabilitation physician</w:t>
      </w:r>
      <w:r w:rsidRPr="00962BDA">
        <w:rPr>
          <w:color w:val="000000"/>
          <w:szCs w:val="22"/>
        </w:rPr>
        <w:t xml:space="preserve"> with expertise in treating </w:t>
      </w:r>
      <w:r>
        <w:rPr>
          <w:color w:val="000000"/>
          <w:szCs w:val="22"/>
        </w:rPr>
        <w:t>patients with spasticity due to multiple sclerosis</w:t>
      </w:r>
      <w:r w:rsidRPr="00962BDA">
        <w:rPr>
          <w:color w:val="000000"/>
          <w:szCs w:val="22"/>
        </w:rPr>
        <w:t xml:space="preserve">. </w:t>
      </w:r>
    </w:p>
    <w:p w:rsidR="005F6BC2" w:rsidRDefault="00C73E02" w:rsidP="00F17C1A">
      <w:pPr>
        <w:jc w:val="both"/>
        <w:rPr>
          <w:color w:val="FF0000"/>
          <w:szCs w:val="22"/>
          <w:lang w:val="en-US"/>
        </w:rPr>
      </w:pPr>
      <w:proofErr w:type="spellStart"/>
      <w:r w:rsidRPr="00340551">
        <w:rPr>
          <w:color w:val="000000"/>
          <w:szCs w:val="22"/>
        </w:rPr>
        <w:t>S</w:t>
      </w:r>
      <w:r w:rsidR="00340551">
        <w:rPr>
          <w:color w:val="000000"/>
          <w:szCs w:val="22"/>
        </w:rPr>
        <w:t>ativex</w:t>
      </w:r>
      <w:proofErr w:type="spellEnd"/>
      <w:r w:rsidR="00F43C9D" w:rsidRPr="008B71C9">
        <w:rPr>
          <w:color w:val="000000"/>
          <w:szCs w:val="22"/>
        </w:rPr>
        <w:t xml:space="preserve"> is for </w:t>
      </w:r>
      <w:proofErr w:type="spellStart"/>
      <w:r w:rsidR="00F43C9D" w:rsidRPr="008B71C9">
        <w:rPr>
          <w:color w:val="000000"/>
          <w:szCs w:val="22"/>
        </w:rPr>
        <w:t>oromucosal</w:t>
      </w:r>
      <w:proofErr w:type="spellEnd"/>
      <w:r w:rsidR="00F43C9D" w:rsidRPr="008B71C9">
        <w:rPr>
          <w:color w:val="000000"/>
          <w:szCs w:val="22"/>
        </w:rPr>
        <w:t xml:space="preserve"> use only.</w:t>
      </w:r>
      <w:r w:rsidR="005F6BC2" w:rsidRPr="005F6BC2">
        <w:rPr>
          <w:color w:val="FF0000"/>
          <w:szCs w:val="22"/>
          <w:lang w:val="en-US"/>
        </w:rPr>
        <w:t xml:space="preserve"> </w:t>
      </w:r>
    </w:p>
    <w:p w:rsidR="00F43C9D" w:rsidRDefault="005F6BC2" w:rsidP="00F17C1A">
      <w:pPr>
        <w:jc w:val="both"/>
        <w:rPr>
          <w:color w:val="000000"/>
          <w:szCs w:val="22"/>
        </w:rPr>
      </w:pPr>
      <w:proofErr w:type="spellStart"/>
      <w:r w:rsidRPr="005F6BC2">
        <w:rPr>
          <w:color w:val="000000"/>
          <w:szCs w:val="22"/>
          <w:lang w:val="en-US"/>
        </w:rPr>
        <w:t>Sativex</w:t>
      </w:r>
      <w:proofErr w:type="spellEnd"/>
      <w:r w:rsidRPr="005F6BC2">
        <w:rPr>
          <w:color w:val="000000"/>
          <w:szCs w:val="22"/>
          <w:lang w:val="en-US"/>
        </w:rPr>
        <w:t xml:space="preserve"> is intended to be used in </w:t>
      </w:r>
      <w:r w:rsidR="00D74833">
        <w:rPr>
          <w:color w:val="000000"/>
          <w:szCs w:val="22"/>
          <w:lang w:val="en-US"/>
        </w:rPr>
        <w:t>addition</w:t>
      </w:r>
      <w:r w:rsidRPr="005F6BC2">
        <w:rPr>
          <w:color w:val="000000"/>
          <w:szCs w:val="22"/>
          <w:lang w:val="en-US"/>
        </w:rPr>
        <w:t xml:space="preserve"> to the patient’s current anti-spasticity medication. </w:t>
      </w:r>
    </w:p>
    <w:p w:rsidR="00B03D36" w:rsidRPr="008B71C9" w:rsidRDefault="00B03D36" w:rsidP="00F17C1A">
      <w:pPr>
        <w:jc w:val="both"/>
      </w:pPr>
      <w:r w:rsidRPr="008B71C9">
        <w:t>In the absence of compatibility studies, this medicinal product must not be mixed with other medicinal products.</w:t>
      </w:r>
    </w:p>
    <w:p w:rsidR="00053A2D" w:rsidRDefault="005F6BC2" w:rsidP="00053A2D">
      <w:pPr>
        <w:pStyle w:val="Heading2"/>
        <w:rPr>
          <w:noProof/>
        </w:rPr>
      </w:pPr>
      <w:r>
        <w:rPr>
          <w:noProof/>
          <w:kern w:val="28"/>
          <w:lang w:val="en-GB"/>
        </w:rPr>
        <w:t>Adults</w:t>
      </w:r>
      <w:r w:rsidR="003916D7">
        <w:rPr>
          <w:noProof/>
          <w:kern w:val="28"/>
          <w:lang w:val="en-GB"/>
        </w:rPr>
        <w:t xml:space="preserve"> </w:t>
      </w:r>
    </w:p>
    <w:p w:rsidR="00912D04" w:rsidRDefault="00912D04" w:rsidP="00F17C1A">
      <w:pPr>
        <w:jc w:val="both"/>
      </w:pPr>
      <w:r w:rsidRPr="00962BDA">
        <w:t>Patients should be advised that it might take up to two weeks to find the optimal dose and that undesirable effects</w:t>
      </w:r>
      <w:r w:rsidRPr="00962BDA">
        <w:rPr>
          <w:b/>
        </w:rPr>
        <w:t xml:space="preserve"> </w:t>
      </w:r>
      <w:r w:rsidRPr="00962BDA">
        <w:t xml:space="preserve">can occur during this time, most commonly dizziness.  These undesirable effects are usually mild and resolve in a few days.  However, physicians should consider maintaining the current dose, reducing the dose or interrupting, at least temporarily, the treatment depending on seriousness and intensity. </w:t>
      </w:r>
    </w:p>
    <w:p w:rsidR="005F6BC2" w:rsidRPr="005F6BC2" w:rsidRDefault="005F6BC2" w:rsidP="00F17C1A">
      <w:pPr>
        <w:jc w:val="both"/>
        <w:rPr>
          <w:lang w:val="en-US"/>
        </w:rPr>
      </w:pPr>
      <w:r w:rsidRPr="005F6BC2">
        <w:rPr>
          <w:lang w:val="en-US"/>
        </w:rPr>
        <w:t xml:space="preserve">To </w:t>
      </w:r>
      <w:proofErr w:type="spellStart"/>
      <w:r w:rsidRPr="005F6BC2">
        <w:rPr>
          <w:lang w:val="en-US"/>
        </w:rPr>
        <w:t>minimise</w:t>
      </w:r>
      <w:proofErr w:type="spellEnd"/>
      <w:r w:rsidRPr="005F6BC2">
        <w:rPr>
          <w:lang w:val="en-US"/>
        </w:rPr>
        <w:t xml:space="preserve"> variability of bioavailability in the individual patient, administration of </w:t>
      </w:r>
      <w:proofErr w:type="spellStart"/>
      <w:r w:rsidRPr="005F6BC2">
        <w:rPr>
          <w:lang w:val="en-US"/>
        </w:rPr>
        <w:t>Sativex</w:t>
      </w:r>
      <w:proofErr w:type="spellEnd"/>
      <w:r w:rsidRPr="005F6BC2">
        <w:rPr>
          <w:lang w:val="en-US"/>
        </w:rPr>
        <w:t xml:space="preserve"> should be </w:t>
      </w:r>
      <w:proofErr w:type="spellStart"/>
      <w:r w:rsidRPr="005F6BC2">
        <w:rPr>
          <w:lang w:val="en-US"/>
        </w:rPr>
        <w:t>standardised</w:t>
      </w:r>
      <w:proofErr w:type="spellEnd"/>
      <w:r w:rsidRPr="005F6BC2">
        <w:rPr>
          <w:lang w:val="en-US"/>
        </w:rPr>
        <w:t xml:space="preserve"> as far as possible in relation to food intake </w:t>
      </w:r>
      <w:r w:rsidR="00385BCA">
        <w:rPr>
          <w:lang w:val="en-US"/>
        </w:rPr>
        <w:t>(see INTERACTIONS WITH OTHER MEDICINES).</w:t>
      </w:r>
    </w:p>
    <w:p w:rsidR="00053A2D" w:rsidRDefault="00912D04" w:rsidP="00053A2D">
      <w:pPr>
        <w:pStyle w:val="Heading3"/>
        <w:rPr>
          <w:bCs/>
        </w:rPr>
      </w:pPr>
      <w:r w:rsidRPr="00523882">
        <w:t>Titration period:</w:t>
      </w:r>
    </w:p>
    <w:p w:rsidR="00912D04" w:rsidRDefault="00912D04" w:rsidP="009D1974">
      <w:pPr>
        <w:spacing w:before="60"/>
        <w:jc w:val="both"/>
        <w:rPr>
          <w:szCs w:val="22"/>
        </w:rPr>
      </w:pPr>
      <w:r w:rsidRPr="008B71C9">
        <w:rPr>
          <w:szCs w:val="22"/>
        </w:rPr>
        <w:t xml:space="preserve">A titration period is required to reach optimal dose. </w:t>
      </w:r>
      <w:r>
        <w:rPr>
          <w:szCs w:val="22"/>
        </w:rPr>
        <w:t xml:space="preserve"> </w:t>
      </w:r>
      <w:r w:rsidRPr="008B71C9">
        <w:rPr>
          <w:szCs w:val="22"/>
        </w:rPr>
        <w:t xml:space="preserve">The number and timing of sprays will vary between patients. </w:t>
      </w:r>
    </w:p>
    <w:p w:rsidR="00912D04" w:rsidRPr="00E2763A" w:rsidRDefault="00912D04" w:rsidP="00F17C1A">
      <w:pPr>
        <w:jc w:val="both"/>
        <w:rPr>
          <w:szCs w:val="22"/>
        </w:rPr>
      </w:pPr>
      <w:r>
        <w:rPr>
          <w:szCs w:val="22"/>
        </w:rPr>
        <w:t>The number of sprays should be increased each day following the pattern given in the table below.  The afternoon/evening dose should be taken at any time between 4 pm and bedtime.  When the morning dose is introduced, it should be taken at any time between waking and midday.  The patient may continue to gradually increase the dose by one spray per da</w:t>
      </w:r>
      <w:r w:rsidRPr="00E2763A">
        <w:rPr>
          <w:szCs w:val="22"/>
        </w:rPr>
        <w:t xml:space="preserve">y, up to a maximum of 12 sprays per day, until they achieve optimum symptom </w:t>
      </w:r>
      <w:r w:rsidRPr="00E2763A">
        <w:rPr>
          <w:szCs w:val="22"/>
        </w:rPr>
        <w:lastRenderedPageBreak/>
        <w:t>relief.  There should be at least a 15 minute gap between sprays.</w:t>
      </w:r>
      <w:r w:rsidR="00FD5AE5">
        <w:rPr>
          <w:szCs w:val="22"/>
        </w:rPr>
        <w:t xml:space="preserve"> The maximum number of consecutive sprays must not exceed 7 within a 3 hour period.</w:t>
      </w:r>
    </w:p>
    <w:p w:rsidR="00912D04" w:rsidRPr="000E4C08" w:rsidRDefault="00912D04" w:rsidP="009D1974">
      <w:pPr>
        <w:jc w:val="center"/>
      </w:pPr>
    </w:p>
    <w:tbl>
      <w:tblPr>
        <w:tblW w:w="0" w:type="auto"/>
        <w:jc w:val="center"/>
        <w:tblInd w:w="-1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965"/>
        <w:gridCol w:w="1935"/>
        <w:gridCol w:w="2009"/>
      </w:tblGrid>
      <w:tr w:rsidR="00912D04" w:rsidRPr="00E2763A" w:rsidTr="00174827">
        <w:trPr>
          <w:tblHeader/>
          <w:jc w:val="center"/>
        </w:trPr>
        <w:tc>
          <w:tcPr>
            <w:tcW w:w="1260" w:type="dxa"/>
          </w:tcPr>
          <w:p w:rsidR="00912D04" w:rsidRPr="00107F8A" w:rsidRDefault="00912D04" w:rsidP="000C07BB">
            <w:pPr>
              <w:jc w:val="center"/>
              <w:rPr>
                <w:b/>
                <w:szCs w:val="18"/>
              </w:rPr>
            </w:pPr>
            <w:r w:rsidRPr="00107F8A">
              <w:rPr>
                <w:b/>
                <w:szCs w:val="18"/>
              </w:rPr>
              <w:t>Day</w:t>
            </w:r>
          </w:p>
        </w:tc>
        <w:tc>
          <w:tcPr>
            <w:tcW w:w="1965" w:type="dxa"/>
          </w:tcPr>
          <w:p w:rsidR="00912D04" w:rsidRPr="00107F8A" w:rsidRDefault="00912D04" w:rsidP="000C07BB">
            <w:pPr>
              <w:jc w:val="center"/>
              <w:rPr>
                <w:b/>
                <w:szCs w:val="18"/>
              </w:rPr>
            </w:pPr>
            <w:r w:rsidRPr="00107F8A">
              <w:rPr>
                <w:b/>
                <w:szCs w:val="18"/>
              </w:rPr>
              <w:t>Number of sprays in the morning</w:t>
            </w:r>
          </w:p>
        </w:tc>
        <w:tc>
          <w:tcPr>
            <w:tcW w:w="1935" w:type="dxa"/>
          </w:tcPr>
          <w:p w:rsidR="00912D04" w:rsidRPr="00107F8A" w:rsidRDefault="00912D04" w:rsidP="000C07BB">
            <w:pPr>
              <w:jc w:val="center"/>
              <w:rPr>
                <w:b/>
                <w:szCs w:val="18"/>
              </w:rPr>
            </w:pPr>
            <w:r w:rsidRPr="00107F8A">
              <w:rPr>
                <w:b/>
                <w:szCs w:val="18"/>
              </w:rPr>
              <w:t>Number of sprays in the evening</w:t>
            </w:r>
          </w:p>
        </w:tc>
        <w:tc>
          <w:tcPr>
            <w:tcW w:w="2009" w:type="dxa"/>
          </w:tcPr>
          <w:p w:rsidR="00912D04" w:rsidRPr="00107F8A" w:rsidRDefault="00912D04" w:rsidP="000C07BB">
            <w:pPr>
              <w:jc w:val="center"/>
              <w:rPr>
                <w:b/>
                <w:szCs w:val="18"/>
              </w:rPr>
            </w:pPr>
            <w:r w:rsidRPr="00107F8A">
              <w:rPr>
                <w:b/>
                <w:szCs w:val="18"/>
              </w:rPr>
              <w:t>(Total number of sprays per day)</w:t>
            </w:r>
          </w:p>
        </w:tc>
      </w:tr>
      <w:tr w:rsidR="00912D04" w:rsidRPr="00E2763A" w:rsidTr="00174827">
        <w:trPr>
          <w:trHeight w:hRule="exact" w:val="284"/>
          <w:jc w:val="center"/>
        </w:trPr>
        <w:tc>
          <w:tcPr>
            <w:tcW w:w="1260" w:type="dxa"/>
          </w:tcPr>
          <w:p w:rsidR="00912D04" w:rsidRPr="00107F8A" w:rsidRDefault="00912D04" w:rsidP="00293667">
            <w:pPr>
              <w:spacing w:before="0" w:line="240" w:lineRule="auto"/>
              <w:jc w:val="center"/>
              <w:rPr>
                <w:szCs w:val="18"/>
              </w:rPr>
            </w:pPr>
            <w:r w:rsidRPr="00107F8A">
              <w:rPr>
                <w:szCs w:val="18"/>
              </w:rPr>
              <w:t>1</w:t>
            </w:r>
          </w:p>
        </w:tc>
        <w:tc>
          <w:tcPr>
            <w:tcW w:w="1965" w:type="dxa"/>
          </w:tcPr>
          <w:p w:rsidR="00912D04" w:rsidRPr="00107F8A" w:rsidRDefault="00912D04" w:rsidP="00293667">
            <w:pPr>
              <w:spacing w:before="0" w:line="240" w:lineRule="auto"/>
              <w:jc w:val="center"/>
              <w:rPr>
                <w:szCs w:val="18"/>
              </w:rPr>
            </w:pPr>
            <w:r w:rsidRPr="00107F8A">
              <w:rPr>
                <w:szCs w:val="18"/>
              </w:rPr>
              <w:t>0</w:t>
            </w:r>
          </w:p>
        </w:tc>
        <w:tc>
          <w:tcPr>
            <w:tcW w:w="1935" w:type="dxa"/>
          </w:tcPr>
          <w:p w:rsidR="00912D04" w:rsidRPr="00107F8A" w:rsidRDefault="00912D04" w:rsidP="00293667">
            <w:pPr>
              <w:spacing w:before="0" w:line="240" w:lineRule="auto"/>
              <w:jc w:val="center"/>
              <w:rPr>
                <w:szCs w:val="18"/>
              </w:rPr>
            </w:pPr>
            <w:r w:rsidRPr="00107F8A">
              <w:rPr>
                <w:szCs w:val="18"/>
              </w:rPr>
              <w:t>1</w:t>
            </w:r>
          </w:p>
        </w:tc>
        <w:tc>
          <w:tcPr>
            <w:tcW w:w="2009" w:type="dxa"/>
          </w:tcPr>
          <w:p w:rsidR="00912D04" w:rsidRPr="00107F8A" w:rsidRDefault="00912D04" w:rsidP="00293667">
            <w:pPr>
              <w:spacing w:before="0" w:line="240" w:lineRule="auto"/>
              <w:jc w:val="center"/>
              <w:rPr>
                <w:szCs w:val="18"/>
              </w:rPr>
            </w:pPr>
            <w:r w:rsidRPr="00107F8A">
              <w:rPr>
                <w:szCs w:val="18"/>
              </w:rPr>
              <w:t>1</w:t>
            </w:r>
          </w:p>
        </w:tc>
      </w:tr>
      <w:tr w:rsidR="00912D04" w:rsidRPr="00E2763A" w:rsidTr="00174827">
        <w:trPr>
          <w:trHeight w:hRule="exact" w:val="284"/>
          <w:jc w:val="center"/>
        </w:trPr>
        <w:tc>
          <w:tcPr>
            <w:tcW w:w="1260" w:type="dxa"/>
          </w:tcPr>
          <w:p w:rsidR="00912D04" w:rsidRPr="00107F8A" w:rsidRDefault="00912D04" w:rsidP="00293667">
            <w:pPr>
              <w:spacing w:before="0" w:line="240" w:lineRule="auto"/>
              <w:jc w:val="center"/>
              <w:rPr>
                <w:szCs w:val="18"/>
              </w:rPr>
            </w:pPr>
            <w:r w:rsidRPr="00107F8A">
              <w:rPr>
                <w:szCs w:val="18"/>
              </w:rPr>
              <w:t>2</w:t>
            </w:r>
          </w:p>
        </w:tc>
        <w:tc>
          <w:tcPr>
            <w:tcW w:w="1965" w:type="dxa"/>
          </w:tcPr>
          <w:p w:rsidR="00912D04" w:rsidRPr="00107F8A" w:rsidRDefault="00912D04" w:rsidP="00293667">
            <w:pPr>
              <w:spacing w:before="0" w:line="240" w:lineRule="auto"/>
              <w:jc w:val="center"/>
              <w:rPr>
                <w:szCs w:val="18"/>
              </w:rPr>
            </w:pPr>
            <w:r w:rsidRPr="00107F8A">
              <w:rPr>
                <w:szCs w:val="18"/>
              </w:rPr>
              <w:t>0</w:t>
            </w:r>
          </w:p>
        </w:tc>
        <w:tc>
          <w:tcPr>
            <w:tcW w:w="1935" w:type="dxa"/>
          </w:tcPr>
          <w:p w:rsidR="00912D04" w:rsidRPr="00107F8A" w:rsidRDefault="00912D04" w:rsidP="00293667">
            <w:pPr>
              <w:spacing w:before="0" w:line="240" w:lineRule="auto"/>
              <w:jc w:val="center"/>
              <w:rPr>
                <w:szCs w:val="18"/>
              </w:rPr>
            </w:pPr>
            <w:r w:rsidRPr="00107F8A">
              <w:rPr>
                <w:szCs w:val="18"/>
              </w:rPr>
              <w:t>1</w:t>
            </w:r>
          </w:p>
        </w:tc>
        <w:tc>
          <w:tcPr>
            <w:tcW w:w="2009" w:type="dxa"/>
          </w:tcPr>
          <w:p w:rsidR="00912D04" w:rsidRPr="00107F8A" w:rsidRDefault="00912D04" w:rsidP="00293667">
            <w:pPr>
              <w:spacing w:before="0" w:line="240" w:lineRule="auto"/>
              <w:jc w:val="center"/>
              <w:rPr>
                <w:szCs w:val="18"/>
              </w:rPr>
            </w:pPr>
            <w:r w:rsidRPr="00107F8A">
              <w:rPr>
                <w:szCs w:val="18"/>
              </w:rPr>
              <w:t>1</w:t>
            </w:r>
          </w:p>
        </w:tc>
      </w:tr>
      <w:tr w:rsidR="00912D04" w:rsidRPr="00E2763A" w:rsidTr="00174827">
        <w:trPr>
          <w:trHeight w:hRule="exact" w:val="284"/>
          <w:jc w:val="center"/>
        </w:trPr>
        <w:tc>
          <w:tcPr>
            <w:tcW w:w="1260" w:type="dxa"/>
          </w:tcPr>
          <w:p w:rsidR="00912D04" w:rsidRPr="00107F8A" w:rsidRDefault="00912D04" w:rsidP="00293667">
            <w:pPr>
              <w:spacing w:before="0" w:line="240" w:lineRule="auto"/>
              <w:jc w:val="center"/>
              <w:rPr>
                <w:szCs w:val="18"/>
              </w:rPr>
            </w:pPr>
            <w:r w:rsidRPr="00107F8A">
              <w:rPr>
                <w:szCs w:val="18"/>
              </w:rPr>
              <w:t>3</w:t>
            </w:r>
          </w:p>
        </w:tc>
        <w:tc>
          <w:tcPr>
            <w:tcW w:w="1965" w:type="dxa"/>
          </w:tcPr>
          <w:p w:rsidR="00912D04" w:rsidRPr="00107F8A" w:rsidRDefault="00912D04" w:rsidP="00293667">
            <w:pPr>
              <w:spacing w:before="0" w:line="240" w:lineRule="auto"/>
              <w:jc w:val="center"/>
              <w:rPr>
                <w:szCs w:val="18"/>
              </w:rPr>
            </w:pPr>
            <w:r w:rsidRPr="00107F8A">
              <w:rPr>
                <w:szCs w:val="18"/>
              </w:rPr>
              <w:t>0</w:t>
            </w:r>
          </w:p>
        </w:tc>
        <w:tc>
          <w:tcPr>
            <w:tcW w:w="1935" w:type="dxa"/>
          </w:tcPr>
          <w:p w:rsidR="00912D04" w:rsidRPr="00107F8A" w:rsidRDefault="00912D04" w:rsidP="00293667">
            <w:pPr>
              <w:spacing w:before="0" w:line="240" w:lineRule="auto"/>
              <w:jc w:val="center"/>
              <w:rPr>
                <w:szCs w:val="18"/>
              </w:rPr>
            </w:pPr>
            <w:r w:rsidRPr="00107F8A">
              <w:rPr>
                <w:szCs w:val="18"/>
              </w:rPr>
              <w:t>2</w:t>
            </w:r>
          </w:p>
        </w:tc>
        <w:tc>
          <w:tcPr>
            <w:tcW w:w="2009" w:type="dxa"/>
          </w:tcPr>
          <w:p w:rsidR="00912D04" w:rsidRPr="00107F8A" w:rsidRDefault="00912D04" w:rsidP="00293667">
            <w:pPr>
              <w:spacing w:before="0" w:line="240" w:lineRule="auto"/>
              <w:jc w:val="center"/>
              <w:rPr>
                <w:szCs w:val="18"/>
              </w:rPr>
            </w:pPr>
            <w:r w:rsidRPr="00107F8A">
              <w:rPr>
                <w:szCs w:val="18"/>
              </w:rPr>
              <w:t>2</w:t>
            </w:r>
          </w:p>
        </w:tc>
      </w:tr>
      <w:tr w:rsidR="00912D04" w:rsidRPr="00E2763A" w:rsidTr="00174827">
        <w:trPr>
          <w:trHeight w:hRule="exact" w:val="284"/>
          <w:jc w:val="center"/>
        </w:trPr>
        <w:tc>
          <w:tcPr>
            <w:tcW w:w="1260" w:type="dxa"/>
          </w:tcPr>
          <w:p w:rsidR="00912D04" w:rsidRPr="00107F8A" w:rsidRDefault="00912D04" w:rsidP="00293667">
            <w:pPr>
              <w:spacing w:before="0" w:line="240" w:lineRule="auto"/>
              <w:jc w:val="center"/>
              <w:rPr>
                <w:szCs w:val="18"/>
              </w:rPr>
            </w:pPr>
            <w:r w:rsidRPr="00107F8A">
              <w:rPr>
                <w:szCs w:val="18"/>
              </w:rPr>
              <w:t>4</w:t>
            </w:r>
          </w:p>
        </w:tc>
        <w:tc>
          <w:tcPr>
            <w:tcW w:w="1965" w:type="dxa"/>
          </w:tcPr>
          <w:p w:rsidR="00912D04" w:rsidRPr="00107F8A" w:rsidRDefault="00912D04" w:rsidP="00293667">
            <w:pPr>
              <w:spacing w:before="0" w:line="240" w:lineRule="auto"/>
              <w:jc w:val="center"/>
              <w:rPr>
                <w:szCs w:val="18"/>
              </w:rPr>
            </w:pPr>
            <w:r w:rsidRPr="00107F8A">
              <w:rPr>
                <w:szCs w:val="18"/>
              </w:rPr>
              <w:t>0</w:t>
            </w:r>
          </w:p>
        </w:tc>
        <w:tc>
          <w:tcPr>
            <w:tcW w:w="1935" w:type="dxa"/>
          </w:tcPr>
          <w:p w:rsidR="00912D04" w:rsidRPr="00107F8A" w:rsidRDefault="00912D04" w:rsidP="00293667">
            <w:pPr>
              <w:spacing w:before="0" w:line="240" w:lineRule="auto"/>
              <w:jc w:val="center"/>
              <w:rPr>
                <w:szCs w:val="18"/>
              </w:rPr>
            </w:pPr>
            <w:r w:rsidRPr="00107F8A">
              <w:rPr>
                <w:szCs w:val="18"/>
              </w:rPr>
              <w:t>2</w:t>
            </w:r>
          </w:p>
        </w:tc>
        <w:tc>
          <w:tcPr>
            <w:tcW w:w="2009" w:type="dxa"/>
          </w:tcPr>
          <w:p w:rsidR="00912D04" w:rsidRPr="00107F8A" w:rsidRDefault="00912D04" w:rsidP="00293667">
            <w:pPr>
              <w:spacing w:before="0" w:line="240" w:lineRule="auto"/>
              <w:jc w:val="center"/>
              <w:rPr>
                <w:szCs w:val="18"/>
              </w:rPr>
            </w:pPr>
            <w:r w:rsidRPr="00107F8A">
              <w:rPr>
                <w:szCs w:val="18"/>
              </w:rPr>
              <w:t>2</w:t>
            </w:r>
          </w:p>
        </w:tc>
      </w:tr>
      <w:tr w:rsidR="00912D04" w:rsidRPr="00E2763A" w:rsidTr="00174827">
        <w:trPr>
          <w:trHeight w:hRule="exact" w:val="284"/>
          <w:jc w:val="center"/>
        </w:trPr>
        <w:tc>
          <w:tcPr>
            <w:tcW w:w="1260" w:type="dxa"/>
          </w:tcPr>
          <w:p w:rsidR="00912D04" w:rsidRPr="00107F8A" w:rsidRDefault="00912D04" w:rsidP="00293667">
            <w:pPr>
              <w:spacing w:before="0" w:line="240" w:lineRule="auto"/>
              <w:jc w:val="center"/>
              <w:rPr>
                <w:szCs w:val="18"/>
              </w:rPr>
            </w:pPr>
            <w:r w:rsidRPr="00107F8A">
              <w:rPr>
                <w:szCs w:val="18"/>
              </w:rPr>
              <w:t>5</w:t>
            </w:r>
          </w:p>
        </w:tc>
        <w:tc>
          <w:tcPr>
            <w:tcW w:w="1965" w:type="dxa"/>
          </w:tcPr>
          <w:p w:rsidR="00912D04" w:rsidRPr="00107F8A" w:rsidRDefault="00912D04" w:rsidP="00293667">
            <w:pPr>
              <w:spacing w:before="0" w:line="240" w:lineRule="auto"/>
              <w:jc w:val="center"/>
              <w:rPr>
                <w:szCs w:val="18"/>
              </w:rPr>
            </w:pPr>
            <w:r w:rsidRPr="00107F8A">
              <w:rPr>
                <w:szCs w:val="18"/>
              </w:rPr>
              <w:t>1</w:t>
            </w:r>
          </w:p>
        </w:tc>
        <w:tc>
          <w:tcPr>
            <w:tcW w:w="1935" w:type="dxa"/>
          </w:tcPr>
          <w:p w:rsidR="00912D04" w:rsidRPr="00107F8A" w:rsidRDefault="00912D04" w:rsidP="00293667">
            <w:pPr>
              <w:spacing w:before="0" w:line="240" w:lineRule="auto"/>
              <w:jc w:val="center"/>
              <w:rPr>
                <w:szCs w:val="18"/>
              </w:rPr>
            </w:pPr>
            <w:r w:rsidRPr="00107F8A">
              <w:rPr>
                <w:szCs w:val="18"/>
              </w:rPr>
              <w:t>2</w:t>
            </w:r>
          </w:p>
        </w:tc>
        <w:tc>
          <w:tcPr>
            <w:tcW w:w="2009" w:type="dxa"/>
          </w:tcPr>
          <w:p w:rsidR="00912D04" w:rsidRPr="00107F8A" w:rsidRDefault="00912D04" w:rsidP="00293667">
            <w:pPr>
              <w:spacing w:before="0" w:line="240" w:lineRule="auto"/>
              <w:jc w:val="center"/>
              <w:rPr>
                <w:szCs w:val="18"/>
              </w:rPr>
            </w:pPr>
            <w:r w:rsidRPr="00107F8A">
              <w:rPr>
                <w:szCs w:val="18"/>
              </w:rPr>
              <w:t>3</w:t>
            </w:r>
          </w:p>
        </w:tc>
      </w:tr>
      <w:tr w:rsidR="00912D04" w:rsidRPr="00E2763A" w:rsidTr="00174827">
        <w:trPr>
          <w:trHeight w:hRule="exact" w:val="284"/>
          <w:jc w:val="center"/>
        </w:trPr>
        <w:tc>
          <w:tcPr>
            <w:tcW w:w="1260" w:type="dxa"/>
          </w:tcPr>
          <w:p w:rsidR="00912D04" w:rsidRPr="00107F8A" w:rsidRDefault="00912D04" w:rsidP="00293667">
            <w:pPr>
              <w:spacing w:before="0" w:line="240" w:lineRule="auto"/>
              <w:jc w:val="center"/>
              <w:rPr>
                <w:szCs w:val="18"/>
              </w:rPr>
            </w:pPr>
            <w:r w:rsidRPr="00107F8A">
              <w:rPr>
                <w:szCs w:val="18"/>
              </w:rPr>
              <w:t>6</w:t>
            </w:r>
          </w:p>
        </w:tc>
        <w:tc>
          <w:tcPr>
            <w:tcW w:w="1965" w:type="dxa"/>
          </w:tcPr>
          <w:p w:rsidR="00912D04" w:rsidRPr="00107F8A" w:rsidRDefault="00912D04" w:rsidP="00293667">
            <w:pPr>
              <w:spacing w:before="0" w:line="240" w:lineRule="auto"/>
              <w:jc w:val="center"/>
              <w:rPr>
                <w:szCs w:val="18"/>
              </w:rPr>
            </w:pPr>
            <w:r w:rsidRPr="00107F8A">
              <w:rPr>
                <w:szCs w:val="18"/>
              </w:rPr>
              <w:t>1</w:t>
            </w:r>
          </w:p>
        </w:tc>
        <w:tc>
          <w:tcPr>
            <w:tcW w:w="1935" w:type="dxa"/>
          </w:tcPr>
          <w:p w:rsidR="00912D04" w:rsidRPr="00107F8A" w:rsidRDefault="00912D04" w:rsidP="00293667">
            <w:pPr>
              <w:spacing w:before="0" w:line="240" w:lineRule="auto"/>
              <w:jc w:val="center"/>
              <w:rPr>
                <w:szCs w:val="18"/>
              </w:rPr>
            </w:pPr>
            <w:r w:rsidRPr="00107F8A">
              <w:rPr>
                <w:szCs w:val="18"/>
              </w:rPr>
              <w:t>3</w:t>
            </w:r>
          </w:p>
        </w:tc>
        <w:tc>
          <w:tcPr>
            <w:tcW w:w="2009" w:type="dxa"/>
          </w:tcPr>
          <w:p w:rsidR="00912D04" w:rsidRPr="00107F8A" w:rsidRDefault="00912D04" w:rsidP="00293667">
            <w:pPr>
              <w:spacing w:before="0" w:line="240" w:lineRule="auto"/>
              <w:jc w:val="center"/>
              <w:rPr>
                <w:szCs w:val="18"/>
              </w:rPr>
            </w:pPr>
            <w:r w:rsidRPr="00107F8A">
              <w:rPr>
                <w:szCs w:val="18"/>
              </w:rPr>
              <w:t>4</w:t>
            </w:r>
          </w:p>
        </w:tc>
      </w:tr>
      <w:tr w:rsidR="00912D04" w:rsidRPr="00E2763A" w:rsidTr="00174827">
        <w:trPr>
          <w:trHeight w:hRule="exact" w:val="284"/>
          <w:jc w:val="center"/>
        </w:trPr>
        <w:tc>
          <w:tcPr>
            <w:tcW w:w="1260" w:type="dxa"/>
          </w:tcPr>
          <w:p w:rsidR="00912D04" w:rsidRPr="00107F8A" w:rsidRDefault="00912D04" w:rsidP="00293667">
            <w:pPr>
              <w:spacing w:before="0" w:line="240" w:lineRule="auto"/>
              <w:jc w:val="center"/>
              <w:rPr>
                <w:szCs w:val="18"/>
              </w:rPr>
            </w:pPr>
            <w:r w:rsidRPr="00107F8A">
              <w:rPr>
                <w:szCs w:val="18"/>
              </w:rPr>
              <w:t>7</w:t>
            </w:r>
          </w:p>
        </w:tc>
        <w:tc>
          <w:tcPr>
            <w:tcW w:w="1965" w:type="dxa"/>
          </w:tcPr>
          <w:p w:rsidR="00912D04" w:rsidRPr="00107F8A" w:rsidRDefault="00912D04" w:rsidP="00293667">
            <w:pPr>
              <w:spacing w:before="0" w:line="240" w:lineRule="auto"/>
              <w:jc w:val="center"/>
              <w:rPr>
                <w:szCs w:val="18"/>
              </w:rPr>
            </w:pPr>
            <w:r w:rsidRPr="00107F8A">
              <w:rPr>
                <w:szCs w:val="18"/>
              </w:rPr>
              <w:t>1</w:t>
            </w:r>
          </w:p>
        </w:tc>
        <w:tc>
          <w:tcPr>
            <w:tcW w:w="1935" w:type="dxa"/>
          </w:tcPr>
          <w:p w:rsidR="00912D04" w:rsidRPr="00107F8A" w:rsidRDefault="00912D04" w:rsidP="00293667">
            <w:pPr>
              <w:spacing w:before="0" w:line="240" w:lineRule="auto"/>
              <w:jc w:val="center"/>
              <w:rPr>
                <w:szCs w:val="18"/>
              </w:rPr>
            </w:pPr>
            <w:r w:rsidRPr="00107F8A">
              <w:rPr>
                <w:szCs w:val="18"/>
              </w:rPr>
              <w:t>4</w:t>
            </w:r>
          </w:p>
        </w:tc>
        <w:tc>
          <w:tcPr>
            <w:tcW w:w="2009" w:type="dxa"/>
          </w:tcPr>
          <w:p w:rsidR="00912D04" w:rsidRPr="00107F8A" w:rsidRDefault="00912D04" w:rsidP="00293667">
            <w:pPr>
              <w:spacing w:before="0" w:line="240" w:lineRule="auto"/>
              <w:jc w:val="center"/>
              <w:rPr>
                <w:szCs w:val="18"/>
              </w:rPr>
            </w:pPr>
            <w:r w:rsidRPr="00107F8A">
              <w:rPr>
                <w:szCs w:val="18"/>
              </w:rPr>
              <w:t>5</w:t>
            </w:r>
          </w:p>
        </w:tc>
      </w:tr>
      <w:tr w:rsidR="00912D04" w:rsidRPr="00E2763A" w:rsidTr="00174827">
        <w:trPr>
          <w:trHeight w:hRule="exact" w:val="284"/>
          <w:jc w:val="center"/>
        </w:trPr>
        <w:tc>
          <w:tcPr>
            <w:tcW w:w="1260" w:type="dxa"/>
          </w:tcPr>
          <w:p w:rsidR="00912D04" w:rsidRPr="00107F8A" w:rsidRDefault="00912D04" w:rsidP="00293667">
            <w:pPr>
              <w:spacing w:before="0" w:line="240" w:lineRule="auto"/>
              <w:jc w:val="center"/>
              <w:rPr>
                <w:szCs w:val="18"/>
              </w:rPr>
            </w:pPr>
            <w:r w:rsidRPr="00107F8A">
              <w:rPr>
                <w:szCs w:val="18"/>
              </w:rPr>
              <w:t>8</w:t>
            </w:r>
          </w:p>
        </w:tc>
        <w:tc>
          <w:tcPr>
            <w:tcW w:w="1965" w:type="dxa"/>
          </w:tcPr>
          <w:p w:rsidR="00912D04" w:rsidRPr="00107F8A" w:rsidRDefault="00912D04" w:rsidP="00293667">
            <w:pPr>
              <w:spacing w:before="0" w:line="240" w:lineRule="auto"/>
              <w:jc w:val="center"/>
              <w:rPr>
                <w:szCs w:val="18"/>
              </w:rPr>
            </w:pPr>
            <w:r w:rsidRPr="00107F8A">
              <w:rPr>
                <w:szCs w:val="18"/>
              </w:rPr>
              <w:t>2</w:t>
            </w:r>
          </w:p>
        </w:tc>
        <w:tc>
          <w:tcPr>
            <w:tcW w:w="1935" w:type="dxa"/>
          </w:tcPr>
          <w:p w:rsidR="00912D04" w:rsidRPr="00107F8A" w:rsidRDefault="00912D04" w:rsidP="00293667">
            <w:pPr>
              <w:spacing w:before="0" w:line="240" w:lineRule="auto"/>
              <w:jc w:val="center"/>
              <w:rPr>
                <w:szCs w:val="18"/>
              </w:rPr>
            </w:pPr>
            <w:r w:rsidRPr="00107F8A">
              <w:rPr>
                <w:szCs w:val="18"/>
              </w:rPr>
              <w:t>4</w:t>
            </w:r>
          </w:p>
        </w:tc>
        <w:tc>
          <w:tcPr>
            <w:tcW w:w="2009" w:type="dxa"/>
          </w:tcPr>
          <w:p w:rsidR="00912D04" w:rsidRPr="00107F8A" w:rsidRDefault="00912D04" w:rsidP="00293667">
            <w:pPr>
              <w:spacing w:before="0" w:line="240" w:lineRule="auto"/>
              <w:jc w:val="center"/>
              <w:rPr>
                <w:szCs w:val="18"/>
              </w:rPr>
            </w:pPr>
            <w:r w:rsidRPr="00107F8A">
              <w:rPr>
                <w:szCs w:val="18"/>
              </w:rPr>
              <w:t>6</w:t>
            </w:r>
          </w:p>
        </w:tc>
      </w:tr>
      <w:tr w:rsidR="00912D04" w:rsidRPr="00E2763A" w:rsidTr="00174827">
        <w:trPr>
          <w:trHeight w:hRule="exact" w:val="284"/>
          <w:jc w:val="center"/>
        </w:trPr>
        <w:tc>
          <w:tcPr>
            <w:tcW w:w="1260" w:type="dxa"/>
            <w:tcBorders>
              <w:bottom w:val="single" w:sz="4" w:space="0" w:color="auto"/>
            </w:tcBorders>
          </w:tcPr>
          <w:p w:rsidR="00912D04" w:rsidRPr="00107F8A" w:rsidRDefault="00912D04" w:rsidP="00293667">
            <w:pPr>
              <w:spacing w:before="0" w:line="240" w:lineRule="auto"/>
              <w:jc w:val="center"/>
              <w:rPr>
                <w:szCs w:val="18"/>
              </w:rPr>
            </w:pPr>
            <w:r w:rsidRPr="00107F8A">
              <w:rPr>
                <w:szCs w:val="18"/>
              </w:rPr>
              <w:t>9</w:t>
            </w:r>
          </w:p>
        </w:tc>
        <w:tc>
          <w:tcPr>
            <w:tcW w:w="1965" w:type="dxa"/>
            <w:tcBorders>
              <w:bottom w:val="single" w:sz="4" w:space="0" w:color="auto"/>
            </w:tcBorders>
          </w:tcPr>
          <w:p w:rsidR="00912D04" w:rsidRPr="00107F8A" w:rsidRDefault="00912D04" w:rsidP="00293667">
            <w:pPr>
              <w:spacing w:before="0" w:line="240" w:lineRule="auto"/>
              <w:jc w:val="center"/>
              <w:rPr>
                <w:szCs w:val="18"/>
              </w:rPr>
            </w:pPr>
            <w:r w:rsidRPr="00107F8A">
              <w:rPr>
                <w:szCs w:val="18"/>
              </w:rPr>
              <w:t>2</w:t>
            </w:r>
          </w:p>
        </w:tc>
        <w:tc>
          <w:tcPr>
            <w:tcW w:w="1935" w:type="dxa"/>
            <w:tcBorders>
              <w:bottom w:val="single" w:sz="4" w:space="0" w:color="auto"/>
            </w:tcBorders>
          </w:tcPr>
          <w:p w:rsidR="00912D04" w:rsidRPr="00107F8A" w:rsidRDefault="00912D04" w:rsidP="00293667">
            <w:pPr>
              <w:spacing w:before="0" w:line="240" w:lineRule="auto"/>
              <w:jc w:val="center"/>
              <w:rPr>
                <w:szCs w:val="18"/>
              </w:rPr>
            </w:pPr>
            <w:r w:rsidRPr="00107F8A">
              <w:rPr>
                <w:szCs w:val="18"/>
              </w:rPr>
              <w:t>5</w:t>
            </w:r>
          </w:p>
        </w:tc>
        <w:tc>
          <w:tcPr>
            <w:tcW w:w="2009" w:type="dxa"/>
            <w:tcBorders>
              <w:bottom w:val="single" w:sz="4" w:space="0" w:color="auto"/>
            </w:tcBorders>
          </w:tcPr>
          <w:p w:rsidR="00912D04" w:rsidRPr="00107F8A" w:rsidRDefault="00912D04" w:rsidP="00293667">
            <w:pPr>
              <w:spacing w:before="0" w:line="240" w:lineRule="auto"/>
              <w:jc w:val="center"/>
              <w:rPr>
                <w:szCs w:val="18"/>
              </w:rPr>
            </w:pPr>
            <w:r w:rsidRPr="00107F8A">
              <w:rPr>
                <w:szCs w:val="18"/>
              </w:rPr>
              <w:t>7</w:t>
            </w:r>
          </w:p>
        </w:tc>
      </w:tr>
      <w:tr w:rsidR="00912D04" w:rsidRPr="00E2763A" w:rsidTr="00174827">
        <w:trPr>
          <w:trHeight w:hRule="exact" w:val="284"/>
          <w:jc w:val="center"/>
        </w:trPr>
        <w:tc>
          <w:tcPr>
            <w:tcW w:w="1260" w:type="dxa"/>
            <w:shd w:val="clear" w:color="auto" w:fill="auto"/>
          </w:tcPr>
          <w:p w:rsidR="00912D04" w:rsidRPr="00107F8A" w:rsidRDefault="00912D04" w:rsidP="00293667">
            <w:pPr>
              <w:spacing w:before="0" w:line="240" w:lineRule="auto"/>
              <w:jc w:val="center"/>
              <w:rPr>
                <w:szCs w:val="18"/>
              </w:rPr>
            </w:pPr>
            <w:r w:rsidRPr="00107F8A">
              <w:rPr>
                <w:szCs w:val="18"/>
              </w:rPr>
              <w:t>10</w:t>
            </w:r>
          </w:p>
        </w:tc>
        <w:tc>
          <w:tcPr>
            <w:tcW w:w="1965" w:type="dxa"/>
            <w:shd w:val="clear" w:color="auto" w:fill="auto"/>
          </w:tcPr>
          <w:p w:rsidR="00912D04" w:rsidRPr="00107F8A" w:rsidRDefault="00912D04" w:rsidP="00293667">
            <w:pPr>
              <w:spacing w:before="0" w:line="240" w:lineRule="auto"/>
              <w:jc w:val="center"/>
              <w:rPr>
                <w:szCs w:val="18"/>
              </w:rPr>
            </w:pPr>
            <w:r w:rsidRPr="00107F8A">
              <w:rPr>
                <w:szCs w:val="18"/>
              </w:rPr>
              <w:t>3</w:t>
            </w:r>
          </w:p>
        </w:tc>
        <w:tc>
          <w:tcPr>
            <w:tcW w:w="1935" w:type="dxa"/>
            <w:shd w:val="clear" w:color="auto" w:fill="auto"/>
          </w:tcPr>
          <w:p w:rsidR="00912D04" w:rsidRPr="00107F8A" w:rsidRDefault="00912D04" w:rsidP="00293667">
            <w:pPr>
              <w:spacing w:before="0" w:line="240" w:lineRule="auto"/>
              <w:jc w:val="center"/>
              <w:rPr>
                <w:szCs w:val="18"/>
              </w:rPr>
            </w:pPr>
            <w:r w:rsidRPr="00107F8A">
              <w:rPr>
                <w:szCs w:val="18"/>
              </w:rPr>
              <w:t>5</w:t>
            </w:r>
          </w:p>
        </w:tc>
        <w:tc>
          <w:tcPr>
            <w:tcW w:w="2009" w:type="dxa"/>
            <w:shd w:val="clear" w:color="auto" w:fill="auto"/>
          </w:tcPr>
          <w:p w:rsidR="00912D04" w:rsidRPr="00107F8A" w:rsidRDefault="00912D04" w:rsidP="00293667">
            <w:pPr>
              <w:spacing w:before="0" w:line="240" w:lineRule="auto"/>
              <w:jc w:val="center"/>
              <w:rPr>
                <w:szCs w:val="18"/>
              </w:rPr>
            </w:pPr>
            <w:r w:rsidRPr="00107F8A">
              <w:rPr>
                <w:szCs w:val="18"/>
              </w:rPr>
              <w:t>8</w:t>
            </w:r>
          </w:p>
        </w:tc>
      </w:tr>
      <w:tr w:rsidR="00912D04" w:rsidRPr="00E2763A" w:rsidTr="00174827">
        <w:trPr>
          <w:trHeight w:hRule="exact" w:val="284"/>
          <w:jc w:val="center"/>
        </w:trPr>
        <w:tc>
          <w:tcPr>
            <w:tcW w:w="1260" w:type="dxa"/>
            <w:shd w:val="clear" w:color="auto" w:fill="auto"/>
          </w:tcPr>
          <w:p w:rsidR="00912D04" w:rsidRPr="00107F8A" w:rsidRDefault="00912D04" w:rsidP="00293667">
            <w:pPr>
              <w:spacing w:before="0" w:line="240" w:lineRule="auto"/>
              <w:jc w:val="center"/>
              <w:rPr>
                <w:szCs w:val="18"/>
              </w:rPr>
            </w:pPr>
            <w:r w:rsidRPr="00107F8A">
              <w:rPr>
                <w:szCs w:val="18"/>
              </w:rPr>
              <w:t>11</w:t>
            </w:r>
          </w:p>
        </w:tc>
        <w:tc>
          <w:tcPr>
            <w:tcW w:w="1965" w:type="dxa"/>
            <w:shd w:val="clear" w:color="auto" w:fill="auto"/>
          </w:tcPr>
          <w:p w:rsidR="00912D04" w:rsidRPr="00107F8A" w:rsidRDefault="00912D04" w:rsidP="00293667">
            <w:pPr>
              <w:spacing w:before="0" w:line="240" w:lineRule="auto"/>
              <w:jc w:val="center"/>
              <w:rPr>
                <w:szCs w:val="18"/>
              </w:rPr>
            </w:pPr>
            <w:r w:rsidRPr="00107F8A">
              <w:rPr>
                <w:szCs w:val="18"/>
              </w:rPr>
              <w:t>3</w:t>
            </w:r>
          </w:p>
        </w:tc>
        <w:tc>
          <w:tcPr>
            <w:tcW w:w="1935" w:type="dxa"/>
            <w:shd w:val="clear" w:color="auto" w:fill="auto"/>
          </w:tcPr>
          <w:p w:rsidR="00912D04" w:rsidRPr="00107F8A" w:rsidRDefault="00912D04" w:rsidP="00293667">
            <w:pPr>
              <w:spacing w:before="0" w:line="240" w:lineRule="auto"/>
              <w:jc w:val="center"/>
              <w:rPr>
                <w:szCs w:val="18"/>
              </w:rPr>
            </w:pPr>
            <w:r w:rsidRPr="00107F8A">
              <w:rPr>
                <w:szCs w:val="18"/>
              </w:rPr>
              <w:t>6</w:t>
            </w:r>
          </w:p>
        </w:tc>
        <w:tc>
          <w:tcPr>
            <w:tcW w:w="2009" w:type="dxa"/>
            <w:shd w:val="clear" w:color="auto" w:fill="auto"/>
          </w:tcPr>
          <w:p w:rsidR="00912D04" w:rsidRPr="00107F8A" w:rsidRDefault="00912D04" w:rsidP="00293667">
            <w:pPr>
              <w:spacing w:before="0" w:line="240" w:lineRule="auto"/>
              <w:jc w:val="center"/>
              <w:rPr>
                <w:szCs w:val="18"/>
              </w:rPr>
            </w:pPr>
            <w:r w:rsidRPr="00107F8A">
              <w:rPr>
                <w:szCs w:val="18"/>
              </w:rPr>
              <w:t>9</w:t>
            </w:r>
          </w:p>
        </w:tc>
      </w:tr>
      <w:tr w:rsidR="00912D04" w:rsidRPr="00E2763A" w:rsidTr="00174827">
        <w:trPr>
          <w:trHeight w:hRule="exact" w:val="284"/>
          <w:jc w:val="center"/>
        </w:trPr>
        <w:tc>
          <w:tcPr>
            <w:tcW w:w="1260" w:type="dxa"/>
            <w:shd w:val="clear" w:color="auto" w:fill="auto"/>
          </w:tcPr>
          <w:p w:rsidR="00912D04" w:rsidRPr="00107F8A" w:rsidRDefault="00912D04" w:rsidP="00293667">
            <w:pPr>
              <w:spacing w:before="0" w:line="240" w:lineRule="auto"/>
              <w:jc w:val="center"/>
              <w:rPr>
                <w:szCs w:val="18"/>
              </w:rPr>
            </w:pPr>
            <w:r w:rsidRPr="00107F8A">
              <w:rPr>
                <w:szCs w:val="18"/>
              </w:rPr>
              <w:t>12</w:t>
            </w:r>
          </w:p>
        </w:tc>
        <w:tc>
          <w:tcPr>
            <w:tcW w:w="1965" w:type="dxa"/>
            <w:shd w:val="clear" w:color="auto" w:fill="auto"/>
          </w:tcPr>
          <w:p w:rsidR="00912D04" w:rsidRPr="00107F8A" w:rsidRDefault="00912D04" w:rsidP="00293667">
            <w:pPr>
              <w:spacing w:before="0" w:line="240" w:lineRule="auto"/>
              <w:jc w:val="center"/>
              <w:rPr>
                <w:szCs w:val="18"/>
              </w:rPr>
            </w:pPr>
            <w:r w:rsidRPr="00107F8A">
              <w:rPr>
                <w:szCs w:val="18"/>
              </w:rPr>
              <w:t>4</w:t>
            </w:r>
          </w:p>
        </w:tc>
        <w:tc>
          <w:tcPr>
            <w:tcW w:w="1935" w:type="dxa"/>
            <w:shd w:val="clear" w:color="auto" w:fill="auto"/>
          </w:tcPr>
          <w:p w:rsidR="00912D04" w:rsidRPr="00107F8A" w:rsidRDefault="00912D04" w:rsidP="00293667">
            <w:pPr>
              <w:spacing w:before="0" w:line="240" w:lineRule="auto"/>
              <w:jc w:val="center"/>
              <w:rPr>
                <w:szCs w:val="18"/>
              </w:rPr>
            </w:pPr>
            <w:r w:rsidRPr="00107F8A">
              <w:rPr>
                <w:szCs w:val="18"/>
              </w:rPr>
              <w:t>6</w:t>
            </w:r>
          </w:p>
        </w:tc>
        <w:tc>
          <w:tcPr>
            <w:tcW w:w="2009" w:type="dxa"/>
            <w:shd w:val="clear" w:color="auto" w:fill="auto"/>
          </w:tcPr>
          <w:p w:rsidR="00912D04" w:rsidRPr="00107F8A" w:rsidRDefault="00912D04" w:rsidP="00293667">
            <w:pPr>
              <w:spacing w:before="0" w:line="240" w:lineRule="auto"/>
              <w:jc w:val="center"/>
              <w:rPr>
                <w:szCs w:val="18"/>
              </w:rPr>
            </w:pPr>
            <w:r w:rsidRPr="00107F8A">
              <w:rPr>
                <w:szCs w:val="18"/>
              </w:rPr>
              <w:t>10</w:t>
            </w:r>
          </w:p>
        </w:tc>
      </w:tr>
      <w:tr w:rsidR="00912D04" w:rsidRPr="00E2763A" w:rsidTr="00174827">
        <w:trPr>
          <w:trHeight w:hRule="exact" w:val="284"/>
          <w:jc w:val="center"/>
        </w:trPr>
        <w:tc>
          <w:tcPr>
            <w:tcW w:w="1260" w:type="dxa"/>
            <w:shd w:val="clear" w:color="auto" w:fill="auto"/>
          </w:tcPr>
          <w:p w:rsidR="00912D04" w:rsidRPr="00107F8A" w:rsidRDefault="00912D04" w:rsidP="00293667">
            <w:pPr>
              <w:spacing w:before="0" w:line="240" w:lineRule="auto"/>
              <w:jc w:val="center"/>
              <w:rPr>
                <w:szCs w:val="18"/>
              </w:rPr>
            </w:pPr>
            <w:r w:rsidRPr="00107F8A">
              <w:rPr>
                <w:szCs w:val="18"/>
              </w:rPr>
              <w:t>13</w:t>
            </w:r>
          </w:p>
        </w:tc>
        <w:tc>
          <w:tcPr>
            <w:tcW w:w="1965" w:type="dxa"/>
            <w:shd w:val="clear" w:color="auto" w:fill="auto"/>
          </w:tcPr>
          <w:p w:rsidR="00912D04" w:rsidRPr="00107F8A" w:rsidRDefault="00912D04" w:rsidP="00293667">
            <w:pPr>
              <w:spacing w:before="0" w:line="240" w:lineRule="auto"/>
              <w:jc w:val="center"/>
              <w:rPr>
                <w:szCs w:val="18"/>
              </w:rPr>
            </w:pPr>
            <w:r w:rsidRPr="00107F8A">
              <w:rPr>
                <w:szCs w:val="18"/>
              </w:rPr>
              <w:t>4</w:t>
            </w:r>
          </w:p>
        </w:tc>
        <w:tc>
          <w:tcPr>
            <w:tcW w:w="1935" w:type="dxa"/>
            <w:shd w:val="clear" w:color="auto" w:fill="auto"/>
          </w:tcPr>
          <w:p w:rsidR="00912D04" w:rsidRPr="00107F8A" w:rsidRDefault="00912D04" w:rsidP="00293667">
            <w:pPr>
              <w:spacing w:before="0" w:line="240" w:lineRule="auto"/>
              <w:jc w:val="center"/>
              <w:rPr>
                <w:szCs w:val="18"/>
              </w:rPr>
            </w:pPr>
            <w:r w:rsidRPr="00107F8A">
              <w:rPr>
                <w:szCs w:val="18"/>
              </w:rPr>
              <w:t>7</w:t>
            </w:r>
          </w:p>
        </w:tc>
        <w:tc>
          <w:tcPr>
            <w:tcW w:w="2009" w:type="dxa"/>
            <w:shd w:val="clear" w:color="auto" w:fill="auto"/>
          </w:tcPr>
          <w:p w:rsidR="00912D04" w:rsidRPr="00107F8A" w:rsidRDefault="00912D04" w:rsidP="00293667">
            <w:pPr>
              <w:spacing w:before="0" w:line="240" w:lineRule="auto"/>
              <w:jc w:val="center"/>
              <w:rPr>
                <w:szCs w:val="18"/>
              </w:rPr>
            </w:pPr>
            <w:r w:rsidRPr="00107F8A">
              <w:rPr>
                <w:szCs w:val="18"/>
              </w:rPr>
              <w:t>11</w:t>
            </w:r>
          </w:p>
        </w:tc>
      </w:tr>
      <w:tr w:rsidR="00912D04" w:rsidRPr="00E2763A" w:rsidTr="00174827">
        <w:trPr>
          <w:trHeight w:hRule="exact" w:val="284"/>
          <w:jc w:val="center"/>
        </w:trPr>
        <w:tc>
          <w:tcPr>
            <w:tcW w:w="1260" w:type="dxa"/>
            <w:shd w:val="clear" w:color="auto" w:fill="auto"/>
          </w:tcPr>
          <w:p w:rsidR="00912D04" w:rsidRPr="00107F8A" w:rsidRDefault="00912D04" w:rsidP="00293667">
            <w:pPr>
              <w:spacing w:before="0" w:line="240" w:lineRule="auto"/>
              <w:jc w:val="center"/>
              <w:rPr>
                <w:szCs w:val="18"/>
              </w:rPr>
            </w:pPr>
            <w:r w:rsidRPr="00107F8A">
              <w:rPr>
                <w:szCs w:val="18"/>
              </w:rPr>
              <w:t>14</w:t>
            </w:r>
          </w:p>
        </w:tc>
        <w:tc>
          <w:tcPr>
            <w:tcW w:w="1965" w:type="dxa"/>
            <w:shd w:val="clear" w:color="auto" w:fill="auto"/>
          </w:tcPr>
          <w:p w:rsidR="00912D04" w:rsidRPr="00107F8A" w:rsidRDefault="00912D04" w:rsidP="00293667">
            <w:pPr>
              <w:spacing w:before="0" w:line="240" w:lineRule="auto"/>
              <w:jc w:val="center"/>
              <w:rPr>
                <w:szCs w:val="18"/>
              </w:rPr>
            </w:pPr>
            <w:r w:rsidRPr="00107F8A">
              <w:rPr>
                <w:szCs w:val="18"/>
              </w:rPr>
              <w:t>5</w:t>
            </w:r>
          </w:p>
        </w:tc>
        <w:tc>
          <w:tcPr>
            <w:tcW w:w="1935" w:type="dxa"/>
            <w:shd w:val="clear" w:color="auto" w:fill="auto"/>
          </w:tcPr>
          <w:p w:rsidR="00912D04" w:rsidRPr="00107F8A" w:rsidRDefault="00912D04" w:rsidP="00293667">
            <w:pPr>
              <w:spacing w:before="0" w:line="240" w:lineRule="auto"/>
              <w:jc w:val="center"/>
              <w:rPr>
                <w:szCs w:val="18"/>
              </w:rPr>
            </w:pPr>
            <w:r w:rsidRPr="00107F8A">
              <w:rPr>
                <w:szCs w:val="18"/>
              </w:rPr>
              <w:t>7</w:t>
            </w:r>
          </w:p>
        </w:tc>
        <w:tc>
          <w:tcPr>
            <w:tcW w:w="2009" w:type="dxa"/>
            <w:shd w:val="clear" w:color="auto" w:fill="auto"/>
          </w:tcPr>
          <w:p w:rsidR="00912D04" w:rsidRPr="00107F8A" w:rsidRDefault="00912D04" w:rsidP="00293667">
            <w:pPr>
              <w:spacing w:before="0" w:line="240" w:lineRule="auto"/>
              <w:jc w:val="center"/>
              <w:rPr>
                <w:szCs w:val="18"/>
              </w:rPr>
            </w:pPr>
            <w:r w:rsidRPr="00107F8A">
              <w:rPr>
                <w:szCs w:val="18"/>
              </w:rPr>
              <w:t>12</w:t>
            </w:r>
          </w:p>
        </w:tc>
      </w:tr>
    </w:tbl>
    <w:p w:rsidR="00053A2D" w:rsidRDefault="00912D04" w:rsidP="00053A2D">
      <w:pPr>
        <w:pStyle w:val="Heading3"/>
      </w:pPr>
      <w:r w:rsidRPr="008B71C9">
        <w:t>Maintenance period:</w:t>
      </w:r>
    </w:p>
    <w:p w:rsidR="00912D04" w:rsidRPr="00E531A9" w:rsidRDefault="00912D04" w:rsidP="009D1974">
      <w:pPr>
        <w:spacing w:before="60"/>
        <w:jc w:val="both"/>
        <w:rPr>
          <w:szCs w:val="22"/>
        </w:rPr>
      </w:pPr>
      <w:r w:rsidRPr="008B71C9">
        <w:rPr>
          <w:szCs w:val="22"/>
        </w:rPr>
        <w:t xml:space="preserve">Following the titration period, patients are advised to maintain the </w:t>
      </w:r>
      <w:r>
        <w:rPr>
          <w:szCs w:val="22"/>
        </w:rPr>
        <w:t>optimum</w:t>
      </w:r>
      <w:r w:rsidRPr="008B71C9">
        <w:rPr>
          <w:szCs w:val="22"/>
        </w:rPr>
        <w:t xml:space="preserve"> dose achieved. </w:t>
      </w:r>
      <w:r>
        <w:rPr>
          <w:szCs w:val="22"/>
        </w:rPr>
        <w:t xml:space="preserve"> The median dose in clinical trials for patients with multiple sclerosis </w:t>
      </w:r>
      <w:r w:rsidR="009A4E1B">
        <w:rPr>
          <w:szCs w:val="22"/>
        </w:rPr>
        <w:t xml:space="preserve">was </w:t>
      </w:r>
      <w:r>
        <w:rPr>
          <w:szCs w:val="22"/>
        </w:rPr>
        <w:t xml:space="preserve">eight sprays per day.  </w:t>
      </w:r>
      <w:r w:rsidRPr="008B71C9">
        <w:rPr>
          <w:szCs w:val="22"/>
        </w:rPr>
        <w:t xml:space="preserve">Once the optimum dose has been achieved, patients may spread the doses throughout the day according to individual response and tolerability. </w:t>
      </w:r>
      <w:r>
        <w:rPr>
          <w:szCs w:val="22"/>
        </w:rPr>
        <w:t xml:space="preserve"> </w:t>
      </w:r>
      <w:r w:rsidRPr="008B71C9">
        <w:rPr>
          <w:szCs w:val="22"/>
        </w:rPr>
        <w:t>Re-titration upwards or downwards may be appropriate if there are any changes in the severity of the patient’s condition, changes in their concomitant medication or if troubleso</w:t>
      </w:r>
      <w:r w:rsidRPr="0098600D">
        <w:rPr>
          <w:szCs w:val="22"/>
        </w:rPr>
        <w:t xml:space="preserve">me adverse reactions </w:t>
      </w:r>
      <w:r w:rsidRPr="008B71C9">
        <w:rPr>
          <w:szCs w:val="22"/>
        </w:rPr>
        <w:t xml:space="preserve">develop.  </w:t>
      </w:r>
      <w:r w:rsidRPr="00E531A9">
        <w:rPr>
          <w:szCs w:val="22"/>
        </w:rPr>
        <w:t xml:space="preserve">Doses </w:t>
      </w:r>
      <w:r w:rsidR="00FD5AE5">
        <w:rPr>
          <w:szCs w:val="22"/>
        </w:rPr>
        <w:t>must not exceed</w:t>
      </w:r>
      <w:r w:rsidRPr="00E531A9">
        <w:rPr>
          <w:szCs w:val="22"/>
        </w:rPr>
        <w:t xml:space="preserve"> 12 sprays </w:t>
      </w:r>
      <w:r w:rsidR="00FD5AE5">
        <w:rPr>
          <w:szCs w:val="22"/>
        </w:rPr>
        <w:t>in any 24-hour period</w:t>
      </w:r>
      <w:r w:rsidRPr="00962BDA">
        <w:rPr>
          <w:szCs w:val="22"/>
        </w:rPr>
        <w:t>.</w:t>
      </w:r>
      <w:r w:rsidR="009A4E1B" w:rsidRPr="009A4E1B">
        <w:rPr>
          <w:szCs w:val="22"/>
        </w:rPr>
        <w:t xml:space="preserve"> </w:t>
      </w:r>
    </w:p>
    <w:p w:rsidR="00053A2D" w:rsidRDefault="00912D04" w:rsidP="00053A2D">
      <w:pPr>
        <w:pStyle w:val="Heading3"/>
      </w:pPr>
      <w:r w:rsidRPr="00962BDA">
        <w:t>Review by the physician</w:t>
      </w:r>
      <w:r w:rsidR="00C92719">
        <w:t>:</w:t>
      </w:r>
    </w:p>
    <w:p w:rsidR="00912D04" w:rsidRDefault="00912D04" w:rsidP="00F17C1A">
      <w:pPr>
        <w:jc w:val="both"/>
        <w:rPr>
          <w:color w:val="000000"/>
          <w:szCs w:val="22"/>
        </w:rPr>
      </w:pPr>
      <w:r w:rsidRPr="00962BDA">
        <w:rPr>
          <w:color w:val="000000"/>
          <w:szCs w:val="22"/>
        </w:rPr>
        <w:t>A thorough evaluation of the severity of spasticity related symptoms and of the response to standard anti-spasticity medication should be performed prior to initiation of treatment</w:t>
      </w:r>
      <w:r w:rsidRPr="00340551">
        <w:rPr>
          <w:color w:val="000000"/>
          <w:szCs w:val="22"/>
        </w:rPr>
        <w:t xml:space="preserve">. </w:t>
      </w:r>
      <w:r w:rsidR="00370453" w:rsidRPr="00340551">
        <w:rPr>
          <w:color w:val="000000"/>
          <w:szCs w:val="22"/>
        </w:rPr>
        <w:t xml:space="preserve"> </w:t>
      </w:r>
      <w:proofErr w:type="spellStart"/>
      <w:r w:rsidR="00C73E02" w:rsidRPr="00340551">
        <w:rPr>
          <w:color w:val="000000"/>
          <w:szCs w:val="22"/>
        </w:rPr>
        <w:t>S</w:t>
      </w:r>
      <w:r w:rsidR="00340551">
        <w:rPr>
          <w:color w:val="000000"/>
          <w:szCs w:val="22"/>
        </w:rPr>
        <w:t>ativex</w:t>
      </w:r>
      <w:proofErr w:type="spellEnd"/>
      <w:r w:rsidRPr="00962BDA">
        <w:rPr>
          <w:color w:val="000000"/>
          <w:szCs w:val="22"/>
        </w:rPr>
        <w:t xml:space="preserve"> is only indicated in patients with moderate to severe spasticity that </w:t>
      </w:r>
      <w:proofErr w:type="gramStart"/>
      <w:r>
        <w:rPr>
          <w:color w:val="000000"/>
          <w:szCs w:val="22"/>
        </w:rPr>
        <w:t>have</w:t>
      </w:r>
      <w:proofErr w:type="gramEnd"/>
      <w:r w:rsidRPr="00962BDA">
        <w:rPr>
          <w:color w:val="000000"/>
          <w:szCs w:val="22"/>
        </w:rPr>
        <w:t xml:space="preserve"> responded inadequately to other anti-spasticity medication. </w:t>
      </w:r>
      <w:r w:rsidR="00370453">
        <w:rPr>
          <w:color w:val="000000"/>
          <w:szCs w:val="22"/>
        </w:rPr>
        <w:t xml:space="preserve"> </w:t>
      </w:r>
      <w:r w:rsidRPr="00962BDA">
        <w:rPr>
          <w:color w:val="000000"/>
          <w:szCs w:val="22"/>
        </w:rPr>
        <w:t xml:space="preserve">The patient’s response to </w:t>
      </w:r>
      <w:proofErr w:type="spellStart"/>
      <w:r w:rsidR="00C73E02" w:rsidRPr="00340551">
        <w:rPr>
          <w:color w:val="000000"/>
          <w:szCs w:val="22"/>
        </w:rPr>
        <w:t>S</w:t>
      </w:r>
      <w:r w:rsidR="00340551">
        <w:rPr>
          <w:color w:val="000000"/>
          <w:szCs w:val="22"/>
        </w:rPr>
        <w:t>ativex</w:t>
      </w:r>
      <w:proofErr w:type="spellEnd"/>
      <w:r w:rsidRPr="00340551">
        <w:rPr>
          <w:color w:val="000000"/>
          <w:szCs w:val="22"/>
        </w:rPr>
        <w:t xml:space="preserve"> should</w:t>
      </w:r>
      <w:r w:rsidRPr="00962BDA">
        <w:rPr>
          <w:color w:val="000000"/>
          <w:szCs w:val="22"/>
        </w:rPr>
        <w:t xml:space="preserve"> be reviewed after four weeks of treatment.  If a clinically significant improvement </w:t>
      </w:r>
      <w:r w:rsidRPr="00962BDA">
        <w:rPr>
          <w:iCs/>
          <w:color w:val="000000"/>
        </w:rPr>
        <w:t xml:space="preserve">in spasticity related symptoms is not seen </w:t>
      </w:r>
      <w:r w:rsidRPr="00962BDA">
        <w:rPr>
          <w:color w:val="000000"/>
          <w:szCs w:val="22"/>
        </w:rPr>
        <w:t>during this initial trial of therapy, then treatment should be stopped.</w:t>
      </w:r>
      <w:r w:rsidRPr="00962BDA">
        <w:rPr>
          <w:b/>
          <w:color w:val="000000"/>
          <w:szCs w:val="22"/>
        </w:rPr>
        <w:t xml:space="preserve"> </w:t>
      </w:r>
      <w:r w:rsidR="00370453">
        <w:rPr>
          <w:b/>
          <w:color w:val="000000"/>
          <w:szCs w:val="22"/>
        </w:rPr>
        <w:t xml:space="preserve"> </w:t>
      </w:r>
      <w:r w:rsidRPr="00962BDA">
        <w:rPr>
          <w:color w:val="000000"/>
          <w:szCs w:val="22"/>
        </w:rPr>
        <w:t xml:space="preserve">In the clinical trials this was defined as at least a 20% improvement </w:t>
      </w:r>
      <w:r w:rsidRPr="00962BDA">
        <w:rPr>
          <w:iCs/>
          <w:color w:val="000000"/>
        </w:rPr>
        <w:t>in spasticity related symptoms on a</w:t>
      </w:r>
      <w:r w:rsidRPr="00962BDA">
        <w:rPr>
          <w:color w:val="000000"/>
          <w:szCs w:val="22"/>
        </w:rPr>
        <w:t xml:space="preserve"> 0-10 </w:t>
      </w:r>
      <w:r w:rsidRPr="00962BDA">
        <w:rPr>
          <w:iCs/>
          <w:color w:val="000000"/>
        </w:rPr>
        <w:t xml:space="preserve">patient reported </w:t>
      </w:r>
      <w:r w:rsidRPr="00962BDA">
        <w:rPr>
          <w:color w:val="000000"/>
          <w:szCs w:val="22"/>
        </w:rPr>
        <w:t xml:space="preserve">numeric rating scale (see </w:t>
      </w:r>
      <w:r w:rsidR="00385BCA">
        <w:rPr>
          <w:color w:val="000000"/>
          <w:szCs w:val="22"/>
        </w:rPr>
        <w:t>CLINICAL TRIALS</w:t>
      </w:r>
      <w:r w:rsidRPr="00962BDA">
        <w:rPr>
          <w:color w:val="000000"/>
          <w:szCs w:val="22"/>
        </w:rPr>
        <w:t>)</w:t>
      </w:r>
      <w:r w:rsidRPr="00962BDA">
        <w:rPr>
          <w:iCs/>
          <w:color w:val="000000"/>
        </w:rPr>
        <w:t xml:space="preserve">. </w:t>
      </w:r>
      <w:r w:rsidR="00370453">
        <w:rPr>
          <w:iCs/>
          <w:color w:val="000000"/>
        </w:rPr>
        <w:t xml:space="preserve"> </w:t>
      </w:r>
      <w:r w:rsidRPr="00962BDA">
        <w:rPr>
          <w:color w:val="000000"/>
          <w:szCs w:val="22"/>
        </w:rPr>
        <w:t>The value of long term treatment should be re-evaluated periodically.</w:t>
      </w:r>
    </w:p>
    <w:p w:rsidR="00053A2D" w:rsidRDefault="00385BCA" w:rsidP="00053A2D">
      <w:pPr>
        <w:pStyle w:val="Heading2"/>
      </w:pPr>
      <w:r>
        <w:lastRenderedPageBreak/>
        <w:t>Children</w:t>
      </w:r>
    </w:p>
    <w:p w:rsidR="00385BCA" w:rsidRPr="00385BCA" w:rsidRDefault="00385BCA" w:rsidP="00385BCA">
      <w:pPr>
        <w:jc w:val="both"/>
        <w:rPr>
          <w:color w:val="000000"/>
          <w:szCs w:val="22"/>
          <w:lang w:val="en-US"/>
        </w:rPr>
      </w:pPr>
      <w:proofErr w:type="spellStart"/>
      <w:r w:rsidRPr="00385BCA">
        <w:rPr>
          <w:color w:val="000000"/>
          <w:szCs w:val="22"/>
          <w:lang w:val="en-US"/>
        </w:rPr>
        <w:t>Sativex</w:t>
      </w:r>
      <w:proofErr w:type="spellEnd"/>
      <w:r w:rsidRPr="00385BCA">
        <w:rPr>
          <w:color w:val="000000"/>
          <w:szCs w:val="22"/>
          <w:lang w:val="en-US"/>
        </w:rPr>
        <w:t xml:space="preserve"> is not recommended for use in children or adolescents below 18 years of age due to lack of safety and efficacy data. </w:t>
      </w:r>
    </w:p>
    <w:p w:rsidR="00053A2D" w:rsidRDefault="00385BCA" w:rsidP="00053A2D">
      <w:pPr>
        <w:pStyle w:val="Heading2"/>
        <w:rPr>
          <w:lang w:val="en-US"/>
        </w:rPr>
      </w:pPr>
      <w:r w:rsidRPr="00385BCA">
        <w:rPr>
          <w:lang w:val="en-US"/>
        </w:rPr>
        <w:t xml:space="preserve">Elderly </w:t>
      </w:r>
    </w:p>
    <w:p w:rsidR="00385BCA" w:rsidRPr="00385BCA" w:rsidRDefault="00385BCA" w:rsidP="00385BCA">
      <w:pPr>
        <w:jc w:val="both"/>
        <w:rPr>
          <w:color w:val="000000"/>
          <w:szCs w:val="22"/>
          <w:lang w:val="en-US"/>
        </w:rPr>
      </w:pPr>
      <w:r w:rsidRPr="00385BCA">
        <w:rPr>
          <w:color w:val="000000"/>
          <w:szCs w:val="22"/>
          <w:lang w:val="en-US"/>
        </w:rPr>
        <w:t xml:space="preserve">No specific studies have been carried out in elderly patients, although patients up to 90 years of age have been included in clinical trials. However, as elderly patients may be more prone to develop some CNS adverse reactions, care should be taken in terms of personal safety such as preparation of hot food and drinks. </w:t>
      </w:r>
    </w:p>
    <w:p w:rsidR="00053A2D" w:rsidRDefault="00385BCA" w:rsidP="00053A2D">
      <w:pPr>
        <w:pStyle w:val="Heading2"/>
        <w:rPr>
          <w:lang w:val="en-US"/>
        </w:rPr>
      </w:pPr>
      <w:r w:rsidRPr="00385BCA">
        <w:rPr>
          <w:lang w:val="en-US"/>
        </w:rPr>
        <w:t xml:space="preserve">Patients with significant hepatic or renal impairment </w:t>
      </w:r>
    </w:p>
    <w:p w:rsidR="00385BCA" w:rsidRDefault="00385BCA" w:rsidP="00F17C1A">
      <w:pPr>
        <w:jc w:val="both"/>
        <w:rPr>
          <w:color w:val="000000"/>
          <w:szCs w:val="22"/>
          <w:lang w:val="en-US"/>
        </w:rPr>
      </w:pPr>
      <w:r w:rsidRPr="00385BCA">
        <w:rPr>
          <w:color w:val="000000"/>
          <w:szCs w:val="22"/>
          <w:lang w:val="en-US"/>
        </w:rPr>
        <w:t xml:space="preserve">There are no studies in patients with impaired hepatic or renal function. However, in these sub-populations the effects of </w:t>
      </w:r>
      <w:proofErr w:type="spellStart"/>
      <w:r w:rsidRPr="00385BCA">
        <w:rPr>
          <w:color w:val="000000"/>
          <w:szCs w:val="22"/>
          <w:lang w:val="en-US"/>
        </w:rPr>
        <w:t>Sativex</w:t>
      </w:r>
      <w:proofErr w:type="spellEnd"/>
      <w:r w:rsidRPr="00385BCA">
        <w:rPr>
          <w:color w:val="000000"/>
          <w:szCs w:val="22"/>
          <w:lang w:val="en-US"/>
        </w:rPr>
        <w:t xml:space="preserve"> may be exaggerated or prolonged. Frequent clinical evaluation by a clinician is recommended in these patient populations (see </w:t>
      </w:r>
      <w:r>
        <w:rPr>
          <w:color w:val="000000"/>
          <w:szCs w:val="22"/>
          <w:lang w:val="en-US"/>
        </w:rPr>
        <w:t>PRECAUTIONS</w:t>
      </w:r>
      <w:r w:rsidRPr="00385BCA">
        <w:rPr>
          <w:color w:val="000000"/>
          <w:szCs w:val="22"/>
          <w:lang w:val="en-US"/>
        </w:rPr>
        <w:t>).</w:t>
      </w:r>
    </w:p>
    <w:p w:rsidR="00533F1E" w:rsidRDefault="00533F1E" w:rsidP="00533F1E">
      <w:pPr>
        <w:pStyle w:val="Heading2"/>
        <w:rPr>
          <w:lang w:val="en-US"/>
        </w:rPr>
      </w:pPr>
      <w:r>
        <w:rPr>
          <w:lang w:val="en-US"/>
        </w:rPr>
        <w:t>Method of administration</w:t>
      </w:r>
    </w:p>
    <w:p w:rsidR="00A07E41" w:rsidRDefault="00533F1E">
      <w:pPr>
        <w:pStyle w:val="Heading3"/>
      </w:pPr>
      <w:r>
        <w:t>Priming:</w:t>
      </w:r>
    </w:p>
    <w:p w:rsidR="00533F1E" w:rsidRPr="00D10F2C" w:rsidRDefault="00533F1E" w:rsidP="00533F1E">
      <w:pPr>
        <w:jc w:val="both"/>
        <w:rPr>
          <w:lang w:val="en-US"/>
        </w:rPr>
      </w:pPr>
      <w:r>
        <w:rPr>
          <w:color w:val="000000"/>
          <w:szCs w:val="22"/>
        </w:rPr>
        <w:t>The spray container needs to be primed before first use and if not used for more than 21 days.</w:t>
      </w:r>
      <w:r w:rsidRPr="00D10F2C">
        <w:t xml:space="preserve"> </w:t>
      </w:r>
      <w:r>
        <w:t>To this end, the</w:t>
      </w:r>
      <w:r w:rsidRPr="004E74FC">
        <w:t xml:space="preserve"> spray conta</w:t>
      </w:r>
      <w:r>
        <w:t>iner should be shaken gently and</w:t>
      </w:r>
      <w:r w:rsidRPr="004E74FC">
        <w:t xml:space="preserve"> the protective cap</w:t>
      </w:r>
      <w:r>
        <w:t xml:space="preserve"> removed. </w:t>
      </w:r>
      <w:r>
        <w:rPr>
          <w:lang w:val="en-US"/>
        </w:rPr>
        <w:t>The</w:t>
      </w:r>
      <w:r w:rsidRPr="00D10F2C">
        <w:rPr>
          <w:lang w:val="en-US"/>
        </w:rPr>
        <w:t xml:space="preserve"> vial </w:t>
      </w:r>
      <w:r>
        <w:rPr>
          <w:lang w:val="en-US"/>
        </w:rPr>
        <w:t xml:space="preserve">then needs to be held </w:t>
      </w:r>
      <w:r w:rsidRPr="00D10F2C">
        <w:rPr>
          <w:lang w:val="en-US"/>
        </w:rPr>
        <w:t>in an upright position</w:t>
      </w:r>
      <w:r>
        <w:rPr>
          <w:lang w:val="en-US"/>
        </w:rPr>
        <w:t xml:space="preserve"> while</w:t>
      </w:r>
      <w:r w:rsidRPr="00D10F2C">
        <w:rPr>
          <w:lang w:val="en-US"/>
        </w:rPr>
        <w:t xml:space="preserve"> the</w:t>
      </w:r>
      <w:r>
        <w:rPr>
          <w:lang w:val="en-US"/>
        </w:rPr>
        <w:t xml:space="preserve"> </w:t>
      </w:r>
      <w:r w:rsidRPr="00D10F2C">
        <w:rPr>
          <w:lang w:val="en-US"/>
        </w:rPr>
        <w:t xml:space="preserve">actuator </w:t>
      </w:r>
      <w:r>
        <w:rPr>
          <w:lang w:val="en-US"/>
        </w:rPr>
        <w:t xml:space="preserve">is pressed firmly and quickly for </w:t>
      </w:r>
      <w:r w:rsidRPr="00D10F2C">
        <w:rPr>
          <w:lang w:val="en-US"/>
        </w:rPr>
        <w:t>two or three times</w:t>
      </w:r>
      <w:r>
        <w:rPr>
          <w:lang w:val="en-US"/>
        </w:rPr>
        <w:t>,</w:t>
      </w:r>
      <w:r w:rsidRPr="00D10F2C">
        <w:rPr>
          <w:lang w:val="en-US"/>
        </w:rPr>
        <w:t xml:space="preserve"> directing into a tissue until a fine spray</w:t>
      </w:r>
      <w:r>
        <w:rPr>
          <w:lang w:val="en-US"/>
        </w:rPr>
        <w:t xml:space="preserve"> </w:t>
      </w:r>
      <w:r w:rsidRPr="00D10F2C">
        <w:rPr>
          <w:lang w:val="en-US"/>
        </w:rPr>
        <w:t>appears.</w:t>
      </w:r>
    </w:p>
    <w:p w:rsidR="00533F1E" w:rsidRPr="00385BCA" w:rsidRDefault="00533F1E" w:rsidP="00F17C1A">
      <w:pPr>
        <w:jc w:val="both"/>
        <w:rPr>
          <w:color w:val="000000"/>
          <w:szCs w:val="22"/>
        </w:rPr>
      </w:pPr>
      <w:r>
        <w:t xml:space="preserve">Normal use: </w:t>
      </w:r>
      <w:r w:rsidRPr="008B71C9">
        <w:rPr>
          <w:color w:val="000000"/>
          <w:szCs w:val="22"/>
        </w:rPr>
        <w:t xml:space="preserve">The spray </w:t>
      </w:r>
      <w:r w:rsidRPr="005F6BC2">
        <w:rPr>
          <w:color w:val="000000"/>
          <w:szCs w:val="22"/>
          <w:lang w:val="en-US"/>
        </w:rPr>
        <w:t xml:space="preserve">container should be shaken before use and the spray </w:t>
      </w:r>
      <w:r w:rsidRPr="008B71C9">
        <w:rPr>
          <w:color w:val="000000"/>
          <w:szCs w:val="22"/>
        </w:rPr>
        <w:t xml:space="preserve">should be directed at different sites on the </w:t>
      </w:r>
      <w:proofErr w:type="spellStart"/>
      <w:r w:rsidRPr="008B71C9">
        <w:rPr>
          <w:color w:val="000000"/>
          <w:szCs w:val="22"/>
        </w:rPr>
        <w:t>oromucosal</w:t>
      </w:r>
      <w:proofErr w:type="spellEnd"/>
      <w:r w:rsidRPr="008B71C9">
        <w:rPr>
          <w:color w:val="000000"/>
          <w:szCs w:val="22"/>
        </w:rPr>
        <w:t xml:space="preserve"> surface changing the application site each </w:t>
      </w:r>
      <w:r>
        <w:rPr>
          <w:color w:val="000000"/>
          <w:szCs w:val="22"/>
        </w:rPr>
        <w:t xml:space="preserve">time the product is </w:t>
      </w:r>
      <w:r w:rsidRPr="008B71C9">
        <w:rPr>
          <w:color w:val="000000"/>
          <w:szCs w:val="22"/>
        </w:rPr>
        <w:t>use</w:t>
      </w:r>
      <w:r>
        <w:rPr>
          <w:color w:val="000000"/>
          <w:szCs w:val="22"/>
        </w:rPr>
        <w:t>d</w:t>
      </w:r>
      <w:r w:rsidRPr="008B71C9">
        <w:rPr>
          <w:color w:val="000000"/>
          <w:szCs w:val="22"/>
        </w:rPr>
        <w:t>.</w:t>
      </w:r>
    </w:p>
    <w:p w:rsidR="00053A2D" w:rsidRDefault="003916D7" w:rsidP="00053A2D">
      <w:pPr>
        <w:pStyle w:val="Heading1"/>
      </w:pPr>
      <w:r>
        <w:t>OVERDOSAGE</w:t>
      </w:r>
    </w:p>
    <w:p w:rsidR="00B375E1" w:rsidRPr="008B71C9" w:rsidRDefault="00B375E1" w:rsidP="00F17C1A">
      <w:pPr>
        <w:jc w:val="both"/>
      </w:pPr>
      <w:bookmarkStart w:id="1" w:name="OLE_LINK3"/>
      <w:r w:rsidRPr="008B71C9">
        <w:t xml:space="preserve">There is no experience of deliberate overdose with </w:t>
      </w:r>
      <w:proofErr w:type="spellStart"/>
      <w:r w:rsidR="00C73E02" w:rsidRPr="00340551">
        <w:t>S</w:t>
      </w:r>
      <w:r w:rsidR="00340551">
        <w:t>ativex</w:t>
      </w:r>
      <w:proofErr w:type="spellEnd"/>
      <w:r w:rsidRPr="00340551">
        <w:t xml:space="preserve"> i</w:t>
      </w:r>
      <w:r>
        <w:t>n patients</w:t>
      </w:r>
      <w:r w:rsidRPr="008B71C9">
        <w:t>.</w:t>
      </w:r>
      <w:r>
        <w:t xml:space="preserve">  However, in a thorough QT study of </w:t>
      </w:r>
      <w:proofErr w:type="spellStart"/>
      <w:r w:rsidR="00C73E02" w:rsidRPr="00340551">
        <w:t>S</w:t>
      </w:r>
      <w:r w:rsidR="00340551">
        <w:t>ativex</w:t>
      </w:r>
      <w:proofErr w:type="spellEnd"/>
      <w:r>
        <w:t xml:space="preserve"> in 257 subjects, with 18 sprays taken over a 20-minute period twice daily, s</w:t>
      </w:r>
      <w:r w:rsidRPr="008B71C9">
        <w:t xml:space="preserve">igns and symptoms of overdose/poisoning </w:t>
      </w:r>
      <w:r>
        <w:t>were observed.  These consisted of</w:t>
      </w:r>
      <w:r w:rsidRPr="008B71C9">
        <w:t xml:space="preserve"> acute intoxication type reaction</w:t>
      </w:r>
      <w:r>
        <w:t>s</w:t>
      </w:r>
      <w:r w:rsidRPr="008B71C9">
        <w:t xml:space="preserve"> including dizziness, hallucinations, delusions, paranoia, tachycardia or </w:t>
      </w:r>
      <w:proofErr w:type="spellStart"/>
      <w:r w:rsidRPr="008B71C9">
        <w:t>bradycardia</w:t>
      </w:r>
      <w:proofErr w:type="spellEnd"/>
      <w:r w:rsidRPr="008B71C9">
        <w:t xml:space="preserve"> with hypotension.  In </w:t>
      </w:r>
      <w:r>
        <w:t>three of 41 subjects dosed at 18 sprays twice a day, this presented</w:t>
      </w:r>
      <w:r w:rsidRPr="008B71C9">
        <w:t xml:space="preserve"> as a transient toxic psychosis</w:t>
      </w:r>
      <w:r>
        <w:t xml:space="preserve"> which resolved upon cessation of treatment.  Twenty-two subjects who received this substantial multiple of the recommended dose successfully completed the 5-day study period. </w:t>
      </w:r>
    </w:p>
    <w:p w:rsidR="00B375E1" w:rsidRDefault="00B375E1" w:rsidP="00F17C1A">
      <w:r>
        <w:t>In the case of overdose, t</w:t>
      </w:r>
      <w:r w:rsidRPr="008B71C9">
        <w:t>reatment should be symptomatic and supportive.</w:t>
      </w:r>
    </w:p>
    <w:p w:rsidR="00C92719" w:rsidRPr="008B71C9" w:rsidRDefault="00C92719" w:rsidP="00F17C1A">
      <w:r>
        <w:t>For information on the management of overdose, contact the Poison Information Centre on 131126 (Australia).</w:t>
      </w:r>
    </w:p>
    <w:bookmarkEnd w:id="1"/>
    <w:p w:rsidR="00053A2D" w:rsidRDefault="003916D7" w:rsidP="00053A2D">
      <w:pPr>
        <w:pStyle w:val="Heading1"/>
      </w:pPr>
      <w:r>
        <w:lastRenderedPageBreak/>
        <w:t>PRESENTATION AND STORAGE CONDITIONS</w:t>
      </w:r>
    </w:p>
    <w:p w:rsidR="00053A2D" w:rsidRDefault="003916D7" w:rsidP="00053A2D">
      <w:pPr>
        <w:pStyle w:val="Heading2"/>
        <w:rPr>
          <w:noProof/>
        </w:rPr>
      </w:pPr>
      <w:r>
        <w:rPr>
          <w:noProof/>
        </w:rPr>
        <w:t>Presentation</w:t>
      </w:r>
    </w:p>
    <w:p w:rsidR="00B03D36" w:rsidRDefault="00D02522" w:rsidP="009D1974">
      <w:pPr>
        <w:spacing w:before="60"/>
      </w:pPr>
      <w:proofErr w:type="spellStart"/>
      <w:r>
        <w:t>Sativex</w:t>
      </w:r>
      <w:proofErr w:type="spellEnd"/>
      <w:r>
        <w:t xml:space="preserve"> is a yellow-brown </w:t>
      </w:r>
      <w:proofErr w:type="spellStart"/>
      <w:r>
        <w:t>oromucosal</w:t>
      </w:r>
      <w:proofErr w:type="spellEnd"/>
      <w:r>
        <w:t xml:space="preserve"> spray solution containing 27 mg/</w:t>
      </w:r>
      <w:proofErr w:type="spellStart"/>
      <w:r>
        <w:t>mL</w:t>
      </w:r>
      <w:proofErr w:type="spellEnd"/>
      <w:r>
        <w:t xml:space="preserve"> of THC and 25 mg/</w:t>
      </w:r>
      <w:proofErr w:type="spellStart"/>
      <w:r>
        <w:t>mL</w:t>
      </w:r>
      <w:proofErr w:type="spellEnd"/>
      <w:r>
        <w:t xml:space="preserve"> of CBD. The</w:t>
      </w:r>
      <w:r w:rsidR="00B03D36" w:rsidRPr="008B71C9">
        <w:t xml:space="preserve"> Type I </w:t>
      </w:r>
      <w:r w:rsidR="00B03D36" w:rsidRPr="001D7E94">
        <w:t xml:space="preserve">amber </w:t>
      </w:r>
      <w:r w:rsidR="00B03D36" w:rsidRPr="008B71C9">
        <w:t>glass spray container</w:t>
      </w:r>
      <w:r w:rsidR="0091353C">
        <w:t xml:space="preserve"> </w:t>
      </w:r>
      <w:r w:rsidR="00BC25DB">
        <w:t>with brown plastic coating</w:t>
      </w:r>
      <w:r w:rsidR="00B03D36" w:rsidRPr="008B71C9">
        <w:t xml:space="preserve"> </w:t>
      </w:r>
      <w:r>
        <w:t xml:space="preserve">is </w:t>
      </w:r>
      <w:r w:rsidR="00B03D36" w:rsidRPr="008B71C9">
        <w:t xml:space="preserve">fitted with a metering pump possessing a polypropylene dip tube and </w:t>
      </w:r>
      <w:proofErr w:type="spellStart"/>
      <w:r w:rsidR="00B03D36" w:rsidRPr="008B71C9">
        <w:t>elastomer</w:t>
      </w:r>
      <w:proofErr w:type="spellEnd"/>
      <w:r w:rsidR="00B03D36" w:rsidRPr="008B71C9">
        <w:t xml:space="preserve"> neck covered with a polyethylene cap. </w:t>
      </w:r>
      <w:r w:rsidR="00B03D36">
        <w:t xml:space="preserve"> </w:t>
      </w:r>
      <w:r w:rsidR="00B03D36" w:rsidRPr="008B71C9">
        <w:t xml:space="preserve">The metering pump delivers 100 </w:t>
      </w:r>
      <w:proofErr w:type="spellStart"/>
      <w:r w:rsidR="00B03D36" w:rsidRPr="008B71C9">
        <w:t>microlitres</w:t>
      </w:r>
      <w:proofErr w:type="spellEnd"/>
      <w:r w:rsidR="00B03D36" w:rsidRPr="008B71C9">
        <w:t xml:space="preserve"> per spray.</w:t>
      </w:r>
    </w:p>
    <w:p w:rsidR="00B03D36" w:rsidRPr="008B71C9" w:rsidRDefault="00B03D36" w:rsidP="00F17C1A">
      <w:r w:rsidRPr="008B71C9">
        <w:t xml:space="preserve">Pack Size: 10 </w:t>
      </w:r>
      <w:proofErr w:type="spellStart"/>
      <w:r w:rsidRPr="008B71C9">
        <w:t>m</w:t>
      </w:r>
      <w:r>
        <w:t>L</w:t>
      </w:r>
      <w:r w:rsidRPr="008B71C9">
        <w:t>.</w:t>
      </w:r>
      <w:proofErr w:type="spellEnd"/>
    </w:p>
    <w:p w:rsidR="00B03D36" w:rsidRPr="00962BDA" w:rsidRDefault="00B03D36" w:rsidP="000E4C08">
      <w:r w:rsidRPr="00962BDA">
        <w:t xml:space="preserve">10 </w:t>
      </w:r>
      <w:proofErr w:type="spellStart"/>
      <w:r w:rsidRPr="00962BDA">
        <w:t>mL</w:t>
      </w:r>
      <w:proofErr w:type="spellEnd"/>
      <w:r w:rsidRPr="00962BDA">
        <w:t xml:space="preserve"> pack size allows delivery after priming of up to 90 actuations (sprays) of 100 </w:t>
      </w:r>
      <w:proofErr w:type="spellStart"/>
      <w:r w:rsidRPr="00962BDA">
        <w:t>microlitres</w:t>
      </w:r>
      <w:proofErr w:type="spellEnd"/>
      <w:r w:rsidRPr="00962BDA">
        <w:t>.</w:t>
      </w:r>
    </w:p>
    <w:p w:rsidR="00B03D36" w:rsidRPr="008B71C9" w:rsidRDefault="00B03D36" w:rsidP="000E4C08">
      <w:r w:rsidRPr="008B71C9">
        <w:t>1</w:t>
      </w:r>
      <w:r w:rsidR="00FC3ECD">
        <w:t xml:space="preserve"> or </w:t>
      </w:r>
      <w:r w:rsidRPr="008B71C9">
        <w:t>3</w:t>
      </w:r>
      <w:r w:rsidR="00FC3ECD">
        <w:t xml:space="preserve"> </w:t>
      </w:r>
      <w:r w:rsidRPr="008B71C9">
        <w:t xml:space="preserve">glass </w:t>
      </w:r>
      <w:proofErr w:type="gramStart"/>
      <w:r w:rsidRPr="008B71C9">
        <w:t>spray</w:t>
      </w:r>
      <w:proofErr w:type="gramEnd"/>
      <w:r w:rsidRPr="008B71C9">
        <w:t xml:space="preserve"> containers per carton.</w:t>
      </w:r>
    </w:p>
    <w:p w:rsidR="00B03D36" w:rsidRPr="008B71C9" w:rsidRDefault="00B03D36" w:rsidP="000E4C08">
      <w:r w:rsidRPr="008B71C9">
        <w:t>Not all pack sizes may be marketed.</w:t>
      </w:r>
    </w:p>
    <w:p w:rsidR="00053A2D" w:rsidRDefault="003916D7" w:rsidP="00053A2D">
      <w:pPr>
        <w:pStyle w:val="Heading2"/>
      </w:pPr>
      <w:r>
        <w:t>Storage Conditions</w:t>
      </w:r>
    </w:p>
    <w:p w:rsidR="00B03D36" w:rsidRDefault="00767D35" w:rsidP="009D1974">
      <w:pPr>
        <w:spacing w:before="60"/>
      </w:pPr>
      <w:r>
        <w:t>Store below 8</w:t>
      </w:r>
      <w:r w:rsidRPr="008B71C9">
        <w:rPr>
          <w:vertAlign w:val="superscript"/>
        </w:rPr>
        <w:t>o</w:t>
      </w:r>
      <w:r w:rsidRPr="008B71C9">
        <w:t>C</w:t>
      </w:r>
      <w:r>
        <w:t xml:space="preserve"> (Refrigerate)</w:t>
      </w:r>
      <w:r w:rsidR="00B03D36" w:rsidRPr="008B71C9">
        <w:t>.</w:t>
      </w:r>
      <w:r w:rsidR="00B03D36">
        <w:t xml:space="preserve">  </w:t>
      </w:r>
      <w:r w:rsidR="00B03D36" w:rsidRPr="008B71C9">
        <w:t>Store upright.</w:t>
      </w:r>
      <w:r w:rsidR="00B03D36">
        <w:t xml:space="preserve">  </w:t>
      </w:r>
      <w:r w:rsidR="00B03D36" w:rsidRPr="00B03D36">
        <w:t xml:space="preserve">Keep away from heat and </w:t>
      </w:r>
      <w:bookmarkStart w:id="2" w:name="_GoBack"/>
      <w:bookmarkEnd w:id="2"/>
      <w:r w:rsidR="00B03D36" w:rsidRPr="00B03D36">
        <w:t xml:space="preserve">direct sunlight.  </w:t>
      </w:r>
    </w:p>
    <w:p w:rsidR="00B03D36" w:rsidRPr="008B71C9" w:rsidRDefault="00B03D36" w:rsidP="000E4C08">
      <w:pPr>
        <w:jc w:val="both"/>
      </w:pPr>
      <w:r w:rsidRPr="008B71C9">
        <w:t>Once the spray container is opened and in use, refrigerated storage is not necessary but do not store above 25</w:t>
      </w:r>
      <w:r w:rsidRPr="008B71C9">
        <w:rPr>
          <w:vertAlign w:val="superscript"/>
        </w:rPr>
        <w:t>o</w:t>
      </w:r>
      <w:r w:rsidRPr="008B71C9">
        <w:t>C.</w:t>
      </w:r>
    </w:p>
    <w:p w:rsidR="00B03D36" w:rsidRPr="008B71C9" w:rsidRDefault="00867E01" w:rsidP="000E4C08">
      <w:r>
        <w:t>U</w:t>
      </w:r>
      <w:r w:rsidR="00B03D36" w:rsidRPr="008B71C9">
        <w:t>se</w:t>
      </w:r>
      <w:r>
        <w:t xml:space="preserve"> within</w:t>
      </w:r>
      <w:r w:rsidR="00B03D36">
        <w:t xml:space="preserve"> 42 days from date of opening.</w:t>
      </w:r>
    </w:p>
    <w:p w:rsidR="00053A2D" w:rsidRDefault="00B03D36" w:rsidP="00053A2D">
      <w:pPr>
        <w:pStyle w:val="Heading2"/>
      </w:pPr>
      <w:r w:rsidRPr="008B71C9">
        <w:t xml:space="preserve">Special precautions for disposal </w:t>
      </w:r>
    </w:p>
    <w:p w:rsidR="00B03D36" w:rsidRPr="008B71C9" w:rsidRDefault="00B03D36" w:rsidP="009D1974">
      <w:pPr>
        <w:spacing w:before="60"/>
        <w:jc w:val="both"/>
      </w:pPr>
      <w:r w:rsidRPr="008B71C9">
        <w:t>Any unused product or waste material should be disposed of in accordance with local requirements.</w:t>
      </w:r>
    </w:p>
    <w:p w:rsidR="00053A2D" w:rsidRDefault="003916D7" w:rsidP="00053A2D">
      <w:pPr>
        <w:pStyle w:val="Heading1"/>
      </w:pPr>
      <w:r>
        <w:t>NAME</w:t>
      </w:r>
      <w:r w:rsidR="00F17C1A">
        <w:t xml:space="preserve"> </w:t>
      </w:r>
      <w:r>
        <w:t>AND ADDRESS OF SPONSOR</w:t>
      </w:r>
    </w:p>
    <w:p w:rsidR="00D02522" w:rsidRPr="00D766FE" w:rsidRDefault="00D02522" w:rsidP="00D02522">
      <w:r w:rsidRPr="00D766FE">
        <w:t>Novartis Pharmaceuticals Australia Pty Limited</w:t>
      </w:r>
    </w:p>
    <w:p w:rsidR="00D02522" w:rsidRPr="00D766FE" w:rsidRDefault="00D02522" w:rsidP="00D02522">
      <w:r w:rsidRPr="00D766FE">
        <w:t>ABN 18 004 244 160</w:t>
      </w:r>
    </w:p>
    <w:p w:rsidR="00D02522" w:rsidRPr="00D766FE" w:rsidRDefault="00D02522" w:rsidP="00D02522">
      <w:r w:rsidRPr="00D766FE">
        <w:t>54 Waterloo Road</w:t>
      </w:r>
    </w:p>
    <w:p w:rsidR="00D02522" w:rsidRPr="00D766FE" w:rsidRDefault="00D02522" w:rsidP="00D02522">
      <w:r w:rsidRPr="00D766FE">
        <w:t>North Ryde NSW 2113</w:t>
      </w:r>
    </w:p>
    <w:p w:rsidR="00053A2D" w:rsidRDefault="00B73B64" w:rsidP="00053A2D">
      <w:proofErr w:type="spellStart"/>
      <w:r>
        <w:t>Sativex</w:t>
      </w:r>
      <w:proofErr w:type="spellEnd"/>
      <w:r w:rsidR="008D0B6B">
        <w:rPr>
          <w:rFonts w:ascii="Arial" w:hAnsi="Arial" w:cs="Arial"/>
          <w:b/>
          <w:bCs/>
          <w:sz w:val="22"/>
          <w:szCs w:val="18"/>
          <w:vertAlign w:val="superscript"/>
        </w:rPr>
        <w:t>®</w:t>
      </w:r>
      <w:r>
        <w:rPr>
          <w:sz w:val="13"/>
          <w:szCs w:val="13"/>
        </w:rPr>
        <w:t xml:space="preserve"> </w:t>
      </w:r>
      <w:r>
        <w:t xml:space="preserve">is a registered trade mark of GW </w:t>
      </w:r>
      <w:proofErr w:type="spellStart"/>
      <w:r>
        <w:t>Pharma</w:t>
      </w:r>
      <w:proofErr w:type="spellEnd"/>
      <w:r>
        <w:t xml:space="preserve"> Limited, </w:t>
      </w:r>
      <w:smartTag w:uri="urn:schemas-microsoft-com:office:smarttags" w:element="country-region">
        <w:smartTag w:uri="urn:schemas-microsoft-com:office:smarttags" w:element="place">
          <w:r>
            <w:t>United Kingdom</w:t>
          </w:r>
        </w:smartTag>
      </w:smartTag>
      <w:r>
        <w:t xml:space="preserve">. </w:t>
      </w:r>
    </w:p>
    <w:p w:rsidR="006E38DE" w:rsidRDefault="006E38DE" w:rsidP="006E38DE">
      <w:pPr>
        <w:pStyle w:val="Heading1"/>
      </w:pPr>
      <w:r w:rsidRPr="00B53986">
        <w:t>POISON SCHEDULE OF THE MEDICINE</w:t>
      </w:r>
    </w:p>
    <w:p w:rsidR="006E38DE" w:rsidRPr="00D766FE" w:rsidRDefault="006E38DE" w:rsidP="006E38DE">
      <w:r w:rsidRPr="00055669">
        <w:t>Poison schedule:</w:t>
      </w:r>
      <w:r>
        <w:t xml:space="preserve"> Controlled Drug - Schedule 8</w:t>
      </w:r>
    </w:p>
    <w:p w:rsidR="006E38DE" w:rsidRDefault="006E38DE" w:rsidP="006E38DE">
      <w:pPr>
        <w:pStyle w:val="Heading1"/>
      </w:pPr>
      <w:r w:rsidRPr="00B53986">
        <w:t>DATE OF FIRST INCLUSION IN THE AUSTRALIAN REGISTER</w:t>
      </w:r>
      <w:r>
        <w:t xml:space="preserve"> OF THERAPEUTIC GOODS </w:t>
      </w:r>
      <w:r w:rsidR="00867E01">
        <w:t>(THE ARTG)</w:t>
      </w:r>
    </w:p>
    <w:p w:rsidR="00053A2D" w:rsidRDefault="00176170" w:rsidP="00053A2D">
      <w:r>
        <w:t>26 November 2012</w:t>
      </w:r>
    </w:p>
    <w:sectPr w:rsidR="00053A2D" w:rsidSect="00840877">
      <w:headerReference w:type="even" r:id="rId10"/>
      <w:headerReference w:type="default" r:id="rId11"/>
      <w:footerReference w:type="even" r:id="rId12"/>
      <w:footerReference w:type="default" r:id="rId13"/>
      <w:headerReference w:type="first" r:id="rId14"/>
      <w:footerReference w:type="first" r:id="rId15"/>
      <w:pgSz w:w="11907" w:h="16840" w:code="9"/>
      <w:pgMar w:top="1440" w:right="1418"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3D8" w:rsidRDefault="002963D8">
      <w:r>
        <w:separator/>
      </w:r>
    </w:p>
  </w:endnote>
  <w:endnote w:type="continuationSeparator" w:id="0">
    <w:p w:rsidR="002963D8" w:rsidRDefault="002963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02" w:rsidRDefault="007547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01716"/>
      <w:docPartObj>
        <w:docPartGallery w:val="Page Numbers (Bottom of Page)"/>
        <w:docPartUnique/>
      </w:docPartObj>
    </w:sdtPr>
    <w:sdtContent>
      <w:p w:rsidR="00110E50" w:rsidRDefault="00110E50">
        <w:pPr>
          <w:pStyle w:val="Footer"/>
          <w:jc w:val="center"/>
        </w:pPr>
        <w:r w:rsidRPr="00EE7EAB">
          <w:rPr>
            <w:sz w:val="20"/>
          </w:rPr>
          <w:fldChar w:fldCharType="begin"/>
        </w:r>
        <w:r w:rsidRPr="00EE7EAB">
          <w:rPr>
            <w:sz w:val="20"/>
          </w:rPr>
          <w:instrText xml:space="preserve"> PAGE   \* MERGEFORMAT </w:instrText>
        </w:r>
        <w:r w:rsidRPr="00EE7EAB">
          <w:rPr>
            <w:sz w:val="20"/>
          </w:rPr>
          <w:fldChar w:fldCharType="separate"/>
        </w:r>
        <w:r w:rsidR="00754702">
          <w:rPr>
            <w:noProof/>
            <w:sz w:val="20"/>
          </w:rPr>
          <w:t>1</w:t>
        </w:r>
        <w:r w:rsidRPr="00EE7EAB">
          <w:rPr>
            <w:sz w:val="20"/>
          </w:rPr>
          <w:fldChar w:fldCharType="end"/>
        </w:r>
      </w:p>
    </w:sdtContent>
  </w:sdt>
  <w:p w:rsidR="00110E50" w:rsidRPr="000D0D8D" w:rsidRDefault="00110E50">
    <w:pPr>
      <w:pStyle w:val="Header"/>
      <w:rPr>
        <w:rStyle w:val="PageNumber"/>
        <w:rFonts w:ascii="Arial" w:hAnsi="Arial" w:cs="Arial"/>
        <w:sz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02" w:rsidRDefault="007547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3D8" w:rsidRDefault="002963D8">
      <w:r>
        <w:separator/>
      </w:r>
    </w:p>
  </w:footnote>
  <w:footnote w:type="continuationSeparator" w:id="0">
    <w:p w:rsidR="002963D8" w:rsidRDefault="00296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02" w:rsidRDefault="007547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110E50" w:rsidTr="00110E50">
      <w:tc>
        <w:tcPr>
          <w:tcW w:w="8720" w:type="dxa"/>
          <w:shd w:val="clear" w:color="auto" w:fill="E4F2E0"/>
        </w:tcPr>
        <w:p w:rsidR="00110E50" w:rsidRPr="00110E50" w:rsidRDefault="00110E50" w:rsidP="00110E50">
          <w:pPr>
            <w:pStyle w:val="Footer"/>
            <w:spacing w:after="120" w:line="240" w:lineRule="auto"/>
            <w:rPr>
              <w:rFonts w:ascii="Cambria" w:hAnsi="Cambria"/>
              <w:b/>
              <w:sz w:val="20"/>
            </w:rPr>
          </w:pPr>
          <w:r w:rsidRPr="00110E50">
            <w:rPr>
              <w:rFonts w:ascii="Cambria" w:hAnsi="Cambria"/>
              <w:b/>
              <w:sz w:val="20"/>
            </w:rPr>
            <w:t xml:space="preserve">Attachment 1: Product information for </w:t>
          </w:r>
          <w:proofErr w:type="spellStart"/>
          <w:r w:rsidRPr="00110E50">
            <w:rPr>
              <w:rFonts w:ascii="Cambria" w:hAnsi="Cambria"/>
              <w:b/>
              <w:sz w:val="20"/>
            </w:rPr>
            <w:t>AusPAR</w:t>
          </w:r>
          <w:proofErr w:type="spellEnd"/>
          <w:r w:rsidRPr="00110E50">
            <w:rPr>
              <w:rFonts w:ascii="Cambria" w:hAnsi="Cambria"/>
              <w:b/>
              <w:sz w:val="20"/>
            </w:rPr>
            <w:t xml:space="preserve"> </w:t>
          </w:r>
          <w:proofErr w:type="spellStart"/>
          <w:r w:rsidRPr="00110E50">
            <w:rPr>
              <w:rFonts w:ascii="Cambria" w:hAnsi="Cambria"/>
              <w:b/>
              <w:sz w:val="20"/>
            </w:rPr>
            <w:t>Nabiximols</w:t>
          </w:r>
          <w:proofErr w:type="spellEnd"/>
          <w:r w:rsidRPr="00110E50">
            <w:rPr>
              <w:rFonts w:ascii="Cambria" w:hAnsi="Cambria"/>
              <w:b/>
              <w:sz w:val="20"/>
            </w:rPr>
            <w:t xml:space="preserve"> </w:t>
          </w:r>
          <w:proofErr w:type="spellStart"/>
          <w:r w:rsidRPr="00110E50">
            <w:rPr>
              <w:rFonts w:ascii="Cambria" w:hAnsi="Cambria"/>
              <w:b/>
              <w:sz w:val="20"/>
            </w:rPr>
            <w:t>Sativex</w:t>
          </w:r>
          <w:proofErr w:type="spellEnd"/>
          <w:r w:rsidRPr="00110E50">
            <w:rPr>
              <w:rFonts w:ascii="Cambria" w:hAnsi="Cambria"/>
              <w:b/>
              <w:sz w:val="20"/>
            </w:rPr>
            <w:t xml:space="preserve"> Novartis Pharmaceuticals Australia Pty Limited PM-2011-00150-3-1 Final 27 September 2013. This Product Information was approved at the time this </w:t>
          </w:r>
          <w:proofErr w:type="spellStart"/>
          <w:r w:rsidRPr="00110E50">
            <w:rPr>
              <w:rFonts w:ascii="Cambria" w:hAnsi="Cambria"/>
              <w:b/>
              <w:sz w:val="20"/>
            </w:rPr>
            <w:t>AusPAR</w:t>
          </w:r>
          <w:proofErr w:type="spellEnd"/>
          <w:r w:rsidRPr="00110E50">
            <w:rPr>
              <w:rFonts w:ascii="Cambria" w:hAnsi="Cambria"/>
              <w:b/>
              <w:sz w:val="20"/>
            </w:rPr>
            <w:t xml:space="preserve"> was published.</w:t>
          </w:r>
        </w:p>
      </w:tc>
    </w:tr>
  </w:tbl>
  <w:p w:rsidR="00110E50" w:rsidRDefault="00110E50" w:rsidP="00110E50">
    <w:pPr>
      <w:pStyle w:val="Header"/>
      <w:tabs>
        <w:tab w:val="right" w:pos="8789"/>
      </w:tabs>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02" w:rsidRDefault="007547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07F"/>
    <w:multiLevelType w:val="multilevel"/>
    <w:tmpl w:val="16DC76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7B44566"/>
    <w:multiLevelType w:val="hybridMultilevel"/>
    <w:tmpl w:val="35AA1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006E33"/>
    <w:multiLevelType w:val="singleLevel"/>
    <w:tmpl w:val="F564C8E0"/>
    <w:lvl w:ilvl="0">
      <w:start w:val="15"/>
      <w:numFmt w:val="bullet"/>
      <w:lvlText w:val="-"/>
      <w:lvlJc w:val="left"/>
      <w:pPr>
        <w:tabs>
          <w:tab w:val="num" w:pos="360"/>
        </w:tabs>
        <w:ind w:left="360" w:hanging="360"/>
      </w:pPr>
      <w:rPr>
        <w:rFonts w:ascii="Times New Roman" w:hAnsi="Times New Roman" w:hint="default"/>
      </w:rPr>
    </w:lvl>
  </w:abstractNum>
  <w:abstractNum w:abstractNumId="3">
    <w:nsid w:val="16143528"/>
    <w:multiLevelType w:val="hybridMultilevel"/>
    <w:tmpl w:val="EB1407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62B15DF"/>
    <w:multiLevelType w:val="singleLevel"/>
    <w:tmpl w:val="6CDA4CB6"/>
    <w:lvl w:ilvl="0">
      <w:numFmt w:val="bullet"/>
      <w:lvlText w:val="-"/>
      <w:lvlJc w:val="left"/>
      <w:pPr>
        <w:tabs>
          <w:tab w:val="num" w:pos="360"/>
        </w:tabs>
        <w:ind w:left="360" w:hanging="360"/>
      </w:pPr>
      <w:rPr>
        <w:rFonts w:ascii="Times New Roman" w:hAnsi="Times New Roman" w:hint="default"/>
      </w:rPr>
    </w:lvl>
  </w:abstractNum>
  <w:abstractNum w:abstractNumId="5">
    <w:nsid w:val="178A3653"/>
    <w:multiLevelType w:val="hybridMultilevel"/>
    <w:tmpl w:val="B2308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3E57FE"/>
    <w:multiLevelType w:val="hybridMultilevel"/>
    <w:tmpl w:val="2EC82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297D2E"/>
    <w:multiLevelType w:val="multilevel"/>
    <w:tmpl w:val="83364CBE"/>
    <w:lvl w:ilvl="0">
      <w:start w:val="1"/>
      <w:numFmt w:val="decimal"/>
      <w:lvlText w:val="%1.0"/>
      <w:lvlJc w:val="left"/>
      <w:pPr>
        <w:tabs>
          <w:tab w:val="num" w:pos="1080"/>
        </w:tabs>
        <w:ind w:left="1080" w:hanging="1080"/>
      </w:pPr>
    </w:lvl>
    <w:lvl w:ilvl="1">
      <w:start w:val="1"/>
      <w:numFmt w:val="decimal"/>
      <w:lvlText w:val="%1.%2"/>
      <w:lvlJc w:val="left"/>
      <w:pPr>
        <w:tabs>
          <w:tab w:val="num" w:pos="1080"/>
        </w:tabs>
        <w:ind w:left="1080" w:hanging="1080"/>
      </w:pPr>
      <w:rPr>
        <w:u w:val="none"/>
      </w:rPr>
    </w:lvl>
    <w:lvl w:ilvl="2">
      <w:start w:val="1"/>
      <w:numFmt w:val="decimal"/>
      <w:lvlText w:val="%1.%2.%3"/>
      <w:lvlJc w:val="left"/>
      <w:pPr>
        <w:tabs>
          <w:tab w:val="num" w:pos="1080"/>
        </w:tabs>
        <w:ind w:left="1080" w:hanging="108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
    <w:nsid w:val="35B92E7A"/>
    <w:multiLevelType w:val="hybridMultilevel"/>
    <w:tmpl w:val="607A9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557FCE"/>
    <w:multiLevelType w:val="hybridMultilevel"/>
    <w:tmpl w:val="8E0C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0235C1"/>
    <w:multiLevelType w:val="hybridMultilevel"/>
    <w:tmpl w:val="C41AB918"/>
    <w:lvl w:ilvl="0" w:tplc="227C33C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7084F17"/>
    <w:multiLevelType w:val="hybridMultilevel"/>
    <w:tmpl w:val="DF2A0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1957D1"/>
    <w:multiLevelType w:val="hybridMultilevel"/>
    <w:tmpl w:val="84B48D3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024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28561A7"/>
    <w:multiLevelType w:val="singleLevel"/>
    <w:tmpl w:val="F564C8E0"/>
    <w:lvl w:ilvl="0">
      <w:start w:val="15"/>
      <w:numFmt w:val="bullet"/>
      <w:lvlText w:val="-"/>
      <w:lvlJc w:val="left"/>
      <w:pPr>
        <w:tabs>
          <w:tab w:val="num" w:pos="360"/>
        </w:tabs>
        <w:ind w:left="360" w:hanging="360"/>
      </w:pPr>
      <w:rPr>
        <w:rFonts w:ascii="Times New Roman" w:hAnsi="Times New Roman" w:hint="default"/>
      </w:rPr>
    </w:lvl>
  </w:abstractNum>
  <w:abstractNum w:abstractNumId="15">
    <w:nsid w:val="69FB1E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A336C48"/>
    <w:multiLevelType w:val="hybridMultilevel"/>
    <w:tmpl w:val="87E832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7"/>
  </w:num>
  <w:num w:numId="4">
    <w:abstractNumId w:val="4"/>
  </w:num>
  <w:num w:numId="5">
    <w:abstractNumId w:val="2"/>
  </w:num>
  <w:num w:numId="6">
    <w:abstractNumId w:val="14"/>
  </w:num>
  <w:num w:numId="7">
    <w:abstractNumId w:val="0"/>
  </w:num>
  <w:num w:numId="8">
    <w:abstractNumId w:val="11"/>
  </w:num>
  <w:num w:numId="9">
    <w:abstractNumId w:val="3"/>
  </w:num>
  <w:num w:numId="10">
    <w:abstractNumId w:val="16"/>
  </w:num>
  <w:num w:numId="11">
    <w:abstractNumId w:val="10"/>
  </w:num>
  <w:num w:numId="12">
    <w:abstractNumId w:val="9"/>
  </w:num>
  <w:num w:numId="13">
    <w:abstractNumId w:val="12"/>
  </w:num>
  <w:num w:numId="14">
    <w:abstractNumId w:val="6"/>
  </w:num>
  <w:num w:numId="15">
    <w:abstractNumId w:val="5"/>
  </w:num>
  <w:num w:numId="16">
    <w:abstractNumId w:val="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embedSystemFonts/>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5842"/>
  </w:hdrShapeDefaults>
  <w:footnotePr>
    <w:footnote w:id="-1"/>
    <w:footnote w:id="0"/>
  </w:footnotePr>
  <w:endnotePr>
    <w:endnote w:id="-1"/>
    <w:endnote w:id="0"/>
  </w:endnotePr>
  <w:compat/>
  <w:rsids>
    <w:rsidRoot w:val="00944E64"/>
    <w:rsid w:val="000067B0"/>
    <w:rsid w:val="000130F1"/>
    <w:rsid w:val="00037EE8"/>
    <w:rsid w:val="00045BDF"/>
    <w:rsid w:val="00053A2D"/>
    <w:rsid w:val="00053FB2"/>
    <w:rsid w:val="000560FC"/>
    <w:rsid w:val="00092480"/>
    <w:rsid w:val="00092E93"/>
    <w:rsid w:val="000B0DE3"/>
    <w:rsid w:val="000B275E"/>
    <w:rsid w:val="000B3B12"/>
    <w:rsid w:val="000B5C6D"/>
    <w:rsid w:val="000B6044"/>
    <w:rsid w:val="000C07BB"/>
    <w:rsid w:val="000C0CAE"/>
    <w:rsid w:val="000D0D8D"/>
    <w:rsid w:val="000D28AF"/>
    <w:rsid w:val="000D2949"/>
    <w:rsid w:val="000D7397"/>
    <w:rsid w:val="000E12EE"/>
    <w:rsid w:val="000E4C08"/>
    <w:rsid w:val="000F1691"/>
    <w:rsid w:val="000F2340"/>
    <w:rsid w:val="000F70EB"/>
    <w:rsid w:val="00101D62"/>
    <w:rsid w:val="001049D3"/>
    <w:rsid w:val="00107F8A"/>
    <w:rsid w:val="00110E50"/>
    <w:rsid w:val="00116503"/>
    <w:rsid w:val="001178A5"/>
    <w:rsid w:val="0012218F"/>
    <w:rsid w:val="00125C4B"/>
    <w:rsid w:val="001409FA"/>
    <w:rsid w:val="00146555"/>
    <w:rsid w:val="00156A81"/>
    <w:rsid w:val="001620B6"/>
    <w:rsid w:val="001656B4"/>
    <w:rsid w:val="001723E0"/>
    <w:rsid w:val="00173D04"/>
    <w:rsid w:val="00174827"/>
    <w:rsid w:val="0017530F"/>
    <w:rsid w:val="00176170"/>
    <w:rsid w:val="00176172"/>
    <w:rsid w:val="00187CEF"/>
    <w:rsid w:val="001977ED"/>
    <w:rsid w:val="001B12EC"/>
    <w:rsid w:val="001B4FD3"/>
    <w:rsid w:val="001D538D"/>
    <w:rsid w:val="001E04DC"/>
    <w:rsid w:val="001E3DB2"/>
    <w:rsid w:val="001E65EF"/>
    <w:rsid w:val="001F23E5"/>
    <w:rsid w:val="00206E24"/>
    <w:rsid w:val="00213B6C"/>
    <w:rsid w:val="00222145"/>
    <w:rsid w:val="002269DF"/>
    <w:rsid w:val="00232CB7"/>
    <w:rsid w:val="00237AF7"/>
    <w:rsid w:val="0024149C"/>
    <w:rsid w:val="00245C9D"/>
    <w:rsid w:val="00261E32"/>
    <w:rsid w:val="00262A2A"/>
    <w:rsid w:val="00271D68"/>
    <w:rsid w:val="00272539"/>
    <w:rsid w:val="00275EA7"/>
    <w:rsid w:val="00285F2E"/>
    <w:rsid w:val="00286131"/>
    <w:rsid w:val="00287EF9"/>
    <w:rsid w:val="002913D2"/>
    <w:rsid w:val="00293667"/>
    <w:rsid w:val="002963D8"/>
    <w:rsid w:val="002C0D7F"/>
    <w:rsid w:val="002C1B5B"/>
    <w:rsid w:val="002C3ADD"/>
    <w:rsid w:val="002C54F1"/>
    <w:rsid w:val="002C7B67"/>
    <w:rsid w:val="002E68F1"/>
    <w:rsid w:val="002F5E75"/>
    <w:rsid w:val="002F663D"/>
    <w:rsid w:val="0030089F"/>
    <w:rsid w:val="00305AF9"/>
    <w:rsid w:val="0030642F"/>
    <w:rsid w:val="00306EA7"/>
    <w:rsid w:val="003203E6"/>
    <w:rsid w:val="003214C9"/>
    <w:rsid w:val="00326BDA"/>
    <w:rsid w:val="003338A2"/>
    <w:rsid w:val="00336C85"/>
    <w:rsid w:val="00340551"/>
    <w:rsid w:val="00343760"/>
    <w:rsid w:val="00354569"/>
    <w:rsid w:val="00356045"/>
    <w:rsid w:val="00370453"/>
    <w:rsid w:val="00372857"/>
    <w:rsid w:val="00385A8C"/>
    <w:rsid w:val="00385BCA"/>
    <w:rsid w:val="00386768"/>
    <w:rsid w:val="003869B4"/>
    <w:rsid w:val="003916D7"/>
    <w:rsid w:val="00392797"/>
    <w:rsid w:val="00395B1C"/>
    <w:rsid w:val="003A6EC0"/>
    <w:rsid w:val="003A7E51"/>
    <w:rsid w:val="003B3C8E"/>
    <w:rsid w:val="003B4352"/>
    <w:rsid w:val="003B73C4"/>
    <w:rsid w:val="003D316E"/>
    <w:rsid w:val="003E0E8F"/>
    <w:rsid w:val="003F24B8"/>
    <w:rsid w:val="003F4C2E"/>
    <w:rsid w:val="00412012"/>
    <w:rsid w:val="004128D1"/>
    <w:rsid w:val="004136B5"/>
    <w:rsid w:val="00420BAC"/>
    <w:rsid w:val="00430E53"/>
    <w:rsid w:val="00436105"/>
    <w:rsid w:val="0044205C"/>
    <w:rsid w:val="00454517"/>
    <w:rsid w:val="004547CB"/>
    <w:rsid w:val="00474660"/>
    <w:rsid w:val="004777E0"/>
    <w:rsid w:val="0048007D"/>
    <w:rsid w:val="00490B2E"/>
    <w:rsid w:val="004A11EA"/>
    <w:rsid w:val="004A4342"/>
    <w:rsid w:val="004A7185"/>
    <w:rsid w:val="004B0655"/>
    <w:rsid w:val="004B1E16"/>
    <w:rsid w:val="004B1FB7"/>
    <w:rsid w:val="004C379E"/>
    <w:rsid w:val="004D079F"/>
    <w:rsid w:val="004D0FCA"/>
    <w:rsid w:val="004D46AB"/>
    <w:rsid w:val="004E39A7"/>
    <w:rsid w:val="004E4EBC"/>
    <w:rsid w:val="004E5867"/>
    <w:rsid w:val="004F0D3E"/>
    <w:rsid w:val="004F5648"/>
    <w:rsid w:val="004F764B"/>
    <w:rsid w:val="005012FA"/>
    <w:rsid w:val="005055DD"/>
    <w:rsid w:val="005146FB"/>
    <w:rsid w:val="0052731B"/>
    <w:rsid w:val="00533F1E"/>
    <w:rsid w:val="0053519E"/>
    <w:rsid w:val="00536234"/>
    <w:rsid w:val="0054373F"/>
    <w:rsid w:val="005439AF"/>
    <w:rsid w:val="00553DBF"/>
    <w:rsid w:val="00554A50"/>
    <w:rsid w:val="00562DDC"/>
    <w:rsid w:val="00563FD6"/>
    <w:rsid w:val="005766BF"/>
    <w:rsid w:val="005836AE"/>
    <w:rsid w:val="00583A2D"/>
    <w:rsid w:val="00592338"/>
    <w:rsid w:val="005A185D"/>
    <w:rsid w:val="005B0118"/>
    <w:rsid w:val="005C0081"/>
    <w:rsid w:val="005C2A74"/>
    <w:rsid w:val="005C4E34"/>
    <w:rsid w:val="005C6147"/>
    <w:rsid w:val="005D58BC"/>
    <w:rsid w:val="005F360C"/>
    <w:rsid w:val="005F3D1F"/>
    <w:rsid w:val="005F4267"/>
    <w:rsid w:val="005F6BC2"/>
    <w:rsid w:val="00603DC6"/>
    <w:rsid w:val="00612F1C"/>
    <w:rsid w:val="00617924"/>
    <w:rsid w:val="00624DBC"/>
    <w:rsid w:val="00625CED"/>
    <w:rsid w:val="00633721"/>
    <w:rsid w:val="006348A6"/>
    <w:rsid w:val="006370EC"/>
    <w:rsid w:val="00642B78"/>
    <w:rsid w:val="00656E56"/>
    <w:rsid w:val="0065716C"/>
    <w:rsid w:val="006617B6"/>
    <w:rsid w:val="00662F93"/>
    <w:rsid w:val="006675D6"/>
    <w:rsid w:val="0067190E"/>
    <w:rsid w:val="00673DA0"/>
    <w:rsid w:val="0067556A"/>
    <w:rsid w:val="00684E25"/>
    <w:rsid w:val="006853E6"/>
    <w:rsid w:val="006902DE"/>
    <w:rsid w:val="00693F3D"/>
    <w:rsid w:val="00695736"/>
    <w:rsid w:val="006A5D67"/>
    <w:rsid w:val="006A77C3"/>
    <w:rsid w:val="006B162B"/>
    <w:rsid w:val="006C3D5E"/>
    <w:rsid w:val="006C6F23"/>
    <w:rsid w:val="006D3BF1"/>
    <w:rsid w:val="006E0454"/>
    <w:rsid w:val="006E38DE"/>
    <w:rsid w:val="006E3E08"/>
    <w:rsid w:val="006E405A"/>
    <w:rsid w:val="006E5230"/>
    <w:rsid w:val="007021F7"/>
    <w:rsid w:val="00713D8A"/>
    <w:rsid w:val="00714C58"/>
    <w:rsid w:val="00716489"/>
    <w:rsid w:val="00717968"/>
    <w:rsid w:val="00726CB3"/>
    <w:rsid w:val="007273DA"/>
    <w:rsid w:val="00731EFF"/>
    <w:rsid w:val="00737D5A"/>
    <w:rsid w:val="00740CA0"/>
    <w:rsid w:val="0074492C"/>
    <w:rsid w:val="0075237B"/>
    <w:rsid w:val="00752ED8"/>
    <w:rsid w:val="00754702"/>
    <w:rsid w:val="0075534E"/>
    <w:rsid w:val="00756722"/>
    <w:rsid w:val="00757184"/>
    <w:rsid w:val="00762306"/>
    <w:rsid w:val="007653B9"/>
    <w:rsid w:val="00767D35"/>
    <w:rsid w:val="00777F2D"/>
    <w:rsid w:val="0078334D"/>
    <w:rsid w:val="0078352E"/>
    <w:rsid w:val="0078408A"/>
    <w:rsid w:val="00786448"/>
    <w:rsid w:val="007962F4"/>
    <w:rsid w:val="007B2D0C"/>
    <w:rsid w:val="007B3CE3"/>
    <w:rsid w:val="007B5C90"/>
    <w:rsid w:val="007C07C5"/>
    <w:rsid w:val="007C5800"/>
    <w:rsid w:val="007D2AD9"/>
    <w:rsid w:val="007D5D9D"/>
    <w:rsid w:val="007D77B5"/>
    <w:rsid w:val="007E4B41"/>
    <w:rsid w:val="007E5DC6"/>
    <w:rsid w:val="007E7412"/>
    <w:rsid w:val="008003FC"/>
    <w:rsid w:val="00810CCB"/>
    <w:rsid w:val="0081752A"/>
    <w:rsid w:val="008221CE"/>
    <w:rsid w:val="00840877"/>
    <w:rsid w:val="00842EE8"/>
    <w:rsid w:val="008446A7"/>
    <w:rsid w:val="00845121"/>
    <w:rsid w:val="00852AD3"/>
    <w:rsid w:val="008600C6"/>
    <w:rsid w:val="008655CB"/>
    <w:rsid w:val="00866DC1"/>
    <w:rsid w:val="00867E01"/>
    <w:rsid w:val="0087044D"/>
    <w:rsid w:val="00872FD2"/>
    <w:rsid w:val="00873CEF"/>
    <w:rsid w:val="00876754"/>
    <w:rsid w:val="00876985"/>
    <w:rsid w:val="00876AAD"/>
    <w:rsid w:val="00877067"/>
    <w:rsid w:val="0088170B"/>
    <w:rsid w:val="00881EB1"/>
    <w:rsid w:val="00884647"/>
    <w:rsid w:val="00886A7A"/>
    <w:rsid w:val="008935C9"/>
    <w:rsid w:val="00895C61"/>
    <w:rsid w:val="00897710"/>
    <w:rsid w:val="00897D48"/>
    <w:rsid w:val="008B7D4A"/>
    <w:rsid w:val="008B7F7B"/>
    <w:rsid w:val="008C05DB"/>
    <w:rsid w:val="008D0B6B"/>
    <w:rsid w:val="008D1AF5"/>
    <w:rsid w:val="008D381C"/>
    <w:rsid w:val="008D619C"/>
    <w:rsid w:val="008F6F86"/>
    <w:rsid w:val="009025F6"/>
    <w:rsid w:val="009043FE"/>
    <w:rsid w:val="009072EB"/>
    <w:rsid w:val="00912D04"/>
    <w:rsid w:val="0091353C"/>
    <w:rsid w:val="0091469F"/>
    <w:rsid w:val="00917018"/>
    <w:rsid w:val="009236C9"/>
    <w:rsid w:val="0092387B"/>
    <w:rsid w:val="00925528"/>
    <w:rsid w:val="0094317E"/>
    <w:rsid w:val="00944E64"/>
    <w:rsid w:val="00950620"/>
    <w:rsid w:val="00953A22"/>
    <w:rsid w:val="00954C3A"/>
    <w:rsid w:val="009657D6"/>
    <w:rsid w:val="0096679C"/>
    <w:rsid w:val="00972FD5"/>
    <w:rsid w:val="00983A50"/>
    <w:rsid w:val="00986A18"/>
    <w:rsid w:val="009918FC"/>
    <w:rsid w:val="009A0F3B"/>
    <w:rsid w:val="009A2C06"/>
    <w:rsid w:val="009A4E1B"/>
    <w:rsid w:val="009B20D0"/>
    <w:rsid w:val="009B549C"/>
    <w:rsid w:val="009C7DEE"/>
    <w:rsid w:val="009D0261"/>
    <w:rsid w:val="009D1974"/>
    <w:rsid w:val="009D2F6A"/>
    <w:rsid w:val="009D5BF8"/>
    <w:rsid w:val="009D6812"/>
    <w:rsid w:val="00A05A65"/>
    <w:rsid w:val="00A06AED"/>
    <w:rsid w:val="00A07E41"/>
    <w:rsid w:val="00A15A73"/>
    <w:rsid w:val="00A21CE0"/>
    <w:rsid w:val="00A35AA5"/>
    <w:rsid w:val="00A37C63"/>
    <w:rsid w:val="00A54025"/>
    <w:rsid w:val="00A55804"/>
    <w:rsid w:val="00A5675E"/>
    <w:rsid w:val="00A64273"/>
    <w:rsid w:val="00A66C0D"/>
    <w:rsid w:val="00A72C1E"/>
    <w:rsid w:val="00A73C59"/>
    <w:rsid w:val="00A81D05"/>
    <w:rsid w:val="00A9125E"/>
    <w:rsid w:val="00A91920"/>
    <w:rsid w:val="00A9322D"/>
    <w:rsid w:val="00A97578"/>
    <w:rsid w:val="00AA7B3D"/>
    <w:rsid w:val="00AB1D3C"/>
    <w:rsid w:val="00AB56A8"/>
    <w:rsid w:val="00AB6381"/>
    <w:rsid w:val="00AC2339"/>
    <w:rsid w:val="00AC5499"/>
    <w:rsid w:val="00AD4D0C"/>
    <w:rsid w:val="00AF08B1"/>
    <w:rsid w:val="00AF164A"/>
    <w:rsid w:val="00AF5B71"/>
    <w:rsid w:val="00B01BC0"/>
    <w:rsid w:val="00B01CE8"/>
    <w:rsid w:val="00B0289A"/>
    <w:rsid w:val="00B03D36"/>
    <w:rsid w:val="00B1092F"/>
    <w:rsid w:val="00B129AD"/>
    <w:rsid w:val="00B12BC3"/>
    <w:rsid w:val="00B164A8"/>
    <w:rsid w:val="00B22048"/>
    <w:rsid w:val="00B326B7"/>
    <w:rsid w:val="00B32843"/>
    <w:rsid w:val="00B3537F"/>
    <w:rsid w:val="00B375E1"/>
    <w:rsid w:val="00B52653"/>
    <w:rsid w:val="00B61A2A"/>
    <w:rsid w:val="00B6297C"/>
    <w:rsid w:val="00B6697E"/>
    <w:rsid w:val="00B73B64"/>
    <w:rsid w:val="00B81F73"/>
    <w:rsid w:val="00B91A81"/>
    <w:rsid w:val="00B923D4"/>
    <w:rsid w:val="00B941F3"/>
    <w:rsid w:val="00B9441A"/>
    <w:rsid w:val="00B94474"/>
    <w:rsid w:val="00B95C3B"/>
    <w:rsid w:val="00B97CAE"/>
    <w:rsid w:val="00BA1444"/>
    <w:rsid w:val="00BA77C0"/>
    <w:rsid w:val="00BC25DB"/>
    <w:rsid w:val="00BD231A"/>
    <w:rsid w:val="00BD5420"/>
    <w:rsid w:val="00BE03E8"/>
    <w:rsid w:val="00BE1578"/>
    <w:rsid w:val="00BF43EA"/>
    <w:rsid w:val="00C068C4"/>
    <w:rsid w:val="00C20B91"/>
    <w:rsid w:val="00C265F9"/>
    <w:rsid w:val="00C35BD5"/>
    <w:rsid w:val="00C36FAF"/>
    <w:rsid w:val="00C37C50"/>
    <w:rsid w:val="00C40EF1"/>
    <w:rsid w:val="00C4126A"/>
    <w:rsid w:val="00C417F0"/>
    <w:rsid w:val="00C47BB9"/>
    <w:rsid w:val="00C67AA6"/>
    <w:rsid w:val="00C73E02"/>
    <w:rsid w:val="00C77422"/>
    <w:rsid w:val="00C77CDA"/>
    <w:rsid w:val="00C92719"/>
    <w:rsid w:val="00CA0145"/>
    <w:rsid w:val="00CA0927"/>
    <w:rsid w:val="00CA610C"/>
    <w:rsid w:val="00CB4646"/>
    <w:rsid w:val="00CB5E27"/>
    <w:rsid w:val="00CC463E"/>
    <w:rsid w:val="00CC5431"/>
    <w:rsid w:val="00CC7650"/>
    <w:rsid w:val="00CD766C"/>
    <w:rsid w:val="00CE19D3"/>
    <w:rsid w:val="00CE2B89"/>
    <w:rsid w:val="00CE6B58"/>
    <w:rsid w:val="00CE7646"/>
    <w:rsid w:val="00CF1998"/>
    <w:rsid w:val="00CF5F57"/>
    <w:rsid w:val="00D00ADF"/>
    <w:rsid w:val="00D015DF"/>
    <w:rsid w:val="00D02522"/>
    <w:rsid w:val="00D06145"/>
    <w:rsid w:val="00D10F2C"/>
    <w:rsid w:val="00D21A4E"/>
    <w:rsid w:val="00D23813"/>
    <w:rsid w:val="00D24151"/>
    <w:rsid w:val="00D3546C"/>
    <w:rsid w:val="00D45D16"/>
    <w:rsid w:val="00D536E2"/>
    <w:rsid w:val="00D576FF"/>
    <w:rsid w:val="00D61692"/>
    <w:rsid w:val="00D61BB1"/>
    <w:rsid w:val="00D61FBE"/>
    <w:rsid w:val="00D676A1"/>
    <w:rsid w:val="00D733F2"/>
    <w:rsid w:val="00D74833"/>
    <w:rsid w:val="00D92207"/>
    <w:rsid w:val="00D960B0"/>
    <w:rsid w:val="00D967DD"/>
    <w:rsid w:val="00DB1DAE"/>
    <w:rsid w:val="00DB5D04"/>
    <w:rsid w:val="00DC3EC1"/>
    <w:rsid w:val="00DD32FB"/>
    <w:rsid w:val="00DD38F2"/>
    <w:rsid w:val="00DD4503"/>
    <w:rsid w:val="00DE7831"/>
    <w:rsid w:val="00DF1F90"/>
    <w:rsid w:val="00DF65F4"/>
    <w:rsid w:val="00E03F6F"/>
    <w:rsid w:val="00E07F54"/>
    <w:rsid w:val="00E125FD"/>
    <w:rsid w:val="00E23A1B"/>
    <w:rsid w:val="00E24248"/>
    <w:rsid w:val="00E24C6E"/>
    <w:rsid w:val="00E425CB"/>
    <w:rsid w:val="00E44393"/>
    <w:rsid w:val="00E459FE"/>
    <w:rsid w:val="00E51241"/>
    <w:rsid w:val="00E65451"/>
    <w:rsid w:val="00E668A7"/>
    <w:rsid w:val="00E67D65"/>
    <w:rsid w:val="00E740DA"/>
    <w:rsid w:val="00E77A45"/>
    <w:rsid w:val="00E80D8F"/>
    <w:rsid w:val="00E82EB1"/>
    <w:rsid w:val="00E82F5D"/>
    <w:rsid w:val="00E85373"/>
    <w:rsid w:val="00E95CA0"/>
    <w:rsid w:val="00EA028B"/>
    <w:rsid w:val="00EA1FB3"/>
    <w:rsid w:val="00EA639C"/>
    <w:rsid w:val="00EB1397"/>
    <w:rsid w:val="00EB25FC"/>
    <w:rsid w:val="00EC31F8"/>
    <w:rsid w:val="00ED11FF"/>
    <w:rsid w:val="00ED1EE4"/>
    <w:rsid w:val="00EE24D6"/>
    <w:rsid w:val="00EE7EAB"/>
    <w:rsid w:val="00EF0E34"/>
    <w:rsid w:val="00F00835"/>
    <w:rsid w:val="00F05677"/>
    <w:rsid w:val="00F06A18"/>
    <w:rsid w:val="00F134F0"/>
    <w:rsid w:val="00F17C1A"/>
    <w:rsid w:val="00F238F7"/>
    <w:rsid w:val="00F2394F"/>
    <w:rsid w:val="00F260D6"/>
    <w:rsid w:val="00F33308"/>
    <w:rsid w:val="00F404FA"/>
    <w:rsid w:val="00F4132F"/>
    <w:rsid w:val="00F43C9D"/>
    <w:rsid w:val="00F448BC"/>
    <w:rsid w:val="00F4550C"/>
    <w:rsid w:val="00F6269C"/>
    <w:rsid w:val="00F6714F"/>
    <w:rsid w:val="00F753BD"/>
    <w:rsid w:val="00F8007E"/>
    <w:rsid w:val="00F96FA7"/>
    <w:rsid w:val="00FA10AD"/>
    <w:rsid w:val="00FA3651"/>
    <w:rsid w:val="00FA418A"/>
    <w:rsid w:val="00FB45E7"/>
    <w:rsid w:val="00FC3ECD"/>
    <w:rsid w:val="00FC5A9B"/>
    <w:rsid w:val="00FD5AE5"/>
    <w:rsid w:val="00FE03E9"/>
    <w:rsid w:val="00FE17B7"/>
    <w:rsid w:val="00FF0BEE"/>
    <w:rsid w:val="00FF58F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877"/>
    <w:pPr>
      <w:spacing w:before="120" w:line="320" w:lineRule="atLeast"/>
    </w:pPr>
    <w:rPr>
      <w:sz w:val="24"/>
      <w:lang w:val="en-AU"/>
    </w:rPr>
  </w:style>
  <w:style w:type="paragraph" w:styleId="Heading1">
    <w:name w:val="heading 1"/>
    <w:basedOn w:val="Normal"/>
    <w:next w:val="Normal"/>
    <w:qFormat/>
    <w:rsid w:val="006E38DE"/>
    <w:pPr>
      <w:keepNext/>
      <w:spacing w:before="240" w:after="120"/>
      <w:outlineLvl w:val="0"/>
    </w:pPr>
    <w:rPr>
      <w:b/>
      <w:sz w:val="30"/>
      <w:u w:val="single"/>
    </w:rPr>
  </w:style>
  <w:style w:type="paragraph" w:styleId="Heading2">
    <w:name w:val="heading 2"/>
    <w:basedOn w:val="Normal"/>
    <w:next w:val="Normal"/>
    <w:qFormat/>
    <w:rsid w:val="00BD5420"/>
    <w:pPr>
      <w:keepNext/>
      <w:outlineLvl w:val="1"/>
    </w:pPr>
    <w:rPr>
      <w:b/>
      <w:u w:val="single"/>
    </w:rPr>
  </w:style>
  <w:style w:type="paragraph" w:styleId="Heading3">
    <w:name w:val="heading 3"/>
    <w:basedOn w:val="Normal"/>
    <w:next w:val="Normal"/>
    <w:qFormat/>
    <w:rsid w:val="00BD5420"/>
    <w:pPr>
      <w:keepNext/>
      <w:outlineLvl w:val="2"/>
    </w:pPr>
    <w:rPr>
      <w:b/>
      <w:snapToGrid w:val="0"/>
    </w:rPr>
  </w:style>
  <w:style w:type="paragraph" w:styleId="Heading4">
    <w:name w:val="heading 4"/>
    <w:basedOn w:val="Normal"/>
    <w:next w:val="Normal"/>
    <w:qFormat/>
    <w:rsid w:val="001977ED"/>
    <w:pPr>
      <w:keepNext/>
      <w:jc w:val="both"/>
      <w:outlineLvl w:val="3"/>
    </w:pPr>
    <w:rPr>
      <w:rFonts w:ascii="Arial" w:hAnsi="Arial"/>
      <w:b/>
    </w:rPr>
  </w:style>
  <w:style w:type="paragraph" w:styleId="Heading5">
    <w:name w:val="heading 5"/>
    <w:basedOn w:val="Normal"/>
    <w:next w:val="Normal"/>
    <w:qFormat/>
    <w:rsid w:val="001977ED"/>
    <w:pPr>
      <w:keepNext/>
      <w:jc w:val="center"/>
      <w:outlineLvl w:val="4"/>
    </w:pPr>
    <w:rPr>
      <w:b/>
      <w:sz w:val="22"/>
    </w:rPr>
  </w:style>
  <w:style w:type="paragraph" w:styleId="Heading6">
    <w:name w:val="heading 6"/>
    <w:basedOn w:val="Normal"/>
    <w:next w:val="Normal"/>
    <w:qFormat/>
    <w:rsid w:val="001977ED"/>
    <w:pPr>
      <w:keepNext/>
      <w:jc w:val="center"/>
      <w:outlineLvl w:val="5"/>
    </w:pPr>
  </w:style>
  <w:style w:type="paragraph" w:styleId="Heading7">
    <w:name w:val="heading 7"/>
    <w:basedOn w:val="Normal"/>
    <w:next w:val="Normal"/>
    <w:qFormat/>
    <w:rsid w:val="001977ED"/>
    <w:pPr>
      <w:keepNext/>
      <w:jc w:val="center"/>
      <w:outlineLvl w:val="6"/>
    </w:pPr>
    <w:rPr>
      <w:b/>
    </w:rPr>
  </w:style>
  <w:style w:type="paragraph" w:styleId="Heading8">
    <w:name w:val="heading 8"/>
    <w:basedOn w:val="Normal"/>
    <w:next w:val="Normal"/>
    <w:qFormat/>
    <w:rsid w:val="001977ED"/>
    <w:pPr>
      <w:keepNext/>
      <w:outlineLvl w:val="7"/>
    </w:pPr>
    <w:rPr>
      <w:b/>
      <w:sz w:val="22"/>
    </w:rPr>
  </w:style>
  <w:style w:type="paragraph" w:styleId="Heading9">
    <w:name w:val="heading 9"/>
    <w:basedOn w:val="Normal"/>
    <w:next w:val="Normal"/>
    <w:qFormat/>
    <w:rsid w:val="001977ED"/>
    <w:pPr>
      <w:keepNext/>
      <w:outlineLvl w:val="8"/>
    </w:pPr>
    <w:rPr>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977ED"/>
    <w:rPr>
      <w:sz w:val="22"/>
    </w:rPr>
  </w:style>
  <w:style w:type="paragraph" w:styleId="BodyText">
    <w:name w:val="Body Text"/>
    <w:basedOn w:val="Normal"/>
    <w:rsid w:val="001977ED"/>
    <w:pPr>
      <w:jc w:val="both"/>
    </w:pPr>
    <w:rPr>
      <w:rFonts w:ascii="Arial" w:hAnsi="Arial"/>
      <w:sz w:val="22"/>
    </w:rPr>
  </w:style>
  <w:style w:type="character" w:styleId="Strong">
    <w:name w:val="Strong"/>
    <w:qFormat/>
    <w:rsid w:val="001977ED"/>
    <w:rPr>
      <w:b/>
      <w:bCs/>
    </w:rPr>
  </w:style>
  <w:style w:type="paragraph" w:styleId="Caption">
    <w:name w:val="caption"/>
    <w:basedOn w:val="Normal"/>
    <w:next w:val="Normal"/>
    <w:link w:val="CaptionChar"/>
    <w:qFormat/>
    <w:rsid w:val="001977ED"/>
    <w:rPr>
      <w:rFonts w:ascii="Arial" w:hAnsi="Arial"/>
      <w:i/>
      <w:sz w:val="20"/>
    </w:rPr>
  </w:style>
  <w:style w:type="paragraph" w:styleId="BodyText3">
    <w:name w:val="Body Text 3"/>
    <w:basedOn w:val="Normal"/>
    <w:rsid w:val="001977ED"/>
  </w:style>
  <w:style w:type="paragraph" w:styleId="Header">
    <w:name w:val="header"/>
    <w:basedOn w:val="Normal"/>
    <w:rsid w:val="001977ED"/>
    <w:pPr>
      <w:tabs>
        <w:tab w:val="right" w:pos="9000"/>
      </w:tabs>
    </w:pPr>
    <w:rPr>
      <w:sz w:val="18"/>
    </w:rPr>
  </w:style>
  <w:style w:type="paragraph" w:styleId="BodyTextIndent">
    <w:name w:val="Body Text Indent"/>
    <w:basedOn w:val="Normal"/>
    <w:rsid w:val="001977ED"/>
    <w:pPr>
      <w:ind w:left="720"/>
    </w:pPr>
    <w:rPr>
      <w:rFonts w:ascii="Arial" w:hAnsi="Arial"/>
    </w:rPr>
  </w:style>
  <w:style w:type="paragraph" w:styleId="Footer">
    <w:name w:val="footer"/>
    <w:basedOn w:val="Normal"/>
    <w:link w:val="FooterChar"/>
    <w:rsid w:val="001977ED"/>
    <w:pPr>
      <w:tabs>
        <w:tab w:val="center" w:pos="4320"/>
        <w:tab w:val="right" w:pos="8640"/>
      </w:tabs>
    </w:pPr>
  </w:style>
  <w:style w:type="character" w:styleId="PageNumber">
    <w:name w:val="page number"/>
    <w:basedOn w:val="DefaultParagraphFont"/>
    <w:rsid w:val="001977ED"/>
  </w:style>
  <w:style w:type="paragraph" w:styleId="EndnoteText">
    <w:name w:val="endnote text"/>
    <w:basedOn w:val="Normal"/>
    <w:next w:val="Normal"/>
    <w:semiHidden/>
    <w:rsid w:val="001977ED"/>
    <w:pPr>
      <w:tabs>
        <w:tab w:val="left" w:pos="567"/>
      </w:tabs>
    </w:pPr>
    <w:rPr>
      <w:sz w:val="22"/>
      <w:lang w:val="en-GB"/>
    </w:rPr>
  </w:style>
  <w:style w:type="character" w:styleId="CommentReference">
    <w:name w:val="annotation reference"/>
    <w:semiHidden/>
    <w:rsid w:val="001977ED"/>
    <w:rPr>
      <w:sz w:val="16"/>
      <w:szCs w:val="16"/>
    </w:rPr>
  </w:style>
  <w:style w:type="character" w:styleId="FootnoteReference">
    <w:name w:val="footnote reference"/>
    <w:semiHidden/>
    <w:rsid w:val="001977ED"/>
    <w:rPr>
      <w:vertAlign w:val="superscript"/>
    </w:rPr>
  </w:style>
  <w:style w:type="paragraph" w:styleId="CommentText">
    <w:name w:val="annotation text"/>
    <w:basedOn w:val="Normal"/>
    <w:semiHidden/>
    <w:rsid w:val="001977ED"/>
    <w:rPr>
      <w:rFonts w:ascii="Times" w:hAnsi="Times"/>
      <w:b/>
      <w:bCs/>
      <w:lang w:val="en-US"/>
    </w:rPr>
  </w:style>
  <w:style w:type="paragraph" w:styleId="FootnoteText">
    <w:name w:val="footnote text"/>
    <w:basedOn w:val="Normal"/>
    <w:semiHidden/>
    <w:rsid w:val="001977ED"/>
    <w:rPr>
      <w:lang w:val="en-US"/>
    </w:rPr>
  </w:style>
  <w:style w:type="character" w:styleId="Hyperlink">
    <w:name w:val="Hyperlink"/>
    <w:rsid w:val="001977ED"/>
    <w:rPr>
      <w:color w:val="0000FF"/>
      <w:u w:val="single"/>
    </w:rPr>
  </w:style>
  <w:style w:type="character" w:styleId="FollowedHyperlink">
    <w:name w:val="FollowedHyperlink"/>
    <w:rsid w:val="001977ED"/>
    <w:rPr>
      <w:color w:val="800080"/>
      <w:u w:val="single"/>
    </w:rPr>
  </w:style>
  <w:style w:type="paragraph" w:styleId="BalloonText">
    <w:name w:val="Balloon Text"/>
    <w:basedOn w:val="Normal"/>
    <w:semiHidden/>
    <w:rsid w:val="001977ED"/>
    <w:rPr>
      <w:rFonts w:ascii="Tahoma" w:hAnsi="Tahoma" w:cs="Tahoma"/>
      <w:sz w:val="16"/>
      <w:szCs w:val="16"/>
    </w:rPr>
  </w:style>
  <w:style w:type="paragraph" w:customStyle="1" w:styleId="Level4a">
    <w:name w:val="Level 4a"/>
    <w:basedOn w:val="Normal"/>
    <w:next w:val="Normal"/>
    <w:rsid w:val="001977ED"/>
    <w:pPr>
      <w:overflowPunct w:val="0"/>
      <w:autoSpaceDE w:val="0"/>
      <w:autoSpaceDN w:val="0"/>
      <w:adjustRightInd w:val="0"/>
      <w:spacing w:line="360" w:lineRule="auto"/>
      <w:ind w:left="1267"/>
      <w:textAlignment w:val="baseline"/>
    </w:pPr>
    <w:rPr>
      <w:lang w:val="en-US"/>
    </w:rPr>
  </w:style>
  <w:style w:type="paragraph" w:customStyle="1" w:styleId="TableLeft">
    <w:name w:val="TableLeft"/>
    <w:basedOn w:val="Normal"/>
    <w:rsid w:val="001977ED"/>
    <w:pPr>
      <w:spacing w:after="120"/>
      <w:ind w:left="360" w:hanging="360"/>
    </w:pPr>
    <w:rPr>
      <w:lang w:val="en-US"/>
    </w:rPr>
  </w:style>
  <w:style w:type="paragraph" w:customStyle="1" w:styleId="TableCenter">
    <w:name w:val="TableCenter"/>
    <w:basedOn w:val="Normal"/>
    <w:rsid w:val="001977ED"/>
    <w:pPr>
      <w:spacing w:after="120"/>
      <w:jc w:val="center"/>
    </w:pPr>
    <w:rPr>
      <w:lang w:val="en-US"/>
    </w:rPr>
  </w:style>
  <w:style w:type="paragraph" w:customStyle="1" w:styleId="TableRight">
    <w:name w:val="TableRight"/>
    <w:basedOn w:val="Normal"/>
    <w:rsid w:val="001977ED"/>
    <w:pPr>
      <w:spacing w:after="120"/>
      <w:jc w:val="right"/>
    </w:pPr>
    <w:rPr>
      <w:lang w:val="en-US"/>
    </w:rPr>
  </w:style>
  <w:style w:type="paragraph" w:styleId="BodyTextIndent2">
    <w:name w:val="Body Text Indent 2"/>
    <w:basedOn w:val="Normal"/>
    <w:rsid w:val="001977ED"/>
    <w:pPr>
      <w:spacing w:after="120" w:line="480" w:lineRule="auto"/>
      <w:ind w:left="283"/>
    </w:pPr>
  </w:style>
  <w:style w:type="character" w:customStyle="1" w:styleId="reflinkplainlinksnourlexpansion">
    <w:name w:val="reflink plainlinks nourlexpansion"/>
    <w:basedOn w:val="DefaultParagraphFont"/>
    <w:rsid w:val="001977ED"/>
  </w:style>
  <w:style w:type="paragraph" w:customStyle="1" w:styleId="Tabletext">
    <w:name w:val="Table text"/>
    <w:basedOn w:val="Normal"/>
    <w:rsid w:val="001977ED"/>
    <w:rPr>
      <w:szCs w:val="22"/>
      <w:lang w:val="fr-FR" w:eastAsia="fr-FR"/>
    </w:rPr>
  </w:style>
  <w:style w:type="paragraph" w:customStyle="1" w:styleId="tiretinv">
    <w:name w:val="tiretinv"/>
    <w:basedOn w:val="Normal"/>
    <w:rsid w:val="001977ED"/>
    <w:pPr>
      <w:spacing w:before="60"/>
      <w:jc w:val="both"/>
    </w:pPr>
    <w:rPr>
      <w:rFonts w:ascii="Arial Narrow" w:hAnsi="Arial Narrow"/>
      <w:lang w:val="en-GB" w:eastAsia="fr-FR"/>
    </w:rPr>
  </w:style>
  <w:style w:type="character" w:customStyle="1" w:styleId="CaptionChar">
    <w:name w:val="Caption Char"/>
    <w:link w:val="Caption"/>
    <w:rsid w:val="001977ED"/>
    <w:rPr>
      <w:rFonts w:ascii="Arial" w:hAnsi="Arial"/>
      <w:i/>
      <w:lang w:val="en-AU" w:eastAsia="en-US" w:bidi="ar-SA"/>
    </w:rPr>
  </w:style>
  <w:style w:type="paragraph" w:customStyle="1" w:styleId="TEXT3">
    <w:name w:val="TEXT3"/>
    <w:basedOn w:val="Normal"/>
    <w:rsid w:val="001977ED"/>
    <w:pPr>
      <w:keepNext/>
      <w:keepLines/>
      <w:ind w:right="57"/>
    </w:pPr>
    <w:rPr>
      <w:b/>
      <w:lang w:val="en-US"/>
    </w:rPr>
  </w:style>
  <w:style w:type="paragraph" w:customStyle="1" w:styleId="Propertystatement">
    <w:name w:val="Propertystatement"/>
    <w:basedOn w:val="Normal"/>
    <w:rsid w:val="001977ED"/>
    <w:pPr>
      <w:tabs>
        <w:tab w:val="left" w:pos="2268"/>
      </w:tabs>
      <w:spacing w:before="1200"/>
      <w:jc w:val="center"/>
    </w:pPr>
    <w:rPr>
      <w:rFonts w:ascii="Arial" w:hAnsi="Arial"/>
      <w:lang w:val="en-US" w:eastAsia="it-IT"/>
    </w:rPr>
  </w:style>
  <w:style w:type="paragraph" w:customStyle="1" w:styleId="WfxFaxNum">
    <w:name w:val="WfxFaxNum"/>
    <w:basedOn w:val="Normal"/>
    <w:rsid w:val="001977ED"/>
    <w:pPr>
      <w:jc w:val="both"/>
    </w:pPr>
    <w:rPr>
      <w:lang w:val="en-GB" w:eastAsia="it-IT"/>
    </w:rPr>
  </w:style>
  <w:style w:type="paragraph" w:styleId="CommentSubject">
    <w:name w:val="annotation subject"/>
    <w:basedOn w:val="CommentText"/>
    <w:next w:val="CommentText"/>
    <w:semiHidden/>
    <w:rsid w:val="001977ED"/>
    <w:rPr>
      <w:rFonts w:ascii="Times New Roman" w:hAnsi="Times New Roman"/>
      <w:lang w:val="en-AU"/>
    </w:rPr>
  </w:style>
  <w:style w:type="paragraph" w:customStyle="1" w:styleId="tabella">
    <w:name w:val="tabella"/>
    <w:basedOn w:val="Normal"/>
    <w:rsid w:val="001977ED"/>
    <w:pPr>
      <w:tabs>
        <w:tab w:val="left" w:pos="5520"/>
      </w:tabs>
    </w:pPr>
    <w:rPr>
      <w:b/>
      <w:szCs w:val="24"/>
      <w:lang w:val="en-GB" w:eastAsia="fr-FR"/>
    </w:rPr>
  </w:style>
  <w:style w:type="paragraph" w:styleId="Revision">
    <w:name w:val="Revision"/>
    <w:hidden/>
    <w:uiPriority w:val="99"/>
    <w:semiHidden/>
    <w:rsid w:val="00DD4503"/>
    <w:rPr>
      <w:lang w:val="en-AU"/>
    </w:rPr>
  </w:style>
  <w:style w:type="paragraph" w:customStyle="1" w:styleId="Default">
    <w:name w:val="Default"/>
    <w:rsid w:val="006C3D5E"/>
    <w:pPr>
      <w:autoSpaceDE w:val="0"/>
      <w:autoSpaceDN w:val="0"/>
      <w:adjustRightInd w:val="0"/>
    </w:pPr>
    <w:rPr>
      <w:color w:val="000000"/>
      <w:sz w:val="24"/>
      <w:szCs w:val="24"/>
    </w:rPr>
  </w:style>
  <w:style w:type="table" w:styleId="TableGrid">
    <w:name w:val="Table Grid"/>
    <w:basedOn w:val="TableNormal"/>
    <w:uiPriority w:val="59"/>
    <w:rsid w:val="00E24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TimesNewRoman10ptJustifiedBefore6pt">
    <w:name w:val="Style Heading 1 + Times New Roman 10 pt Justified Before:  6 pt"/>
    <w:basedOn w:val="Heading1"/>
    <w:rsid w:val="00F17C1A"/>
    <w:pPr>
      <w:jc w:val="both"/>
    </w:pPr>
    <w:rPr>
      <w:bCs/>
      <w:sz w:val="20"/>
    </w:rPr>
  </w:style>
  <w:style w:type="paragraph" w:customStyle="1" w:styleId="StyleHeading4TimesNewRomanBefore6pt">
    <w:name w:val="Style Heading 4 + Times New Roman Before:  6 pt"/>
    <w:basedOn w:val="Heading4"/>
    <w:rsid w:val="00F17C1A"/>
    <w:rPr>
      <w:rFonts w:ascii="Times New Roman" w:hAnsi="Times New Roman"/>
      <w:bCs/>
    </w:rPr>
  </w:style>
  <w:style w:type="character" w:customStyle="1" w:styleId="FooterChar">
    <w:name w:val="Footer Char"/>
    <w:basedOn w:val="DefaultParagraphFont"/>
    <w:link w:val="Footer"/>
    <w:rsid w:val="00E95CA0"/>
    <w:rPr>
      <w:sz w:val="24"/>
      <w:lang w:val="en-AU"/>
    </w:rPr>
  </w:style>
  <w:style w:type="paragraph" w:customStyle="1" w:styleId="TableHeading">
    <w:name w:val="Table Heading"/>
    <w:basedOn w:val="Normal"/>
    <w:uiPriority w:val="99"/>
    <w:rsid w:val="005F4267"/>
    <w:pPr>
      <w:tabs>
        <w:tab w:val="left" w:pos="2268"/>
      </w:tabs>
      <w:spacing w:after="120" w:line="240" w:lineRule="auto"/>
      <w:ind w:left="2268" w:hanging="2268"/>
      <w:jc w:val="both"/>
    </w:pPr>
    <w:rPr>
      <w:rFonts w:ascii="Times New Roman Bold" w:hAnsi="Times New Roman Bold"/>
      <w:b/>
      <w:szCs w:val="24"/>
      <w:lang w:val="en-GB"/>
    </w:rPr>
  </w:style>
  <w:style w:type="paragraph" w:customStyle="1" w:styleId="Normal-table">
    <w:name w:val="Normal - table"/>
    <w:basedOn w:val="Normal"/>
    <w:uiPriority w:val="99"/>
    <w:rsid w:val="005F4267"/>
    <w:pPr>
      <w:spacing w:before="40" w:after="40" w:line="240" w:lineRule="auto"/>
      <w:jc w:val="both"/>
    </w:pPr>
    <w:rPr>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877"/>
    <w:pPr>
      <w:spacing w:before="120" w:line="320" w:lineRule="atLeast"/>
    </w:pPr>
    <w:rPr>
      <w:sz w:val="24"/>
      <w:lang w:val="en-AU"/>
    </w:rPr>
  </w:style>
  <w:style w:type="paragraph" w:styleId="Heading1">
    <w:name w:val="heading 1"/>
    <w:basedOn w:val="Normal"/>
    <w:next w:val="Normal"/>
    <w:qFormat/>
    <w:rsid w:val="006E38DE"/>
    <w:pPr>
      <w:keepNext/>
      <w:spacing w:before="240" w:after="120"/>
      <w:outlineLvl w:val="0"/>
    </w:pPr>
    <w:rPr>
      <w:b/>
      <w:sz w:val="30"/>
      <w:u w:val="single"/>
    </w:rPr>
  </w:style>
  <w:style w:type="paragraph" w:styleId="Heading2">
    <w:name w:val="heading 2"/>
    <w:basedOn w:val="Normal"/>
    <w:next w:val="Normal"/>
    <w:qFormat/>
    <w:rsid w:val="00BD5420"/>
    <w:pPr>
      <w:keepNext/>
      <w:outlineLvl w:val="1"/>
    </w:pPr>
    <w:rPr>
      <w:b/>
      <w:u w:val="single"/>
    </w:rPr>
  </w:style>
  <w:style w:type="paragraph" w:styleId="Heading3">
    <w:name w:val="heading 3"/>
    <w:basedOn w:val="Normal"/>
    <w:next w:val="Normal"/>
    <w:qFormat/>
    <w:rsid w:val="00BD5420"/>
    <w:pPr>
      <w:keepNext/>
      <w:outlineLvl w:val="2"/>
    </w:pPr>
    <w:rPr>
      <w:b/>
      <w:snapToGrid w:val="0"/>
    </w:rPr>
  </w:style>
  <w:style w:type="paragraph" w:styleId="Heading4">
    <w:name w:val="heading 4"/>
    <w:basedOn w:val="Normal"/>
    <w:next w:val="Normal"/>
    <w:qFormat/>
    <w:rsid w:val="001977ED"/>
    <w:pPr>
      <w:keepNext/>
      <w:jc w:val="both"/>
      <w:outlineLvl w:val="3"/>
    </w:pPr>
    <w:rPr>
      <w:rFonts w:ascii="Arial" w:hAnsi="Arial"/>
      <w:b/>
    </w:rPr>
  </w:style>
  <w:style w:type="paragraph" w:styleId="Heading5">
    <w:name w:val="heading 5"/>
    <w:basedOn w:val="Normal"/>
    <w:next w:val="Normal"/>
    <w:qFormat/>
    <w:rsid w:val="001977ED"/>
    <w:pPr>
      <w:keepNext/>
      <w:jc w:val="center"/>
      <w:outlineLvl w:val="4"/>
    </w:pPr>
    <w:rPr>
      <w:b/>
      <w:sz w:val="22"/>
    </w:rPr>
  </w:style>
  <w:style w:type="paragraph" w:styleId="Heading6">
    <w:name w:val="heading 6"/>
    <w:basedOn w:val="Normal"/>
    <w:next w:val="Normal"/>
    <w:qFormat/>
    <w:rsid w:val="001977ED"/>
    <w:pPr>
      <w:keepNext/>
      <w:jc w:val="center"/>
      <w:outlineLvl w:val="5"/>
    </w:pPr>
  </w:style>
  <w:style w:type="paragraph" w:styleId="Heading7">
    <w:name w:val="heading 7"/>
    <w:basedOn w:val="Normal"/>
    <w:next w:val="Normal"/>
    <w:qFormat/>
    <w:rsid w:val="001977ED"/>
    <w:pPr>
      <w:keepNext/>
      <w:jc w:val="center"/>
      <w:outlineLvl w:val="6"/>
    </w:pPr>
    <w:rPr>
      <w:b/>
    </w:rPr>
  </w:style>
  <w:style w:type="paragraph" w:styleId="Heading8">
    <w:name w:val="heading 8"/>
    <w:basedOn w:val="Normal"/>
    <w:next w:val="Normal"/>
    <w:qFormat/>
    <w:rsid w:val="001977ED"/>
    <w:pPr>
      <w:keepNext/>
      <w:outlineLvl w:val="7"/>
    </w:pPr>
    <w:rPr>
      <w:b/>
      <w:sz w:val="22"/>
    </w:rPr>
  </w:style>
  <w:style w:type="paragraph" w:styleId="Heading9">
    <w:name w:val="heading 9"/>
    <w:basedOn w:val="Normal"/>
    <w:next w:val="Normal"/>
    <w:qFormat/>
    <w:rsid w:val="001977ED"/>
    <w:pPr>
      <w:keepNext/>
      <w:outlineLvl w:val="8"/>
    </w:pPr>
    <w:rPr>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977ED"/>
    <w:rPr>
      <w:sz w:val="22"/>
    </w:rPr>
  </w:style>
  <w:style w:type="paragraph" w:styleId="BodyText">
    <w:name w:val="Body Text"/>
    <w:basedOn w:val="Normal"/>
    <w:rsid w:val="001977ED"/>
    <w:pPr>
      <w:jc w:val="both"/>
    </w:pPr>
    <w:rPr>
      <w:rFonts w:ascii="Arial" w:hAnsi="Arial"/>
      <w:sz w:val="22"/>
    </w:rPr>
  </w:style>
  <w:style w:type="character" w:styleId="Strong">
    <w:name w:val="Strong"/>
    <w:qFormat/>
    <w:rsid w:val="001977ED"/>
    <w:rPr>
      <w:b/>
      <w:bCs/>
    </w:rPr>
  </w:style>
  <w:style w:type="paragraph" w:styleId="Caption">
    <w:name w:val="caption"/>
    <w:basedOn w:val="Normal"/>
    <w:next w:val="Normal"/>
    <w:link w:val="CaptionChar"/>
    <w:qFormat/>
    <w:rsid w:val="001977ED"/>
    <w:rPr>
      <w:rFonts w:ascii="Arial" w:hAnsi="Arial"/>
      <w:i/>
      <w:sz w:val="20"/>
    </w:rPr>
  </w:style>
  <w:style w:type="paragraph" w:styleId="BodyText3">
    <w:name w:val="Body Text 3"/>
    <w:basedOn w:val="Normal"/>
    <w:rsid w:val="001977ED"/>
  </w:style>
  <w:style w:type="paragraph" w:styleId="Header">
    <w:name w:val="header"/>
    <w:basedOn w:val="Normal"/>
    <w:rsid w:val="001977ED"/>
    <w:pPr>
      <w:tabs>
        <w:tab w:val="right" w:pos="9000"/>
      </w:tabs>
    </w:pPr>
    <w:rPr>
      <w:sz w:val="18"/>
    </w:rPr>
  </w:style>
  <w:style w:type="paragraph" w:styleId="BodyTextIndent">
    <w:name w:val="Body Text Indent"/>
    <w:basedOn w:val="Normal"/>
    <w:rsid w:val="001977ED"/>
    <w:pPr>
      <w:ind w:left="720"/>
    </w:pPr>
    <w:rPr>
      <w:rFonts w:ascii="Arial" w:hAnsi="Arial"/>
    </w:rPr>
  </w:style>
  <w:style w:type="paragraph" w:styleId="Footer">
    <w:name w:val="footer"/>
    <w:basedOn w:val="Normal"/>
    <w:rsid w:val="001977ED"/>
    <w:pPr>
      <w:tabs>
        <w:tab w:val="center" w:pos="4320"/>
        <w:tab w:val="right" w:pos="8640"/>
      </w:tabs>
    </w:pPr>
  </w:style>
  <w:style w:type="character" w:styleId="PageNumber">
    <w:name w:val="page number"/>
    <w:basedOn w:val="DefaultParagraphFont"/>
    <w:rsid w:val="001977ED"/>
  </w:style>
  <w:style w:type="paragraph" w:styleId="EndnoteText">
    <w:name w:val="endnote text"/>
    <w:basedOn w:val="Normal"/>
    <w:next w:val="Normal"/>
    <w:semiHidden/>
    <w:rsid w:val="001977ED"/>
    <w:pPr>
      <w:tabs>
        <w:tab w:val="left" w:pos="567"/>
      </w:tabs>
    </w:pPr>
    <w:rPr>
      <w:sz w:val="22"/>
      <w:lang w:val="en-GB"/>
    </w:rPr>
  </w:style>
  <w:style w:type="character" w:styleId="CommentReference">
    <w:name w:val="annotation reference"/>
    <w:semiHidden/>
    <w:rsid w:val="001977ED"/>
    <w:rPr>
      <w:sz w:val="16"/>
      <w:szCs w:val="16"/>
    </w:rPr>
  </w:style>
  <w:style w:type="character" w:styleId="FootnoteReference">
    <w:name w:val="footnote reference"/>
    <w:semiHidden/>
    <w:rsid w:val="001977ED"/>
    <w:rPr>
      <w:vertAlign w:val="superscript"/>
    </w:rPr>
  </w:style>
  <w:style w:type="paragraph" w:styleId="CommentText">
    <w:name w:val="annotation text"/>
    <w:basedOn w:val="Normal"/>
    <w:semiHidden/>
    <w:rsid w:val="001977ED"/>
    <w:rPr>
      <w:rFonts w:ascii="Times" w:hAnsi="Times"/>
      <w:b/>
      <w:bCs/>
      <w:lang w:val="en-US"/>
    </w:rPr>
  </w:style>
  <w:style w:type="paragraph" w:styleId="FootnoteText">
    <w:name w:val="footnote text"/>
    <w:basedOn w:val="Normal"/>
    <w:semiHidden/>
    <w:rsid w:val="001977ED"/>
    <w:rPr>
      <w:lang w:val="en-US"/>
    </w:rPr>
  </w:style>
  <w:style w:type="character" w:styleId="Hyperlink">
    <w:name w:val="Hyperlink"/>
    <w:rsid w:val="001977ED"/>
    <w:rPr>
      <w:color w:val="0000FF"/>
      <w:u w:val="single"/>
    </w:rPr>
  </w:style>
  <w:style w:type="character" w:styleId="FollowedHyperlink">
    <w:name w:val="FollowedHyperlink"/>
    <w:rsid w:val="001977ED"/>
    <w:rPr>
      <w:color w:val="800080"/>
      <w:u w:val="single"/>
    </w:rPr>
  </w:style>
  <w:style w:type="paragraph" w:styleId="BalloonText">
    <w:name w:val="Balloon Text"/>
    <w:basedOn w:val="Normal"/>
    <w:semiHidden/>
    <w:rsid w:val="001977ED"/>
    <w:rPr>
      <w:rFonts w:ascii="Tahoma" w:hAnsi="Tahoma" w:cs="Tahoma"/>
      <w:sz w:val="16"/>
      <w:szCs w:val="16"/>
    </w:rPr>
  </w:style>
  <w:style w:type="paragraph" w:customStyle="1" w:styleId="Level4a">
    <w:name w:val="Level 4a"/>
    <w:basedOn w:val="Normal"/>
    <w:next w:val="Normal"/>
    <w:rsid w:val="001977ED"/>
    <w:pPr>
      <w:overflowPunct w:val="0"/>
      <w:autoSpaceDE w:val="0"/>
      <w:autoSpaceDN w:val="0"/>
      <w:adjustRightInd w:val="0"/>
      <w:spacing w:line="360" w:lineRule="auto"/>
      <w:ind w:left="1267"/>
      <w:textAlignment w:val="baseline"/>
    </w:pPr>
    <w:rPr>
      <w:lang w:val="en-US"/>
    </w:rPr>
  </w:style>
  <w:style w:type="paragraph" w:customStyle="1" w:styleId="TableLeft">
    <w:name w:val="TableLeft"/>
    <w:basedOn w:val="Normal"/>
    <w:rsid w:val="001977ED"/>
    <w:pPr>
      <w:spacing w:after="120"/>
      <w:ind w:left="360" w:hanging="360"/>
    </w:pPr>
    <w:rPr>
      <w:lang w:val="en-US"/>
    </w:rPr>
  </w:style>
  <w:style w:type="paragraph" w:customStyle="1" w:styleId="TableCenter">
    <w:name w:val="TableCenter"/>
    <w:basedOn w:val="Normal"/>
    <w:rsid w:val="001977ED"/>
    <w:pPr>
      <w:spacing w:after="120"/>
      <w:jc w:val="center"/>
    </w:pPr>
    <w:rPr>
      <w:lang w:val="en-US"/>
    </w:rPr>
  </w:style>
  <w:style w:type="paragraph" w:customStyle="1" w:styleId="TableRight">
    <w:name w:val="TableRight"/>
    <w:basedOn w:val="Normal"/>
    <w:rsid w:val="001977ED"/>
    <w:pPr>
      <w:spacing w:after="120"/>
      <w:jc w:val="right"/>
    </w:pPr>
    <w:rPr>
      <w:lang w:val="en-US"/>
    </w:rPr>
  </w:style>
  <w:style w:type="paragraph" w:styleId="BodyTextIndent2">
    <w:name w:val="Body Text Indent 2"/>
    <w:basedOn w:val="Normal"/>
    <w:rsid w:val="001977ED"/>
    <w:pPr>
      <w:spacing w:after="120" w:line="480" w:lineRule="auto"/>
      <w:ind w:left="283"/>
    </w:pPr>
  </w:style>
  <w:style w:type="character" w:customStyle="1" w:styleId="reflinkplainlinksnourlexpansion">
    <w:name w:val="reflink plainlinks nourlexpansion"/>
    <w:basedOn w:val="DefaultParagraphFont"/>
    <w:rsid w:val="001977ED"/>
  </w:style>
  <w:style w:type="paragraph" w:customStyle="1" w:styleId="Tabletext">
    <w:name w:val="Table text"/>
    <w:basedOn w:val="Normal"/>
    <w:rsid w:val="001977ED"/>
    <w:rPr>
      <w:szCs w:val="22"/>
      <w:lang w:val="fr-FR" w:eastAsia="fr-FR"/>
    </w:rPr>
  </w:style>
  <w:style w:type="paragraph" w:customStyle="1" w:styleId="tiretinv">
    <w:name w:val="tiretinv"/>
    <w:basedOn w:val="Normal"/>
    <w:rsid w:val="001977ED"/>
    <w:pPr>
      <w:spacing w:before="60"/>
      <w:jc w:val="both"/>
    </w:pPr>
    <w:rPr>
      <w:rFonts w:ascii="Arial Narrow" w:hAnsi="Arial Narrow"/>
      <w:lang w:val="en-GB" w:eastAsia="fr-FR"/>
    </w:rPr>
  </w:style>
  <w:style w:type="character" w:customStyle="1" w:styleId="CaptionChar">
    <w:name w:val="Caption Char"/>
    <w:link w:val="Caption"/>
    <w:rsid w:val="001977ED"/>
    <w:rPr>
      <w:rFonts w:ascii="Arial" w:hAnsi="Arial"/>
      <w:i/>
      <w:lang w:val="en-AU" w:eastAsia="en-US" w:bidi="ar-SA"/>
    </w:rPr>
  </w:style>
  <w:style w:type="paragraph" w:customStyle="1" w:styleId="TEXT3">
    <w:name w:val="TEXT3"/>
    <w:basedOn w:val="Normal"/>
    <w:rsid w:val="001977ED"/>
    <w:pPr>
      <w:keepNext/>
      <w:keepLines/>
      <w:ind w:right="57"/>
    </w:pPr>
    <w:rPr>
      <w:b/>
      <w:lang w:val="en-US"/>
    </w:rPr>
  </w:style>
  <w:style w:type="paragraph" w:customStyle="1" w:styleId="Propertystatement">
    <w:name w:val="Propertystatement"/>
    <w:basedOn w:val="Normal"/>
    <w:rsid w:val="001977ED"/>
    <w:pPr>
      <w:tabs>
        <w:tab w:val="left" w:pos="2268"/>
      </w:tabs>
      <w:spacing w:before="1200"/>
      <w:jc w:val="center"/>
    </w:pPr>
    <w:rPr>
      <w:rFonts w:ascii="Arial" w:hAnsi="Arial"/>
      <w:lang w:val="en-US" w:eastAsia="it-IT"/>
    </w:rPr>
  </w:style>
  <w:style w:type="paragraph" w:customStyle="1" w:styleId="WfxFaxNum">
    <w:name w:val="WfxFaxNum"/>
    <w:basedOn w:val="Normal"/>
    <w:rsid w:val="001977ED"/>
    <w:pPr>
      <w:jc w:val="both"/>
    </w:pPr>
    <w:rPr>
      <w:lang w:val="en-GB" w:eastAsia="it-IT"/>
    </w:rPr>
  </w:style>
  <w:style w:type="paragraph" w:styleId="CommentSubject">
    <w:name w:val="annotation subject"/>
    <w:basedOn w:val="CommentText"/>
    <w:next w:val="CommentText"/>
    <w:semiHidden/>
    <w:rsid w:val="001977ED"/>
    <w:rPr>
      <w:rFonts w:ascii="Times New Roman" w:hAnsi="Times New Roman"/>
      <w:lang w:val="en-AU"/>
    </w:rPr>
  </w:style>
  <w:style w:type="paragraph" w:customStyle="1" w:styleId="tabella">
    <w:name w:val="tabella"/>
    <w:basedOn w:val="Normal"/>
    <w:rsid w:val="001977ED"/>
    <w:pPr>
      <w:tabs>
        <w:tab w:val="left" w:pos="5520"/>
      </w:tabs>
    </w:pPr>
    <w:rPr>
      <w:b/>
      <w:szCs w:val="24"/>
      <w:lang w:val="en-GB" w:eastAsia="fr-FR"/>
    </w:rPr>
  </w:style>
  <w:style w:type="paragraph" w:styleId="Revision">
    <w:name w:val="Revision"/>
    <w:hidden/>
    <w:uiPriority w:val="99"/>
    <w:semiHidden/>
    <w:rsid w:val="00DD4503"/>
    <w:rPr>
      <w:lang w:val="en-AU"/>
    </w:rPr>
  </w:style>
  <w:style w:type="paragraph" w:customStyle="1" w:styleId="Default">
    <w:name w:val="Default"/>
    <w:rsid w:val="006C3D5E"/>
    <w:pPr>
      <w:autoSpaceDE w:val="0"/>
      <w:autoSpaceDN w:val="0"/>
      <w:adjustRightInd w:val="0"/>
    </w:pPr>
    <w:rPr>
      <w:color w:val="000000"/>
      <w:sz w:val="24"/>
      <w:szCs w:val="24"/>
    </w:rPr>
  </w:style>
  <w:style w:type="table" w:styleId="TableGrid">
    <w:name w:val="Table Grid"/>
    <w:basedOn w:val="TableNormal"/>
    <w:rsid w:val="00E24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TimesNewRoman10ptJustifiedBefore6pt">
    <w:name w:val="Style Heading 1 + Times New Roman 10 pt Justified Before:  6 pt"/>
    <w:basedOn w:val="Heading1"/>
    <w:rsid w:val="00F17C1A"/>
    <w:pPr>
      <w:jc w:val="both"/>
    </w:pPr>
    <w:rPr>
      <w:bCs/>
      <w:sz w:val="20"/>
    </w:rPr>
  </w:style>
  <w:style w:type="paragraph" w:customStyle="1" w:styleId="StyleHeading4TimesNewRomanBefore6pt">
    <w:name w:val="Style Heading 4 + Times New Roman Before:  6 pt"/>
    <w:basedOn w:val="Heading4"/>
    <w:rsid w:val="00F17C1A"/>
    <w:rPr>
      <w:rFonts w:ascii="Times New Roman" w:hAnsi="Times New Roman"/>
      <w:bCs/>
    </w:rPr>
  </w:style>
</w:styles>
</file>

<file path=word/webSettings.xml><?xml version="1.0" encoding="utf-8"?>
<w:webSettings xmlns:r="http://schemas.openxmlformats.org/officeDocument/2006/relationships" xmlns:w="http://schemas.openxmlformats.org/wordprocessingml/2006/main">
  <w:divs>
    <w:div w:id="1345787069">
      <w:bodyDiv w:val="1"/>
      <w:marLeft w:val="0"/>
      <w:marRight w:val="0"/>
      <w:marTop w:val="0"/>
      <w:marBottom w:val="0"/>
      <w:divBdr>
        <w:top w:val="none" w:sz="0" w:space="0" w:color="auto"/>
        <w:left w:val="none" w:sz="0" w:space="0" w:color="auto"/>
        <w:bottom w:val="none" w:sz="0" w:space="0" w:color="auto"/>
        <w:right w:val="none" w:sz="0" w:space="0" w:color="auto"/>
      </w:divBdr>
      <w:divsChild>
        <w:div w:id="948776488">
          <w:marLeft w:val="0"/>
          <w:marRight w:val="0"/>
          <w:marTop w:val="0"/>
          <w:marBottom w:val="0"/>
          <w:divBdr>
            <w:top w:val="none" w:sz="0" w:space="0" w:color="auto"/>
            <w:left w:val="none" w:sz="0" w:space="0" w:color="auto"/>
            <w:bottom w:val="none" w:sz="0" w:space="0" w:color="auto"/>
            <w:right w:val="none" w:sz="0" w:space="0" w:color="auto"/>
          </w:divBdr>
          <w:divsChild>
            <w:div w:id="12444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5768">
      <w:bodyDiv w:val="1"/>
      <w:marLeft w:val="0"/>
      <w:marRight w:val="0"/>
      <w:marTop w:val="0"/>
      <w:marBottom w:val="0"/>
      <w:divBdr>
        <w:top w:val="none" w:sz="0" w:space="0" w:color="auto"/>
        <w:left w:val="none" w:sz="0" w:space="0" w:color="auto"/>
        <w:bottom w:val="none" w:sz="0" w:space="0" w:color="auto"/>
        <w:right w:val="none" w:sz="0" w:space="0" w:color="auto"/>
      </w:divBdr>
      <w:divsChild>
        <w:div w:id="957103321">
          <w:marLeft w:val="0"/>
          <w:marRight w:val="0"/>
          <w:marTop w:val="0"/>
          <w:marBottom w:val="0"/>
          <w:divBdr>
            <w:top w:val="none" w:sz="0" w:space="0" w:color="auto"/>
            <w:left w:val="none" w:sz="0" w:space="0" w:color="auto"/>
            <w:bottom w:val="none" w:sz="0" w:space="0" w:color="auto"/>
            <w:right w:val="none" w:sz="0" w:space="0" w:color="auto"/>
          </w:divBdr>
          <w:divsChild>
            <w:div w:id="2705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3814-ABCC-4F28-AC00-DED03501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6449</Words>
  <Characters>36763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AusPAR Attachment 1: Product information for Sativex (Nabiximols)</vt:lpstr>
    </vt:vector>
  </TitlesOfParts>
  <Company>Nitecs P/L</Company>
  <LinksUpToDate>false</LinksUpToDate>
  <CharactersWithSpaces>43126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Sativex (Nabiximols)</dc:title>
  <dc:subject>prescription medicine regulation</dc:subject>
  <dc:creator>Novartis Pharmaceuticals Australia Pty Limited</dc:creator>
  <cp:keywords>product information, pi, prescription, medicine, regulation, sativex, nabiximols</cp:keywords>
  <cp:lastModifiedBy>Sheppard, Fran</cp:lastModifiedBy>
  <cp:revision>5</cp:revision>
  <cp:lastPrinted>2012-03-04T10:04:00Z</cp:lastPrinted>
  <dcterms:created xsi:type="dcterms:W3CDTF">2013-09-10T07:26:00Z</dcterms:created>
  <dcterms:modified xsi:type="dcterms:W3CDTF">2013-11-19T09:34:00Z</dcterms:modified>
</cp:coreProperties>
</file>