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F64" w:rsidRPr="000F1C42" w:rsidRDefault="00395F64">
      <w:pPr>
        <w:pStyle w:val="Heading1"/>
        <w:rPr>
          <w:sz w:val="24"/>
        </w:rPr>
      </w:pPr>
      <w:r w:rsidRPr="000F1C42">
        <w:t>MYFORTIC</w:t>
      </w:r>
      <w:r w:rsidRPr="000F1C42">
        <w:rPr>
          <w:vertAlign w:val="superscript"/>
        </w:rPr>
        <w:t>®</w:t>
      </w:r>
      <w:r w:rsidRPr="000F1C42">
        <w:rPr>
          <w:sz w:val="24"/>
        </w:rPr>
        <w:t xml:space="preserve"> </w:t>
      </w:r>
    </w:p>
    <w:p w:rsidR="00395F64" w:rsidRPr="000F1C42" w:rsidRDefault="00395F64" w:rsidP="00554B81">
      <w:pPr>
        <w:pStyle w:val="Heading1"/>
        <w:spacing w:after="100" w:afterAutospacing="1"/>
      </w:pPr>
      <w:r w:rsidRPr="000F1C42">
        <w:rPr>
          <w:sz w:val="28"/>
        </w:rPr>
        <w:t>(</w:t>
      </w:r>
      <w:proofErr w:type="spellStart"/>
      <w:proofErr w:type="gramStart"/>
      <w:r w:rsidRPr="000F1C42">
        <w:rPr>
          <w:sz w:val="28"/>
        </w:rPr>
        <w:t>mycophenolic</w:t>
      </w:r>
      <w:proofErr w:type="spellEnd"/>
      <w:proofErr w:type="gramEnd"/>
      <w:r w:rsidRPr="000F1C42">
        <w:rPr>
          <w:sz w:val="28"/>
        </w:rPr>
        <w:t xml:space="preserve"> acid</w:t>
      </w:r>
      <w:r w:rsidR="00FC400B">
        <w:rPr>
          <w:sz w:val="28"/>
        </w:rPr>
        <w:t xml:space="preserve"> as sodium salt</w:t>
      </w:r>
      <w:r w:rsidRPr="000F1C42">
        <w:rPr>
          <w:sz w:val="28"/>
        </w:rPr>
        <w:t>)</w:t>
      </w:r>
    </w:p>
    <w:p w:rsidR="00395F64" w:rsidRPr="00554B81" w:rsidRDefault="00395F64" w:rsidP="00554B81">
      <w:pPr>
        <w:pStyle w:val="Heading2"/>
      </w:pPr>
      <w:r w:rsidRPr="00554B81">
        <w:t xml:space="preserve">NAME OF THE </w:t>
      </w:r>
      <w:r w:rsidR="00685925" w:rsidRPr="00554B81">
        <w:t>MEDICINE</w:t>
      </w:r>
    </w:p>
    <w:p w:rsidR="00395F64" w:rsidRPr="000F1C42" w:rsidRDefault="00395F64">
      <w:pPr>
        <w:tabs>
          <w:tab w:val="left" w:pos="-720"/>
        </w:tabs>
        <w:spacing w:line="320" w:lineRule="atLeast"/>
        <w:outlineLvl w:val="0"/>
        <w:rPr>
          <w:rFonts w:ascii="Times New Roman" w:hAnsi="Times New Roman"/>
        </w:rPr>
      </w:pPr>
      <w:r w:rsidRPr="000F1C42">
        <w:rPr>
          <w:rFonts w:ascii="Times New Roman" w:hAnsi="Times New Roman"/>
        </w:rPr>
        <w:t xml:space="preserve">Active ingredient: </w:t>
      </w:r>
      <w:proofErr w:type="spellStart"/>
      <w:r w:rsidRPr="000F1C42">
        <w:rPr>
          <w:rFonts w:ascii="Times New Roman" w:hAnsi="Times New Roman"/>
        </w:rPr>
        <w:t>Mycophenolic</w:t>
      </w:r>
      <w:proofErr w:type="spellEnd"/>
      <w:r w:rsidRPr="000F1C42">
        <w:rPr>
          <w:rFonts w:ascii="Times New Roman" w:hAnsi="Times New Roman"/>
        </w:rPr>
        <w:t xml:space="preserve"> acid (as sodium salt)</w:t>
      </w:r>
    </w:p>
    <w:p w:rsidR="004B1796" w:rsidRPr="000F1C42" w:rsidRDefault="004B1796" w:rsidP="004B1796">
      <w:pPr>
        <w:tabs>
          <w:tab w:val="left" w:pos="-720"/>
        </w:tabs>
        <w:spacing w:line="320" w:lineRule="atLeast"/>
        <w:outlineLvl w:val="0"/>
        <w:rPr>
          <w:rFonts w:ascii="Times New Roman" w:hAnsi="Times New Roman"/>
        </w:rPr>
      </w:pPr>
      <w:r w:rsidRPr="000F1C42">
        <w:rPr>
          <w:rFonts w:ascii="Times New Roman" w:hAnsi="Times New Roman"/>
        </w:rPr>
        <w:t>Chemical Name: (E)-6-(4- Hydroxy-6-methoxy-7-methyl-3-oxo-1</w:t>
      </w:r>
      <w:proofErr w:type="gramStart"/>
      <w:r w:rsidRPr="000F1C42">
        <w:rPr>
          <w:rFonts w:ascii="Times New Roman" w:hAnsi="Times New Roman"/>
        </w:rPr>
        <w:t>,3</w:t>
      </w:r>
      <w:proofErr w:type="gramEnd"/>
      <w:r w:rsidRPr="000F1C42">
        <w:rPr>
          <w:rFonts w:ascii="Times New Roman" w:hAnsi="Times New Roman"/>
        </w:rPr>
        <w:t>-dihydroisobenzofuran-5-yl)-4-methyl-hex-4-enoic acid sodium salt</w:t>
      </w:r>
    </w:p>
    <w:p w:rsidR="004B1796" w:rsidRPr="000F1C42" w:rsidRDefault="004B1796" w:rsidP="004B1796">
      <w:pPr>
        <w:tabs>
          <w:tab w:val="left" w:pos="-720"/>
          <w:tab w:val="left" w:pos="7938"/>
        </w:tabs>
        <w:spacing w:line="320" w:lineRule="atLeast"/>
        <w:rPr>
          <w:rFonts w:ascii="Times New Roman" w:hAnsi="Times New Roman"/>
        </w:rPr>
      </w:pPr>
      <w:r w:rsidRPr="000F1C42">
        <w:rPr>
          <w:rFonts w:ascii="Times New Roman" w:hAnsi="Times New Roman"/>
        </w:rPr>
        <w:t>Empirical formula: C</w:t>
      </w:r>
      <w:r w:rsidRPr="000F1C42">
        <w:rPr>
          <w:rFonts w:ascii="Times New Roman" w:hAnsi="Times New Roman"/>
          <w:vertAlign w:val="subscript"/>
        </w:rPr>
        <w:t>17</w:t>
      </w:r>
      <w:r w:rsidRPr="000F1C42">
        <w:rPr>
          <w:rFonts w:ascii="Times New Roman" w:hAnsi="Times New Roman"/>
        </w:rPr>
        <w:t>H</w:t>
      </w:r>
      <w:r w:rsidRPr="000F1C42">
        <w:rPr>
          <w:rFonts w:ascii="Times New Roman" w:hAnsi="Times New Roman"/>
          <w:vertAlign w:val="subscript"/>
        </w:rPr>
        <w:t>19</w:t>
      </w:r>
      <w:r w:rsidRPr="000F1C42">
        <w:rPr>
          <w:rFonts w:ascii="Times New Roman" w:hAnsi="Times New Roman"/>
        </w:rPr>
        <w:t>O</w:t>
      </w:r>
      <w:r w:rsidRPr="000F1C42">
        <w:rPr>
          <w:rFonts w:ascii="Times New Roman" w:hAnsi="Times New Roman"/>
          <w:vertAlign w:val="subscript"/>
        </w:rPr>
        <w:t>6</w:t>
      </w:r>
      <w:r w:rsidRPr="000F1C42">
        <w:rPr>
          <w:rFonts w:ascii="Times New Roman" w:hAnsi="Times New Roman"/>
        </w:rPr>
        <w:t>Na</w:t>
      </w:r>
    </w:p>
    <w:p w:rsidR="004B1796" w:rsidRPr="000F1C42" w:rsidRDefault="004B1796" w:rsidP="004B1796">
      <w:pPr>
        <w:pStyle w:val="BodyText2"/>
        <w:rPr>
          <w:b w:val="0"/>
        </w:rPr>
      </w:pPr>
      <w:r w:rsidRPr="000F1C42">
        <w:rPr>
          <w:b w:val="0"/>
        </w:rPr>
        <w:t xml:space="preserve">Molecular weight: 342.32 </w:t>
      </w:r>
    </w:p>
    <w:p w:rsidR="009F5362" w:rsidRPr="000F1C42" w:rsidRDefault="009F5362" w:rsidP="00554B81">
      <w:pPr>
        <w:pStyle w:val="BodyText2"/>
        <w:spacing w:after="100" w:afterAutospacing="1"/>
        <w:rPr>
          <w:b w:val="0"/>
        </w:rPr>
      </w:pPr>
      <w:r w:rsidRPr="000F1C42">
        <w:rPr>
          <w:b w:val="0"/>
        </w:rPr>
        <w:t>Structural formula:</w:t>
      </w:r>
    </w:p>
    <w:p w:rsidR="009F5362" w:rsidRPr="000F1C42" w:rsidRDefault="00554B81" w:rsidP="009F5362">
      <w:pPr>
        <w:pStyle w:val="BodyText2"/>
        <w:jc w:val="center"/>
        <w:rPr>
          <w:b w:val="0"/>
        </w:rPr>
      </w:pPr>
      <w:r w:rsidRPr="00B72C86">
        <w:rPr>
          <w:rFonts w:ascii="Tms Rmn" w:hAnsi="Tms Rmn"/>
          <w:snapToGrid w:val="0"/>
          <w:lang w:val="en-GB"/>
        </w:rPr>
        <w:pict>
          <v:shape id="_x0000_i1025" type="#_x0000_t75" alt="Structural formula as the sodium salt" style="width:226.6pt;height:106.6pt" fillcolor="window">
            <v:imagedata r:id="rId11" o:title=""/>
          </v:shape>
        </w:pict>
      </w:r>
      <w:proofErr w:type="gramStart"/>
      <w:r w:rsidR="009F5362" w:rsidRPr="000F1C42">
        <w:rPr>
          <w:b w:val="0"/>
          <w:snapToGrid w:val="0"/>
          <w:lang w:val="en-GB"/>
        </w:rPr>
        <w:t>as</w:t>
      </w:r>
      <w:proofErr w:type="gramEnd"/>
      <w:r w:rsidR="009F5362" w:rsidRPr="000F1C42">
        <w:rPr>
          <w:b w:val="0"/>
          <w:snapToGrid w:val="0"/>
          <w:lang w:val="en-GB"/>
        </w:rPr>
        <w:t xml:space="preserve"> the sodium salt</w:t>
      </w:r>
    </w:p>
    <w:p w:rsidR="00395F64" w:rsidRPr="000F1C42" w:rsidRDefault="004B1796" w:rsidP="00554B81">
      <w:pPr>
        <w:tabs>
          <w:tab w:val="left" w:pos="-720"/>
        </w:tabs>
        <w:spacing w:before="100" w:beforeAutospacing="1" w:line="320" w:lineRule="atLeast"/>
        <w:rPr>
          <w:rFonts w:ascii="Times New Roman" w:hAnsi="Times New Roman"/>
        </w:rPr>
      </w:pPr>
      <w:r w:rsidRPr="000F1C42">
        <w:rPr>
          <w:rFonts w:ascii="Times New Roman" w:hAnsi="Times New Roman"/>
        </w:rPr>
        <w:t xml:space="preserve">CAS </w:t>
      </w:r>
      <w:r w:rsidR="00BE0B26">
        <w:rPr>
          <w:rFonts w:ascii="Times New Roman" w:hAnsi="Times New Roman"/>
        </w:rPr>
        <w:t>Registry N</w:t>
      </w:r>
      <w:r w:rsidRPr="000F1C42">
        <w:rPr>
          <w:rFonts w:ascii="Times New Roman" w:hAnsi="Times New Roman"/>
        </w:rPr>
        <w:t>umber:  37415-62-6</w:t>
      </w:r>
    </w:p>
    <w:p w:rsidR="00395F64" w:rsidRPr="000F1C42" w:rsidRDefault="00395F64" w:rsidP="00554B81">
      <w:pPr>
        <w:pStyle w:val="Heading2"/>
        <w:rPr>
          <w:i/>
          <w:strike/>
        </w:rPr>
      </w:pPr>
      <w:r w:rsidRPr="000F1C42">
        <w:t>DESCRIPTION</w:t>
      </w:r>
    </w:p>
    <w:p w:rsidR="00395F64" w:rsidRPr="000F1C42" w:rsidRDefault="00395F64" w:rsidP="00554B81">
      <w:pPr>
        <w:tabs>
          <w:tab w:val="left" w:pos="-720"/>
        </w:tabs>
        <w:spacing w:before="100" w:beforeAutospacing="1" w:after="100" w:afterAutospacing="1" w:line="320" w:lineRule="atLeast"/>
        <w:outlineLvl w:val="0"/>
        <w:rPr>
          <w:rFonts w:ascii="Times New Roman" w:hAnsi="Times New Roman"/>
        </w:rPr>
      </w:pPr>
      <w:proofErr w:type="spellStart"/>
      <w:r w:rsidRPr="000F1C42">
        <w:rPr>
          <w:rFonts w:ascii="Times New Roman" w:hAnsi="Times New Roman"/>
        </w:rPr>
        <w:t>Mycophenolate</w:t>
      </w:r>
      <w:proofErr w:type="spellEnd"/>
      <w:r w:rsidRPr="000F1C42">
        <w:rPr>
          <w:rFonts w:ascii="Times New Roman" w:hAnsi="Times New Roman"/>
        </w:rPr>
        <w:t xml:space="preserve"> sodium is the sodium salt of the active moiety</w:t>
      </w:r>
      <w:r w:rsidR="00BA2081" w:rsidRPr="000F1C42">
        <w:rPr>
          <w:rFonts w:ascii="Times New Roman" w:hAnsi="Times New Roman"/>
        </w:rPr>
        <w:t>,</w:t>
      </w:r>
      <w:r w:rsidRPr="000F1C42">
        <w:rPr>
          <w:rFonts w:ascii="Times New Roman" w:hAnsi="Times New Roman"/>
        </w:rPr>
        <w:t xml:space="preserve"> </w:t>
      </w:r>
      <w:proofErr w:type="spellStart"/>
      <w:r w:rsidRPr="000F1C42">
        <w:rPr>
          <w:rFonts w:ascii="Times New Roman" w:hAnsi="Times New Roman"/>
        </w:rPr>
        <w:t>mycophenolic</w:t>
      </w:r>
      <w:proofErr w:type="spellEnd"/>
      <w:r w:rsidRPr="000F1C42">
        <w:rPr>
          <w:rFonts w:ascii="Times New Roman" w:hAnsi="Times New Roman"/>
        </w:rPr>
        <w:t xml:space="preserve"> acid</w:t>
      </w:r>
      <w:r w:rsidR="00BA2081" w:rsidRPr="000F1C42">
        <w:rPr>
          <w:rFonts w:ascii="Times New Roman" w:hAnsi="Times New Roman"/>
        </w:rPr>
        <w:t>,</w:t>
      </w:r>
      <w:r w:rsidRPr="000F1C42">
        <w:rPr>
          <w:rFonts w:ascii="Times New Roman" w:hAnsi="Times New Roman"/>
        </w:rPr>
        <w:t xml:space="preserve"> and is a white to off-white, fine crystalline powder.  It is freely soluble in aqueous media at physiological pH</w:t>
      </w:r>
      <w:r w:rsidR="00BA2081" w:rsidRPr="000F1C42">
        <w:rPr>
          <w:rFonts w:ascii="Times New Roman" w:hAnsi="Times New Roman"/>
        </w:rPr>
        <w:t>,</w:t>
      </w:r>
      <w:r w:rsidRPr="000F1C42">
        <w:rPr>
          <w:rFonts w:ascii="Times New Roman" w:hAnsi="Times New Roman"/>
        </w:rPr>
        <w:t xml:space="preserve"> as in the upper intestine, but practically insoluble in 0.1M </w:t>
      </w:r>
      <w:proofErr w:type="spellStart"/>
      <w:r w:rsidRPr="000F1C42">
        <w:rPr>
          <w:rFonts w:ascii="Times New Roman" w:hAnsi="Times New Roman"/>
        </w:rPr>
        <w:t>HCl</w:t>
      </w:r>
      <w:proofErr w:type="spellEnd"/>
      <w:r w:rsidRPr="000F1C42">
        <w:rPr>
          <w:rFonts w:ascii="Times New Roman" w:hAnsi="Times New Roman"/>
        </w:rPr>
        <w:t>.</w:t>
      </w:r>
    </w:p>
    <w:p w:rsidR="00395F64" w:rsidRPr="000F1C42" w:rsidRDefault="00395F64" w:rsidP="00554B81">
      <w:pPr>
        <w:tabs>
          <w:tab w:val="left" w:pos="-720"/>
        </w:tabs>
        <w:spacing w:before="100" w:beforeAutospacing="1" w:after="100" w:afterAutospacing="1" w:line="320" w:lineRule="atLeast"/>
        <w:rPr>
          <w:rFonts w:ascii="Times New Roman" w:hAnsi="Times New Roman"/>
        </w:rPr>
      </w:pPr>
      <w:r w:rsidRPr="000F1C42">
        <w:rPr>
          <w:rFonts w:ascii="Times New Roman" w:hAnsi="Times New Roman"/>
        </w:rPr>
        <w:t xml:space="preserve">Each enteric-coated tablet contains 180 mg or 360 mg of </w:t>
      </w:r>
      <w:proofErr w:type="spellStart"/>
      <w:r w:rsidRPr="000F1C42">
        <w:rPr>
          <w:rFonts w:ascii="Times New Roman" w:hAnsi="Times New Roman"/>
        </w:rPr>
        <w:t>mycophenolic</w:t>
      </w:r>
      <w:proofErr w:type="spellEnd"/>
      <w:r w:rsidRPr="000F1C42">
        <w:rPr>
          <w:rFonts w:ascii="Times New Roman" w:hAnsi="Times New Roman"/>
        </w:rPr>
        <w:t xml:space="preserve"> acid (as the sodium salt), </w:t>
      </w:r>
      <w:r w:rsidR="00BA2081" w:rsidRPr="000F1C42">
        <w:rPr>
          <w:rFonts w:ascii="Times New Roman" w:hAnsi="Times New Roman"/>
        </w:rPr>
        <w:t>e</w:t>
      </w:r>
      <w:r w:rsidRPr="000F1C42">
        <w:rPr>
          <w:rFonts w:ascii="Times New Roman" w:hAnsi="Times New Roman"/>
        </w:rPr>
        <w:t xml:space="preserve">quivalent to 192.4 </w:t>
      </w:r>
      <w:r w:rsidR="00554B81">
        <w:rPr>
          <w:rFonts w:ascii="Times New Roman" w:hAnsi="Times New Roman"/>
        </w:rPr>
        <w:t xml:space="preserve">and 384.4 </w:t>
      </w:r>
      <w:proofErr w:type="spellStart"/>
      <w:r w:rsidR="00554B81">
        <w:rPr>
          <w:rFonts w:ascii="Times New Roman" w:hAnsi="Times New Roman"/>
        </w:rPr>
        <w:t>mycophenolate</w:t>
      </w:r>
      <w:proofErr w:type="spellEnd"/>
      <w:r w:rsidR="00554B81">
        <w:rPr>
          <w:rFonts w:ascii="Times New Roman" w:hAnsi="Times New Roman"/>
        </w:rPr>
        <w:t xml:space="preserve"> sodium.</w:t>
      </w:r>
    </w:p>
    <w:p w:rsidR="00395F64" w:rsidRPr="000F1C42" w:rsidRDefault="00395F64" w:rsidP="00554B81">
      <w:pPr>
        <w:pStyle w:val="Footer"/>
        <w:tabs>
          <w:tab w:val="clear" w:pos="4320"/>
          <w:tab w:val="clear" w:pos="8640"/>
          <w:tab w:val="left" w:pos="-720"/>
        </w:tabs>
        <w:spacing w:before="100" w:beforeAutospacing="1" w:after="100" w:afterAutospacing="1" w:line="320" w:lineRule="atLeast"/>
        <w:rPr>
          <w:rFonts w:ascii="Times New Roman" w:hAnsi="Times New Roman"/>
        </w:rPr>
      </w:pPr>
      <w:proofErr w:type="spellStart"/>
      <w:r w:rsidRPr="000F1C42">
        <w:rPr>
          <w:rFonts w:ascii="Times New Roman" w:hAnsi="Times New Roman"/>
        </w:rPr>
        <w:t>Excipients</w:t>
      </w:r>
      <w:proofErr w:type="spellEnd"/>
      <w:r w:rsidRPr="000F1C42">
        <w:rPr>
          <w:rFonts w:ascii="Times New Roman" w:hAnsi="Times New Roman"/>
        </w:rPr>
        <w:t xml:space="preserve">: Starch-maize, </w:t>
      </w:r>
      <w:proofErr w:type="spellStart"/>
      <w:r w:rsidRPr="000F1C42">
        <w:rPr>
          <w:rFonts w:ascii="Times New Roman" w:hAnsi="Times New Roman"/>
        </w:rPr>
        <w:t>povidone</w:t>
      </w:r>
      <w:proofErr w:type="spellEnd"/>
      <w:r w:rsidRPr="000F1C42">
        <w:rPr>
          <w:rFonts w:ascii="Times New Roman" w:hAnsi="Times New Roman"/>
        </w:rPr>
        <w:t xml:space="preserve">, </w:t>
      </w:r>
      <w:proofErr w:type="spellStart"/>
      <w:r w:rsidRPr="000F1C42">
        <w:rPr>
          <w:rFonts w:ascii="Times New Roman" w:hAnsi="Times New Roman"/>
        </w:rPr>
        <w:t>crospovidone</w:t>
      </w:r>
      <w:proofErr w:type="spellEnd"/>
      <w:r w:rsidRPr="000F1C42">
        <w:rPr>
          <w:rFonts w:ascii="Times New Roman" w:hAnsi="Times New Roman"/>
        </w:rPr>
        <w:t xml:space="preserve">, lactose, silica-colloidal anhydrous, magnesium </w:t>
      </w:r>
      <w:proofErr w:type="spellStart"/>
      <w:r w:rsidRPr="000F1C42">
        <w:rPr>
          <w:rFonts w:ascii="Times New Roman" w:hAnsi="Times New Roman"/>
        </w:rPr>
        <w:t>stearate</w:t>
      </w:r>
      <w:proofErr w:type="spellEnd"/>
      <w:r w:rsidRPr="000F1C42">
        <w:rPr>
          <w:rFonts w:ascii="Times New Roman" w:hAnsi="Times New Roman"/>
        </w:rPr>
        <w:t xml:space="preserve">.  The enteric coating consists of: </w:t>
      </w:r>
      <w:proofErr w:type="spellStart"/>
      <w:r w:rsidRPr="000F1C42">
        <w:rPr>
          <w:rFonts w:ascii="Times New Roman" w:hAnsi="Times New Roman"/>
        </w:rPr>
        <w:t>hypromellose</w:t>
      </w:r>
      <w:proofErr w:type="spellEnd"/>
      <w:r w:rsidRPr="000F1C42">
        <w:rPr>
          <w:rFonts w:ascii="Times New Roman" w:hAnsi="Times New Roman"/>
        </w:rPr>
        <w:t xml:space="preserve"> phthalate, titanium dioxide, iron oxide yellow CI77492, indigo carmine CI73015 (180 mg tablet),</w:t>
      </w:r>
      <w:r w:rsidRPr="000F1C42">
        <w:rPr>
          <w:rFonts w:ascii="Times New Roman" w:hAnsi="Times New Roman"/>
          <w:i/>
        </w:rPr>
        <w:t xml:space="preserve"> </w:t>
      </w:r>
      <w:proofErr w:type="gramStart"/>
      <w:r w:rsidRPr="000F1C42">
        <w:rPr>
          <w:rFonts w:ascii="Times New Roman" w:hAnsi="Times New Roman"/>
        </w:rPr>
        <w:t>iron</w:t>
      </w:r>
      <w:proofErr w:type="gramEnd"/>
      <w:r w:rsidRPr="000F1C42">
        <w:rPr>
          <w:rFonts w:ascii="Times New Roman" w:hAnsi="Times New Roman"/>
        </w:rPr>
        <w:t xml:space="preserve"> oxide red CI77491 (360 mg tablet).</w:t>
      </w:r>
    </w:p>
    <w:p w:rsidR="00395F64" w:rsidRPr="000F1C42" w:rsidRDefault="00395F64" w:rsidP="00554B81">
      <w:pPr>
        <w:pStyle w:val="Heading2"/>
      </w:pPr>
      <w:r w:rsidRPr="000F1C42">
        <w:t>PHARMACOLOGY</w:t>
      </w:r>
    </w:p>
    <w:p w:rsidR="00395F64" w:rsidRPr="00554B81" w:rsidRDefault="00395F64" w:rsidP="00554B81">
      <w:pPr>
        <w:pStyle w:val="Heading3"/>
      </w:pPr>
      <w:proofErr w:type="spellStart"/>
      <w:r w:rsidRPr="00554B81">
        <w:t>Pharmacodynamics</w:t>
      </w:r>
      <w:proofErr w:type="spellEnd"/>
    </w:p>
    <w:p w:rsidR="00395F64" w:rsidRPr="000F1C42" w:rsidRDefault="00395F64" w:rsidP="00DB06C1">
      <w:pPr>
        <w:pStyle w:val="TextChar"/>
        <w:spacing w:before="0" w:after="100" w:afterAutospacing="1" w:line="320" w:lineRule="atLeast"/>
        <w:jc w:val="left"/>
      </w:pPr>
      <w:proofErr w:type="spellStart"/>
      <w:r w:rsidRPr="000F1C42">
        <w:t>Mycophenolic</w:t>
      </w:r>
      <w:proofErr w:type="spellEnd"/>
      <w:r w:rsidRPr="000F1C42">
        <w:t xml:space="preserve"> acid (MPA) is a non-nucleoside, non-competitive, reversible inhibitor of </w:t>
      </w:r>
      <w:proofErr w:type="spellStart"/>
      <w:r w:rsidRPr="000F1C42">
        <w:t>inosine</w:t>
      </w:r>
      <w:proofErr w:type="spellEnd"/>
      <w:r w:rsidRPr="000F1C42">
        <w:t xml:space="preserve"> </w:t>
      </w:r>
      <w:proofErr w:type="spellStart"/>
      <w:r w:rsidRPr="000F1C42">
        <w:t>monophosphate</w:t>
      </w:r>
      <w:proofErr w:type="spellEnd"/>
      <w:r w:rsidRPr="000F1C42">
        <w:t xml:space="preserve"> </w:t>
      </w:r>
      <w:proofErr w:type="spellStart"/>
      <w:r w:rsidRPr="000F1C42">
        <w:t>dehydrogenase</w:t>
      </w:r>
      <w:proofErr w:type="spellEnd"/>
      <w:r w:rsidRPr="000F1C42">
        <w:t xml:space="preserve"> (IMPDH).  IMPDH is the rate limiting enzyme in the </w:t>
      </w:r>
      <w:r w:rsidRPr="000F1C42">
        <w:rPr>
          <w:i/>
        </w:rPr>
        <w:t>de novo</w:t>
      </w:r>
      <w:r w:rsidRPr="000F1C42">
        <w:t xml:space="preserve"> synthesis pathway of </w:t>
      </w:r>
      <w:proofErr w:type="spellStart"/>
      <w:r w:rsidRPr="000F1C42">
        <w:t>guanosine</w:t>
      </w:r>
      <w:proofErr w:type="spellEnd"/>
      <w:r w:rsidRPr="000F1C42">
        <w:t xml:space="preserve"> </w:t>
      </w:r>
      <w:proofErr w:type="spellStart"/>
      <w:r w:rsidRPr="000F1C42">
        <w:t>triphosphate</w:t>
      </w:r>
      <w:proofErr w:type="spellEnd"/>
      <w:r w:rsidRPr="000F1C42">
        <w:t xml:space="preserve">.  Both T- and B-lymphocytes are highly dependent on this pathway for the generation of </w:t>
      </w:r>
      <w:proofErr w:type="spellStart"/>
      <w:r w:rsidRPr="000F1C42">
        <w:t>guanosine</w:t>
      </w:r>
      <w:proofErr w:type="spellEnd"/>
      <w:r w:rsidRPr="000F1C42">
        <w:t xml:space="preserve"> nucleotides whereas non-lymphoid cells can </w:t>
      </w:r>
      <w:proofErr w:type="spellStart"/>
      <w:r w:rsidRPr="000F1C42">
        <w:t>utilise</w:t>
      </w:r>
      <w:proofErr w:type="spellEnd"/>
      <w:r w:rsidRPr="000F1C42">
        <w:t xml:space="preserve"> a salvage pathway for the generation of </w:t>
      </w:r>
      <w:proofErr w:type="spellStart"/>
      <w:r w:rsidRPr="000F1C42">
        <w:t>guanosine</w:t>
      </w:r>
      <w:proofErr w:type="spellEnd"/>
      <w:r w:rsidRPr="000F1C42">
        <w:t xml:space="preserve"> </w:t>
      </w:r>
      <w:proofErr w:type="spellStart"/>
      <w:r w:rsidRPr="000F1C42">
        <w:t>triphosphate</w:t>
      </w:r>
      <w:proofErr w:type="spellEnd"/>
      <w:r w:rsidRPr="000F1C42">
        <w:t>.  MPA selectively decreases the lymphocyte nucleotide pool</w:t>
      </w:r>
      <w:r w:rsidR="00BA2081" w:rsidRPr="000F1C42">
        <w:t>,</w:t>
      </w:r>
      <w:r w:rsidRPr="000F1C42">
        <w:t xml:space="preserve"> which effectively impairs the capacity </w:t>
      </w:r>
      <w:r w:rsidRPr="000F1C42">
        <w:lastRenderedPageBreak/>
        <w:t xml:space="preserve">of T- and B-lymphocytes to proliferate.  MPA inhibits </w:t>
      </w:r>
      <w:proofErr w:type="spellStart"/>
      <w:r w:rsidRPr="000F1C42">
        <w:t>glycosylation</w:t>
      </w:r>
      <w:proofErr w:type="spellEnd"/>
      <w:r w:rsidRPr="000F1C42">
        <w:t xml:space="preserve"> of adhesion molecules on lymphocytes and </w:t>
      </w:r>
      <w:proofErr w:type="spellStart"/>
      <w:r w:rsidRPr="000F1C42">
        <w:t>monocytes</w:t>
      </w:r>
      <w:proofErr w:type="spellEnd"/>
      <w:r w:rsidRPr="000F1C42">
        <w:t xml:space="preserve"> (a process requiring </w:t>
      </w:r>
      <w:proofErr w:type="spellStart"/>
      <w:r w:rsidRPr="000F1C42">
        <w:t>guanosine</w:t>
      </w:r>
      <w:proofErr w:type="spellEnd"/>
      <w:r w:rsidRPr="000F1C42">
        <w:t xml:space="preserve"> </w:t>
      </w:r>
      <w:proofErr w:type="spellStart"/>
      <w:r w:rsidRPr="000F1C42">
        <w:t>triphosphate</w:t>
      </w:r>
      <w:proofErr w:type="spellEnd"/>
      <w:r w:rsidRPr="000F1C42">
        <w:t xml:space="preserve">).  This action could potentially decrease the recruitment of lymphocytes and </w:t>
      </w:r>
      <w:proofErr w:type="spellStart"/>
      <w:r w:rsidRPr="000F1C42">
        <w:t>monocytes</w:t>
      </w:r>
      <w:proofErr w:type="spellEnd"/>
      <w:r w:rsidRPr="000F1C42">
        <w:t xml:space="preserve"> into sites of chronic inflammation, an important process in ongoing rejection.</w:t>
      </w:r>
    </w:p>
    <w:p w:rsidR="00395F64" w:rsidRPr="000F1C42" w:rsidRDefault="00395F64" w:rsidP="00DB06C1">
      <w:pPr>
        <w:pStyle w:val="Heading2"/>
      </w:pPr>
      <w:r w:rsidRPr="000F1C42">
        <w:t>P</w:t>
      </w:r>
      <w:r w:rsidR="00DB06C1">
        <w:t>HARMACOKINETICS</w:t>
      </w:r>
    </w:p>
    <w:p w:rsidR="00395F64" w:rsidRPr="000F1C42" w:rsidRDefault="00395F64" w:rsidP="00DB06C1">
      <w:pPr>
        <w:pStyle w:val="Heading3"/>
      </w:pPr>
      <w:r w:rsidRPr="000F1C42">
        <w:t>Absorption:</w:t>
      </w:r>
    </w:p>
    <w:p w:rsidR="00395F64" w:rsidRPr="000F1C42" w:rsidRDefault="00395F64" w:rsidP="00F30F68">
      <w:pPr>
        <w:pStyle w:val="TextChar"/>
        <w:spacing w:before="0" w:after="100" w:afterAutospacing="1" w:line="320" w:lineRule="atLeast"/>
        <w:jc w:val="left"/>
      </w:pPr>
      <w:r w:rsidRPr="000F1C42">
        <w:t xml:space="preserve">Following oral administration, </w:t>
      </w:r>
      <w:proofErr w:type="spellStart"/>
      <w:r w:rsidRPr="000F1C42">
        <w:t>mycophenolate</w:t>
      </w:r>
      <w:proofErr w:type="spellEnd"/>
      <w:r w:rsidRPr="000F1C42">
        <w:t xml:space="preserve"> sodium is extensively absorbed.   The median time to maximum MPA plasma concentration (</w:t>
      </w:r>
      <w:proofErr w:type="spellStart"/>
      <w:r w:rsidRPr="000F1C42">
        <w:t>t</w:t>
      </w:r>
      <w:r w:rsidRPr="000F1C42">
        <w:rPr>
          <w:vertAlign w:val="subscript"/>
        </w:rPr>
        <w:t>max</w:t>
      </w:r>
      <w:proofErr w:type="spellEnd"/>
      <w:r w:rsidRPr="000F1C42">
        <w:t xml:space="preserve">) is 2 hours (Table 1) but there is significant variability, especially with food, with values up to 16 hours fasting and 24 hours fed.  </w:t>
      </w:r>
      <w:r w:rsidRPr="000F1C42">
        <w:rPr>
          <w:i/>
        </w:rPr>
        <w:t>In vitro</w:t>
      </w:r>
      <w:r w:rsidRPr="000F1C42">
        <w:t xml:space="preserve"> studies demonstrated that the enteric-coated formulation of </w:t>
      </w:r>
      <w:proofErr w:type="spellStart"/>
      <w:r w:rsidRPr="000F1C42">
        <w:t>Myfortic</w:t>
      </w:r>
      <w:proofErr w:type="spellEnd"/>
      <w:r w:rsidRPr="000F1C42">
        <w:t xml:space="preserve"> prevents the release of MPA under acidic condition</w:t>
      </w:r>
      <w:r w:rsidR="00BA2081" w:rsidRPr="000F1C42">
        <w:t>,</w:t>
      </w:r>
      <w:r w:rsidRPr="000F1C42">
        <w:t xml:space="preserve"> as in the stomach.</w:t>
      </w:r>
    </w:p>
    <w:p w:rsidR="00395F64" w:rsidRPr="000F1C42" w:rsidRDefault="00395F64" w:rsidP="00F30F68">
      <w:pPr>
        <w:pStyle w:val="TextChar"/>
        <w:spacing w:before="100" w:beforeAutospacing="1" w:after="100" w:afterAutospacing="1" w:line="320" w:lineRule="atLeast"/>
        <w:jc w:val="left"/>
      </w:pPr>
      <w:r w:rsidRPr="000F1C42">
        <w:t xml:space="preserve">In stable renal transplant patients on </w:t>
      </w:r>
      <w:proofErr w:type="spellStart"/>
      <w:r w:rsidR="0006712C" w:rsidRPr="000F1C42">
        <w:t>cyclosporin</w:t>
      </w:r>
      <w:proofErr w:type="spellEnd"/>
      <w:r w:rsidR="0006712C" w:rsidRPr="000F1C42">
        <w:t xml:space="preserve"> (</w:t>
      </w:r>
      <w:proofErr w:type="spellStart"/>
      <w:r w:rsidRPr="000F1C42">
        <w:t>Neoral</w:t>
      </w:r>
      <w:proofErr w:type="spellEnd"/>
      <w:r w:rsidR="00454A44" w:rsidRPr="000F1C42">
        <w:rPr>
          <w:rFonts w:cs="Times New Roman"/>
          <w:vertAlign w:val="superscript"/>
        </w:rPr>
        <w:t>®</w:t>
      </w:r>
      <w:r w:rsidR="0006712C" w:rsidRPr="000F1C42">
        <w:t>)</w:t>
      </w:r>
      <w:r w:rsidRPr="000F1C42">
        <w:t xml:space="preserve"> based </w:t>
      </w:r>
      <w:proofErr w:type="spellStart"/>
      <w:r w:rsidRPr="000F1C42">
        <w:t>immunosuppression</w:t>
      </w:r>
      <w:proofErr w:type="spellEnd"/>
      <w:r w:rsidRPr="000F1C42">
        <w:t xml:space="preserve">, the mean absolute bioavailability of </w:t>
      </w:r>
      <w:proofErr w:type="spellStart"/>
      <w:r w:rsidRPr="000F1C42">
        <w:t>Myfortic</w:t>
      </w:r>
      <w:proofErr w:type="spellEnd"/>
      <w:r w:rsidRPr="000F1C42">
        <w:t xml:space="preserve"> tablets was 71% (range: 38-98%).  </w:t>
      </w:r>
      <w:proofErr w:type="spellStart"/>
      <w:r w:rsidRPr="000F1C42">
        <w:t>Myfortic</w:t>
      </w:r>
      <w:proofErr w:type="spellEnd"/>
      <w:r w:rsidRPr="000F1C42">
        <w:t xml:space="preserve"> pharmacokinetics </w:t>
      </w:r>
      <w:proofErr w:type="gramStart"/>
      <w:r w:rsidRPr="000F1C42">
        <w:t>are</w:t>
      </w:r>
      <w:proofErr w:type="gramEnd"/>
      <w:r w:rsidRPr="000F1C42">
        <w:t xml:space="preserve"> dose proportional and linear over the studied dose range of 180 to 2160 mg.  Compared to the fasting state, administration of </w:t>
      </w:r>
      <w:proofErr w:type="spellStart"/>
      <w:r w:rsidRPr="000F1C42">
        <w:t>Myfortic</w:t>
      </w:r>
      <w:proofErr w:type="spellEnd"/>
      <w:r w:rsidRPr="000F1C42">
        <w:t xml:space="preserve"> 720 mg with a high fat meal had no effect on the systemic exposure (AUC) of MPA</w:t>
      </w:r>
      <w:r w:rsidR="00BA2081" w:rsidRPr="000F1C42">
        <w:t>,</w:t>
      </w:r>
      <w:r w:rsidRPr="000F1C42">
        <w:t xml:space="preserve"> which is the most relevant pharmacokinetic parameter linked to efficacy.  However, there was a 33% decrease in the maximal plasma concentration (</w:t>
      </w:r>
      <w:proofErr w:type="spellStart"/>
      <w:r w:rsidRPr="000F1C42">
        <w:t>C</w:t>
      </w:r>
      <w:r w:rsidRPr="000F1C42">
        <w:rPr>
          <w:vertAlign w:val="subscript"/>
        </w:rPr>
        <w:t>max</w:t>
      </w:r>
      <w:proofErr w:type="spellEnd"/>
      <w:r w:rsidRPr="000F1C42">
        <w:t xml:space="preserve">) of MPA and a delay in </w:t>
      </w:r>
      <w:proofErr w:type="spellStart"/>
      <w:r w:rsidRPr="000F1C42">
        <w:t>t</w:t>
      </w:r>
      <w:r w:rsidRPr="000F1C42">
        <w:rPr>
          <w:vertAlign w:val="subscript"/>
        </w:rPr>
        <w:t>max</w:t>
      </w:r>
      <w:proofErr w:type="spellEnd"/>
      <w:r w:rsidRPr="000F1C42">
        <w:rPr>
          <w:vertAlign w:val="subscript"/>
        </w:rPr>
        <w:t xml:space="preserve"> </w:t>
      </w:r>
      <w:r w:rsidRPr="000F1C42">
        <w:t xml:space="preserve">when </w:t>
      </w:r>
      <w:proofErr w:type="spellStart"/>
      <w:r w:rsidRPr="000F1C42">
        <w:t>Myfortic</w:t>
      </w:r>
      <w:proofErr w:type="spellEnd"/>
      <w:r w:rsidRPr="000F1C42">
        <w:t xml:space="preserve"> was given with a high fat meal.</w:t>
      </w:r>
    </w:p>
    <w:p w:rsidR="00395F64" w:rsidRPr="000F1C42" w:rsidRDefault="00395F64" w:rsidP="00F30F68">
      <w:pPr>
        <w:pStyle w:val="Heading3"/>
      </w:pPr>
      <w:r w:rsidRPr="000F1C42">
        <w:t>Distribution:</w:t>
      </w:r>
    </w:p>
    <w:p w:rsidR="00395F64" w:rsidRPr="000F1C42" w:rsidRDefault="00395F64" w:rsidP="00F30F68">
      <w:pPr>
        <w:pStyle w:val="TextChar"/>
        <w:spacing w:before="0" w:after="100" w:afterAutospacing="1" w:line="320" w:lineRule="atLeast"/>
        <w:jc w:val="left"/>
      </w:pPr>
      <w:r w:rsidRPr="000F1C42">
        <w:t xml:space="preserve">The volume of distribution at steady state for MPA is 50 </w:t>
      </w:r>
      <w:proofErr w:type="spellStart"/>
      <w:r w:rsidRPr="000F1C42">
        <w:t>litres</w:t>
      </w:r>
      <w:proofErr w:type="spellEnd"/>
      <w:r w:rsidRPr="000F1C42">
        <w:t xml:space="preserve">.  Both MPA and its major metabolite, </w:t>
      </w:r>
      <w:proofErr w:type="spellStart"/>
      <w:r w:rsidRPr="000F1C42">
        <w:t>mycophenolic</w:t>
      </w:r>
      <w:proofErr w:type="spellEnd"/>
      <w:r w:rsidRPr="000F1C42">
        <w:t xml:space="preserve"> acid </w:t>
      </w:r>
      <w:proofErr w:type="spellStart"/>
      <w:r w:rsidRPr="000F1C42">
        <w:t>glucuronide</w:t>
      </w:r>
      <w:proofErr w:type="spellEnd"/>
      <w:r w:rsidRPr="000F1C42">
        <w:t xml:space="preserve"> (MPAG), are highly protein bound, 97% and 82%, respectively.  The free MPA concentration may increase under conditions of decreased protein binding sites (</w:t>
      </w:r>
      <w:proofErr w:type="spellStart"/>
      <w:r w:rsidRPr="000F1C42">
        <w:t>uraemia</w:t>
      </w:r>
      <w:proofErr w:type="spellEnd"/>
      <w:r w:rsidRPr="000F1C42">
        <w:t xml:space="preserve">, hepatic failure, </w:t>
      </w:r>
      <w:proofErr w:type="spellStart"/>
      <w:r w:rsidRPr="000F1C42">
        <w:t>hypoalbuminaemia</w:t>
      </w:r>
      <w:proofErr w:type="spellEnd"/>
      <w:r w:rsidRPr="000F1C42">
        <w:t>, concomitant use of drugs with high protein binding) and this may put patients at increased risk of MPA-related adverse effects.</w:t>
      </w:r>
    </w:p>
    <w:p w:rsidR="00395F64" w:rsidRPr="000F1C42" w:rsidRDefault="00395F64" w:rsidP="00F30F68">
      <w:pPr>
        <w:pStyle w:val="Heading3"/>
      </w:pPr>
      <w:r w:rsidRPr="000F1C42">
        <w:t>Metabolism:</w:t>
      </w:r>
    </w:p>
    <w:p w:rsidR="00395F64" w:rsidRPr="000F1C42" w:rsidRDefault="00395F64" w:rsidP="00F30F68">
      <w:pPr>
        <w:pStyle w:val="TextChar"/>
        <w:spacing w:before="0" w:after="100" w:afterAutospacing="1" w:line="320" w:lineRule="atLeast"/>
        <w:jc w:val="left"/>
      </w:pPr>
      <w:r w:rsidRPr="000F1C42">
        <w:t xml:space="preserve">The half life of MPA (mean </w:t>
      </w:r>
      <w:r w:rsidRPr="000F1C42">
        <w:rPr>
          <w:u w:val="single"/>
        </w:rPr>
        <w:t>+</w:t>
      </w:r>
      <w:r w:rsidRPr="000F1C42">
        <w:t xml:space="preserve"> SD) is 11.7 </w:t>
      </w:r>
      <w:r w:rsidRPr="000F1C42">
        <w:rPr>
          <w:u w:val="single"/>
        </w:rPr>
        <w:t>+</w:t>
      </w:r>
      <w:r w:rsidRPr="000F1C42">
        <w:t xml:space="preserve"> 3.2 hours and the clearance (mean </w:t>
      </w:r>
      <w:r w:rsidRPr="000F1C42">
        <w:rPr>
          <w:u w:val="single"/>
        </w:rPr>
        <w:t>+</w:t>
      </w:r>
      <w:r w:rsidRPr="000F1C42">
        <w:t xml:space="preserve"> SD) is 8.4 </w:t>
      </w:r>
      <w:r w:rsidRPr="000F1C42">
        <w:rPr>
          <w:u w:val="single"/>
        </w:rPr>
        <w:t>+</w:t>
      </w:r>
      <w:r w:rsidRPr="000F1C42">
        <w:t xml:space="preserve"> 1.8 L/hr.  MPA is </w:t>
      </w:r>
      <w:proofErr w:type="spellStart"/>
      <w:r w:rsidRPr="000F1C42">
        <w:t>metabolised</w:t>
      </w:r>
      <w:proofErr w:type="spellEnd"/>
      <w:r w:rsidRPr="000F1C42">
        <w:t xml:space="preserve"> principally by </w:t>
      </w:r>
      <w:proofErr w:type="spellStart"/>
      <w:r w:rsidRPr="000F1C42">
        <w:t>glucuronyl</w:t>
      </w:r>
      <w:proofErr w:type="spellEnd"/>
      <w:r w:rsidRPr="000F1C42">
        <w:t xml:space="preserve"> </w:t>
      </w:r>
      <w:proofErr w:type="spellStart"/>
      <w:r w:rsidRPr="000F1C42">
        <w:t>transferase</w:t>
      </w:r>
      <w:proofErr w:type="spellEnd"/>
      <w:r w:rsidRPr="000F1C42">
        <w:t xml:space="preserve"> to form the </w:t>
      </w:r>
      <w:proofErr w:type="spellStart"/>
      <w:r w:rsidRPr="000F1C42">
        <w:t>phenolic</w:t>
      </w:r>
      <w:proofErr w:type="spellEnd"/>
      <w:r w:rsidRPr="000F1C42">
        <w:t xml:space="preserve"> </w:t>
      </w:r>
      <w:proofErr w:type="spellStart"/>
      <w:r w:rsidRPr="000F1C42">
        <w:t>glucuronide</w:t>
      </w:r>
      <w:proofErr w:type="spellEnd"/>
      <w:r w:rsidRPr="000F1C42">
        <w:t xml:space="preserve"> of MPA, </w:t>
      </w:r>
      <w:proofErr w:type="spellStart"/>
      <w:r w:rsidRPr="000F1C42">
        <w:t>mycophenolic</w:t>
      </w:r>
      <w:proofErr w:type="spellEnd"/>
      <w:r w:rsidRPr="000F1C42">
        <w:t xml:space="preserve"> acid </w:t>
      </w:r>
      <w:proofErr w:type="spellStart"/>
      <w:r w:rsidRPr="000F1C42">
        <w:t>glucuronide</w:t>
      </w:r>
      <w:proofErr w:type="spellEnd"/>
      <w:r w:rsidRPr="000F1C42">
        <w:t xml:space="preserve">.  MPAG is the predominant metabolite of MPA and is pharmacologically inactive.  In stable renal transplant patients on </w:t>
      </w:r>
      <w:proofErr w:type="spellStart"/>
      <w:r w:rsidRPr="000F1C42">
        <w:t>Neoral</w:t>
      </w:r>
      <w:proofErr w:type="spellEnd"/>
      <w:r w:rsidR="00454A44" w:rsidRPr="000F1C42">
        <w:t xml:space="preserve"> </w:t>
      </w:r>
      <w:r w:rsidRPr="000F1C42">
        <w:t xml:space="preserve">based </w:t>
      </w:r>
      <w:proofErr w:type="spellStart"/>
      <w:r w:rsidRPr="000F1C42">
        <w:t>immunosuppression</w:t>
      </w:r>
      <w:proofErr w:type="spellEnd"/>
      <w:r w:rsidRPr="000F1C42">
        <w:t xml:space="preserve">, approximately 28% of the oral </w:t>
      </w:r>
      <w:proofErr w:type="spellStart"/>
      <w:r w:rsidRPr="000F1C42">
        <w:t>Myfortic</w:t>
      </w:r>
      <w:proofErr w:type="spellEnd"/>
      <w:r w:rsidRPr="000F1C42">
        <w:t xml:space="preserve"> dose is converted to MPAG by </w:t>
      </w:r>
      <w:proofErr w:type="spellStart"/>
      <w:r w:rsidRPr="000F1C42">
        <w:t>presystemic</w:t>
      </w:r>
      <w:proofErr w:type="spellEnd"/>
      <w:r w:rsidRPr="000F1C42">
        <w:t xml:space="preserve"> metabolism.  The half-life of MPAG (mean </w:t>
      </w:r>
      <w:r w:rsidRPr="000F1C42">
        <w:rPr>
          <w:u w:val="single"/>
        </w:rPr>
        <w:t>+</w:t>
      </w:r>
      <w:r w:rsidRPr="000F1C42">
        <w:t xml:space="preserve"> SD) is approximately 15.7 </w:t>
      </w:r>
      <w:r w:rsidRPr="000F1C42">
        <w:rPr>
          <w:u w:val="single"/>
        </w:rPr>
        <w:t>+</w:t>
      </w:r>
      <w:r w:rsidRPr="000F1C42">
        <w:t xml:space="preserve"> 3.9 hours and its clearance (CL/f</w:t>
      </w:r>
      <w:r w:rsidRPr="000F1C42">
        <w:rPr>
          <w:vertAlign w:val="subscript"/>
        </w:rPr>
        <w:t>m</w:t>
      </w:r>
      <w:r w:rsidRPr="000F1C42">
        <w:t xml:space="preserve">) is about 0.45 </w:t>
      </w:r>
      <w:r w:rsidRPr="000F1C42">
        <w:rPr>
          <w:u w:val="single"/>
        </w:rPr>
        <w:t>+</w:t>
      </w:r>
      <w:r w:rsidRPr="000F1C42">
        <w:t xml:space="preserve"> 0.15 L/hr (mean </w:t>
      </w:r>
      <w:r w:rsidRPr="000F1C42">
        <w:rPr>
          <w:u w:val="single"/>
        </w:rPr>
        <w:t>+</w:t>
      </w:r>
      <w:r w:rsidRPr="000F1C42">
        <w:t xml:space="preserve"> SD).</w:t>
      </w:r>
    </w:p>
    <w:p w:rsidR="00395F64" w:rsidRPr="000F1C42" w:rsidRDefault="00F30F68" w:rsidP="00F30F68">
      <w:pPr>
        <w:pStyle w:val="Heading3"/>
      </w:pPr>
      <w:r>
        <w:br w:type="page"/>
      </w:r>
      <w:r w:rsidR="00395F64" w:rsidRPr="000F1C42">
        <w:lastRenderedPageBreak/>
        <w:t>Excretion:</w:t>
      </w:r>
    </w:p>
    <w:p w:rsidR="00395F64" w:rsidRPr="000F1C42" w:rsidRDefault="00395F64" w:rsidP="00F30F68">
      <w:pPr>
        <w:pStyle w:val="TextChar"/>
        <w:tabs>
          <w:tab w:val="left" w:pos="-720"/>
        </w:tabs>
        <w:spacing w:before="0" w:after="100" w:afterAutospacing="1" w:line="320" w:lineRule="atLeast"/>
        <w:jc w:val="left"/>
        <w:rPr>
          <w:lang w:val="en-AU"/>
        </w:rPr>
      </w:pPr>
      <w:r w:rsidRPr="000F1C42">
        <w:rPr>
          <w:lang w:val="en-AU"/>
        </w:rPr>
        <w:t xml:space="preserve">Although negligible amounts of MPA are present in the urine (&lt;1%), the majority of MPA is eliminated in the urine as MPAG.  MPAG secreted in the bile is available for </w:t>
      </w:r>
      <w:proofErr w:type="spellStart"/>
      <w:r w:rsidRPr="000F1C42">
        <w:rPr>
          <w:lang w:val="en-AU"/>
        </w:rPr>
        <w:t>deconjugation</w:t>
      </w:r>
      <w:proofErr w:type="spellEnd"/>
      <w:r w:rsidRPr="000F1C42">
        <w:rPr>
          <w:lang w:val="en-AU"/>
        </w:rPr>
        <w:t xml:space="preserve"> by gut flora.  The MPA resulting from this </w:t>
      </w:r>
      <w:proofErr w:type="spellStart"/>
      <w:r w:rsidRPr="000F1C42">
        <w:rPr>
          <w:lang w:val="en-AU"/>
        </w:rPr>
        <w:t>deconjugation</w:t>
      </w:r>
      <w:proofErr w:type="spellEnd"/>
      <w:r w:rsidRPr="000F1C42">
        <w:rPr>
          <w:lang w:val="en-AU"/>
        </w:rPr>
        <w:t xml:space="preserve"> may then be reabsorbed. Approximately 6-8 hours after </w:t>
      </w:r>
      <w:proofErr w:type="spellStart"/>
      <w:r w:rsidRPr="000F1C42">
        <w:rPr>
          <w:lang w:val="en-AU"/>
        </w:rPr>
        <w:t>Myfortic</w:t>
      </w:r>
      <w:proofErr w:type="spellEnd"/>
      <w:r w:rsidRPr="000F1C42">
        <w:rPr>
          <w:lang w:val="en-AU"/>
        </w:rPr>
        <w:t xml:space="preserve"> dosing, a second peak of MPA concentration can be measured, consistent with </w:t>
      </w:r>
      <w:proofErr w:type="spellStart"/>
      <w:r w:rsidRPr="000F1C42">
        <w:rPr>
          <w:lang w:val="en-AU"/>
        </w:rPr>
        <w:t>reabsorption</w:t>
      </w:r>
      <w:proofErr w:type="spellEnd"/>
      <w:r w:rsidRPr="000F1C42">
        <w:rPr>
          <w:lang w:val="en-AU"/>
        </w:rPr>
        <w:t xml:space="preserve"> of the </w:t>
      </w:r>
      <w:proofErr w:type="spellStart"/>
      <w:r w:rsidRPr="000F1C42">
        <w:rPr>
          <w:lang w:val="en-AU"/>
        </w:rPr>
        <w:t>deconjugated</w:t>
      </w:r>
      <w:proofErr w:type="spellEnd"/>
      <w:r w:rsidRPr="000F1C42">
        <w:rPr>
          <w:lang w:val="en-AU"/>
        </w:rPr>
        <w:t xml:space="preserve"> MPA.</w:t>
      </w:r>
    </w:p>
    <w:p w:rsidR="00395F64" w:rsidRPr="000F1C42" w:rsidRDefault="00395F64" w:rsidP="00F30F68">
      <w:pPr>
        <w:pStyle w:val="Heading3"/>
      </w:pPr>
      <w:r w:rsidRPr="000F1C42">
        <w:t xml:space="preserve">Pharmacokinetics in renal transplant patients on </w:t>
      </w:r>
      <w:proofErr w:type="spellStart"/>
      <w:r w:rsidRPr="000F1C42">
        <w:t>cyclosporin</w:t>
      </w:r>
      <w:proofErr w:type="spellEnd"/>
      <w:r w:rsidRPr="000F1C42">
        <w:t xml:space="preserve"> based </w:t>
      </w:r>
      <w:proofErr w:type="spellStart"/>
      <w:r w:rsidR="00BA2081" w:rsidRPr="000F1C42">
        <w:t>i</w:t>
      </w:r>
      <w:r w:rsidRPr="000F1C42">
        <w:t>mmunosuppression</w:t>
      </w:r>
      <w:proofErr w:type="spellEnd"/>
      <w:r w:rsidRPr="000F1C42">
        <w:t>:</w:t>
      </w:r>
    </w:p>
    <w:p w:rsidR="00395F64" w:rsidRPr="000F1C42" w:rsidRDefault="00395F64" w:rsidP="00F30F68">
      <w:pPr>
        <w:spacing w:after="100" w:afterAutospacing="1" w:line="320" w:lineRule="atLeast"/>
        <w:rPr>
          <w:rFonts w:ascii="Times New Roman" w:hAnsi="Times New Roman"/>
        </w:rPr>
      </w:pPr>
      <w:r w:rsidRPr="000F1C42">
        <w:rPr>
          <w:rFonts w:ascii="Times New Roman" w:hAnsi="Times New Roman"/>
        </w:rPr>
        <w:t xml:space="preserve">Table 1 shows the mean pharmacokinetic parameters for MPA following administration of </w:t>
      </w:r>
      <w:proofErr w:type="spellStart"/>
      <w:r w:rsidRPr="000F1C42">
        <w:rPr>
          <w:rFonts w:ascii="Times New Roman" w:hAnsi="Times New Roman"/>
        </w:rPr>
        <w:t>Myfortic</w:t>
      </w:r>
      <w:proofErr w:type="spellEnd"/>
      <w:r w:rsidRPr="000F1C42">
        <w:rPr>
          <w:rFonts w:ascii="Times New Roman" w:hAnsi="Times New Roman"/>
        </w:rPr>
        <w:t xml:space="preserve">.  In the early post transplant period, mean MPA AUC and mean MPA </w:t>
      </w:r>
      <w:proofErr w:type="spellStart"/>
      <w:r w:rsidRPr="000F1C42">
        <w:rPr>
          <w:rFonts w:ascii="Times New Roman" w:hAnsi="Times New Roman"/>
        </w:rPr>
        <w:t>C</w:t>
      </w:r>
      <w:r w:rsidRPr="000F1C42">
        <w:rPr>
          <w:rFonts w:ascii="Times New Roman" w:hAnsi="Times New Roman"/>
          <w:vertAlign w:val="subscript"/>
        </w:rPr>
        <w:t>max</w:t>
      </w:r>
      <w:proofErr w:type="spellEnd"/>
      <w:r w:rsidRPr="000F1C42">
        <w:rPr>
          <w:rFonts w:ascii="Times New Roman" w:hAnsi="Times New Roman"/>
        </w:rPr>
        <w:t xml:space="preserve"> were approximately one-half of that measured six months post transplant.</w:t>
      </w:r>
    </w:p>
    <w:p w:rsidR="00395F64" w:rsidRPr="000F1C42" w:rsidRDefault="00395F64" w:rsidP="00F30F68">
      <w:pPr>
        <w:pStyle w:val="BodyText2"/>
        <w:tabs>
          <w:tab w:val="clear" w:pos="-720"/>
          <w:tab w:val="clear" w:pos="510"/>
          <w:tab w:val="clear" w:pos="918"/>
        </w:tabs>
        <w:spacing w:after="100" w:afterAutospacing="1"/>
        <w:outlineLvl w:val="9"/>
      </w:pPr>
      <w:r w:rsidRPr="000F1C42">
        <w:t>Table 1: Mean (SD) pharmacokinetic parameters for MPA following oral</w:t>
      </w:r>
      <w:r w:rsidR="00BA2081" w:rsidRPr="000F1C42">
        <w:t xml:space="preserve"> </w:t>
      </w:r>
      <w:r w:rsidRPr="000F1C42">
        <w:t xml:space="preserve">administration of </w:t>
      </w:r>
      <w:proofErr w:type="spellStart"/>
      <w:r w:rsidRPr="000F1C42">
        <w:t>Myfortic</w:t>
      </w:r>
      <w:proofErr w:type="spellEnd"/>
      <w:r w:rsidRPr="000F1C42">
        <w:t xml:space="preserve"> to renal transplant patients on </w:t>
      </w:r>
      <w:proofErr w:type="spellStart"/>
      <w:r w:rsidRPr="000F1C42">
        <w:t>Neoral</w:t>
      </w:r>
      <w:proofErr w:type="spellEnd"/>
      <w:r w:rsidRPr="000F1C42">
        <w:t xml:space="preserve"> based </w:t>
      </w:r>
      <w:proofErr w:type="spellStart"/>
      <w:r w:rsidR="001B636A" w:rsidRPr="000F1C42">
        <w:t>immunosuppression</w:t>
      </w:r>
      <w:proofErr w:type="spellEnd"/>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1332"/>
        <w:gridCol w:w="1674"/>
        <w:gridCol w:w="1680"/>
        <w:gridCol w:w="1680"/>
        <w:gridCol w:w="1119"/>
        <w:gridCol w:w="898"/>
        <w:gridCol w:w="898"/>
      </w:tblGrid>
      <w:tr w:rsidR="00332670" w:rsidRPr="000F1C42">
        <w:trPr>
          <w:trHeight w:val="1247"/>
          <w:jc w:val="center"/>
        </w:trPr>
        <w:tc>
          <w:tcPr>
            <w:tcW w:w="1332" w:type="dxa"/>
          </w:tcPr>
          <w:p w:rsidR="00332670" w:rsidRPr="000F1C42" w:rsidRDefault="00332670">
            <w:pPr>
              <w:rPr>
                <w:rFonts w:ascii="Times New Roman" w:hAnsi="Times New Roman"/>
                <w:snapToGrid w:val="0"/>
                <w:sz w:val="20"/>
                <w:lang w:val="en-GB"/>
              </w:rPr>
            </w:pPr>
          </w:p>
        </w:tc>
        <w:tc>
          <w:tcPr>
            <w:tcW w:w="1674" w:type="dxa"/>
          </w:tcPr>
          <w:p w:rsidR="00332670" w:rsidRPr="000F1C42" w:rsidRDefault="00332670">
            <w:pPr>
              <w:pStyle w:val="TextChar"/>
              <w:spacing w:before="0"/>
              <w:jc w:val="center"/>
              <w:rPr>
                <w:b/>
                <w:sz w:val="20"/>
              </w:rPr>
            </w:pPr>
            <w:r w:rsidRPr="000F1C42">
              <w:rPr>
                <w:b/>
                <w:sz w:val="20"/>
              </w:rPr>
              <w:t>Adult</w:t>
            </w:r>
          </w:p>
          <w:p w:rsidR="00332670" w:rsidRPr="000F1C42" w:rsidRDefault="00332670">
            <w:pPr>
              <w:pStyle w:val="TextChar"/>
              <w:spacing w:before="0"/>
              <w:jc w:val="center"/>
              <w:rPr>
                <w:b/>
                <w:sz w:val="20"/>
              </w:rPr>
            </w:pPr>
            <w:r w:rsidRPr="000F1C42">
              <w:rPr>
                <w:b/>
                <w:sz w:val="20"/>
              </w:rPr>
              <w:t>single dose</w:t>
            </w:r>
          </w:p>
          <w:p w:rsidR="00332670" w:rsidRPr="000F1C42" w:rsidRDefault="00332670">
            <w:pPr>
              <w:rPr>
                <w:rFonts w:ascii="Times New Roman" w:hAnsi="Times New Roman"/>
                <w:b/>
                <w:sz w:val="20"/>
              </w:rPr>
            </w:pPr>
          </w:p>
          <w:p w:rsidR="00332670" w:rsidRPr="000F1C42" w:rsidRDefault="00332670">
            <w:pPr>
              <w:jc w:val="center"/>
              <w:rPr>
                <w:rFonts w:ascii="Times New Roman" w:hAnsi="Times New Roman"/>
                <w:snapToGrid w:val="0"/>
                <w:sz w:val="20"/>
                <w:lang w:val="en-GB"/>
              </w:rPr>
            </w:pPr>
            <w:r w:rsidRPr="000F1C42">
              <w:rPr>
                <w:rFonts w:ascii="Times New Roman" w:hAnsi="Times New Roman"/>
                <w:b/>
                <w:sz w:val="20"/>
              </w:rPr>
              <w:t>n = 24</w:t>
            </w:r>
          </w:p>
        </w:tc>
        <w:tc>
          <w:tcPr>
            <w:tcW w:w="1680" w:type="dxa"/>
          </w:tcPr>
          <w:p w:rsidR="00332670" w:rsidRPr="000F1C42" w:rsidRDefault="00332670" w:rsidP="00F866FC">
            <w:pPr>
              <w:pStyle w:val="TextChar"/>
              <w:spacing w:before="0"/>
              <w:jc w:val="center"/>
              <w:rPr>
                <w:b/>
                <w:sz w:val="20"/>
              </w:rPr>
            </w:pPr>
            <w:r w:rsidRPr="000F1C42">
              <w:rPr>
                <w:b/>
                <w:sz w:val="20"/>
              </w:rPr>
              <w:t>Adult</w:t>
            </w:r>
          </w:p>
          <w:p w:rsidR="00332670" w:rsidRPr="000F1C42" w:rsidRDefault="00332670" w:rsidP="00F866FC">
            <w:pPr>
              <w:pStyle w:val="TextChar"/>
              <w:spacing w:before="0"/>
              <w:jc w:val="center"/>
              <w:rPr>
                <w:b/>
                <w:sz w:val="20"/>
              </w:rPr>
            </w:pPr>
            <w:r w:rsidRPr="000F1C42">
              <w:rPr>
                <w:b/>
                <w:sz w:val="20"/>
              </w:rPr>
              <w:t xml:space="preserve">multiple dose </w:t>
            </w:r>
          </w:p>
          <w:p w:rsidR="00332670" w:rsidRPr="000F1C42" w:rsidRDefault="00332670" w:rsidP="00F866FC">
            <w:pPr>
              <w:pStyle w:val="TextChar"/>
              <w:spacing w:before="0"/>
              <w:jc w:val="center"/>
              <w:rPr>
                <w:b/>
                <w:sz w:val="20"/>
              </w:rPr>
            </w:pPr>
            <w:r w:rsidRPr="000F1C42">
              <w:rPr>
                <w:b/>
                <w:sz w:val="20"/>
              </w:rPr>
              <w:t>x 6 days, BID</w:t>
            </w:r>
          </w:p>
          <w:p w:rsidR="00332670" w:rsidRPr="000F1C42" w:rsidRDefault="00332670" w:rsidP="00F866FC">
            <w:pPr>
              <w:jc w:val="center"/>
              <w:rPr>
                <w:rFonts w:ascii="Times New Roman" w:hAnsi="Times New Roman"/>
                <w:snapToGrid w:val="0"/>
                <w:sz w:val="20"/>
                <w:lang w:val="en-GB"/>
              </w:rPr>
            </w:pPr>
            <w:r w:rsidRPr="000F1C42">
              <w:rPr>
                <w:rFonts w:ascii="Times New Roman" w:hAnsi="Times New Roman"/>
                <w:b/>
                <w:sz w:val="20"/>
              </w:rPr>
              <w:t>n=12</w:t>
            </w:r>
          </w:p>
        </w:tc>
        <w:tc>
          <w:tcPr>
            <w:tcW w:w="1680" w:type="dxa"/>
          </w:tcPr>
          <w:p w:rsidR="00332670" w:rsidRPr="000F1C42" w:rsidRDefault="00332670">
            <w:pPr>
              <w:pStyle w:val="TextChar"/>
              <w:spacing w:before="0"/>
              <w:jc w:val="center"/>
              <w:rPr>
                <w:b/>
                <w:sz w:val="20"/>
              </w:rPr>
            </w:pPr>
            <w:r w:rsidRPr="000F1C42">
              <w:rPr>
                <w:b/>
                <w:sz w:val="20"/>
              </w:rPr>
              <w:t>Adult            multiple dose      x 28 days, BID          n=36</w:t>
            </w:r>
          </w:p>
        </w:tc>
        <w:tc>
          <w:tcPr>
            <w:tcW w:w="2915" w:type="dxa"/>
            <w:gridSpan w:val="3"/>
          </w:tcPr>
          <w:p w:rsidR="00332670" w:rsidRPr="000F1C42" w:rsidRDefault="00332670">
            <w:pPr>
              <w:pStyle w:val="TextChar"/>
              <w:spacing w:before="0"/>
              <w:jc w:val="center"/>
              <w:rPr>
                <w:b/>
                <w:sz w:val="20"/>
              </w:rPr>
            </w:pPr>
            <w:r w:rsidRPr="000F1C42">
              <w:rPr>
                <w:b/>
                <w:sz w:val="20"/>
              </w:rPr>
              <w:t>Adult</w:t>
            </w:r>
          </w:p>
          <w:p w:rsidR="00332670" w:rsidRPr="000F1C42" w:rsidRDefault="00332670">
            <w:pPr>
              <w:pStyle w:val="TextChar"/>
              <w:spacing w:before="0"/>
              <w:jc w:val="center"/>
              <w:rPr>
                <w:b/>
                <w:sz w:val="20"/>
              </w:rPr>
            </w:pPr>
            <w:r w:rsidRPr="000F1C42">
              <w:rPr>
                <w:b/>
                <w:sz w:val="20"/>
              </w:rPr>
              <w:t>chronic, multiple dosing</w:t>
            </w:r>
          </w:p>
          <w:p w:rsidR="00332670" w:rsidRPr="000F1C42" w:rsidRDefault="00332670">
            <w:pPr>
              <w:pStyle w:val="TextChar"/>
              <w:spacing w:before="0"/>
              <w:jc w:val="center"/>
              <w:rPr>
                <w:b/>
                <w:sz w:val="20"/>
              </w:rPr>
            </w:pPr>
            <w:r w:rsidRPr="000F1C42">
              <w:rPr>
                <w:b/>
                <w:sz w:val="20"/>
              </w:rPr>
              <w:t>BID</w:t>
            </w:r>
          </w:p>
          <w:p w:rsidR="00332670" w:rsidRPr="000F1C42" w:rsidRDefault="00332670" w:rsidP="00F30F68">
            <w:pPr>
              <w:pStyle w:val="TextChar"/>
              <w:spacing w:before="0"/>
              <w:jc w:val="center"/>
              <w:rPr>
                <w:snapToGrid w:val="0"/>
                <w:sz w:val="20"/>
                <w:lang w:val="en-GB"/>
              </w:rPr>
            </w:pPr>
            <w:r w:rsidRPr="000F1C42">
              <w:rPr>
                <w:b/>
                <w:sz w:val="20"/>
              </w:rPr>
              <w:t>n=48</w:t>
            </w:r>
          </w:p>
        </w:tc>
      </w:tr>
      <w:tr w:rsidR="001E7A24" w:rsidRPr="000F1C42">
        <w:trPr>
          <w:cantSplit/>
          <w:trHeight w:val="274"/>
          <w:jc w:val="center"/>
        </w:trPr>
        <w:tc>
          <w:tcPr>
            <w:tcW w:w="6366" w:type="dxa"/>
            <w:gridSpan w:val="4"/>
            <w:vMerge w:val="restart"/>
          </w:tcPr>
          <w:p w:rsidR="001E7A24" w:rsidRPr="000F1C42" w:rsidRDefault="001E7A24">
            <w:pPr>
              <w:jc w:val="center"/>
              <w:rPr>
                <w:rFonts w:ascii="Times New Roman" w:hAnsi="Times New Roman"/>
                <w:snapToGrid w:val="0"/>
                <w:lang w:val="en-GB"/>
              </w:rPr>
            </w:pPr>
          </w:p>
        </w:tc>
        <w:tc>
          <w:tcPr>
            <w:tcW w:w="2915" w:type="dxa"/>
            <w:gridSpan w:val="3"/>
          </w:tcPr>
          <w:p w:rsidR="001E7A24" w:rsidRPr="000F1C42" w:rsidRDefault="001E7A24">
            <w:pPr>
              <w:pStyle w:val="Heading7"/>
              <w:rPr>
                <w:color w:val="auto"/>
              </w:rPr>
            </w:pPr>
            <w:r w:rsidRPr="000F1C42">
              <w:rPr>
                <w:color w:val="auto"/>
              </w:rPr>
              <w:t>Post Transplant</w:t>
            </w:r>
          </w:p>
        </w:tc>
      </w:tr>
      <w:tr w:rsidR="001E7A24" w:rsidRPr="000F1C42">
        <w:trPr>
          <w:cantSplit/>
          <w:trHeight w:val="405"/>
          <w:jc w:val="center"/>
        </w:trPr>
        <w:tc>
          <w:tcPr>
            <w:tcW w:w="6366" w:type="dxa"/>
            <w:gridSpan w:val="4"/>
            <w:vMerge/>
          </w:tcPr>
          <w:p w:rsidR="001E7A24" w:rsidRPr="000F1C42" w:rsidRDefault="001E7A24">
            <w:pPr>
              <w:rPr>
                <w:rFonts w:ascii="Times New Roman" w:hAnsi="Times New Roman"/>
                <w:snapToGrid w:val="0"/>
                <w:lang w:val="en-GB"/>
              </w:rPr>
            </w:pPr>
          </w:p>
        </w:tc>
        <w:tc>
          <w:tcPr>
            <w:tcW w:w="1119" w:type="dxa"/>
          </w:tcPr>
          <w:p w:rsidR="001E7A24" w:rsidRPr="000F1C42" w:rsidRDefault="001E7A24">
            <w:pPr>
              <w:jc w:val="center"/>
              <w:rPr>
                <w:rFonts w:ascii="Times New Roman" w:hAnsi="Times New Roman"/>
                <w:snapToGrid w:val="0"/>
                <w:sz w:val="20"/>
                <w:lang w:val="en-GB"/>
              </w:rPr>
            </w:pPr>
            <w:r w:rsidRPr="000F1C42">
              <w:rPr>
                <w:rFonts w:ascii="Times New Roman" w:hAnsi="Times New Roman"/>
                <w:snapToGrid w:val="0"/>
                <w:sz w:val="20"/>
                <w:lang w:val="en-GB"/>
              </w:rPr>
              <w:t>14   days</w:t>
            </w:r>
          </w:p>
        </w:tc>
        <w:tc>
          <w:tcPr>
            <w:tcW w:w="898" w:type="dxa"/>
          </w:tcPr>
          <w:p w:rsidR="001E7A24" w:rsidRPr="000F1C42" w:rsidRDefault="001E7A24">
            <w:pPr>
              <w:jc w:val="center"/>
              <w:rPr>
                <w:rFonts w:ascii="Times New Roman" w:hAnsi="Times New Roman"/>
                <w:snapToGrid w:val="0"/>
                <w:sz w:val="20"/>
                <w:lang w:val="en-GB"/>
              </w:rPr>
            </w:pPr>
            <w:r w:rsidRPr="000F1C42">
              <w:rPr>
                <w:rFonts w:ascii="Times New Roman" w:hAnsi="Times New Roman"/>
                <w:snapToGrid w:val="0"/>
                <w:sz w:val="20"/>
                <w:lang w:val="en-GB"/>
              </w:rPr>
              <w:t>3 months</w:t>
            </w:r>
          </w:p>
        </w:tc>
        <w:tc>
          <w:tcPr>
            <w:tcW w:w="898" w:type="dxa"/>
          </w:tcPr>
          <w:p w:rsidR="001E7A24" w:rsidRPr="000F1C42" w:rsidRDefault="001E7A24">
            <w:pPr>
              <w:jc w:val="center"/>
              <w:rPr>
                <w:rFonts w:ascii="Times New Roman" w:hAnsi="Times New Roman"/>
                <w:snapToGrid w:val="0"/>
                <w:sz w:val="20"/>
                <w:lang w:val="en-GB"/>
              </w:rPr>
            </w:pPr>
            <w:r w:rsidRPr="000F1C42">
              <w:rPr>
                <w:rFonts w:ascii="Times New Roman" w:hAnsi="Times New Roman"/>
                <w:snapToGrid w:val="0"/>
                <w:sz w:val="20"/>
                <w:lang w:val="en-GB"/>
              </w:rPr>
              <w:t>6 months</w:t>
            </w:r>
          </w:p>
        </w:tc>
      </w:tr>
      <w:tr w:rsidR="00332670" w:rsidRPr="000F1C42">
        <w:trPr>
          <w:cantSplit/>
          <w:trHeight w:val="385"/>
          <w:jc w:val="center"/>
        </w:trPr>
        <w:tc>
          <w:tcPr>
            <w:tcW w:w="1332" w:type="dxa"/>
          </w:tcPr>
          <w:p w:rsidR="00332670" w:rsidRPr="000F1C42" w:rsidRDefault="00332670">
            <w:pPr>
              <w:rPr>
                <w:rFonts w:ascii="Times New Roman" w:hAnsi="Times New Roman"/>
                <w:snapToGrid w:val="0"/>
                <w:sz w:val="20"/>
                <w:lang w:val="en-GB"/>
              </w:rPr>
            </w:pPr>
            <w:r w:rsidRPr="000F1C42">
              <w:rPr>
                <w:rFonts w:ascii="Times New Roman" w:hAnsi="Times New Roman"/>
                <w:b/>
                <w:sz w:val="20"/>
              </w:rPr>
              <w:t>Dose (oral)</w:t>
            </w:r>
          </w:p>
        </w:tc>
        <w:tc>
          <w:tcPr>
            <w:tcW w:w="1674"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720 mg</w:t>
            </w:r>
          </w:p>
        </w:tc>
        <w:tc>
          <w:tcPr>
            <w:tcW w:w="1680" w:type="dxa"/>
          </w:tcPr>
          <w:p w:rsidR="00332670" w:rsidRPr="000F1C42" w:rsidRDefault="00332670" w:rsidP="00F866FC">
            <w:pPr>
              <w:rPr>
                <w:rFonts w:ascii="Times New Roman" w:hAnsi="Times New Roman"/>
                <w:snapToGrid w:val="0"/>
                <w:sz w:val="20"/>
                <w:lang w:val="en-GB"/>
              </w:rPr>
            </w:pPr>
            <w:r w:rsidRPr="000F1C42">
              <w:rPr>
                <w:rFonts w:ascii="Times New Roman" w:hAnsi="Times New Roman"/>
                <w:snapToGrid w:val="0"/>
                <w:sz w:val="20"/>
                <w:lang w:val="en-GB"/>
              </w:rPr>
              <w:t>720 mg</w:t>
            </w:r>
          </w:p>
        </w:tc>
        <w:tc>
          <w:tcPr>
            <w:tcW w:w="1680"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720 mg</w:t>
            </w:r>
          </w:p>
        </w:tc>
        <w:tc>
          <w:tcPr>
            <w:tcW w:w="1119"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720 mg</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720 mg</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720 mg</w:t>
            </w:r>
          </w:p>
        </w:tc>
      </w:tr>
      <w:tr w:rsidR="00332670" w:rsidRPr="000F1C42">
        <w:trPr>
          <w:cantSplit/>
          <w:trHeight w:val="405"/>
          <w:jc w:val="center"/>
        </w:trPr>
        <w:tc>
          <w:tcPr>
            <w:tcW w:w="1332" w:type="dxa"/>
          </w:tcPr>
          <w:p w:rsidR="00332670" w:rsidRPr="000F1C42" w:rsidRDefault="00332670">
            <w:pPr>
              <w:pStyle w:val="TextChar"/>
              <w:spacing w:before="0"/>
              <w:jc w:val="left"/>
              <w:rPr>
                <w:b/>
                <w:snapToGrid w:val="0"/>
                <w:sz w:val="20"/>
                <w:lang w:val="en-GB"/>
              </w:rPr>
            </w:pPr>
            <w:proofErr w:type="spellStart"/>
            <w:r w:rsidRPr="000F1C42">
              <w:rPr>
                <w:b/>
                <w:sz w:val="20"/>
              </w:rPr>
              <w:t>Tmax</w:t>
            </w:r>
            <w:proofErr w:type="spellEnd"/>
            <w:r w:rsidRPr="000F1C42">
              <w:rPr>
                <w:b/>
                <w:sz w:val="20"/>
              </w:rPr>
              <w:t xml:space="preserve"> (median)</w:t>
            </w:r>
          </w:p>
        </w:tc>
        <w:tc>
          <w:tcPr>
            <w:tcW w:w="1674"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2 hrs</w:t>
            </w:r>
          </w:p>
        </w:tc>
        <w:tc>
          <w:tcPr>
            <w:tcW w:w="1680" w:type="dxa"/>
          </w:tcPr>
          <w:p w:rsidR="00332670" w:rsidRPr="000F1C42" w:rsidRDefault="00332670" w:rsidP="00F866FC">
            <w:pPr>
              <w:rPr>
                <w:rFonts w:ascii="Times New Roman" w:hAnsi="Times New Roman"/>
                <w:snapToGrid w:val="0"/>
                <w:sz w:val="20"/>
                <w:lang w:val="en-GB"/>
              </w:rPr>
            </w:pPr>
            <w:r w:rsidRPr="000F1C42">
              <w:rPr>
                <w:rFonts w:ascii="Times New Roman" w:hAnsi="Times New Roman"/>
                <w:snapToGrid w:val="0"/>
                <w:sz w:val="20"/>
                <w:lang w:val="en-GB"/>
              </w:rPr>
              <w:t>2 hrs</w:t>
            </w:r>
          </w:p>
        </w:tc>
        <w:tc>
          <w:tcPr>
            <w:tcW w:w="1680"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2.5 hrs</w:t>
            </w:r>
          </w:p>
        </w:tc>
        <w:tc>
          <w:tcPr>
            <w:tcW w:w="1119"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2 hrs</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2 hrs</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napToGrid w:val="0"/>
                <w:sz w:val="20"/>
                <w:lang w:val="en-GB"/>
              </w:rPr>
              <w:t>2 hrs</w:t>
            </w:r>
          </w:p>
        </w:tc>
      </w:tr>
      <w:tr w:rsidR="00332670" w:rsidRPr="000F1C42">
        <w:trPr>
          <w:cantSplit/>
          <w:jc w:val="center"/>
        </w:trPr>
        <w:tc>
          <w:tcPr>
            <w:tcW w:w="1332" w:type="dxa"/>
          </w:tcPr>
          <w:p w:rsidR="00332670" w:rsidRPr="000F1C42" w:rsidRDefault="00332670">
            <w:pPr>
              <w:pStyle w:val="TextChar"/>
              <w:spacing w:before="0"/>
              <w:jc w:val="left"/>
              <w:rPr>
                <w:b/>
                <w:snapToGrid w:val="0"/>
                <w:sz w:val="20"/>
                <w:lang w:val="en-GB"/>
              </w:rPr>
            </w:pPr>
            <w:proofErr w:type="spellStart"/>
            <w:r w:rsidRPr="000F1C42">
              <w:rPr>
                <w:b/>
                <w:sz w:val="20"/>
              </w:rPr>
              <w:t>C</w:t>
            </w:r>
            <w:r w:rsidRPr="000F1C42">
              <w:rPr>
                <w:b/>
                <w:sz w:val="20"/>
                <w:vertAlign w:val="subscript"/>
              </w:rPr>
              <w:t>max</w:t>
            </w:r>
            <w:proofErr w:type="spellEnd"/>
            <w:r w:rsidRPr="000F1C42">
              <w:rPr>
                <w:b/>
                <w:sz w:val="20"/>
              </w:rPr>
              <w:t xml:space="preserve"> (</w:t>
            </w:r>
            <w:proofErr w:type="spellStart"/>
            <w:r w:rsidRPr="000F1C42">
              <w:rPr>
                <w:b/>
                <w:sz w:val="20"/>
              </w:rPr>
              <w:t>ug</w:t>
            </w:r>
            <w:proofErr w:type="spellEnd"/>
            <w:r w:rsidRPr="000F1C42">
              <w:rPr>
                <w:b/>
                <w:sz w:val="20"/>
              </w:rPr>
              <w:t>/</w:t>
            </w:r>
            <w:proofErr w:type="spellStart"/>
            <w:r w:rsidRPr="000F1C42">
              <w:rPr>
                <w:b/>
                <w:sz w:val="20"/>
              </w:rPr>
              <w:t>mL</w:t>
            </w:r>
            <w:proofErr w:type="spellEnd"/>
            <w:r w:rsidRPr="000F1C42">
              <w:rPr>
                <w:b/>
                <w:sz w:val="20"/>
              </w:rPr>
              <w:t>)</w:t>
            </w:r>
          </w:p>
        </w:tc>
        <w:tc>
          <w:tcPr>
            <w:tcW w:w="1674"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26.1 (12.0)</w:t>
            </w:r>
          </w:p>
        </w:tc>
        <w:tc>
          <w:tcPr>
            <w:tcW w:w="1680" w:type="dxa"/>
          </w:tcPr>
          <w:p w:rsidR="00332670" w:rsidRPr="000F1C42" w:rsidRDefault="00332670" w:rsidP="00F866FC">
            <w:pPr>
              <w:pStyle w:val="TextChar"/>
              <w:spacing w:before="0"/>
              <w:jc w:val="left"/>
              <w:rPr>
                <w:sz w:val="20"/>
              </w:rPr>
            </w:pPr>
            <w:r w:rsidRPr="000F1C42">
              <w:rPr>
                <w:sz w:val="20"/>
              </w:rPr>
              <w:t>37.0 (13.3)</w:t>
            </w:r>
          </w:p>
        </w:tc>
        <w:tc>
          <w:tcPr>
            <w:tcW w:w="1680" w:type="dxa"/>
          </w:tcPr>
          <w:p w:rsidR="00332670" w:rsidRPr="000F1C42" w:rsidRDefault="00332670">
            <w:pPr>
              <w:pStyle w:val="TextChar"/>
              <w:spacing w:before="0"/>
              <w:jc w:val="left"/>
              <w:rPr>
                <w:sz w:val="20"/>
              </w:rPr>
            </w:pPr>
            <w:r w:rsidRPr="000F1C42">
              <w:rPr>
                <w:sz w:val="20"/>
              </w:rPr>
              <w:t>31.2 (18.1)</w:t>
            </w:r>
          </w:p>
        </w:tc>
        <w:tc>
          <w:tcPr>
            <w:tcW w:w="1119"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13.9 (8.6)</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24.6 (13.2)</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23.0 (10.1)</w:t>
            </w:r>
          </w:p>
        </w:tc>
      </w:tr>
      <w:tr w:rsidR="00332670" w:rsidRPr="000F1C42">
        <w:trPr>
          <w:cantSplit/>
          <w:jc w:val="center"/>
        </w:trPr>
        <w:tc>
          <w:tcPr>
            <w:tcW w:w="1332" w:type="dxa"/>
          </w:tcPr>
          <w:p w:rsidR="00332670" w:rsidRPr="000F1C42" w:rsidRDefault="00332670">
            <w:pPr>
              <w:pStyle w:val="TextChar"/>
              <w:spacing w:before="0"/>
              <w:jc w:val="left"/>
              <w:rPr>
                <w:b/>
                <w:sz w:val="20"/>
                <w:lang w:val="pl-PL"/>
              </w:rPr>
            </w:pPr>
            <w:r w:rsidRPr="000F1C42">
              <w:rPr>
                <w:b/>
                <w:sz w:val="20"/>
                <w:lang w:val="pl-PL"/>
              </w:rPr>
              <w:t>AUC o-</w:t>
            </w:r>
            <w:r w:rsidRPr="000F1C42">
              <w:rPr>
                <w:b/>
                <w:sz w:val="20"/>
              </w:rPr>
              <w:sym w:font="Symbol" w:char="F0A5"/>
            </w:r>
          </w:p>
          <w:p w:rsidR="00332670" w:rsidRPr="000F1C42" w:rsidRDefault="00332670">
            <w:pPr>
              <w:rPr>
                <w:rFonts w:ascii="Times New Roman" w:hAnsi="Times New Roman"/>
                <w:snapToGrid w:val="0"/>
                <w:sz w:val="20"/>
                <w:lang w:val="pl-PL"/>
              </w:rPr>
            </w:pPr>
            <w:r w:rsidRPr="000F1C42">
              <w:rPr>
                <w:rFonts w:ascii="Times New Roman" w:hAnsi="Times New Roman"/>
                <w:b/>
                <w:sz w:val="20"/>
                <w:lang w:val="pl-PL"/>
              </w:rPr>
              <w:t>(ug*hr/mL)</w:t>
            </w:r>
          </w:p>
        </w:tc>
        <w:tc>
          <w:tcPr>
            <w:tcW w:w="1674" w:type="dxa"/>
          </w:tcPr>
          <w:p w:rsidR="00332670" w:rsidRPr="000F1C42" w:rsidRDefault="00332670" w:rsidP="00F30F68">
            <w:pPr>
              <w:pStyle w:val="TextChar"/>
              <w:spacing w:before="0"/>
              <w:jc w:val="left"/>
              <w:rPr>
                <w:sz w:val="20"/>
              </w:rPr>
            </w:pPr>
            <w:r w:rsidRPr="000F1C42">
              <w:rPr>
                <w:sz w:val="20"/>
              </w:rPr>
              <w:t>66.5 (22.6)</w:t>
            </w:r>
          </w:p>
        </w:tc>
        <w:tc>
          <w:tcPr>
            <w:tcW w:w="1680" w:type="dxa"/>
          </w:tcPr>
          <w:p w:rsidR="00332670" w:rsidRPr="000F1C42" w:rsidRDefault="00332670" w:rsidP="00F866FC">
            <w:pPr>
              <w:rPr>
                <w:rFonts w:ascii="Times New Roman" w:hAnsi="Times New Roman"/>
                <w:snapToGrid w:val="0"/>
                <w:sz w:val="20"/>
                <w:lang w:val="en-GB"/>
              </w:rPr>
            </w:pPr>
            <w:r w:rsidRPr="000F1C42">
              <w:rPr>
                <w:rFonts w:ascii="Times New Roman" w:hAnsi="Times New Roman"/>
                <w:sz w:val="20"/>
              </w:rPr>
              <w:t>-</w:t>
            </w:r>
          </w:p>
        </w:tc>
        <w:tc>
          <w:tcPr>
            <w:tcW w:w="1680" w:type="dxa"/>
          </w:tcPr>
          <w:p w:rsidR="00332670" w:rsidRPr="000F1C42" w:rsidRDefault="00332670">
            <w:pPr>
              <w:rPr>
                <w:rFonts w:ascii="Times New Roman" w:hAnsi="Times New Roman"/>
                <w:sz w:val="20"/>
              </w:rPr>
            </w:pPr>
            <w:r w:rsidRPr="000F1C42">
              <w:rPr>
                <w:rFonts w:ascii="Times New Roman" w:hAnsi="Times New Roman"/>
                <w:sz w:val="20"/>
              </w:rPr>
              <w:t>-</w:t>
            </w:r>
          </w:p>
        </w:tc>
        <w:tc>
          <w:tcPr>
            <w:tcW w:w="1119"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w:t>
            </w:r>
          </w:p>
        </w:tc>
      </w:tr>
      <w:tr w:rsidR="00332670" w:rsidRPr="000F1C42">
        <w:trPr>
          <w:cantSplit/>
          <w:jc w:val="center"/>
        </w:trPr>
        <w:tc>
          <w:tcPr>
            <w:tcW w:w="1332" w:type="dxa"/>
          </w:tcPr>
          <w:p w:rsidR="00332670" w:rsidRPr="000F1C42" w:rsidRDefault="00332670">
            <w:pPr>
              <w:pStyle w:val="TextChar"/>
              <w:spacing w:before="0"/>
              <w:jc w:val="left"/>
              <w:rPr>
                <w:b/>
                <w:sz w:val="20"/>
                <w:lang w:val="pl-PL"/>
              </w:rPr>
            </w:pPr>
            <w:r w:rsidRPr="000F1C42">
              <w:rPr>
                <w:b/>
                <w:sz w:val="20"/>
                <w:lang w:val="pl-PL"/>
              </w:rPr>
              <w:t>AUC o-</w:t>
            </w:r>
            <w:r w:rsidRPr="000F1C42">
              <w:rPr>
                <w:b/>
                <w:sz w:val="20"/>
                <w:vertAlign w:val="subscript"/>
                <w:lang w:val="pl-PL"/>
              </w:rPr>
              <w:t>12</w:t>
            </w:r>
          </w:p>
          <w:p w:rsidR="00332670" w:rsidRPr="000F1C42" w:rsidRDefault="00332670">
            <w:pPr>
              <w:rPr>
                <w:rFonts w:ascii="Times New Roman" w:hAnsi="Times New Roman"/>
                <w:snapToGrid w:val="0"/>
                <w:sz w:val="20"/>
                <w:lang w:val="pl-PL"/>
              </w:rPr>
            </w:pPr>
            <w:r w:rsidRPr="000F1C42">
              <w:rPr>
                <w:rFonts w:ascii="Times New Roman" w:hAnsi="Times New Roman"/>
                <w:b/>
                <w:sz w:val="20"/>
                <w:lang w:val="pl-PL"/>
              </w:rPr>
              <w:t>(ug*hr/mL)</w:t>
            </w:r>
          </w:p>
        </w:tc>
        <w:tc>
          <w:tcPr>
            <w:tcW w:w="1674" w:type="dxa"/>
          </w:tcPr>
          <w:p w:rsidR="00332670" w:rsidRPr="000F1C42" w:rsidRDefault="00332670" w:rsidP="00F30F68">
            <w:pPr>
              <w:pStyle w:val="TextChar"/>
              <w:spacing w:before="0"/>
              <w:jc w:val="left"/>
              <w:rPr>
                <w:sz w:val="20"/>
              </w:rPr>
            </w:pPr>
            <w:r w:rsidRPr="000F1C42">
              <w:rPr>
                <w:sz w:val="20"/>
              </w:rPr>
              <w:t>-</w:t>
            </w:r>
          </w:p>
        </w:tc>
        <w:tc>
          <w:tcPr>
            <w:tcW w:w="1680" w:type="dxa"/>
          </w:tcPr>
          <w:p w:rsidR="00332670" w:rsidRPr="000F1C42" w:rsidRDefault="00332670" w:rsidP="00F866FC">
            <w:pPr>
              <w:rPr>
                <w:rFonts w:ascii="Times New Roman" w:hAnsi="Times New Roman"/>
                <w:snapToGrid w:val="0"/>
                <w:sz w:val="20"/>
                <w:lang w:val="en-GB"/>
              </w:rPr>
            </w:pPr>
            <w:r w:rsidRPr="000F1C42">
              <w:rPr>
                <w:rFonts w:ascii="Times New Roman" w:hAnsi="Times New Roman"/>
                <w:sz w:val="20"/>
              </w:rPr>
              <w:t>67.9 (20.3)</w:t>
            </w:r>
          </w:p>
        </w:tc>
        <w:tc>
          <w:tcPr>
            <w:tcW w:w="1680" w:type="dxa"/>
          </w:tcPr>
          <w:p w:rsidR="00332670" w:rsidRPr="000F1C42" w:rsidRDefault="00332670">
            <w:pPr>
              <w:rPr>
                <w:rFonts w:ascii="Times New Roman" w:hAnsi="Times New Roman"/>
                <w:sz w:val="20"/>
              </w:rPr>
            </w:pPr>
            <w:r w:rsidRPr="000F1C42">
              <w:rPr>
                <w:rFonts w:ascii="Times New Roman" w:hAnsi="Times New Roman"/>
                <w:sz w:val="20"/>
              </w:rPr>
              <w:t>71.2 (26.3)</w:t>
            </w:r>
          </w:p>
        </w:tc>
        <w:tc>
          <w:tcPr>
            <w:tcW w:w="1119"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29.1 (10.4)</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50.7 (17.3)</w:t>
            </w:r>
          </w:p>
        </w:tc>
        <w:tc>
          <w:tcPr>
            <w:tcW w:w="898" w:type="dxa"/>
          </w:tcPr>
          <w:p w:rsidR="00332670" w:rsidRPr="000F1C42" w:rsidRDefault="00332670">
            <w:pPr>
              <w:rPr>
                <w:rFonts w:ascii="Times New Roman" w:hAnsi="Times New Roman"/>
                <w:snapToGrid w:val="0"/>
                <w:sz w:val="20"/>
                <w:lang w:val="en-GB"/>
              </w:rPr>
            </w:pPr>
            <w:r w:rsidRPr="000F1C42">
              <w:rPr>
                <w:rFonts w:ascii="Times New Roman" w:hAnsi="Times New Roman"/>
                <w:sz w:val="20"/>
              </w:rPr>
              <w:t>55.7 (14.6)</w:t>
            </w:r>
          </w:p>
        </w:tc>
      </w:tr>
    </w:tbl>
    <w:p w:rsidR="00395F64" w:rsidRPr="000F1C42" w:rsidRDefault="00395F64" w:rsidP="00F30F68">
      <w:pPr>
        <w:pStyle w:val="Heading3"/>
        <w:spacing w:before="100" w:beforeAutospacing="1"/>
      </w:pPr>
      <w:r w:rsidRPr="000F1C42">
        <w:t>Pharmacokinetics in special patient groups:</w:t>
      </w:r>
    </w:p>
    <w:p w:rsidR="00395F64" w:rsidRPr="000F1C42" w:rsidRDefault="00395F64" w:rsidP="00F30F68">
      <w:pPr>
        <w:tabs>
          <w:tab w:val="left" w:pos="-720"/>
        </w:tabs>
        <w:spacing w:after="100" w:afterAutospacing="1" w:line="320" w:lineRule="atLeast"/>
        <w:outlineLvl w:val="0"/>
        <w:rPr>
          <w:rFonts w:ascii="Times New Roman" w:hAnsi="Times New Roman"/>
        </w:rPr>
      </w:pPr>
      <w:r w:rsidRPr="000F1C42">
        <w:rPr>
          <w:rFonts w:ascii="Times New Roman" w:hAnsi="Times New Roman"/>
          <w:u w:val="single"/>
        </w:rPr>
        <w:t>Gender</w:t>
      </w:r>
      <w:r w:rsidRPr="000F1C42">
        <w:rPr>
          <w:rFonts w:ascii="Times New Roman" w:hAnsi="Times New Roman"/>
        </w:rPr>
        <w:t xml:space="preserve">: There are no clinically significant gender differences in </w:t>
      </w:r>
      <w:proofErr w:type="spellStart"/>
      <w:r w:rsidRPr="000F1C42">
        <w:rPr>
          <w:rFonts w:ascii="Times New Roman" w:hAnsi="Times New Roman"/>
        </w:rPr>
        <w:t>Myfortic</w:t>
      </w:r>
      <w:proofErr w:type="spellEnd"/>
      <w:r w:rsidRPr="000F1C42">
        <w:rPr>
          <w:rFonts w:ascii="Times New Roman" w:hAnsi="Times New Roman"/>
        </w:rPr>
        <w:t xml:space="preserve"> pharmacokinetics.</w:t>
      </w:r>
    </w:p>
    <w:p w:rsidR="00395F64" w:rsidRPr="000F1C42" w:rsidRDefault="00395F64" w:rsidP="00F30F68">
      <w:pPr>
        <w:tabs>
          <w:tab w:val="left" w:pos="-720"/>
        </w:tabs>
        <w:spacing w:before="100" w:beforeAutospacing="1" w:after="100" w:afterAutospacing="1" w:line="320" w:lineRule="atLeast"/>
        <w:rPr>
          <w:rFonts w:ascii="Times New Roman" w:hAnsi="Times New Roman"/>
        </w:rPr>
      </w:pPr>
      <w:r w:rsidRPr="000F1C42">
        <w:rPr>
          <w:rFonts w:ascii="Times New Roman" w:hAnsi="Times New Roman"/>
          <w:u w:val="single"/>
        </w:rPr>
        <w:t>Elderly</w:t>
      </w:r>
      <w:r w:rsidRPr="000F1C42">
        <w:rPr>
          <w:rFonts w:ascii="Times New Roman" w:hAnsi="Times New Roman"/>
        </w:rPr>
        <w:t xml:space="preserve">: Pharmacokinetics in the elderly </w:t>
      </w:r>
      <w:proofErr w:type="gramStart"/>
      <w:r w:rsidRPr="000F1C42">
        <w:rPr>
          <w:rFonts w:ascii="Times New Roman" w:hAnsi="Times New Roman"/>
        </w:rPr>
        <w:t>have</w:t>
      </w:r>
      <w:proofErr w:type="gramEnd"/>
      <w:r w:rsidRPr="000F1C42">
        <w:rPr>
          <w:rFonts w:ascii="Times New Roman" w:hAnsi="Times New Roman"/>
        </w:rPr>
        <w:t xml:space="preserve"> not been formally studied.  The exposure of MPA does not appear to vary to a clinically significant degree by age.</w:t>
      </w:r>
    </w:p>
    <w:p w:rsidR="00395F64" w:rsidRPr="000F1C42" w:rsidRDefault="00395F64" w:rsidP="00F30F68">
      <w:pPr>
        <w:tabs>
          <w:tab w:val="left" w:pos="-720"/>
        </w:tabs>
        <w:spacing w:before="100" w:beforeAutospacing="1" w:after="100" w:afterAutospacing="1" w:line="320" w:lineRule="atLeast"/>
        <w:outlineLvl w:val="0"/>
        <w:rPr>
          <w:rFonts w:ascii="Times New Roman" w:hAnsi="Times New Roman"/>
        </w:rPr>
      </w:pPr>
      <w:r w:rsidRPr="000F1C42">
        <w:rPr>
          <w:rFonts w:ascii="Times New Roman" w:hAnsi="Times New Roman"/>
          <w:u w:val="single"/>
        </w:rPr>
        <w:t>Impaired renal function</w:t>
      </w:r>
      <w:r w:rsidRPr="000F1C42">
        <w:rPr>
          <w:rFonts w:ascii="Times New Roman" w:hAnsi="Times New Roman"/>
        </w:rPr>
        <w:t xml:space="preserve">: There are no data for </w:t>
      </w:r>
      <w:proofErr w:type="spellStart"/>
      <w:r w:rsidRPr="000F1C42">
        <w:rPr>
          <w:rFonts w:ascii="Times New Roman" w:hAnsi="Times New Roman"/>
        </w:rPr>
        <w:t>Myfortic</w:t>
      </w:r>
      <w:proofErr w:type="spellEnd"/>
      <w:r w:rsidRPr="000F1C42">
        <w:rPr>
          <w:rFonts w:ascii="Times New Roman" w:hAnsi="Times New Roman"/>
        </w:rPr>
        <w:t xml:space="preserve">.  After a single dose of </w:t>
      </w:r>
      <w:proofErr w:type="spellStart"/>
      <w:r w:rsidRPr="000F1C42">
        <w:rPr>
          <w:rFonts w:ascii="Times New Roman" w:hAnsi="Times New Roman"/>
        </w:rPr>
        <w:t>mycophenolate</w:t>
      </w:r>
      <w:proofErr w:type="spellEnd"/>
      <w:r w:rsidRPr="000F1C42">
        <w:rPr>
          <w:rFonts w:ascii="Times New Roman" w:hAnsi="Times New Roman"/>
        </w:rPr>
        <w:t xml:space="preserve"> </w:t>
      </w:r>
      <w:proofErr w:type="spellStart"/>
      <w:r w:rsidRPr="000F1C42">
        <w:rPr>
          <w:rFonts w:ascii="Times New Roman" w:hAnsi="Times New Roman"/>
        </w:rPr>
        <w:t>mofetil</w:t>
      </w:r>
      <w:proofErr w:type="spellEnd"/>
      <w:r w:rsidRPr="000F1C42">
        <w:rPr>
          <w:rFonts w:ascii="Times New Roman" w:hAnsi="Times New Roman"/>
        </w:rPr>
        <w:t xml:space="preserve"> containing an equivalent amount of MPA to 720 mg of </w:t>
      </w:r>
      <w:proofErr w:type="spellStart"/>
      <w:r w:rsidRPr="000F1C42">
        <w:rPr>
          <w:rFonts w:ascii="Times New Roman" w:hAnsi="Times New Roman"/>
        </w:rPr>
        <w:t>Myfortic</w:t>
      </w:r>
      <w:proofErr w:type="spellEnd"/>
      <w:r w:rsidRPr="000F1C42">
        <w:rPr>
          <w:rFonts w:ascii="Times New Roman" w:hAnsi="Times New Roman"/>
        </w:rPr>
        <w:t xml:space="preserve">, clearance of MPA appeared to be reduced with increasing levels of renal impairment.  The area under the MPA plasma concentration – time curve (MPA exposure) increased by up to 30% in patients with mild to moderate renal impairment (GFR 25-80 </w:t>
      </w:r>
      <w:proofErr w:type="spellStart"/>
      <w:r w:rsidRPr="000F1C42">
        <w:rPr>
          <w:rFonts w:ascii="Times New Roman" w:hAnsi="Times New Roman"/>
        </w:rPr>
        <w:t>mL</w:t>
      </w:r>
      <w:proofErr w:type="spellEnd"/>
      <w:r w:rsidRPr="000F1C42">
        <w:rPr>
          <w:rFonts w:ascii="Times New Roman" w:hAnsi="Times New Roman"/>
        </w:rPr>
        <w:t>/min/1.73m</w:t>
      </w:r>
      <w:r w:rsidRPr="000F1C42">
        <w:rPr>
          <w:rFonts w:ascii="Times New Roman" w:hAnsi="Times New Roman"/>
          <w:vertAlign w:val="superscript"/>
        </w:rPr>
        <w:t>2</w:t>
      </w:r>
      <w:r w:rsidRPr="000F1C42">
        <w:rPr>
          <w:rFonts w:ascii="Times New Roman" w:hAnsi="Times New Roman"/>
        </w:rPr>
        <w:t xml:space="preserve">) and 75% in patients with severe renal impairment (GFR &lt; 25 </w:t>
      </w:r>
      <w:proofErr w:type="spellStart"/>
      <w:r w:rsidRPr="000F1C42">
        <w:rPr>
          <w:rFonts w:ascii="Times New Roman" w:hAnsi="Times New Roman"/>
        </w:rPr>
        <w:t>mL</w:t>
      </w:r>
      <w:proofErr w:type="spellEnd"/>
      <w:r w:rsidRPr="000F1C42">
        <w:rPr>
          <w:rFonts w:ascii="Times New Roman" w:hAnsi="Times New Roman"/>
        </w:rPr>
        <w:t>/min/1.73m</w:t>
      </w:r>
      <w:r w:rsidRPr="000F1C42">
        <w:rPr>
          <w:rFonts w:ascii="Times New Roman" w:hAnsi="Times New Roman"/>
          <w:vertAlign w:val="superscript"/>
        </w:rPr>
        <w:t>2</w:t>
      </w:r>
      <w:r w:rsidRPr="000F1C42">
        <w:rPr>
          <w:rFonts w:ascii="Times New Roman" w:hAnsi="Times New Roman"/>
        </w:rPr>
        <w:t>)</w:t>
      </w:r>
      <w:r w:rsidR="00BA2081" w:rsidRPr="000F1C42">
        <w:rPr>
          <w:rFonts w:ascii="Times New Roman" w:hAnsi="Times New Roman"/>
        </w:rPr>
        <w:t>. H</w:t>
      </w:r>
      <w:r w:rsidRPr="000F1C42">
        <w:rPr>
          <w:rFonts w:ascii="Times New Roman" w:hAnsi="Times New Roman"/>
        </w:rPr>
        <w:t xml:space="preserve">owever, there </w:t>
      </w:r>
      <w:r w:rsidRPr="000F1C42">
        <w:rPr>
          <w:rFonts w:ascii="Times New Roman" w:hAnsi="Times New Roman"/>
        </w:rPr>
        <w:lastRenderedPageBreak/>
        <w:t>was considerable variability and small numbers of subjects (6-7 at each level of renal impairment).  MPAG exposure was 3</w:t>
      </w:r>
      <w:r w:rsidR="00BA2081" w:rsidRPr="000F1C42">
        <w:rPr>
          <w:rFonts w:ascii="Times New Roman" w:hAnsi="Times New Roman"/>
        </w:rPr>
        <w:t xml:space="preserve"> to </w:t>
      </w:r>
      <w:r w:rsidRPr="000F1C42">
        <w:rPr>
          <w:rFonts w:ascii="Times New Roman" w:hAnsi="Times New Roman"/>
        </w:rPr>
        <w:t>6</w:t>
      </w:r>
      <w:r w:rsidR="00BA2081" w:rsidRPr="000F1C42">
        <w:rPr>
          <w:rFonts w:ascii="Times New Roman" w:hAnsi="Times New Roman"/>
        </w:rPr>
        <w:t>-</w:t>
      </w:r>
      <w:r w:rsidRPr="000F1C42">
        <w:rPr>
          <w:rFonts w:ascii="Times New Roman" w:hAnsi="Times New Roman"/>
        </w:rPr>
        <w:t>fold higher in subjects with moderate to severe renal impairment, which was consistent with renal elimination of MPAG.</w:t>
      </w:r>
    </w:p>
    <w:p w:rsidR="00395F64" w:rsidRPr="000F1C42" w:rsidRDefault="00395F64" w:rsidP="00F30F68">
      <w:pPr>
        <w:tabs>
          <w:tab w:val="left" w:pos="-720"/>
        </w:tabs>
        <w:spacing w:before="100" w:beforeAutospacing="1" w:after="100" w:afterAutospacing="1" w:line="320" w:lineRule="atLeast"/>
        <w:outlineLvl w:val="0"/>
        <w:rPr>
          <w:rFonts w:ascii="Times New Roman" w:hAnsi="Times New Roman"/>
        </w:rPr>
      </w:pPr>
      <w:r w:rsidRPr="000F1C42">
        <w:rPr>
          <w:rFonts w:ascii="Times New Roman" w:hAnsi="Times New Roman"/>
        </w:rPr>
        <w:t>At higher MPAG concentrations (observed in patients with renal impairment or delayed graft function)</w:t>
      </w:r>
      <w:proofErr w:type="gramStart"/>
      <w:r w:rsidRPr="000F1C42">
        <w:rPr>
          <w:rFonts w:ascii="Times New Roman" w:hAnsi="Times New Roman"/>
        </w:rPr>
        <w:t>,</w:t>
      </w:r>
      <w:proofErr w:type="gramEnd"/>
      <w:r w:rsidRPr="000F1C42">
        <w:rPr>
          <w:rFonts w:ascii="Times New Roman" w:hAnsi="Times New Roman"/>
        </w:rPr>
        <w:t xml:space="preserve"> plasma protein binding of MPA may be reduced as a result of competition between MPAG and MPA for binding sites.  This would result in increased free MPA in plasma.</w:t>
      </w:r>
    </w:p>
    <w:p w:rsidR="00395F64" w:rsidRPr="000F1C42" w:rsidRDefault="00395F64" w:rsidP="00F30F68">
      <w:pPr>
        <w:tabs>
          <w:tab w:val="left" w:pos="-720"/>
        </w:tabs>
        <w:spacing w:before="100" w:beforeAutospacing="1" w:after="100" w:afterAutospacing="1" w:line="320" w:lineRule="atLeast"/>
        <w:outlineLvl w:val="0"/>
        <w:rPr>
          <w:rFonts w:ascii="Times New Roman" w:hAnsi="Times New Roman"/>
        </w:rPr>
      </w:pPr>
      <w:r w:rsidRPr="000F1C42">
        <w:rPr>
          <w:rFonts w:ascii="Times New Roman" w:hAnsi="Times New Roman"/>
          <w:u w:val="single"/>
        </w:rPr>
        <w:t>Impaired hepatic function</w:t>
      </w:r>
      <w:r w:rsidRPr="000F1C42">
        <w:rPr>
          <w:rFonts w:ascii="Times New Roman" w:hAnsi="Times New Roman"/>
        </w:rPr>
        <w:t xml:space="preserve">: There are no data for </w:t>
      </w:r>
      <w:proofErr w:type="spellStart"/>
      <w:r w:rsidRPr="000F1C42">
        <w:rPr>
          <w:rFonts w:ascii="Times New Roman" w:hAnsi="Times New Roman"/>
        </w:rPr>
        <w:t>Myfortic</w:t>
      </w:r>
      <w:proofErr w:type="spellEnd"/>
      <w:r w:rsidRPr="000F1C42">
        <w:rPr>
          <w:rFonts w:ascii="Times New Roman" w:hAnsi="Times New Roman"/>
        </w:rPr>
        <w:t xml:space="preserve">.  After a single dose of </w:t>
      </w:r>
      <w:proofErr w:type="spellStart"/>
      <w:r w:rsidRPr="000F1C42">
        <w:rPr>
          <w:rFonts w:ascii="Times New Roman" w:hAnsi="Times New Roman"/>
        </w:rPr>
        <w:t>mycophenolate</w:t>
      </w:r>
      <w:proofErr w:type="spellEnd"/>
      <w:r w:rsidRPr="000F1C42">
        <w:rPr>
          <w:rFonts w:ascii="Times New Roman" w:hAnsi="Times New Roman"/>
        </w:rPr>
        <w:t xml:space="preserve"> </w:t>
      </w:r>
      <w:proofErr w:type="spellStart"/>
      <w:r w:rsidRPr="000F1C42">
        <w:rPr>
          <w:rFonts w:ascii="Times New Roman" w:hAnsi="Times New Roman"/>
        </w:rPr>
        <w:t>mofetil</w:t>
      </w:r>
      <w:proofErr w:type="spellEnd"/>
      <w:r w:rsidRPr="000F1C42">
        <w:rPr>
          <w:rFonts w:ascii="Times New Roman" w:hAnsi="Times New Roman"/>
        </w:rPr>
        <w:t xml:space="preserve"> equivalent to 720 mg MPA in patients with alcoholic cirrhosis, hepatic MPA </w:t>
      </w:r>
      <w:proofErr w:type="spellStart"/>
      <w:r w:rsidRPr="000F1C42">
        <w:rPr>
          <w:rFonts w:ascii="Times New Roman" w:hAnsi="Times New Roman"/>
        </w:rPr>
        <w:t>glucuronidation</w:t>
      </w:r>
      <w:proofErr w:type="spellEnd"/>
      <w:r w:rsidRPr="000F1C42">
        <w:rPr>
          <w:rFonts w:ascii="Times New Roman" w:hAnsi="Times New Roman"/>
        </w:rPr>
        <w:t xml:space="preserve"> processes were relatively unaffected by hepatic </w:t>
      </w:r>
      <w:proofErr w:type="spellStart"/>
      <w:r w:rsidRPr="000F1C42">
        <w:rPr>
          <w:rFonts w:ascii="Times New Roman" w:hAnsi="Times New Roman"/>
        </w:rPr>
        <w:t>parenchymal</w:t>
      </w:r>
      <w:proofErr w:type="spellEnd"/>
      <w:r w:rsidRPr="000F1C42">
        <w:rPr>
          <w:rFonts w:ascii="Times New Roman" w:hAnsi="Times New Roman"/>
        </w:rPr>
        <w:t xml:space="preserve"> disease.  Effects of hepatic disease on this process probably depend on the particular disease.  However, hepatic disease with predominantly </w:t>
      </w:r>
      <w:proofErr w:type="spellStart"/>
      <w:r w:rsidRPr="000F1C42">
        <w:rPr>
          <w:rFonts w:ascii="Times New Roman" w:hAnsi="Times New Roman"/>
        </w:rPr>
        <w:t>biliary</w:t>
      </w:r>
      <w:proofErr w:type="spellEnd"/>
      <w:r w:rsidRPr="000F1C42">
        <w:rPr>
          <w:rFonts w:ascii="Times New Roman" w:hAnsi="Times New Roman"/>
        </w:rPr>
        <w:t xml:space="preserve"> damage, such as primary </w:t>
      </w:r>
      <w:proofErr w:type="spellStart"/>
      <w:r w:rsidRPr="000F1C42">
        <w:rPr>
          <w:rFonts w:ascii="Times New Roman" w:hAnsi="Times New Roman"/>
        </w:rPr>
        <w:t>biliary</w:t>
      </w:r>
      <w:proofErr w:type="spellEnd"/>
      <w:r w:rsidRPr="000F1C42">
        <w:rPr>
          <w:rFonts w:ascii="Times New Roman" w:hAnsi="Times New Roman"/>
        </w:rPr>
        <w:t xml:space="preserve"> cirrhosis, may show a different effect.</w:t>
      </w:r>
    </w:p>
    <w:p w:rsidR="00395F64" w:rsidRPr="000F1C42" w:rsidRDefault="00395F64" w:rsidP="00F30F68">
      <w:pPr>
        <w:pStyle w:val="Heading2"/>
      </w:pPr>
      <w:r w:rsidRPr="000F1C42">
        <w:t>CLINICAL TRIALS</w:t>
      </w:r>
    </w:p>
    <w:p w:rsidR="003068D1" w:rsidRPr="00A714DC" w:rsidRDefault="003068D1" w:rsidP="00F30F68">
      <w:pPr>
        <w:pStyle w:val="Heading3"/>
      </w:pPr>
      <w:r w:rsidRPr="00A714DC">
        <w:t>Renal transplant</w:t>
      </w:r>
    </w:p>
    <w:p w:rsidR="00395F64" w:rsidRPr="000F1C42" w:rsidRDefault="00395F64" w:rsidP="00F30F68">
      <w:pPr>
        <w:pStyle w:val="TextChar"/>
        <w:spacing w:before="0" w:after="100" w:afterAutospacing="1" w:line="320" w:lineRule="atLeast"/>
        <w:jc w:val="left"/>
      </w:pPr>
      <w:r w:rsidRPr="000F1C42">
        <w:t xml:space="preserve">Two </w:t>
      </w:r>
      <w:proofErr w:type="gramStart"/>
      <w:r w:rsidRPr="000F1C42">
        <w:t>multi-centre</w:t>
      </w:r>
      <w:proofErr w:type="gramEnd"/>
      <w:r w:rsidRPr="000F1C42">
        <w:t xml:space="preserve">, </w:t>
      </w:r>
      <w:proofErr w:type="spellStart"/>
      <w:r w:rsidRPr="000F1C42">
        <w:t>randomised</w:t>
      </w:r>
      <w:proofErr w:type="spellEnd"/>
      <w:r w:rsidRPr="000F1C42">
        <w:t xml:space="preserve">, double-blind, parallel group studies were conducted in renal transplant patients.  The first study was conducted in newly transplanted patients and in the second study, maintenance renal transplant patients were </w:t>
      </w:r>
      <w:proofErr w:type="spellStart"/>
      <w:r w:rsidRPr="000F1C42">
        <w:t>randomised</w:t>
      </w:r>
      <w:proofErr w:type="spellEnd"/>
      <w:r w:rsidRPr="000F1C42">
        <w:t xml:space="preserve"> 1:1 to either remain on </w:t>
      </w:r>
      <w:proofErr w:type="spellStart"/>
      <w:r w:rsidR="00BA2081" w:rsidRPr="000F1C42">
        <w:t>mycophenolate</w:t>
      </w:r>
      <w:proofErr w:type="spellEnd"/>
      <w:r w:rsidR="00BA2081" w:rsidRPr="000F1C42">
        <w:t xml:space="preserve"> </w:t>
      </w:r>
      <w:proofErr w:type="spellStart"/>
      <w:r w:rsidR="00BA2081" w:rsidRPr="000F1C42">
        <w:t>mofetil</w:t>
      </w:r>
      <w:proofErr w:type="spellEnd"/>
      <w:r w:rsidR="00BA2081" w:rsidRPr="000F1C42">
        <w:t xml:space="preserve"> (</w:t>
      </w:r>
      <w:r w:rsidRPr="000F1C42">
        <w:t>MMF</w:t>
      </w:r>
      <w:r w:rsidR="00BA2081" w:rsidRPr="000F1C42">
        <w:t>)</w:t>
      </w:r>
      <w:r w:rsidRPr="000F1C42">
        <w:t xml:space="preserve"> or be switched to </w:t>
      </w:r>
      <w:proofErr w:type="spellStart"/>
      <w:r w:rsidRPr="000F1C42">
        <w:t>Myfortic</w:t>
      </w:r>
      <w:proofErr w:type="spellEnd"/>
      <w:r w:rsidRPr="000F1C42">
        <w:t>.  Both pivotal studies were reference therapy-controlled clinical studies using commercially marketed MMF as the comparator.</w:t>
      </w:r>
    </w:p>
    <w:p w:rsidR="00395F64" w:rsidRPr="00F30F68" w:rsidRDefault="00395F64" w:rsidP="00F30F68">
      <w:pPr>
        <w:pStyle w:val="Heading4"/>
      </w:pPr>
      <w:r w:rsidRPr="00F30F68">
        <w:t xml:space="preserve">De novo </w:t>
      </w:r>
      <w:r w:rsidRPr="00F30F68">
        <w:rPr>
          <w:i/>
        </w:rPr>
        <w:t>Renal Transplant Patients</w:t>
      </w:r>
    </w:p>
    <w:p w:rsidR="00395F64" w:rsidRPr="000F1C42" w:rsidRDefault="00395F64">
      <w:pPr>
        <w:pStyle w:val="TextChar"/>
        <w:spacing w:before="0" w:line="320" w:lineRule="atLeast"/>
        <w:jc w:val="left"/>
      </w:pPr>
      <w:r w:rsidRPr="000F1C42">
        <w:t xml:space="preserve">A total of 423 patients were </w:t>
      </w:r>
      <w:proofErr w:type="spellStart"/>
      <w:r w:rsidRPr="000F1C42">
        <w:t>randomised</w:t>
      </w:r>
      <w:proofErr w:type="spellEnd"/>
      <w:r w:rsidRPr="000F1C42">
        <w:t xml:space="preserve"> within 48 hours of renal transplantation, 213 to </w:t>
      </w:r>
      <w:proofErr w:type="spellStart"/>
      <w:r w:rsidRPr="000F1C42">
        <w:t>Myfortic</w:t>
      </w:r>
      <w:proofErr w:type="spellEnd"/>
      <w:r w:rsidRPr="000F1C42">
        <w:t xml:space="preserve"> (1.44 g/ day, 720 mg bid) and 210 to MMF (2 g/day, 1 g bid) as part of triple immunosuppressive therapy with </w:t>
      </w:r>
      <w:proofErr w:type="spellStart"/>
      <w:r w:rsidRPr="000F1C42">
        <w:t>Neoral</w:t>
      </w:r>
      <w:proofErr w:type="spellEnd"/>
      <w:r w:rsidRPr="000F1C42">
        <w:t xml:space="preserve"> and steroids.  The aim of the study was to show therapeutic equivalence of </w:t>
      </w:r>
      <w:proofErr w:type="spellStart"/>
      <w:r w:rsidRPr="000F1C42">
        <w:t>Myfortic</w:t>
      </w:r>
      <w:proofErr w:type="spellEnd"/>
      <w:r w:rsidRPr="000F1C42">
        <w:t xml:space="preserve"> to MMF as measured by the incidence of biopsy-proven acute rejection, graft loss, death or lost to follow-up at 6 and 12 months of treatment. All patients contributed data at 6 and 12 months. Efficacy results are reported in Table 2 for the intent-to-treat population.  Similar results were obtained for the per protocol analysis – an analysis which excluded patients with serious protocol violations.</w:t>
      </w:r>
    </w:p>
    <w:p w:rsidR="00395F64" w:rsidRPr="000F1C42" w:rsidRDefault="00395F64" w:rsidP="00F30F68">
      <w:pPr>
        <w:pStyle w:val="TextChar"/>
        <w:spacing w:before="0" w:after="100" w:afterAutospacing="1" w:line="320" w:lineRule="atLeast"/>
        <w:jc w:val="left"/>
        <w:rPr>
          <w:b/>
        </w:rPr>
      </w:pPr>
      <w:r w:rsidRPr="000F1C42">
        <w:br w:type="page"/>
      </w:r>
      <w:r w:rsidRPr="000F1C42">
        <w:rPr>
          <w:b/>
        </w:rPr>
        <w:lastRenderedPageBreak/>
        <w:t>Table 2: Analysis of primary efficacy endpoint and its components at 6 and 12 months (Study ERL B301)</w:t>
      </w:r>
    </w:p>
    <w:tbl>
      <w:tblPr>
        <w:tblW w:w="0" w:type="auto"/>
        <w:tblInd w:w="108" w:type="dxa"/>
        <w:tblBorders>
          <w:top w:val="single" w:sz="4" w:space="0" w:color="auto"/>
          <w:bottom w:val="single" w:sz="4" w:space="0" w:color="auto"/>
        </w:tblBorders>
        <w:tblLayout w:type="fixed"/>
        <w:tblLook w:val="0000"/>
      </w:tblPr>
      <w:tblGrid>
        <w:gridCol w:w="3544"/>
        <w:gridCol w:w="1701"/>
        <w:gridCol w:w="1701"/>
        <w:gridCol w:w="1985"/>
      </w:tblGrid>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b/>
              </w:rPr>
            </w:pPr>
            <w:proofErr w:type="spellStart"/>
            <w:r w:rsidRPr="000F1C42">
              <w:rPr>
                <w:rFonts w:ascii="Times New Roman" w:hAnsi="Times New Roman"/>
                <w:b/>
              </w:rPr>
              <w:t>Myfortic</w:t>
            </w:r>
            <w:proofErr w:type="spellEnd"/>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1.44 g/day</w:t>
            </w:r>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(n = 213)</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MMF</w:t>
            </w:r>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2 g/day</w:t>
            </w:r>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(n = 210)</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95% CI</w:t>
            </w:r>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ERL-MMF</w:t>
            </w:r>
          </w:p>
        </w:tc>
      </w:tr>
      <w:tr w:rsidR="00395F64" w:rsidRPr="000F1C42">
        <w:trPr>
          <w:cantSplit/>
        </w:trPr>
        <w:tc>
          <w:tcPr>
            <w:tcW w:w="3544" w:type="dxa"/>
            <w:tcBorders>
              <w:top w:val="nil"/>
              <w:left w:val="single" w:sz="4" w:space="0" w:color="auto"/>
              <w:bottom w:val="nil"/>
              <w:right w:val="single" w:sz="4" w:space="0" w:color="auto"/>
            </w:tcBorders>
          </w:tcPr>
          <w:p w:rsidR="00395F64" w:rsidRPr="000F1C42" w:rsidRDefault="00395F64">
            <w:pPr>
              <w:pStyle w:val="Table0"/>
              <w:spacing w:before="0" w:after="0"/>
              <w:rPr>
                <w:rFonts w:ascii="Times New Roman" w:hAnsi="Times New Roman"/>
                <w:b/>
              </w:rPr>
            </w:pPr>
            <w:r w:rsidRPr="000F1C42">
              <w:rPr>
                <w:rFonts w:ascii="Times New Roman" w:hAnsi="Times New Roman"/>
                <w:b/>
              </w:rPr>
              <w:t>6 months</w:t>
            </w:r>
          </w:p>
        </w:tc>
        <w:tc>
          <w:tcPr>
            <w:tcW w:w="1701" w:type="dxa"/>
            <w:tcBorders>
              <w:top w:val="nil"/>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roofErr w:type="gramStart"/>
            <w:r w:rsidRPr="000F1C42">
              <w:rPr>
                <w:rFonts w:ascii="Times New Roman" w:hAnsi="Times New Roman"/>
              </w:rPr>
              <w:t>n</w:t>
            </w:r>
            <w:proofErr w:type="gramEnd"/>
            <w:r w:rsidRPr="000F1C42">
              <w:rPr>
                <w:rFonts w:ascii="Times New Roman" w:hAnsi="Times New Roman"/>
              </w:rPr>
              <w:t xml:space="preserve"> (%)</w:t>
            </w:r>
          </w:p>
        </w:tc>
        <w:tc>
          <w:tcPr>
            <w:tcW w:w="1701" w:type="dxa"/>
            <w:tcBorders>
              <w:top w:val="nil"/>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roofErr w:type="gramStart"/>
            <w:r w:rsidRPr="000F1C42">
              <w:rPr>
                <w:rFonts w:ascii="Times New Roman" w:hAnsi="Times New Roman"/>
              </w:rPr>
              <w:t>n</w:t>
            </w:r>
            <w:proofErr w:type="gramEnd"/>
            <w:r w:rsidRPr="000F1C42">
              <w:rPr>
                <w:rFonts w:ascii="Times New Roman" w:hAnsi="Times New Roman"/>
              </w:rPr>
              <w:t xml:space="preserve"> (%)</w:t>
            </w:r>
          </w:p>
        </w:tc>
        <w:tc>
          <w:tcPr>
            <w:tcW w:w="1985" w:type="dxa"/>
            <w:tcBorders>
              <w:top w:val="nil"/>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r w:rsidR="00395F64" w:rsidRPr="000F1C42">
        <w:tc>
          <w:tcPr>
            <w:tcW w:w="3544" w:type="dxa"/>
            <w:tcBorders>
              <w:top w:val="single" w:sz="4" w:space="0" w:color="auto"/>
              <w:left w:val="single" w:sz="4" w:space="0" w:color="auto"/>
              <w:bottom w:val="single" w:sz="4" w:space="0" w:color="auto"/>
              <w:right w:val="single" w:sz="4" w:space="0" w:color="auto"/>
            </w:tcBorders>
            <w:shd w:val="clear" w:color="auto" w:fill="FFFFFF"/>
          </w:tcPr>
          <w:p w:rsidR="00395F64" w:rsidRPr="000F1C42" w:rsidRDefault="00395F64">
            <w:pPr>
              <w:pStyle w:val="Table0"/>
              <w:spacing w:before="0" w:after="0"/>
              <w:rPr>
                <w:rFonts w:ascii="Times New Roman" w:hAnsi="Times New Roman"/>
                <w:vertAlign w:val="superscript"/>
              </w:rPr>
            </w:pPr>
            <w:r w:rsidRPr="000F1C42">
              <w:rPr>
                <w:rFonts w:ascii="Times New Roman" w:hAnsi="Times New Roman"/>
              </w:rPr>
              <w:t xml:space="preserve">Biopsy-proven acute rejection episode, graft loss, death or lost to follow-up </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55 (25.8)</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55 (26.2)</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(-8.7, 8.0)</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0"/>
              </w:tabs>
              <w:spacing w:before="0" w:after="0"/>
              <w:rPr>
                <w:rFonts w:ascii="Times New Roman" w:hAnsi="Times New Roman"/>
              </w:rPr>
            </w:pPr>
            <w:r w:rsidRPr="000F1C42">
              <w:rPr>
                <w:rFonts w:ascii="Times New Roman" w:hAnsi="Times New Roman"/>
              </w:rPr>
              <w:t>Biopsy proven acute rejection episode</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46 (21.6)</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48 (22.9)</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(-9.2, 6.7)</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Graft loss or death</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8 (3.8)</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11 (5.2)</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(-5.4, 2.5)</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Graft loss</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7 (3.3)</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9 (4.3)</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(-4.6, 2.6)</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Death</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 (0.5)</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2 (1.0)</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Lost to follow-up*</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3 (1.4)</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0</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r w:rsidR="00395F64" w:rsidRPr="000F1C42">
        <w:trPr>
          <w:cantSplit/>
        </w:trPr>
        <w:tc>
          <w:tcPr>
            <w:tcW w:w="8931" w:type="dxa"/>
            <w:gridSpan w:val="4"/>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rPr>
                <w:rFonts w:ascii="Times New Roman" w:hAnsi="Times New Roman"/>
                <w:b/>
              </w:rPr>
            </w:pPr>
            <w:r w:rsidRPr="000F1C42">
              <w:rPr>
                <w:rFonts w:ascii="Times New Roman" w:hAnsi="Times New Roman"/>
                <w:b/>
              </w:rPr>
              <w:t>12 months</w:t>
            </w:r>
          </w:p>
        </w:tc>
      </w:tr>
      <w:tr w:rsidR="00395F64" w:rsidRPr="000F1C42">
        <w:tc>
          <w:tcPr>
            <w:tcW w:w="3544" w:type="dxa"/>
            <w:tcBorders>
              <w:top w:val="single" w:sz="4" w:space="0" w:color="auto"/>
              <w:left w:val="single" w:sz="4" w:space="0" w:color="auto"/>
              <w:bottom w:val="single" w:sz="4" w:space="0" w:color="auto"/>
              <w:right w:val="single" w:sz="4" w:space="0" w:color="auto"/>
            </w:tcBorders>
            <w:shd w:val="clear" w:color="auto" w:fill="FFFFFF"/>
          </w:tcPr>
          <w:p w:rsidR="00395F64" w:rsidRPr="000F1C42" w:rsidRDefault="00395F64">
            <w:pPr>
              <w:pStyle w:val="Table0"/>
              <w:spacing w:before="0" w:after="0"/>
              <w:rPr>
                <w:rFonts w:ascii="Times New Roman" w:hAnsi="Times New Roman"/>
                <w:vertAlign w:val="superscript"/>
              </w:rPr>
            </w:pPr>
            <w:r w:rsidRPr="000F1C42">
              <w:rPr>
                <w:rFonts w:ascii="Times New Roman" w:hAnsi="Times New Roman"/>
              </w:rPr>
              <w:t>Biopsy-proven acute rejection episode, graft loss, death or lost to follow-up</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60 (28.2)</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59 ( 28.1)</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(-8.5, 8.6)</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Biopsy proven acute rejection episode</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48 (22.5)</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51 (24.3)</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(-9.8, 6.3)</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Graft loss or death</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10 (4.7)</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14 (6.7)</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(-6.4, 2.4)</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Graft loss</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8 (3.8)</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9 (4.3)</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(-4.3, 3.2)</w:t>
            </w: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Death</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2 (0.9)</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5 (2.4)</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r w:rsidR="00395F64" w:rsidRPr="000F1C42">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Lost to follow-up*</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5 (2.3)</w:t>
            </w:r>
          </w:p>
        </w:tc>
        <w:tc>
          <w:tcPr>
            <w:tcW w:w="1701"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0</w:t>
            </w:r>
          </w:p>
        </w:tc>
        <w:tc>
          <w:tcPr>
            <w:tcW w:w="1985"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bl>
    <w:p w:rsidR="00395F64" w:rsidRPr="000F1C42" w:rsidRDefault="00395F64">
      <w:pPr>
        <w:pStyle w:val="TextChar"/>
        <w:spacing w:before="0" w:line="320" w:lineRule="atLeast"/>
        <w:jc w:val="left"/>
        <w:rPr>
          <w:sz w:val="20"/>
        </w:rPr>
      </w:pPr>
      <w:r w:rsidRPr="000F1C42">
        <w:rPr>
          <w:sz w:val="20"/>
        </w:rPr>
        <w:t>* Lost to follow-up indicates patients that were lost to follow-up without prior biopsy-proven acute rejection, graft loss or death.</w:t>
      </w:r>
    </w:p>
    <w:p w:rsidR="00395F64" w:rsidRPr="000F1C42" w:rsidRDefault="00395F64">
      <w:pPr>
        <w:pStyle w:val="TextChar"/>
        <w:spacing w:before="0" w:line="320" w:lineRule="atLeast"/>
        <w:jc w:val="left"/>
      </w:pPr>
      <w:r w:rsidRPr="000F1C42">
        <w:rPr>
          <w:sz w:val="20"/>
        </w:rPr>
        <w:t>The criteria for therapeutic equivalence were met: the 95% CI for the difference in incidence of the primary variable (Biopsy-proven acute rejection episode, graft loss, death or lost to follow-up at Month 6) was entirely contained in the interval (</w:t>
      </w:r>
      <w:r w:rsidRPr="000F1C42">
        <w:rPr>
          <w:sz w:val="20"/>
        </w:rPr>
        <w:noBreakHyphen/>
        <w:t>12%, 12%).</w:t>
      </w:r>
    </w:p>
    <w:p w:rsidR="00395F64" w:rsidRPr="005E1CC5" w:rsidRDefault="00395F64" w:rsidP="007F0C54">
      <w:pPr>
        <w:pStyle w:val="Heading4"/>
        <w:spacing w:before="100" w:beforeAutospacing="1"/>
      </w:pPr>
      <w:r w:rsidRPr="005E1CC5">
        <w:t>Maintenance Renal Transplant Patients</w:t>
      </w:r>
    </w:p>
    <w:p w:rsidR="00395F64" w:rsidRPr="000F1C42" w:rsidRDefault="00395F64">
      <w:pPr>
        <w:pStyle w:val="TextChar"/>
        <w:spacing w:before="0" w:line="320" w:lineRule="atLeast"/>
        <w:jc w:val="left"/>
      </w:pPr>
      <w:r w:rsidRPr="000F1C42">
        <w:t xml:space="preserve">A total of 322 patients who were at least 6 months post-renal transplant and </w:t>
      </w:r>
      <w:proofErr w:type="spellStart"/>
      <w:r w:rsidRPr="000F1C42">
        <w:t>stabilised</w:t>
      </w:r>
      <w:proofErr w:type="spellEnd"/>
      <w:r w:rsidRPr="000F1C42">
        <w:t xml:space="preserve"> on 2 g MMF and </w:t>
      </w:r>
      <w:proofErr w:type="spellStart"/>
      <w:r w:rsidRPr="000F1C42">
        <w:t>Neoral</w:t>
      </w:r>
      <w:proofErr w:type="spellEnd"/>
      <w:r w:rsidRPr="000F1C42">
        <w:t xml:space="preserve">, were </w:t>
      </w:r>
      <w:proofErr w:type="spellStart"/>
      <w:r w:rsidRPr="000F1C42">
        <w:t>randomised</w:t>
      </w:r>
      <w:proofErr w:type="spellEnd"/>
      <w:r w:rsidRPr="000F1C42">
        <w:t xml:space="preserve">, 159 to </w:t>
      </w:r>
      <w:proofErr w:type="spellStart"/>
      <w:r w:rsidRPr="000F1C42">
        <w:t>Myfortic</w:t>
      </w:r>
      <w:proofErr w:type="spellEnd"/>
      <w:r w:rsidRPr="000F1C42">
        <w:t xml:space="preserve"> (1.44 g/ day, 720 mg bid) and 163 to MMF (2 g/day, 1 g bid) plus </w:t>
      </w:r>
      <w:proofErr w:type="spellStart"/>
      <w:r w:rsidRPr="000F1C42">
        <w:t>Neoral</w:t>
      </w:r>
      <w:proofErr w:type="spellEnd"/>
      <w:r w:rsidRPr="000F1C42">
        <w:t xml:space="preserve">, with or without steroids.  The primary objective was to demonstrate safety and tolerability of </w:t>
      </w:r>
      <w:proofErr w:type="spellStart"/>
      <w:r w:rsidRPr="000F1C42">
        <w:t>Myfortic</w:t>
      </w:r>
      <w:proofErr w:type="spellEnd"/>
      <w:r w:rsidRPr="000F1C42">
        <w:t xml:space="preserve"> compared to MMF and this objective was met.  Evaluation of efficacy was a secondary objective.  The incidence rate of biopsy-proven acute rejection, graft loss, death or lost to follow-up, and the incidence of suspected or biopsy-proven acute rejections within 6 and 12 months post-</w:t>
      </w:r>
      <w:proofErr w:type="spellStart"/>
      <w:r w:rsidRPr="000F1C42">
        <w:t>randomisation</w:t>
      </w:r>
      <w:proofErr w:type="spellEnd"/>
      <w:r w:rsidRPr="000F1C42">
        <w:t xml:space="preserve">, were compared across treatment groups.  All patients contributed data at 6 months, and 223 patients contributed data at 12 months.  </w:t>
      </w:r>
      <w:r w:rsidRPr="000F1C42">
        <w:rPr>
          <w:caps/>
        </w:rPr>
        <w:t>e</w:t>
      </w:r>
      <w:r w:rsidRPr="000F1C42">
        <w:t>fficacy results are shown in Table 3.</w:t>
      </w:r>
    </w:p>
    <w:p w:rsidR="00395F64" w:rsidRPr="000F1C42" w:rsidRDefault="00395F64" w:rsidP="007F0C54">
      <w:pPr>
        <w:pStyle w:val="TextChar"/>
        <w:spacing w:before="0" w:after="100" w:afterAutospacing="1" w:line="320" w:lineRule="atLeast"/>
        <w:rPr>
          <w:b/>
        </w:rPr>
      </w:pPr>
      <w:r w:rsidRPr="000F1C42">
        <w:rPr>
          <w:b/>
        </w:rPr>
        <w:br w:type="page"/>
      </w:r>
      <w:r w:rsidRPr="000F1C42">
        <w:rPr>
          <w:b/>
        </w:rPr>
        <w:lastRenderedPageBreak/>
        <w:t>Table 3: Secondary efficacy endpoints (Study ERL B302)</w:t>
      </w:r>
    </w:p>
    <w:tbl>
      <w:tblPr>
        <w:tblW w:w="0" w:type="auto"/>
        <w:tblInd w:w="108" w:type="dxa"/>
        <w:tblBorders>
          <w:top w:val="single" w:sz="4" w:space="0" w:color="auto"/>
          <w:bottom w:val="single" w:sz="4" w:space="0" w:color="auto"/>
        </w:tblBorders>
        <w:tblLayout w:type="fixed"/>
        <w:tblLook w:val="0000"/>
      </w:tblPr>
      <w:tblGrid>
        <w:gridCol w:w="3544"/>
        <w:gridCol w:w="1843"/>
        <w:gridCol w:w="1843"/>
        <w:gridCol w:w="1843"/>
      </w:tblGrid>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b/>
              </w:rPr>
            </w:pPr>
            <w:proofErr w:type="spellStart"/>
            <w:r w:rsidRPr="000F1C42">
              <w:rPr>
                <w:rFonts w:ascii="Times New Roman" w:hAnsi="Times New Roman"/>
                <w:b/>
              </w:rPr>
              <w:t>Myfortic</w:t>
            </w:r>
            <w:proofErr w:type="spellEnd"/>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1.44 g/day</w:t>
            </w:r>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(n = 159)</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MMF</w:t>
            </w:r>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2 g/day</w:t>
            </w:r>
          </w:p>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(n = 163)</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 xml:space="preserve"> (95% CI)</w:t>
            </w:r>
          </w:p>
          <w:p w:rsidR="00395F64" w:rsidRPr="000F1C42" w:rsidRDefault="00395F64">
            <w:pPr>
              <w:pStyle w:val="Table0"/>
              <w:spacing w:before="0" w:after="0"/>
              <w:jc w:val="center"/>
              <w:rPr>
                <w:rFonts w:ascii="Times New Roman" w:hAnsi="Times New Roman"/>
                <w:b/>
              </w:rPr>
            </w:pPr>
            <w:proofErr w:type="spellStart"/>
            <w:r w:rsidRPr="000F1C42">
              <w:rPr>
                <w:rFonts w:ascii="Times New Roman" w:hAnsi="Times New Roman"/>
                <w:b/>
              </w:rPr>
              <w:t>Myfortic</w:t>
            </w:r>
            <w:proofErr w:type="spellEnd"/>
            <w:r w:rsidRPr="000F1C42">
              <w:rPr>
                <w:rFonts w:ascii="Times New Roman" w:hAnsi="Times New Roman"/>
                <w:b/>
              </w:rPr>
              <w:t>-MMF</w:t>
            </w:r>
          </w:p>
        </w:tc>
      </w:tr>
      <w:tr w:rsidR="00395F64" w:rsidRPr="000F1C42" w:rsidTr="007F0C54">
        <w:trPr>
          <w:cantSplit/>
        </w:trPr>
        <w:tc>
          <w:tcPr>
            <w:tcW w:w="3544" w:type="dxa"/>
            <w:tcBorders>
              <w:top w:val="nil"/>
              <w:left w:val="single" w:sz="4" w:space="0" w:color="auto"/>
              <w:bottom w:val="nil"/>
              <w:right w:val="single" w:sz="4" w:space="0" w:color="auto"/>
            </w:tcBorders>
          </w:tcPr>
          <w:p w:rsidR="00395F64" w:rsidRPr="000F1C42" w:rsidRDefault="00395F64">
            <w:pPr>
              <w:pStyle w:val="Table0"/>
              <w:spacing w:before="0" w:after="0"/>
              <w:rPr>
                <w:rFonts w:ascii="Times New Roman" w:hAnsi="Times New Roman"/>
                <w:b/>
              </w:rPr>
            </w:pPr>
            <w:r w:rsidRPr="000F1C42">
              <w:rPr>
                <w:rFonts w:ascii="Times New Roman" w:hAnsi="Times New Roman"/>
                <w:b/>
              </w:rPr>
              <w:t>6 months</w:t>
            </w:r>
          </w:p>
        </w:tc>
        <w:tc>
          <w:tcPr>
            <w:tcW w:w="1843" w:type="dxa"/>
            <w:tcBorders>
              <w:top w:val="nil"/>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roofErr w:type="gramStart"/>
            <w:r w:rsidRPr="000F1C42">
              <w:rPr>
                <w:rFonts w:ascii="Times New Roman" w:hAnsi="Times New Roman"/>
              </w:rPr>
              <w:t>n</w:t>
            </w:r>
            <w:proofErr w:type="gramEnd"/>
            <w:r w:rsidRPr="000F1C42">
              <w:rPr>
                <w:rFonts w:ascii="Times New Roman" w:hAnsi="Times New Roman"/>
              </w:rPr>
              <w:t xml:space="preserve"> (%)</w:t>
            </w:r>
          </w:p>
        </w:tc>
        <w:tc>
          <w:tcPr>
            <w:tcW w:w="1843" w:type="dxa"/>
            <w:tcBorders>
              <w:top w:val="nil"/>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roofErr w:type="gramStart"/>
            <w:r w:rsidRPr="000F1C42">
              <w:rPr>
                <w:rFonts w:ascii="Times New Roman" w:hAnsi="Times New Roman"/>
              </w:rPr>
              <w:t>n</w:t>
            </w:r>
            <w:proofErr w:type="gramEnd"/>
            <w:r w:rsidRPr="000F1C42">
              <w:rPr>
                <w:rFonts w:ascii="Times New Roman" w:hAnsi="Times New Roman"/>
              </w:rPr>
              <w:t xml:space="preserve"> (%)</w:t>
            </w:r>
          </w:p>
        </w:tc>
        <w:tc>
          <w:tcPr>
            <w:tcW w:w="1843" w:type="dxa"/>
            <w:tcBorders>
              <w:top w:val="nil"/>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rPr>
                <w:rFonts w:ascii="Times New Roman" w:hAnsi="Times New Roman"/>
                <w:vertAlign w:val="superscript"/>
              </w:rPr>
            </w:pPr>
            <w:r w:rsidRPr="000F1C42">
              <w:rPr>
                <w:rFonts w:ascii="Times New Roman" w:hAnsi="Times New Roman"/>
              </w:rPr>
              <w:t xml:space="preserve">Biopsy-proven acute rejection episode, graft loss, death or lost to follow-up </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6 (3.8)</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10 (6.1)</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 xml:space="preserve"> (-7.1, 2.4)</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0"/>
              </w:tabs>
              <w:spacing w:before="0" w:after="0"/>
              <w:rPr>
                <w:rFonts w:ascii="Times New Roman" w:hAnsi="Times New Roman"/>
              </w:rPr>
            </w:pPr>
            <w:r w:rsidRPr="000F1C42">
              <w:rPr>
                <w:rFonts w:ascii="Times New Roman" w:hAnsi="Times New Roman"/>
              </w:rPr>
              <w:t>Biopsy-proven acute rejection episode, biopsy-proven chronic rejection, graft loss, death or lost to follow-up</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9 (5.7)</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11 (6.7)</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 xml:space="preserve"> (-6.4, 4.2)</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Acute rejection</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2 (1.3)</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3 (1.8)</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 xml:space="preserve"> (-10.9, 5.5)</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Biopsy-proven acute rejection</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2 (1.3)</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2 (1.2)</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Biopsy-proven chronic rejection</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 (2.5)</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 (2.5)</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Lost to follow-up*</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 ( 2.5)</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6 (3.7)</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Graft loss or death</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0</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2 (1.2)</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w:t>
            </w:r>
          </w:p>
        </w:tc>
      </w:tr>
      <w:tr w:rsidR="00395F64" w:rsidRPr="000F1C42" w:rsidTr="007F0C54">
        <w:trPr>
          <w:cantSplit/>
        </w:trPr>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rPr>
                <w:rFonts w:ascii="Times New Roman" w:hAnsi="Times New Roman"/>
                <w:b/>
              </w:rPr>
            </w:pPr>
            <w:r w:rsidRPr="000F1C42">
              <w:rPr>
                <w:rFonts w:ascii="Times New Roman" w:hAnsi="Times New Roman"/>
                <w:b/>
              </w:rPr>
              <w:t>12 months</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roofErr w:type="gramStart"/>
            <w:r w:rsidRPr="000F1C42">
              <w:rPr>
                <w:rFonts w:ascii="Times New Roman" w:hAnsi="Times New Roman"/>
              </w:rPr>
              <w:t>n</w:t>
            </w:r>
            <w:proofErr w:type="gramEnd"/>
            <w:r w:rsidRPr="000F1C42">
              <w:rPr>
                <w:rFonts w:ascii="Times New Roman" w:hAnsi="Times New Roman"/>
              </w:rPr>
              <w:t xml:space="preserve"> (%)</w:t>
            </w:r>
          </w:p>
          <w:p w:rsidR="00395F64" w:rsidRPr="000F1C42" w:rsidRDefault="00395F64">
            <w:pPr>
              <w:pStyle w:val="Table0"/>
              <w:spacing w:before="0" w:after="0"/>
              <w:jc w:val="center"/>
              <w:rPr>
                <w:rFonts w:ascii="Times New Roman" w:hAnsi="Times New Roman"/>
                <w:b/>
              </w:rPr>
            </w:pPr>
            <w:r w:rsidRPr="000F1C42">
              <w:rPr>
                <w:rFonts w:ascii="Times New Roman" w:hAnsi="Times New Roman"/>
              </w:rPr>
              <w:t>n =110</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roofErr w:type="gramStart"/>
            <w:r w:rsidRPr="000F1C42">
              <w:rPr>
                <w:rFonts w:ascii="Times New Roman" w:hAnsi="Times New Roman"/>
              </w:rPr>
              <w:t>n</w:t>
            </w:r>
            <w:proofErr w:type="gramEnd"/>
            <w:r w:rsidRPr="000F1C42">
              <w:rPr>
                <w:rFonts w:ascii="Times New Roman" w:hAnsi="Times New Roman"/>
              </w:rPr>
              <w:t xml:space="preserve"> (%)</w:t>
            </w:r>
          </w:p>
          <w:p w:rsidR="00395F64" w:rsidRPr="000F1C42" w:rsidRDefault="00395F64">
            <w:pPr>
              <w:pStyle w:val="Table0"/>
              <w:spacing w:before="0" w:after="0"/>
              <w:jc w:val="center"/>
              <w:rPr>
                <w:rFonts w:ascii="Times New Roman" w:hAnsi="Times New Roman"/>
                <w:b/>
              </w:rPr>
            </w:pPr>
            <w:r w:rsidRPr="000F1C42">
              <w:rPr>
                <w:rFonts w:ascii="Times New Roman" w:hAnsi="Times New Roman"/>
              </w:rPr>
              <w:t>n = 113</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b/>
              </w:rPr>
            </w:pPr>
            <w:r w:rsidRPr="000F1C42">
              <w:rPr>
                <w:rFonts w:ascii="Times New Roman" w:hAnsi="Times New Roman"/>
                <w:b/>
              </w:rPr>
              <w:t>-</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rPr>
                <w:rFonts w:ascii="Times New Roman" w:hAnsi="Times New Roman"/>
                <w:vertAlign w:val="superscript"/>
              </w:rPr>
            </w:pPr>
            <w:r w:rsidRPr="000F1C42">
              <w:rPr>
                <w:rFonts w:ascii="Times New Roman" w:hAnsi="Times New Roman"/>
              </w:rPr>
              <w:t>Biopsy-proven acute rejection episode, graft loss, death or lost to follow-up</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10 (9.1)</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14 (12.4)</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Biopsy-proven acute rejection episode, biopsy-proven chronic rejection, graft loss, death or lost to follow-up</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13 (11.8)</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15 (13.3)</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w:t>
            </w: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Lost to follow up*</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7 (6.4)</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8 (7.1)</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r w:rsidR="00395F64" w:rsidRPr="000F1C42" w:rsidTr="007F0C54">
        <w:tc>
          <w:tcPr>
            <w:tcW w:w="3544"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tabs>
                <w:tab w:val="clear" w:pos="284"/>
                <w:tab w:val="left" w:pos="76"/>
              </w:tabs>
              <w:spacing w:before="0" w:after="0"/>
              <w:rPr>
                <w:rFonts w:ascii="Times New Roman" w:hAnsi="Times New Roman"/>
              </w:rPr>
            </w:pPr>
            <w:r w:rsidRPr="000F1C42">
              <w:rPr>
                <w:rFonts w:ascii="Times New Roman" w:hAnsi="Times New Roman"/>
              </w:rPr>
              <w:t>Graft loss or death</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1 (0.9)</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r w:rsidRPr="000F1C42">
              <w:rPr>
                <w:rFonts w:ascii="Times New Roman" w:hAnsi="Times New Roman"/>
              </w:rPr>
              <w:t>4 (3.5)</w:t>
            </w:r>
          </w:p>
        </w:tc>
        <w:tc>
          <w:tcPr>
            <w:tcW w:w="1843" w:type="dxa"/>
            <w:tcBorders>
              <w:top w:val="single" w:sz="4" w:space="0" w:color="auto"/>
              <w:left w:val="single" w:sz="4" w:space="0" w:color="auto"/>
              <w:bottom w:val="single" w:sz="4" w:space="0" w:color="auto"/>
              <w:right w:val="single" w:sz="4" w:space="0" w:color="auto"/>
            </w:tcBorders>
          </w:tcPr>
          <w:p w:rsidR="00395F64" w:rsidRPr="000F1C42" w:rsidRDefault="00395F64">
            <w:pPr>
              <w:pStyle w:val="Table0"/>
              <w:spacing w:before="0" w:after="0"/>
              <w:jc w:val="center"/>
              <w:rPr>
                <w:rFonts w:ascii="Times New Roman" w:hAnsi="Times New Roman"/>
              </w:rPr>
            </w:pPr>
          </w:p>
        </w:tc>
      </w:tr>
    </w:tbl>
    <w:p w:rsidR="00395F64" w:rsidRPr="000F1C42" w:rsidRDefault="00395F64">
      <w:pPr>
        <w:pStyle w:val="TextChar"/>
        <w:spacing w:before="0" w:line="320" w:lineRule="atLeast"/>
        <w:jc w:val="left"/>
        <w:rPr>
          <w:sz w:val="20"/>
        </w:rPr>
      </w:pPr>
      <w:r w:rsidRPr="000F1C42">
        <w:rPr>
          <w:sz w:val="20"/>
        </w:rPr>
        <w:t>* Lost to follow-up indicates patients that were lost to follow-up without prior biopsy-proven acute rejection, graft loss or death.</w:t>
      </w:r>
    </w:p>
    <w:p w:rsidR="003068D1" w:rsidRPr="005D0B03" w:rsidRDefault="003068D1" w:rsidP="007F0C54">
      <w:pPr>
        <w:pStyle w:val="Heading3"/>
        <w:spacing w:before="100" w:beforeAutospacing="1"/>
      </w:pPr>
      <w:r w:rsidRPr="005D0B03">
        <w:t>Lupus nephritis</w:t>
      </w:r>
    </w:p>
    <w:p w:rsidR="002F6EA3" w:rsidRPr="00F966ED" w:rsidRDefault="002F6EA3" w:rsidP="007F0C54">
      <w:pPr>
        <w:spacing w:after="100" w:afterAutospacing="1" w:line="320" w:lineRule="atLeast"/>
        <w:rPr>
          <w:rFonts w:ascii="Times New Roman" w:hAnsi="Times New Roman" w:cs="Times New Roman"/>
        </w:rPr>
      </w:pPr>
      <w:r w:rsidRPr="00FA10D8">
        <w:rPr>
          <w:rFonts w:ascii="Times New Roman" w:hAnsi="Times New Roman" w:cs="Times New Roman"/>
          <w:szCs w:val="22"/>
        </w:rPr>
        <w:t>One exploratory randomised open-label 6-month study (A2420</w:t>
      </w:r>
      <w:r w:rsidR="008B6AEE">
        <w:rPr>
          <w:rFonts w:ascii="Times New Roman" w:hAnsi="Times New Roman" w:cs="Times New Roman"/>
          <w:szCs w:val="22"/>
        </w:rPr>
        <w:t xml:space="preserve">; </w:t>
      </w:r>
      <w:proofErr w:type="spellStart"/>
      <w:r w:rsidR="008B6AEE">
        <w:rPr>
          <w:rFonts w:ascii="Times New Roman" w:hAnsi="Times New Roman" w:cs="Times New Roman"/>
          <w:szCs w:val="22"/>
        </w:rPr>
        <w:t>Zeher</w:t>
      </w:r>
      <w:proofErr w:type="spellEnd"/>
      <w:r w:rsidR="00F1170D">
        <w:rPr>
          <w:rFonts w:ascii="Times New Roman" w:hAnsi="Times New Roman" w:cs="Times New Roman"/>
          <w:szCs w:val="22"/>
        </w:rPr>
        <w:t xml:space="preserve"> et al.</w:t>
      </w:r>
      <w:r w:rsidR="008B6AEE">
        <w:rPr>
          <w:rFonts w:ascii="Times New Roman" w:hAnsi="Times New Roman" w:cs="Times New Roman"/>
          <w:szCs w:val="22"/>
        </w:rPr>
        <w:t>, 201</w:t>
      </w:r>
      <w:r w:rsidR="00F1170D">
        <w:rPr>
          <w:rFonts w:ascii="Times New Roman" w:hAnsi="Times New Roman" w:cs="Times New Roman"/>
          <w:szCs w:val="22"/>
        </w:rPr>
        <w:t>1</w:t>
      </w:r>
      <w:r w:rsidRPr="00FA10D8">
        <w:rPr>
          <w:rFonts w:ascii="Times New Roman" w:hAnsi="Times New Roman" w:cs="Times New Roman"/>
          <w:szCs w:val="22"/>
        </w:rPr>
        <w:t xml:space="preserve">) has been conducted comparing the efficacy and safety of </w:t>
      </w:r>
      <w:proofErr w:type="spellStart"/>
      <w:r w:rsidRPr="00FA10D8">
        <w:rPr>
          <w:rFonts w:ascii="Times New Roman" w:hAnsi="Times New Roman" w:cs="Times New Roman"/>
          <w:szCs w:val="22"/>
        </w:rPr>
        <w:t>Myfortic</w:t>
      </w:r>
      <w:proofErr w:type="spellEnd"/>
      <w:r w:rsidRPr="00FA10D8">
        <w:rPr>
          <w:rFonts w:ascii="Times New Roman" w:hAnsi="Times New Roman" w:cs="Times New Roman"/>
          <w:szCs w:val="22"/>
        </w:rPr>
        <w:t xml:space="preserve"> and a standard corticosteroid regimen (</w:t>
      </w:r>
      <w:proofErr w:type="spellStart"/>
      <w:r w:rsidRPr="00FA10D8">
        <w:rPr>
          <w:rFonts w:ascii="Times New Roman" w:hAnsi="Times New Roman" w:cs="Times New Roman"/>
          <w:szCs w:val="22"/>
        </w:rPr>
        <w:t>prednisolone</w:t>
      </w:r>
      <w:proofErr w:type="spellEnd"/>
      <w:r w:rsidRPr="00FA10D8">
        <w:rPr>
          <w:rFonts w:ascii="Times New Roman" w:hAnsi="Times New Roman" w:cs="Times New Roman"/>
          <w:szCs w:val="22"/>
        </w:rPr>
        <w:t xml:space="preserve"> 1 mg/kg bodyweight/day, tapered) with </w:t>
      </w:r>
      <w:proofErr w:type="spellStart"/>
      <w:r w:rsidRPr="00FA10D8">
        <w:rPr>
          <w:rFonts w:ascii="Times New Roman" w:hAnsi="Times New Roman" w:cs="Times New Roman"/>
          <w:szCs w:val="22"/>
        </w:rPr>
        <w:t>Myfortic</w:t>
      </w:r>
      <w:proofErr w:type="spellEnd"/>
      <w:r w:rsidRPr="00FA10D8">
        <w:rPr>
          <w:rFonts w:ascii="Times New Roman" w:hAnsi="Times New Roman" w:cs="Times New Roman"/>
          <w:szCs w:val="22"/>
        </w:rPr>
        <w:t xml:space="preserve"> and a reduced corticosteroid regimen (</w:t>
      </w:r>
      <w:proofErr w:type="spellStart"/>
      <w:r w:rsidRPr="00FA10D8">
        <w:rPr>
          <w:rFonts w:ascii="Times New Roman" w:hAnsi="Times New Roman" w:cs="Times New Roman"/>
          <w:szCs w:val="22"/>
        </w:rPr>
        <w:t>prednisolone</w:t>
      </w:r>
      <w:proofErr w:type="spellEnd"/>
      <w:r w:rsidRPr="00FA10D8">
        <w:rPr>
          <w:rFonts w:ascii="Times New Roman" w:hAnsi="Times New Roman" w:cs="Times New Roman"/>
          <w:szCs w:val="22"/>
        </w:rPr>
        <w:t xml:space="preserve"> 0.5 mg/kg bodyweight/day, tapered) for induction treatment of lupus nephritis. </w:t>
      </w:r>
      <w:r w:rsidR="00F966ED" w:rsidRPr="007D40AE">
        <w:rPr>
          <w:rFonts w:ascii="Times New Roman" w:hAnsi="Times New Roman" w:cs="Times New Roman"/>
        </w:rPr>
        <w:t xml:space="preserve">Male and female patients aged ≥ 18 years were eligible to enter the study if they met the following criteria: diagnosed with SLE, defined as </w:t>
      </w:r>
      <w:r w:rsidR="00F966ED" w:rsidRPr="007D40AE">
        <w:rPr>
          <w:rFonts w:ascii="Times New Roman" w:eastAsiaTheme="minorHAnsi" w:hAnsi="Times New Roman" w:cs="Times New Roman"/>
          <w:lang w:val="en-US" w:bidi="ar-SA"/>
        </w:rPr>
        <w:t>meeting at least four classification criteria of the American College of Rheumatology; presence of proliferative lupus nephritis flare class III or IV (ISN/RPS classification of lupus nephritis) documented by a renal biopsy performed within 24 months preceding the study entry;</w:t>
      </w:r>
      <w:r w:rsidR="00F966ED">
        <w:rPr>
          <w:rFonts w:ascii="Times New Roman" w:eastAsiaTheme="minorHAnsi" w:hAnsi="Times New Roman" w:cs="Times New Roman"/>
          <w:lang w:val="en-US" w:bidi="ar-SA"/>
        </w:rPr>
        <w:t xml:space="preserve"> </w:t>
      </w:r>
      <w:proofErr w:type="spellStart"/>
      <w:r w:rsidR="00F966ED" w:rsidRPr="007D40AE">
        <w:rPr>
          <w:rFonts w:ascii="Times New Roman" w:eastAsiaTheme="minorHAnsi" w:hAnsi="Times New Roman" w:cs="Times New Roman"/>
          <w:lang w:val="en-US" w:bidi="ar-SA"/>
        </w:rPr>
        <w:t>proteinuria</w:t>
      </w:r>
      <w:proofErr w:type="spellEnd"/>
      <w:r w:rsidR="00F966ED" w:rsidRPr="007D40AE">
        <w:rPr>
          <w:rFonts w:ascii="Times New Roman" w:eastAsiaTheme="minorHAnsi" w:hAnsi="Times New Roman" w:cs="Times New Roman"/>
          <w:lang w:val="en-US" w:bidi="ar-SA"/>
        </w:rPr>
        <w:t xml:space="preserve"> defined as &gt;0.5 gram urine protein per gram urine </w:t>
      </w:r>
      <w:proofErr w:type="spellStart"/>
      <w:r w:rsidR="00F966ED" w:rsidRPr="007D40AE">
        <w:rPr>
          <w:rFonts w:ascii="Times New Roman" w:eastAsiaTheme="minorHAnsi" w:hAnsi="Times New Roman" w:cs="Times New Roman"/>
          <w:lang w:val="en-US" w:bidi="ar-SA"/>
        </w:rPr>
        <w:t>creatinine</w:t>
      </w:r>
      <w:proofErr w:type="spellEnd"/>
      <w:r w:rsidR="00F966ED" w:rsidRPr="007D40AE">
        <w:rPr>
          <w:rFonts w:ascii="Times New Roman" w:eastAsiaTheme="minorHAnsi" w:hAnsi="Times New Roman" w:cs="Times New Roman"/>
          <w:lang w:val="en-US" w:bidi="ar-SA"/>
        </w:rPr>
        <w:t xml:space="preserve"> at screening and baseline and clinical activity defined by serum </w:t>
      </w:r>
      <w:proofErr w:type="spellStart"/>
      <w:r w:rsidR="00F966ED" w:rsidRPr="007D40AE">
        <w:rPr>
          <w:rFonts w:ascii="Times New Roman" w:eastAsiaTheme="minorHAnsi" w:hAnsi="Times New Roman" w:cs="Times New Roman"/>
          <w:lang w:val="en-US" w:bidi="ar-SA"/>
        </w:rPr>
        <w:t>creatinine</w:t>
      </w:r>
      <w:proofErr w:type="spellEnd"/>
      <w:r w:rsidR="00F966ED" w:rsidRPr="007D40AE">
        <w:rPr>
          <w:rFonts w:ascii="Times New Roman" w:eastAsiaTheme="minorHAnsi" w:hAnsi="Times New Roman" w:cs="Times New Roman"/>
          <w:lang w:val="en-US" w:bidi="ar-SA"/>
        </w:rPr>
        <w:t xml:space="preserve"> &gt;1.0 mg/</w:t>
      </w:r>
      <w:proofErr w:type="spellStart"/>
      <w:r w:rsidR="00F966ED" w:rsidRPr="007D40AE">
        <w:rPr>
          <w:rFonts w:ascii="Times New Roman" w:eastAsiaTheme="minorHAnsi" w:hAnsi="Times New Roman" w:cs="Times New Roman"/>
          <w:lang w:val="en-US" w:bidi="ar-SA"/>
        </w:rPr>
        <w:t>dL</w:t>
      </w:r>
      <w:proofErr w:type="spellEnd"/>
      <w:r w:rsidR="00F966ED" w:rsidRPr="007D40AE">
        <w:rPr>
          <w:rFonts w:ascii="Times New Roman" w:eastAsiaTheme="minorHAnsi" w:hAnsi="Times New Roman" w:cs="Times New Roman"/>
          <w:lang w:val="en-US" w:bidi="ar-SA"/>
        </w:rPr>
        <w:t xml:space="preserve"> (88.4 </w:t>
      </w:r>
      <w:proofErr w:type="spellStart"/>
      <w:r w:rsidR="00F966ED" w:rsidRPr="007D40AE">
        <w:rPr>
          <w:rFonts w:ascii="Times New Roman" w:eastAsiaTheme="minorHAnsi" w:hAnsi="Times New Roman" w:cs="Times New Roman"/>
          <w:lang w:val="en-US" w:bidi="ar-SA"/>
        </w:rPr>
        <w:t>μmol</w:t>
      </w:r>
      <w:proofErr w:type="spellEnd"/>
      <w:r w:rsidR="00F966ED" w:rsidRPr="007D40AE">
        <w:rPr>
          <w:rFonts w:ascii="Times New Roman" w:eastAsiaTheme="minorHAnsi" w:hAnsi="Times New Roman" w:cs="Times New Roman"/>
          <w:lang w:val="en-US" w:bidi="ar-SA"/>
        </w:rPr>
        <w:t xml:space="preserve">/L), microscopic </w:t>
      </w:r>
      <w:proofErr w:type="spellStart"/>
      <w:r w:rsidR="00F966ED" w:rsidRPr="007D40AE">
        <w:rPr>
          <w:rFonts w:ascii="Times New Roman" w:eastAsiaTheme="minorHAnsi" w:hAnsi="Times New Roman" w:cs="Times New Roman"/>
          <w:lang w:val="en-US" w:bidi="ar-SA"/>
        </w:rPr>
        <w:t>hematuria</w:t>
      </w:r>
      <w:proofErr w:type="spellEnd"/>
      <w:r w:rsidR="00F966ED" w:rsidRPr="007D40AE">
        <w:rPr>
          <w:rFonts w:ascii="Times New Roman" w:eastAsiaTheme="minorHAnsi" w:hAnsi="Times New Roman" w:cs="Times New Roman"/>
          <w:lang w:val="en-US" w:bidi="ar-SA"/>
        </w:rPr>
        <w:t xml:space="preserve"> (&gt;5 red cells per high power field) or presence of cellular casts were the other key inclusion criteria. The key exclusion criteria were patients with calculated </w:t>
      </w:r>
      <w:proofErr w:type="spellStart"/>
      <w:r w:rsidR="00F966ED" w:rsidRPr="007D40AE">
        <w:rPr>
          <w:rFonts w:ascii="Times New Roman" w:eastAsiaTheme="minorHAnsi" w:hAnsi="Times New Roman" w:cs="Times New Roman"/>
          <w:lang w:val="en-US" w:bidi="ar-SA"/>
        </w:rPr>
        <w:t>creatinine</w:t>
      </w:r>
      <w:proofErr w:type="spellEnd"/>
      <w:r w:rsidR="00F966ED" w:rsidRPr="007D40AE">
        <w:rPr>
          <w:rFonts w:ascii="Times New Roman" w:eastAsiaTheme="minorHAnsi" w:hAnsi="Times New Roman" w:cs="Times New Roman"/>
          <w:lang w:val="en-US" w:bidi="ar-SA"/>
        </w:rPr>
        <w:t xml:space="preserve"> clearance &lt;30 </w:t>
      </w:r>
      <w:proofErr w:type="spellStart"/>
      <w:r w:rsidR="00F966ED" w:rsidRPr="007D40AE">
        <w:rPr>
          <w:rFonts w:ascii="Times New Roman" w:eastAsiaTheme="minorHAnsi" w:hAnsi="Times New Roman" w:cs="Times New Roman"/>
          <w:lang w:val="en-US" w:bidi="ar-SA"/>
        </w:rPr>
        <w:t>mL</w:t>
      </w:r>
      <w:proofErr w:type="spellEnd"/>
      <w:r w:rsidR="00F966ED" w:rsidRPr="007D40AE">
        <w:rPr>
          <w:rFonts w:ascii="Times New Roman" w:eastAsiaTheme="minorHAnsi" w:hAnsi="Times New Roman" w:cs="Times New Roman"/>
          <w:lang w:val="en-US" w:bidi="ar-SA"/>
        </w:rPr>
        <w:t>/min (using the Cockcroft-</w:t>
      </w:r>
      <w:proofErr w:type="spellStart"/>
      <w:r w:rsidR="00F966ED" w:rsidRPr="007D40AE">
        <w:rPr>
          <w:rFonts w:ascii="Times New Roman" w:eastAsiaTheme="minorHAnsi" w:hAnsi="Times New Roman" w:cs="Times New Roman"/>
          <w:lang w:val="en-US" w:bidi="ar-SA"/>
        </w:rPr>
        <w:t>Gault</w:t>
      </w:r>
      <w:proofErr w:type="spellEnd"/>
      <w:r w:rsidR="00F966ED" w:rsidRPr="007D40AE">
        <w:rPr>
          <w:rFonts w:ascii="Times New Roman" w:eastAsiaTheme="minorHAnsi" w:hAnsi="Times New Roman" w:cs="Times New Roman"/>
          <w:lang w:val="en-US" w:bidi="ar-SA"/>
        </w:rPr>
        <w:t xml:space="preserve"> formula); patients having received </w:t>
      </w:r>
      <w:proofErr w:type="spellStart"/>
      <w:r w:rsidR="00F966ED" w:rsidRPr="007D40AE">
        <w:rPr>
          <w:rFonts w:ascii="Times New Roman" w:eastAsiaTheme="minorHAnsi" w:hAnsi="Times New Roman" w:cs="Times New Roman"/>
          <w:lang w:val="en-US" w:bidi="ar-SA"/>
        </w:rPr>
        <w:t>i.v</w:t>
      </w:r>
      <w:proofErr w:type="spellEnd"/>
      <w:r w:rsidR="00F966ED" w:rsidRPr="007D40AE">
        <w:rPr>
          <w:rFonts w:ascii="Times New Roman" w:eastAsiaTheme="minorHAnsi" w:hAnsi="Times New Roman" w:cs="Times New Roman"/>
          <w:lang w:val="en-US" w:bidi="ar-SA"/>
        </w:rPr>
        <w:t xml:space="preserve">. CS bolus, oral or </w:t>
      </w:r>
      <w:proofErr w:type="spellStart"/>
      <w:r w:rsidR="00F966ED" w:rsidRPr="007D40AE">
        <w:rPr>
          <w:rFonts w:ascii="Times New Roman" w:eastAsiaTheme="minorHAnsi" w:hAnsi="Times New Roman" w:cs="Times New Roman"/>
          <w:lang w:val="en-US" w:bidi="ar-SA"/>
        </w:rPr>
        <w:t>i.v</w:t>
      </w:r>
      <w:proofErr w:type="spellEnd"/>
      <w:r w:rsidR="00F966ED" w:rsidRPr="007D40AE">
        <w:rPr>
          <w:rFonts w:ascii="Times New Roman" w:eastAsiaTheme="minorHAnsi" w:hAnsi="Times New Roman" w:cs="Times New Roman"/>
          <w:lang w:val="en-US" w:bidi="ar-SA"/>
        </w:rPr>
        <w:t xml:space="preserve">. </w:t>
      </w:r>
      <w:proofErr w:type="spellStart"/>
      <w:r w:rsidR="00F966ED" w:rsidRPr="007D40AE">
        <w:rPr>
          <w:rFonts w:ascii="Times New Roman" w:eastAsiaTheme="minorHAnsi" w:hAnsi="Times New Roman" w:cs="Times New Roman"/>
          <w:lang w:val="en-US" w:bidi="ar-SA"/>
        </w:rPr>
        <w:t>cyclophosphamide</w:t>
      </w:r>
      <w:proofErr w:type="spellEnd"/>
      <w:r w:rsidR="00F966ED" w:rsidRPr="007D40AE">
        <w:rPr>
          <w:rFonts w:ascii="Times New Roman" w:eastAsiaTheme="minorHAnsi" w:hAnsi="Times New Roman" w:cs="Times New Roman"/>
          <w:lang w:val="en-US" w:bidi="ar-SA"/>
        </w:rPr>
        <w:t xml:space="preserve"> or MMF during the last 3 months; use of any antibodies during the last 6 months</w:t>
      </w:r>
      <w:r w:rsidR="00F966ED">
        <w:rPr>
          <w:rFonts w:ascii="Times New Roman" w:eastAsiaTheme="minorHAnsi" w:hAnsi="Times New Roman" w:cs="Times New Roman"/>
          <w:lang w:val="en-US" w:bidi="ar-SA"/>
        </w:rPr>
        <w:t xml:space="preserve">. </w:t>
      </w:r>
      <w:proofErr w:type="spellStart"/>
      <w:r w:rsidR="00F966ED" w:rsidRPr="00630A00">
        <w:rPr>
          <w:rFonts w:ascii="Times New Roman" w:hAnsi="Times New Roman" w:cs="Times New Roman"/>
          <w:szCs w:val="22"/>
        </w:rPr>
        <w:t>Myfortic</w:t>
      </w:r>
      <w:proofErr w:type="spellEnd"/>
      <w:r w:rsidR="00F966ED" w:rsidRPr="00630A00">
        <w:rPr>
          <w:rFonts w:ascii="Times New Roman" w:hAnsi="Times New Roman" w:cs="Times New Roman"/>
          <w:szCs w:val="22"/>
        </w:rPr>
        <w:t xml:space="preserve"> was administered at a dose of 720 mg twice daily for 2 weeks and then 1080 mg twice daily (or 720 mg three times daily) for 22 </w:t>
      </w:r>
      <w:r w:rsidR="00F966ED" w:rsidRPr="00630A00">
        <w:rPr>
          <w:rFonts w:ascii="Times New Roman" w:hAnsi="Times New Roman" w:cs="Times New Roman"/>
          <w:szCs w:val="22"/>
        </w:rPr>
        <w:lastRenderedPageBreak/>
        <w:t>weeks.</w:t>
      </w:r>
      <w:r w:rsidR="00F966ED">
        <w:rPr>
          <w:rFonts w:ascii="Times New Roman" w:hAnsi="Times New Roman" w:cs="Times New Roman"/>
          <w:szCs w:val="22"/>
        </w:rPr>
        <w:t xml:space="preserve"> </w:t>
      </w:r>
      <w:r w:rsidRPr="00FA10D8">
        <w:rPr>
          <w:rFonts w:ascii="Times New Roman" w:hAnsi="Times New Roman" w:cs="Times New Roman"/>
          <w:szCs w:val="22"/>
        </w:rPr>
        <w:t>A total of 81 patients with biopsy proven lupus nephritis WHO class III, IV, or V and clinical activ</w:t>
      </w:r>
      <w:r w:rsidR="007F0C54">
        <w:rPr>
          <w:rFonts w:ascii="Times New Roman" w:hAnsi="Times New Roman" w:cs="Times New Roman"/>
          <w:szCs w:val="22"/>
        </w:rPr>
        <w:t>ity were treated in this study.</w:t>
      </w:r>
    </w:p>
    <w:p w:rsidR="001F7E3D" w:rsidRPr="00226E5D" w:rsidRDefault="001F7E3D" w:rsidP="007F0C54">
      <w:pPr>
        <w:autoSpaceDE w:val="0"/>
        <w:autoSpaceDN w:val="0"/>
        <w:adjustRightInd w:val="0"/>
        <w:spacing w:before="100" w:beforeAutospacing="1" w:after="100" w:afterAutospacing="1" w:line="320" w:lineRule="atLeast"/>
        <w:rPr>
          <w:rFonts w:ascii="Times New Roman" w:eastAsiaTheme="minorHAnsi" w:hAnsi="Times New Roman" w:cs="Times New Roman"/>
          <w:lang w:val="en-US" w:bidi="ar-SA"/>
        </w:rPr>
      </w:pPr>
      <w:r w:rsidRPr="00226E5D">
        <w:rPr>
          <w:rFonts w:ascii="Times New Roman" w:eastAsiaTheme="minorHAnsi" w:hAnsi="Times New Roman" w:cs="Times New Roman"/>
          <w:lang w:val="en-US" w:bidi="ar-SA"/>
        </w:rPr>
        <w:t>The primary efficacy variable was the complete remission rate at 24 weeks defined as the</w:t>
      </w:r>
      <w:r w:rsidR="007F0C54">
        <w:rPr>
          <w:rFonts w:ascii="Times New Roman" w:eastAsiaTheme="minorHAnsi" w:hAnsi="Times New Roman" w:cs="Times New Roman"/>
          <w:lang w:val="en-US" w:bidi="ar-SA"/>
        </w:rPr>
        <w:t xml:space="preserve"> </w:t>
      </w:r>
      <w:r w:rsidRPr="00226E5D">
        <w:rPr>
          <w:rFonts w:ascii="Times New Roman" w:eastAsiaTheme="minorHAnsi" w:hAnsi="Times New Roman" w:cs="Times New Roman"/>
          <w:lang w:val="en-US" w:bidi="ar-SA"/>
        </w:rPr>
        <w:t xml:space="preserve">proportion of patients with urine protein/urine </w:t>
      </w:r>
      <w:proofErr w:type="spellStart"/>
      <w:r w:rsidRPr="00226E5D">
        <w:rPr>
          <w:rFonts w:ascii="Times New Roman" w:eastAsiaTheme="minorHAnsi" w:hAnsi="Times New Roman" w:cs="Times New Roman"/>
          <w:lang w:val="en-US" w:bidi="ar-SA"/>
        </w:rPr>
        <w:t>creatinine</w:t>
      </w:r>
      <w:proofErr w:type="spellEnd"/>
      <w:r w:rsidRPr="00226E5D">
        <w:rPr>
          <w:rFonts w:ascii="Times New Roman" w:eastAsiaTheme="minorHAnsi" w:hAnsi="Times New Roman" w:cs="Times New Roman"/>
          <w:lang w:val="en-US" w:bidi="ar-SA"/>
        </w:rPr>
        <w:t xml:space="preserve"> ratio &lt; 0.5 gram urine protein per gram urine</w:t>
      </w:r>
      <w:r>
        <w:rPr>
          <w:rFonts w:ascii="Times New Roman" w:eastAsiaTheme="minorHAnsi" w:hAnsi="Times New Roman" w:cs="Times New Roman"/>
          <w:lang w:val="en-US" w:bidi="ar-SA"/>
        </w:rPr>
        <w:t xml:space="preserve"> </w:t>
      </w:r>
      <w:proofErr w:type="spellStart"/>
      <w:r w:rsidRPr="00226E5D">
        <w:rPr>
          <w:rFonts w:ascii="Times New Roman" w:eastAsiaTheme="minorHAnsi" w:hAnsi="Times New Roman" w:cs="Times New Roman"/>
          <w:lang w:val="en-US" w:bidi="ar-SA"/>
        </w:rPr>
        <w:t>creatinine</w:t>
      </w:r>
      <w:proofErr w:type="spellEnd"/>
      <w:r w:rsidRPr="00226E5D">
        <w:rPr>
          <w:rFonts w:ascii="Times New Roman" w:eastAsiaTheme="minorHAnsi" w:hAnsi="Times New Roman" w:cs="Times New Roman"/>
          <w:lang w:val="en-US" w:bidi="ar-SA"/>
        </w:rPr>
        <w:t>, urine sediment normalized (no cellular casts, &lt; 5 red cells per high power field), and serum</w:t>
      </w:r>
      <w:r>
        <w:rPr>
          <w:rFonts w:ascii="Times New Roman" w:eastAsiaTheme="minorHAnsi" w:hAnsi="Times New Roman" w:cs="Times New Roman"/>
          <w:lang w:val="en-US" w:bidi="ar-SA"/>
        </w:rPr>
        <w:t xml:space="preserve"> </w:t>
      </w:r>
      <w:proofErr w:type="spellStart"/>
      <w:r w:rsidRPr="00226E5D">
        <w:rPr>
          <w:rFonts w:ascii="Times New Roman" w:eastAsiaTheme="minorHAnsi" w:hAnsi="Times New Roman" w:cs="Times New Roman"/>
          <w:lang w:val="en-US" w:bidi="ar-SA"/>
        </w:rPr>
        <w:t>creatinine</w:t>
      </w:r>
      <w:proofErr w:type="spellEnd"/>
      <w:r w:rsidRPr="00226E5D">
        <w:rPr>
          <w:rFonts w:ascii="Times New Roman" w:eastAsiaTheme="minorHAnsi" w:hAnsi="Times New Roman" w:cs="Times New Roman"/>
          <w:lang w:val="en-US" w:bidi="ar-SA"/>
        </w:rPr>
        <w:t xml:space="preserve"> is within 10% of normal value. Secondary efficacy variables included the proportion patients in partial remission after 24 weeks of treatment, with partial response defined as a reduction in urine </w:t>
      </w:r>
      <w:proofErr w:type="spellStart"/>
      <w:r w:rsidRPr="00226E5D">
        <w:rPr>
          <w:rFonts w:ascii="Times New Roman" w:eastAsiaTheme="minorHAnsi" w:hAnsi="Times New Roman" w:cs="Times New Roman"/>
          <w:lang w:val="en-US" w:bidi="ar-SA"/>
        </w:rPr>
        <w:t>protein:creatinine</w:t>
      </w:r>
      <w:proofErr w:type="spellEnd"/>
      <w:r w:rsidRPr="00226E5D">
        <w:rPr>
          <w:rFonts w:ascii="Times New Roman" w:eastAsiaTheme="minorHAnsi" w:hAnsi="Times New Roman" w:cs="Times New Roman"/>
          <w:lang w:val="en-US" w:bidi="ar-SA"/>
        </w:rPr>
        <w:t xml:space="preserve"> ratio of  ≥50% compared with base line, and serum </w:t>
      </w:r>
      <w:proofErr w:type="spellStart"/>
      <w:r w:rsidRPr="00226E5D">
        <w:rPr>
          <w:rFonts w:ascii="Times New Roman" w:eastAsiaTheme="minorHAnsi" w:hAnsi="Times New Roman" w:cs="Times New Roman"/>
          <w:lang w:val="en-US" w:bidi="ar-SA"/>
        </w:rPr>
        <w:t>creatinine</w:t>
      </w:r>
      <w:proofErr w:type="spellEnd"/>
      <w:r w:rsidRPr="00226E5D">
        <w:rPr>
          <w:rFonts w:ascii="Times New Roman" w:eastAsiaTheme="minorHAnsi" w:hAnsi="Times New Roman" w:cs="Times New Roman"/>
          <w:lang w:val="en-US" w:bidi="ar-SA"/>
        </w:rPr>
        <w:t xml:space="preserve"> within 10% of baseline value</w:t>
      </w:r>
      <w:r>
        <w:rPr>
          <w:rFonts w:ascii="Times New Roman" w:eastAsiaTheme="minorHAnsi" w:hAnsi="Times New Roman" w:cs="Times New Roman"/>
          <w:lang w:val="en-US" w:bidi="ar-SA"/>
        </w:rPr>
        <w:t>;</w:t>
      </w:r>
      <w:r w:rsidRPr="00226E5D">
        <w:rPr>
          <w:rFonts w:ascii="Times New Roman" w:eastAsiaTheme="minorHAnsi" w:hAnsi="Times New Roman" w:cs="Times New Roman"/>
          <w:lang w:val="en-US" w:bidi="ar-SA"/>
        </w:rPr>
        <w:t xml:space="preserve"> proportion of patients with mild SLE flare after 12 and 24 weeks of treatment;</w:t>
      </w:r>
      <w:r>
        <w:rPr>
          <w:rFonts w:ascii="Times New Roman" w:eastAsiaTheme="minorHAnsi" w:hAnsi="Times New Roman" w:cs="Times New Roman"/>
          <w:lang w:val="en-US" w:bidi="ar-SA"/>
        </w:rPr>
        <w:t xml:space="preserve"> </w:t>
      </w:r>
      <w:r w:rsidRPr="00226E5D">
        <w:rPr>
          <w:rFonts w:ascii="Times New Roman" w:eastAsiaTheme="minorHAnsi" w:hAnsi="Times New Roman" w:cs="Times New Roman"/>
          <w:lang w:val="en-US" w:bidi="ar-SA"/>
        </w:rPr>
        <w:t xml:space="preserve">disease activity index measured with BILAG score and SLEDAI index; renal function assessed by serum </w:t>
      </w:r>
      <w:proofErr w:type="spellStart"/>
      <w:r w:rsidRPr="00226E5D">
        <w:rPr>
          <w:rFonts w:ascii="Times New Roman" w:eastAsiaTheme="minorHAnsi" w:hAnsi="Times New Roman" w:cs="Times New Roman"/>
          <w:lang w:val="en-US" w:bidi="ar-SA"/>
        </w:rPr>
        <w:t>creatinine</w:t>
      </w:r>
      <w:proofErr w:type="spellEnd"/>
      <w:r w:rsidRPr="00226E5D">
        <w:rPr>
          <w:rFonts w:ascii="Times New Roman" w:eastAsiaTheme="minorHAnsi" w:hAnsi="Times New Roman" w:cs="Times New Roman"/>
          <w:lang w:val="en-US" w:bidi="ar-SA"/>
        </w:rPr>
        <w:t xml:space="preserve">, </w:t>
      </w:r>
      <w:proofErr w:type="spellStart"/>
      <w:r w:rsidRPr="00226E5D">
        <w:rPr>
          <w:rFonts w:ascii="Times New Roman" w:eastAsiaTheme="minorHAnsi" w:hAnsi="Times New Roman" w:cs="Times New Roman"/>
          <w:lang w:val="en-US" w:bidi="ar-SA"/>
        </w:rPr>
        <w:t>creatinine</w:t>
      </w:r>
      <w:proofErr w:type="spellEnd"/>
      <w:r w:rsidRPr="00226E5D">
        <w:rPr>
          <w:rFonts w:ascii="Times New Roman" w:eastAsiaTheme="minorHAnsi" w:hAnsi="Times New Roman" w:cs="Times New Roman"/>
          <w:lang w:val="en-US" w:bidi="ar-SA"/>
        </w:rPr>
        <w:t xml:space="preserve"> clearance, </w:t>
      </w:r>
      <w:proofErr w:type="spellStart"/>
      <w:r w:rsidRPr="00226E5D">
        <w:rPr>
          <w:rFonts w:ascii="Times New Roman" w:eastAsiaTheme="minorHAnsi" w:hAnsi="Times New Roman" w:cs="Times New Roman"/>
          <w:lang w:val="en-US" w:bidi="ar-SA"/>
        </w:rPr>
        <w:t>glomerular</w:t>
      </w:r>
      <w:proofErr w:type="spellEnd"/>
      <w:r w:rsidRPr="00226E5D">
        <w:rPr>
          <w:rFonts w:ascii="Times New Roman" w:eastAsiaTheme="minorHAnsi" w:hAnsi="Times New Roman" w:cs="Times New Roman"/>
          <w:lang w:val="en-US" w:bidi="ar-SA"/>
        </w:rPr>
        <w:t xml:space="preserve"> filtration rate (GFR) and urine </w:t>
      </w:r>
      <w:proofErr w:type="spellStart"/>
      <w:r w:rsidRPr="00226E5D">
        <w:rPr>
          <w:rFonts w:ascii="Times New Roman" w:eastAsiaTheme="minorHAnsi" w:hAnsi="Times New Roman" w:cs="Times New Roman"/>
          <w:lang w:val="en-US" w:bidi="ar-SA"/>
        </w:rPr>
        <w:t>protein:creatinine</w:t>
      </w:r>
      <w:proofErr w:type="spellEnd"/>
      <w:r w:rsidRPr="00226E5D">
        <w:rPr>
          <w:rFonts w:ascii="Times New Roman" w:eastAsiaTheme="minorHAnsi" w:hAnsi="Times New Roman" w:cs="Times New Roman"/>
          <w:lang w:val="en-US" w:bidi="ar-SA"/>
        </w:rPr>
        <w:t xml:space="preserve"> ratio.</w:t>
      </w:r>
    </w:p>
    <w:p w:rsidR="002F6EA3" w:rsidRPr="00FA10D8" w:rsidRDefault="001F7E3D" w:rsidP="007F0C54">
      <w:pPr>
        <w:autoSpaceDE w:val="0"/>
        <w:autoSpaceDN w:val="0"/>
        <w:spacing w:before="100" w:beforeAutospacing="1" w:after="100" w:afterAutospacing="1" w:line="320" w:lineRule="atLeast"/>
        <w:ind w:right="85"/>
        <w:rPr>
          <w:rFonts w:ascii="Times New Roman" w:eastAsia="Calibri" w:hAnsi="Times New Roman" w:cs="Times New Roman"/>
          <w:szCs w:val="22"/>
        </w:rPr>
      </w:pPr>
      <w:r>
        <w:rPr>
          <w:rFonts w:ascii="Times New Roman" w:hAnsi="Times New Roman" w:cs="Times New Roman"/>
          <w:szCs w:val="22"/>
        </w:rPr>
        <w:t xml:space="preserve">The demographic and other baseline characteristics were balanced between the two dose groups. Most patients had a histological diagnosis of Class IV lupus nephritis. </w:t>
      </w:r>
      <w:r w:rsidR="002F6EA3" w:rsidRPr="00FA10D8">
        <w:rPr>
          <w:rFonts w:ascii="Times New Roman" w:hAnsi="Times New Roman" w:cs="Times New Roman"/>
          <w:szCs w:val="22"/>
        </w:rPr>
        <w:t xml:space="preserve">At 6 months, 8/42 (19.0%) of </w:t>
      </w:r>
      <w:proofErr w:type="spellStart"/>
      <w:r w:rsidR="00AF53D9">
        <w:rPr>
          <w:rFonts w:ascii="Times New Roman" w:hAnsi="Times New Roman" w:cs="Times New Roman"/>
          <w:szCs w:val="22"/>
        </w:rPr>
        <w:t>Myfortic</w:t>
      </w:r>
      <w:proofErr w:type="spellEnd"/>
      <w:r w:rsidR="002F6EA3" w:rsidRPr="00FA10D8">
        <w:rPr>
          <w:rFonts w:ascii="Times New Roman" w:hAnsi="Times New Roman" w:cs="Times New Roman"/>
          <w:szCs w:val="22"/>
        </w:rPr>
        <w:t xml:space="preserve"> and standard corticosteroid-treated patients and 8/39 (20.5%) of </w:t>
      </w:r>
      <w:proofErr w:type="spellStart"/>
      <w:r w:rsidR="00AF53D9">
        <w:rPr>
          <w:rFonts w:ascii="Times New Roman" w:hAnsi="Times New Roman" w:cs="Times New Roman"/>
          <w:szCs w:val="22"/>
        </w:rPr>
        <w:t>Myfortic</w:t>
      </w:r>
      <w:proofErr w:type="spellEnd"/>
      <w:r w:rsidR="002F6EA3" w:rsidRPr="00FA10D8">
        <w:rPr>
          <w:rFonts w:ascii="Times New Roman" w:hAnsi="Times New Roman" w:cs="Times New Roman"/>
          <w:szCs w:val="22"/>
        </w:rPr>
        <w:t xml:space="preserve"> and reduced corticosteroid-treated patients achieved complete remission.  </w:t>
      </w:r>
      <w:r w:rsidR="006B7111">
        <w:rPr>
          <w:rFonts w:ascii="Times New Roman" w:hAnsi="Times New Roman" w:cs="Times New Roman"/>
          <w:szCs w:val="22"/>
        </w:rPr>
        <w:t>Partial response occurred in 20/42 (47.6%) of patients in the standard dose group and 14/39 (35.9%) of patients in the low dose group.</w:t>
      </w:r>
      <w:r w:rsidR="00845625" w:rsidRPr="00845625">
        <w:rPr>
          <w:rFonts w:ascii="Times New Roman" w:hAnsi="Times New Roman" w:cs="Times New Roman"/>
        </w:rPr>
        <w:t xml:space="preserve"> </w:t>
      </w:r>
      <w:r w:rsidR="00845625" w:rsidRPr="00F951FA">
        <w:rPr>
          <w:rFonts w:ascii="Times New Roman" w:hAnsi="Times New Roman" w:cs="Times New Roman"/>
        </w:rPr>
        <w:t xml:space="preserve">Patients in whom treatment failed included those without complete or partial remission at </w:t>
      </w:r>
      <w:r w:rsidR="00845625">
        <w:rPr>
          <w:rFonts w:ascii="Times New Roman" w:hAnsi="Times New Roman" w:cs="Times New Roman"/>
        </w:rPr>
        <w:t>6 months</w:t>
      </w:r>
      <w:r w:rsidR="00845625" w:rsidRPr="00F951FA">
        <w:rPr>
          <w:rFonts w:ascii="Times New Roman" w:hAnsi="Times New Roman" w:cs="Times New Roman"/>
        </w:rPr>
        <w:t xml:space="preserve"> or who prematurely discontinued treatment  during the first 24 weeks for any reason, yielding failure rates of 21/42 (50%) in the standard dose group and 23/39 (59.0%) in the low dose group. </w:t>
      </w:r>
      <w:r w:rsidR="00845625">
        <w:rPr>
          <w:rFonts w:ascii="Times New Roman" w:hAnsi="Times New Roman" w:cs="Times New Roman"/>
          <w:szCs w:val="22"/>
        </w:rPr>
        <w:t xml:space="preserve"> </w:t>
      </w:r>
      <w:r w:rsidR="002F6EA3" w:rsidRPr="00FA10D8">
        <w:rPr>
          <w:rFonts w:ascii="Times New Roman" w:eastAsia="Calibri" w:hAnsi="Times New Roman" w:cs="Times New Roman"/>
          <w:szCs w:val="22"/>
        </w:rPr>
        <w:t xml:space="preserve">At 6 months, the mean change from baseline for urine protein to </w:t>
      </w:r>
      <w:proofErr w:type="spellStart"/>
      <w:r w:rsidR="002F6EA3" w:rsidRPr="00FA10D8">
        <w:rPr>
          <w:rFonts w:ascii="Times New Roman" w:eastAsia="Calibri" w:hAnsi="Times New Roman" w:cs="Times New Roman"/>
          <w:szCs w:val="22"/>
        </w:rPr>
        <w:t>creatinine</w:t>
      </w:r>
      <w:proofErr w:type="spellEnd"/>
      <w:r w:rsidR="002F6EA3" w:rsidRPr="00FA10D8">
        <w:rPr>
          <w:rFonts w:ascii="Times New Roman" w:eastAsia="Calibri" w:hAnsi="Times New Roman" w:cs="Times New Roman"/>
          <w:szCs w:val="22"/>
        </w:rPr>
        <w:t xml:space="preserve"> ratio decreased by 1.1 in the standard dose group and by 0.8 in the low dose group.  </w:t>
      </w:r>
      <w:r w:rsidR="00FD7621">
        <w:rPr>
          <w:rFonts w:ascii="Times New Roman" w:eastAsia="Calibri" w:hAnsi="Times New Roman" w:cs="Times New Roman"/>
          <w:szCs w:val="22"/>
        </w:rPr>
        <w:t>Only o</w:t>
      </w:r>
      <w:r w:rsidR="006B7111" w:rsidRPr="00C657A9">
        <w:rPr>
          <w:rFonts w:ascii="Times New Roman" w:hAnsi="Times New Roman" w:cs="Times New Roman"/>
          <w:szCs w:val="22"/>
        </w:rPr>
        <w:t>ne patient in the standard-dose group reported a moderate to mild SLE flare at 24 weeks.</w:t>
      </w:r>
      <w:r w:rsidR="006B7111">
        <w:rPr>
          <w:rFonts w:ascii="Times New Roman" w:hAnsi="Times New Roman" w:cs="Times New Roman"/>
          <w:szCs w:val="22"/>
        </w:rPr>
        <w:t xml:space="preserve"> </w:t>
      </w:r>
      <w:r w:rsidR="006B7111" w:rsidRPr="00C657A9">
        <w:rPr>
          <w:rFonts w:ascii="Times New Roman" w:hAnsi="Times New Roman" w:cs="Times New Roman"/>
          <w:szCs w:val="22"/>
        </w:rPr>
        <w:t xml:space="preserve">The mean BILAG and SLEDI scores decreased from Week </w:t>
      </w:r>
      <w:r w:rsidR="009026E4" w:rsidRPr="00C657A9">
        <w:rPr>
          <w:rFonts w:ascii="Times New Roman" w:hAnsi="Times New Roman" w:cs="Times New Roman"/>
          <w:szCs w:val="22"/>
        </w:rPr>
        <w:t>4 to</w:t>
      </w:r>
      <w:r w:rsidR="006B7111" w:rsidRPr="00C657A9">
        <w:rPr>
          <w:rFonts w:ascii="Times New Roman" w:hAnsi="Times New Roman" w:cs="Times New Roman"/>
          <w:szCs w:val="22"/>
        </w:rPr>
        <w:t xml:space="preserve"> We</w:t>
      </w:r>
      <w:r w:rsidR="007F0C54">
        <w:rPr>
          <w:rFonts w:ascii="Times New Roman" w:hAnsi="Times New Roman" w:cs="Times New Roman"/>
          <w:szCs w:val="22"/>
        </w:rPr>
        <w:t>ek 24 in both treatment groups.</w:t>
      </w:r>
    </w:p>
    <w:p w:rsidR="00F25F6A" w:rsidRPr="00F25F6A" w:rsidRDefault="00F25F6A" w:rsidP="007F0C54">
      <w:pPr>
        <w:pStyle w:val="Heading4"/>
        <w:spacing w:before="100" w:beforeAutospacing="1"/>
        <w:rPr>
          <w:lang w:bidi="ar-SA"/>
        </w:rPr>
      </w:pPr>
      <w:r w:rsidRPr="00F25F6A">
        <w:rPr>
          <w:lang w:bidi="ar-SA"/>
        </w:rPr>
        <w:t>Published studies</w:t>
      </w:r>
      <w:r>
        <w:rPr>
          <w:lang w:bidi="ar-SA"/>
        </w:rPr>
        <w:t>:</w:t>
      </w:r>
    </w:p>
    <w:p w:rsidR="00F25F6A" w:rsidRPr="009C6B56" w:rsidRDefault="00F25F6A" w:rsidP="007F0C54">
      <w:pPr>
        <w:autoSpaceDE w:val="0"/>
        <w:autoSpaceDN w:val="0"/>
        <w:adjustRightInd w:val="0"/>
        <w:spacing w:after="100" w:afterAutospacing="1" w:line="320" w:lineRule="atLeast"/>
        <w:rPr>
          <w:rFonts w:ascii="Times New Roman" w:hAnsi="Times New Roman"/>
          <w:iCs/>
          <w:lang w:val="en-US"/>
        </w:rPr>
      </w:pPr>
      <w:r>
        <w:rPr>
          <w:rFonts w:ascii="Times New Roman" w:hAnsi="Times New Roman" w:cs="Times New Roman"/>
          <w:iCs/>
          <w:color w:val="000000"/>
          <w:lang w:val="en-US" w:bidi="ar-SA"/>
        </w:rPr>
        <w:t>S</w:t>
      </w:r>
      <w:r w:rsidRPr="009C6B56">
        <w:rPr>
          <w:rFonts w:ascii="Times New Roman" w:hAnsi="Times New Roman"/>
          <w:iCs/>
          <w:lang w:val="en-US"/>
        </w:rPr>
        <w:t xml:space="preserve">tudies comparing the use of </w:t>
      </w:r>
      <w:proofErr w:type="spellStart"/>
      <w:r w:rsidRPr="009C6B56">
        <w:rPr>
          <w:rFonts w:ascii="Times New Roman" w:hAnsi="Times New Roman"/>
          <w:iCs/>
          <w:lang w:val="en-US"/>
        </w:rPr>
        <w:t>mycophenolate</w:t>
      </w:r>
      <w:proofErr w:type="spellEnd"/>
      <w:r w:rsidRPr="009C6B56">
        <w:rPr>
          <w:rFonts w:ascii="Times New Roman" w:hAnsi="Times New Roman"/>
          <w:iCs/>
          <w:lang w:val="en-US"/>
        </w:rPr>
        <w:t xml:space="preserve"> (sodium or </w:t>
      </w:r>
      <w:proofErr w:type="spellStart"/>
      <w:r w:rsidRPr="009C6B56">
        <w:rPr>
          <w:rFonts w:ascii="Times New Roman" w:hAnsi="Times New Roman"/>
          <w:iCs/>
          <w:lang w:val="en-US"/>
        </w:rPr>
        <w:t>mofetil</w:t>
      </w:r>
      <w:proofErr w:type="spellEnd"/>
      <w:r w:rsidRPr="009C6B56">
        <w:rPr>
          <w:rFonts w:ascii="Times New Roman" w:hAnsi="Times New Roman"/>
          <w:iCs/>
          <w:lang w:val="en-US"/>
        </w:rPr>
        <w:t xml:space="preserve">) with </w:t>
      </w:r>
      <w:r w:rsidRPr="009C6B56">
        <w:rPr>
          <w:rFonts w:ascii="Times New Roman" w:hAnsi="Times New Roman"/>
        </w:rPr>
        <w:t xml:space="preserve">intravenous </w:t>
      </w:r>
      <w:proofErr w:type="spellStart"/>
      <w:r w:rsidRPr="009C6B56">
        <w:rPr>
          <w:rFonts w:ascii="Times New Roman" w:hAnsi="Times New Roman"/>
        </w:rPr>
        <w:t>cyclophosphamide</w:t>
      </w:r>
      <w:proofErr w:type="spellEnd"/>
      <w:r w:rsidRPr="009C6B56">
        <w:rPr>
          <w:rFonts w:ascii="Times New Roman" w:hAnsi="Times New Roman"/>
        </w:rPr>
        <w:t xml:space="preserve"> (IVC) and </w:t>
      </w:r>
      <w:proofErr w:type="spellStart"/>
      <w:r w:rsidRPr="009C6B56">
        <w:rPr>
          <w:rFonts w:ascii="Times New Roman" w:hAnsi="Times New Roman"/>
        </w:rPr>
        <w:t>azathioprine</w:t>
      </w:r>
      <w:proofErr w:type="spellEnd"/>
      <w:r w:rsidRPr="009C6B56">
        <w:rPr>
          <w:rFonts w:ascii="Times New Roman" w:hAnsi="Times New Roman"/>
        </w:rPr>
        <w:t xml:space="preserve"> (AZA) </w:t>
      </w:r>
      <w:r w:rsidRPr="009C6B56">
        <w:rPr>
          <w:rFonts w:ascii="Times New Roman" w:hAnsi="Times New Roman"/>
          <w:iCs/>
          <w:lang w:val="en-US"/>
        </w:rPr>
        <w:t xml:space="preserve">in patients with proliferative lupus nephritis have been reported in the literature. Results from </w:t>
      </w:r>
      <w:r w:rsidR="003F689A">
        <w:rPr>
          <w:rFonts w:ascii="Times New Roman" w:hAnsi="Times New Roman"/>
          <w:iCs/>
          <w:lang w:val="en-US"/>
        </w:rPr>
        <w:t xml:space="preserve">the </w:t>
      </w:r>
      <w:r w:rsidRPr="009C6B56">
        <w:rPr>
          <w:rFonts w:ascii="Times New Roman" w:hAnsi="Times New Roman"/>
          <w:iCs/>
          <w:lang w:val="en-US"/>
        </w:rPr>
        <w:t>two pivotal published studies with MMF in induction and maintenance therapy are given below:</w:t>
      </w:r>
    </w:p>
    <w:p w:rsidR="00F25F6A" w:rsidRPr="009C6B56" w:rsidRDefault="003F689A" w:rsidP="007F0C54">
      <w:pPr>
        <w:spacing w:before="100" w:beforeAutospacing="1" w:after="100" w:afterAutospacing="1" w:line="320" w:lineRule="atLeast"/>
        <w:rPr>
          <w:rFonts w:ascii="Times New Roman" w:hAnsi="Times New Roman"/>
        </w:rPr>
      </w:pPr>
      <w:r>
        <w:rPr>
          <w:rFonts w:ascii="Times New Roman" w:hAnsi="Times New Roman"/>
          <w:iCs/>
          <w:lang w:val="en-US"/>
        </w:rPr>
        <w:t>T</w:t>
      </w:r>
      <w:r w:rsidR="00F25F6A" w:rsidRPr="009C6B56">
        <w:rPr>
          <w:rFonts w:ascii="Times New Roman" w:hAnsi="Times New Roman"/>
          <w:iCs/>
          <w:lang w:val="en-US"/>
        </w:rPr>
        <w:t>he ALMs study</w:t>
      </w:r>
      <w:r w:rsidR="00E27A4D">
        <w:rPr>
          <w:rFonts w:ascii="Times New Roman" w:hAnsi="Times New Roman"/>
          <w:iCs/>
          <w:lang w:val="en-US"/>
        </w:rPr>
        <w:t xml:space="preserve"> (</w:t>
      </w:r>
      <w:proofErr w:type="spellStart"/>
      <w:r w:rsidR="00F25F6A" w:rsidRPr="009C6B56">
        <w:rPr>
          <w:rFonts w:ascii="Times New Roman" w:hAnsi="Times New Roman"/>
          <w:iCs/>
          <w:lang w:val="en-US"/>
        </w:rPr>
        <w:t>Appel</w:t>
      </w:r>
      <w:proofErr w:type="spellEnd"/>
      <w:r w:rsidR="00E27A4D">
        <w:rPr>
          <w:rFonts w:ascii="Times New Roman" w:hAnsi="Times New Roman"/>
          <w:iCs/>
          <w:lang w:val="en-US"/>
        </w:rPr>
        <w:t xml:space="preserve"> et al.</w:t>
      </w:r>
      <w:r w:rsidR="00F25F6A" w:rsidRPr="009C6B56">
        <w:rPr>
          <w:rFonts w:ascii="Times New Roman" w:hAnsi="Times New Roman"/>
        </w:rPr>
        <w:t>, 2009</w:t>
      </w:r>
      <w:r w:rsidR="00E27A4D">
        <w:rPr>
          <w:rFonts w:ascii="Times New Roman" w:hAnsi="Times New Roman"/>
        </w:rPr>
        <w:t>)</w:t>
      </w:r>
      <w:r w:rsidR="00F25F6A" w:rsidRPr="009C6B56">
        <w:rPr>
          <w:rFonts w:ascii="Times New Roman" w:hAnsi="Times New Roman"/>
        </w:rPr>
        <w:t xml:space="preserve"> compared MMF and IVC as induction treatment for active lupus nephritis in a 24 week open-label parallel group multicentre study. 370 patients with Class III to V lupus nephritis were randomly assigned to a target dose of 3g/day MMF or 0.5 to 1.0 g/m</w:t>
      </w:r>
      <w:r w:rsidR="00F25F6A" w:rsidRPr="009C6B56">
        <w:rPr>
          <w:rFonts w:ascii="Times New Roman" w:hAnsi="Times New Roman"/>
          <w:vertAlign w:val="superscript"/>
        </w:rPr>
        <w:t xml:space="preserve">2 </w:t>
      </w:r>
      <w:r w:rsidR="00F25F6A" w:rsidRPr="009C6B56">
        <w:rPr>
          <w:rFonts w:ascii="Times New Roman" w:hAnsi="Times New Roman"/>
        </w:rPr>
        <w:t>IVC. Both groups received prednisone, tapered from a maximum starting dose of 60mg/day. The primary endpoint was a pre-specified decrease in urine protein/</w:t>
      </w:r>
      <w:proofErr w:type="spellStart"/>
      <w:r w:rsidR="00F25F6A" w:rsidRPr="009C6B56">
        <w:rPr>
          <w:rFonts w:ascii="Times New Roman" w:hAnsi="Times New Roman"/>
        </w:rPr>
        <w:t>creatinine</w:t>
      </w:r>
      <w:proofErr w:type="spellEnd"/>
      <w:r w:rsidR="00F25F6A" w:rsidRPr="009C6B56">
        <w:rPr>
          <w:rFonts w:ascii="Times New Roman" w:hAnsi="Times New Roman"/>
        </w:rPr>
        <w:t xml:space="preserve"> ratio and stabilization or improvement in serum </w:t>
      </w:r>
      <w:proofErr w:type="spellStart"/>
      <w:r w:rsidR="00F25F6A" w:rsidRPr="009C6B56">
        <w:rPr>
          <w:rFonts w:ascii="Times New Roman" w:hAnsi="Times New Roman"/>
        </w:rPr>
        <w:t>creatinine</w:t>
      </w:r>
      <w:proofErr w:type="spellEnd"/>
      <w:r w:rsidR="00F25F6A" w:rsidRPr="009C6B56">
        <w:rPr>
          <w:rFonts w:ascii="Times New Roman" w:hAnsi="Times New Roman"/>
        </w:rPr>
        <w:t xml:space="preserve">. Secondary endpoints included complete renal remission, systemic disease activity and damage, and safety. No significant difference in response rate between the two groups was detected. The primary efficacy </w:t>
      </w:r>
      <w:r w:rsidR="00F25F6A" w:rsidRPr="009C6B56">
        <w:rPr>
          <w:rFonts w:ascii="Times New Roman" w:hAnsi="Times New Roman"/>
        </w:rPr>
        <w:lastRenderedPageBreak/>
        <w:t>endpoint was achieved in 104 (56.2%) patients receiving MMF, compared with 98 (53.0%) patients receiving IVC. No significant differences were detected between the MMF and IVC groups with regard to the rates of adverse events, serious adverse events or infections.</w:t>
      </w:r>
    </w:p>
    <w:p w:rsidR="00F25F6A" w:rsidRPr="009C6B56" w:rsidRDefault="00F25F6A" w:rsidP="007F0C54">
      <w:pPr>
        <w:autoSpaceDE w:val="0"/>
        <w:autoSpaceDN w:val="0"/>
        <w:adjustRightInd w:val="0"/>
        <w:spacing w:before="100" w:beforeAutospacing="1" w:after="100" w:afterAutospacing="1" w:line="320" w:lineRule="atLeast"/>
        <w:rPr>
          <w:rFonts w:ascii="Times New Roman" w:hAnsi="Times New Roman"/>
          <w:lang w:val="en-US"/>
        </w:rPr>
      </w:pPr>
      <w:r w:rsidRPr="009C6B56">
        <w:rPr>
          <w:rFonts w:ascii="Times New Roman" w:hAnsi="Times New Roman"/>
          <w:iCs/>
          <w:lang w:val="en-US"/>
        </w:rPr>
        <w:t>Dooley et al., 2011</w:t>
      </w:r>
      <w:r w:rsidR="003F689A">
        <w:rPr>
          <w:rFonts w:ascii="Times New Roman" w:hAnsi="Times New Roman"/>
          <w:iCs/>
          <w:lang w:val="en-US"/>
        </w:rPr>
        <w:t xml:space="preserve"> </w:t>
      </w:r>
      <w:r w:rsidRPr="009C6B56">
        <w:rPr>
          <w:rFonts w:ascii="Times New Roman" w:hAnsi="Times New Roman"/>
          <w:iCs/>
          <w:lang w:val="en-US"/>
        </w:rPr>
        <w:t xml:space="preserve">conducted a 36 month randomized, double-blind, </w:t>
      </w:r>
      <w:proofErr w:type="gramStart"/>
      <w:r w:rsidRPr="009C6B56">
        <w:rPr>
          <w:rFonts w:ascii="Times New Roman" w:hAnsi="Times New Roman"/>
          <w:iCs/>
          <w:lang w:val="en-US"/>
        </w:rPr>
        <w:t>double</w:t>
      </w:r>
      <w:proofErr w:type="gramEnd"/>
      <w:r w:rsidRPr="009C6B56">
        <w:rPr>
          <w:rFonts w:ascii="Times New Roman" w:hAnsi="Times New Roman"/>
          <w:iCs/>
          <w:lang w:val="en-US"/>
        </w:rPr>
        <w:t xml:space="preserve"> dummy study comparing MMF (2g per day) plus placebo and AZA (2mg per kg per day) plus placebo for the maintenance of remission in 227 patients who met the response criteria during the ALMS 6-month induction trial with either MMF or IVC. 116 patients were randomly assigned to MMF and 111 to AZA. The primary endpoint was the time to treatment failure measured as the time until the first event defined as death, end-stage renal disease, sustained doubling of the serum </w:t>
      </w:r>
      <w:proofErr w:type="spellStart"/>
      <w:r w:rsidRPr="009C6B56">
        <w:rPr>
          <w:rFonts w:ascii="Times New Roman" w:hAnsi="Times New Roman"/>
          <w:iCs/>
          <w:lang w:val="en-US"/>
        </w:rPr>
        <w:t>creatinine</w:t>
      </w:r>
      <w:proofErr w:type="spellEnd"/>
      <w:r w:rsidRPr="009C6B56">
        <w:rPr>
          <w:rFonts w:ascii="Times New Roman" w:hAnsi="Times New Roman"/>
          <w:iCs/>
          <w:lang w:val="en-US"/>
        </w:rPr>
        <w:t xml:space="preserve"> level, renal flare, or the need for rescue therapy. Secondary assessments included the time to the individual components of treatment failure and adverse events. MMF was superior to AZA with respect to the primary end point, time to treatment failure </w:t>
      </w:r>
      <w:r w:rsidRPr="009C6B56">
        <w:rPr>
          <w:rFonts w:ascii="Times New Roman" w:hAnsi="Times New Roman"/>
          <w:lang w:val="en-US"/>
        </w:rPr>
        <w:t xml:space="preserve">(hazard ratio, 0.44; 95% confidence interval, 0.25 to 0.77; P = 0.003), and with respect to time to renal flare and time to rescue therapy (hazard ratio, &lt;1.00; P&lt;0.05). Observed rates of treatment failure were 16.4% (19 of 116 patients) in the </w:t>
      </w:r>
      <w:r w:rsidR="003F689A">
        <w:rPr>
          <w:rFonts w:ascii="Times New Roman" w:hAnsi="Times New Roman"/>
          <w:lang w:val="en-US"/>
        </w:rPr>
        <w:t>MMF</w:t>
      </w:r>
      <w:r w:rsidRPr="009C6B56">
        <w:rPr>
          <w:rFonts w:ascii="Times New Roman" w:hAnsi="Times New Roman"/>
          <w:lang w:val="en-US"/>
        </w:rPr>
        <w:t xml:space="preserve"> group and 32.4% (36 of 111) in the </w:t>
      </w:r>
      <w:r w:rsidR="003F689A">
        <w:rPr>
          <w:rFonts w:ascii="Times New Roman" w:hAnsi="Times New Roman"/>
          <w:lang w:val="en-US"/>
        </w:rPr>
        <w:t>AZA</w:t>
      </w:r>
      <w:r w:rsidRPr="009C6B56">
        <w:rPr>
          <w:rFonts w:ascii="Times New Roman" w:hAnsi="Times New Roman"/>
          <w:lang w:val="en-US"/>
        </w:rPr>
        <w:t xml:space="preserve">. Adverse events, most commonly minor infections and gastrointestinal disorders, occurred in more than 95% of the patients in both groups (P = 0.68). Serious adverse events occurred in 33.3% of patients in the </w:t>
      </w:r>
      <w:r w:rsidR="003F689A">
        <w:rPr>
          <w:rFonts w:ascii="Times New Roman" w:hAnsi="Times New Roman"/>
          <w:lang w:val="en-US"/>
        </w:rPr>
        <w:t>AZA</w:t>
      </w:r>
      <w:r w:rsidRPr="009C6B56">
        <w:rPr>
          <w:rFonts w:ascii="Times New Roman" w:hAnsi="Times New Roman"/>
          <w:lang w:val="en-US"/>
        </w:rPr>
        <w:t xml:space="preserve"> group and in 23.5% of those in the </w:t>
      </w:r>
      <w:r w:rsidR="003F689A">
        <w:rPr>
          <w:rFonts w:ascii="Times New Roman" w:hAnsi="Times New Roman"/>
          <w:lang w:val="en-US"/>
        </w:rPr>
        <w:t>MMF</w:t>
      </w:r>
      <w:r w:rsidRPr="009C6B56">
        <w:rPr>
          <w:rFonts w:ascii="Times New Roman" w:hAnsi="Times New Roman"/>
          <w:lang w:val="en-US"/>
        </w:rPr>
        <w:t xml:space="preserve"> group (P = 0.11), and the rate of withdrawal due to adverse events was higher with </w:t>
      </w:r>
      <w:r w:rsidR="003F689A">
        <w:rPr>
          <w:rFonts w:ascii="Times New Roman" w:hAnsi="Times New Roman"/>
          <w:lang w:val="en-US"/>
        </w:rPr>
        <w:t>AZA</w:t>
      </w:r>
      <w:r w:rsidRPr="009C6B56">
        <w:rPr>
          <w:rFonts w:ascii="Times New Roman" w:hAnsi="Times New Roman"/>
          <w:lang w:val="en-US"/>
        </w:rPr>
        <w:t xml:space="preserve"> than with </w:t>
      </w:r>
      <w:r w:rsidR="003F689A">
        <w:rPr>
          <w:rFonts w:ascii="Times New Roman" w:hAnsi="Times New Roman"/>
          <w:lang w:val="en-US"/>
        </w:rPr>
        <w:t>MMF</w:t>
      </w:r>
      <w:r w:rsidRPr="009C6B56">
        <w:rPr>
          <w:rFonts w:ascii="Times New Roman" w:hAnsi="Times New Roman"/>
          <w:lang w:val="en-US"/>
        </w:rPr>
        <w:t xml:space="preserve"> (39.6% vs. 25.2%, P = 0.02).</w:t>
      </w:r>
    </w:p>
    <w:p w:rsidR="00F25F6A" w:rsidRPr="009C6B56" w:rsidRDefault="00F25F6A" w:rsidP="00A37F97">
      <w:pPr>
        <w:pStyle w:val="Heading3"/>
        <w:spacing w:before="100" w:beforeAutospacing="1"/>
        <w:rPr>
          <w:lang w:val="en-US"/>
        </w:rPr>
      </w:pPr>
      <w:r w:rsidRPr="009C6B56">
        <w:rPr>
          <w:lang w:val="en-US"/>
        </w:rPr>
        <w:t>Doses used in clinical studies</w:t>
      </w:r>
    </w:p>
    <w:p w:rsidR="00F25F6A" w:rsidRPr="009C6B56" w:rsidRDefault="00F25F6A" w:rsidP="00A37F97">
      <w:pPr>
        <w:autoSpaceDE w:val="0"/>
        <w:autoSpaceDN w:val="0"/>
        <w:adjustRightInd w:val="0"/>
        <w:spacing w:after="100" w:afterAutospacing="1" w:line="320" w:lineRule="atLeast"/>
        <w:rPr>
          <w:rFonts w:ascii="Times New Roman" w:hAnsi="Times New Roman"/>
          <w:iCs/>
          <w:lang w:val="en-US"/>
        </w:rPr>
      </w:pPr>
      <w:r w:rsidRPr="009C6B56">
        <w:rPr>
          <w:rFonts w:ascii="Times New Roman" w:hAnsi="Times New Roman"/>
          <w:iCs/>
          <w:lang w:val="en-US"/>
        </w:rPr>
        <w:t xml:space="preserve">The doses of </w:t>
      </w:r>
      <w:proofErr w:type="spellStart"/>
      <w:r w:rsidRPr="009C6B56">
        <w:rPr>
          <w:rFonts w:ascii="Times New Roman" w:hAnsi="Times New Roman"/>
          <w:iCs/>
          <w:lang w:val="en-US"/>
        </w:rPr>
        <w:t>mycophenolate</w:t>
      </w:r>
      <w:proofErr w:type="spellEnd"/>
      <w:r w:rsidRPr="009C6B56">
        <w:rPr>
          <w:rFonts w:ascii="Times New Roman" w:hAnsi="Times New Roman"/>
          <w:iCs/>
          <w:lang w:val="en-US"/>
        </w:rPr>
        <w:t xml:space="preserve"> sodium (or the equivalent doses when administered as </w:t>
      </w:r>
      <w:proofErr w:type="spellStart"/>
      <w:r w:rsidRPr="009C6B56">
        <w:rPr>
          <w:rFonts w:ascii="Times New Roman" w:hAnsi="Times New Roman"/>
          <w:iCs/>
          <w:lang w:val="en-US"/>
        </w:rPr>
        <w:t>mycophenolate</w:t>
      </w:r>
      <w:proofErr w:type="spellEnd"/>
      <w:r w:rsidRPr="009C6B56">
        <w:rPr>
          <w:rFonts w:ascii="Times New Roman" w:hAnsi="Times New Roman"/>
          <w:iCs/>
          <w:lang w:val="en-US"/>
        </w:rPr>
        <w:t xml:space="preserve"> </w:t>
      </w:r>
      <w:proofErr w:type="spellStart"/>
      <w:r w:rsidRPr="009C6B56">
        <w:rPr>
          <w:rFonts w:ascii="Times New Roman" w:hAnsi="Times New Roman"/>
          <w:iCs/>
          <w:lang w:val="en-US"/>
        </w:rPr>
        <w:t>mofetil</w:t>
      </w:r>
      <w:proofErr w:type="spellEnd"/>
      <w:r w:rsidRPr="009C6B56">
        <w:rPr>
          <w:rFonts w:ascii="Times New Roman" w:hAnsi="Times New Roman"/>
          <w:iCs/>
          <w:lang w:val="en-US"/>
        </w:rPr>
        <w:t xml:space="preserve">) used in the published clinical studies were varied. </w:t>
      </w:r>
      <w:r w:rsidRPr="009C6B56">
        <w:rPr>
          <w:rFonts w:ascii="Times New Roman" w:hAnsi="Times New Roman"/>
          <w:iCs/>
          <w:u w:val="single"/>
          <w:lang w:val="en-US"/>
        </w:rPr>
        <w:t>Doses used for induction</w:t>
      </w:r>
      <w:r w:rsidRPr="009C6B56">
        <w:rPr>
          <w:rFonts w:ascii="Times New Roman" w:hAnsi="Times New Roman"/>
          <w:iCs/>
          <w:lang w:val="en-US"/>
        </w:rPr>
        <w:t xml:space="preserve">: </w:t>
      </w:r>
      <w:r w:rsidRPr="009C6B56">
        <w:rPr>
          <w:rFonts w:ascii="Times New Roman" w:hAnsi="Times New Roman"/>
        </w:rPr>
        <w:t>In the pivotal 24-week ALMS study (</w:t>
      </w:r>
      <w:proofErr w:type="spellStart"/>
      <w:r w:rsidRPr="009C6B56">
        <w:rPr>
          <w:rFonts w:ascii="Times New Roman" w:hAnsi="Times New Roman"/>
        </w:rPr>
        <w:t>Appel</w:t>
      </w:r>
      <w:proofErr w:type="spellEnd"/>
      <w:r w:rsidRPr="009C6B56">
        <w:rPr>
          <w:rFonts w:ascii="Times New Roman" w:hAnsi="Times New Roman"/>
        </w:rPr>
        <w:t xml:space="preserve"> et al., 2009) the target dose of MMF was 3g per day </w:t>
      </w:r>
      <w:r w:rsidRPr="009C6B56">
        <w:rPr>
          <w:rFonts w:ascii="Times New Roman" w:hAnsi="Times New Roman"/>
          <w:iCs/>
          <w:lang w:val="en-US"/>
        </w:rPr>
        <w:t xml:space="preserve">(equivalent of 2.16g </w:t>
      </w:r>
      <w:proofErr w:type="spellStart"/>
      <w:r w:rsidRPr="009C6B56">
        <w:rPr>
          <w:rFonts w:ascii="Times New Roman" w:hAnsi="Times New Roman"/>
          <w:iCs/>
          <w:lang w:val="en-US"/>
        </w:rPr>
        <w:t>mycophenolate</w:t>
      </w:r>
      <w:proofErr w:type="spellEnd"/>
      <w:r w:rsidRPr="009C6B56">
        <w:rPr>
          <w:rFonts w:ascii="Times New Roman" w:hAnsi="Times New Roman"/>
          <w:iCs/>
          <w:lang w:val="en-US"/>
        </w:rPr>
        <w:t xml:space="preserve"> sodium or 720mg three times daily).</w:t>
      </w:r>
      <w:r w:rsidRPr="009C6B56">
        <w:rPr>
          <w:rFonts w:ascii="Times New Roman" w:hAnsi="Times New Roman"/>
        </w:rPr>
        <w:t xml:space="preserve">  The median dosage of MMF was calculated as 2.6g/day. In another </w:t>
      </w:r>
      <w:r w:rsidRPr="009C6B56">
        <w:rPr>
          <w:rFonts w:ascii="Times New Roman" w:hAnsi="Times New Roman"/>
          <w:iCs/>
          <w:lang w:val="en-US"/>
        </w:rPr>
        <w:t>24-week published study (</w:t>
      </w:r>
      <w:proofErr w:type="spellStart"/>
      <w:r w:rsidRPr="009C6B56">
        <w:rPr>
          <w:rFonts w:ascii="Times New Roman" w:hAnsi="Times New Roman"/>
          <w:iCs/>
          <w:lang w:val="en-US"/>
        </w:rPr>
        <w:t>Ginzler</w:t>
      </w:r>
      <w:proofErr w:type="spellEnd"/>
      <w:r w:rsidRPr="009C6B56">
        <w:rPr>
          <w:rFonts w:ascii="Times New Roman" w:hAnsi="Times New Roman"/>
          <w:iCs/>
          <w:lang w:val="en-US"/>
        </w:rPr>
        <w:t xml:space="preserve"> et al.,2005), patients were treated with escalating doses of </w:t>
      </w:r>
      <w:r w:rsidR="00AF2291">
        <w:rPr>
          <w:rFonts w:ascii="Times New Roman" w:hAnsi="Times New Roman"/>
          <w:iCs/>
          <w:lang w:val="en-US"/>
        </w:rPr>
        <w:t>MMF</w:t>
      </w:r>
      <w:r w:rsidR="00AF2291" w:rsidRPr="009C6B56">
        <w:rPr>
          <w:rFonts w:ascii="Times New Roman" w:hAnsi="Times New Roman"/>
          <w:iCs/>
          <w:lang w:val="en-US"/>
        </w:rPr>
        <w:t xml:space="preserve"> </w:t>
      </w:r>
      <w:r w:rsidRPr="009C6B56">
        <w:rPr>
          <w:rFonts w:ascii="Times New Roman" w:hAnsi="Times New Roman"/>
          <w:iCs/>
          <w:lang w:val="en-US"/>
        </w:rPr>
        <w:t xml:space="preserve">up to 3g per day (equivalent of 2.16g </w:t>
      </w:r>
      <w:proofErr w:type="spellStart"/>
      <w:r w:rsidRPr="009C6B56">
        <w:rPr>
          <w:rFonts w:ascii="Times New Roman" w:hAnsi="Times New Roman"/>
          <w:iCs/>
          <w:lang w:val="en-US"/>
        </w:rPr>
        <w:t>mycophenolate</w:t>
      </w:r>
      <w:proofErr w:type="spellEnd"/>
      <w:r w:rsidRPr="009C6B56">
        <w:rPr>
          <w:rFonts w:ascii="Times New Roman" w:hAnsi="Times New Roman"/>
          <w:iCs/>
          <w:lang w:val="en-US"/>
        </w:rPr>
        <w:t xml:space="preserve"> sodium or 720mg three times daily). In this study t</w:t>
      </w:r>
      <w:r w:rsidRPr="009C6B56">
        <w:rPr>
          <w:rFonts w:ascii="Times New Roman" w:hAnsi="Times New Roman"/>
          <w:lang w:val="en-US"/>
        </w:rPr>
        <w:t xml:space="preserve">he mean maximum tolerated dose of MMF was 2.68g per day (equivalent to 1.93g </w:t>
      </w:r>
      <w:proofErr w:type="spellStart"/>
      <w:r w:rsidRPr="009C6B56">
        <w:rPr>
          <w:rFonts w:ascii="Times New Roman" w:hAnsi="Times New Roman"/>
          <w:iCs/>
          <w:lang w:val="en-US"/>
        </w:rPr>
        <w:t>mycophenolate</w:t>
      </w:r>
      <w:proofErr w:type="spellEnd"/>
      <w:r w:rsidRPr="009C6B56">
        <w:rPr>
          <w:rFonts w:ascii="Times New Roman" w:hAnsi="Times New Roman"/>
          <w:iCs/>
          <w:lang w:val="en-US"/>
        </w:rPr>
        <w:t xml:space="preserve"> sodium</w:t>
      </w:r>
      <w:r w:rsidRPr="009C6B56">
        <w:rPr>
          <w:rFonts w:ascii="Times New Roman" w:hAnsi="Times New Roman"/>
          <w:lang w:val="en-US"/>
        </w:rPr>
        <w:t xml:space="preserve"> or nearly 720mg three times daily).</w:t>
      </w:r>
      <w:r w:rsidRPr="009C6B56">
        <w:rPr>
          <w:rFonts w:ascii="Times New Roman" w:hAnsi="Times New Roman"/>
          <w:iCs/>
          <w:lang w:val="en-US"/>
        </w:rPr>
        <w:t xml:space="preserve"> </w:t>
      </w:r>
      <w:r w:rsidRPr="009C6B56">
        <w:rPr>
          <w:rFonts w:ascii="Times New Roman" w:hAnsi="Times New Roman"/>
          <w:u w:val="single"/>
        </w:rPr>
        <w:t>Doses used for maintenance</w:t>
      </w:r>
      <w:r w:rsidRPr="009C6B56">
        <w:rPr>
          <w:rFonts w:ascii="Times New Roman" w:hAnsi="Times New Roman"/>
        </w:rPr>
        <w:t xml:space="preserve">: In the pivotal long term maintenance study (Dooley et al., 2011), </w:t>
      </w:r>
      <w:r w:rsidRPr="009C6B56">
        <w:rPr>
          <w:rFonts w:ascii="Times New Roman" w:hAnsi="Times New Roman"/>
          <w:iCs/>
          <w:lang w:val="en-US"/>
        </w:rPr>
        <w:t xml:space="preserve">the target dose of MMF was 2g/day (equivalent to </w:t>
      </w:r>
      <w:proofErr w:type="spellStart"/>
      <w:r w:rsidRPr="009C6B56">
        <w:rPr>
          <w:rFonts w:ascii="Times New Roman" w:hAnsi="Times New Roman"/>
          <w:iCs/>
          <w:lang w:val="en-US"/>
        </w:rPr>
        <w:t>mycophenolate</w:t>
      </w:r>
      <w:proofErr w:type="spellEnd"/>
      <w:r w:rsidRPr="009C6B56">
        <w:rPr>
          <w:rFonts w:ascii="Times New Roman" w:hAnsi="Times New Roman"/>
          <w:iCs/>
          <w:lang w:val="en-US"/>
        </w:rPr>
        <w:t xml:space="preserve"> sodium 720mg twice daily)</w:t>
      </w:r>
      <w:r>
        <w:rPr>
          <w:rFonts w:ascii="Times New Roman" w:hAnsi="Times New Roman"/>
          <w:iCs/>
          <w:lang w:val="en-US"/>
        </w:rPr>
        <w:t>;</w:t>
      </w:r>
      <w:r w:rsidRPr="009C6B56">
        <w:rPr>
          <w:rFonts w:ascii="Times New Roman" w:hAnsi="Times New Roman"/>
          <w:iCs/>
          <w:lang w:val="en-US"/>
        </w:rPr>
        <w:t xml:space="preserve"> 80% of patients received a daily dose of 1.6mg or more.</w:t>
      </w:r>
    </w:p>
    <w:p w:rsidR="00395F64" w:rsidRPr="000F1C42" w:rsidRDefault="00395F64" w:rsidP="00A37F97">
      <w:pPr>
        <w:pStyle w:val="Heading2"/>
      </w:pPr>
      <w:r w:rsidRPr="000F1C42">
        <w:t>INDICATIONS</w:t>
      </w:r>
    </w:p>
    <w:p w:rsidR="00395F64" w:rsidRDefault="00395F64" w:rsidP="001B5A2B">
      <w:pPr>
        <w:pStyle w:val="TextChar"/>
        <w:numPr>
          <w:ilvl w:val="0"/>
          <w:numId w:val="7"/>
        </w:numPr>
        <w:tabs>
          <w:tab w:val="left" w:pos="-720"/>
        </w:tabs>
        <w:spacing w:before="0" w:line="320" w:lineRule="atLeast"/>
        <w:ind w:left="284" w:hanging="284"/>
        <w:jc w:val="left"/>
        <w:rPr>
          <w:lang w:val="en-AU"/>
        </w:rPr>
      </w:pPr>
      <w:proofErr w:type="spellStart"/>
      <w:r w:rsidRPr="000F1C42">
        <w:rPr>
          <w:lang w:val="en-AU"/>
        </w:rPr>
        <w:t>Myfortic</w:t>
      </w:r>
      <w:proofErr w:type="spellEnd"/>
      <w:r w:rsidRPr="000F1C42">
        <w:rPr>
          <w:lang w:val="en-AU"/>
        </w:rPr>
        <w:t xml:space="preserve"> is indicated for the prophylaxis of acute transplant rejection in adult patients receiving </w:t>
      </w:r>
      <w:proofErr w:type="spellStart"/>
      <w:r w:rsidRPr="000F1C42">
        <w:rPr>
          <w:lang w:val="en-AU"/>
        </w:rPr>
        <w:t>allogeneic</w:t>
      </w:r>
      <w:proofErr w:type="spellEnd"/>
      <w:r w:rsidRPr="000F1C42">
        <w:rPr>
          <w:lang w:val="en-AU"/>
        </w:rPr>
        <w:t xml:space="preserve"> renal transplants.</w:t>
      </w:r>
    </w:p>
    <w:p w:rsidR="005C5BEC" w:rsidRDefault="005C5BEC" w:rsidP="001B5A2B">
      <w:pPr>
        <w:pStyle w:val="TextChar"/>
        <w:numPr>
          <w:ilvl w:val="0"/>
          <w:numId w:val="7"/>
        </w:numPr>
        <w:tabs>
          <w:tab w:val="left" w:pos="-720"/>
        </w:tabs>
        <w:spacing w:before="0" w:line="320" w:lineRule="atLeast"/>
        <w:ind w:left="284" w:hanging="284"/>
        <w:jc w:val="left"/>
        <w:rPr>
          <w:lang w:val="en-AU"/>
        </w:rPr>
      </w:pPr>
      <w:proofErr w:type="spellStart"/>
      <w:r w:rsidRPr="001042BC">
        <w:rPr>
          <w:lang w:val="en-AU"/>
        </w:rPr>
        <w:t>Myfortic</w:t>
      </w:r>
      <w:proofErr w:type="spellEnd"/>
      <w:r w:rsidRPr="001042BC">
        <w:rPr>
          <w:lang w:val="en-AU"/>
        </w:rPr>
        <w:t xml:space="preserve"> is indicated for induction and maintenance treatment of </w:t>
      </w:r>
      <w:r>
        <w:rPr>
          <w:lang w:val="en-AU"/>
        </w:rPr>
        <w:t xml:space="preserve">adult patients with </w:t>
      </w:r>
      <w:r w:rsidR="00C361B8">
        <w:rPr>
          <w:lang w:val="en-AU"/>
        </w:rPr>
        <w:t xml:space="preserve">WHO </w:t>
      </w:r>
      <w:r>
        <w:rPr>
          <w:lang w:val="en-AU"/>
        </w:rPr>
        <w:t xml:space="preserve">Class III, IV or V </w:t>
      </w:r>
      <w:r w:rsidRPr="001042BC">
        <w:rPr>
          <w:lang w:val="en-AU"/>
        </w:rPr>
        <w:t>lupus nephritis</w:t>
      </w:r>
      <w:r>
        <w:rPr>
          <w:lang w:val="en-AU"/>
        </w:rPr>
        <w:t>.</w:t>
      </w:r>
    </w:p>
    <w:p w:rsidR="001B5A2B" w:rsidRPr="001042BC" w:rsidRDefault="001B5A2B" w:rsidP="00A37F97">
      <w:pPr>
        <w:pStyle w:val="TextChar"/>
        <w:tabs>
          <w:tab w:val="left" w:pos="-720"/>
        </w:tabs>
        <w:spacing w:before="100" w:beforeAutospacing="1" w:after="100" w:afterAutospacing="1" w:line="320" w:lineRule="atLeast"/>
        <w:ind w:left="284"/>
        <w:jc w:val="left"/>
        <w:rPr>
          <w:lang w:val="en-AU"/>
        </w:rPr>
      </w:pPr>
      <w:r>
        <w:rPr>
          <w:lang w:val="en-AU"/>
        </w:rPr>
        <w:lastRenderedPageBreak/>
        <w:t>This indication is based on the evidence in literature reports of studies of treatment in patients with lupus nephritis, the majority of whom were ISN/RPS (2003) Class IV. The evidence for efficacy was based on surrogate endpoints.</w:t>
      </w:r>
    </w:p>
    <w:p w:rsidR="00395F64" w:rsidRPr="000F1C42" w:rsidRDefault="00395F64" w:rsidP="00A37F97">
      <w:pPr>
        <w:pStyle w:val="Heading2"/>
      </w:pPr>
      <w:r w:rsidRPr="000F1C42">
        <w:t>CONTRAINDICATIONS</w:t>
      </w:r>
    </w:p>
    <w:p w:rsidR="00301DCB" w:rsidRDefault="00395F64" w:rsidP="00A37F97">
      <w:pPr>
        <w:tabs>
          <w:tab w:val="left" w:pos="-720"/>
          <w:tab w:val="left" w:pos="360"/>
          <w:tab w:val="left" w:pos="510"/>
          <w:tab w:val="left" w:pos="918"/>
        </w:tabs>
        <w:spacing w:after="100" w:afterAutospacing="1" w:line="320" w:lineRule="atLeast"/>
        <w:rPr>
          <w:rFonts w:ascii="Times New Roman" w:hAnsi="Times New Roman"/>
        </w:rPr>
      </w:pPr>
      <w:proofErr w:type="spellStart"/>
      <w:r w:rsidRPr="000F1C42">
        <w:rPr>
          <w:rFonts w:ascii="Times New Roman" w:hAnsi="Times New Roman"/>
        </w:rPr>
        <w:t>Myfortic</w:t>
      </w:r>
      <w:proofErr w:type="spellEnd"/>
      <w:r w:rsidRPr="000F1C42">
        <w:rPr>
          <w:rFonts w:ascii="Times New Roman" w:hAnsi="Times New Roman"/>
        </w:rPr>
        <w:t xml:space="preserve"> is contraindicated in pregnancy</w:t>
      </w:r>
      <w:r w:rsidR="00DB7BF2">
        <w:rPr>
          <w:rFonts w:ascii="Times New Roman" w:hAnsi="Times New Roman"/>
        </w:rPr>
        <w:t xml:space="preserve"> </w:t>
      </w:r>
      <w:r w:rsidR="00DB7BF2" w:rsidRPr="003F689A">
        <w:rPr>
          <w:rFonts w:ascii="Times New Roman" w:hAnsi="Times New Roman"/>
        </w:rPr>
        <w:t xml:space="preserve">since it is associated with increased risks of </w:t>
      </w:r>
      <w:r w:rsidR="00FA3664">
        <w:rPr>
          <w:rFonts w:ascii="Times New Roman" w:hAnsi="Times New Roman"/>
        </w:rPr>
        <w:t xml:space="preserve">first trimester </w:t>
      </w:r>
      <w:r w:rsidR="00DB7BF2" w:rsidRPr="003F689A">
        <w:rPr>
          <w:rFonts w:ascii="Times New Roman" w:hAnsi="Times New Roman"/>
        </w:rPr>
        <w:t>pregnancy loss and congenital malformations</w:t>
      </w:r>
      <w:r w:rsidR="00531C8E">
        <w:rPr>
          <w:rFonts w:ascii="Times New Roman" w:hAnsi="Times New Roman"/>
        </w:rPr>
        <w:t xml:space="preserve"> (see </w:t>
      </w:r>
      <w:r w:rsidR="007F0F74">
        <w:rPr>
          <w:rFonts w:ascii="Times New Roman" w:hAnsi="Times New Roman"/>
        </w:rPr>
        <w:t>“</w:t>
      </w:r>
      <w:r w:rsidR="00531C8E">
        <w:rPr>
          <w:rFonts w:ascii="Times New Roman" w:hAnsi="Times New Roman"/>
        </w:rPr>
        <w:t>PRECAUTIONS – Use in pregnancy</w:t>
      </w:r>
      <w:r w:rsidR="007F0F74">
        <w:rPr>
          <w:rFonts w:ascii="Times New Roman" w:hAnsi="Times New Roman"/>
        </w:rPr>
        <w:t>”</w:t>
      </w:r>
      <w:r w:rsidR="00531C8E">
        <w:rPr>
          <w:rFonts w:ascii="Times New Roman" w:hAnsi="Times New Roman"/>
        </w:rPr>
        <w:t>)</w:t>
      </w:r>
      <w:r w:rsidR="00DB7BF2" w:rsidRPr="003F689A">
        <w:rPr>
          <w:rFonts w:ascii="Times New Roman" w:hAnsi="Times New Roman"/>
        </w:rPr>
        <w:t>.</w:t>
      </w:r>
      <w:r w:rsidR="00DB7BF2">
        <w:rPr>
          <w:rFonts w:ascii="Times New Roman" w:hAnsi="Times New Roman"/>
        </w:rPr>
        <w:t xml:space="preserve"> </w:t>
      </w:r>
      <w:r w:rsidR="00FA3664">
        <w:rPr>
          <w:rFonts w:ascii="Times New Roman" w:hAnsi="Times New Roman"/>
        </w:rPr>
        <w:t>Females of reproductive potential must be counselled regarding pregnancy prevention and planning.</w:t>
      </w:r>
    </w:p>
    <w:p w:rsidR="00395F64" w:rsidRPr="000F1C42" w:rsidRDefault="00DB7BF2" w:rsidP="00A37F97">
      <w:pPr>
        <w:tabs>
          <w:tab w:val="left" w:pos="-720"/>
          <w:tab w:val="left" w:pos="360"/>
          <w:tab w:val="left" w:pos="510"/>
          <w:tab w:val="left" w:pos="918"/>
        </w:tabs>
        <w:spacing w:before="100" w:beforeAutospacing="1" w:after="100" w:afterAutospacing="1" w:line="320" w:lineRule="atLeast"/>
        <w:rPr>
          <w:rFonts w:ascii="Times New Roman" w:hAnsi="Times New Roman"/>
        </w:rPr>
      </w:pPr>
      <w:r>
        <w:rPr>
          <w:rFonts w:ascii="Times New Roman" w:hAnsi="Times New Roman"/>
        </w:rPr>
        <w:t>It is also contraindicated in</w:t>
      </w:r>
      <w:r w:rsidR="00395F64" w:rsidRPr="000F1C42">
        <w:rPr>
          <w:rFonts w:ascii="Times New Roman" w:hAnsi="Times New Roman"/>
        </w:rPr>
        <w:t xml:space="preserve"> patients with a hypersensitivity to </w:t>
      </w:r>
      <w:proofErr w:type="spellStart"/>
      <w:r w:rsidR="00395F64" w:rsidRPr="000F1C42">
        <w:rPr>
          <w:rFonts w:ascii="Times New Roman" w:hAnsi="Times New Roman"/>
        </w:rPr>
        <w:t>mycophenolate</w:t>
      </w:r>
      <w:proofErr w:type="spellEnd"/>
      <w:r w:rsidR="00395F64" w:rsidRPr="000F1C42">
        <w:rPr>
          <w:rFonts w:ascii="Times New Roman" w:hAnsi="Times New Roman"/>
        </w:rPr>
        <w:t xml:space="preserve"> sodium, </w:t>
      </w:r>
      <w:proofErr w:type="spellStart"/>
      <w:r w:rsidR="00395F64" w:rsidRPr="000F1C42">
        <w:rPr>
          <w:rFonts w:ascii="Times New Roman" w:hAnsi="Times New Roman"/>
        </w:rPr>
        <w:t>mycophenolic</w:t>
      </w:r>
      <w:proofErr w:type="spellEnd"/>
      <w:r w:rsidR="00395F64" w:rsidRPr="000F1C42">
        <w:rPr>
          <w:rFonts w:ascii="Times New Roman" w:hAnsi="Times New Roman"/>
        </w:rPr>
        <w:t xml:space="preserve"> acid or </w:t>
      </w:r>
      <w:proofErr w:type="spellStart"/>
      <w:r w:rsidR="00395F64" w:rsidRPr="000F1C42">
        <w:rPr>
          <w:rFonts w:ascii="Times New Roman" w:hAnsi="Times New Roman"/>
        </w:rPr>
        <w:t>mycophenolate</w:t>
      </w:r>
      <w:proofErr w:type="spellEnd"/>
      <w:r w:rsidR="00395F64" w:rsidRPr="000F1C42">
        <w:rPr>
          <w:rFonts w:ascii="Times New Roman" w:hAnsi="Times New Roman"/>
        </w:rPr>
        <w:t xml:space="preserve"> </w:t>
      </w:r>
      <w:proofErr w:type="spellStart"/>
      <w:r w:rsidR="00395F64" w:rsidRPr="000F1C42">
        <w:rPr>
          <w:rFonts w:ascii="Times New Roman" w:hAnsi="Times New Roman"/>
        </w:rPr>
        <w:t>mofetil</w:t>
      </w:r>
      <w:proofErr w:type="spellEnd"/>
      <w:r w:rsidR="00395F64" w:rsidRPr="000F1C42">
        <w:rPr>
          <w:rFonts w:ascii="Times New Roman" w:hAnsi="Times New Roman"/>
        </w:rPr>
        <w:t xml:space="preserve"> or to any of the </w:t>
      </w:r>
      <w:proofErr w:type="spellStart"/>
      <w:r w:rsidR="00395F64" w:rsidRPr="000F1C42">
        <w:rPr>
          <w:rFonts w:ascii="Times New Roman" w:hAnsi="Times New Roman"/>
        </w:rPr>
        <w:t>excipients</w:t>
      </w:r>
      <w:proofErr w:type="spellEnd"/>
      <w:r w:rsidR="00395F64" w:rsidRPr="000F1C42">
        <w:rPr>
          <w:rFonts w:ascii="Times New Roman" w:hAnsi="Times New Roman"/>
        </w:rPr>
        <w:t xml:space="preserve"> of the formulation (see “DESCRIPTION”).</w:t>
      </w:r>
    </w:p>
    <w:p w:rsidR="00395F64" w:rsidRPr="000F1C42" w:rsidRDefault="00395F64" w:rsidP="00A37F97">
      <w:pPr>
        <w:pStyle w:val="Heading2"/>
        <w:rPr>
          <w:strike/>
        </w:rPr>
      </w:pPr>
      <w:r w:rsidRPr="000F1C42">
        <w:t>PRECAUTIONS</w:t>
      </w:r>
    </w:p>
    <w:p w:rsidR="00183D66" w:rsidRPr="00183D66" w:rsidRDefault="00183D66" w:rsidP="00A37F97">
      <w:pPr>
        <w:pStyle w:val="Heading3"/>
      </w:pPr>
      <w:proofErr w:type="spellStart"/>
      <w:r>
        <w:t>Embryofoetal</w:t>
      </w:r>
      <w:proofErr w:type="spellEnd"/>
      <w:r>
        <w:t xml:space="preserve"> toxicity</w:t>
      </w:r>
    </w:p>
    <w:p w:rsidR="0051301E" w:rsidRPr="00183D66" w:rsidRDefault="0051301E" w:rsidP="00A37F97">
      <w:pPr>
        <w:pStyle w:val="BodyText2"/>
        <w:spacing w:after="100" w:afterAutospacing="1"/>
        <w:rPr>
          <w:b w:val="0"/>
        </w:rPr>
      </w:pPr>
      <w:proofErr w:type="spellStart"/>
      <w:r>
        <w:rPr>
          <w:b w:val="0"/>
          <w:color w:val="000000"/>
        </w:rPr>
        <w:t>Myfortic</w:t>
      </w:r>
      <w:proofErr w:type="spellEnd"/>
      <w:r w:rsidRPr="0051301E">
        <w:rPr>
          <w:b w:val="0"/>
          <w:color w:val="000000"/>
        </w:rPr>
        <w:t xml:space="preserve"> can cause f</w:t>
      </w:r>
      <w:r w:rsidR="00183D66">
        <w:rPr>
          <w:b w:val="0"/>
          <w:color w:val="000000"/>
        </w:rPr>
        <w:t>o</w:t>
      </w:r>
      <w:r w:rsidRPr="0051301E">
        <w:rPr>
          <w:b w:val="0"/>
          <w:color w:val="000000"/>
        </w:rPr>
        <w:t>etal harm when administered to a pregnant woman.</w:t>
      </w:r>
      <w:r w:rsidR="00183D66" w:rsidRPr="00183D66">
        <w:rPr>
          <w:color w:val="000000"/>
        </w:rPr>
        <w:t xml:space="preserve"> </w:t>
      </w:r>
      <w:r w:rsidR="00183D66" w:rsidRPr="00183D66">
        <w:rPr>
          <w:b w:val="0"/>
          <w:color w:val="000000"/>
        </w:rPr>
        <w:t xml:space="preserve">Use of </w:t>
      </w:r>
      <w:proofErr w:type="spellStart"/>
      <w:r w:rsidR="00183D66" w:rsidRPr="00183D66">
        <w:rPr>
          <w:b w:val="0"/>
          <w:color w:val="000000"/>
        </w:rPr>
        <w:t>Myfortic</w:t>
      </w:r>
      <w:proofErr w:type="spellEnd"/>
      <w:r w:rsidR="00183D66" w:rsidRPr="00183D66">
        <w:rPr>
          <w:b w:val="0"/>
          <w:color w:val="000000"/>
        </w:rPr>
        <w:t xml:space="preserve"> during pregnancy is associated with an increased risk of first trimester pregnancy loss and an increased risk of congenital malformations, especially external ear and other facial abnormalities including cleft lip and palate, and anomalies of the distal limbs, heart, </w:t>
      </w:r>
      <w:proofErr w:type="spellStart"/>
      <w:r w:rsidR="00183D66" w:rsidRPr="00183D66">
        <w:rPr>
          <w:b w:val="0"/>
          <w:color w:val="000000"/>
        </w:rPr>
        <w:t>esophagus</w:t>
      </w:r>
      <w:proofErr w:type="spellEnd"/>
      <w:r w:rsidR="00183D66" w:rsidRPr="00183D66">
        <w:rPr>
          <w:b w:val="0"/>
          <w:color w:val="000000"/>
        </w:rPr>
        <w:t>, and kidney.</w:t>
      </w:r>
    </w:p>
    <w:p w:rsidR="00183D66" w:rsidRDefault="00183D66" w:rsidP="00A37F97">
      <w:pPr>
        <w:pStyle w:val="Heading3"/>
        <w:spacing w:before="100" w:beforeAutospacing="1"/>
      </w:pPr>
      <w:r>
        <w:t>Women of child-bearing potential</w:t>
      </w:r>
    </w:p>
    <w:p w:rsidR="00183D66" w:rsidRDefault="00183D66" w:rsidP="00A37F97">
      <w:pPr>
        <w:tabs>
          <w:tab w:val="left" w:pos="-720"/>
          <w:tab w:val="left" w:pos="510"/>
          <w:tab w:val="left" w:pos="918"/>
        </w:tabs>
        <w:spacing w:after="100" w:afterAutospacing="1" w:line="320" w:lineRule="atLeast"/>
        <w:outlineLvl w:val="0"/>
      </w:pPr>
      <w:proofErr w:type="spellStart"/>
      <w:r w:rsidRPr="000F1C42">
        <w:t>Myfortic</w:t>
      </w:r>
      <w:proofErr w:type="spellEnd"/>
      <w:r w:rsidRPr="000F1C42">
        <w:t xml:space="preserve"> therapy should not be initiated until a negative pregnancy test has been obtained.</w:t>
      </w:r>
    </w:p>
    <w:p w:rsidR="0051301E" w:rsidRPr="00183D66" w:rsidRDefault="00183D66" w:rsidP="00A37F97">
      <w:pPr>
        <w:pStyle w:val="BodyText2"/>
        <w:spacing w:before="100" w:beforeAutospacing="1" w:after="100" w:afterAutospacing="1"/>
        <w:rPr>
          <w:b w:val="0"/>
        </w:rPr>
      </w:pPr>
      <w:r w:rsidRPr="00183D66">
        <w:rPr>
          <w:b w:val="0"/>
        </w:rPr>
        <w:t xml:space="preserve">Women of child-bearing potential must use highly effective contraception. Two types of reliable contraception should start before beginning </w:t>
      </w:r>
      <w:proofErr w:type="spellStart"/>
      <w:r w:rsidRPr="00183D66">
        <w:rPr>
          <w:b w:val="0"/>
        </w:rPr>
        <w:t>Myfortic</w:t>
      </w:r>
      <w:proofErr w:type="spellEnd"/>
      <w:r w:rsidRPr="00183D66">
        <w:rPr>
          <w:b w:val="0"/>
        </w:rPr>
        <w:t xml:space="preserve"> therapy, during therapy and for six weeks after their last dose of </w:t>
      </w:r>
      <w:proofErr w:type="spellStart"/>
      <w:r w:rsidRPr="00183D66">
        <w:rPr>
          <w:b w:val="0"/>
        </w:rPr>
        <w:t>Myfortic</w:t>
      </w:r>
      <w:proofErr w:type="spellEnd"/>
      <w:r w:rsidRPr="00183D66">
        <w:rPr>
          <w:b w:val="0"/>
        </w:rPr>
        <w:t xml:space="preserve">. Given that </w:t>
      </w:r>
      <w:proofErr w:type="spellStart"/>
      <w:r w:rsidRPr="00183D66">
        <w:rPr>
          <w:b w:val="0"/>
        </w:rPr>
        <w:t>mycophenolate</w:t>
      </w:r>
      <w:proofErr w:type="spellEnd"/>
      <w:r w:rsidRPr="00183D66">
        <w:rPr>
          <w:b w:val="0"/>
        </w:rPr>
        <w:t xml:space="preserve"> </w:t>
      </w:r>
      <w:proofErr w:type="spellStart"/>
      <w:r w:rsidRPr="00183D66">
        <w:rPr>
          <w:b w:val="0"/>
        </w:rPr>
        <w:t>mofetil</w:t>
      </w:r>
      <w:proofErr w:type="spellEnd"/>
      <w:r w:rsidRPr="00183D66">
        <w:rPr>
          <w:b w:val="0"/>
        </w:rPr>
        <w:t xml:space="preserve"> reduces blood levels of the hormones in the oral contraceptive pill, it is possible that </w:t>
      </w:r>
      <w:proofErr w:type="spellStart"/>
      <w:r w:rsidRPr="00183D66">
        <w:rPr>
          <w:b w:val="0"/>
        </w:rPr>
        <w:t>Myfortic</w:t>
      </w:r>
      <w:proofErr w:type="spellEnd"/>
      <w:r w:rsidRPr="00183D66">
        <w:rPr>
          <w:b w:val="0"/>
        </w:rPr>
        <w:t xml:space="preserve"> could reduce the efficacy of oral contraceptives (see </w:t>
      </w:r>
      <w:r w:rsidR="007F0F74">
        <w:rPr>
          <w:b w:val="0"/>
        </w:rPr>
        <w:t>“</w:t>
      </w:r>
      <w:r w:rsidRPr="00183D66">
        <w:rPr>
          <w:b w:val="0"/>
        </w:rPr>
        <w:t>PRECAUTIONS, Interactions with other medicines</w:t>
      </w:r>
      <w:r w:rsidR="007F0F74">
        <w:rPr>
          <w:b w:val="0"/>
        </w:rPr>
        <w:t>”</w:t>
      </w:r>
      <w:r w:rsidRPr="00183D66">
        <w:rPr>
          <w:b w:val="0"/>
        </w:rPr>
        <w:t>).</w:t>
      </w:r>
    </w:p>
    <w:p w:rsidR="00864BEC" w:rsidRDefault="007F0F74" w:rsidP="00A37F97">
      <w:pPr>
        <w:pStyle w:val="Heading3"/>
        <w:spacing w:before="100" w:beforeAutospacing="1"/>
      </w:pPr>
      <w:r>
        <w:t>P</w:t>
      </w:r>
      <w:r w:rsidR="00864BEC">
        <w:t>regnancy and breast-feeding</w:t>
      </w:r>
      <w:r w:rsidR="00AA5B9F">
        <w:t>, fertility and male patients</w:t>
      </w:r>
    </w:p>
    <w:p w:rsidR="000F0F3E" w:rsidRPr="002F4D8C" w:rsidRDefault="000F0F3E" w:rsidP="00A37F97">
      <w:pPr>
        <w:pStyle w:val="Text"/>
        <w:spacing w:before="0" w:after="100" w:afterAutospacing="1" w:line="320" w:lineRule="atLeast"/>
        <w:rPr>
          <w:lang w:val="en-GB"/>
        </w:rPr>
      </w:pPr>
      <w:r>
        <w:rPr>
          <w:lang w:val="en-GB"/>
        </w:rPr>
        <w:t>For information on use in pregnancy</w:t>
      </w:r>
      <w:r w:rsidR="00E74EFF">
        <w:rPr>
          <w:lang w:val="en-GB"/>
        </w:rPr>
        <w:t>, breast-feeding</w:t>
      </w:r>
      <w:r>
        <w:rPr>
          <w:lang w:val="en-GB"/>
        </w:rPr>
        <w:t xml:space="preserve"> and contraceptive requirements see sections entitled </w:t>
      </w:r>
      <w:r w:rsidR="002F4D8C" w:rsidRPr="002F4D8C">
        <w:rPr>
          <w:lang w:val="en-GB"/>
        </w:rPr>
        <w:t>“</w:t>
      </w:r>
      <w:r w:rsidRPr="002F4D8C">
        <w:rPr>
          <w:lang w:val="en-GB"/>
        </w:rPr>
        <w:t>Use in pregnancy</w:t>
      </w:r>
      <w:r w:rsidR="002F4D8C" w:rsidRPr="002F4D8C">
        <w:rPr>
          <w:lang w:val="en-GB"/>
        </w:rPr>
        <w:t>”</w:t>
      </w:r>
      <w:r w:rsidRPr="002F4D8C">
        <w:rPr>
          <w:lang w:val="en-GB"/>
        </w:rPr>
        <w:t xml:space="preserve">, </w:t>
      </w:r>
      <w:r w:rsidR="002F4D8C" w:rsidRPr="002F4D8C">
        <w:rPr>
          <w:lang w:val="en-GB"/>
        </w:rPr>
        <w:t>“</w:t>
      </w:r>
      <w:r w:rsidRPr="002F4D8C">
        <w:rPr>
          <w:lang w:val="en-GB"/>
        </w:rPr>
        <w:t>Use in lactation</w:t>
      </w:r>
      <w:r w:rsidR="002F4D8C" w:rsidRPr="002F4D8C">
        <w:rPr>
          <w:lang w:val="en-GB"/>
        </w:rPr>
        <w:t>”</w:t>
      </w:r>
      <w:r w:rsidRPr="002F4D8C">
        <w:rPr>
          <w:lang w:val="en-GB"/>
        </w:rPr>
        <w:t xml:space="preserve">, </w:t>
      </w:r>
      <w:r w:rsidR="00F7230C">
        <w:rPr>
          <w:lang w:val="en-GB"/>
        </w:rPr>
        <w:t>“</w:t>
      </w:r>
      <w:r w:rsidR="00F7230C" w:rsidRPr="002F4D8C">
        <w:rPr>
          <w:lang w:val="en-GB"/>
        </w:rPr>
        <w:t xml:space="preserve">Women of child-bearing potential”, </w:t>
      </w:r>
      <w:r w:rsidR="002F4D8C" w:rsidRPr="002F4D8C">
        <w:rPr>
          <w:lang w:val="en-GB"/>
        </w:rPr>
        <w:t>“</w:t>
      </w:r>
      <w:r w:rsidRPr="002F4D8C">
        <w:rPr>
          <w:lang w:val="en-GB"/>
        </w:rPr>
        <w:t>Effects on fertility</w:t>
      </w:r>
      <w:r w:rsidR="002F4D8C" w:rsidRPr="002F4D8C">
        <w:rPr>
          <w:lang w:val="en-GB"/>
        </w:rPr>
        <w:t>”</w:t>
      </w:r>
      <w:r w:rsidRPr="002F4D8C">
        <w:rPr>
          <w:lang w:val="en-GB"/>
        </w:rPr>
        <w:t xml:space="preserve"> and </w:t>
      </w:r>
      <w:r w:rsidR="002F4D8C" w:rsidRPr="002F4D8C">
        <w:rPr>
          <w:lang w:val="en-GB"/>
        </w:rPr>
        <w:t>“</w:t>
      </w:r>
      <w:r w:rsidRPr="002F4D8C">
        <w:rPr>
          <w:lang w:val="en-GB"/>
        </w:rPr>
        <w:t>Male patients</w:t>
      </w:r>
      <w:r w:rsidR="002F4D8C" w:rsidRPr="002F4D8C">
        <w:rPr>
          <w:lang w:val="en-GB"/>
        </w:rPr>
        <w:t>”</w:t>
      </w:r>
      <w:r w:rsidRPr="002F4D8C">
        <w:rPr>
          <w:lang w:val="en-GB"/>
        </w:rPr>
        <w:t>.</w:t>
      </w:r>
    </w:p>
    <w:p w:rsidR="002F4D8C" w:rsidRPr="002F4D8C" w:rsidRDefault="000F0F3E" w:rsidP="00A37F97">
      <w:pPr>
        <w:pStyle w:val="Text"/>
        <w:spacing w:before="100" w:beforeAutospacing="1" w:after="100" w:afterAutospacing="1" w:line="320" w:lineRule="atLeast"/>
        <w:rPr>
          <w:lang w:val="en-GB"/>
        </w:rPr>
      </w:pPr>
      <w:proofErr w:type="spellStart"/>
      <w:r w:rsidRPr="00956EBA">
        <w:rPr>
          <w:szCs w:val="24"/>
          <w:lang w:val="en-GB" w:bidi="th-TH"/>
        </w:rPr>
        <w:t>Myfortic</w:t>
      </w:r>
      <w:proofErr w:type="spellEnd"/>
      <w:r w:rsidRPr="00956EBA">
        <w:rPr>
          <w:szCs w:val="24"/>
          <w:lang w:val="en-GB" w:bidi="th-TH"/>
        </w:rPr>
        <w:t xml:space="preserve"> </w:t>
      </w:r>
      <w:r w:rsidRPr="00956EBA">
        <w:rPr>
          <w:rFonts w:cs="TimesNewRoman"/>
          <w:szCs w:val="24"/>
          <w:lang w:val="en-GB" w:bidi="th-TH"/>
        </w:rPr>
        <w:t>should not be u</w:t>
      </w:r>
      <w:r>
        <w:rPr>
          <w:rFonts w:cs="TimesNewRoman"/>
          <w:szCs w:val="24"/>
          <w:lang w:val="en-GB" w:bidi="th-TH"/>
        </w:rPr>
        <w:t xml:space="preserve">sed during breast-feeding (see section entitled </w:t>
      </w:r>
      <w:r w:rsidR="002F4D8C" w:rsidRPr="002F4D8C">
        <w:rPr>
          <w:lang w:val="en-GB"/>
        </w:rPr>
        <w:t>“Use in lactation”</w:t>
      </w:r>
      <w:r w:rsidR="00E72D07">
        <w:rPr>
          <w:lang w:val="en-GB"/>
        </w:rPr>
        <w:t>)</w:t>
      </w:r>
      <w:r w:rsidR="002F4D8C" w:rsidRPr="002F4D8C">
        <w:rPr>
          <w:lang w:val="en-GB"/>
        </w:rPr>
        <w:t>.</w:t>
      </w:r>
    </w:p>
    <w:p w:rsidR="00CE052C" w:rsidRPr="000F1C42" w:rsidRDefault="00CE052C" w:rsidP="00A37F97">
      <w:pPr>
        <w:pStyle w:val="Heading3"/>
        <w:spacing w:before="100" w:beforeAutospacing="1"/>
      </w:pPr>
      <w:r>
        <w:t>M</w:t>
      </w:r>
      <w:r w:rsidRPr="000F1C42">
        <w:t>alignancies:</w:t>
      </w:r>
    </w:p>
    <w:p w:rsidR="00CE052C" w:rsidRPr="000F1C42" w:rsidRDefault="00CE052C" w:rsidP="00916A47">
      <w:pPr>
        <w:pStyle w:val="BodyText2"/>
        <w:spacing w:after="100" w:afterAutospacing="1"/>
        <w:rPr>
          <w:b w:val="0"/>
        </w:rPr>
      </w:pPr>
      <w:r w:rsidRPr="000F1C42">
        <w:rPr>
          <w:b w:val="0"/>
        </w:rPr>
        <w:t xml:space="preserve">Patients receiving immunosuppressive regimens involving combinations of drugs, including </w:t>
      </w:r>
      <w:proofErr w:type="spellStart"/>
      <w:r w:rsidRPr="000F1C42">
        <w:rPr>
          <w:b w:val="0"/>
        </w:rPr>
        <w:t>Myfortic</w:t>
      </w:r>
      <w:proofErr w:type="spellEnd"/>
      <w:r w:rsidRPr="000F1C42">
        <w:rPr>
          <w:b w:val="0"/>
        </w:rPr>
        <w:t xml:space="preserve">, are at increased risk of developing lymphomas and other malignancies, particularly </w:t>
      </w:r>
      <w:r w:rsidRPr="000F1C42">
        <w:rPr>
          <w:b w:val="0"/>
        </w:rPr>
        <w:lastRenderedPageBreak/>
        <w:t xml:space="preserve">of the skin (see </w:t>
      </w:r>
      <w:r w:rsidRPr="000F1C42">
        <w:rPr>
          <w:b w:val="0"/>
          <w:caps/>
        </w:rPr>
        <w:t>“Adverse EFFECTS”</w:t>
      </w:r>
      <w:r w:rsidRPr="000F1C42">
        <w:rPr>
          <w:b w:val="0"/>
        </w:rPr>
        <w:t xml:space="preserve">).  The risk appears to be related to the intensity and duration of </w:t>
      </w:r>
      <w:proofErr w:type="spellStart"/>
      <w:r w:rsidRPr="000F1C42">
        <w:rPr>
          <w:b w:val="0"/>
        </w:rPr>
        <w:t>immunosuppression</w:t>
      </w:r>
      <w:proofErr w:type="spellEnd"/>
      <w:r w:rsidRPr="000F1C42">
        <w:rPr>
          <w:b w:val="0"/>
        </w:rPr>
        <w:t xml:space="preserve"> rather than to the use of any specific agent.  In order to minimise the risk for skin cancer, exposure to sunlight and UV light should be limited by wearing protective clothing and using a sunscreen with a high protection factor.</w:t>
      </w:r>
    </w:p>
    <w:p w:rsidR="00CE052C" w:rsidRPr="000F1C42" w:rsidRDefault="00CE052C" w:rsidP="00916A47">
      <w:pPr>
        <w:pStyle w:val="Heading3"/>
      </w:pPr>
      <w:r>
        <w:t>I</w:t>
      </w:r>
      <w:r w:rsidRPr="000F1C42">
        <w:t>nfections:</w:t>
      </w:r>
    </w:p>
    <w:p w:rsidR="00CE052C" w:rsidRPr="000F1C42" w:rsidRDefault="00CE052C" w:rsidP="00916A47">
      <w:pPr>
        <w:pStyle w:val="BodyText2"/>
        <w:spacing w:after="100" w:afterAutospacing="1"/>
        <w:rPr>
          <w:b w:val="0"/>
        </w:rPr>
      </w:pPr>
      <w:r w:rsidRPr="000F1C42">
        <w:rPr>
          <w:b w:val="0"/>
        </w:rPr>
        <w:t xml:space="preserve">Patients receiving </w:t>
      </w:r>
      <w:proofErr w:type="spellStart"/>
      <w:r w:rsidRPr="000F1C42">
        <w:rPr>
          <w:b w:val="0"/>
        </w:rPr>
        <w:t>Myfortic</w:t>
      </w:r>
      <w:proofErr w:type="spellEnd"/>
      <w:r w:rsidRPr="000F1C42">
        <w:rPr>
          <w:b w:val="0"/>
        </w:rPr>
        <w:t xml:space="preserve"> should be instructed to immediately report any evidence of infection, unexpected bruising, bleeding or any other manifestation of bone marrow depression.</w:t>
      </w:r>
    </w:p>
    <w:p w:rsidR="00CE052C" w:rsidRPr="000F1C42" w:rsidRDefault="00CE052C" w:rsidP="00916A47">
      <w:pPr>
        <w:pStyle w:val="TextChar"/>
        <w:spacing w:before="100" w:beforeAutospacing="1" w:after="100" w:afterAutospacing="1" w:line="320" w:lineRule="atLeast"/>
        <w:jc w:val="left"/>
      </w:pPr>
      <w:proofErr w:type="spellStart"/>
      <w:r w:rsidRPr="000F1C42">
        <w:t>Oversuppression</w:t>
      </w:r>
      <w:proofErr w:type="spellEnd"/>
      <w:r w:rsidRPr="000F1C42">
        <w:t xml:space="preserve"> of the immune system increases the susceptibility to infection, including opportunistic </w:t>
      </w:r>
      <w:proofErr w:type="gramStart"/>
      <w:r w:rsidRPr="000F1C42">
        <w:t>infections,</w:t>
      </w:r>
      <w:proofErr w:type="gramEnd"/>
      <w:r w:rsidRPr="000F1C42">
        <w:t xml:space="preserve"> fatal infections and sepsis (see “ADVERSE EFFECTS”).</w:t>
      </w:r>
    </w:p>
    <w:p w:rsidR="00CE052C" w:rsidRPr="000F1C42" w:rsidRDefault="00CE052C" w:rsidP="00916A47">
      <w:pPr>
        <w:pStyle w:val="BodyText2"/>
        <w:spacing w:before="100" w:beforeAutospacing="1" w:after="100" w:afterAutospacing="1"/>
        <w:rPr>
          <w:b w:val="0"/>
          <w:lang w:val="en-GB"/>
        </w:rPr>
      </w:pPr>
      <w:r w:rsidRPr="000F1C42">
        <w:rPr>
          <w:b w:val="0"/>
          <w:lang w:val="en-US"/>
        </w:rPr>
        <w:t xml:space="preserve">Cases of progressive multifocal </w:t>
      </w:r>
      <w:proofErr w:type="spellStart"/>
      <w:r w:rsidRPr="000F1C42">
        <w:rPr>
          <w:b w:val="0"/>
          <w:lang w:val="en-US"/>
        </w:rPr>
        <w:t>leukoencephalopathy</w:t>
      </w:r>
      <w:proofErr w:type="spellEnd"/>
      <w:r w:rsidRPr="000F1C42">
        <w:rPr>
          <w:b w:val="0"/>
          <w:lang w:val="en-US"/>
        </w:rPr>
        <w:t xml:space="preserve"> (PML), sometimes fatal, have been reported in patients treated with MPA derivatives which include </w:t>
      </w:r>
      <w:proofErr w:type="spellStart"/>
      <w:r w:rsidRPr="000F1C42">
        <w:rPr>
          <w:b w:val="0"/>
          <w:lang w:val="en-US"/>
        </w:rPr>
        <w:t>mycophenolate</w:t>
      </w:r>
      <w:proofErr w:type="spellEnd"/>
      <w:r w:rsidRPr="000F1C42">
        <w:rPr>
          <w:b w:val="0"/>
          <w:lang w:val="en-US"/>
        </w:rPr>
        <w:t xml:space="preserve"> </w:t>
      </w:r>
      <w:proofErr w:type="spellStart"/>
      <w:r w:rsidRPr="000F1C42">
        <w:rPr>
          <w:b w:val="0"/>
          <w:lang w:val="en-US"/>
        </w:rPr>
        <w:t>mofetil</w:t>
      </w:r>
      <w:proofErr w:type="spellEnd"/>
      <w:r w:rsidRPr="000F1C42">
        <w:rPr>
          <w:b w:val="0"/>
          <w:lang w:val="en-US"/>
        </w:rPr>
        <w:t xml:space="preserve"> (MMF) and </w:t>
      </w:r>
      <w:proofErr w:type="spellStart"/>
      <w:r w:rsidRPr="000F1C42">
        <w:rPr>
          <w:b w:val="0"/>
          <w:lang w:val="en-US"/>
        </w:rPr>
        <w:t>mycophenolate</w:t>
      </w:r>
      <w:proofErr w:type="spellEnd"/>
      <w:r w:rsidRPr="000F1C42">
        <w:rPr>
          <w:b w:val="0"/>
          <w:lang w:val="en-US"/>
        </w:rPr>
        <w:t xml:space="preserve"> sodium </w:t>
      </w:r>
      <w:r w:rsidRPr="000F1C42">
        <w:rPr>
          <w:b w:val="0"/>
          <w:lang w:val="en-GB"/>
        </w:rPr>
        <w:t>(see “ADVERSE EFFECTS”)</w:t>
      </w:r>
      <w:r w:rsidRPr="000F1C42">
        <w:rPr>
          <w:b w:val="0"/>
          <w:lang w:val="en-US"/>
        </w:rPr>
        <w:t xml:space="preserve">. </w:t>
      </w:r>
      <w:proofErr w:type="spellStart"/>
      <w:r w:rsidRPr="000F1C42">
        <w:rPr>
          <w:b w:val="0"/>
          <w:lang w:val="en-US"/>
        </w:rPr>
        <w:t>Hemiparesis</w:t>
      </w:r>
      <w:proofErr w:type="spellEnd"/>
      <w:r w:rsidRPr="000F1C42">
        <w:rPr>
          <w:b w:val="0"/>
          <w:lang w:val="en-US"/>
        </w:rPr>
        <w:t xml:space="preserve">, apathy, confusion, cognitive deficiencies and ataxia were the most frequent clinical features observed. </w:t>
      </w:r>
      <w:proofErr w:type="spellStart"/>
      <w:r w:rsidRPr="000F1C42">
        <w:rPr>
          <w:b w:val="0"/>
          <w:lang w:val="en-US"/>
        </w:rPr>
        <w:t>Mycophenolate</w:t>
      </w:r>
      <w:proofErr w:type="spellEnd"/>
      <w:r w:rsidRPr="000F1C42">
        <w:rPr>
          <w:b w:val="0"/>
          <w:lang w:val="en-US"/>
        </w:rPr>
        <w:t xml:space="preserve"> </w:t>
      </w:r>
      <w:proofErr w:type="spellStart"/>
      <w:r w:rsidRPr="000F1C42">
        <w:rPr>
          <w:b w:val="0"/>
          <w:lang w:val="en-US"/>
        </w:rPr>
        <w:t>mofetil</w:t>
      </w:r>
      <w:proofErr w:type="spellEnd"/>
      <w:r w:rsidRPr="000F1C42">
        <w:rPr>
          <w:b w:val="0"/>
          <w:lang w:val="en-US"/>
        </w:rPr>
        <w:t xml:space="preserve"> is metabolized to </w:t>
      </w:r>
      <w:proofErr w:type="spellStart"/>
      <w:r w:rsidRPr="000F1C42">
        <w:rPr>
          <w:b w:val="0"/>
          <w:lang w:val="en-US"/>
        </w:rPr>
        <w:t>mycophenolic</w:t>
      </w:r>
      <w:proofErr w:type="spellEnd"/>
      <w:r w:rsidRPr="000F1C42">
        <w:rPr>
          <w:b w:val="0"/>
          <w:lang w:val="en-US"/>
        </w:rPr>
        <w:t xml:space="preserve"> acid, the active ingredient in </w:t>
      </w:r>
      <w:proofErr w:type="spellStart"/>
      <w:r w:rsidRPr="000F1C42">
        <w:rPr>
          <w:b w:val="0"/>
          <w:lang w:val="en-US"/>
        </w:rPr>
        <w:t>Myfortic</w:t>
      </w:r>
      <w:proofErr w:type="spellEnd"/>
      <w:r w:rsidRPr="000F1C42">
        <w:rPr>
          <w:b w:val="0"/>
          <w:lang w:val="en-US"/>
        </w:rPr>
        <w:t xml:space="preserve"> and the active form of the drug. The reported cases generally had risk factors for PML, including immunosuppressant therapies and impairment of immune functions. In </w:t>
      </w:r>
      <w:proofErr w:type="spellStart"/>
      <w:r w:rsidRPr="000F1C42">
        <w:rPr>
          <w:b w:val="0"/>
          <w:lang w:val="en-US"/>
        </w:rPr>
        <w:t>immunosuppressed</w:t>
      </w:r>
      <w:proofErr w:type="spellEnd"/>
      <w:r w:rsidRPr="000F1C42">
        <w:rPr>
          <w:b w:val="0"/>
          <w:lang w:val="en-US"/>
        </w:rPr>
        <w:t xml:space="preserve"> patients, physicians should consider PML in the differential diagnosis in patients reporting neurological symptoms and consultation with a neurologist should be considered as clinically indicated</w:t>
      </w:r>
      <w:r w:rsidRPr="000F1C42">
        <w:rPr>
          <w:b w:val="0"/>
          <w:lang w:val="en-GB"/>
        </w:rPr>
        <w:t xml:space="preserve">. </w:t>
      </w:r>
      <w:proofErr w:type="spellStart"/>
      <w:r w:rsidRPr="000F1C42">
        <w:rPr>
          <w:b w:val="0"/>
          <w:lang w:val="en-GB"/>
        </w:rPr>
        <w:t>Polyomavirus</w:t>
      </w:r>
      <w:proofErr w:type="spellEnd"/>
      <w:r w:rsidRPr="000F1C42">
        <w:rPr>
          <w:b w:val="0"/>
          <w:lang w:val="en-GB"/>
        </w:rPr>
        <w:t xml:space="preserve"> associated nephropathy (PVAN) especially due to BK virus infection, should be included in the differential diagnosis in </w:t>
      </w:r>
      <w:proofErr w:type="spellStart"/>
      <w:r w:rsidRPr="000F1C42">
        <w:rPr>
          <w:b w:val="0"/>
          <w:lang w:val="en-GB"/>
        </w:rPr>
        <w:t>immunosuppressed</w:t>
      </w:r>
      <w:proofErr w:type="spellEnd"/>
      <w:r w:rsidRPr="000F1C42">
        <w:rPr>
          <w:b w:val="0"/>
          <w:lang w:val="en-GB"/>
        </w:rPr>
        <w:t xml:space="preserve"> patients with deteriorating renal function (see “ADVERSE EFFECTS”). Consideration should be given to reducing the total </w:t>
      </w:r>
      <w:proofErr w:type="spellStart"/>
      <w:r w:rsidRPr="000F1C42">
        <w:rPr>
          <w:b w:val="0"/>
          <w:lang w:val="en-GB"/>
        </w:rPr>
        <w:t>immunosuppression</w:t>
      </w:r>
      <w:proofErr w:type="spellEnd"/>
      <w:r w:rsidRPr="000F1C42">
        <w:rPr>
          <w:b w:val="0"/>
          <w:lang w:val="en-GB"/>
        </w:rPr>
        <w:t xml:space="preserve"> in patients who develop PML or PVAN. In transplant patients, however, reduced </w:t>
      </w:r>
      <w:proofErr w:type="spellStart"/>
      <w:r w:rsidRPr="000F1C42">
        <w:rPr>
          <w:b w:val="0"/>
          <w:lang w:val="en-GB"/>
        </w:rPr>
        <w:t>immunosuppression</w:t>
      </w:r>
      <w:proofErr w:type="spellEnd"/>
      <w:r w:rsidRPr="000F1C42">
        <w:rPr>
          <w:b w:val="0"/>
          <w:lang w:val="en-GB"/>
        </w:rPr>
        <w:t xml:space="preserve"> may place the graft at risk.</w:t>
      </w:r>
    </w:p>
    <w:p w:rsidR="00CE052C" w:rsidRPr="000F1C42" w:rsidRDefault="00CE052C" w:rsidP="00916A47">
      <w:pPr>
        <w:pStyle w:val="Heading3"/>
        <w:spacing w:before="100" w:beforeAutospacing="1"/>
      </w:pPr>
      <w:r>
        <w:t xml:space="preserve">Blood </w:t>
      </w:r>
      <w:proofErr w:type="spellStart"/>
      <w:r>
        <w:t>dyscrasias</w:t>
      </w:r>
      <w:proofErr w:type="spellEnd"/>
      <w:r w:rsidRPr="000F1C42">
        <w:t>:</w:t>
      </w:r>
    </w:p>
    <w:p w:rsidR="00CE052C" w:rsidRPr="000F1C42" w:rsidRDefault="00CE052C" w:rsidP="00916A47">
      <w:pPr>
        <w:pStyle w:val="BodyText2"/>
        <w:spacing w:after="100" w:afterAutospacing="1"/>
        <w:rPr>
          <w:b w:val="0"/>
        </w:rPr>
      </w:pPr>
      <w:r w:rsidRPr="000F1C42">
        <w:rPr>
          <w:b w:val="0"/>
        </w:rPr>
        <w:t xml:space="preserve">Patients receiving </w:t>
      </w:r>
      <w:proofErr w:type="spellStart"/>
      <w:r w:rsidRPr="000F1C42">
        <w:rPr>
          <w:b w:val="0"/>
        </w:rPr>
        <w:t>Myfortic</w:t>
      </w:r>
      <w:proofErr w:type="spellEnd"/>
      <w:r w:rsidRPr="000F1C42">
        <w:rPr>
          <w:b w:val="0"/>
        </w:rPr>
        <w:t xml:space="preserve"> should be monitored for blood </w:t>
      </w:r>
      <w:proofErr w:type="spellStart"/>
      <w:r w:rsidRPr="000F1C42">
        <w:rPr>
          <w:b w:val="0"/>
        </w:rPr>
        <w:t>dyscrasias</w:t>
      </w:r>
      <w:proofErr w:type="spellEnd"/>
      <w:r w:rsidRPr="000F1C42">
        <w:rPr>
          <w:b w:val="0"/>
        </w:rPr>
        <w:t xml:space="preserve"> (e.g. </w:t>
      </w:r>
      <w:proofErr w:type="spellStart"/>
      <w:r w:rsidRPr="000F1C42">
        <w:rPr>
          <w:b w:val="0"/>
        </w:rPr>
        <w:t>neutropenia</w:t>
      </w:r>
      <w:proofErr w:type="spellEnd"/>
      <w:r w:rsidRPr="000F1C42">
        <w:rPr>
          <w:b w:val="0"/>
        </w:rPr>
        <w:t xml:space="preserve"> or anaemia, see “ADVERSE EFFECTS”), which may be related to MPA itself, concomitant medications, viral infections or some combination of these causes. </w:t>
      </w:r>
      <w:proofErr w:type="gramStart"/>
      <w:r w:rsidRPr="000F1C42">
        <w:rPr>
          <w:b w:val="0"/>
        </w:rPr>
        <w:t>Patients</w:t>
      </w:r>
      <w:proofErr w:type="gramEnd"/>
      <w:r w:rsidRPr="000F1C42">
        <w:rPr>
          <w:b w:val="0"/>
        </w:rPr>
        <w:t xml:space="preserve"> </w:t>
      </w:r>
      <w:proofErr w:type="spellStart"/>
      <w:r w:rsidRPr="000F1C42">
        <w:rPr>
          <w:b w:val="0"/>
        </w:rPr>
        <w:t>takingMyfortic</w:t>
      </w:r>
      <w:proofErr w:type="spellEnd"/>
      <w:r w:rsidRPr="000F1C42">
        <w:rPr>
          <w:b w:val="0"/>
        </w:rPr>
        <w:t xml:space="preserve"> should have complete blood counts weekly during the first month, twice monthly for the second and third months of treatment, then monthly through the first year. If blood </w:t>
      </w:r>
      <w:proofErr w:type="spellStart"/>
      <w:proofErr w:type="gramStart"/>
      <w:r w:rsidRPr="000F1C42">
        <w:rPr>
          <w:b w:val="0"/>
        </w:rPr>
        <w:t>dyscrasias</w:t>
      </w:r>
      <w:proofErr w:type="spellEnd"/>
      <w:r w:rsidRPr="000F1C42">
        <w:rPr>
          <w:b w:val="0"/>
        </w:rPr>
        <w:t xml:space="preserve">  occur</w:t>
      </w:r>
      <w:proofErr w:type="gramEnd"/>
      <w:r w:rsidRPr="000F1C42">
        <w:rPr>
          <w:b w:val="0"/>
        </w:rPr>
        <w:t xml:space="preserve"> (e.g. </w:t>
      </w:r>
      <w:proofErr w:type="spellStart"/>
      <w:r w:rsidRPr="000F1C42">
        <w:rPr>
          <w:b w:val="0"/>
        </w:rPr>
        <w:t>neutropenia</w:t>
      </w:r>
      <w:proofErr w:type="spellEnd"/>
      <w:r w:rsidRPr="000F1C42">
        <w:rPr>
          <w:b w:val="0"/>
        </w:rPr>
        <w:t xml:space="preserve"> with absolute </w:t>
      </w:r>
      <w:proofErr w:type="spellStart"/>
      <w:r w:rsidRPr="000F1C42">
        <w:rPr>
          <w:b w:val="0"/>
        </w:rPr>
        <w:t>neutrophil</w:t>
      </w:r>
      <w:proofErr w:type="spellEnd"/>
      <w:r w:rsidRPr="000F1C42">
        <w:rPr>
          <w:b w:val="0"/>
        </w:rPr>
        <w:t xml:space="preserve"> count &lt;1.5 x10</w:t>
      </w:r>
      <w:r w:rsidRPr="000F1C42">
        <w:rPr>
          <w:b w:val="0"/>
          <w:vertAlign w:val="superscript"/>
        </w:rPr>
        <w:t>9</w:t>
      </w:r>
      <w:r w:rsidRPr="000F1C42">
        <w:rPr>
          <w:b w:val="0"/>
        </w:rPr>
        <w:t xml:space="preserve">/L or anaemia), it may be appropriate to interrupt or discontinue </w:t>
      </w:r>
      <w:proofErr w:type="spellStart"/>
      <w:r w:rsidRPr="000F1C42">
        <w:rPr>
          <w:b w:val="0"/>
        </w:rPr>
        <w:t>Myfortic</w:t>
      </w:r>
      <w:proofErr w:type="spellEnd"/>
      <w:r w:rsidRPr="000F1C42">
        <w:rPr>
          <w:b w:val="0"/>
        </w:rPr>
        <w:t>.</w:t>
      </w:r>
    </w:p>
    <w:p w:rsidR="00CE052C" w:rsidRPr="000F1C42" w:rsidRDefault="00CE052C" w:rsidP="00916A47">
      <w:pPr>
        <w:pStyle w:val="BodyText2"/>
        <w:spacing w:before="100" w:beforeAutospacing="1" w:after="100" w:afterAutospacing="1"/>
        <w:rPr>
          <w:b w:val="0"/>
        </w:rPr>
      </w:pPr>
      <w:r w:rsidRPr="000F1C42">
        <w:rPr>
          <w:b w:val="0"/>
        </w:rPr>
        <w:t xml:space="preserve">Cases of pure red cell </w:t>
      </w:r>
      <w:proofErr w:type="spellStart"/>
      <w:r w:rsidRPr="000F1C42">
        <w:rPr>
          <w:b w:val="0"/>
        </w:rPr>
        <w:t>aplasia</w:t>
      </w:r>
      <w:proofErr w:type="spellEnd"/>
      <w:r w:rsidRPr="000F1C42">
        <w:rPr>
          <w:b w:val="0"/>
        </w:rPr>
        <w:t xml:space="preserve"> (PRCA) have been reported in patients treated with MPA derivatives in combination with other immunosuppressive agents (see “ADVERSE EFFECTS”). MMF is metabolised to </w:t>
      </w:r>
      <w:proofErr w:type="spellStart"/>
      <w:r w:rsidRPr="000F1C42">
        <w:rPr>
          <w:b w:val="0"/>
        </w:rPr>
        <w:t>mycophenolic</w:t>
      </w:r>
      <w:proofErr w:type="spellEnd"/>
      <w:r w:rsidRPr="000F1C42">
        <w:rPr>
          <w:b w:val="0"/>
        </w:rPr>
        <w:t xml:space="preserve"> acid (MPA), the active ingredient in </w:t>
      </w:r>
      <w:proofErr w:type="spellStart"/>
      <w:r w:rsidRPr="000F1C42">
        <w:rPr>
          <w:b w:val="0"/>
        </w:rPr>
        <w:t>Myfortic</w:t>
      </w:r>
      <w:proofErr w:type="spellEnd"/>
      <w:r w:rsidRPr="000F1C42">
        <w:rPr>
          <w:b w:val="0"/>
        </w:rPr>
        <w:t xml:space="preserve"> and the active form of the drug. The mechanism for MPA derivatives induced PRCA is unknown; the relative contribution of other </w:t>
      </w:r>
      <w:proofErr w:type="spellStart"/>
      <w:r w:rsidRPr="000F1C42">
        <w:rPr>
          <w:b w:val="0"/>
        </w:rPr>
        <w:t>immunosuppressants</w:t>
      </w:r>
      <w:proofErr w:type="spellEnd"/>
      <w:r w:rsidRPr="000F1C42">
        <w:rPr>
          <w:b w:val="0"/>
        </w:rPr>
        <w:t xml:space="preserve"> and their </w:t>
      </w:r>
      <w:r w:rsidRPr="000F1C42">
        <w:rPr>
          <w:b w:val="0"/>
        </w:rPr>
        <w:lastRenderedPageBreak/>
        <w:t xml:space="preserve">combinations in an immunosuppressive regimen is also unknown. However, MPA derivatives may cause blood </w:t>
      </w:r>
      <w:proofErr w:type="spellStart"/>
      <w:r w:rsidRPr="000F1C42">
        <w:rPr>
          <w:b w:val="0"/>
        </w:rPr>
        <w:t>dyscrasias</w:t>
      </w:r>
      <w:proofErr w:type="spellEnd"/>
      <w:r w:rsidRPr="000F1C42">
        <w:rPr>
          <w:b w:val="0"/>
        </w:rPr>
        <w:t xml:space="preserve"> (see above). In some cases PRCA was found to be reversible with dose reduction or cessation of therapy with MPA derivatives. In transplant patients, however, reduced </w:t>
      </w:r>
      <w:proofErr w:type="spellStart"/>
      <w:r w:rsidRPr="000F1C42">
        <w:rPr>
          <w:b w:val="0"/>
        </w:rPr>
        <w:t>immunosuppression</w:t>
      </w:r>
      <w:proofErr w:type="spellEnd"/>
      <w:r w:rsidRPr="000F1C42">
        <w:rPr>
          <w:b w:val="0"/>
        </w:rPr>
        <w:t xml:space="preserve"> may place the graft at risk. Changes to </w:t>
      </w:r>
      <w:proofErr w:type="spellStart"/>
      <w:r w:rsidRPr="000F1C42">
        <w:rPr>
          <w:b w:val="0"/>
        </w:rPr>
        <w:t>Myfortic</w:t>
      </w:r>
      <w:proofErr w:type="spellEnd"/>
      <w:r w:rsidRPr="000F1C42">
        <w:rPr>
          <w:b w:val="0"/>
        </w:rPr>
        <w:t xml:space="preserve"> therapy should only be undertaken under appropriate supervision in transplant recipients in order to minimise the risk of graft rejection.</w:t>
      </w:r>
    </w:p>
    <w:p w:rsidR="00CE052C" w:rsidRPr="000F1C42" w:rsidRDefault="00CE052C" w:rsidP="00916A47">
      <w:pPr>
        <w:pStyle w:val="Heading3"/>
        <w:spacing w:before="100" w:beforeAutospacing="1"/>
      </w:pPr>
      <w:r w:rsidRPr="000F1C42">
        <w:t>Vaccination</w:t>
      </w:r>
      <w:r>
        <w:t>s</w:t>
      </w:r>
      <w:r w:rsidRPr="000F1C42">
        <w:t>:</w:t>
      </w:r>
    </w:p>
    <w:p w:rsidR="00CE052C" w:rsidRPr="000F1C42" w:rsidRDefault="00CE052C" w:rsidP="00916A47">
      <w:pPr>
        <w:pStyle w:val="BodyText2"/>
        <w:spacing w:after="100" w:afterAutospacing="1"/>
        <w:rPr>
          <w:b w:val="0"/>
        </w:rPr>
      </w:pPr>
      <w:r w:rsidRPr="000F1C42">
        <w:rPr>
          <w:b w:val="0"/>
        </w:rPr>
        <w:t>Patients should be advised that, during treatment with MPA, vaccinations may be less effective and the use of live attenuated vaccines should be avoided (see “PRECAUTIONS-Interactions with other medicines”).  Influenza vaccination may be of value.  Prescribers should refer to national guidelines for influenza vaccination.</w:t>
      </w:r>
    </w:p>
    <w:p w:rsidR="00CE052C" w:rsidRPr="000F1C42" w:rsidRDefault="00CE052C" w:rsidP="00916A47">
      <w:pPr>
        <w:pStyle w:val="Heading3"/>
        <w:spacing w:before="100" w:beforeAutospacing="1"/>
      </w:pPr>
      <w:r w:rsidRPr="000F1C42">
        <w:t xml:space="preserve">Gastrointestinal </w:t>
      </w:r>
      <w:r>
        <w:t>disorders</w:t>
      </w:r>
      <w:r w:rsidRPr="000F1C42">
        <w:t>:</w:t>
      </w:r>
    </w:p>
    <w:p w:rsidR="00CE052C" w:rsidRPr="000F1C42" w:rsidRDefault="00CE052C" w:rsidP="00916A47">
      <w:pPr>
        <w:pStyle w:val="BodyText2"/>
        <w:spacing w:after="100" w:afterAutospacing="1"/>
        <w:rPr>
          <w:b w:val="0"/>
        </w:rPr>
      </w:pPr>
      <w:r w:rsidRPr="000F1C42">
        <w:rPr>
          <w:b w:val="0"/>
        </w:rPr>
        <w:t xml:space="preserve">Because MPA derivatives have been associated with an increased incidence of digestive system adverse events, including infrequent cases of gastrointestinal tract ulceration and haemorrhage, and perforation, </w:t>
      </w:r>
      <w:proofErr w:type="spellStart"/>
      <w:r w:rsidRPr="000F1C42">
        <w:rPr>
          <w:b w:val="0"/>
        </w:rPr>
        <w:t>Myfortic</w:t>
      </w:r>
      <w:proofErr w:type="spellEnd"/>
      <w:r w:rsidRPr="000F1C42">
        <w:rPr>
          <w:b w:val="0"/>
        </w:rPr>
        <w:t xml:space="preserve"> should be administered with caution in patients with active serious digestive system disease.</w:t>
      </w:r>
    </w:p>
    <w:p w:rsidR="00BA255D" w:rsidRPr="000D06D3" w:rsidRDefault="00BA255D" w:rsidP="00916A47">
      <w:pPr>
        <w:pStyle w:val="Heading3"/>
        <w:spacing w:before="100" w:beforeAutospacing="1"/>
      </w:pPr>
      <w:r>
        <w:t>Patients with rare hereditary deficiency of hypoxanthine-guanine</w:t>
      </w:r>
      <w:r w:rsidRPr="000D06D3">
        <w:t xml:space="preserve"> </w:t>
      </w:r>
      <w:proofErr w:type="spellStart"/>
      <w:r w:rsidRPr="00B16D94">
        <w:t>phosphoribosyl-transferase</w:t>
      </w:r>
      <w:proofErr w:type="spellEnd"/>
      <w:r w:rsidRPr="00B16D94">
        <w:t xml:space="preserve"> (HGPRT)</w:t>
      </w:r>
      <w:r>
        <w:t>:</w:t>
      </w:r>
    </w:p>
    <w:p w:rsidR="00BA255D" w:rsidRDefault="00BA255D" w:rsidP="00916A47">
      <w:pPr>
        <w:pStyle w:val="BodyText2"/>
        <w:spacing w:after="100" w:afterAutospacing="1"/>
        <w:rPr>
          <w:b w:val="0"/>
        </w:rPr>
      </w:pPr>
      <w:proofErr w:type="spellStart"/>
      <w:r w:rsidRPr="000F1C42">
        <w:rPr>
          <w:b w:val="0"/>
        </w:rPr>
        <w:t>Myfortic</w:t>
      </w:r>
      <w:proofErr w:type="spellEnd"/>
      <w:r w:rsidRPr="000F1C42">
        <w:rPr>
          <w:b w:val="0"/>
        </w:rPr>
        <w:t xml:space="preserve"> is an IMPDH (</w:t>
      </w:r>
      <w:proofErr w:type="spellStart"/>
      <w:r w:rsidRPr="000F1C42">
        <w:rPr>
          <w:b w:val="0"/>
        </w:rPr>
        <w:t>inosine</w:t>
      </w:r>
      <w:proofErr w:type="spellEnd"/>
      <w:r w:rsidRPr="000F1C42">
        <w:rPr>
          <w:b w:val="0"/>
        </w:rPr>
        <w:t xml:space="preserve"> </w:t>
      </w:r>
      <w:proofErr w:type="spellStart"/>
      <w:r w:rsidRPr="000F1C42">
        <w:rPr>
          <w:b w:val="0"/>
        </w:rPr>
        <w:t>monophosphate</w:t>
      </w:r>
      <w:proofErr w:type="spellEnd"/>
      <w:r w:rsidRPr="000F1C42">
        <w:rPr>
          <w:b w:val="0"/>
        </w:rPr>
        <w:t xml:space="preserve"> </w:t>
      </w:r>
      <w:proofErr w:type="spellStart"/>
      <w:r w:rsidRPr="000F1C42">
        <w:rPr>
          <w:b w:val="0"/>
        </w:rPr>
        <w:t>dehydrogenase</w:t>
      </w:r>
      <w:proofErr w:type="spellEnd"/>
      <w:r w:rsidRPr="000F1C42">
        <w:rPr>
          <w:b w:val="0"/>
        </w:rPr>
        <w:t xml:space="preserve">) inhibitor and therefore, on theoretical grounds, it should be avoided in patients with rare hereditary deficiency of hypoxanthine-guanine </w:t>
      </w:r>
      <w:proofErr w:type="spellStart"/>
      <w:r w:rsidRPr="000F1C42">
        <w:rPr>
          <w:b w:val="0"/>
        </w:rPr>
        <w:t>phosphoribosyl-transferase</w:t>
      </w:r>
      <w:proofErr w:type="spellEnd"/>
      <w:r w:rsidRPr="000F1C42">
        <w:rPr>
          <w:b w:val="0"/>
        </w:rPr>
        <w:t xml:space="preserve"> (HGPRT) such as </w:t>
      </w:r>
      <w:proofErr w:type="spellStart"/>
      <w:r w:rsidRPr="000F1C42">
        <w:rPr>
          <w:b w:val="0"/>
        </w:rPr>
        <w:t>Lesch-Nyhan</w:t>
      </w:r>
      <w:proofErr w:type="spellEnd"/>
      <w:r w:rsidRPr="000F1C42">
        <w:rPr>
          <w:b w:val="0"/>
        </w:rPr>
        <w:t xml:space="preserve"> and Kelley-</w:t>
      </w:r>
      <w:proofErr w:type="spellStart"/>
      <w:r w:rsidRPr="000F1C42">
        <w:rPr>
          <w:b w:val="0"/>
        </w:rPr>
        <w:t>Seegmiller</w:t>
      </w:r>
      <w:proofErr w:type="spellEnd"/>
      <w:r w:rsidRPr="000F1C42">
        <w:rPr>
          <w:b w:val="0"/>
        </w:rPr>
        <w:t xml:space="preserve"> syndrome</w:t>
      </w:r>
      <w:r>
        <w:rPr>
          <w:b w:val="0"/>
        </w:rPr>
        <w:t>.</w:t>
      </w:r>
    </w:p>
    <w:p w:rsidR="00BA255D" w:rsidRPr="000F1C42" w:rsidRDefault="00BA255D" w:rsidP="00CE052C">
      <w:pPr>
        <w:pStyle w:val="BodyText2"/>
        <w:rPr>
          <w:b w:val="0"/>
        </w:rPr>
      </w:pPr>
    </w:p>
    <w:p w:rsidR="00CE052C" w:rsidRDefault="00CE052C" w:rsidP="00916A47">
      <w:pPr>
        <w:pStyle w:val="Heading3"/>
      </w:pPr>
      <w:r w:rsidRPr="00B16D94">
        <w:t>Male patients</w:t>
      </w:r>
    </w:p>
    <w:p w:rsidR="00CE052C" w:rsidRDefault="00CE052C" w:rsidP="00916A47">
      <w:pPr>
        <w:pStyle w:val="BodyText2"/>
        <w:tabs>
          <w:tab w:val="clear" w:pos="510"/>
          <w:tab w:val="clear" w:pos="918"/>
        </w:tabs>
        <w:spacing w:after="100" w:afterAutospacing="1"/>
        <w:rPr>
          <w:b w:val="0"/>
        </w:rPr>
      </w:pPr>
      <w:r>
        <w:rPr>
          <w:b w:val="0"/>
        </w:rPr>
        <w:t xml:space="preserve">Sexually active men are recommended to use condoms during treatment, and for a total of 13 weeks after their last dose of </w:t>
      </w:r>
      <w:proofErr w:type="spellStart"/>
      <w:r>
        <w:rPr>
          <w:b w:val="0"/>
        </w:rPr>
        <w:t>Myfortic</w:t>
      </w:r>
      <w:proofErr w:type="spellEnd"/>
      <w:r>
        <w:rPr>
          <w:b w:val="0"/>
        </w:rPr>
        <w:t>. In addition, female partners of male patients are recommended to us highly effective contraception during treatment and for a total of 13 weeks a</w:t>
      </w:r>
      <w:r w:rsidR="00916A47">
        <w:rPr>
          <w:b w:val="0"/>
        </w:rPr>
        <w:t xml:space="preserve">fter the last dose of </w:t>
      </w:r>
      <w:proofErr w:type="spellStart"/>
      <w:r w:rsidR="00916A47">
        <w:rPr>
          <w:b w:val="0"/>
        </w:rPr>
        <w:t>Myfortic</w:t>
      </w:r>
      <w:proofErr w:type="spellEnd"/>
      <w:r w:rsidR="00916A47">
        <w:rPr>
          <w:b w:val="0"/>
        </w:rPr>
        <w:t>.</w:t>
      </w:r>
    </w:p>
    <w:p w:rsidR="000509E5" w:rsidRPr="000F1C42" w:rsidRDefault="000509E5" w:rsidP="00916A47">
      <w:pPr>
        <w:pStyle w:val="Heading3"/>
        <w:spacing w:before="100" w:beforeAutospacing="1"/>
      </w:pPr>
      <w:r w:rsidRPr="000F1C42">
        <w:t>Effects on fertility:</w:t>
      </w:r>
    </w:p>
    <w:p w:rsidR="000509E5" w:rsidRDefault="000509E5" w:rsidP="00916A47">
      <w:pPr>
        <w:pStyle w:val="BodyText2"/>
        <w:spacing w:after="100" w:afterAutospacing="1"/>
        <w:rPr>
          <w:b w:val="0"/>
        </w:rPr>
      </w:pPr>
      <w:proofErr w:type="spellStart"/>
      <w:r w:rsidRPr="000F1C42">
        <w:rPr>
          <w:b w:val="0"/>
        </w:rPr>
        <w:t>Mycophenolate</w:t>
      </w:r>
      <w:proofErr w:type="spellEnd"/>
      <w:r w:rsidRPr="000F1C42">
        <w:rPr>
          <w:b w:val="0"/>
        </w:rPr>
        <w:t xml:space="preserve"> sodium had no effect on fertility of male rats at oral doses up to 18 mg/kg/day.  The systemic exposure to MPA (plasma AUC) at this dose represents approximately 2 times the clinical exposure at the recommended dose of 1.44 g/day.  No effects on female fertility were seen up to a dose of 20 mg/kg/day, a dose at which </w:t>
      </w:r>
      <w:proofErr w:type="spellStart"/>
      <w:r w:rsidRPr="000F1C42">
        <w:rPr>
          <w:b w:val="0"/>
        </w:rPr>
        <w:t>embryotoxicity</w:t>
      </w:r>
      <w:proofErr w:type="spellEnd"/>
      <w:r w:rsidRPr="000F1C42">
        <w:rPr>
          <w:b w:val="0"/>
        </w:rPr>
        <w:t xml:space="preserve"> was observed, with estimated systemic exposure to MPA (plasma AUC) approximately 3 times clinical exposure.</w:t>
      </w:r>
    </w:p>
    <w:p w:rsidR="000509E5" w:rsidRPr="000F1C42" w:rsidRDefault="000509E5" w:rsidP="00A752C3">
      <w:pPr>
        <w:pStyle w:val="Heading3"/>
      </w:pPr>
      <w:r w:rsidRPr="000F1C42">
        <w:lastRenderedPageBreak/>
        <w:t>Use in pregnancy (Category D):</w:t>
      </w:r>
    </w:p>
    <w:p w:rsidR="00FE0193" w:rsidRDefault="00FE0193" w:rsidP="00A752C3">
      <w:pPr>
        <w:pStyle w:val="CM38"/>
        <w:spacing w:after="100" w:afterAutospacing="1" w:line="320" w:lineRule="atLeast"/>
        <w:rPr>
          <w:color w:val="000000"/>
        </w:rPr>
      </w:pPr>
      <w:proofErr w:type="spellStart"/>
      <w:r>
        <w:rPr>
          <w:color w:val="000000"/>
        </w:rPr>
        <w:t>Mycophenolate</w:t>
      </w:r>
      <w:proofErr w:type="spellEnd"/>
      <w:r>
        <w:rPr>
          <w:color w:val="000000"/>
        </w:rPr>
        <w:t xml:space="preserve"> </w:t>
      </w:r>
      <w:proofErr w:type="spellStart"/>
      <w:r>
        <w:rPr>
          <w:color w:val="000000"/>
        </w:rPr>
        <w:t>mofetil</w:t>
      </w:r>
      <w:proofErr w:type="spellEnd"/>
      <w:r>
        <w:rPr>
          <w:color w:val="000000"/>
        </w:rPr>
        <w:t xml:space="preserve"> (MMF) can cause fetal harm when administered to a pregnant </w:t>
      </w:r>
      <w:proofErr w:type="gramStart"/>
      <w:r>
        <w:rPr>
          <w:color w:val="000000"/>
        </w:rPr>
        <w:t>woman</w:t>
      </w:r>
      <w:proofErr w:type="gramEnd"/>
      <w:r>
        <w:rPr>
          <w:color w:val="000000"/>
        </w:rPr>
        <w:t xml:space="preserve">. Following oral or IV administration, MMF is metabolized to </w:t>
      </w:r>
      <w:proofErr w:type="spellStart"/>
      <w:r>
        <w:rPr>
          <w:color w:val="000000"/>
        </w:rPr>
        <w:t>mycophenolic</w:t>
      </w:r>
      <w:proofErr w:type="spellEnd"/>
      <w:r>
        <w:rPr>
          <w:color w:val="000000"/>
        </w:rPr>
        <w:t xml:space="preserve"> acid (MPA), the active ingredient in </w:t>
      </w:r>
      <w:proofErr w:type="spellStart"/>
      <w:r>
        <w:rPr>
          <w:color w:val="000000"/>
        </w:rPr>
        <w:t>Myfortic</w:t>
      </w:r>
      <w:proofErr w:type="spellEnd"/>
      <w:r>
        <w:rPr>
          <w:color w:val="000000"/>
        </w:rPr>
        <w:t xml:space="preserve"> and the active form of the drug. In the </w:t>
      </w:r>
      <w:r w:rsidR="00CE1DE0">
        <w:rPr>
          <w:color w:val="000000"/>
        </w:rPr>
        <w:t xml:space="preserve">US </w:t>
      </w:r>
      <w:r>
        <w:rPr>
          <w:color w:val="000000"/>
        </w:rPr>
        <w:t>National Transplantation Pregnancy Registry (NTPR), there were data on 33 MMF-exposed pregnancies in 24 transplant patients; there were 15 spontaneous abortions (45%) and 18 live-born infants. Four of these 18 infants had structural malformations (22%). In post</w:t>
      </w:r>
      <w:r w:rsidR="009026E4">
        <w:rPr>
          <w:color w:val="000000"/>
        </w:rPr>
        <w:t>-</w:t>
      </w:r>
      <w:r>
        <w:rPr>
          <w:color w:val="000000"/>
        </w:rPr>
        <w:t xml:space="preserve">marketing data (collected from 1995 to 2007) on 77 women exposed to systemic MMF during pregnancy, 25 had spontaneous abortions and 14 had a malformed infant or fetus. Six of 14 malformed offspring had ear abnormalities. Because these </w:t>
      </w:r>
      <w:proofErr w:type="spellStart"/>
      <w:r>
        <w:rPr>
          <w:color w:val="000000"/>
        </w:rPr>
        <w:t>postmarketing</w:t>
      </w:r>
      <w:proofErr w:type="spellEnd"/>
      <w:r>
        <w:rPr>
          <w:color w:val="000000"/>
        </w:rPr>
        <w:t xml:space="preserve"> data are reported voluntarily, it is not always possible to reliably estimate the frequency of particular adverse outcomes. These malformations are similar to findings in animal reproductive toxicology studies. For comparison, the background rate for congenital anomalies in the United States is about 3%, and NTPR data show a rate of 4-5% among babies born to organ transplant patients using</w:t>
      </w:r>
      <w:r w:rsidR="00A752C3">
        <w:rPr>
          <w:color w:val="000000"/>
        </w:rPr>
        <w:t xml:space="preserve"> other immunosuppressive drugs.</w:t>
      </w:r>
    </w:p>
    <w:p w:rsidR="000509E5" w:rsidRDefault="000509E5" w:rsidP="00A752C3">
      <w:pPr>
        <w:pStyle w:val="TextChar"/>
        <w:spacing w:before="100" w:beforeAutospacing="1" w:after="100" w:afterAutospacing="1" w:line="320" w:lineRule="atLeast"/>
        <w:jc w:val="left"/>
      </w:pPr>
      <w:proofErr w:type="spellStart"/>
      <w:r w:rsidRPr="000F1C42">
        <w:t>Myfortic</w:t>
      </w:r>
      <w:proofErr w:type="spellEnd"/>
      <w:r w:rsidRPr="000F1C42">
        <w:t xml:space="preserve"> should be used in pregnant women only if the potential benefit outweighs the potential risk to the </w:t>
      </w:r>
      <w:proofErr w:type="spellStart"/>
      <w:r w:rsidRPr="000F1C42">
        <w:t>foetus</w:t>
      </w:r>
      <w:proofErr w:type="spellEnd"/>
      <w:r w:rsidRPr="000F1C42">
        <w:t>. Patients should be instructed to consult their physician immediately should pregnancy occur.</w:t>
      </w:r>
    </w:p>
    <w:p w:rsidR="000509E5" w:rsidRPr="000F1C42" w:rsidRDefault="000509E5" w:rsidP="00A752C3">
      <w:pPr>
        <w:pStyle w:val="TextChar"/>
        <w:spacing w:before="100" w:beforeAutospacing="1" w:after="100" w:afterAutospacing="1" w:line="320" w:lineRule="atLeast"/>
        <w:jc w:val="left"/>
      </w:pPr>
      <w:r w:rsidRPr="000F1C42">
        <w:t xml:space="preserve">Adverse effects on fetal development (including malformations) occurred when pregnant rats and rabbits were </w:t>
      </w:r>
      <w:proofErr w:type="spellStart"/>
      <w:r w:rsidRPr="000F1C42">
        <w:t>dosed</w:t>
      </w:r>
      <w:proofErr w:type="spellEnd"/>
      <w:r w:rsidRPr="000F1C42">
        <w:t xml:space="preserve"> with </w:t>
      </w:r>
      <w:proofErr w:type="spellStart"/>
      <w:r w:rsidRPr="000F1C42">
        <w:t>mycophenolate</w:t>
      </w:r>
      <w:proofErr w:type="spellEnd"/>
      <w:r w:rsidRPr="000F1C42">
        <w:t xml:space="preserve"> sodium or </w:t>
      </w:r>
      <w:proofErr w:type="spellStart"/>
      <w:r w:rsidRPr="000F1C42">
        <w:t>mycophenolate</w:t>
      </w:r>
      <w:proofErr w:type="spellEnd"/>
      <w:r w:rsidRPr="000F1C42">
        <w:t xml:space="preserve"> </w:t>
      </w:r>
      <w:proofErr w:type="spellStart"/>
      <w:r w:rsidRPr="000F1C42">
        <w:t>mofetil</w:t>
      </w:r>
      <w:proofErr w:type="spellEnd"/>
      <w:r w:rsidRPr="000F1C42">
        <w:t xml:space="preserve"> during organogenesis.  In a teratology study performed with </w:t>
      </w:r>
      <w:proofErr w:type="spellStart"/>
      <w:r w:rsidRPr="000F1C42">
        <w:t>mycophenolate</w:t>
      </w:r>
      <w:proofErr w:type="spellEnd"/>
      <w:r w:rsidRPr="000F1C42">
        <w:t xml:space="preserve"> sodium in rats at 1 mg/kg/day (the lowest dose tested), there was an increase in </w:t>
      </w:r>
      <w:proofErr w:type="spellStart"/>
      <w:r w:rsidRPr="000F1C42">
        <w:t>resorptions</w:t>
      </w:r>
      <w:proofErr w:type="spellEnd"/>
      <w:r w:rsidRPr="000F1C42">
        <w:t xml:space="preserve">, and malformations in the offspring were observed including </w:t>
      </w:r>
      <w:proofErr w:type="spellStart"/>
      <w:r w:rsidRPr="000F1C42">
        <w:t>anophthalmia</w:t>
      </w:r>
      <w:proofErr w:type="spellEnd"/>
      <w:r w:rsidRPr="000F1C42">
        <w:t xml:space="preserve">, </w:t>
      </w:r>
      <w:proofErr w:type="spellStart"/>
      <w:r w:rsidRPr="000F1C42">
        <w:t>exencephaly</w:t>
      </w:r>
      <w:proofErr w:type="spellEnd"/>
      <w:r w:rsidRPr="000F1C42">
        <w:t xml:space="preserve"> and umbilical hernia.  The estimated systemic exposure to MPA at this dose is about 0.1 times the clinical exposure (plasma AUC) at the recommended dose of 1.44 g/day.</w:t>
      </w:r>
    </w:p>
    <w:p w:rsidR="000509E5" w:rsidRPr="000F1C42" w:rsidRDefault="000509E5" w:rsidP="00A752C3">
      <w:pPr>
        <w:pStyle w:val="Heading3"/>
      </w:pPr>
      <w:r w:rsidRPr="000F1C42">
        <w:t>Use in lactation:</w:t>
      </w:r>
    </w:p>
    <w:p w:rsidR="000509E5" w:rsidRDefault="000509E5" w:rsidP="00A752C3">
      <w:pPr>
        <w:pStyle w:val="TextChar"/>
        <w:tabs>
          <w:tab w:val="left" w:pos="-720"/>
          <w:tab w:val="left" w:pos="510"/>
          <w:tab w:val="left" w:pos="918"/>
        </w:tabs>
        <w:spacing w:before="0" w:after="100" w:afterAutospacing="1" w:line="320" w:lineRule="atLeast"/>
        <w:jc w:val="left"/>
        <w:rPr>
          <w:lang w:val="en-AU"/>
        </w:rPr>
      </w:pPr>
      <w:r w:rsidRPr="000F1C42">
        <w:rPr>
          <w:lang w:val="en-AU"/>
        </w:rPr>
        <w:t xml:space="preserve">It is not known whether MPA is excreted in human milk but studies in rats given </w:t>
      </w:r>
      <w:proofErr w:type="spellStart"/>
      <w:r w:rsidRPr="000F1C42">
        <w:rPr>
          <w:lang w:val="en-AU"/>
        </w:rPr>
        <w:t>radiolabelled</w:t>
      </w:r>
      <w:proofErr w:type="spellEnd"/>
      <w:r w:rsidRPr="000F1C42">
        <w:rPr>
          <w:lang w:val="en-AU"/>
        </w:rPr>
        <w:t xml:space="preserve"> </w:t>
      </w:r>
      <w:proofErr w:type="spellStart"/>
      <w:r w:rsidRPr="000F1C42">
        <w:rPr>
          <w:lang w:val="en-AU"/>
        </w:rPr>
        <w:t>mycophenolate</w:t>
      </w:r>
      <w:proofErr w:type="spellEnd"/>
      <w:r w:rsidRPr="000F1C42">
        <w:rPr>
          <w:lang w:val="en-AU"/>
        </w:rPr>
        <w:t xml:space="preserve"> </w:t>
      </w:r>
      <w:proofErr w:type="spellStart"/>
      <w:r w:rsidRPr="000F1C42">
        <w:rPr>
          <w:lang w:val="en-AU"/>
        </w:rPr>
        <w:t>mofetil</w:t>
      </w:r>
      <w:proofErr w:type="spellEnd"/>
      <w:r w:rsidRPr="000F1C42">
        <w:rPr>
          <w:lang w:val="en-AU"/>
        </w:rPr>
        <w:t xml:space="preserve"> have shown the excretion of radioactivity into milk.</w:t>
      </w:r>
    </w:p>
    <w:p w:rsidR="000509E5" w:rsidRDefault="000509E5" w:rsidP="00A752C3">
      <w:pPr>
        <w:pStyle w:val="TextChar"/>
        <w:tabs>
          <w:tab w:val="left" w:pos="-720"/>
          <w:tab w:val="left" w:pos="510"/>
          <w:tab w:val="left" w:pos="918"/>
        </w:tabs>
        <w:spacing w:before="100" w:beforeAutospacing="1" w:after="100" w:afterAutospacing="1" w:line="320" w:lineRule="atLeast"/>
        <w:jc w:val="left"/>
        <w:rPr>
          <w:lang w:val="en-AU"/>
        </w:rPr>
      </w:pPr>
      <w:proofErr w:type="spellStart"/>
      <w:r>
        <w:rPr>
          <w:lang w:val="en-AU"/>
        </w:rPr>
        <w:t>Myfortic</w:t>
      </w:r>
      <w:proofErr w:type="spellEnd"/>
      <w:r>
        <w:rPr>
          <w:lang w:val="en-AU"/>
        </w:rPr>
        <w:t xml:space="preserve"> should not be used during lactation.</w:t>
      </w:r>
    </w:p>
    <w:p w:rsidR="000509E5" w:rsidRPr="006D3570" w:rsidRDefault="000509E5" w:rsidP="00A752C3">
      <w:pPr>
        <w:pStyle w:val="TextChar"/>
        <w:tabs>
          <w:tab w:val="left" w:pos="-720"/>
          <w:tab w:val="left" w:pos="510"/>
          <w:tab w:val="left" w:pos="918"/>
        </w:tabs>
        <w:spacing w:before="100" w:beforeAutospacing="1" w:after="100" w:afterAutospacing="1" w:line="320" w:lineRule="atLeast"/>
        <w:jc w:val="left"/>
        <w:rPr>
          <w:lang w:val="en-AU"/>
        </w:rPr>
      </w:pPr>
      <w:r w:rsidRPr="000F1C42">
        <w:rPr>
          <w:lang w:val="en-AU"/>
        </w:rPr>
        <w:t xml:space="preserve">Because </w:t>
      </w:r>
      <w:r>
        <w:rPr>
          <w:lang w:val="en-AU"/>
        </w:rPr>
        <w:t xml:space="preserve">many drugs are excreted in human milk and </w:t>
      </w:r>
      <w:r w:rsidRPr="000F1C42">
        <w:rPr>
          <w:lang w:val="en-AU"/>
        </w:rPr>
        <w:t xml:space="preserve">of the potential for serious adverse reactions in breastfed </w:t>
      </w:r>
      <w:r>
        <w:rPr>
          <w:lang w:val="en-AU"/>
        </w:rPr>
        <w:t>newborns/</w:t>
      </w:r>
      <w:r w:rsidRPr="000F1C42">
        <w:rPr>
          <w:lang w:val="en-AU"/>
        </w:rPr>
        <w:t xml:space="preserve">infants, a decision should be made whether to </w:t>
      </w:r>
      <w:r>
        <w:rPr>
          <w:lang w:val="en-AU"/>
        </w:rPr>
        <w:t xml:space="preserve">abstain from breast-feeding while on treatment and during 6 weeks after stopping the therapy or to abstain from using the medicinal product </w:t>
      </w:r>
      <w:r w:rsidRPr="000F1C42">
        <w:rPr>
          <w:lang w:val="en-AU"/>
        </w:rPr>
        <w:t>taking into account the importance of the drug to the mother.</w:t>
      </w:r>
    </w:p>
    <w:p w:rsidR="00CE052C" w:rsidRPr="000F1C42" w:rsidRDefault="00CE052C" w:rsidP="00A752C3">
      <w:pPr>
        <w:pStyle w:val="Heading3"/>
        <w:spacing w:before="100" w:beforeAutospacing="1"/>
      </w:pPr>
      <w:r w:rsidRPr="000F1C42">
        <w:t>Paediatric use:</w:t>
      </w:r>
    </w:p>
    <w:p w:rsidR="00CE052C" w:rsidRPr="000F1C42" w:rsidRDefault="00CE052C" w:rsidP="00A752C3">
      <w:pPr>
        <w:spacing w:after="100" w:afterAutospacing="1" w:line="320" w:lineRule="atLeast"/>
        <w:rPr>
          <w:rFonts w:ascii="Times New Roman" w:hAnsi="Times New Roman"/>
        </w:rPr>
      </w:pPr>
      <w:r w:rsidRPr="000F1C42">
        <w:rPr>
          <w:rFonts w:ascii="Times New Roman" w:hAnsi="Times New Roman"/>
        </w:rPr>
        <w:t>Safety and efficacy in paediatric patients have not been established.</w:t>
      </w:r>
    </w:p>
    <w:p w:rsidR="00CE052C" w:rsidRPr="000F1C42" w:rsidRDefault="00CE052C" w:rsidP="00A752C3">
      <w:pPr>
        <w:pStyle w:val="Heading3"/>
      </w:pPr>
      <w:proofErr w:type="spellStart"/>
      <w:r w:rsidRPr="000F1C42">
        <w:lastRenderedPageBreak/>
        <w:t>Genotoxicity</w:t>
      </w:r>
      <w:proofErr w:type="spellEnd"/>
      <w:r w:rsidRPr="000F1C42">
        <w:t>:</w:t>
      </w:r>
    </w:p>
    <w:p w:rsidR="00CE052C" w:rsidRPr="000F1C42" w:rsidRDefault="00CE052C" w:rsidP="00A752C3">
      <w:pPr>
        <w:pStyle w:val="TextChar"/>
        <w:spacing w:before="0" w:after="100" w:afterAutospacing="1" w:line="320" w:lineRule="atLeast"/>
        <w:jc w:val="left"/>
      </w:pPr>
      <w:proofErr w:type="spellStart"/>
      <w:r w:rsidRPr="000F1C42">
        <w:t>Mycophenolate</w:t>
      </w:r>
      <w:proofErr w:type="spellEnd"/>
      <w:r w:rsidRPr="000F1C42">
        <w:t xml:space="preserve"> sodium and </w:t>
      </w:r>
      <w:proofErr w:type="spellStart"/>
      <w:r w:rsidRPr="000F1C42">
        <w:t>mycophenolate</w:t>
      </w:r>
      <w:proofErr w:type="spellEnd"/>
      <w:r w:rsidRPr="000F1C42">
        <w:t xml:space="preserve"> </w:t>
      </w:r>
      <w:proofErr w:type="spellStart"/>
      <w:r w:rsidRPr="000F1C42">
        <w:t>mofetil</w:t>
      </w:r>
      <w:proofErr w:type="spellEnd"/>
      <w:r w:rsidRPr="000F1C42">
        <w:t xml:space="preserve"> were </w:t>
      </w:r>
      <w:proofErr w:type="spellStart"/>
      <w:r w:rsidRPr="000F1C42">
        <w:t>genotoxic</w:t>
      </w:r>
      <w:proofErr w:type="spellEnd"/>
      <w:r w:rsidRPr="000F1C42">
        <w:t xml:space="preserve"> in the mouse </w:t>
      </w:r>
      <w:proofErr w:type="gramStart"/>
      <w:r w:rsidRPr="000F1C42">
        <w:t>lymphoma/</w:t>
      </w:r>
      <w:proofErr w:type="spellStart"/>
      <w:r w:rsidRPr="000F1C42">
        <w:t>thymidine</w:t>
      </w:r>
      <w:proofErr w:type="spellEnd"/>
      <w:proofErr w:type="gramEnd"/>
      <w:r w:rsidRPr="000F1C42">
        <w:t xml:space="preserve"> </w:t>
      </w:r>
      <w:proofErr w:type="spellStart"/>
      <w:r w:rsidRPr="000F1C42">
        <w:t>kinase</w:t>
      </w:r>
      <w:proofErr w:type="spellEnd"/>
      <w:r w:rsidRPr="000F1C42">
        <w:t xml:space="preserve"> assay, the micronucleus test in V79 Chinese hamster cells </w:t>
      </w:r>
      <w:r w:rsidRPr="000F1C42">
        <w:rPr>
          <w:i/>
        </w:rPr>
        <w:t xml:space="preserve">in vitro </w:t>
      </w:r>
      <w:r w:rsidRPr="000F1C42">
        <w:t xml:space="preserve">and in the </w:t>
      </w:r>
      <w:r w:rsidRPr="000F1C42">
        <w:rPr>
          <w:i/>
        </w:rPr>
        <w:t>in vivo</w:t>
      </w:r>
      <w:r w:rsidRPr="000F1C42">
        <w:t xml:space="preserve"> mouse micronucleus assay.  They were not </w:t>
      </w:r>
      <w:proofErr w:type="spellStart"/>
      <w:r w:rsidRPr="000F1C42">
        <w:t>genotoxic</w:t>
      </w:r>
      <w:proofErr w:type="spellEnd"/>
      <w:r w:rsidRPr="000F1C42">
        <w:t xml:space="preserve"> in the bacterial mutation assay.  </w:t>
      </w:r>
      <w:proofErr w:type="spellStart"/>
      <w:r w:rsidRPr="000F1C42">
        <w:t>Mycophenolate</w:t>
      </w:r>
      <w:proofErr w:type="spellEnd"/>
      <w:r w:rsidRPr="000F1C42">
        <w:t xml:space="preserve"> sodium showed weak evidence of </w:t>
      </w:r>
      <w:proofErr w:type="spellStart"/>
      <w:r w:rsidRPr="000F1C42">
        <w:t>genotoxicity</w:t>
      </w:r>
      <w:proofErr w:type="spellEnd"/>
      <w:r w:rsidRPr="000F1C42">
        <w:t xml:space="preserve"> in the chromosome aberration assay in human lymphocytes.  There were no relevant qualitative or quantitative differences in the </w:t>
      </w:r>
      <w:proofErr w:type="spellStart"/>
      <w:r w:rsidRPr="000F1C42">
        <w:t>genotoxic</w:t>
      </w:r>
      <w:proofErr w:type="spellEnd"/>
      <w:r w:rsidRPr="000F1C42">
        <w:t xml:space="preserve"> potential of </w:t>
      </w:r>
      <w:proofErr w:type="spellStart"/>
      <w:r w:rsidRPr="000F1C42">
        <w:t>mycophenolate</w:t>
      </w:r>
      <w:proofErr w:type="spellEnd"/>
      <w:r w:rsidRPr="000F1C42">
        <w:t xml:space="preserve"> sodium and </w:t>
      </w:r>
      <w:proofErr w:type="spellStart"/>
      <w:r w:rsidRPr="000F1C42">
        <w:t>mycophenolate</w:t>
      </w:r>
      <w:proofErr w:type="spellEnd"/>
      <w:r w:rsidRPr="000F1C42">
        <w:t xml:space="preserve"> </w:t>
      </w:r>
      <w:proofErr w:type="spellStart"/>
      <w:r w:rsidRPr="000F1C42">
        <w:t>mofetil</w:t>
      </w:r>
      <w:proofErr w:type="spellEnd"/>
      <w:r w:rsidRPr="000F1C42">
        <w:t xml:space="preserve">.  The </w:t>
      </w:r>
      <w:proofErr w:type="spellStart"/>
      <w:r w:rsidRPr="000F1C42">
        <w:t>genotoxic</w:t>
      </w:r>
      <w:proofErr w:type="spellEnd"/>
      <w:r w:rsidRPr="000F1C42">
        <w:t xml:space="preserve"> activity of MPA may be due to a shift in the relative abundance of the nucleotides in the cellular pool used for DNA synthesis.</w:t>
      </w:r>
    </w:p>
    <w:p w:rsidR="00CE052C" w:rsidRPr="000F1C42" w:rsidRDefault="00CE052C" w:rsidP="00A752C3">
      <w:pPr>
        <w:pStyle w:val="Heading3"/>
      </w:pPr>
      <w:r w:rsidRPr="000F1C42">
        <w:t>Carcinogenicity:</w:t>
      </w:r>
    </w:p>
    <w:p w:rsidR="00CE052C" w:rsidRPr="00A752C3" w:rsidRDefault="00CE052C" w:rsidP="00554B81">
      <w:pPr>
        <w:pStyle w:val="Heading2"/>
        <w:rPr>
          <w:b w:val="0"/>
          <w:sz w:val="24"/>
          <w:u w:val="none"/>
        </w:rPr>
      </w:pPr>
      <w:r w:rsidRPr="00A752C3">
        <w:rPr>
          <w:b w:val="0"/>
          <w:sz w:val="24"/>
          <w:u w:val="none"/>
        </w:rPr>
        <w:t xml:space="preserve">In a 104-week oral carcinogenicity study in rats, </w:t>
      </w:r>
      <w:proofErr w:type="spellStart"/>
      <w:r w:rsidRPr="00A752C3">
        <w:rPr>
          <w:b w:val="0"/>
          <w:sz w:val="24"/>
          <w:u w:val="none"/>
        </w:rPr>
        <w:t>mycophenolate</w:t>
      </w:r>
      <w:proofErr w:type="spellEnd"/>
      <w:r w:rsidRPr="00A752C3">
        <w:rPr>
          <w:b w:val="0"/>
          <w:sz w:val="24"/>
          <w:u w:val="none"/>
        </w:rPr>
        <w:t xml:space="preserve"> sodium at daily doses up to 9 mg/kg was not </w:t>
      </w:r>
      <w:proofErr w:type="spellStart"/>
      <w:r w:rsidRPr="00A752C3">
        <w:rPr>
          <w:b w:val="0"/>
          <w:sz w:val="24"/>
          <w:u w:val="none"/>
        </w:rPr>
        <w:t>tumorigenic</w:t>
      </w:r>
      <w:proofErr w:type="spellEnd"/>
      <w:r w:rsidRPr="00A752C3">
        <w:rPr>
          <w:b w:val="0"/>
          <w:sz w:val="24"/>
          <w:u w:val="none"/>
        </w:rPr>
        <w:t xml:space="preserve">.  The highest dose tested resulted in approximately 0.6-1.2 times the systemic exposure observed in renal transplant patients at the recommended dose of 1.44 g/day.  Similar results were observed in a parallel study in rats performed with </w:t>
      </w:r>
      <w:proofErr w:type="spellStart"/>
      <w:r w:rsidRPr="00A752C3">
        <w:rPr>
          <w:b w:val="0"/>
          <w:sz w:val="24"/>
          <w:u w:val="none"/>
        </w:rPr>
        <w:t>mycophenolate</w:t>
      </w:r>
      <w:proofErr w:type="spellEnd"/>
      <w:r w:rsidRPr="00A752C3">
        <w:rPr>
          <w:b w:val="0"/>
          <w:sz w:val="24"/>
          <w:u w:val="none"/>
        </w:rPr>
        <w:t xml:space="preserve"> </w:t>
      </w:r>
      <w:proofErr w:type="spellStart"/>
      <w:r w:rsidRPr="00A752C3">
        <w:rPr>
          <w:b w:val="0"/>
          <w:sz w:val="24"/>
          <w:u w:val="none"/>
        </w:rPr>
        <w:t>mofetil</w:t>
      </w:r>
      <w:proofErr w:type="spellEnd"/>
      <w:r w:rsidRPr="00A752C3">
        <w:rPr>
          <w:b w:val="0"/>
          <w:sz w:val="24"/>
          <w:u w:val="none"/>
        </w:rPr>
        <w:t>.  In a 26-week oral carcinogenicity assay in a P53</w:t>
      </w:r>
      <w:r w:rsidRPr="00A752C3">
        <w:rPr>
          <w:b w:val="0"/>
          <w:sz w:val="24"/>
          <w:u w:val="none"/>
          <w:vertAlign w:val="superscript"/>
        </w:rPr>
        <w:sym w:font="Symbol" w:char="F0B1"/>
      </w:r>
      <w:r w:rsidRPr="00A752C3">
        <w:rPr>
          <w:b w:val="0"/>
          <w:sz w:val="24"/>
          <w:u w:val="none"/>
          <w:vertAlign w:val="superscript"/>
        </w:rPr>
        <w:t xml:space="preserve"> </w:t>
      </w:r>
      <w:r w:rsidRPr="00A752C3">
        <w:rPr>
          <w:b w:val="0"/>
          <w:sz w:val="24"/>
          <w:u w:val="none"/>
        </w:rPr>
        <w:t xml:space="preserve">(heterozygous) transgenic mouse model, </w:t>
      </w:r>
      <w:proofErr w:type="spellStart"/>
      <w:r w:rsidRPr="00A752C3">
        <w:rPr>
          <w:b w:val="0"/>
          <w:sz w:val="24"/>
          <w:u w:val="none"/>
        </w:rPr>
        <w:t>mycophenolate</w:t>
      </w:r>
      <w:proofErr w:type="spellEnd"/>
      <w:r w:rsidRPr="00A752C3">
        <w:rPr>
          <w:b w:val="0"/>
          <w:sz w:val="24"/>
          <w:u w:val="none"/>
        </w:rPr>
        <w:t xml:space="preserve"> sodium at daily doses up to 200 mg/kg was not </w:t>
      </w:r>
      <w:proofErr w:type="spellStart"/>
      <w:r w:rsidRPr="00A752C3">
        <w:rPr>
          <w:b w:val="0"/>
          <w:sz w:val="24"/>
          <w:u w:val="none"/>
        </w:rPr>
        <w:t>tumorigenic</w:t>
      </w:r>
      <w:proofErr w:type="spellEnd"/>
      <w:r w:rsidRPr="00A752C3">
        <w:rPr>
          <w:b w:val="0"/>
          <w:sz w:val="24"/>
          <w:u w:val="none"/>
        </w:rPr>
        <w:t>.  The highest dose tested resulted in approximately 5 times the systemic exposure (plasma AUC) observed in renal transplant patients taking 1.44 g/day.  The results of this study, however, remain equivocal because of the lack of a response to the positive control compound, benzene.</w:t>
      </w:r>
    </w:p>
    <w:p w:rsidR="00CE052C" w:rsidRPr="000F1C42" w:rsidRDefault="00CE052C" w:rsidP="00A752C3">
      <w:pPr>
        <w:pStyle w:val="TextChar"/>
        <w:spacing w:before="100" w:beforeAutospacing="1" w:after="100" w:afterAutospacing="1" w:line="320" w:lineRule="atLeast"/>
        <w:jc w:val="left"/>
      </w:pPr>
      <w:r w:rsidRPr="000F1C42">
        <w:t xml:space="preserve">In a 2-year carcinogenicity study in rats, administration of oral doses of 6 and 9 mg/kg/day </w:t>
      </w:r>
      <w:proofErr w:type="spellStart"/>
      <w:r w:rsidRPr="000F1C42">
        <w:t>mycophenolate</w:t>
      </w:r>
      <w:proofErr w:type="spellEnd"/>
      <w:r w:rsidRPr="000F1C42">
        <w:t xml:space="preserve"> sodium resulted in an increase in the incidence of benign </w:t>
      </w:r>
      <w:proofErr w:type="spellStart"/>
      <w:r w:rsidRPr="000F1C42">
        <w:t>thymomas</w:t>
      </w:r>
      <w:proofErr w:type="spellEnd"/>
      <w:r w:rsidRPr="000F1C42">
        <w:t xml:space="preserve"> in the thymus in females.  Systemic exposure (plasma AUC) at these respective doses was about 0.5 and 1 times that observed in renal transplant patients taking 1.44 g/day.</w:t>
      </w:r>
    </w:p>
    <w:p w:rsidR="004B1796" w:rsidRPr="000F1C42" w:rsidRDefault="004B1796" w:rsidP="00A752C3">
      <w:pPr>
        <w:pStyle w:val="Heading3"/>
      </w:pPr>
      <w:r w:rsidRPr="000F1C42">
        <w:t>Effects on ability to drive and use machinery:</w:t>
      </w:r>
    </w:p>
    <w:p w:rsidR="004B1796" w:rsidRPr="000F1C42" w:rsidRDefault="004B1796" w:rsidP="00A752C3">
      <w:pPr>
        <w:pStyle w:val="BodyText2"/>
        <w:spacing w:after="100" w:afterAutospacing="1"/>
        <w:rPr>
          <w:b w:val="0"/>
        </w:rPr>
      </w:pPr>
      <w:r w:rsidRPr="000F1C42">
        <w:rPr>
          <w:b w:val="0"/>
        </w:rPr>
        <w:t xml:space="preserve">No studies on the effects of </w:t>
      </w:r>
      <w:proofErr w:type="spellStart"/>
      <w:r w:rsidRPr="000F1C42">
        <w:rPr>
          <w:b w:val="0"/>
        </w:rPr>
        <w:t>Myfortic</w:t>
      </w:r>
      <w:proofErr w:type="spellEnd"/>
      <w:r w:rsidRPr="000F1C42">
        <w:rPr>
          <w:b w:val="0"/>
        </w:rPr>
        <w:t xml:space="preserve"> on the ability to drive and use machines have been performed.  The mechanism of action and </w:t>
      </w:r>
      <w:proofErr w:type="spellStart"/>
      <w:r w:rsidRPr="000F1C42">
        <w:rPr>
          <w:b w:val="0"/>
        </w:rPr>
        <w:t>pharmacodynamic</w:t>
      </w:r>
      <w:proofErr w:type="spellEnd"/>
      <w:r w:rsidRPr="000F1C42">
        <w:rPr>
          <w:b w:val="0"/>
        </w:rPr>
        <w:t xml:space="preserve"> profile and the reported adverse reactions indicate that an effect is unlikely.</w:t>
      </w:r>
    </w:p>
    <w:p w:rsidR="00395F64" w:rsidRPr="00CE052C" w:rsidRDefault="005E1CC5" w:rsidP="003C3CF1">
      <w:pPr>
        <w:pStyle w:val="Heading2"/>
      </w:pPr>
      <w:r w:rsidRPr="00CE052C">
        <w:t>INTERACTIONS WITH OTHER MEDICINES</w:t>
      </w:r>
    </w:p>
    <w:p w:rsidR="00395F64" w:rsidRPr="000F1C42" w:rsidRDefault="00395F64" w:rsidP="003C3CF1">
      <w:pPr>
        <w:pStyle w:val="TextChar"/>
        <w:spacing w:before="0" w:after="100" w:afterAutospacing="1" w:line="320" w:lineRule="atLeast"/>
        <w:jc w:val="left"/>
      </w:pPr>
      <w:proofErr w:type="spellStart"/>
      <w:r w:rsidRPr="000F1C42">
        <w:t>Myfortic</w:t>
      </w:r>
      <w:proofErr w:type="spellEnd"/>
      <w:r w:rsidRPr="000F1C42">
        <w:t xml:space="preserve"> has been administered in combination with the following agents in clinical trials: </w:t>
      </w:r>
      <w:proofErr w:type="spellStart"/>
      <w:r w:rsidRPr="000F1C42">
        <w:t>antithymocyte</w:t>
      </w:r>
      <w:proofErr w:type="spellEnd"/>
      <w:r w:rsidRPr="000F1C42">
        <w:t xml:space="preserve"> globulin, </w:t>
      </w:r>
      <w:proofErr w:type="spellStart"/>
      <w:r w:rsidRPr="000F1C42">
        <w:t>basiliximab</w:t>
      </w:r>
      <w:proofErr w:type="spellEnd"/>
      <w:r w:rsidRPr="000F1C42">
        <w:t xml:space="preserve">, </w:t>
      </w:r>
      <w:proofErr w:type="spellStart"/>
      <w:r w:rsidRPr="000F1C42">
        <w:t>cyclosporin</w:t>
      </w:r>
      <w:proofErr w:type="spellEnd"/>
      <w:r w:rsidRPr="000F1C42">
        <w:t xml:space="preserve"> and corticosteroids.  The efficacy and safety of the use of </w:t>
      </w:r>
      <w:proofErr w:type="spellStart"/>
      <w:r w:rsidRPr="000F1C42">
        <w:t>Myfortic</w:t>
      </w:r>
      <w:proofErr w:type="spellEnd"/>
      <w:r w:rsidRPr="000F1C42">
        <w:t xml:space="preserve"> with other immunosuppressive agents have not been studied.</w:t>
      </w:r>
    </w:p>
    <w:p w:rsidR="002F4D8C" w:rsidRPr="000F1C42" w:rsidRDefault="002F4D8C" w:rsidP="003C3CF1">
      <w:pPr>
        <w:pStyle w:val="TextChar"/>
        <w:spacing w:before="100" w:beforeAutospacing="1" w:after="100" w:afterAutospacing="1" w:line="320" w:lineRule="atLeast"/>
        <w:jc w:val="left"/>
      </w:pPr>
      <w:r w:rsidRPr="000F1C42">
        <w:rPr>
          <w:i/>
        </w:rPr>
        <w:t>Oral contraceptives:</w:t>
      </w:r>
      <w:r w:rsidRPr="000F1C42">
        <w:t xml:space="preserve"> Concomitant use of </w:t>
      </w:r>
      <w:proofErr w:type="spellStart"/>
      <w:r w:rsidRPr="000F1C42">
        <w:t>Myfortic</w:t>
      </w:r>
      <w:proofErr w:type="spellEnd"/>
      <w:r w:rsidRPr="000F1C42">
        <w:t xml:space="preserve"> with oral contraceptives has not been studied.  Oral contraceptives undergo oxidative metabolism while </w:t>
      </w:r>
      <w:proofErr w:type="spellStart"/>
      <w:r w:rsidRPr="000F1C42">
        <w:t>Myfortic</w:t>
      </w:r>
      <w:proofErr w:type="spellEnd"/>
      <w:r w:rsidRPr="000F1C42">
        <w:t xml:space="preserve"> is </w:t>
      </w:r>
      <w:proofErr w:type="spellStart"/>
      <w:r w:rsidRPr="000F1C42">
        <w:t>metabolised</w:t>
      </w:r>
      <w:proofErr w:type="spellEnd"/>
      <w:r w:rsidRPr="000F1C42">
        <w:t xml:space="preserve"> by </w:t>
      </w:r>
      <w:proofErr w:type="spellStart"/>
      <w:r w:rsidRPr="000F1C42">
        <w:t>glucuronidation</w:t>
      </w:r>
      <w:proofErr w:type="spellEnd"/>
      <w:r w:rsidRPr="000F1C42">
        <w:t xml:space="preserve">.  </w:t>
      </w:r>
      <w:r w:rsidR="00DA58DA">
        <w:t xml:space="preserve">Given the different metabolism of </w:t>
      </w:r>
      <w:proofErr w:type="spellStart"/>
      <w:r w:rsidR="00DA58DA">
        <w:t>Myfortic</w:t>
      </w:r>
      <w:proofErr w:type="spellEnd"/>
      <w:r w:rsidR="00DA58DA">
        <w:t xml:space="preserve"> and oral contraceptives</w:t>
      </w:r>
      <w:r w:rsidR="0090381D">
        <w:t>, no drug interaction between these two classes of drug is expected.</w:t>
      </w:r>
      <w:r w:rsidRPr="000F1C42">
        <w:t xml:space="preserve"> </w:t>
      </w:r>
      <w:r w:rsidR="00EB1814">
        <w:t xml:space="preserve">However, in a drug-drug interaction study, mean </w:t>
      </w:r>
      <w:proofErr w:type="spellStart"/>
      <w:r w:rsidR="00EB1814">
        <w:t>levonorgesterol</w:t>
      </w:r>
      <w:proofErr w:type="spellEnd"/>
      <w:r w:rsidR="00EB1814">
        <w:t xml:space="preserve"> AUC was decreased by 15% when </w:t>
      </w:r>
      <w:proofErr w:type="spellStart"/>
      <w:r w:rsidR="00EB1814">
        <w:t>coadministered</w:t>
      </w:r>
      <w:proofErr w:type="spellEnd"/>
      <w:r w:rsidR="00EB1814">
        <w:t xml:space="preserve"> </w:t>
      </w:r>
      <w:r w:rsidR="00EB1814">
        <w:lastRenderedPageBreak/>
        <w:t xml:space="preserve">with </w:t>
      </w:r>
      <w:proofErr w:type="spellStart"/>
      <w:r w:rsidR="00EB1814">
        <w:t>mycophenolate</w:t>
      </w:r>
      <w:proofErr w:type="spellEnd"/>
      <w:r w:rsidR="00EB1814">
        <w:t xml:space="preserve"> </w:t>
      </w:r>
      <w:proofErr w:type="spellStart"/>
      <w:r w:rsidR="00EB1814">
        <w:t>mofetil</w:t>
      </w:r>
      <w:proofErr w:type="spellEnd"/>
      <w:r w:rsidR="00EB1814">
        <w:t xml:space="preserve">. Therefore, it is recommended that oral contraceptives are </w:t>
      </w:r>
      <w:proofErr w:type="spellStart"/>
      <w:r w:rsidR="00EB1814">
        <w:t>coadministered</w:t>
      </w:r>
      <w:proofErr w:type="spellEnd"/>
      <w:r w:rsidR="00EB1814">
        <w:t xml:space="preserve"> with </w:t>
      </w:r>
      <w:proofErr w:type="spellStart"/>
      <w:r w:rsidR="00EB1814">
        <w:t>Myfortic</w:t>
      </w:r>
      <w:proofErr w:type="spellEnd"/>
      <w:r w:rsidR="00EB1814">
        <w:t xml:space="preserve"> with caution and additional birth control methods </w:t>
      </w:r>
      <w:r w:rsidR="0090381D">
        <w:t>be</w:t>
      </w:r>
      <w:r w:rsidR="00EB1814">
        <w:t xml:space="preserve"> considered </w:t>
      </w:r>
      <w:r w:rsidRPr="000F1C42">
        <w:t>(see PRECAUTIONS</w:t>
      </w:r>
      <w:r>
        <w:t xml:space="preserve"> Section</w:t>
      </w:r>
      <w:r w:rsidRPr="000F1C42">
        <w:t xml:space="preserve"> – </w:t>
      </w:r>
      <w:r>
        <w:t>“Women of child-bearing potential”</w:t>
      </w:r>
      <w:r w:rsidR="00E712E6">
        <w:t xml:space="preserve"> </w:t>
      </w:r>
      <w:proofErr w:type="gramStart"/>
      <w:r>
        <w:t>and  “</w:t>
      </w:r>
      <w:proofErr w:type="gramEnd"/>
      <w:r>
        <w:t>Male patients</w:t>
      </w:r>
      <w:r w:rsidRPr="000F1C42">
        <w:t>”).</w:t>
      </w:r>
    </w:p>
    <w:p w:rsidR="00E43EF7" w:rsidRPr="000F1C42" w:rsidRDefault="00E43EF7" w:rsidP="003C3CF1">
      <w:pPr>
        <w:pStyle w:val="TextChar"/>
        <w:spacing w:before="100" w:beforeAutospacing="1" w:after="100" w:afterAutospacing="1" w:line="320" w:lineRule="atLeast"/>
        <w:jc w:val="left"/>
      </w:pPr>
      <w:proofErr w:type="spellStart"/>
      <w:r w:rsidRPr="000F1C42">
        <w:rPr>
          <w:i/>
        </w:rPr>
        <w:t>Azathioprine</w:t>
      </w:r>
      <w:proofErr w:type="spellEnd"/>
      <w:r w:rsidRPr="000F1C42">
        <w:rPr>
          <w:i/>
        </w:rPr>
        <w:t>:</w:t>
      </w:r>
      <w:r w:rsidRPr="000F1C42">
        <w:t xml:space="preserve"> It is recommended that </w:t>
      </w:r>
      <w:proofErr w:type="spellStart"/>
      <w:r w:rsidRPr="000F1C42">
        <w:t>Myfortic</w:t>
      </w:r>
      <w:proofErr w:type="spellEnd"/>
      <w:r w:rsidRPr="000F1C42">
        <w:t xml:space="preserve"> </w:t>
      </w:r>
      <w:r>
        <w:t xml:space="preserve">should </w:t>
      </w:r>
      <w:r w:rsidRPr="000F1C42">
        <w:t xml:space="preserve">not be administered concomitantly with </w:t>
      </w:r>
      <w:proofErr w:type="spellStart"/>
      <w:r w:rsidRPr="000F1C42">
        <w:t>azathioprine</w:t>
      </w:r>
      <w:proofErr w:type="spellEnd"/>
      <w:r w:rsidRPr="000F1C42">
        <w:t xml:space="preserve"> because such concomitant administration has not been studied.</w:t>
      </w:r>
    </w:p>
    <w:p w:rsidR="00E43EF7" w:rsidRPr="000F1C42" w:rsidRDefault="00E43EF7" w:rsidP="003C3CF1">
      <w:pPr>
        <w:pStyle w:val="TextChar"/>
        <w:spacing w:before="100" w:beforeAutospacing="1" w:after="100" w:afterAutospacing="1" w:line="320" w:lineRule="atLeast"/>
        <w:jc w:val="left"/>
      </w:pPr>
      <w:r w:rsidRPr="000F1C42">
        <w:rPr>
          <w:i/>
        </w:rPr>
        <w:t>Live vaccines:</w:t>
      </w:r>
      <w:r w:rsidRPr="000F1C42">
        <w:t xml:space="preserve"> Live vaccines should not be given to patients with an impaired immune response.  The antibody response to other vaccines may be diminished.</w:t>
      </w:r>
    </w:p>
    <w:p w:rsidR="00395F64" w:rsidRPr="00ED58A7" w:rsidRDefault="00395F64" w:rsidP="003C3CF1">
      <w:pPr>
        <w:pStyle w:val="TextChar"/>
        <w:spacing w:before="100" w:beforeAutospacing="1" w:after="100" w:afterAutospacing="1" w:line="320" w:lineRule="atLeast"/>
        <w:jc w:val="left"/>
      </w:pPr>
      <w:proofErr w:type="spellStart"/>
      <w:r w:rsidRPr="000F1C42">
        <w:rPr>
          <w:i/>
        </w:rPr>
        <w:t>Aciclovir</w:t>
      </w:r>
      <w:proofErr w:type="spellEnd"/>
      <w:r w:rsidRPr="000F1C42">
        <w:rPr>
          <w:i/>
        </w:rPr>
        <w:t>:</w:t>
      </w:r>
      <w:r w:rsidRPr="000F1C42">
        <w:t xml:space="preserve"> Concomitant use of </w:t>
      </w:r>
      <w:proofErr w:type="spellStart"/>
      <w:r w:rsidRPr="000F1C42">
        <w:t>Myfortic</w:t>
      </w:r>
      <w:proofErr w:type="spellEnd"/>
      <w:r w:rsidRPr="000F1C42">
        <w:t xml:space="preserve"> with </w:t>
      </w:r>
      <w:proofErr w:type="spellStart"/>
      <w:r w:rsidRPr="000F1C42">
        <w:t>aciclovir</w:t>
      </w:r>
      <w:proofErr w:type="spellEnd"/>
      <w:r w:rsidRPr="000F1C42">
        <w:t xml:space="preserve"> has not been studied.  After co-administration of </w:t>
      </w:r>
      <w:proofErr w:type="spellStart"/>
      <w:r w:rsidRPr="000F1C42">
        <w:t>mycophenolate</w:t>
      </w:r>
      <w:proofErr w:type="spellEnd"/>
      <w:r w:rsidRPr="000F1C42">
        <w:t xml:space="preserve"> </w:t>
      </w:r>
      <w:proofErr w:type="spellStart"/>
      <w:r w:rsidRPr="000F1C42">
        <w:t>mofetil</w:t>
      </w:r>
      <w:proofErr w:type="spellEnd"/>
      <w:r w:rsidRPr="000F1C42">
        <w:t xml:space="preserve"> </w:t>
      </w:r>
      <w:r w:rsidR="00A04FB8" w:rsidRPr="000F1C42">
        <w:t>(</w:t>
      </w:r>
      <w:r w:rsidRPr="000F1C42">
        <w:t>which delivers MPA to the systemic circulation</w:t>
      </w:r>
      <w:r w:rsidR="00A04FB8" w:rsidRPr="000F1C42">
        <w:t>)</w:t>
      </w:r>
      <w:r w:rsidRPr="000F1C42">
        <w:t xml:space="preserve"> and </w:t>
      </w:r>
      <w:proofErr w:type="spellStart"/>
      <w:r w:rsidRPr="000F1C42">
        <w:t>aciclovir</w:t>
      </w:r>
      <w:proofErr w:type="spellEnd"/>
      <w:r w:rsidRPr="000F1C42">
        <w:t xml:space="preserve">, higher plasma concentrations of MPAG and </w:t>
      </w:r>
      <w:proofErr w:type="spellStart"/>
      <w:r w:rsidRPr="000F1C42">
        <w:t>aciclovir</w:t>
      </w:r>
      <w:proofErr w:type="spellEnd"/>
      <w:r w:rsidRPr="000F1C42">
        <w:t xml:space="preserve"> have been observed compared with administration of each drug alone.  In renal impairment, the two drugs may compete for tubular secretion resulting in further increases in MPAG and </w:t>
      </w:r>
      <w:proofErr w:type="spellStart"/>
      <w:r w:rsidRPr="000F1C42">
        <w:t>aciclovir</w:t>
      </w:r>
      <w:proofErr w:type="spellEnd"/>
      <w:r w:rsidRPr="000F1C42">
        <w:t xml:space="preserve"> plasma concentration.</w:t>
      </w:r>
      <w:r w:rsidR="00147C8B" w:rsidRPr="000F1C42">
        <w:t xml:space="preserve"> In this situation, patients should be carefully monitored.</w:t>
      </w:r>
    </w:p>
    <w:p w:rsidR="00395F64" w:rsidRPr="000F1C42" w:rsidRDefault="00395F64" w:rsidP="003C3CF1">
      <w:pPr>
        <w:pStyle w:val="TextChar"/>
        <w:spacing w:before="100" w:beforeAutospacing="1" w:after="100" w:afterAutospacing="1" w:line="320" w:lineRule="atLeast"/>
        <w:jc w:val="left"/>
      </w:pPr>
      <w:proofErr w:type="spellStart"/>
      <w:r w:rsidRPr="000F1C42">
        <w:rPr>
          <w:i/>
        </w:rPr>
        <w:t>Cyclosporin</w:t>
      </w:r>
      <w:proofErr w:type="spellEnd"/>
      <w:r w:rsidRPr="000F1C42">
        <w:rPr>
          <w:i/>
        </w:rPr>
        <w:t>:</w:t>
      </w:r>
      <w:r w:rsidRPr="000F1C42">
        <w:t xml:space="preserve"> When studied in stable renal transplant patients, </w:t>
      </w:r>
      <w:proofErr w:type="spellStart"/>
      <w:r w:rsidRPr="000F1C42">
        <w:t>cyclosporin</w:t>
      </w:r>
      <w:proofErr w:type="spellEnd"/>
      <w:r w:rsidRPr="000F1C42">
        <w:t xml:space="preserve"> (</w:t>
      </w:r>
      <w:proofErr w:type="spellStart"/>
      <w:r w:rsidRPr="000F1C42">
        <w:t>Neoral</w:t>
      </w:r>
      <w:proofErr w:type="spellEnd"/>
      <w:r w:rsidRPr="000F1C42">
        <w:t xml:space="preserve">) pharmacokinetics were unaffected by steady state dosing of </w:t>
      </w:r>
      <w:proofErr w:type="spellStart"/>
      <w:r w:rsidRPr="000F1C42">
        <w:t>Myfortic</w:t>
      </w:r>
      <w:proofErr w:type="spellEnd"/>
      <w:r w:rsidRPr="000F1C42">
        <w:t>.</w:t>
      </w:r>
    </w:p>
    <w:p w:rsidR="00395F64" w:rsidRPr="000F1C42" w:rsidRDefault="00395F64" w:rsidP="003C3CF1">
      <w:pPr>
        <w:pStyle w:val="TextChar"/>
        <w:spacing w:before="100" w:beforeAutospacing="1" w:after="100" w:afterAutospacing="1" w:line="320" w:lineRule="atLeast"/>
        <w:jc w:val="left"/>
      </w:pPr>
      <w:proofErr w:type="spellStart"/>
      <w:r w:rsidRPr="000F1C42">
        <w:rPr>
          <w:i/>
        </w:rPr>
        <w:t>Ganciclovir</w:t>
      </w:r>
      <w:proofErr w:type="spellEnd"/>
      <w:r w:rsidRPr="000F1C42">
        <w:rPr>
          <w:i/>
        </w:rPr>
        <w:t>:</w:t>
      </w:r>
      <w:r w:rsidRPr="000F1C42">
        <w:t xml:space="preserve"> Concomitant use of </w:t>
      </w:r>
      <w:proofErr w:type="spellStart"/>
      <w:r w:rsidRPr="000F1C42">
        <w:t>Myfortic</w:t>
      </w:r>
      <w:proofErr w:type="spellEnd"/>
      <w:r w:rsidRPr="000F1C42">
        <w:t xml:space="preserve"> with </w:t>
      </w:r>
      <w:proofErr w:type="spellStart"/>
      <w:r w:rsidRPr="000F1C42">
        <w:t>ganciclovir</w:t>
      </w:r>
      <w:proofErr w:type="spellEnd"/>
      <w:r w:rsidRPr="000F1C42">
        <w:t xml:space="preserve"> has not been studied.  In patients taking </w:t>
      </w:r>
      <w:proofErr w:type="spellStart"/>
      <w:r w:rsidRPr="000F1C42">
        <w:t>mycophenolate</w:t>
      </w:r>
      <w:proofErr w:type="spellEnd"/>
      <w:r w:rsidRPr="000F1C42">
        <w:t xml:space="preserve"> </w:t>
      </w:r>
      <w:proofErr w:type="spellStart"/>
      <w:r w:rsidRPr="000F1C42">
        <w:t>mofetil</w:t>
      </w:r>
      <w:proofErr w:type="spellEnd"/>
      <w:r w:rsidRPr="000F1C42">
        <w:t xml:space="preserve">, MPA and MPAG pharmacokinetics are unaffected by the addition of </w:t>
      </w:r>
      <w:proofErr w:type="spellStart"/>
      <w:r w:rsidRPr="000F1C42">
        <w:t>ganciclovir</w:t>
      </w:r>
      <w:proofErr w:type="spellEnd"/>
      <w:r w:rsidRPr="000F1C42">
        <w:t xml:space="preserve">.  The clearance of </w:t>
      </w:r>
      <w:proofErr w:type="spellStart"/>
      <w:r w:rsidRPr="000F1C42">
        <w:t>ganciclovir</w:t>
      </w:r>
      <w:proofErr w:type="spellEnd"/>
      <w:r w:rsidRPr="000F1C42">
        <w:t xml:space="preserve"> is unchanged in the setting of therapeutic MPA exposure.  However, in patients with renal impairment in whom </w:t>
      </w:r>
      <w:proofErr w:type="spellStart"/>
      <w:r w:rsidRPr="000F1C42">
        <w:t>Myfortic</w:t>
      </w:r>
      <w:proofErr w:type="spellEnd"/>
      <w:r w:rsidRPr="000F1C42">
        <w:t xml:space="preserve"> and </w:t>
      </w:r>
      <w:proofErr w:type="spellStart"/>
      <w:r w:rsidRPr="000F1C42">
        <w:t>ganciclovir</w:t>
      </w:r>
      <w:proofErr w:type="spellEnd"/>
      <w:r w:rsidRPr="000F1C42">
        <w:t xml:space="preserve"> are </w:t>
      </w:r>
      <w:proofErr w:type="spellStart"/>
      <w:r w:rsidRPr="000F1C42">
        <w:t>coadministered</w:t>
      </w:r>
      <w:proofErr w:type="spellEnd"/>
      <w:r w:rsidRPr="000F1C42">
        <w:t>, the potential exists for the two drugs to compete for tubular secretion</w:t>
      </w:r>
      <w:r w:rsidR="00A04FB8" w:rsidRPr="000F1C42">
        <w:t>,</w:t>
      </w:r>
      <w:r w:rsidRPr="000F1C42">
        <w:t xml:space="preserve"> resulting in increased plasma concentrations of both drugs.  Therefore, in patients with renal impairment, the dose recommendations for </w:t>
      </w:r>
      <w:proofErr w:type="spellStart"/>
      <w:r w:rsidRPr="000F1C42">
        <w:t>ganciclovir</w:t>
      </w:r>
      <w:proofErr w:type="spellEnd"/>
      <w:r w:rsidRPr="000F1C42">
        <w:t xml:space="preserve"> should be observed and patients carefully monitored.</w:t>
      </w:r>
    </w:p>
    <w:p w:rsidR="00147C8B" w:rsidRPr="000F1C42" w:rsidDel="00EA0472" w:rsidRDefault="00147C8B" w:rsidP="003C3CF1">
      <w:pPr>
        <w:pStyle w:val="TextChar"/>
        <w:spacing w:before="100" w:beforeAutospacing="1" w:after="100" w:afterAutospacing="1" w:line="320" w:lineRule="atLeast"/>
        <w:jc w:val="left"/>
      </w:pPr>
      <w:proofErr w:type="spellStart"/>
      <w:r w:rsidRPr="000F1C42">
        <w:rPr>
          <w:i/>
        </w:rPr>
        <w:t>Tacrolimus</w:t>
      </w:r>
      <w:proofErr w:type="spellEnd"/>
      <w:r w:rsidRPr="000F1C42">
        <w:rPr>
          <w:i/>
        </w:rPr>
        <w:t>:</w:t>
      </w:r>
      <w:r w:rsidRPr="000F1C42">
        <w:t xml:space="preserve"> In a </w:t>
      </w:r>
      <w:proofErr w:type="spellStart"/>
      <w:r w:rsidRPr="000F1C42">
        <w:t>calcineurin</w:t>
      </w:r>
      <w:proofErr w:type="spellEnd"/>
      <w:r w:rsidRPr="000F1C42">
        <w:t xml:space="preserve"> cross-over study in stable renal transplant patients, steady state </w:t>
      </w:r>
      <w:proofErr w:type="spellStart"/>
      <w:r w:rsidRPr="000F1C42">
        <w:t>Myfortic</w:t>
      </w:r>
      <w:proofErr w:type="spellEnd"/>
      <w:r w:rsidRPr="000F1C42">
        <w:t xml:space="preserve"> pharmacokinetics were </w:t>
      </w:r>
      <w:r w:rsidR="00B50F68" w:rsidRPr="000F1C42">
        <w:t xml:space="preserve">determined </w:t>
      </w:r>
      <w:r w:rsidRPr="000F1C42">
        <w:t xml:space="preserve">during </w:t>
      </w:r>
      <w:r w:rsidR="00B50F68" w:rsidRPr="000F1C42">
        <w:t>concomitant</w:t>
      </w:r>
      <w:r w:rsidRPr="000F1C42">
        <w:t xml:space="preserve"> </w:t>
      </w:r>
      <w:proofErr w:type="spellStart"/>
      <w:r w:rsidRPr="000F1C42">
        <w:t>cyclosporin</w:t>
      </w:r>
      <w:proofErr w:type="spellEnd"/>
      <w:r w:rsidR="00F81EC7" w:rsidRPr="000F1C42">
        <w:t xml:space="preserve"> </w:t>
      </w:r>
      <w:r w:rsidRPr="000F1C42">
        <w:t>(</w:t>
      </w:r>
      <w:proofErr w:type="spellStart"/>
      <w:r w:rsidRPr="000F1C42">
        <w:t>Neoral</w:t>
      </w:r>
      <w:proofErr w:type="spellEnd"/>
      <w:r w:rsidRPr="000F1C42">
        <w:t xml:space="preserve">) and </w:t>
      </w:r>
      <w:proofErr w:type="spellStart"/>
      <w:r w:rsidRPr="000F1C42">
        <w:t>tacrolimus</w:t>
      </w:r>
      <w:proofErr w:type="spellEnd"/>
      <w:r w:rsidR="00B50F68" w:rsidRPr="000F1C42">
        <w:t xml:space="preserve"> (</w:t>
      </w:r>
      <w:proofErr w:type="spellStart"/>
      <w:r w:rsidR="00B50F68" w:rsidRPr="000F1C42">
        <w:t>Prograf</w:t>
      </w:r>
      <w:proofErr w:type="spellEnd"/>
      <w:r w:rsidR="00B50F68" w:rsidRPr="000F1C42">
        <w:rPr>
          <w:rFonts w:cs="Times New Roman"/>
          <w:vertAlign w:val="superscript"/>
        </w:rPr>
        <w:t>®</w:t>
      </w:r>
      <w:r w:rsidR="00B50F68" w:rsidRPr="000F1C42">
        <w:t xml:space="preserve">) </w:t>
      </w:r>
      <w:r w:rsidRPr="000F1C42">
        <w:t xml:space="preserve">treatments. Mean MPA AUC was 19% higher and </w:t>
      </w:r>
      <w:proofErr w:type="spellStart"/>
      <w:r w:rsidRPr="000F1C42">
        <w:t>C</w:t>
      </w:r>
      <w:r w:rsidRPr="000F1C42">
        <w:rPr>
          <w:vertAlign w:val="subscript"/>
        </w:rPr>
        <w:t>max</w:t>
      </w:r>
      <w:proofErr w:type="spellEnd"/>
      <w:r w:rsidRPr="000F1C42">
        <w:t xml:space="preserve"> about 20% lower</w:t>
      </w:r>
      <w:r w:rsidR="00B50F68" w:rsidRPr="000F1C42">
        <w:t>, and</w:t>
      </w:r>
      <w:r w:rsidRPr="000F1C42">
        <w:t xml:space="preserve"> mean MPAG AUC and </w:t>
      </w:r>
      <w:proofErr w:type="spellStart"/>
      <w:r w:rsidRPr="000F1C42">
        <w:t>C</w:t>
      </w:r>
      <w:r w:rsidRPr="000F1C42">
        <w:rPr>
          <w:vertAlign w:val="subscript"/>
        </w:rPr>
        <w:t>max</w:t>
      </w:r>
      <w:proofErr w:type="spellEnd"/>
      <w:r w:rsidRPr="000F1C42">
        <w:t xml:space="preserve"> were about 30% lower on </w:t>
      </w:r>
      <w:proofErr w:type="spellStart"/>
      <w:r w:rsidRPr="000F1C42">
        <w:t>tacrolimus</w:t>
      </w:r>
      <w:proofErr w:type="spellEnd"/>
      <w:r w:rsidRPr="000F1C42">
        <w:t xml:space="preserve"> treatment compared to </w:t>
      </w:r>
      <w:proofErr w:type="spellStart"/>
      <w:r w:rsidRPr="000F1C42">
        <w:t>Neoral</w:t>
      </w:r>
      <w:proofErr w:type="spellEnd"/>
      <w:r w:rsidRPr="000F1C42">
        <w:t xml:space="preserve"> treatment.</w:t>
      </w:r>
    </w:p>
    <w:p w:rsidR="00AD2025" w:rsidRDefault="00A04FB8" w:rsidP="003C3CF1">
      <w:pPr>
        <w:pStyle w:val="TextChar"/>
        <w:spacing w:before="100" w:beforeAutospacing="1" w:after="100" w:afterAutospacing="1" w:line="320" w:lineRule="atLeast"/>
        <w:jc w:val="left"/>
      </w:pPr>
      <w:r w:rsidRPr="000F1C42">
        <w:rPr>
          <w:i/>
        </w:rPr>
        <w:t xml:space="preserve">Conditions of decreased protein binding sites: </w:t>
      </w:r>
      <w:r w:rsidR="00395F64" w:rsidRPr="000F1C42">
        <w:t>MPA concentration may increase under conditions of decreased protein binding sites</w:t>
      </w:r>
      <w:r w:rsidRPr="000F1C42">
        <w:t>,</w:t>
      </w:r>
      <w:r w:rsidR="00395F64" w:rsidRPr="000F1C42">
        <w:t xml:space="preserve"> which may occur when </w:t>
      </w:r>
      <w:proofErr w:type="spellStart"/>
      <w:r w:rsidR="00395F64" w:rsidRPr="000F1C42">
        <w:t>Myfortic</w:t>
      </w:r>
      <w:proofErr w:type="spellEnd"/>
      <w:r w:rsidR="00395F64" w:rsidRPr="000F1C42">
        <w:t xml:space="preserve"> is administered concomitantly with highly protein bound drugs and/or in the setting of </w:t>
      </w:r>
      <w:proofErr w:type="spellStart"/>
      <w:r w:rsidR="00395F64" w:rsidRPr="000F1C42">
        <w:t>uraemia</w:t>
      </w:r>
      <w:proofErr w:type="spellEnd"/>
      <w:r w:rsidR="00395F64" w:rsidRPr="000F1C42">
        <w:t>.  This may put patients at increased risk of MPA-related adverse effects.</w:t>
      </w:r>
    </w:p>
    <w:p w:rsidR="00935E5A" w:rsidRPr="00935E5A" w:rsidRDefault="00935E5A" w:rsidP="003C3CF1">
      <w:pPr>
        <w:pStyle w:val="Heading3"/>
        <w:spacing w:before="100" w:beforeAutospacing="1"/>
      </w:pPr>
      <w:proofErr w:type="spellStart"/>
      <w:r w:rsidRPr="00935E5A">
        <w:lastRenderedPageBreak/>
        <w:t>Gastroprotective</w:t>
      </w:r>
      <w:proofErr w:type="spellEnd"/>
      <w:r w:rsidRPr="00935E5A">
        <w:t xml:space="preserve"> agents</w:t>
      </w:r>
      <w:r>
        <w:t>:</w:t>
      </w:r>
    </w:p>
    <w:p w:rsidR="00935E5A" w:rsidRDefault="00935E5A" w:rsidP="003C3CF1">
      <w:pPr>
        <w:pStyle w:val="TextChar"/>
        <w:spacing w:before="0" w:after="100" w:afterAutospacing="1" w:line="320" w:lineRule="atLeast"/>
        <w:jc w:val="left"/>
      </w:pPr>
      <w:r w:rsidRPr="000F1C42">
        <w:rPr>
          <w:i/>
        </w:rPr>
        <w:t xml:space="preserve">Antacids with magnesium and </w:t>
      </w:r>
      <w:proofErr w:type="spellStart"/>
      <w:r w:rsidRPr="000F1C42">
        <w:rPr>
          <w:i/>
        </w:rPr>
        <w:t>aluminium</w:t>
      </w:r>
      <w:proofErr w:type="spellEnd"/>
      <w:r w:rsidRPr="000F1C42">
        <w:rPr>
          <w:i/>
        </w:rPr>
        <w:t xml:space="preserve"> hydroxides:</w:t>
      </w:r>
      <w:r w:rsidRPr="000F1C42">
        <w:t xml:space="preserve"> The absorption of </w:t>
      </w:r>
      <w:proofErr w:type="spellStart"/>
      <w:r w:rsidRPr="000F1C42">
        <w:t>Myfortic</w:t>
      </w:r>
      <w:proofErr w:type="spellEnd"/>
      <w:r w:rsidRPr="000F1C42">
        <w:t xml:space="preserve"> was </w:t>
      </w:r>
      <w:proofErr w:type="gramStart"/>
      <w:r w:rsidRPr="000F1C42">
        <w:t>decreased</w:t>
      </w:r>
      <w:proofErr w:type="gramEnd"/>
      <w:r w:rsidRPr="000F1C42">
        <w:t xml:space="preserve"> when administered with antacids containing magnesium and </w:t>
      </w:r>
      <w:proofErr w:type="spellStart"/>
      <w:r w:rsidRPr="000F1C42">
        <w:t>aluminium</w:t>
      </w:r>
      <w:proofErr w:type="spellEnd"/>
      <w:r w:rsidRPr="000F1C42">
        <w:t xml:space="preserve"> hydroxide, resulting in a 37% decrease in MPA systemic exposure and a 25% decrease in MPA maximal concentration.  Caution should be used when co-administering antacids containing magnesium and </w:t>
      </w:r>
      <w:proofErr w:type="spellStart"/>
      <w:r w:rsidRPr="000F1C42">
        <w:t>aluminium</w:t>
      </w:r>
      <w:proofErr w:type="spellEnd"/>
      <w:r w:rsidRPr="000F1C42">
        <w:t xml:space="preserve"> hydroxide with </w:t>
      </w:r>
      <w:proofErr w:type="spellStart"/>
      <w:r w:rsidRPr="000F1C42">
        <w:t>Myfortic</w:t>
      </w:r>
      <w:proofErr w:type="spellEnd"/>
      <w:r w:rsidRPr="000F1C42">
        <w:t>.</w:t>
      </w:r>
    </w:p>
    <w:p w:rsidR="00935E5A" w:rsidRPr="00D17390" w:rsidRDefault="00B16D94" w:rsidP="003C3CF1">
      <w:pPr>
        <w:pStyle w:val="Text"/>
        <w:spacing w:before="100" w:beforeAutospacing="1" w:after="100" w:afterAutospacing="1"/>
      </w:pPr>
      <w:r w:rsidRPr="00B16D94">
        <w:rPr>
          <w:i/>
          <w:lang w:val="en-GB"/>
        </w:rPr>
        <w:t>Proton Pump inhibitors</w:t>
      </w:r>
      <w:r w:rsidRPr="00B16D94">
        <w:rPr>
          <w:lang w:val="en-GB"/>
        </w:rPr>
        <w:t xml:space="preserve">: </w:t>
      </w:r>
      <w:r w:rsidRPr="00B16D94">
        <w:t xml:space="preserve">In healthy volunteers, no changes in the pharmacokinetics of MPA were observed following concomitant administration of </w:t>
      </w:r>
      <w:proofErr w:type="spellStart"/>
      <w:r w:rsidRPr="00B16D94">
        <w:t>Myfortic</w:t>
      </w:r>
      <w:proofErr w:type="spellEnd"/>
      <w:r w:rsidRPr="00B16D94">
        <w:t xml:space="preserve"> and </w:t>
      </w:r>
      <w:proofErr w:type="spellStart"/>
      <w:r w:rsidRPr="00B16D94">
        <w:t>pantoprazole</w:t>
      </w:r>
      <w:proofErr w:type="spellEnd"/>
      <w:r w:rsidRPr="00B16D94">
        <w:t xml:space="preserve"> </w:t>
      </w:r>
      <w:r w:rsidRPr="00B16D94">
        <w:rPr>
          <w:rFonts w:ascii="Sabon" w:hAnsi="Sabon" w:cs="Arial"/>
          <w:sz w:val="22"/>
          <w:szCs w:val="22"/>
          <w:lang w:val="en-AU"/>
        </w:rPr>
        <w:t>given at 40 mg twice daily during the four previous days</w:t>
      </w:r>
      <w:r w:rsidRPr="00B16D94">
        <w:t>.</w:t>
      </w:r>
    </w:p>
    <w:p w:rsidR="00E43EF7" w:rsidRPr="000F1C42" w:rsidRDefault="00E43EF7" w:rsidP="003C3CF1">
      <w:pPr>
        <w:pStyle w:val="TextChar"/>
        <w:spacing w:before="100" w:beforeAutospacing="1" w:after="100" w:afterAutospacing="1" w:line="320" w:lineRule="atLeast"/>
        <w:jc w:val="left"/>
      </w:pPr>
      <w:proofErr w:type="spellStart"/>
      <w:r w:rsidRPr="000F1C42">
        <w:rPr>
          <w:i/>
        </w:rPr>
        <w:t>Cholestyramine</w:t>
      </w:r>
      <w:proofErr w:type="spellEnd"/>
      <w:r w:rsidRPr="000F1C42">
        <w:rPr>
          <w:i/>
        </w:rPr>
        <w:t xml:space="preserve"> and drugs that interfere with </w:t>
      </w:r>
      <w:proofErr w:type="spellStart"/>
      <w:r w:rsidRPr="000F1C42">
        <w:rPr>
          <w:i/>
        </w:rPr>
        <w:t>enterohepatic</w:t>
      </w:r>
      <w:proofErr w:type="spellEnd"/>
      <w:r w:rsidRPr="000F1C42">
        <w:rPr>
          <w:i/>
        </w:rPr>
        <w:t xml:space="preserve"> circulation:</w:t>
      </w:r>
      <w:r w:rsidRPr="000F1C42">
        <w:t xml:space="preserve"> Due to its capacity to block the enteric circulation of drugs, </w:t>
      </w:r>
      <w:proofErr w:type="spellStart"/>
      <w:r w:rsidRPr="000F1C42">
        <w:t>cholestyramine</w:t>
      </w:r>
      <w:proofErr w:type="spellEnd"/>
      <w:r w:rsidRPr="000F1C42">
        <w:t xml:space="preserve"> may decrease the systemic exposure of MPA.  Caution should be used when co-administering </w:t>
      </w:r>
      <w:proofErr w:type="spellStart"/>
      <w:r w:rsidRPr="000F1C42">
        <w:t>cholestyramine</w:t>
      </w:r>
      <w:proofErr w:type="spellEnd"/>
      <w:r w:rsidRPr="000F1C42">
        <w:t xml:space="preserve"> or drugs that interfere with </w:t>
      </w:r>
      <w:proofErr w:type="spellStart"/>
      <w:r w:rsidRPr="000F1C42">
        <w:t>enterohepatic</w:t>
      </w:r>
      <w:proofErr w:type="spellEnd"/>
      <w:r w:rsidRPr="000F1C42">
        <w:t xml:space="preserve"> circulation because of the potential to reduce the efficacy of </w:t>
      </w:r>
      <w:proofErr w:type="spellStart"/>
      <w:r w:rsidRPr="000F1C42">
        <w:t>Myfortic</w:t>
      </w:r>
      <w:proofErr w:type="spellEnd"/>
      <w:r w:rsidRPr="000F1C42">
        <w:t>.</w:t>
      </w:r>
    </w:p>
    <w:p w:rsidR="00395F64" w:rsidRPr="000F1C42" w:rsidRDefault="00395F64" w:rsidP="003C3CF1">
      <w:pPr>
        <w:pStyle w:val="Heading2"/>
      </w:pPr>
      <w:r w:rsidRPr="000F1C42">
        <w:t>ADVERSE</w:t>
      </w:r>
      <w:r w:rsidR="009018F8" w:rsidRPr="000F1C42">
        <w:t xml:space="preserve"> EFFECTS</w:t>
      </w:r>
    </w:p>
    <w:p w:rsidR="0075519B" w:rsidRPr="0075519B" w:rsidRDefault="0075519B" w:rsidP="003C3CF1">
      <w:pPr>
        <w:pStyle w:val="Heading3"/>
      </w:pPr>
      <w:r>
        <w:t>Adverse effects from clinical trials in renal transplant patients</w:t>
      </w:r>
      <w:r w:rsidRPr="0075519B">
        <w:t xml:space="preserve"> </w:t>
      </w:r>
    </w:p>
    <w:p w:rsidR="00395F64" w:rsidRPr="000F1C42" w:rsidRDefault="00395F64" w:rsidP="003C3CF1">
      <w:pPr>
        <w:pStyle w:val="Heading4"/>
      </w:pPr>
      <w:r w:rsidRPr="000F1C42">
        <w:t>Malignancies:</w:t>
      </w:r>
    </w:p>
    <w:p w:rsidR="00147C8B" w:rsidRPr="000F1C42" w:rsidRDefault="00395F64" w:rsidP="003C3CF1">
      <w:pPr>
        <w:pStyle w:val="Text"/>
        <w:spacing w:before="0" w:after="100" w:afterAutospacing="1" w:line="320" w:lineRule="atLeast"/>
        <w:jc w:val="left"/>
      </w:pPr>
      <w:r w:rsidRPr="000F1C42">
        <w:t xml:space="preserve">Patients receiving immunosuppressive regimens involving combinations of drugs, including MPA, are at increased risk of developing lymphomas and other malignancies, particularly of </w:t>
      </w:r>
      <w:proofErr w:type="gramStart"/>
      <w:r w:rsidRPr="000F1C42">
        <w:t>the</w:t>
      </w:r>
      <w:proofErr w:type="gramEnd"/>
      <w:r w:rsidRPr="000F1C42">
        <w:t xml:space="preserve"> skin (see “PRECAUTIONS</w:t>
      </w:r>
      <w:r w:rsidR="008E0045" w:rsidRPr="000F1C42">
        <w:t>-Development of malignancies</w:t>
      </w:r>
      <w:r w:rsidRPr="000F1C42">
        <w:t xml:space="preserve">”).  </w:t>
      </w:r>
      <w:r w:rsidR="00147C8B" w:rsidRPr="000F1C42">
        <w:t xml:space="preserve"> Overall rates of malignancies observed in </w:t>
      </w:r>
      <w:proofErr w:type="spellStart"/>
      <w:r w:rsidR="00147C8B" w:rsidRPr="000F1C42">
        <w:t>Myfortic</w:t>
      </w:r>
      <w:proofErr w:type="spellEnd"/>
      <w:r w:rsidR="00147C8B" w:rsidRPr="000F1C42">
        <w:t xml:space="preserve"> clinical trials are as follow</w:t>
      </w:r>
      <w:r w:rsidR="00A04FB8" w:rsidRPr="000F1C42">
        <w:t>s</w:t>
      </w:r>
      <w:r w:rsidR="00147C8B" w:rsidRPr="000F1C42">
        <w:t xml:space="preserve">: </w:t>
      </w:r>
      <w:proofErr w:type="spellStart"/>
      <w:r w:rsidR="00147C8B" w:rsidRPr="000F1C42">
        <w:t>lymphoproliferative</w:t>
      </w:r>
      <w:proofErr w:type="spellEnd"/>
      <w:r w:rsidR="00147C8B" w:rsidRPr="000F1C42">
        <w:t xml:space="preserve"> disease or lymphoma developed in 2 </w:t>
      </w:r>
      <w:r w:rsidR="00147C8B" w:rsidRPr="000F1C42">
        <w:rPr>
          <w:i/>
        </w:rPr>
        <w:t>de novo</w:t>
      </w:r>
      <w:r w:rsidR="00147C8B" w:rsidRPr="000F1C42">
        <w:t xml:space="preserve"> </w:t>
      </w:r>
      <w:r w:rsidR="00A04FB8" w:rsidRPr="000F1C42">
        <w:t xml:space="preserve">patients </w:t>
      </w:r>
      <w:r w:rsidR="00147C8B" w:rsidRPr="000F1C42">
        <w:t xml:space="preserve">(0.9%) and in 2 maintenance patients (1.3%) receiving </w:t>
      </w:r>
      <w:proofErr w:type="spellStart"/>
      <w:r w:rsidR="00147C8B" w:rsidRPr="000F1C42">
        <w:t>Myfortic</w:t>
      </w:r>
      <w:proofErr w:type="spellEnd"/>
      <w:r w:rsidR="00147C8B" w:rsidRPr="000F1C42">
        <w:t xml:space="preserve"> for up to 1 year</w:t>
      </w:r>
      <w:r w:rsidR="00A04FB8" w:rsidRPr="000F1C42">
        <w:t>; n</w:t>
      </w:r>
      <w:r w:rsidR="00147C8B" w:rsidRPr="000F1C42">
        <w:t xml:space="preserve">on-melanoma skin carcinomas occurred in </w:t>
      </w:r>
      <w:r w:rsidR="00B50F68" w:rsidRPr="000F1C42">
        <w:t xml:space="preserve">2 </w:t>
      </w:r>
      <w:r w:rsidR="00147C8B" w:rsidRPr="000F1C42">
        <w:rPr>
          <w:i/>
        </w:rPr>
        <w:t>de novo</w:t>
      </w:r>
      <w:r w:rsidR="00147C8B" w:rsidRPr="000F1C42">
        <w:t xml:space="preserve"> </w:t>
      </w:r>
      <w:r w:rsidR="00B50F68" w:rsidRPr="000F1C42">
        <w:t xml:space="preserve">patients (0.9%) </w:t>
      </w:r>
      <w:proofErr w:type="gramStart"/>
      <w:r w:rsidR="00147C8B" w:rsidRPr="000F1C42">
        <w:t xml:space="preserve">and </w:t>
      </w:r>
      <w:r w:rsidR="00B50F68" w:rsidRPr="000F1C42">
        <w:t xml:space="preserve"> 3</w:t>
      </w:r>
      <w:proofErr w:type="gramEnd"/>
      <w:r w:rsidR="00A04FB8" w:rsidRPr="000F1C42">
        <w:t xml:space="preserve"> </w:t>
      </w:r>
      <w:r w:rsidR="00147C8B" w:rsidRPr="000F1C42">
        <w:t>maintenance patients</w:t>
      </w:r>
      <w:r w:rsidR="00B50F68" w:rsidRPr="000F1C42">
        <w:t xml:space="preserve"> (1.9%)</w:t>
      </w:r>
      <w:r w:rsidR="00147C8B" w:rsidRPr="000F1C42">
        <w:t xml:space="preserve"> receiving </w:t>
      </w:r>
      <w:proofErr w:type="spellStart"/>
      <w:r w:rsidR="00147C8B" w:rsidRPr="000F1C42">
        <w:t>Myfortic</w:t>
      </w:r>
      <w:proofErr w:type="spellEnd"/>
      <w:r w:rsidR="00147C8B" w:rsidRPr="000F1C42">
        <w:t xml:space="preserve"> for up to 1 year</w:t>
      </w:r>
      <w:r w:rsidR="00A04FB8" w:rsidRPr="000F1C42">
        <w:t>; o</w:t>
      </w:r>
      <w:r w:rsidR="00147C8B" w:rsidRPr="000F1C42">
        <w:t>ther types of malignancy occurred in 0.5%</w:t>
      </w:r>
      <w:r w:rsidR="00A04FB8" w:rsidRPr="000F1C42">
        <w:t xml:space="preserve"> of</w:t>
      </w:r>
      <w:r w:rsidR="00147C8B" w:rsidRPr="000F1C42">
        <w:t xml:space="preserve"> </w:t>
      </w:r>
      <w:r w:rsidR="00147C8B" w:rsidRPr="000F1C42">
        <w:rPr>
          <w:i/>
        </w:rPr>
        <w:t>de novo</w:t>
      </w:r>
      <w:r w:rsidR="00147C8B" w:rsidRPr="000F1C42">
        <w:t xml:space="preserve"> and 0.6% </w:t>
      </w:r>
      <w:r w:rsidR="00A04FB8" w:rsidRPr="000F1C42">
        <w:t xml:space="preserve">of </w:t>
      </w:r>
      <w:r w:rsidR="003C3CF1">
        <w:t>maintenance patients.</w:t>
      </w:r>
    </w:p>
    <w:p w:rsidR="00395F64" w:rsidRPr="000F1C42" w:rsidRDefault="00395F64" w:rsidP="003C3CF1">
      <w:pPr>
        <w:pStyle w:val="Heading4"/>
        <w:spacing w:before="100" w:beforeAutospacing="1"/>
      </w:pPr>
      <w:r w:rsidRPr="000F1C42">
        <w:t>Opportunistic infections:</w:t>
      </w:r>
    </w:p>
    <w:p w:rsidR="00395F64" w:rsidRPr="000F1C42" w:rsidRDefault="00395F64" w:rsidP="003C3CF1">
      <w:pPr>
        <w:pStyle w:val="TextChar"/>
        <w:spacing w:before="0" w:after="100" w:afterAutospacing="1" w:line="320" w:lineRule="atLeast"/>
        <w:jc w:val="left"/>
      </w:pPr>
      <w:r w:rsidRPr="000F1C42">
        <w:t>All transplant patients are at increased risk of opportunistic infections</w:t>
      </w:r>
      <w:r w:rsidR="00A04FB8" w:rsidRPr="000F1C42">
        <w:t>. T</w:t>
      </w:r>
      <w:r w:rsidRPr="000F1C42">
        <w:t>he risk increases with total immunosuppressive load (see “PRECAUTIONS</w:t>
      </w:r>
      <w:r w:rsidR="00A04FB8" w:rsidRPr="000F1C42">
        <w:t>-Development of infections</w:t>
      </w:r>
      <w:r w:rsidRPr="000F1C42">
        <w:t xml:space="preserve">”).  The most common opportunistic infections in </w:t>
      </w:r>
      <w:r w:rsidRPr="000F1C42">
        <w:rPr>
          <w:i/>
        </w:rPr>
        <w:t>de novo</w:t>
      </w:r>
      <w:r w:rsidRPr="000F1C42">
        <w:t xml:space="preserve"> renal transplant patients receiving </w:t>
      </w:r>
      <w:proofErr w:type="spellStart"/>
      <w:r w:rsidRPr="000F1C42">
        <w:t>Myfortic</w:t>
      </w:r>
      <w:proofErr w:type="spellEnd"/>
      <w:r w:rsidRPr="000F1C42">
        <w:t xml:space="preserve"> with other </w:t>
      </w:r>
      <w:proofErr w:type="spellStart"/>
      <w:r w:rsidRPr="000F1C42">
        <w:t>immunosuppressants</w:t>
      </w:r>
      <w:proofErr w:type="spellEnd"/>
      <w:r w:rsidRPr="000F1C42">
        <w:t xml:space="preserve"> in controlled clinical trials of renal transplant patients followed for one year were CMV, </w:t>
      </w:r>
      <w:proofErr w:type="spellStart"/>
      <w:r w:rsidRPr="000F1C42">
        <w:t>candidiasis</w:t>
      </w:r>
      <w:proofErr w:type="spellEnd"/>
      <w:r w:rsidRPr="000F1C42">
        <w:t xml:space="preserve"> and herpes simplex.  </w:t>
      </w:r>
      <w:r w:rsidR="006D1427" w:rsidRPr="000F1C42">
        <w:t xml:space="preserve">The overall rate of </w:t>
      </w:r>
      <w:r w:rsidRPr="000F1C42">
        <w:t xml:space="preserve">CMV infections (serology, </w:t>
      </w:r>
      <w:proofErr w:type="spellStart"/>
      <w:r w:rsidRPr="000F1C42">
        <w:t>viraemia</w:t>
      </w:r>
      <w:proofErr w:type="spellEnd"/>
      <w:r w:rsidRPr="000F1C42">
        <w:t xml:space="preserve"> or disease) </w:t>
      </w:r>
      <w:r w:rsidR="006D1427" w:rsidRPr="000F1C42">
        <w:t xml:space="preserve">observed in </w:t>
      </w:r>
      <w:proofErr w:type="spellStart"/>
      <w:r w:rsidR="006D1427" w:rsidRPr="000F1C42">
        <w:t>Myfortic</w:t>
      </w:r>
      <w:proofErr w:type="spellEnd"/>
      <w:r w:rsidR="006D1427" w:rsidRPr="000F1C42">
        <w:t xml:space="preserve"> clinical trials </w:t>
      </w:r>
      <w:r w:rsidRPr="000F1C42">
        <w:t xml:space="preserve">was 21.6% </w:t>
      </w:r>
      <w:r w:rsidR="00BF7284" w:rsidRPr="000F1C42">
        <w:t>in</w:t>
      </w:r>
      <w:r w:rsidRPr="000F1C42">
        <w:t xml:space="preserve"> </w:t>
      </w:r>
      <w:r w:rsidRPr="000F1C42">
        <w:rPr>
          <w:i/>
        </w:rPr>
        <w:t>de novo</w:t>
      </w:r>
      <w:r w:rsidRPr="000F1C42">
        <w:t xml:space="preserve"> and 1.9% </w:t>
      </w:r>
      <w:r w:rsidR="00BF7284" w:rsidRPr="000F1C42">
        <w:t>in</w:t>
      </w:r>
      <w:r w:rsidRPr="000F1C42">
        <w:t xml:space="preserve"> maintenance renal transplant patients.</w:t>
      </w:r>
    </w:p>
    <w:p w:rsidR="00395F64" w:rsidRPr="000F1C42" w:rsidRDefault="00395F64" w:rsidP="003C3CF1">
      <w:pPr>
        <w:pStyle w:val="Heading4"/>
        <w:spacing w:before="100" w:beforeAutospacing="1"/>
      </w:pPr>
      <w:r w:rsidRPr="000F1C42">
        <w:t>Other adverse drug reactions:</w:t>
      </w:r>
    </w:p>
    <w:p w:rsidR="0007286E" w:rsidRPr="000F1C42" w:rsidRDefault="00A04FB8" w:rsidP="00AD5B7F">
      <w:pPr>
        <w:pStyle w:val="TextChar"/>
        <w:spacing w:before="0" w:after="100" w:afterAutospacing="1" w:line="320" w:lineRule="atLeast"/>
        <w:jc w:val="left"/>
      </w:pPr>
      <w:r w:rsidRPr="000F1C42">
        <w:t>T</w:t>
      </w:r>
      <w:r w:rsidR="0007286E" w:rsidRPr="000F1C42">
        <w:t xml:space="preserve">able </w:t>
      </w:r>
      <w:r w:rsidRPr="000F1C42">
        <w:t xml:space="preserve">4 </w:t>
      </w:r>
      <w:r w:rsidR="0007286E" w:rsidRPr="000F1C42">
        <w:t>below contains adverse drug reactions</w:t>
      </w:r>
      <w:r w:rsidR="001B636A" w:rsidRPr="000F1C42">
        <w:t>,</w:t>
      </w:r>
      <w:r w:rsidR="0007286E" w:rsidRPr="000F1C42">
        <w:t xml:space="preserve"> possibly or probably related to </w:t>
      </w:r>
      <w:proofErr w:type="spellStart"/>
      <w:r w:rsidR="0007286E" w:rsidRPr="000F1C42">
        <w:t>Myfortic</w:t>
      </w:r>
      <w:proofErr w:type="spellEnd"/>
      <w:r w:rsidR="001B636A" w:rsidRPr="000F1C42">
        <w:t>, reported</w:t>
      </w:r>
      <w:r w:rsidR="0007286E" w:rsidRPr="000F1C42">
        <w:t xml:space="preserve"> in the two phase III </w:t>
      </w:r>
      <w:proofErr w:type="spellStart"/>
      <w:r w:rsidR="0007286E" w:rsidRPr="000F1C42">
        <w:t>randomised</w:t>
      </w:r>
      <w:proofErr w:type="spellEnd"/>
      <w:r w:rsidR="0007286E" w:rsidRPr="000F1C42">
        <w:t xml:space="preserve">, double blind, controlled, multi-centre trials: 1 in </w:t>
      </w:r>
      <w:r w:rsidR="0007286E" w:rsidRPr="000F1C42">
        <w:rPr>
          <w:i/>
          <w:iCs/>
        </w:rPr>
        <w:t>de novo</w:t>
      </w:r>
      <w:r w:rsidR="0007286E" w:rsidRPr="000F1C42">
        <w:t xml:space="preserve"> </w:t>
      </w:r>
      <w:r w:rsidRPr="000F1C42">
        <w:t>renal</w:t>
      </w:r>
      <w:r w:rsidR="0007286E" w:rsidRPr="000F1C42">
        <w:t xml:space="preserve"> transplant patients and 1 in maintenance </w:t>
      </w:r>
      <w:r w:rsidRPr="000F1C42">
        <w:t>renal</w:t>
      </w:r>
      <w:r w:rsidR="0007286E" w:rsidRPr="000F1C42">
        <w:t xml:space="preserve"> transplant patients, in which </w:t>
      </w:r>
      <w:proofErr w:type="spellStart"/>
      <w:r w:rsidR="0007286E" w:rsidRPr="000F1C42">
        <w:t>Myfortic</w:t>
      </w:r>
      <w:proofErr w:type="spellEnd"/>
      <w:r w:rsidR="0007286E" w:rsidRPr="000F1C42">
        <w:t xml:space="preserve"> was administered at a dose of 1440 mg /day for 12 months together with </w:t>
      </w:r>
      <w:proofErr w:type="spellStart"/>
      <w:r w:rsidR="001B636A" w:rsidRPr="000F1C42">
        <w:t>cyclosporin</w:t>
      </w:r>
      <w:proofErr w:type="spellEnd"/>
      <w:r w:rsidR="001B636A" w:rsidRPr="000F1C42">
        <w:t xml:space="preserve"> </w:t>
      </w:r>
      <w:proofErr w:type="spellStart"/>
      <w:proofErr w:type="gramStart"/>
      <w:r w:rsidR="001B636A" w:rsidRPr="000F1C42">
        <w:lastRenderedPageBreak/>
        <w:t>microemulsion</w:t>
      </w:r>
      <w:proofErr w:type="spellEnd"/>
      <w:proofErr w:type="gramEnd"/>
      <w:r w:rsidR="007C3F75" w:rsidRPr="000F1C42">
        <w:t xml:space="preserve"> (</w:t>
      </w:r>
      <w:proofErr w:type="spellStart"/>
      <w:r w:rsidR="007C3F75" w:rsidRPr="000F1C42">
        <w:t>Neoral</w:t>
      </w:r>
      <w:proofErr w:type="spellEnd"/>
      <w:r w:rsidR="007C3F75" w:rsidRPr="000F1C42">
        <w:t>)</w:t>
      </w:r>
      <w:r w:rsidR="0007286E" w:rsidRPr="000F1C42">
        <w:t xml:space="preserve"> and corticosteroids. It is compiled according to </w:t>
      </w:r>
      <w:proofErr w:type="spellStart"/>
      <w:r w:rsidR="0007286E" w:rsidRPr="000F1C42">
        <w:t>MedDRA</w:t>
      </w:r>
      <w:proofErr w:type="spellEnd"/>
      <w:r w:rsidR="0007286E" w:rsidRPr="000F1C42">
        <w:t xml:space="preserve"> system organ class.</w:t>
      </w:r>
    </w:p>
    <w:p w:rsidR="0007286E" w:rsidRPr="000F1C42" w:rsidRDefault="0007286E" w:rsidP="00AD5B7F">
      <w:pPr>
        <w:pStyle w:val="TextChar"/>
        <w:spacing w:before="100" w:beforeAutospacing="1" w:line="320" w:lineRule="atLeast"/>
      </w:pPr>
      <w:r w:rsidRPr="000F1C42">
        <w:t>Adverse reactions are listed according to the following categories:</w:t>
      </w:r>
    </w:p>
    <w:p w:rsidR="0007286E" w:rsidRPr="000F1C42" w:rsidRDefault="0007286E" w:rsidP="003A65B8">
      <w:pPr>
        <w:pStyle w:val="TextChar"/>
        <w:spacing w:before="0" w:line="320" w:lineRule="atLeast"/>
      </w:pPr>
      <w:r w:rsidRPr="000F1C42">
        <w:t>Very common</w:t>
      </w:r>
      <w:r w:rsidRPr="000F1C42">
        <w:tab/>
        <w:t>≥</w:t>
      </w:r>
      <w:r w:rsidR="00454A44" w:rsidRPr="000F1C42">
        <w:t> </w:t>
      </w:r>
      <w:r w:rsidRPr="000F1C42">
        <w:t>10 % (≥</w:t>
      </w:r>
      <w:r w:rsidR="00454A44" w:rsidRPr="000F1C42">
        <w:t> </w:t>
      </w:r>
      <w:r w:rsidRPr="000F1C42">
        <w:t>1/10)</w:t>
      </w:r>
    </w:p>
    <w:p w:rsidR="0007286E" w:rsidRPr="000F1C42" w:rsidRDefault="0007286E" w:rsidP="003A65B8">
      <w:pPr>
        <w:pStyle w:val="TextChar"/>
        <w:spacing w:before="0" w:line="320" w:lineRule="atLeast"/>
      </w:pPr>
      <w:r w:rsidRPr="000F1C42">
        <w:t>Common</w:t>
      </w:r>
      <w:r w:rsidRPr="000F1C42">
        <w:tab/>
      </w:r>
      <w:r w:rsidRPr="000F1C42">
        <w:tab/>
        <w:t>≥</w:t>
      </w:r>
      <w:r w:rsidR="00454A44" w:rsidRPr="000F1C42">
        <w:t> </w:t>
      </w:r>
      <w:r w:rsidRPr="000F1C42">
        <w:t>1 % and &lt;</w:t>
      </w:r>
      <w:r w:rsidR="00454A44" w:rsidRPr="000F1C42">
        <w:t> </w:t>
      </w:r>
      <w:r w:rsidRPr="000F1C42">
        <w:t>10 % (≥</w:t>
      </w:r>
      <w:r w:rsidR="00454A44" w:rsidRPr="000F1C42">
        <w:t> </w:t>
      </w:r>
      <w:r w:rsidRPr="000F1C42">
        <w:t>1/100 and &lt;</w:t>
      </w:r>
      <w:r w:rsidR="00454A44" w:rsidRPr="000F1C42">
        <w:t> </w:t>
      </w:r>
      <w:r w:rsidRPr="000F1C42">
        <w:t>1/10)</w:t>
      </w:r>
    </w:p>
    <w:p w:rsidR="0007286E" w:rsidRPr="000F1C42" w:rsidRDefault="0007286E" w:rsidP="003A65B8">
      <w:pPr>
        <w:pStyle w:val="TextChar"/>
        <w:spacing w:before="0" w:line="320" w:lineRule="atLeast"/>
      </w:pPr>
      <w:r w:rsidRPr="000F1C42">
        <w:t>Uncommon</w:t>
      </w:r>
      <w:r w:rsidRPr="000F1C42">
        <w:tab/>
        <w:t>≥</w:t>
      </w:r>
      <w:r w:rsidR="00454A44" w:rsidRPr="000F1C42">
        <w:t> </w:t>
      </w:r>
      <w:r w:rsidRPr="000F1C42">
        <w:t>0.1 % and &lt;</w:t>
      </w:r>
      <w:r w:rsidR="00454A44" w:rsidRPr="000F1C42">
        <w:t> </w:t>
      </w:r>
      <w:r w:rsidRPr="000F1C42">
        <w:t>1 % (≥</w:t>
      </w:r>
      <w:r w:rsidR="00454A44" w:rsidRPr="000F1C42">
        <w:t> </w:t>
      </w:r>
      <w:r w:rsidRPr="000F1C42">
        <w:t>1/1000 and &lt;</w:t>
      </w:r>
      <w:r w:rsidR="00454A44" w:rsidRPr="000F1C42">
        <w:t> </w:t>
      </w:r>
      <w:r w:rsidRPr="000F1C42">
        <w:t>1/100)</w:t>
      </w:r>
    </w:p>
    <w:p w:rsidR="0007286E" w:rsidRPr="000F1C42" w:rsidRDefault="0007286E" w:rsidP="003A65B8">
      <w:pPr>
        <w:pStyle w:val="TextChar"/>
        <w:spacing w:before="0" w:line="320" w:lineRule="atLeast"/>
      </w:pPr>
      <w:r w:rsidRPr="000F1C42">
        <w:t>Rare</w:t>
      </w:r>
      <w:r w:rsidRPr="000F1C42">
        <w:tab/>
      </w:r>
      <w:r w:rsidRPr="000F1C42">
        <w:tab/>
      </w:r>
      <w:r w:rsidRPr="000F1C42">
        <w:tab/>
        <w:t>≥</w:t>
      </w:r>
      <w:r w:rsidR="00454A44" w:rsidRPr="000F1C42">
        <w:t> </w:t>
      </w:r>
      <w:r w:rsidRPr="000F1C42">
        <w:t>0.01% and &lt;</w:t>
      </w:r>
      <w:r w:rsidR="00454A44" w:rsidRPr="000F1C42">
        <w:t> </w:t>
      </w:r>
      <w:r w:rsidRPr="000F1C42">
        <w:t>0.1 % (≥</w:t>
      </w:r>
      <w:r w:rsidR="00454A44" w:rsidRPr="000F1C42">
        <w:t> </w:t>
      </w:r>
      <w:r w:rsidRPr="000F1C42">
        <w:t>1/10000 and &lt;</w:t>
      </w:r>
      <w:r w:rsidR="00454A44" w:rsidRPr="000F1C42">
        <w:t> </w:t>
      </w:r>
      <w:r w:rsidRPr="000F1C42">
        <w:t>1/1000)</w:t>
      </w:r>
    </w:p>
    <w:p w:rsidR="0007286E" w:rsidRPr="000F1C42" w:rsidRDefault="0007286E" w:rsidP="00AD5B7F">
      <w:pPr>
        <w:pStyle w:val="TextChar"/>
        <w:spacing w:before="0" w:after="100" w:afterAutospacing="1" w:line="320" w:lineRule="atLeast"/>
      </w:pPr>
      <w:r w:rsidRPr="000F1C42">
        <w:t>Very rare</w:t>
      </w:r>
      <w:r w:rsidRPr="000F1C42">
        <w:tab/>
      </w:r>
      <w:r w:rsidRPr="000F1C42">
        <w:tab/>
        <w:t>&lt;</w:t>
      </w:r>
      <w:r w:rsidR="00454A44" w:rsidRPr="000F1C42">
        <w:t> </w:t>
      </w:r>
      <w:r w:rsidRPr="000F1C42">
        <w:t>0.01 % (&lt;</w:t>
      </w:r>
      <w:r w:rsidR="00454A44" w:rsidRPr="000F1C42">
        <w:t> </w:t>
      </w:r>
      <w:r w:rsidRPr="000F1C42">
        <w:t>1/10000)</w:t>
      </w:r>
    </w:p>
    <w:p w:rsidR="007C3F75" w:rsidRPr="000F1C42" w:rsidRDefault="007C3F75" w:rsidP="00AD5B7F">
      <w:pPr>
        <w:pStyle w:val="TextChar"/>
        <w:spacing w:before="100" w:beforeAutospacing="1" w:line="320" w:lineRule="atLeast"/>
        <w:rPr>
          <w:b/>
        </w:rPr>
      </w:pPr>
      <w:r w:rsidRPr="000F1C42">
        <w:rPr>
          <w:b/>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1"/>
        <w:gridCol w:w="2839"/>
        <w:gridCol w:w="3325"/>
      </w:tblGrid>
      <w:tr w:rsidR="0007286E" w:rsidRPr="000F1C42" w:rsidTr="00E93217">
        <w:trPr>
          <w:trHeight w:val="170"/>
        </w:trPr>
        <w:tc>
          <w:tcPr>
            <w:tcW w:w="3081" w:type="dxa"/>
          </w:tcPr>
          <w:p w:rsidR="0007286E" w:rsidRPr="000F1C42" w:rsidRDefault="00680AF9" w:rsidP="00E93217">
            <w:pPr>
              <w:pStyle w:val="TextChar"/>
              <w:spacing w:before="0"/>
              <w:jc w:val="center"/>
              <w:rPr>
                <w:b/>
                <w:bCs/>
                <w:sz w:val="20"/>
                <w:szCs w:val="20"/>
              </w:rPr>
            </w:pPr>
            <w:r w:rsidRPr="000F1C42">
              <w:rPr>
                <w:b/>
                <w:bCs/>
                <w:sz w:val="20"/>
                <w:szCs w:val="20"/>
              </w:rPr>
              <w:t>Body system</w:t>
            </w:r>
          </w:p>
        </w:tc>
        <w:tc>
          <w:tcPr>
            <w:tcW w:w="2839" w:type="dxa"/>
          </w:tcPr>
          <w:p w:rsidR="0007286E" w:rsidRPr="000F1C42" w:rsidRDefault="00680AF9" w:rsidP="00E93217">
            <w:pPr>
              <w:pStyle w:val="TextChar"/>
              <w:spacing w:before="0"/>
              <w:jc w:val="center"/>
              <w:rPr>
                <w:b/>
                <w:bCs/>
                <w:sz w:val="20"/>
                <w:szCs w:val="20"/>
              </w:rPr>
            </w:pPr>
            <w:r w:rsidRPr="000F1C42">
              <w:rPr>
                <w:b/>
                <w:bCs/>
                <w:sz w:val="20"/>
                <w:szCs w:val="20"/>
              </w:rPr>
              <w:t>Incidence</w:t>
            </w:r>
          </w:p>
        </w:tc>
        <w:tc>
          <w:tcPr>
            <w:tcW w:w="3325" w:type="dxa"/>
          </w:tcPr>
          <w:p w:rsidR="0007286E" w:rsidRPr="000F1C42" w:rsidRDefault="00680AF9" w:rsidP="00E93217">
            <w:pPr>
              <w:pStyle w:val="TextChar"/>
              <w:spacing w:before="0"/>
              <w:jc w:val="center"/>
              <w:rPr>
                <w:b/>
                <w:bCs/>
                <w:sz w:val="20"/>
                <w:szCs w:val="20"/>
              </w:rPr>
            </w:pPr>
            <w:r w:rsidRPr="000F1C42">
              <w:rPr>
                <w:b/>
                <w:bCs/>
                <w:sz w:val="20"/>
                <w:szCs w:val="20"/>
              </w:rPr>
              <w:t>Adverse reaction</w:t>
            </w:r>
          </w:p>
        </w:tc>
      </w:tr>
      <w:tr w:rsidR="0007286E" w:rsidRPr="000F1C42" w:rsidTr="00E93217">
        <w:trPr>
          <w:trHeight w:val="284"/>
        </w:trPr>
        <w:tc>
          <w:tcPr>
            <w:tcW w:w="3081" w:type="dxa"/>
          </w:tcPr>
          <w:p w:rsidR="0007286E" w:rsidRPr="000F1C42" w:rsidRDefault="00680AF9" w:rsidP="00E93217">
            <w:pPr>
              <w:pStyle w:val="TextChar"/>
              <w:spacing w:before="0"/>
              <w:jc w:val="left"/>
              <w:rPr>
                <w:sz w:val="20"/>
                <w:szCs w:val="20"/>
              </w:rPr>
            </w:pPr>
            <w:r w:rsidRPr="000F1C42">
              <w:rPr>
                <w:sz w:val="20"/>
                <w:szCs w:val="20"/>
              </w:rPr>
              <w:t>Infections and infestations</w:t>
            </w:r>
          </w:p>
        </w:tc>
        <w:tc>
          <w:tcPr>
            <w:tcW w:w="2839" w:type="dxa"/>
          </w:tcPr>
          <w:p w:rsidR="00680AF9" w:rsidRPr="000F1C42" w:rsidRDefault="00C42148" w:rsidP="00E93217">
            <w:pPr>
              <w:pStyle w:val="TextChar"/>
              <w:spacing w:before="0"/>
              <w:jc w:val="left"/>
              <w:rPr>
                <w:sz w:val="20"/>
                <w:szCs w:val="20"/>
              </w:rPr>
            </w:pPr>
            <w:r w:rsidRPr="000F1C42">
              <w:rPr>
                <w:sz w:val="20"/>
                <w:szCs w:val="20"/>
              </w:rPr>
              <w:t>Very c</w:t>
            </w:r>
            <w:r w:rsidR="00680AF9" w:rsidRPr="000F1C42">
              <w:rPr>
                <w:sz w:val="20"/>
                <w:szCs w:val="20"/>
              </w:rPr>
              <w:t>ommon</w:t>
            </w:r>
          </w:p>
          <w:p w:rsidR="00680AF9" w:rsidRPr="000F1C42" w:rsidRDefault="00680AF9" w:rsidP="00E93217">
            <w:pPr>
              <w:pStyle w:val="TextChar"/>
              <w:spacing w:before="0"/>
              <w:jc w:val="left"/>
              <w:rPr>
                <w:sz w:val="20"/>
                <w:szCs w:val="20"/>
              </w:rPr>
            </w:pPr>
          </w:p>
          <w:p w:rsidR="00C42148" w:rsidRPr="000F1C42" w:rsidRDefault="00C42148" w:rsidP="00E93217">
            <w:pPr>
              <w:pStyle w:val="TextChar"/>
              <w:spacing w:before="0"/>
              <w:jc w:val="left"/>
              <w:rPr>
                <w:sz w:val="20"/>
                <w:szCs w:val="20"/>
              </w:rPr>
            </w:pPr>
            <w:r w:rsidRPr="000F1C42">
              <w:rPr>
                <w:sz w:val="20"/>
                <w:szCs w:val="20"/>
              </w:rPr>
              <w:t xml:space="preserve">Common </w:t>
            </w:r>
          </w:p>
          <w:p w:rsidR="00C42148" w:rsidRPr="000F1C42" w:rsidRDefault="00C42148" w:rsidP="00E93217">
            <w:pPr>
              <w:pStyle w:val="TextChar"/>
              <w:spacing w:before="0"/>
              <w:jc w:val="left"/>
              <w:rPr>
                <w:sz w:val="20"/>
                <w:szCs w:val="20"/>
              </w:rPr>
            </w:pPr>
          </w:p>
          <w:p w:rsidR="00680AF9" w:rsidRPr="000F1C42" w:rsidRDefault="00680AF9" w:rsidP="00E93217">
            <w:pPr>
              <w:pStyle w:val="TextChar"/>
              <w:spacing w:before="0"/>
              <w:jc w:val="left"/>
              <w:rPr>
                <w:sz w:val="20"/>
                <w:szCs w:val="20"/>
              </w:rPr>
            </w:pPr>
            <w:r w:rsidRPr="000F1C42">
              <w:rPr>
                <w:sz w:val="20"/>
                <w:szCs w:val="20"/>
              </w:rPr>
              <w:t>Uncommon</w:t>
            </w:r>
          </w:p>
        </w:tc>
        <w:tc>
          <w:tcPr>
            <w:tcW w:w="3325" w:type="dxa"/>
          </w:tcPr>
          <w:p w:rsidR="0007286E" w:rsidRPr="000F1C42" w:rsidRDefault="006449CB" w:rsidP="00E93217">
            <w:pPr>
              <w:pStyle w:val="TextChar"/>
              <w:spacing w:before="0"/>
              <w:jc w:val="left"/>
              <w:rPr>
                <w:sz w:val="20"/>
                <w:szCs w:val="20"/>
              </w:rPr>
            </w:pPr>
            <w:r w:rsidRPr="000F1C42">
              <w:rPr>
                <w:sz w:val="20"/>
                <w:szCs w:val="20"/>
              </w:rPr>
              <w:t>V</w:t>
            </w:r>
            <w:r w:rsidR="00680AF9" w:rsidRPr="000F1C42">
              <w:rPr>
                <w:sz w:val="20"/>
                <w:szCs w:val="20"/>
              </w:rPr>
              <w:t>iral, bacterial and fungal infections</w:t>
            </w:r>
          </w:p>
          <w:p w:rsidR="00C42148" w:rsidRPr="000F1C42" w:rsidRDefault="00C42148" w:rsidP="00E93217">
            <w:pPr>
              <w:pStyle w:val="TextChar"/>
              <w:spacing w:before="0"/>
              <w:jc w:val="left"/>
              <w:rPr>
                <w:sz w:val="20"/>
                <w:szCs w:val="20"/>
              </w:rPr>
            </w:pPr>
            <w:r w:rsidRPr="000F1C42">
              <w:rPr>
                <w:sz w:val="20"/>
                <w:szCs w:val="20"/>
              </w:rPr>
              <w:t xml:space="preserve">Upper respiratory tract infections, pneumonia </w:t>
            </w:r>
          </w:p>
          <w:p w:rsidR="00680AF9" w:rsidRPr="000F1C42" w:rsidRDefault="006449CB" w:rsidP="00E93217">
            <w:pPr>
              <w:pStyle w:val="TextChar"/>
              <w:spacing w:before="0"/>
              <w:jc w:val="left"/>
              <w:rPr>
                <w:sz w:val="20"/>
                <w:szCs w:val="20"/>
              </w:rPr>
            </w:pPr>
            <w:r w:rsidRPr="000F1C42">
              <w:rPr>
                <w:sz w:val="20"/>
                <w:szCs w:val="20"/>
              </w:rPr>
              <w:t>W</w:t>
            </w:r>
            <w:r w:rsidR="00680AF9" w:rsidRPr="000F1C42">
              <w:rPr>
                <w:sz w:val="20"/>
                <w:szCs w:val="20"/>
              </w:rPr>
              <w:t>ound infection</w:t>
            </w:r>
            <w:r w:rsidR="00C42148" w:rsidRPr="000F1C42">
              <w:rPr>
                <w:sz w:val="20"/>
                <w:szCs w:val="20"/>
              </w:rPr>
              <w:t>*</w:t>
            </w:r>
            <w:r w:rsidR="00680AF9" w:rsidRPr="000F1C42">
              <w:rPr>
                <w:sz w:val="20"/>
                <w:szCs w:val="20"/>
              </w:rPr>
              <w:t>, sepsis</w:t>
            </w:r>
            <w:r w:rsidR="00C42148" w:rsidRPr="000F1C42">
              <w:rPr>
                <w:sz w:val="20"/>
                <w:szCs w:val="20"/>
              </w:rPr>
              <w:t>*</w:t>
            </w:r>
            <w:r w:rsidR="00680AF9" w:rsidRPr="000F1C42">
              <w:rPr>
                <w:sz w:val="20"/>
                <w:szCs w:val="20"/>
              </w:rPr>
              <w:t xml:space="preserve">, </w:t>
            </w:r>
            <w:proofErr w:type="spellStart"/>
            <w:r w:rsidR="00680AF9" w:rsidRPr="000F1C42">
              <w:rPr>
                <w:sz w:val="20"/>
                <w:szCs w:val="20"/>
              </w:rPr>
              <w:t>osteomyelitis</w:t>
            </w:r>
            <w:proofErr w:type="spellEnd"/>
            <w:r w:rsidR="00C42148" w:rsidRPr="000F1C42">
              <w:rPr>
                <w:sz w:val="20"/>
                <w:szCs w:val="20"/>
              </w:rPr>
              <w:t>*</w:t>
            </w:r>
          </w:p>
        </w:tc>
      </w:tr>
      <w:tr w:rsidR="0007286E" w:rsidRPr="000F1C42" w:rsidTr="00E93217">
        <w:trPr>
          <w:trHeight w:val="284"/>
        </w:trPr>
        <w:tc>
          <w:tcPr>
            <w:tcW w:w="3081" w:type="dxa"/>
          </w:tcPr>
          <w:p w:rsidR="0007286E" w:rsidRPr="000F1C42" w:rsidRDefault="00680AF9" w:rsidP="00E93217">
            <w:pPr>
              <w:pStyle w:val="TextChar"/>
              <w:spacing w:before="0"/>
              <w:jc w:val="left"/>
              <w:rPr>
                <w:sz w:val="20"/>
                <w:szCs w:val="20"/>
              </w:rPr>
            </w:pPr>
            <w:r w:rsidRPr="000F1C42">
              <w:rPr>
                <w:sz w:val="20"/>
                <w:szCs w:val="20"/>
              </w:rPr>
              <w:t>Blood and lymphatic system disorders</w:t>
            </w:r>
          </w:p>
        </w:tc>
        <w:tc>
          <w:tcPr>
            <w:tcW w:w="2839" w:type="dxa"/>
          </w:tcPr>
          <w:p w:rsidR="00680AF9" w:rsidRPr="000F1C42" w:rsidRDefault="00680AF9" w:rsidP="00E93217">
            <w:pPr>
              <w:pStyle w:val="TextChar"/>
              <w:spacing w:before="0"/>
              <w:rPr>
                <w:sz w:val="20"/>
                <w:szCs w:val="20"/>
              </w:rPr>
            </w:pPr>
            <w:r w:rsidRPr="000F1C42">
              <w:rPr>
                <w:sz w:val="20"/>
                <w:szCs w:val="20"/>
              </w:rPr>
              <w:t>Very common</w:t>
            </w:r>
          </w:p>
          <w:p w:rsidR="00E55A72" w:rsidRPr="000F1C42" w:rsidRDefault="00E55A72" w:rsidP="00E93217">
            <w:pPr>
              <w:pStyle w:val="TextChar"/>
              <w:spacing w:before="0"/>
              <w:rPr>
                <w:sz w:val="20"/>
                <w:szCs w:val="20"/>
              </w:rPr>
            </w:pPr>
            <w:r w:rsidRPr="000F1C42">
              <w:rPr>
                <w:sz w:val="20"/>
                <w:szCs w:val="20"/>
              </w:rPr>
              <w:t>Common</w:t>
            </w:r>
          </w:p>
          <w:p w:rsidR="00680AF9" w:rsidRPr="000F1C42" w:rsidRDefault="00680AF9" w:rsidP="00E93217">
            <w:pPr>
              <w:pStyle w:val="TextChar"/>
              <w:spacing w:before="0"/>
              <w:rPr>
                <w:sz w:val="20"/>
                <w:szCs w:val="20"/>
              </w:rPr>
            </w:pPr>
            <w:r w:rsidRPr="000F1C42">
              <w:rPr>
                <w:sz w:val="20"/>
                <w:szCs w:val="20"/>
              </w:rPr>
              <w:t>Uncommon</w:t>
            </w:r>
          </w:p>
          <w:p w:rsidR="00680AF9" w:rsidRPr="000F1C42" w:rsidRDefault="00680AF9" w:rsidP="00E93217">
            <w:pPr>
              <w:pStyle w:val="TextChar"/>
              <w:spacing w:before="0"/>
              <w:rPr>
                <w:sz w:val="20"/>
                <w:szCs w:val="20"/>
              </w:rPr>
            </w:pPr>
          </w:p>
          <w:p w:rsidR="00680AF9" w:rsidRPr="000F1C42" w:rsidRDefault="00680AF9" w:rsidP="00E93217">
            <w:pPr>
              <w:pStyle w:val="TextChar"/>
              <w:spacing w:before="0"/>
              <w:rPr>
                <w:sz w:val="20"/>
                <w:szCs w:val="20"/>
              </w:rPr>
            </w:pPr>
          </w:p>
        </w:tc>
        <w:tc>
          <w:tcPr>
            <w:tcW w:w="3325" w:type="dxa"/>
          </w:tcPr>
          <w:p w:rsidR="0007286E" w:rsidRPr="000F1C42" w:rsidRDefault="006449CB" w:rsidP="00E93217">
            <w:pPr>
              <w:pStyle w:val="TextChar"/>
              <w:spacing w:before="0"/>
              <w:jc w:val="left"/>
              <w:rPr>
                <w:sz w:val="20"/>
                <w:szCs w:val="20"/>
              </w:rPr>
            </w:pPr>
            <w:proofErr w:type="spellStart"/>
            <w:r w:rsidRPr="000F1C42">
              <w:rPr>
                <w:sz w:val="20"/>
                <w:szCs w:val="20"/>
              </w:rPr>
              <w:t>L</w:t>
            </w:r>
            <w:r w:rsidR="00680AF9" w:rsidRPr="000F1C42">
              <w:rPr>
                <w:sz w:val="20"/>
                <w:szCs w:val="20"/>
              </w:rPr>
              <w:t>eukopenia</w:t>
            </w:r>
            <w:proofErr w:type="spellEnd"/>
          </w:p>
          <w:p w:rsidR="00E55A72" w:rsidRPr="000F1C42" w:rsidRDefault="006449CB" w:rsidP="00E93217">
            <w:pPr>
              <w:pStyle w:val="TextChar"/>
              <w:spacing w:before="0"/>
              <w:jc w:val="left"/>
              <w:rPr>
                <w:sz w:val="20"/>
                <w:szCs w:val="20"/>
              </w:rPr>
            </w:pPr>
            <w:proofErr w:type="spellStart"/>
            <w:r w:rsidRPr="000F1C42">
              <w:rPr>
                <w:sz w:val="20"/>
                <w:szCs w:val="20"/>
              </w:rPr>
              <w:t>A</w:t>
            </w:r>
            <w:r w:rsidR="00E55A72" w:rsidRPr="000F1C42">
              <w:rPr>
                <w:sz w:val="20"/>
                <w:szCs w:val="20"/>
              </w:rPr>
              <w:t>naemia</w:t>
            </w:r>
            <w:proofErr w:type="spellEnd"/>
            <w:r w:rsidR="00E55A72" w:rsidRPr="000F1C42">
              <w:rPr>
                <w:sz w:val="20"/>
                <w:szCs w:val="20"/>
              </w:rPr>
              <w:t>, thrombocytopenia</w:t>
            </w:r>
          </w:p>
          <w:p w:rsidR="00680AF9" w:rsidRPr="000F1C42" w:rsidRDefault="006449CB" w:rsidP="00E93217">
            <w:pPr>
              <w:pStyle w:val="TextChar"/>
              <w:spacing w:before="0"/>
              <w:jc w:val="left"/>
              <w:rPr>
                <w:sz w:val="20"/>
                <w:szCs w:val="20"/>
              </w:rPr>
            </w:pPr>
            <w:proofErr w:type="spellStart"/>
            <w:r w:rsidRPr="000F1C42">
              <w:rPr>
                <w:sz w:val="20"/>
                <w:szCs w:val="20"/>
              </w:rPr>
              <w:t>Ly</w:t>
            </w:r>
            <w:r w:rsidR="00680AF9" w:rsidRPr="000F1C42">
              <w:rPr>
                <w:sz w:val="20"/>
                <w:szCs w:val="20"/>
              </w:rPr>
              <w:t>mphocele</w:t>
            </w:r>
            <w:proofErr w:type="spellEnd"/>
            <w:r w:rsidR="00C42148" w:rsidRPr="000F1C42">
              <w:rPr>
                <w:sz w:val="20"/>
                <w:szCs w:val="20"/>
              </w:rPr>
              <w:t>*</w:t>
            </w:r>
            <w:r w:rsidR="00680AF9" w:rsidRPr="000F1C42">
              <w:rPr>
                <w:sz w:val="20"/>
                <w:szCs w:val="20"/>
              </w:rPr>
              <w:t xml:space="preserve">, </w:t>
            </w:r>
            <w:proofErr w:type="spellStart"/>
            <w:r w:rsidR="00680AF9" w:rsidRPr="000F1C42">
              <w:rPr>
                <w:sz w:val="20"/>
                <w:szCs w:val="20"/>
              </w:rPr>
              <w:t>lymphopenia</w:t>
            </w:r>
            <w:proofErr w:type="spellEnd"/>
            <w:r w:rsidR="00C42148" w:rsidRPr="000F1C42">
              <w:rPr>
                <w:sz w:val="20"/>
                <w:szCs w:val="20"/>
              </w:rPr>
              <w:t>*</w:t>
            </w:r>
            <w:r w:rsidR="00680AF9" w:rsidRPr="000F1C42">
              <w:rPr>
                <w:sz w:val="20"/>
                <w:szCs w:val="20"/>
              </w:rPr>
              <w:t xml:space="preserve">, </w:t>
            </w:r>
            <w:proofErr w:type="spellStart"/>
            <w:r w:rsidR="00680AF9" w:rsidRPr="000F1C42">
              <w:rPr>
                <w:sz w:val="20"/>
                <w:szCs w:val="20"/>
              </w:rPr>
              <w:t>neutropenia</w:t>
            </w:r>
            <w:proofErr w:type="spellEnd"/>
            <w:r w:rsidR="00C42148" w:rsidRPr="000F1C42">
              <w:rPr>
                <w:sz w:val="20"/>
                <w:szCs w:val="20"/>
              </w:rPr>
              <w:t>*</w:t>
            </w:r>
            <w:r w:rsidR="00680AF9" w:rsidRPr="000F1C42">
              <w:rPr>
                <w:sz w:val="20"/>
                <w:szCs w:val="20"/>
              </w:rPr>
              <w:t xml:space="preserve">, </w:t>
            </w:r>
            <w:proofErr w:type="spellStart"/>
            <w:r w:rsidR="00680AF9" w:rsidRPr="000F1C42">
              <w:rPr>
                <w:sz w:val="20"/>
                <w:szCs w:val="20"/>
              </w:rPr>
              <w:t>lymphadenopathy</w:t>
            </w:r>
            <w:proofErr w:type="spellEnd"/>
            <w:r w:rsidR="00C42148" w:rsidRPr="000F1C42">
              <w:rPr>
                <w:sz w:val="20"/>
                <w:szCs w:val="20"/>
              </w:rPr>
              <w:t>*</w:t>
            </w:r>
          </w:p>
        </w:tc>
      </w:tr>
      <w:tr w:rsidR="0007286E" w:rsidRPr="000F1C42" w:rsidTr="00E93217">
        <w:trPr>
          <w:trHeight w:val="284"/>
        </w:trPr>
        <w:tc>
          <w:tcPr>
            <w:tcW w:w="3081" w:type="dxa"/>
          </w:tcPr>
          <w:p w:rsidR="0007286E" w:rsidRPr="000F1C42" w:rsidRDefault="00BD64C9" w:rsidP="00E93217">
            <w:pPr>
              <w:pStyle w:val="TextChar"/>
              <w:spacing w:before="0"/>
              <w:jc w:val="left"/>
              <w:rPr>
                <w:sz w:val="20"/>
                <w:szCs w:val="20"/>
              </w:rPr>
            </w:pPr>
            <w:r w:rsidRPr="000F1C42">
              <w:rPr>
                <w:sz w:val="20"/>
                <w:szCs w:val="20"/>
              </w:rPr>
              <w:t>Nervous system disorders</w:t>
            </w:r>
          </w:p>
        </w:tc>
        <w:tc>
          <w:tcPr>
            <w:tcW w:w="2839" w:type="dxa"/>
          </w:tcPr>
          <w:p w:rsidR="0007286E" w:rsidRPr="000F1C42" w:rsidRDefault="00BD64C9" w:rsidP="00E93217">
            <w:pPr>
              <w:pStyle w:val="TextChar"/>
              <w:spacing w:before="0"/>
              <w:jc w:val="left"/>
              <w:rPr>
                <w:sz w:val="20"/>
                <w:szCs w:val="20"/>
              </w:rPr>
            </w:pPr>
            <w:r w:rsidRPr="000F1C42">
              <w:rPr>
                <w:sz w:val="20"/>
                <w:szCs w:val="20"/>
              </w:rPr>
              <w:t>Common</w:t>
            </w:r>
          </w:p>
          <w:p w:rsidR="006449CB" w:rsidRPr="000F1C42" w:rsidRDefault="006449CB" w:rsidP="00E93217">
            <w:pPr>
              <w:pStyle w:val="TextChar"/>
              <w:spacing w:before="0"/>
              <w:jc w:val="left"/>
              <w:rPr>
                <w:sz w:val="20"/>
                <w:szCs w:val="20"/>
              </w:rPr>
            </w:pPr>
            <w:r w:rsidRPr="000F1C42">
              <w:rPr>
                <w:sz w:val="20"/>
                <w:szCs w:val="20"/>
              </w:rPr>
              <w:t>Uncommon</w:t>
            </w:r>
          </w:p>
        </w:tc>
        <w:tc>
          <w:tcPr>
            <w:tcW w:w="3325" w:type="dxa"/>
          </w:tcPr>
          <w:p w:rsidR="0007286E" w:rsidRPr="000F1C42" w:rsidRDefault="00BD64C9" w:rsidP="00E93217">
            <w:pPr>
              <w:pStyle w:val="TextChar"/>
              <w:spacing w:before="0"/>
              <w:jc w:val="left"/>
              <w:rPr>
                <w:sz w:val="20"/>
                <w:szCs w:val="20"/>
              </w:rPr>
            </w:pPr>
            <w:r w:rsidRPr="000F1C42">
              <w:rPr>
                <w:sz w:val="20"/>
                <w:szCs w:val="20"/>
              </w:rPr>
              <w:t>Headache</w:t>
            </w:r>
          </w:p>
          <w:p w:rsidR="006449CB" w:rsidRPr="000F1C42" w:rsidRDefault="006449CB" w:rsidP="00E93217">
            <w:pPr>
              <w:pStyle w:val="TextChar"/>
              <w:spacing w:before="0"/>
              <w:jc w:val="left"/>
              <w:rPr>
                <w:sz w:val="20"/>
                <w:szCs w:val="20"/>
              </w:rPr>
            </w:pPr>
            <w:r w:rsidRPr="000F1C42">
              <w:rPr>
                <w:sz w:val="20"/>
                <w:szCs w:val="20"/>
              </w:rPr>
              <w:t>Tremor, insomnia</w:t>
            </w:r>
            <w:r w:rsidR="00C42148" w:rsidRPr="000F1C42">
              <w:rPr>
                <w:sz w:val="20"/>
                <w:szCs w:val="20"/>
              </w:rPr>
              <w:t>*</w:t>
            </w:r>
          </w:p>
        </w:tc>
      </w:tr>
      <w:tr w:rsidR="0007286E" w:rsidRPr="000F1C42" w:rsidTr="00E93217">
        <w:trPr>
          <w:trHeight w:val="284"/>
        </w:trPr>
        <w:tc>
          <w:tcPr>
            <w:tcW w:w="3081" w:type="dxa"/>
          </w:tcPr>
          <w:p w:rsidR="0007286E" w:rsidRPr="000F1C42" w:rsidRDefault="00BD64C9" w:rsidP="00E93217">
            <w:pPr>
              <w:pStyle w:val="TextChar"/>
              <w:spacing w:before="0"/>
              <w:jc w:val="left"/>
              <w:rPr>
                <w:sz w:val="20"/>
                <w:szCs w:val="20"/>
              </w:rPr>
            </w:pPr>
            <w:r w:rsidRPr="000F1C42">
              <w:rPr>
                <w:sz w:val="20"/>
                <w:szCs w:val="20"/>
              </w:rPr>
              <w:t xml:space="preserve">Respiratory, thoracic and </w:t>
            </w:r>
            <w:proofErr w:type="spellStart"/>
            <w:r w:rsidRPr="000F1C42">
              <w:rPr>
                <w:sz w:val="20"/>
                <w:szCs w:val="20"/>
              </w:rPr>
              <w:t>mediastinal</w:t>
            </w:r>
            <w:proofErr w:type="spellEnd"/>
            <w:r w:rsidRPr="000F1C42">
              <w:rPr>
                <w:sz w:val="20"/>
                <w:szCs w:val="20"/>
              </w:rPr>
              <w:t xml:space="preserve"> disorders</w:t>
            </w:r>
          </w:p>
        </w:tc>
        <w:tc>
          <w:tcPr>
            <w:tcW w:w="2839" w:type="dxa"/>
          </w:tcPr>
          <w:p w:rsidR="0007286E" w:rsidRPr="000F1C42" w:rsidRDefault="00BD64C9" w:rsidP="00E93217">
            <w:pPr>
              <w:pStyle w:val="TextChar"/>
              <w:spacing w:before="0"/>
              <w:jc w:val="left"/>
              <w:rPr>
                <w:sz w:val="20"/>
                <w:szCs w:val="20"/>
              </w:rPr>
            </w:pPr>
            <w:r w:rsidRPr="000F1C42">
              <w:rPr>
                <w:sz w:val="20"/>
                <w:szCs w:val="20"/>
              </w:rPr>
              <w:t>Common</w:t>
            </w:r>
          </w:p>
          <w:p w:rsidR="00BD64C9" w:rsidRPr="000F1C42" w:rsidRDefault="00BD64C9" w:rsidP="00E93217">
            <w:pPr>
              <w:pStyle w:val="TextChar"/>
              <w:spacing w:before="0"/>
              <w:jc w:val="left"/>
              <w:rPr>
                <w:sz w:val="20"/>
                <w:szCs w:val="20"/>
              </w:rPr>
            </w:pPr>
            <w:r w:rsidRPr="000F1C42">
              <w:rPr>
                <w:sz w:val="20"/>
                <w:szCs w:val="20"/>
              </w:rPr>
              <w:t>Uncommon</w:t>
            </w:r>
          </w:p>
        </w:tc>
        <w:tc>
          <w:tcPr>
            <w:tcW w:w="3325" w:type="dxa"/>
          </w:tcPr>
          <w:p w:rsidR="0007286E" w:rsidRPr="000F1C42" w:rsidRDefault="00BD64C9" w:rsidP="00E93217">
            <w:pPr>
              <w:pStyle w:val="TextChar"/>
              <w:spacing w:before="0"/>
              <w:jc w:val="left"/>
              <w:rPr>
                <w:sz w:val="20"/>
                <w:szCs w:val="20"/>
              </w:rPr>
            </w:pPr>
            <w:r w:rsidRPr="000F1C42">
              <w:rPr>
                <w:sz w:val="20"/>
                <w:szCs w:val="20"/>
              </w:rPr>
              <w:t>Cough</w:t>
            </w:r>
          </w:p>
          <w:p w:rsidR="00BD64C9" w:rsidRPr="000F1C42" w:rsidRDefault="00BD64C9" w:rsidP="00E93217">
            <w:pPr>
              <w:pStyle w:val="TextChar"/>
              <w:spacing w:before="0"/>
              <w:jc w:val="left"/>
              <w:rPr>
                <w:sz w:val="20"/>
                <w:szCs w:val="20"/>
              </w:rPr>
            </w:pPr>
            <w:r w:rsidRPr="000F1C42">
              <w:rPr>
                <w:sz w:val="20"/>
                <w:szCs w:val="20"/>
              </w:rPr>
              <w:t>Pulmonary congestion, wheezing</w:t>
            </w:r>
          </w:p>
        </w:tc>
      </w:tr>
      <w:tr w:rsidR="0007286E" w:rsidRPr="000F1C42" w:rsidTr="00E93217">
        <w:trPr>
          <w:trHeight w:val="284"/>
        </w:trPr>
        <w:tc>
          <w:tcPr>
            <w:tcW w:w="3081" w:type="dxa"/>
          </w:tcPr>
          <w:p w:rsidR="0007286E" w:rsidRPr="000F1C42" w:rsidRDefault="00BD64C9" w:rsidP="00E93217">
            <w:pPr>
              <w:pStyle w:val="TextChar"/>
              <w:spacing w:before="0"/>
              <w:jc w:val="left"/>
              <w:rPr>
                <w:sz w:val="20"/>
                <w:szCs w:val="20"/>
              </w:rPr>
            </w:pPr>
            <w:r w:rsidRPr="000F1C42">
              <w:rPr>
                <w:sz w:val="20"/>
                <w:szCs w:val="20"/>
              </w:rPr>
              <w:t>Gastrointestinal disorders</w:t>
            </w:r>
          </w:p>
        </w:tc>
        <w:tc>
          <w:tcPr>
            <w:tcW w:w="2839" w:type="dxa"/>
          </w:tcPr>
          <w:p w:rsidR="0007286E" w:rsidRPr="000F1C42" w:rsidRDefault="00BD64C9" w:rsidP="00E93217">
            <w:pPr>
              <w:pStyle w:val="TextChar"/>
              <w:spacing w:before="0"/>
              <w:jc w:val="left"/>
              <w:rPr>
                <w:sz w:val="20"/>
                <w:szCs w:val="20"/>
              </w:rPr>
            </w:pPr>
            <w:r w:rsidRPr="000F1C42">
              <w:rPr>
                <w:sz w:val="20"/>
                <w:szCs w:val="20"/>
              </w:rPr>
              <w:t>Very common</w:t>
            </w:r>
          </w:p>
          <w:p w:rsidR="00BD64C9" w:rsidRPr="000F1C42" w:rsidRDefault="00BD64C9" w:rsidP="00E93217">
            <w:pPr>
              <w:pStyle w:val="TextChar"/>
              <w:spacing w:before="0"/>
              <w:jc w:val="left"/>
              <w:rPr>
                <w:sz w:val="20"/>
                <w:szCs w:val="20"/>
              </w:rPr>
            </w:pPr>
            <w:r w:rsidRPr="000F1C42">
              <w:rPr>
                <w:sz w:val="20"/>
                <w:szCs w:val="20"/>
              </w:rPr>
              <w:t>Common</w:t>
            </w:r>
          </w:p>
          <w:p w:rsidR="00166E43" w:rsidRPr="000F1C42" w:rsidRDefault="00166E43" w:rsidP="00E93217">
            <w:pPr>
              <w:pStyle w:val="TextChar"/>
              <w:spacing w:before="0"/>
              <w:jc w:val="left"/>
              <w:rPr>
                <w:sz w:val="20"/>
                <w:szCs w:val="20"/>
              </w:rPr>
            </w:pPr>
          </w:p>
          <w:p w:rsidR="00166E43" w:rsidRPr="000F1C42" w:rsidRDefault="00166E43" w:rsidP="00E93217">
            <w:pPr>
              <w:pStyle w:val="TextChar"/>
              <w:spacing w:before="0"/>
              <w:jc w:val="left"/>
              <w:rPr>
                <w:sz w:val="20"/>
                <w:szCs w:val="20"/>
              </w:rPr>
            </w:pPr>
          </w:p>
          <w:p w:rsidR="00166E43" w:rsidRPr="000F1C42" w:rsidRDefault="00166E43" w:rsidP="00E93217">
            <w:pPr>
              <w:pStyle w:val="TextChar"/>
              <w:spacing w:before="0"/>
              <w:jc w:val="left"/>
              <w:rPr>
                <w:sz w:val="20"/>
                <w:szCs w:val="20"/>
              </w:rPr>
            </w:pPr>
          </w:p>
          <w:p w:rsidR="00166E43" w:rsidRPr="000F1C42" w:rsidRDefault="00166E43" w:rsidP="00E93217">
            <w:pPr>
              <w:pStyle w:val="TextChar"/>
              <w:spacing w:before="0"/>
              <w:jc w:val="left"/>
              <w:rPr>
                <w:sz w:val="20"/>
                <w:szCs w:val="20"/>
              </w:rPr>
            </w:pPr>
          </w:p>
          <w:p w:rsidR="00BD64C9" w:rsidRPr="000F1C42" w:rsidRDefault="00BD64C9" w:rsidP="00E93217">
            <w:pPr>
              <w:pStyle w:val="TextChar"/>
              <w:spacing w:before="0"/>
              <w:jc w:val="left"/>
              <w:rPr>
                <w:sz w:val="20"/>
                <w:szCs w:val="20"/>
              </w:rPr>
            </w:pPr>
            <w:r w:rsidRPr="000F1C42">
              <w:rPr>
                <w:sz w:val="20"/>
                <w:szCs w:val="20"/>
              </w:rPr>
              <w:t>Uncommon</w:t>
            </w:r>
          </w:p>
        </w:tc>
        <w:tc>
          <w:tcPr>
            <w:tcW w:w="3325" w:type="dxa"/>
          </w:tcPr>
          <w:p w:rsidR="00166E43" w:rsidRPr="000F1C42" w:rsidRDefault="00BD64C9" w:rsidP="00E93217">
            <w:pPr>
              <w:pStyle w:val="TextChar"/>
              <w:spacing w:before="0"/>
              <w:jc w:val="left"/>
              <w:rPr>
                <w:sz w:val="20"/>
                <w:szCs w:val="20"/>
              </w:rPr>
            </w:pPr>
            <w:proofErr w:type="spellStart"/>
            <w:r w:rsidRPr="000F1C42">
              <w:rPr>
                <w:sz w:val="20"/>
                <w:szCs w:val="20"/>
              </w:rPr>
              <w:t>Diarrhoea</w:t>
            </w:r>
            <w:proofErr w:type="spellEnd"/>
          </w:p>
          <w:p w:rsidR="00BD64C9" w:rsidRPr="000F1C42" w:rsidRDefault="00BD64C9" w:rsidP="00E93217">
            <w:pPr>
              <w:pStyle w:val="TextChar"/>
              <w:spacing w:before="0"/>
              <w:jc w:val="left"/>
              <w:rPr>
                <w:sz w:val="20"/>
                <w:szCs w:val="20"/>
              </w:rPr>
            </w:pPr>
            <w:r w:rsidRPr="000F1C42">
              <w:rPr>
                <w:sz w:val="20"/>
                <w:szCs w:val="20"/>
              </w:rPr>
              <w:t>Abdominal distension, abdominal pain, abdominal tenderness, constipation, dyspepsia, flatulence, gastritis, loos</w:t>
            </w:r>
            <w:r w:rsidR="00166E43" w:rsidRPr="000F1C42">
              <w:rPr>
                <w:sz w:val="20"/>
                <w:szCs w:val="20"/>
              </w:rPr>
              <w:t>e stools, nausea, vomiting</w:t>
            </w:r>
          </w:p>
          <w:p w:rsidR="00166E43" w:rsidRPr="000F1C42" w:rsidRDefault="00166E43" w:rsidP="00E93217">
            <w:pPr>
              <w:pStyle w:val="TextChar"/>
              <w:spacing w:before="0"/>
              <w:jc w:val="left"/>
              <w:rPr>
                <w:sz w:val="20"/>
                <w:szCs w:val="20"/>
              </w:rPr>
            </w:pPr>
            <w:r w:rsidRPr="000F1C42">
              <w:rPr>
                <w:sz w:val="20"/>
                <w:szCs w:val="20"/>
              </w:rPr>
              <w:t xml:space="preserve">Pancreatitis, eructation, halitosis, </w:t>
            </w:r>
            <w:proofErr w:type="spellStart"/>
            <w:r w:rsidRPr="000F1C42">
              <w:rPr>
                <w:sz w:val="20"/>
                <w:szCs w:val="20"/>
              </w:rPr>
              <w:t>ileus</w:t>
            </w:r>
            <w:proofErr w:type="spellEnd"/>
            <w:r w:rsidRPr="000F1C42">
              <w:rPr>
                <w:sz w:val="20"/>
                <w:szCs w:val="20"/>
              </w:rPr>
              <w:t xml:space="preserve">, </w:t>
            </w:r>
            <w:proofErr w:type="spellStart"/>
            <w:r w:rsidRPr="000F1C42">
              <w:rPr>
                <w:sz w:val="20"/>
                <w:szCs w:val="20"/>
              </w:rPr>
              <w:t>oesophagitis</w:t>
            </w:r>
            <w:proofErr w:type="spellEnd"/>
            <w:r w:rsidR="00C42148" w:rsidRPr="000F1C42">
              <w:rPr>
                <w:sz w:val="20"/>
                <w:szCs w:val="20"/>
              </w:rPr>
              <w:t>*</w:t>
            </w:r>
            <w:r w:rsidRPr="000F1C42">
              <w:rPr>
                <w:sz w:val="20"/>
                <w:szCs w:val="20"/>
              </w:rPr>
              <w:t>, peptic ulcer</w:t>
            </w:r>
            <w:r w:rsidR="00C42148" w:rsidRPr="000F1C42">
              <w:rPr>
                <w:sz w:val="20"/>
                <w:szCs w:val="20"/>
              </w:rPr>
              <w:t>*</w:t>
            </w:r>
            <w:r w:rsidRPr="000F1C42">
              <w:rPr>
                <w:sz w:val="20"/>
                <w:szCs w:val="20"/>
              </w:rPr>
              <w:t xml:space="preserve">, </w:t>
            </w:r>
            <w:proofErr w:type="spellStart"/>
            <w:r w:rsidRPr="000F1C42">
              <w:rPr>
                <w:sz w:val="20"/>
                <w:szCs w:val="20"/>
              </w:rPr>
              <w:t>subileus</w:t>
            </w:r>
            <w:proofErr w:type="spellEnd"/>
            <w:r w:rsidR="00C42148" w:rsidRPr="000F1C42">
              <w:rPr>
                <w:sz w:val="20"/>
                <w:szCs w:val="20"/>
              </w:rPr>
              <w:t>*</w:t>
            </w:r>
            <w:r w:rsidRPr="000F1C42">
              <w:rPr>
                <w:sz w:val="20"/>
                <w:szCs w:val="20"/>
              </w:rPr>
              <w:t xml:space="preserve">, tongue </w:t>
            </w:r>
            <w:proofErr w:type="spellStart"/>
            <w:r w:rsidRPr="000F1C42">
              <w:rPr>
                <w:sz w:val="20"/>
                <w:szCs w:val="20"/>
              </w:rPr>
              <w:t>discolouration</w:t>
            </w:r>
            <w:proofErr w:type="spellEnd"/>
            <w:r w:rsidR="00C42148" w:rsidRPr="000F1C42">
              <w:rPr>
                <w:sz w:val="20"/>
                <w:szCs w:val="20"/>
              </w:rPr>
              <w:t>*</w:t>
            </w:r>
            <w:r w:rsidRPr="000F1C42">
              <w:rPr>
                <w:sz w:val="20"/>
                <w:szCs w:val="20"/>
              </w:rPr>
              <w:t xml:space="preserve">, gastrointestinal </w:t>
            </w:r>
            <w:proofErr w:type="spellStart"/>
            <w:r w:rsidRPr="000F1C42">
              <w:rPr>
                <w:sz w:val="20"/>
                <w:szCs w:val="20"/>
              </w:rPr>
              <w:t>haemorrhage</w:t>
            </w:r>
            <w:proofErr w:type="spellEnd"/>
            <w:r w:rsidRPr="000F1C42">
              <w:rPr>
                <w:sz w:val="20"/>
                <w:szCs w:val="20"/>
              </w:rPr>
              <w:t xml:space="preserve">, dry mouth, </w:t>
            </w:r>
            <w:r w:rsidR="00C42148" w:rsidRPr="000F1C42">
              <w:rPr>
                <w:sz w:val="20"/>
                <w:szCs w:val="20"/>
              </w:rPr>
              <w:t xml:space="preserve">lip ulceration, parotid duct obstruction*, </w:t>
            </w:r>
            <w:r w:rsidRPr="000F1C42">
              <w:rPr>
                <w:sz w:val="20"/>
                <w:szCs w:val="20"/>
              </w:rPr>
              <w:t>gastro-</w:t>
            </w:r>
            <w:proofErr w:type="spellStart"/>
            <w:r w:rsidRPr="000F1C42">
              <w:rPr>
                <w:sz w:val="20"/>
                <w:szCs w:val="20"/>
              </w:rPr>
              <w:t>oesophageal</w:t>
            </w:r>
            <w:proofErr w:type="spellEnd"/>
            <w:r w:rsidRPr="000F1C42">
              <w:rPr>
                <w:sz w:val="20"/>
                <w:szCs w:val="20"/>
              </w:rPr>
              <w:t xml:space="preserve"> reflux disease, gingival hyperplasia, peritonitis</w:t>
            </w:r>
            <w:r w:rsidR="00C42148" w:rsidRPr="000F1C42">
              <w:rPr>
                <w:sz w:val="20"/>
                <w:szCs w:val="20"/>
              </w:rPr>
              <w:t>*</w:t>
            </w:r>
          </w:p>
        </w:tc>
      </w:tr>
      <w:tr w:rsidR="0007286E" w:rsidRPr="000F1C42" w:rsidTr="00E93217">
        <w:trPr>
          <w:trHeight w:val="284"/>
        </w:trPr>
        <w:tc>
          <w:tcPr>
            <w:tcW w:w="3081" w:type="dxa"/>
          </w:tcPr>
          <w:p w:rsidR="0007286E" w:rsidRPr="000F1C42" w:rsidRDefault="00166E43" w:rsidP="00E93217">
            <w:pPr>
              <w:pStyle w:val="TextChar"/>
              <w:spacing w:before="0"/>
              <w:jc w:val="left"/>
              <w:rPr>
                <w:sz w:val="20"/>
                <w:szCs w:val="20"/>
              </w:rPr>
            </w:pPr>
            <w:r w:rsidRPr="000F1C42">
              <w:rPr>
                <w:sz w:val="20"/>
                <w:szCs w:val="20"/>
              </w:rPr>
              <w:t>General disorders and administration site conditions</w:t>
            </w:r>
          </w:p>
        </w:tc>
        <w:tc>
          <w:tcPr>
            <w:tcW w:w="2839" w:type="dxa"/>
          </w:tcPr>
          <w:p w:rsidR="0007286E" w:rsidRPr="000F1C42" w:rsidRDefault="00166E43" w:rsidP="00E93217">
            <w:pPr>
              <w:pStyle w:val="TextChar"/>
              <w:spacing w:before="0"/>
              <w:jc w:val="left"/>
              <w:rPr>
                <w:sz w:val="20"/>
                <w:szCs w:val="20"/>
              </w:rPr>
            </w:pPr>
            <w:r w:rsidRPr="000F1C42">
              <w:rPr>
                <w:sz w:val="20"/>
                <w:szCs w:val="20"/>
              </w:rPr>
              <w:t>Common</w:t>
            </w:r>
          </w:p>
          <w:p w:rsidR="00166E43" w:rsidRPr="000F1C42" w:rsidRDefault="00166E43" w:rsidP="00E93217">
            <w:pPr>
              <w:pStyle w:val="TextChar"/>
              <w:spacing w:before="0"/>
              <w:jc w:val="left"/>
              <w:rPr>
                <w:sz w:val="20"/>
                <w:szCs w:val="20"/>
              </w:rPr>
            </w:pPr>
            <w:r w:rsidRPr="000F1C42">
              <w:rPr>
                <w:sz w:val="20"/>
                <w:szCs w:val="20"/>
              </w:rPr>
              <w:t>Uncommon</w:t>
            </w:r>
          </w:p>
        </w:tc>
        <w:tc>
          <w:tcPr>
            <w:tcW w:w="3325" w:type="dxa"/>
          </w:tcPr>
          <w:p w:rsidR="0007286E" w:rsidRPr="000F1C42" w:rsidRDefault="00166E43" w:rsidP="00E93217">
            <w:pPr>
              <w:pStyle w:val="TextChar"/>
              <w:spacing w:before="0"/>
              <w:jc w:val="left"/>
              <w:rPr>
                <w:sz w:val="20"/>
                <w:szCs w:val="20"/>
              </w:rPr>
            </w:pPr>
            <w:r w:rsidRPr="000F1C42">
              <w:rPr>
                <w:sz w:val="20"/>
                <w:szCs w:val="20"/>
              </w:rPr>
              <w:t>Fatigue, pyrexia</w:t>
            </w:r>
          </w:p>
          <w:p w:rsidR="00166E43" w:rsidRPr="000F1C42" w:rsidRDefault="00166E43" w:rsidP="00E93217">
            <w:pPr>
              <w:pStyle w:val="TextChar"/>
              <w:spacing w:before="0"/>
              <w:jc w:val="left"/>
              <w:rPr>
                <w:sz w:val="20"/>
                <w:szCs w:val="20"/>
              </w:rPr>
            </w:pPr>
            <w:r w:rsidRPr="000F1C42">
              <w:rPr>
                <w:sz w:val="20"/>
                <w:szCs w:val="20"/>
              </w:rPr>
              <w:t xml:space="preserve">Influenza like illness, </w:t>
            </w:r>
            <w:proofErr w:type="spellStart"/>
            <w:r w:rsidRPr="000F1C42">
              <w:rPr>
                <w:sz w:val="20"/>
                <w:szCs w:val="20"/>
              </w:rPr>
              <w:t>oedema</w:t>
            </w:r>
            <w:proofErr w:type="spellEnd"/>
            <w:r w:rsidRPr="000F1C42">
              <w:rPr>
                <w:sz w:val="20"/>
                <w:szCs w:val="20"/>
              </w:rPr>
              <w:t xml:space="preserve"> lower limb</w:t>
            </w:r>
            <w:r w:rsidR="00C42148" w:rsidRPr="000F1C42">
              <w:rPr>
                <w:sz w:val="20"/>
                <w:szCs w:val="20"/>
              </w:rPr>
              <w:t>*</w:t>
            </w:r>
            <w:r w:rsidRPr="000F1C42">
              <w:rPr>
                <w:sz w:val="20"/>
                <w:szCs w:val="20"/>
              </w:rPr>
              <w:t>, pain,</w:t>
            </w:r>
            <w:r w:rsidR="00C42148" w:rsidRPr="000F1C42">
              <w:rPr>
                <w:sz w:val="20"/>
                <w:szCs w:val="20"/>
              </w:rPr>
              <w:t xml:space="preserve"> rigors*, thirst*</w:t>
            </w:r>
            <w:r w:rsidRPr="000F1C42">
              <w:rPr>
                <w:sz w:val="20"/>
                <w:szCs w:val="20"/>
              </w:rPr>
              <w:t xml:space="preserve"> weakness</w:t>
            </w:r>
            <w:r w:rsidR="00C42148" w:rsidRPr="000F1C42">
              <w:rPr>
                <w:sz w:val="20"/>
                <w:szCs w:val="20"/>
              </w:rPr>
              <w:t>*</w:t>
            </w:r>
          </w:p>
        </w:tc>
      </w:tr>
      <w:tr w:rsidR="0007286E" w:rsidRPr="000F1C42" w:rsidTr="00E93217">
        <w:trPr>
          <w:trHeight w:val="284"/>
        </w:trPr>
        <w:tc>
          <w:tcPr>
            <w:tcW w:w="3081" w:type="dxa"/>
          </w:tcPr>
          <w:p w:rsidR="0007286E" w:rsidRPr="000F1C42" w:rsidRDefault="00166E43" w:rsidP="00E93217">
            <w:pPr>
              <w:pStyle w:val="TextChar"/>
              <w:spacing w:before="0"/>
              <w:jc w:val="left"/>
              <w:rPr>
                <w:sz w:val="20"/>
                <w:szCs w:val="20"/>
              </w:rPr>
            </w:pPr>
            <w:r w:rsidRPr="000F1C42">
              <w:rPr>
                <w:sz w:val="20"/>
                <w:szCs w:val="20"/>
              </w:rPr>
              <w:t>Metabolism and nutrition disorders</w:t>
            </w:r>
          </w:p>
        </w:tc>
        <w:tc>
          <w:tcPr>
            <w:tcW w:w="2839" w:type="dxa"/>
          </w:tcPr>
          <w:p w:rsidR="0007286E" w:rsidRPr="000F1C42" w:rsidRDefault="00166E43" w:rsidP="00E93217">
            <w:pPr>
              <w:pStyle w:val="TextChar"/>
              <w:spacing w:before="0"/>
              <w:jc w:val="left"/>
              <w:rPr>
                <w:sz w:val="20"/>
                <w:szCs w:val="20"/>
              </w:rPr>
            </w:pPr>
            <w:r w:rsidRPr="000F1C42">
              <w:rPr>
                <w:sz w:val="20"/>
                <w:szCs w:val="20"/>
              </w:rPr>
              <w:t>Uncommon</w:t>
            </w:r>
          </w:p>
        </w:tc>
        <w:tc>
          <w:tcPr>
            <w:tcW w:w="3325" w:type="dxa"/>
          </w:tcPr>
          <w:p w:rsidR="0007286E" w:rsidRPr="000F1C42" w:rsidRDefault="00166E43" w:rsidP="00E93217">
            <w:pPr>
              <w:pStyle w:val="TextChar"/>
              <w:spacing w:before="0"/>
              <w:jc w:val="left"/>
              <w:rPr>
                <w:sz w:val="20"/>
                <w:szCs w:val="20"/>
              </w:rPr>
            </w:pPr>
            <w:r w:rsidRPr="000F1C42">
              <w:rPr>
                <w:sz w:val="20"/>
                <w:szCs w:val="20"/>
              </w:rPr>
              <w:t xml:space="preserve">Anorexia, </w:t>
            </w:r>
            <w:proofErr w:type="spellStart"/>
            <w:r w:rsidRPr="000F1C42">
              <w:rPr>
                <w:sz w:val="20"/>
                <w:szCs w:val="20"/>
              </w:rPr>
              <w:t>hyperlipidaemia</w:t>
            </w:r>
            <w:proofErr w:type="spellEnd"/>
            <w:r w:rsidRPr="000F1C42">
              <w:rPr>
                <w:sz w:val="20"/>
                <w:szCs w:val="20"/>
              </w:rPr>
              <w:t>, diabetes mellitus</w:t>
            </w:r>
            <w:r w:rsidR="00C42148" w:rsidRPr="000F1C42">
              <w:rPr>
                <w:sz w:val="20"/>
                <w:szCs w:val="20"/>
              </w:rPr>
              <w:t>*</w:t>
            </w:r>
            <w:r w:rsidRPr="000F1C42">
              <w:rPr>
                <w:sz w:val="20"/>
                <w:szCs w:val="20"/>
              </w:rPr>
              <w:t xml:space="preserve">, </w:t>
            </w:r>
            <w:proofErr w:type="spellStart"/>
            <w:r w:rsidRPr="000F1C42">
              <w:rPr>
                <w:sz w:val="20"/>
                <w:szCs w:val="20"/>
              </w:rPr>
              <w:t>hypercholesterolaemia</w:t>
            </w:r>
            <w:proofErr w:type="spellEnd"/>
            <w:r w:rsidRPr="000F1C42">
              <w:rPr>
                <w:sz w:val="20"/>
                <w:szCs w:val="20"/>
              </w:rPr>
              <w:t xml:space="preserve">, </w:t>
            </w:r>
            <w:proofErr w:type="spellStart"/>
            <w:r w:rsidRPr="000F1C42">
              <w:rPr>
                <w:sz w:val="20"/>
                <w:szCs w:val="20"/>
              </w:rPr>
              <w:t>hypophosphataemia</w:t>
            </w:r>
            <w:proofErr w:type="spellEnd"/>
            <w:r w:rsidR="00C42148" w:rsidRPr="000F1C42">
              <w:rPr>
                <w:sz w:val="20"/>
                <w:szCs w:val="20"/>
              </w:rPr>
              <w:t>*</w:t>
            </w:r>
          </w:p>
        </w:tc>
      </w:tr>
      <w:tr w:rsidR="0007286E" w:rsidRPr="000F1C42" w:rsidTr="00E93217">
        <w:trPr>
          <w:trHeight w:val="284"/>
        </w:trPr>
        <w:tc>
          <w:tcPr>
            <w:tcW w:w="3081" w:type="dxa"/>
          </w:tcPr>
          <w:p w:rsidR="0007286E" w:rsidRPr="000F1C42" w:rsidRDefault="009C58D5" w:rsidP="00E93217">
            <w:pPr>
              <w:pStyle w:val="TextChar"/>
              <w:spacing w:before="0"/>
              <w:jc w:val="left"/>
              <w:rPr>
                <w:sz w:val="20"/>
                <w:szCs w:val="20"/>
              </w:rPr>
            </w:pPr>
            <w:r w:rsidRPr="000F1C42">
              <w:rPr>
                <w:sz w:val="20"/>
                <w:szCs w:val="20"/>
              </w:rPr>
              <w:t xml:space="preserve">Skin and </w:t>
            </w:r>
            <w:proofErr w:type="spellStart"/>
            <w:r w:rsidRPr="000F1C42">
              <w:rPr>
                <w:sz w:val="20"/>
                <w:szCs w:val="20"/>
              </w:rPr>
              <w:t>cutaneous</w:t>
            </w:r>
            <w:proofErr w:type="spellEnd"/>
            <w:r w:rsidRPr="000F1C42">
              <w:rPr>
                <w:sz w:val="20"/>
                <w:szCs w:val="20"/>
              </w:rPr>
              <w:t xml:space="preserve"> tissue disorders</w:t>
            </w:r>
          </w:p>
        </w:tc>
        <w:tc>
          <w:tcPr>
            <w:tcW w:w="2839" w:type="dxa"/>
          </w:tcPr>
          <w:p w:rsidR="0007286E" w:rsidRPr="000F1C42" w:rsidRDefault="009C58D5" w:rsidP="00E93217">
            <w:pPr>
              <w:pStyle w:val="TextChar"/>
              <w:spacing w:before="0"/>
              <w:jc w:val="left"/>
              <w:rPr>
                <w:sz w:val="20"/>
                <w:szCs w:val="20"/>
              </w:rPr>
            </w:pPr>
            <w:r w:rsidRPr="000F1C42">
              <w:rPr>
                <w:sz w:val="20"/>
                <w:szCs w:val="20"/>
              </w:rPr>
              <w:t>Uncommon</w:t>
            </w:r>
          </w:p>
        </w:tc>
        <w:tc>
          <w:tcPr>
            <w:tcW w:w="3325" w:type="dxa"/>
          </w:tcPr>
          <w:p w:rsidR="0007286E" w:rsidRPr="000F1C42" w:rsidRDefault="009C58D5" w:rsidP="00E93217">
            <w:pPr>
              <w:pStyle w:val="TextChar"/>
              <w:spacing w:before="0"/>
              <w:jc w:val="left"/>
              <w:rPr>
                <w:sz w:val="20"/>
                <w:szCs w:val="20"/>
              </w:rPr>
            </w:pPr>
            <w:r w:rsidRPr="000F1C42">
              <w:rPr>
                <w:sz w:val="20"/>
                <w:szCs w:val="20"/>
              </w:rPr>
              <w:t>Alopecia, contusion</w:t>
            </w:r>
            <w:r w:rsidR="00773A1B" w:rsidRPr="000F1C42">
              <w:rPr>
                <w:sz w:val="20"/>
                <w:szCs w:val="20"/>
              </w:rPr>
              <w:t>*</w:t>
            </w:r>
          </w:p>
        </w:tc>
      </w:tr>
      <w:tr w:rsidR="0007286E" w:rsidRPr="000F1C42" w:rsidTr="00E93217">
        <w:trPr>
          <w:trHeight w:val="284"/>
        </w:trPr>
        <w:tc>
          <w:tcPr>
            <w:tcW w:w="3081" w:type="dxa"/>
          </w:tcPr>
          <w:p w:rsidR="0007286E" w:rsidRPr="000F1C42" w:rsidRDefault="009C58D5" w:rsidP="00E93217">
            <w:pPr>
              <w:pStyle w:val="TextChar"/>
              <w:spacing w:before="0"/>
              <w:jc w:val="left"/>
              <w:rPr>
                <w:sz w:val="20"/>
                <w:szCs w:val="20"/>
              </w:rPr>
            </w:pPr>
            <w:proofErr w:type="spellStart"/>
            <w:r w:rsidRPr="000F1C42">
              <w:rPr>
                <w:sz w:val="20"/>
                <w:szCs w:val="20"/>
              </w:rPr>
              <w:t>Hepato-biliary</w:t>
            </w:r>
            <w:proofErr w:type="spellEnd"/>
            <w:r w:rsidRPr="000F1C42">
              <w:rPr>
                <w:sz w:val="20"/>
                <w:szCs w:val="20"/>
              </w:rPr>
              <w:t xml:space="preserve"> disorders</w:t>
            </w:r>
          </w:p>
        </w:tc>
        <w:tc>
          <w:tcPr>
            <w:tcW w:w="2839" w:type="dxa"/>
          </w:tcPr>
          <w:p w:rsidR="0007286E" w:rsidRPr="000F1C42" w:rsidRDefault="009C58D5" w:rsidP="00E93217">
            <w:pPr>
              <w:pStyle w:val="TextChar"/>
              <w:spacing w:before="0"/>
              <w:jc w:val="left"/>
              <w:rPr>
                <w:sz w:val="20"/>
                <w:szCs w:val="20"/>
              </w:rPr>
            </w:pPr>
            <w:r w:rsidRPr="000F1C42">
              <w:rPr>
                <w:sz w:val="20"/>
                <w:szCs w:val="20"/>
              </w:rPr>
              <w:t>Common</w:t>
            </w:r>
          </w:p>
        </w:tc>
        <w:tc>
          <w:tcPr>
            <w:tcW w:w="3325" w:type="dxa"/>
          </w:tcPr>
          <w:p w:rsidR="0007286E" w:rsidRPr="000F1C42" w:rsidRDefault="009C58D5" w:rsidP="00E93217">
            <w:pPr>
              <w:pStyle w:val="TextChar"/>
              <w:spacing w:before="0"/>
              <w:jc w:val="left"/>
              <w:rPr>
                <w:sz w:val="20"/>
                <w:szCs w:val="20"/>
              </w:rPr>
            </w:pPr>
            <w:r w:rsidRPr="000F1C42">
              <w:rPr>
                <w:sz w:val="20"/>
                <w:szCs w:val="20"/>
              </w:rPr>
              <w:t>Abnormal hepatic function tests</w:t>
            </w:r>
          </w:p>
        </w:tc>
      </w:tr>
      <w:tr w:rsidR="0007286E" w:rsidRPr="000F1C42" w:rsidTr="00E93217">
        <w:trPr>
          <w:trHeight w:val="284"/>
        </w:trPr>
        <w:tc>
          <w:tcPr>
            <w:tcW w:w="3081" w:type="dxa"/>
          </w:tcPr>
          <w:p w:rsidR="0007286E" w:rsidRPr="000F1C42" w:rsidRDefault="009C58D5" w:rsidP="00E93217">
            <w:pPr>
              <w:pStyle w:val="TextChar"/>
              <w:spacing w:before="0"/>
              <w:jc w:val="left"/>
              <w:rPr>
                <w:sz w:val="20"/>
                <w:szCs w:val="20"/>
              </w:rPr>
            </w:pPr>
            <w:r w:rsidRPr="000F1C42">
              <w:rPr>
                <w:sz w:val="20"/>
                <w:szCs w:val="20"/>
              </w:rPr>
              <w:t>Cardiac disorders</w:t>
            </w:r>
          </w:p>
        </w:tc>
        <w:tc>
          <w:tcPr>
            <w:tcW w:w="2839" w:type="dxa"/>
          </w:tcPr>
          <w:p w:rsidR="0007286E" w:rsidRPr="000F1C42" w:rsidRDefault="009C58D5" w:rsidP="00E93217">
            <w:pPr>
              <w:pStyle w:val="TextChar"/>
              <w:spacing w:before="0"/>
              <w:jc w:val="left"/>
              <w:rPr>
                <w:sz w:val="20"/>
                <w:szCs w:val="20"/>
              </w:rPr>
            </w:pPr>
            <w:r w:rsidRPr="000F1C42">
              <w:rPr>
                <w:sz w:val="20"/>
                <w:szCs w:val="20"/>
              </w:rPr>
              <w:t>Uncommon</w:t>
            </w:r>
          </w:p>
        </w:tc>
        <w:tc>
          <w:tcPr>
            <w:tcW w:w="3325" w:type="dxa"/>
          </w:tcPr>
          <w:p w:rsidR="0007286E" w:rsidRPr="000F1C42" w:rsidRDefault="009C58D5" w:rsidP="00E93217">
            <w:pPr>
              <w:pStyle w:val="TextChar"/>
              <w:spacing w:before="0"/>
              <w:jc w:val="left"/>
              <w:rPr>
                <w:sz w:val="20"/>
                <w:szCs w:val="20"/>
              </w:rPr>
            </w:pPr>
            <w:r w:rsidRPr="000F1C42">
              <w:rPr>
                <w:sz w:val="20"/>
                <w:szCs w:val="20"/>
              </w:rPr>
              <w:t xml:space="preserve">Tachycardia, pulmonary </w:t>
            </w:r>
            <w:proofErr w:type="spellStart"/>
            <w:r w:rsidRPr="000F1C42">
              <w:rPr>
                <w:sz w:val="20"/>
                <w:szCs w:val="20"/>
              </w:rPr>
              <w:t>oedema</w:t>
            </w:r>
            <w:proofErr w:type="spellEnd"/>
            <w:r w:rsidR="00773A1B" w:rsidRPr="000F1C42">
              <w:rPr>
                <w:sz w:val="20"/>
                <w:szCs w:val="20"/>
              </w:rPr>
              <w:t>*</w:t>
            </w:r>
            <w:r w:rsidRPr="000F1C42">
              <w:rPr>
                <w:sz w:val="20"/>
                <w:szCs w:val="20"/>
              </w:rPr>
              <w:t xml:space="preserve">, ventricular </w:t>
            </w:r>
            <w:proofErr w:type="spellStart"/>
            <w:r w:rsidRPr="000F1C42">
              <w:rPr>
                <w:sz w:val="20"/>
                <w:szCs w:val="20"/>
              </w:rPr>
              <w:t>extrasystoles</w:t>
            </w:r>
            <w:proofErr w:type="spellEnd"/>
            <w:r w:rsidR="00773A1B" w:rsidRPr="000F1C42">
              <w:rPr>
                <w:sz w:val="20"/>
                <w:szCs w:val="20"/>
              </w:rPr>
              <w:t>*</w:t>
            </w:r>
          </w:p>
        </w:tc>
      </w:tr>
      <w:tr w:rsidR="0007286E" w:rsidRPr="000F1C42" w:rsidTr="00E93217">
        <w:trPr>
          <w:trHeight w:val="284"/>
        </w:trPr>
        <w:tc>
          <w:tcPr>
            <w:tcW w:w="3081" w:type="dxa"/>
          </w:tcPr>
          <w:p w:rsidR="0007286E" w:rsidRPr="000F1C42" w:rsidRDefault="009C58D5" w:rsidP="00E93217">
            <w:pPr>
              <w:pStyle w:val="TextChar"/>
              <w:spacing w:before="0"/>
              <w:jc w:val="left"/>
              <w:rPr>
                <w:sz w:val="20"/>
                <w:szCs w:val="20"/>
              </w:rPr>
            </w:pPr>
            <w:r w:rsidRPr="000F1C42">
              <w:rPr>
                <w:sz w:val="20"/>
                <w:szCs w:val="20"/>
              </w:rPr>
              <w:t>Eye disorders</w:t>
            </w:r>
          </w:p>
        </w:tc>
        <w:tc>
          <w:tcPr>
            <w:tcW w:w="2839" w:type="dxa"/>
          </w:tcPr>
          <w:p w:rsidR="0007286E" w:rsidRPr="000F1C42" w:rsidRDefault="009C58D5" w:rsidP="00E93217">
            <w:pPr>
              <w:pStyle w:val="TextChar"/>
              <w:spacing w:before="0"/>
              <w:jc w:val="left"/>
              <w:rPr>
                <w:sz w:val="20"/>
                <w:szCs w:val="20"/>
              </w:rPr>
            </w:pPr>
            <w:r w:rsidRPr="000F1C42">
              <w:rPr>
                <w:sz w:val="20"/>
                <w:szCs w:val="20"/>
              </w:rPr>
              <w:t>Uncommon</w:t>
            </w:r>
          </w:p>
        </w:tc>
        <w:tc>
          <w:tcPr>
            <w:tcW w:w="3325" w:type="dxa"/>
          </w:tcPr>
          <w:p w:rsidR="0007286E" w:rsidRPr="000F1C42" w:rsidRDefault="009C58D5" w:rsidP="00E93217">
            <w:pPr>
              <w:pStyle w:val="TextChar"/>
              <w:spacing w:before="0"/>
              <w:jc w:val="left"/>
              <w:rPr>
                <w:sz w:val="20"/>
                <w:szCs w:val="20"/>
              </w:rPr>
            </w:pPr>
            <w:r w:rsidRPr="000F1C42">
              <w:rPr>
                <w:sz w:val="20"/>
                <w:szCs w:val="20"/>
              </w:rPr>
              <w:t>Conjunctivitis</w:t>
            </w:r>
            <w:r w:rsidR="00773A1B" w:rsidRPr="000F1C42">
              <w:rPr>
                <w:sz w:val="20"/>
                <w:szCs w:val="20"/>
              </w:rPr>
              <w:t>*</w:t>
            </w:r>
            <w:r w:rsidRPr="000F1C42">
              <w:rPr>
                <w:sz w:val="20"/>
                <w:szCs w:val="20"/>
              </w:rPr>
              <w:t>, blurred vision</w:t>
            </w:r>
            <w:r w:rsidR="00773A1B" w:rsidRPr="000F1C42">
              <w:rPr>
                <w:sz w:val="20"/>
                <w:szCs w:val="20"/>
              </w:rPr>
              <w:t>*</w:t>
            </w:r>
          </w:p>
        </w:tc>
      </w:tr>
      <w:tr w:rsidR="0007286E" w:rsidRPr="000F1C42" w:rsidTr="00E93217">
        <w:trPr>
          <w:trHeight w:val="284"/>
        </w:trPr>
        <w:tc>
          <w:tcPr>
            <w:tcW w:w="3081" w:type="dxa"/>
          </w:tcPr>
          <w:p w:rsidR="0007286E" w:rsidRPr="000F1C42" w:rsidRDefault="009C58D5" w:rsidP="00E93217">
            <w:pPr>
              <w:pStyle w:val="TextChar"/>
              <w:spacing w:before="0"/>
              <w:jc w:val="left"/>
              <w:rPr>
                <w:sz w:val="20"/>
                <w:szCs w:val="20"/>
                <w:lang w:val="en-AU"/>
              </w:rPr>
            </w:pPr>
            <w:r w:rsidRPr="000F1C42">
              <w:rPr>
                <w:sz w:val="20"/>
                <w:szCs w:val="20"/>
                <w:lang w:val="en-AU"/>
              </w:rPr>
              <w:lastRenderedPageBreak/>
              <w:t>Musculoskeletal, connective tissue and bone disorders</w:t>
            </w:r>
          </w:p>
        </w:tc>
        <w:tc>
          <w:tcPr>
            <w:tcW w:w="2839" w:type="dxa"/>
          </w:tcPr>
          <w:p w:rsidR="0007286E" w:rsidRPr="000F1C42" w:rsidRDefault="009C58D5" w:rsidP="00E93217">
            <w:pPr>
              <w:pStyle w:val="TextChar"/>
              <w:spacing w:before="0"/>
              <w:jc w:val="left"/>
              <w:rPr>
                <w:sz w:val="20"/>
                <w:szCs w:val="20"/>
                <w:lang w:val="en-AU"/>
              </w:rPr>
            </w:pPr>
            <w:r w:rsidRPr="000F1C42">
              <w:rPr>
                <w:sz w:val="20"/>
                <w:szCs w:val="20"/>
                <w:lang w:val="en-AU"/>
              </w:rPr>
              <w:t>Uncommon</w:t>
            </w:r>
          </w:p>
        </w:tc>
        <w:tc>
          <w:tcPr>
            <w:tcW w:w="3325" w:type="dxa"/>
          </w:tcPr>
          <w:p w:rsidR="0007286E" w:rsidRPr="000F1C42" w:rsidRDefault="009C58D5" w:rsidP="00E93217">
            <w:pPr>
              <w:pStyle w:val="TextChar"/>
              <w:spacing w:before="0"/>
              <w:jc w:val="left"/>
              <w:rPr>
                <w:sz w:val="20"/>
                <w:szCs w:val="20"/>
              </w:rPr>
            </w:pPr>
            <w:r w:rsidRPr="000F1C42">
              <w:rPr>
                <w:sz w:val="20"/>
                <w:szCs w:val="20"/>
              </w:rPr>
              <w:t>Arthritis</w:t>
            </w:r>
            <w:r w:rsidR="00773A1B" w:rsidRPr="000F1C42">
              <w:rPr>
                <w:sz w:val="20"/>
                <w:szCs w:val="20"/>
              </w:rPr>
              <w:t>*</w:t>
            </w:r>
            <w:r w:rsidR="00C42148" w:rsidRPr="000F1C42">
              <w:rPr>
                <w:sz w:val="20"/>
                <w:szCs w:val="20"/>
              </w:rPr>
              <w:t>, back pain</w:t>
            </w:r>
            <w:r w:rsidR="00773A1B" w:rsidRPr="000F1C42">
              <w:rPr>
                <w:sz w:val="20"/>
                <w:szCs w:val="20"/>
              </w:rPr>
              <w:t>*, muscle cramps</w:t>
            </w:r>
          </w:p>
        </w:tc>
      </w:tr>
      <w:tr w:rsidR="0007286E" w:rsidRPr="000F1C42" w:rsidTr="00E93217">
        <w:trPr>
          <w:trHeight w:val="284"/>
        </w:trPr>
        <w:tc>
          <w:tcPr>
            <w:tcW w:w="3081" w:type="dxa"/>
          </w:tcPr>
          <w:p w:rsidR="0007286E" w:rsidRPr="000F1C42" w:rsidRDefault="009C58D5" w:rsidP="00E93217">
            <w:pPr>
              <w:pStyle w:val="TextChar"/>
              <w:spacing w:before="0"/>
              <w:jc w:val="left"/>
              <w:rPr>
                <w:sz w:val="20"/>
                <w:szCs w:val="20"/>
              </w:rPr>
            </w:pPr>
            <w:proofErr w:type="spellStart"/>
            <w:r w:rsidRPr="000F1C42">
              <w:rPr>
                <w:sz w:val="20"/>
                <w:szCs w:val="20"/>
              </w:rPr>
              <w:t>Neoplasms</w:t>
            </w:r>
            <w:proofErr w:type="spellEnd"/>
            <w:r w:rsidRPr="000F1C42">
              <w:rPr>
                <w:sz w:val="20"/>
                <w:szCs w:val="20"/>
              </w:rPr>
              <w:t xml:space="preserve"> benign and malignant</w:t>
            </w:r>
          </w:p>
        </w:tc>
        <w:tc>
          <w:tcPr>
            <w:tcW w:w="2839" w:type="dxa"/>
          </w:tcPr>
          <w:p w:rsidR="0007286E" w:rsidRPr="000F1C42" w:rsidRDefault="009C58D5" w:rsidP="00E93217">
            <w:pPr>
              <w:pStyle w:val="TextChar"/>
              <w:spacing w:before="0"/>
              <w:jc w:val="left"/>
              <w:rPr>
                <w:sz w:val="20"/>
                <w:szCs w:val="20"/>
              </w:rPr>
            </w:pPr>
            <w:r w:rsidRPr="000F1C42">
              <w:rPr>
                <w:sz w:val="20"/>
                <w:szCs w:val="20"/>
              </w:rPr>
              <w:t>Uncommon</w:t>
            </w:r>
          </w:p>
          <w:p w:rsidR="006449CB" w:rsidRPr="000F1C42" w:rsidRDefault="006449CB" w:rsidP="00E93217">
            <w:pPr>
              <w:pStyle w:val="TextChar"/>
              <w:spacing w:before="0"/>
              <w:jc w:val="left"/>
              <w:rPr>
                <w:sz w:val="20"/>
                <w:szCs w:val="20"/>
              </w:rPr>
            </w:pPr>
          </w:p>
        </w:tc>
        <w:tc>
          <w:tcPr>
            <w:tcW w:w="3325" w:type="dxa"/>
          </w:tcPr>
          <w:p w:rsidR="009C58D5" w:rsidRPr="000F1C42" w:rsidRDefault="009C58D5" w:rsidP="00E93217">
            <w:pPr>
              <w:pStyle w:val="TextChar"/>
              <w:spacing w:before="0"/>
              <w:jc w:val="left"/>
              <w:rPr>
                <w:sz w:val="20"/>
                <w:szCs w:val="20"/>
              </w:rPr>
            </w:pPr>
            <w:r w:rsidRPr="000F1C42">
              <w:rPr>
                <w:sz w:val="20"/>
                <w:szCs w:val="20"/>
              </w:rPr>
              <w:t xml:space="preserve">Skin </w:t>
            </w:r>
            <w:proofErr w:type="spellStart"/>
            <w:r w:rsidRPr="000F1C42">
              <w:rPr>
                <w:sz w:val="20"/>
                <w:szCs w:val="20"/>
              </w:rPr>
              <w:t>papilloma</w:t>
            </w:r>
            <w:proofErr w:type="spellEnd"/>
            <w:r w:rsidR="00773A1B" w:rsidRPr="000F1C42">
              <w:rPr>
                <w:sz w:val="20"/>
                <w:szCs w:val="20"/>
              </w:rPr>
              <w:t>*</w:t>
            </w:r>
            <w:r w:rsidR="00604C59" w:rsidRPr="000F1C42">
              <w:rPr>
                <w:sz w:val="20"/>
                <w:szCs w:val="20"/>
              </w:rPr>
              <w:t>, b</w:t>
            </w:r>
            <w:r w:rsidRPr="000F1C42">
              <w:rPr>
                <w:sz w:val="20"/>
                <w:szCs w:val="20"/>
              </w:rPr>
              <w:t>asal cell carcinoma</w:t>
            </w:r>
            <w:r w:rsidR="00773A1B" w:rsidRPr="000F1C42">
              <w:rPr>
                <w:sz w:val="20"/>
                <w:szCs w:val="20"/>
              </w:rPr>
              <w:t>*</w:t>
            </w:r>
            <w:r w:rsidRPr="000F1C42">
              <w:rPr>
                <w:sz w:val="20"/>
                <w:szCs w:val="20"/>
              </w:rPr>
              <w:t>, Kaposi’s sarcoma</w:t>
            </w:r>
            <w:r w:rsidR="00773A1B" w:rsidRPr="000F1C42">
              <w:rPr>
                <w:sz w:val="20"/>
                <w:szCs w:val="20"/>
              </w:rPr>
              <w:t>*</w:t>
            </w:r>
            <w:r w:rsidRPr="000F1C42">
              <w:rPr>
                <w:sz w:val="20"/>
                <w:szCs w:val="20"/>
              </w:rPr>
              <w:t xml:space="preserve">, </w:t>
            </w:r>
            <w:proofErr w:type="spellStart"/>
            <w:r w:rsidRPr="000F1C42">
              <w:rPr>
                <w:sz w:val="20"/>
                <w:szCs w:val="20"/>
              </w:rPr>
              <w:t>lymphoproliferative</w:t>
            </w:r>
            <w:proofErr w:type="spellEnd"/>
            <w:r w:rsidRPr="000F1C42">
              <w:rPr>
                <w:sz w:val="20"/>
                <w:szCs w:val="20"/>
              </w:rPr>
              <w:t xml:space="preserve"> disorder, </w:t>
            </w:r>
            <w:proofErr w:type="spellStart"/>
            <w:r w:rsidRPr="000F1C42">
              <w:rPr>
                <w:sz w:val="20"/>
                <w:szCs w:val="20"/>
              </w:rPr>
              <w:t>squamous</w:t>
            </w:r>
            <w:proofErr w:type="spellEnd"/>
            <w:r w:rsidRPr="000F1C42">
              <w:rPr>
                <w:sz w:val="20"/>
                <w:szCs w:val="20"/>
              </w:rPr>
              <w:t xml:space="preserve"> cell carcinoma</w:t>
            </w:r>
            <w:r w:rsidR="00773A1B" w:rsidRPr="000F1C42">
              <w:rPr>
                <w:sz w:val="20"/>
                <w:szCs w:val="20"/>
              </w:rPr>
              <w:t>*</w:t>
            </w:r>
          </w:p>
        </w:tc>
      </w:tr>
      <w:tr w:rsidR="00E536C9" w:rsidRPr="000F1C42" w:rsidTr="00E93217">
        <w:trPr>
          <w:trHeight w:val="284"/>
        </w:trPr>
        <w:tc>
          <w:tcPr>
            <w:tcW w:w="3081" w:type="dxa"/>
          </w:tcPr>
          <w:p w:rsidR="00E536C9" w:rsidRPr="000F1C42" w:rsidRDefault="00E536C9" w:rsidP="00E93217">
            <w:pPr>
              <w:pStyle w:val="TextChar"/>
              <w:spacing w:before="0"/>
              <w:jc w:val="left"/>
              <w:rPr>
                <w:sz w:val="20"/>
                <w:szCs w:val="20"/>
              </w:rPr>
            </w:pPr>
            <w:r w:rsidRPr="000F1C42">
              <w:rPr>
                <w:sz w:val="20"/>
                <w:szCs w:val="20"/>
              </w:rPr>
              <w:t>Psychiatric disorders</w:t>
            </w:r>
          </w:p>
        </w:tc>
        <w:tc>
          <w:tcPr>
            <w:tcW w:w="2839" w:type="dxa"/>
          </w:tcPr>
          <w:p w:rsidR="00E536C9" w:rsidRPr="000F1C42" w:rsidRDefault="00E536C9" w:rsidP="00E93217">
            <w:pPr>
              <w:pStyle w:val="TextChar"/>
              <w:spacing w:before="0"/>
              <w:jc w:val="left"/>
              <w:rPr>
                <w:sz w:val="20"/>
                <w:szCs w:val="20"/>
              </w:rPr>
            </w:pPr>
            <w:r w:rsidRPr="000F1C42">
              <w:rPr>
                <w:sz w:val="20"/>
                <w:szCs w:val="20"/>
              </w:rPr>
              <w:t>Uncommon</w:t>
            </w:r>
          </w:p>
        </w:tc>
        <w:tc>
          <w:tcPr>
            <w:tcW w:w="3325" w:type="dxa"/>
          </w:tcPr>
          <w:p w:rsidR="00E536C9" w:rsidRPr="000F1C42" w:rsidRDefault="00E536C9" w:rsidP="00E93217">
            <w:pPr>
              <w:pStyle w:val="TextChar"/>
              <w:spacing w:before="0"/>
              <w:jc w:val="left"/>
              <w:rPr>
                <w:sz w:val="20"/>
                <w:szCs w:val="20"/>
              </w:rPr>
            </w:pPr>
            <w:r w:rsidRPr="000F1C42">
              <w:rPr>
                <w:sz w:val="20"/>
                <w:szCs w:val="20"/>
              </w:rPr>
              <w:t>Abnormal dreams*, delusional perception*</w:t>
            </w:r>
          </w:p>
        </w:tc>
      </w:tr>
      <w:tr w:rsidR="00E536C9" w:rsidRPr="000F1C42" w:rsidTr="00E93217">
        <w:trPr>
          <w:trHeight w:val="284"/>
        </w:trPr>
        <w:tc>
          <w:tcPr>
            <w:tcW w:w="3081" w:type="dxa"/>
          </w:tcPr>
          <w:p w:rsidR="00E536C9" w:rsidRPr="000F1C42" w:rsidRDefault="00E536C9" w:rsidP="00E93217">
            <w:pPr>
              <w:pStyle w:val="TextChar"/>
              <w:spacing w:before="0"/>
              <w:jc w:val="left"/>
              <w:rPr>
                <w:sz w:val="20"/>
                <w:szCs w:val="20"/>
              </w:rPr>
            </w:pPr>
            <w:r w:rsidRPr="000F1C42">
              <w:rPr>
                <w:sz w:val="20"/>
                <w:szCs w:val="20"/>
              </w:rPr>
              <w:t>Renal and urinary disorders</w:t>
            </w:r>
          </w:p>
        </w:tc>
        <w:tc>
          <w:tcPr>
            <w:tcW w:w="2839" w:type="dxa"/>
          </w:tcPr>
          <w:p w:rsidR="00E536C9" w:rsidRPr="000F1C42" w:rsidRDefault="00E536C9" w:rsidP="00E93217">
            <w:pPr>
              <w:pStyle w:val="TextChar"/>
              <w:spacing w:before="0"/>
              <w:jc w:val="left"/>
              <w:rPr>
                <w:sz w:val="20"/>
                <w:szCs w:val="20"/>
              </w:rPr>
            </w:pPr>
            <w:r w:rsidRPr="000F1C42">
              <w:rPr>
                <w:sz w:val="20"/>
                <w:szCs w:val="20"/>
              </w:rPr>
              <w:t>Common</w:t>
            </w:r>
          </w:p>
          <w:p w:rsidR="00E536C9" w:rsidRPr="000F1C42" w:rsidRDefault="00E536C9" w:rsidP="00E93217">
            <w:pPr>
              <w:pStyle w:val="TextChar"/>
              <w:spacing w:before="0"/>
              <w:jc w:val="left"/>
              <w:rPr>
                <w:sz w:val="20"/>
                <w:szCs w:val="20"/>
              </w:rPr>
            </w:pPr>
            <w:r w:rsidRPr="000F1C42">
              <w:rPr>
                <w:sz w:val="20"/>
                <w:szCs w:val="20"/>
              </w:rPr>
              <w:t>Uncommon</w:t>
            </w:r>
          </w:p>
        </w:tc>
        <w:tc>
          <w:tcPr>
            <w:tcW w:w="3325" w:type="dxa"/>
          </w:tcPr>
          <w:p w:rsidR="00E536C9" w:rsidRPr="000F1C42" w:rsidRDefault="00E536C9" w:rsidP="00E93217">
            <w:pPr>
              <w:pStyle w:val="TextChar"/>
              <w:spacing w:before="0"/>
              <w:jc w:val="left"/>
              <w:rPr>
                <w:sz w:val="20"/>
                <w:szCs w:val="20"/>
              </w:rPr>
            </w:pPr>
            <w:r w:rsidRPr="000F1C42">
              <w:rPr>
                <w:sz w:val="20"/>
                <w:szCs w:val="20"/>
              </w:rPr>
              <w:t xml:space="preserve">Increased blood </w:t>
            </w:r>
            <w:proofErr w:type="spellStart"/>
            <w:r w:rsidRPr="000F1C42">
              <w:rPr>
                <w:sz w:val="20"/>
                <w:szCs w:val="20"/>
              </w:rPr>
              <w:t>creatinine</w:t>
            </w:r>
            <w:proofErr w:type="spellEnd"/>
          </w:p>
          <w:p w:rsidR="00E536C9" w:rsidRPr="000F1C42" w:rsidRDefault="00E536C9" w:rsidP="00E93217">
            <w:pPr>
              <w:pStyle w:val="TextChar"/>
              <w:spacing w:before="0"/>
              <w:jc w:val="left"/>
              <w:rPr>
                <w:sz w:val="20"/>
                <w:szCs w:val="20"/>
              </w:rPr>
            </w:pPr>
            <w:proofErr w:type="spellStart"/>
            <w:r w:rsidRPr="000F1C42">
              <w:rPr>
                <w:sz w:val="20"/>
                <w:szCs w:val="20"/>
              </w:rPr>
              <w:t>Hematuria</w:t>
            </w:r>
            <w:proofErr w:type="spellEnd"/>
            <w:r w:rsidRPr="000F1C42">
              <w:rPr>
                <w:sz w:val="20"/>
                <w:szCs w:val="20"/>
              </w:rPr>
              <w:t>*, renal tubular necrosis*, urethral stricture</w:t>
            </w:r>
          </w:p>
        </w:tc>
      </w:tr>
      <w:tr w:rsidR="00E536C9" w:rsidRPr="000F1C42" w:rsidTr="00E93217">
        <w:trPr>
          <w:trHeight w:val="284"/>
        </w:trPr>
        <w:tc>
          <w:tcPr>
            <w:tcW w:w="3081" w:type="dxa"/>
          </w:tcPr>
          <w:p w:rsidR="00E536C9" w:rsidRPr="000F1C42" w:rsidRDefault="00E536C9" w:rsidP="00E93217">
            <w:pPr>
              <w:pStyle w:val="TextChar"/>
              <w:spacing w:before="0"/>
              <w:jc w:val="left"/>
              <w:rPr>
                <w:sz w:val="20"/>
                <w:szCs w:val="20"/>
                <w:lang w:val="en-AU"/>
              </w:rPr>
            </w:pPr>
            <w:r w:rsidRPr="000F1C42">
              <w:rPr>
                <w:sz w:val="20"/>
                <w:szCs w:val="20"/>
                <w:lang w:val="en-AU"/>
              </w:rPr>
              <w:t>Reproductive system and breast disorders</w:t>
            </w:r>
          </w:p>
        </w:tc>
        <w:tc>
          <w:tcPr>
            <w:tcW w:w="2839" w:type="dxa"/>
          </w:tcPr>
          <w:p w:rsidR="00E536C9" w:rsidRPr="000F1C42" w:rsidRDefault="00E536C9" w:rsidP="00E93217">
            <w:pPr>
              <w:pStyle w:val="TextChar"/>
              <w:spacing w:before="0"/>
              <w:jc w:val="left"/>
              <w:rPr>
                <w:sz w:val="20"/>
                <w:szCs w:val="20"/>
                <w:lang w:val="en-AU"/>
              </w:rPr>
            </w:pPr>
            <w:r w:rsidRPr="000F1C42">
              <w:rPr>
                <w:sz w:val="20"/>
                <w:szCs w:val="20"/>
                <w:lang w:val="en-AU"/>
              </w:rPr>
              <w:t>Uncommon</w:t>
            </w:r>
          </w:p>
        </w:tc>
        <w:tc>
          <w:tcPr>
            <w:tcW w:w="3325" w:type="dxa"/>
          </w:tcPr>
          <w:p w:rsidR="00E536C9" w:rsidRPr="000F1C42" w:rsidRDefault="00E536C9" w:rsidP="00E93217">
            <w:pPr>
              <w:pStyle w:val="TextChar"/>
              <w:spacing w:before="0"/>
              <w:jc w:val="left"/>
              <w:rPr>
                <w:sz w:val="20"/>
                <w:szCs w:val="20"/>
              </w:rPr>
            </w:pPr>
            <w:r w:rsidRPr="000F1C42">
              <w:rPr>
                <w:sz w:val="20"/>
                <w:szCs w:val="20"/>
              </w:rPr>
              <w:t>Impotence*</w:t>
            </w:r>
          </w:p>
        </w:tc>
      </w:tr>
    </w:tbl>
    <w:p w:rsidR="00395F64" w:rsidRPr="000F1C42" w:rsidRDefault="00773A1B" w:rsidP="00773A1B">
      <w:pPr>
        <w:pStyle w:val="TextChar"/>
        <w:spacing w:before="0" w:line="320" w:lineRule="atLeast"/>
        <w:jc w:val="left"/>
        <w:rPr>
          <w:sz w:val="20"/>
          <w:szCs w:val="20"/>
        </w:rPr>
      </w:pPr>
      <w:r w:rsidRPr="000F1C42">
        <w:rPr>
          <w:sz w:val="20"/>
          <w:szCs w:val="20"/>
        </w:rPr>
        <w:t>* Events reported in a single patient only.</w:t>
      </w:r>
    </w:p>
    <w:p w:rsidR="00395F64" w:rsidRPr="000F1C42" w:rsidRDefault="00395F64" w:rsidP="00B73B96">
      <w:pPr>
        <w:pStyle w:val="TextChar"/>
        <w:spacing w:before="100" w:beforeAutospacing="1" w:after="100" w:afterAutospacing="1" w:line="320" w:lineRule="atLeast"/>
        <w:jc w:val="left"/>
        <w:rPr>
          <w:b/>
        </w:rPr>
      </w:pPr>
      <w:r w:rsidRPr="000F1C42">
        <w:t xml:space="preserve">Renal transplant patients were treated with 1440 mg </w:t>
      </w:r>
      <w:proofErr w:type="spellStart"/>
      <w:r w:rsidRPr="000F1C42">
        <w:t>Myfortic</w:t>
      </w:r>
      <w:proofErr w:type="spellEnd"/>
      <w:r w:rsidRPr="000F1C42">
        <w:t xml:space="preserve"> daily up to one year.  A similar profile was seen in the </w:t>
      </w:r>
      <w:r w:rsidRPr="000F1C42">
        <w:rPr>
          <w:i/>
        </w:rPr>
        <w:t>de novo</w:t>
      </w:r>
      <w:r w:rsidRPr="000F1C42">
        <w:t xml:space="preserve"> and maintenance transplant population although the incidence tended to be lower in the maintenance patients.</w:t>
      </w:r>
    </w:p>
    <w:p w:rsidR="00395F64" w:rsidRPr="000F1C42" w:rsidRDefault="00395F64" w:rsidP="0009399F">
      <w:pPr>
        <w:pStyle w:val="Heading4"/>
        <w:spacing w:before="100" w:beforeAutospacing="1"/>
      </w:pPr>
      <w:r w:rsidRPr="000F1C42">
        <w:t>Elderly patients:</w:t>
      </w:r>
    </w:p>
    <w:p w:rsidR="00395F64" w:rsidRPr="000F1C42" w:rsidRDefault="00395F64" w:rsidP="0009399F">
      <w:pPr>
        <w:pStyle w:val="BodyText2"/>
        <w:spacing w:after="100" w:afterAutospacing="1"/>
        <w:rPr>
          <w:b w:val="0"/>
        </w:rPr>
      </w:pPr>
      <w:r w:rsidRPr="000F1C42">
        <w:rPr>
          <w:b w:val="0"/>
        </w:rPr>
        <w:t xml:space="preserve">Elderly patients may generally be at increased risk of adverse drug reactions due to </w:t>
      </w:r>
      <w:proofErr w:type="spellStart"/>
      <w:r w:rsidRPr="000F1C42">
        <w:rPr>
          <w:b w:val="0"/>
        </w:rPr>
        <w:t>immunosuppression</w:t>
      </w:r>
      <w:proofErr w:type="spellEnd"/>
      <w:r w:rsidRPr="000F1C42">
        <w:rPr>
          <w:b w:val="0"/>
        </w:rPr>
        <w:t xml:space="preserve">.  Elderly patients receiving </w:t>
      </w:r>
      <w:proofErr w:type="spellStart"/>
      <w:r w:rsidRPr="000F1C42">
        <w:rPr>
          <w:b w:val="0"/>
        </w:rPr>
        <w:t>Myfortic</w:t>
      </w:r>
      <w:proofErr w:type="spellEnd"/>
      <w:r w:rsidRPr="000F1C42">
        <w:rPr>
          <w:b w:val="0"/>
        </w:rPr>
        <w:t xml:space="preserve"> as part of a combination immunosuppressive regimen did not show an increased risk of adverse reactions compared to younger individuals in the </w:t>
      </w:r>
      <w:proofErr w:type="spellStart"/>
      <w:r w:rsidRPr="000F1C42">
        <w:rPr>
          <w:b w:val="0"/>
        </w:rPr>
        <w:t>Myfortic</w:t>
      </w:r>
      <w:proofErr w:type="spellEnd"/>
      <w:r w:rsidRPr="000F1C42">
        <w:rPr>
          <w:b w:val="0"/>
        </w:rPr>
        <w:t xml:space="preserve"> clinical trials.</w:t>
      </w:r>
    </w:p>
    <w:p w:rsidR="0075519B" w:rsidRDefault="0075519B" w:rsidP="0009399F">
      <w:pPr>
        <w:pStyle w:val="Heading3"/>
        <w:spacing w:before="100" w:beforeAutospacing="1"/>
      </w:pPr>
      <w:r>
        <w:t>Adverse effects from a clinical trial in lupus nephritis patients</w:t>
      </w:r>
      <w:r w:rsidR="00EF5CE9">
        <w:t xml:space="preserve"> (A2420)</w:t>
      </w:r>
    </w:p>
    <w:p w:rsidR="00410CD3" w:rsidRPr="00523954" w:rsidRDefault="00523954" w:rsidP="0009399F">
      <w:pPr>
        <w:spacing w:after="100" w:afterAutospacing="1" w:line="320" w:lineRule="atLeast"/>
        <w:ind w:right="85"/>
        <w:rPr>
          <w:rFonts w:ascii="Times New Roman" w:hAnsi="Times New Roman" w:cs="Times New Roman"/>
          <w:szCs w:val="22"/>
        </w:rPr>
      </w:pPr>
      <w:proofErr w:type="spellStart"/>
      <w:r w:rsidRPr="00FA10D8">
        <w:rPr>
          <w:rFonts w:ascii="Times New Roman" w:hAnsi="Times New Roman" w:cs="Times New Roman"/>
          <w:szCs w:val="22"/>
        </w:rPr>
        <w:t>Myfortic</w:t>
      </w:r>
      <w:proofErr w:type="spellEnd"/>
      <w:r w:rsidRPr="00FA10D8">
        <w:rPr>
          <w:rFonts w:ascii="Times New Roman" w:hAnsi="Times New Roman" w:cs="Times New Roman"/>
          <w:szCs w:val="22"/>
        </w:rPr>
        <w:t xml:space="preserve"> was administered at a dose of 720 mg twice daily for 2 weeks and then 1080 mg twice daily (or 720 mg three times daily)</w:t>
      </w:r>
      <w:r>
        <w:rPr>
          <w:rFonts w:ascii="Times New Roman" w:hAnsi="Times New Roman" w:cs="Times New Roman"/>
          <w:szCs w:val="22"/>
        </w:rPr>
        <w:t xml:space="preserve"> for 22 weeks</w:t>
      </w:r>
      <w:r w:rsidRPr="00FA10D8">
        <w:rPr>
          <w:rFonts w:ascii="Times New Roman" w:hAnsi="Times New Roman" w:cs="Times New Roman"/>
          <w:szCs w:val="22"/>
        </w:rPr>
        <w:t xml:space="preserve"> </w:t>
      </w:r>
      <w:r>
        <w:rPr>
          <w:rFonts w:ascii="Times New Roman" w:hAnsi="Times New Roman" w:cs="Times New Roman"/>
          <w:szCs w:val="22"/>
        </w:rPr>
        <w:t>in an</w:t>
      </w:r>
      <w:r w:rsidRPr="00FA10D8">
        <w:rPr>
          <w:rFonts w:ascii="Times New Roman" w:hAnsi="Times New Roman" w:cs="Times New Roman"/>
          <w:szCs w:val="22"/>
        </w:rPr>
        <w:t xml:space="preserve"> open-label </w:t>
      </w:r>
      <w:r>
        <w:rPr>
          <w:rFonts w:ascii="Times New Roman" w:hAnsi="Times New Roman" w:cs="Times New Roman"/>
          <w:szCs w:val="22"/>
        </w:rPr>
        <w:t>trial</w:t>
      </w:r>
      <w:r w:rsidRPr="00FA10D8">
        <w:rPr>
          <w:rFonts w:ascii="Times New Roman" w:hAnsi="Times New Roman" w:cs="Times New Roman"/>
          <w:szCs w:val="22"/>
        </w:rPr>
        <w:t xml:space="preserve"> comparing the efficacy and safety of </w:t>
      </w:r>
      <w:proofErr w:type="spellStart"/>
      <w:r w:rsidRPr="00FA10D8">
        <w:rPr>
          <w:rFonts w:ascii="Times New Roman" w:hAnsi="Times New Roman" w:cs="Times New Roman"/>
          <w:szCs w:val="22"/>
        </w:rPr>
        <w:t>Myfortic</w:t>
      </w:r>
      <w:proofErr w:type="spellEnd"/>
      <w:r w:rsidRPr="00FA10D8">
        <w:rPr>
          <w:rFonts w:ascii="Times New Roman" w:hAnsi="Times New Roman" w:cs="Times New Roman"/>
          <w:szCs w:val="22"/>
        </w:rPr>
        <w:t xml:space="preserve"> and a standard corticosteroid regimen (</w:t>
      </w:r>
      <w:proofErr w:type="spellStart"/>
      <w:r w:rsidRPr="00FA10D8">
        <w:rPr>
          <w:rFonts w:ascii="Times New Roman" w:hAnsi="Times New Roman" w:cs="Times New Roman"/>
          <w:szCs w:val="22"/>
        </w:rPr>
        <w:t>prednisolone</w:t>
      </w:r>
      <w:proofErr w:type="spellEnd"/>
      <w:r w:rsidRPr="00FA10D8">
        <w:rPr>
          <w:rFonts w:ascii="Times New Roman" w:hAnsi="Times New Roman" w:cs="Times New Roman"/>
          <w:szCs w:val="22"/>
        </w:rPr>
        <w:t xml:space="preserve"> 1 mg/kg bodyweight/day, tapered) with </w:t>
      </w:r>
      <w:proofErr w:type="spellStart"/>
      <w:r w:rsidRPr="00FA10D8">
        <w:rPr>
          <w:rFonts w:ascii="Times New Roman" w:hAnsi="Times New Roman" w:cs="Times New Roman"/>
          <w:szCs w:val="22"/>
        </w:rPr>
        <w:t>Myfortic</w:t>
      </w:r>
      <w:proofErr w:type="spellEnd"/>
      <w:r w:rsidRPr="00FA10D8">
        <w:rPr>
          <w:rFonts w:ascii="Times New Roman" w:hAnsi="Times New Roman" w:cs="Times New Roman"/>
          <w:szCs w:val="22"/>
        </w:rPr>
        <w:t xml:space="preserve"> and a reduced corticosteroid regimen (</w:t>
      </w:r>
      <w:proofErr w:type="spellStart"/>
      <w:r w:rsidRPr="00FA10D8">
        <w:rPr>
          <w:rFonts w:ascii="Times New Roman" w:hAnsi="Times New Roman" w:cs="Times New Roman"/>
          <w:szCs w:val="22"/>
        </w:rPr>
        <w:t>prednisolone</w:t>
      </w:r>
      <w:proofErr w:type="spellEnd"/>
      <w:r w:rsidRPr="00FA10D8">
        <w:rPr>
          <w:rFonts w:ascii="Times New Roman" w:hAnsi="Times New Roman" w:cs="Times New Roman"/>
          <w:szCs w:val="22"/>
        </w:rPr>
        <w:t xml:space="preserve"> </w:t>
      </w:r>
      <w:r w:rsidRPr="0009399F">
        <w:rPr>
          <w:rFonts w:ascii="Times New Roman" w:hAnsi="Times New Roman" w:cs="Times New Roman"/>
        </w:rPr>
        <w:t xml:space="preserve">0.5 mg/kg bodyweight/day, tapered) for induction treatment of lupus nephritis. </w:t>
      </w:r>
      <w:r w:rsidR="00410CD3" w:rsidRPr="0009399F">
        <w:rPr>
          <w:rFonts w:ascii="Times New Roman" w:hAnsi="Times New Roman" w:cs="Times New Roman"/>
        </w:rPr>
        <w:t xml:space="preserve">Adverse events were reported by 35/42 (83.3%) patients in the </w:t>
      </w:r>
      <w:proofErr w:type="spellStart"/>
      <w:r w:rsidR="00410CD3" w:rsidRPr="0009399F">
        <w:rPr>
          <w:rFonts w:ascii="Times New Roman" w:hAnsi="Times New Roman" w:cs="Times New Roman"/>
        </w:rPr>
        <w:t>Myfortic</w:t>
      </w:r>
      <w:proofErr w:type="spellEnd"/>
      <w:r w:rsidR="00410CD3" w:rsidRPr="0009399F">
        <w:rPr>
          <w:rFonts w:ascii="Times New Roman" w:hAnsi="Times New Roman" w:cs="Times New Roman"/>
        </w:rPr>
        <w:t xml:space="preserve"> and standard corticosteroid group and by 30/39 (76.9%) patients in the </w:t>
      </w:r>
      <w:proofErr w:type="spellStart"/>
      <w:r w:rsidR="00410CD3" w:rsidRPr="0009399F">
        <w:rPr>
          <w:rFonts w:ascii="Times New Roman" w:hAnsi="Times New Roman" w:cs="Times New Roman"/>
        </w:rPr>
        <w:t>Myfortic</w:t>
      </w:r>
      <w:proofErr w:type="spellEnd"/>
      <w:r w:rsidR="00410CD3" w:rsidRPr="0009399F">
        <w:rPr>
          <w:rFonts w:ascii="Times New Roman" w:hAnsi="Times New Roman" w:cs="Times New Roman"/>
        </w:rPr>
        <w:t xml:space="preserve"> and reduced corticosteroid group.  The incidence of gastrointestinal events (standard: 18/42, 42.9%; reduced: 13/39, 33.3%), infections (standard: 25/42, 59.5%; reduced: 14/39, 35.9%), and general disorders (standard: 14/42, 33.3%; reduced: 8/39, 20.5%) were higher in the </w:t>
      </w:r>
      <w:proofErr w:type="spellStart"/>
      <w:r w:rsidR="00410CD3" w:rsidRPr="0009399F">
        <w:rPr>
          <w:rFonts w:ascii="Times New Roman" w:hAnsi="Times New Roman" w:cs="Times New Roman"/>
        </w:rPr>
        <w:t>Myfortic</w:t>
      </w:r>
      <w:proofErr w:type="spellEnd"/>
      <w:r w:rsidR="00410CD3" w:rsidRPr="0009399F">
        <w:rPr>
          <w:rFonts w:ascii="Times New Roman" w:hAnsi="Times New Roman" w:cs="Times New Roman"/>
        </w:rPr>
        <w:t xml:space="preserve"> and standard corticosteroid group compared with the </w:t>
      </w:r>
      <w:proofErr w:type="spellStart"/>
      <w:r w:rsidR="00410CD3" w:rsidRPr="0009399F">
        <w:rPr>
          <w:rFonts w:ascii="Times New Roman" w:hAnsi="Times New Roman" w:cs="Times New Roman"/>
        </w:rPr>
        <w:t>Myfortic</w:t>
      </w:r>
      <w:proofErr w:type="spellEnd"/>
      <w:r w:rsidR="00410CD3" w:rsidRPr="0009399F">
        <w:rPr>
          <w:rFonts w:ascii="Times New Roman" w:hAnsi="Times New Roman" w:cs="Times New Roman"/>
        </w:rPr>
        <w:t xml:space="preserve"> and reduced corticosteroid group.</w:t>
      </w:r>
    </w:p>
    <w:p w:rsidR="00F43E69" w:rsidRPr="0009399F" w:rsidRDefault="00F43E69" w:rsidP="0009399F">
      <w:pPr>
        <w:pStyle w:val="Heading3"/>
        <w:spacing w:before="100" w:beforeAutospacing="1"/>
      </w:pPr>
      <w:r w:rsidRPr="0009399F">
        <w:t xml:space="preserve">Adverse </w:t>
      </w:r>
      <w:r w:rsidR="00BA4118" w:rsidRPr="0009399F">
        <w:t>effect</w:t>
      </w:r>
      <w:r w:rsidRPr="0009399F">
        <w:t>s from post marketing experience</w:t>
      </w:r>
    </w:p>
    <w:p w:rsidR="00F43E69" w:rsidRPr="0009399F" w:rsidRDefault="00F43E69" w:rsidP="0009399F">
      <w:pPr>
        <w:pStyle w:val="TextChar"/>
        <w:spacing w:before="0" w:after="100" w:afterAutospacing="1" w:line="320" w:lineRule="atLeast"/>
        <w:jc w:val="left"/>
      </w:pPr>
      <w:r w:rsidRPr="000F1C42">
        <w:t xml:space="preserve">Rash has been identified as an adverse </w:t>
      </w:r>
      <w:r w:rsidR="00BA4118" w:rsidRPr="000F1C42">
        <w:t>effect</w:t>
      </w:r>
      <w:r w:rsidRPr="000F1C42">
        <w:t xml:space="preserve"> from post-approval clinical trials, post marketing surveillance and spontaneous reports.</w:t>
      </w:r>
    </w:p>
    <w:p w:rsidR="00395F64" w:rsidRDefault="00395F64" w:rsidP="0009399F">
      <w:pPr>
        <w:pStyle w:val="TextChar"/>
        <w:spacing w:before="100" w:beforeAutospacing="1" w:after="100" w:afterAutospacing="1" w:line="320" w:lineRule="atLeast"/>
        <w:jc w:val="left"/>
      </w:pPr>
      <w:r w:rsidRPr="000F1C42">
        <w:t>The following additional adverse reactions are attributed to</w:t>
      </w:r>
      <w:r w:rsidR="00665050" w:rsidRPr="000F1C42">
        <w:t xml:space="preserve"> MPA derivatives</w:t>
      </w:r>
      <w:r w:rsidRPr="000F1C42">
        <w:t xml:space="preserve"> as a class effect:</w:t>
      </w:r>
    </w:p>
    <w:p w:rsidR="007E24A1" w:rsidRDefault="007E24A1" w:rsidP="0009399F">
      <w:pPr>
        <w:pStyle w:val="Default"/>
        <w:spacing w:before="100" w:beforeAutospacing="1" w:after="100" w:afterAutospacing="1" w:line="320" w:lineRule="atLeast"/>
      </w:pPr>
      <w:r>
        <w:t xml:space="preserve">Congenital malformations have been reported in offspring of patients exposed to </w:t>
      </w:r>
      <w:proofErr w:type="spellStart"/>
      <w:r>
        <w:t>mycophenolate</w:t>
      </w:r>
      <w:proofErr w:type="spellEnd"/>
      <w:r>
        <w:t xml:space="preserve"> </w:t>
      </w:r>
      <w:proofErr w:type="spellStart"/>
      <w:r>
        <w:t>mofetil</w:t>
      </w:r>
      <w:proofErr w:type="spellEnd"/>
      <w:r>
        <w:t xml:space="preserve"> (MMF) during pregnancy (see </w:t>
      </w:r>
      <w:r w:rsidR="0009399F">
        <w:t>PRECAUTIONS, Use in pregnancy).</w:t>
      </w:r>
    </w:p>
    <w:p w:rsidR="000514FA" w:rsidRPr="000F1C42" w:rsidRDefault="00D83195" w:rsidP="001E4AC1">
      <w:pPr>
        <w:pStyle w:val="TextChar"/>
        <w:spacing w:before="100" w:beforeAutospacing="1" w:after="100" w:afterAutospacing="1" w:line="320" w:lineRule="atLeast"/>
        <w:jc w:val="left"/>
        <w:rPr>
          <w:lang w:val="en-AU"/>
        </w:rPr>
      </w:pPr>
      <w:r w:rsidRPr="000F1C42">
        <w:rPr>
          <w:i/>
        </w:rPr>
        <w:lastRenderedPageBreak/>
        <w:t>Infections and Infestations</w:t>
      </w:r>
      <w:r w:rsidR="000514FA" w:rsidRPr="000F1C42">
        <w:t>:</w:t>
      </w:r>
      <w:r w:rsidR="000514FA" w:rsidRPr="000F1C42">
        <w:rPr>
          <w:b/>
        </w:rPr>
        <w:t xml:space="preserve"> </w:t>
      </w:r>
      <w:r w:rsidR="000514FA" w:rsidRPr="000F1C42">
        <w:t xml:space="preserve">serious, sometimes life-threatening infections, including meningitis, infectious </w:t>
      </w:r>
      <w:proofErr w:type="spellStart"/>
      <w:r w:rsidR="000514FA" w:rsidRPr="000F1C42">
        <w:t>endocarditis</w:t>
      </w:r>
      <w:proofErr w:type="spellEnd"/>
      <w:r w:rsidR="000514FA" w:rsidRPr="000F1C42">
        <w:t xml:space="preserve">, tuberculosis and atypical </w:t>
      </w:r>
      <w:proofErr w:type="spellStart"/>
      <w:r w:rsidR="000514FA" w:rsidRPr="000F1C42">
        <w:t>mycobacterial</w:t>
      </w:r>
      <w:proofErr w:type="spellEnd"/>
      <w:r w:rsidR="000514FA" w:rsidRPr="000F1C42">
        <w:t xml:space="preserve"> infection.</w:t>
      </w:r>
      <w:r w:rsidR="000514FA" w:rsidRPr="000F1C42">
        <w:rPr>
          <w:lang w:val="en-GB"/>
        </w:rPr>
        <w:t xml:space="preserve"> </w:t>
      </w:r>
      <w:proofErr w:type="spellStart"/>
      <w:r w:rsidRPr="000F1C42">
        <w:rPr>
          <w:lang w:val="en-GB"/>
        </w:rPr>
        <w:t>Polyomavirus</w:t>
      </w:r>
      <w:proofErr w:type="spellEnd"/>
      <w:r w:rsidRPr="000F1C42">
        <w:rPr>
          <w:lang w:val="en-GB"/>
        </w:rPr>
        <w:t xml:space="preserve"> associated nephropathy (PVAN), especially due to BK virus infection.</w:t>
      </w:r>
      <w:r w:rsidR="000514FA" w:rsidRPr="000F1C42">
        <w:rPr>
          <w:lang w:val="en-AU"/>
        </w:rPr>
        <w:t xml:space="preserve">Cases of progressive multifocal </w:t>
      </w:r>
      <w:proofErr w:type="spellStart"/>
      <w:r w:rsidR="000514FA" w:rsidRPr="000F1C42">
        <w:rPr>
          <w:lang w:val="en-AU"/>
        </w:rPr>
        <w:t>leukoencephalopathy</w:t>
      </w:r>
      <w:proofErr w:type="spellEnd"/>
      <w:r w:rsidR="000514FA" w:rsidRPr="000F1C42">
        <w:rPr>
          <w:lang w:val="en-AU"/>
        </w:rPr>
        <w:t xml:space="preserve"> (PML), sometimes fatal, have been reported</w:t>
      </w:r>
      <w:r w:rsidR="000514FA" w:rsidRPr="000F1C42">
        <w:rPr>
          <w:lang w:val="en-GB"/>
        </w:rPr>
        <w:t xml:space="preserve"> (see “PRECAUTIONS”)</w:t>
      </w:r>
      <w:r w:rsidR="000514FA" w:rsidRPr="000F1C42">
        <w:rPr>
          <w:lang w:val="en-AU"/>
        </w:rPr>
        <w:t>.</w:t>
      </w:r>
    </w:p>
    <w:p w:rsidR="000514FA" w:rsidRPr="000F1C42" w:rsidRDefault="00D83195" w:rsidP="001E4AC1">
      <w:pPr>
        <w:pStyle w:val="TextChar"/>
        <w:spacing w:before="100" w:beforeAutospacing="1" w:after="100" w:afterAutospacing="1" w:line="320" w:lineRule="atLeast"/>
        <w:jc w:val="left"/>
      </w:pPr>
      <w:r w:rsidRPr="000F1C42">
        <w:rPr>
          <w:i/>
        </w:rPr>
        <w:t>Blood and lymphatic system disorders</w:t>
      </w:r>
      <w:r w:rsidR="000514FA" w:rsidRPr="000F1C42">
        <w:t>:</w:t>
      </w:r>
      <w:r w:rsidR="000514FA" w:rsidRPr="000F1C42">
        <w:rPr>
          <w:b/>
        </w:rPr>
        <w:t xml:space="preserve"> </w:t>
      </w:r>
      <w:proofErr w:type="spellStart"/>
      <w:r w:rsidR="000514FA" w:rsidRPr="000F1C42">
        <w:t>neutropenia</w:t>
      </w:r>
      <w:proofErr w:type="spellEnd"/>
      <w:r w:rsidR="000514FA" w:rsidRPr="000F1C42">
        <w:t xml:space="preserve">, </w:t>
      </w:r>
      <w:proofErr w:type="spellStart"/>
      <w:r w:rsidR="000514FA" w:rsidRPr="000F1C42">
        <w:t>pancytopenia</w:t>
      </w:r>
      <w:proofErr w:type="spellEnd"/>
      <w:r w:rsidRPr="000F1C42">
        <w:t xml:space="preserve">. Cases of pure red cell </w:t>
      </w:r>
      <w:proofErr w:type="spellStart"/>
      <w:r w:rsidRPr="000F1C42">
        <w:t>aplasia</w:t>
      </w:r>
      <w:proofErr w:type="spellEnd"/>
      <w:r w:rsidRPr="000F1C42">
        <w:t xml:space="preserve"> (PRCA) have been reported in patients treated with </w:t>
      </w:r>
      <w:r w:rsidR="00665050" w:rsidRPr="000F1C42">
        <w:t xml:space="preserve">MPA derivatives </w:t>
      </w:r>
      <w:r w:rsidRPr="000F1C42">
        <w:t>in combination with other immunosuppressive agents (see “PRECAUTIONS”)</w:t>
      </w:r>
      <w:r w:rsidR="00981064" w:rsidRPr="000F1C42">
        <w:t>.</w:t>
      </w:r>
    </w:p>
    <w:p w:rsidR="00395F64" w:rsidRDefault="00395F64" w:rsidP="001E4AC1">
      <w:pPr>
        <w:pStyle w:val="TextChar"/>
        <w:spacing w:before="100" w:beforeAutospacing="1" w:after="100" w:afterAutospacing="1" w:line="320" w:lineRule="atLeast"/>
        <w:jc w:val="left"/>
      </w:pPr>
      <w:r w:rsidRPr="000F1C42">
        <w:rPr>
          <w:i/>
        </w:rPr>
        <w:t>Gastrointestinal</w:t>
      </w:r>
      <w:r w:rsidR="00D83195" w:rsidRPr="000F1C42">
        <w:rPr>
          <w:i/>
        </w:rPr>
        <w:t xml:space="preserve"> disorders</w:t>
      </w:r>
      <w:r w:rsidR="006449CB" w:rsidRPr="000F1C42">
        <w:t>:</w:t>
      </w:r>
      <w:r w:rsidRPr="000F1C42">
        <w:t xml:space="preserve"> colitis, </w:t>
      </w:r>
      <w:proofErr w:type="spellStart"/>
      <w:r w:rsidRPr="000F1C42">
        <w:t>oesophagitis</w:t>
      </w:r>
      <w:proofErr w:type="spellEnd"/>
      <w:r w:rsidRPr="000F1C42">
        <w:t xml:space="preserve"> (including CMV-colitis and -</w:t>
      </w:r>
      <w:proofErr w:type="spellStart"/>
      <w:r w:rsidRPr="000F1C42">
        <w:t>oesophagitis</w:t>
      </w:r>
      <w:proofErr w:type="spellEnd"/>
      <w:r w:rsidRPr="000F1C42">
        <w:t xml:space="preserve">), CMV gastritis, pancreatitis, intestinal perforation, gastrointestinal </w:t>
      </w:r>
      <w:proofErr w:type="spellStart"/>
      <w:r w:rsidRPr="000F1C42">
        <w:t>haemorrhage</w:t>
      </w:r>
      <w:proofErr w:type="spellEnd"/>
      <w:r w:rsidRPr="000F1C42">
        <w:t xml:space="preserve">, gastric ulcers, duodenal ulcers, </w:t>
      </w:r>
      <w:proofErr w:type="spellStart"/>
      <w:r w:rsidRPr="000F1C42">
        <w:t>ileus</w:t>
      </w:r>
      <w:proofErr w:type="spellEnd"/>
      <w:r w:rsidRPr="000F1C42">
        <w:t>.</w:t>
      </w:r>
    </w:p>
    <w:p w:rsidR="00395F64" w:rsidRPr="000F1C42" w:rsidRDefault="001E4AC1" w:rsidP="001E4AC1">
      <w:pPr>
        <w:pStyle w:val="Heading2"/>
      </w:pPr>
      <w:r>
        <w:t>DOSAGE AND ADMINISTRATION</w:t>
      </w:r>
    </w:p>
    <w:p w:rsidR="00CF6A49" w:rsidRDefault="00395F64" w:rsidP="001E4AC1">
      <w:pPr>
        <w:pStyle w:val="TextChar"/>
        <w:spacing w:before="0" w:after="100" w:afterAutospacing="1" w:line="320" w:lineRule="atLeast"/>
        <w:jc w:val="left"/>
      </w:pPr>
      <w:r w:rsidRPr="000F1C42">
        <w:t xml:space="preserve">Treatment with </w:t>
      </w:r>
      <w:proofErr w:type="spellStart"/>
      <w:r w:rsidRPr="000F1C42">
        <w:t>Myfortic</w:t>
      </w:r>
      <w:proofErr w:type="spellEnd"/>
      <w:r w:rsidRPr="000F1C42">
        <w:t xml:space="preserve"> should be initiated and maintained by appropriately qualified specialists</w:t>
      </w:r>
      <w:r w:rsidR="00C11E45">
        <w:t xml:space="preserve"> who are expert in managing the safety risks associated with the contraindication for use in pregnancy</w:t>
      </w:r>
      <w:r w:rsidRPr="000F1C42">
        <w:t>.</w:t>
      </w:r>
      <w:r w:rsidR="00F54E53">
        <w:t xml:space="preserve"> </w:t>
      </w:r>
      <w:r w:rsidRPr="000F1C42">
        <w:t xml:space="preserve">Consideration should be given to therapeutic drug monitoring of </w:t>
      </w:r>
      <w:proofErr w:type="spellStart"/>
      <w:r w:rsidRPr="000F1C42">
        <w:t>mycophenolate</w:t>
      </w:r>
      <w:proofErr w:type="spellEnd"/>
      <w:r w:rsidRPr="000F1C42">
        <w:t xml:space="preserve"> because of the variable pharmacokinetic profile and narrow therapeutic margin.</w:t>
      </w:r>
    </w:p>
    <w:p w:rsidR="00395F64" w:rsidRPr="000F1C42" w:rsidRDefault="00CF6A49" w:rsidP="001E4AC1">
      <w:pPr>
        <w:pStyle w:val="TextChar"/>
        <w:spacing w:before="100" w:beforeAutospacing="1" w:after="100" w:afterAutospacing="1" w:line="320" w:lineRule="atLeast"/>
        <w:jc w:val="left"/>
      </w:pPr>
      <w:proofErr w:type="spellStart"/>
      <w:r>
        <w:rPr>
          <w:lang w:val="en-GB"/>
        </w:rPr>
        <w:t>Myfortic</w:t>
      </w:r>
      <w:proofErr w:type="spellEnd"/>
      <w:r>
        <w:rPr>
          <w:lang w:val="en-GB"/>
        </w:rPr>
        <w:t xml:space="preserve"> should not be initiated in women of child-bearing potential until a negative pregnancy test has been obtained. For information on use in pregnancy and contraceptive requirements see sections entitled “</w:t>
      </w:r>
      <w:r w:rsidRPr="002F4D8C">
        <w:rPr>
          <w:lang w:val="en-GB"/>
        </w:rPr>
        <w:t>Women of child-bearing potential”, “Use in pregnancy”, and “Male patients”).</w:t>
      </w:r>
    </w:p>
    <w:p w:rsidR="00BF673A" w:rsidRPr="000F1C42" w:rsidRDefault="00BF673A" w:rsidP="001E4AC1">
      <w:pPr>
        <w:pStyle w:val="TextChar"/>
        <w:spacing w:before="100" w:beforeAutospacing="1" w:after="100" w:afterAutospacing="1" w:line="320" w:lineRule="atLeast"/>
        <w:jc w:val="left"/>
      </w:pPr>
      <w:r>
        <w:t xml:space="preserve">A dose of 1440mg/day of </w:t>
      </w:r>
      <w:proofErr w:type="spellStart"/>
      <w:r>
        <w:t>mycophenolate</w:t>
      </w:r>
      <w:proofErr w:type="spellEnd"/>
      <w:r>
        <w:t xml:space="preserve"> sodium</w:t>
      </w:r>
      <w:r w:rsidRPr="000F1C42">
        <w:t xml:space="preserve"> has been shown to be equivalent to 2 g/day of </w:t>
      </w:r>
      <w:proofErr w:type="spellStart"/>
      <w:r w:rsidRPr="000F1C42">
        <w:t>mycophenolate</w:t>
      </w:r>
      <w:proofErr w:type="spellEnd"/>
      <w:r w:rsidRPr="000F1C42">
        <w:t xml:space="preserve"> </w:t>
      </w:r>
      <w:proofErr w:type="spellStart"/>
      <w:r w:rsidRPr="000F1C42">
        <w:t>mofetil</w:t>
      </w:r>
      <w:proofErr w:type="spellEnd"/>
      <w:r w:rsidRPr="000F1C42">
        <w:t xml:space="preserve">.  </w:t>
      </w:r>
      <w:proofErr w:type="spellStart"/>
      <w:r w:rsidRPr="000F1C42">
        <w:t>Myfortic</w:t>
      </w:r>
      <w:proofErr w:type="spellEnd"/>
      <w:r w:rsidRPr="000F1C42">
        <w:t xml:space="preserve"> and </w:t>
      </w:r>
      <w:proofErr w:type="spellStart"/>
      <w:r w:rsidRPr="000F1C42">
        <w:t>CellCept</w:t>
      </w:r>
      <w:proofErr w:type="spellEnd"/>
      <w:r w:rsidRPr="000F1C42">
        <w:t xml:space="preserve"> (</w:t>
      </w:r>
      <w:proofErr w:type="spellStart"/>
      <w:r w:rsidRPr="000F1C42">
        <w:t>mycophenolate</w:t>
      </w:r>
      <w:proofErr w:type="spellEnd"/>
      <w:r w:rsidRPr="000F1C42">
        <w:t xml:space="preserve"> </w:t>
      </w:r>
      <w:proofErr w:type="spellStart"/>
      <w:r w:rsidRPr="000F1C42">
        <w:t>mofetil</w:t>
      </w:r>
      <w:proofErr w:type="spellEnd"/>
      <w:r w:rsidRPr="000F1C42">
        <w:t>) should not be indiscriminately interchanged or substituted because of their different pharmacokinetic profiles.</w:t>
      </w:r>
    </w:p>
    <w:p w:rsidR="00BF673A" w:rsidRPr="000F1C42" w:rsidRDefault="00BF673A" w:rsidP="001E4AC1">
      <w:pPr>
        <w:pStyle w:val="TextChar"/>
        <w:tabs>
          <w:tab w:val="left" w:pos="-720"/>
          <w:tab w:val="left" w:pos="510"/>
          <w:tab w:val="left" w:pos="918"/>
        </w:tabs>
        <w:spacing w:before="100" w:beforeAutospacing="1" w:after="100" w:afterAutospacing="1" w:line="320" w:lineRule="atLeast"/>
        <w:jc w:val="left"/>
        <w:outlineLvl w:val="0"/>
        <w:rPr>
          <w:b/>
          <w:lang w:val="en-AU"/>
        </w:rPr>
      </w:pPr>
      <w:proofErr w:type="spellStart"/>
      <w:r w:rsidRPr="000F1C42">
        <w:rPr>
          <w:lang w:val="en-AU"/>
        </w:rPr>
        <w:t>Myfortic</w:t>
      </w:r>
      <w:proofErr w:type="spellEnd"/>
      <w:r w:rsidRPr="000F1C42">
        <w:rPr>
          <w:lang w:val="en-AU"/>
        </w:rPr>
        <w:t xml:space="preserve"> tablets should not be crushed and should be swallowed whole.  Patients should be advised to take </w:t>
      </w:r>
      <w:proofErr w:type="spellStart"/>
      <w:r w:rsidRPr="000F1C42">
        <w:rPr>
          <w:lang w:val="en-AU"/>
        </w:rPr>
        <w:t>Myfortic</w:t>
      </w:r>
      <w:proofErr w:type="spellEnd"/>
      <w:r w:rsidRPr="000F1C42">
        <w:rPr>
          <w:lang w:val="en-AU"/>
        </w:rPr>
        <w:t xml:space="preserve"> consistently either with or without food, but not switch between fed and fasted states because of the risk of increased MPA AUC variability.</w:t>
      </w:r>
    </w:p>
    <w:p w:rsidR="00BF673A" w:rsidRPr="00BC50CE" w:rsidRDefault="00BF673A" w:rsidP="001E4AC1">
      <w:pPr>
        <w:pStyle w:val="Heading3"/>
        <w:spacing w:before="100" w:beforeAutospacing="1"/>
      </w:pPr>
      <w:r w:rsidRPr="00BC50CE">
        <w:t>Renal transplant patients:</w:t>
      </w:r>
    </w:p>
    <w:p w:rsidR="000509E5" w:rsidRDefault="00395F64" w:rsidP="001E4AC1">
      <w:pPr>
        <w:pStyle w:val="TextChar"/>
        <w:spacing w:before="0" w:after="100" w:afterAutospacing="1" w:line="320" w:lineRule="atLeast"/>
        <w:jc w:val="left"/>
        <w:rPr>
          <w:b/>
          <w:lang w:val="en-AU"/>
        </w:rPr>
      </w:pPr>
      <w:proofErr w:type="spellStart"/>
      <w:r w:rsidRPr="000F1C42">
        <w:t>Myfortic</w:t>
      </w:r>
      <w:proofErr w:type="spellEnd"/>
      <w:r w:rsidRPr="000F1C42">
        <w:t xml:space="preserve"> should be initiated in </w:t>
      </w:r>
      <w:r w:rsidRPr="000F1C42">
        <w:rPr>
          <w:i/>
        </w:rPr>
        <w:t>de novo</w:t>
      </w:r>
      <w:r w:rsidRPr="000F1C42">
        <w:t xml:space="preserve"> patients within </w:t>
      </w:r>
      <w:r w:rsidR="00147C8B" w:rsidRPr="000F1C42">
        <w:t>48</w:t>
      </w:r>
      <w:r w:rsidRPr="000F1C42">
        <w:t xml:space="preserve"> hours following transplantation. The recommended dose is 720 mg administered twi</w:t>
      </w:r>
      <w:r w:rsidR="001E4AC1">
        <w:t>ce daily (1440 mg daily dose).</w:t>
      </w:r>
    </w:p>
    <w:p w:rsidR="00395F64" w:rsidRPr="000F1C42" w:rsidRDefault="00AE7398" w:rsidP="001E4AC1">
      <w:pPr>
        <w:pStyle w:val="Heading3"/>
        <w:spacing w:before="100" w:beforeAutospacing="1"/>
      </w:pPr>
      <w:r>
        <w:t>Paediatric patients</w:t>
      </w:r>
      <w:r w:rsidR="00395F64" w:rsidRPr="000F1C42">
        <w:t>:</w:t>
      </w:r>
    </w:p>
    <w:p w:rsidR="00395F64" w:rsidRPr="000F1C42" w:rsidRDefault="00395F64" w:rsidP="001E4AC1">
      <w:pPr>
        <w:tabs>
          <w:tab w:val="left" w:pos="-720"/>
          <w:tab w:val="left" w:pos="510"/>
          <w:tab w:val="left" w:pos="918"/>
        </w:tabs>
        <w:spacing w:after="100" w:afterAutospacing="1" w:line="320" w:lineRule="atLeast"/>
        <w:outlineLvl w:val="0"/>
        <w:rPr>
          <w:rFonts w:ascii="Times New Roman" w:hAnsi="Times New Roman"/>
        </w:rPr>
      </w:pPr>
      <w:r w:rsidRPr="000F1C42">
        <w:rPr>
          <w:rFonts w:ascii="Times New Roman" w:hAnsi="Times New Roman"/>
        </w:rPr>
        <w:t>Safety and efficacy in paediatric patients have not been established</w:t>
      </w:r>
    </w:p>
    <w:p w:rsidR="00395F64" w:rsidRPr="000F1C42" w:rsidRDefault="00395F64" w:rsidP="001E4AC1">
      <w:pPr>
        <w:pStyle w:val="Heading3"/>
        <w:spacing w:before="100" w:beforeAutospacing="1"/>
      </w:pPr>
      <w:r w:rsidRPr="000F1C42">
        <w:lastRenderedPageBreak/>
        <w:t>Elderly patients:</w:t>
      </w:r>
    </w:p>
    <w:p w:rsidR="00395F64" w:rsidRPr="000F1C42" w:rsidRDefault="00395F64" w:rsidP="001E4AC1">
      <w:pPr>
        <w:spacing w:after="100" w:afterAutospacing="1" w:line="320" w:lineRule="atLeast"/>
        <w:rPr>
          <w:rFonts w:ascii="Times New Roman" w:hAnsi="Times New Roman"/>
          <w:b/>
        </w:rPr>
      </w:pPr>
      <w:r w:rsidRPr="000F1C42">
        <w:rPr>
          <w:rFonts w:ascii="Times New Roman" w:hAnsi="Times New Roman"/>
        </w:rPr>
        <w:t>No dose adjustment is required in elderly patients.</w:t>
      </w:r>
    </w:p>
    <w:p w:rsidR="00241D23" w:rsidRDefault="000248CB" w:rsidP="001E4AC1">
      <w:pPr>
        <w:pStyle w:val="Heading3"/>
        <w:spacing w:before="100" w:beforeAutospacing="1"/>
      </w:pPr>
      <w:r>
        <w:t>Patients with renal insufficiency</w:t>
      </w:r>
      <w:r w:rsidR="00241D23">
        <w:t>:</w:t>
      </w:r>
    </w:p>
    <w:p w:rsidR="00395F64" w:rsidRPr="000F1C42" w:rsidRDefault="00395F64" w:rsidP="001E4AC1">
      <w:pPr>
        <w:tabs>
          <w:tab w:val="left" w:pos="-720"/>
          <w:tab w:val="left" w:pos="510"/>
          <w:tab w:val="left" w:pos="918"/>
        </w:tabs>
        <w:spacing w:after="100" w:afterAutospacing="1" w:line="320" w:lineRule="atLeast"/>
        <w:outlineLvl w:val="0"/>
        <w:rPr>
          <w:rFonts w:ascii="Times New Roman" w:hAnsi="Times New Roman"/>
        </w:rPr>
      </w:pPr>
      <w:r w:rsidRPr="000F1C42">
        <w:rPr>
          <w:rFonts w:ascii="Times New Roman" w:hAnsi="Times New Roman"/>
        </w:rPr>
        <w:t>No dose adjustments are needed in patients experiencing delayed renal graft function post-operatively.  Patients with severe chronic renal impairment (</w:t>
      </w:r>
      <w:proofErr w:type="spellStart"/>
      <w:r w:rsidRPr="000F1C42">
        <w:rPr>
          <w:rFonts w:ascii="Times New Roman" w:hAnsi="Times New Roman"/>
        </w:rPr>
        <w:t>glomerular</w:t>
      </w:r>
      <w:proofErr w:type="spellEnd"/>
      <w:r w:rsidRPr="000F1C42">
        <w:rPr>
          <w:rFonts w:ascii="Times New Roman" w:hAnsi="Times New Roman"/>
        </w:rPr>
        <w:t xml:space="preserve"> filtration rate &lt; 25 ml·min</w:t>
      </w:r>
      <w:r w:rsidRPr="000F1C42">
        <w:rPr>
          <w:rFonts w:ascii="Times New Roman" w:hAnsi="Times New Roman"/>
          <w:vertAlign w:val="superscript"/>
        </w:rPr>
        <w:t>-1</w:t>
      </w:r>
      <w:r w:rsidRPr="000F1C42">
        <w:rPr>
          <w:rFonts w:ascii="Times New Roman" w:hAnsi="Times New Roman"/>
        </w:rPr>
        <w:t>·1.73 m</w:t>
      </w:r>
      <w:r w:rsidRPr="000F1C42">
        <w:rPr>
          <w:rFonts w:ascii="Times New Roman" w:hAnsi="Times New Roman"/>
          <w:vertAlign w:val="superscript"/>
        </w:rPr>
        <w:t>-2</w:t>
      </w:r>
      <w:r w:rsidRPr="000F1C42">
        <w:rPr>
          <w:rFonts w:ascii="Times New Roman" w:hAnsi="Times New Roman"/>
        </w:rPr>
        <w:t>) should be carefully monitored.</w:t>
      </w:r>
    </w:p>
    <w:p w:rsidR="00241D23" w:rsidRPr="00692078" w:rsidRDefault="000248CB" w:rsidP="001E4AC1">
      <w:pPr>
        <w:pStyle w:val="Heading3"/>
        <w:spacing w:before="100" w:beforeAutospacing="1"/>
      </w:pPr>
      <w:r>
        <w:t>Patients with hepatic insufficiency</w:t>
      </w:r>
      <w:r w:rsidR="00241D23">
        <w:t xml:space="preserve">: </w:t>
      </w:r>
    </w:p>
    <w:p w:rsidR="00395F64" w:rsidRPr="000F1C42" w:rsidRDefault="00395F64" w:rsidP="001E4AC1">
      <w:pPr>
        <w:pStyle w:val="TextChar"/>
        <w:spacing w:before="0" w:after="100" w:afterAutospacing="1" w:line="320" w:lineRule="atLeast"/>
        <w:jc w:val="left"/>
      </w:pPr>
      <w:r w:rsidRPr="000F1C42">
        <w:t xml:space="preserve">No dose adjustments are needed for renal transplant patients with severe hepatic </w:t>
      </w:r>
      <w:proofErr w:type="spellStart"/>
      <w:r w:rsidRPr="000F1C42">
        <w:t>parenchymal</w:t>
      </w:r>
      <w:proofErr w:type="spellEnd"/>
      <w:r w:rsidRPr="000F1C42">
        <w:t xml:space="preserve"> disease.</w:t>
      </w:r>
    </w:p>
    <w:p w:rsidR="00395F64" w:rsidRPr="000F1C42" w:rsidRDefault="00AE7398" w:rsidP="001E4AC1">
      <w:pPr>
        <w:pStyle w:val="Heading3"/>
        <w:spacing w:before="100" w:beforeAutospacing="1"/>
      </w:pPr>
      <w:r>
        <w:t>Treatment</w:t>
      </w:r>
      <w:r w:rsidR="00395F64" w:rsidRPr="000F1C42">
        <w:t xml:space="preserve"> during rejection episodes:</w:t>
      </w:r>
    </w:p>
    <w:p w:rsidR="00395F64" w:rsidRDefault="00395F64" w:rsidP="001E4AC1">
      <w:pPr>
        <w:pStyle w:val="TextChar"/>
        <w:spacing w:before="0" w:after="100" w:afterAutospacing="1" w:line="320" w:lineRule="atLeast"/>
        <w:jc w:val="left"/>
      </w:pPr>
      <w:r w:rsidRPr="000F1C42">
        <w:t xml:space="preserve">Dosage reduction or interruption of </w:t>
      </w:r>
      <w:proofErr w:type="spellStart"/>
      <w:r w:rsidRPr="000F1C42">
        <w:t>Myfortic</w:t>
      </w:r>
      <w:proofErr w:type="spellEnd"/>
      <w:r w:rsidRPr="000F1C42">
        <w:t xml:space="preserve"> is not required during episodes of renal transplant rejection.</w:t>
      </w:r>
    </w:p>
    <w:p w:rsidR="003C1CEC" w:rsidRPr="00BC50CE" w:rsidRDefault="003C1CEC" w:rsidP="001E4AC1">
      <w:pPr>
        <w:pStyle w:val="Heading3"/>
        <w:spacing w:before="100" w:beforeAutospacing="1"/>
      </w:pPr>
      <w:r w:rsidRPr="00BC50CE">
        <w:t>Lupus nephritis patients:</w:t>
      </w:r>
    </w:p>
    <w:p w:rsidR="00426A20" w:rsidRDefault="00426A20" w:rsidP="001E4AC1">
      <w:pPr>
        <w:pStyle w:val="TextChar"/>
        <w:spacing w:before="0" w:after="100" w:afterAutospacing="1" w:line="320" w:lineRule="atLeast"/>
        <w:jc w:val="left"/>
      </w:pPr>
      <w:r>
        <w:t xml:space="preserve">Adequate dose finding studies have not been performed. The prescriber should adjust the dose based on clinical </w:t>
      </w:r>
      <w:r w:rsidR="004C1377">
        <w:t>response.</w:t>
      </w:r>
    </w:p>
    <w:p w:rsidR="003C1CEC" w:rsidRDefault="003C1CEC" w:rsidP="001E4AC1">
      <w:pPr>
        <w:pStyle w:val="TextChar"/>
        <w:spacing w:before="100" w:beforeAutospacing="1" w:after="100" w:afterAutospacing="1" w:line="320" w:lineRule="atLeast"/>
        <w:jc w:val="left"/>
      </w:pPr>
      <w:r>
        <w:t xml:space="preserve">Induction treatment with </w:t>
      </w:r>
      <w:proofErr w:type="spellStart"/>
      <w:r>
        <w:t>Myfortic</w:t>
      </w:r>
      <w:proofErr w:type="spellEnd"/>
      <w:r>
        <w:t xml:space="preserve"> is usually initially administered in combination with corticosteroids. The recommended dose is 720mg administered twice daily (1440mg daily dose).</w:t>
      </w:r>
      <w:r w:rsidR="00DE1ECA">
        <w:t xml:space="preserve"> </w:t>
      </w:r>
      <w:r w:rsidR="001E043D">
        <w:t>A</w:t>
      </w:r>
      <w:r w:rsidR="00DE1ECA">
        <w:t xml:space="preserve"> daily dose </w:t>
      </w:r>
      <w:r w:rsidR="001E043D">
        <w:t xml:space="preserve">of </w:t>
      </w:r>
      <w:r w:rsidR="00DE1ECA">
        <w:t>greater than 1440mg/day has been used for induction therapy</w:t>
      </w:r>
      <w:r w:rsidR="001E043D">
        <w:t xml:space="preserve"> in some studies</w:t>
      </w:r>
      <w:r w:rsidR="00DE1ECA">
        <w:t xml:space="preserve"> (see ‘Clinical Trials” section).</w:t>
      </w:r>
      <w:r w:rsidRPr="00175AE3">
        <w:t xml:space="preserve"> </w:t>
      </w:r>
      <w:r w:rsidRPr="00907B05">
        <w:t xml:space="preserve">This dose may be </w:t>
      </w:r>
      <w:r>
        <w:t>tapered for maintenance purposes following a</w:t>
      </w:r>
      <w:r w:rsidR="001E4AC1">
        <w:t xml:space="preserve"> complete or partial response.</w:t>
      </w:r>
    </w:p>
    <w:p w:rsidR="00395F64" w:rsidRPr="000F1C42" w:rsidRDefault="00395F64" w:rsidP="001E4AC1">
      <w:pPr>
        <w:pStyle w:val="Heading2"/>
      </w:pPr>
      <w:r w:rsidRPr="000F1C42">
        <w:t>OVERDOSAGE</w:t>
      </w:r>
    </w:p>
    <w:p w:rsidR="00395F64" w:rsidRPr="000F1C42" w:rsidRDefault="00395F64" w:rsidP="001E4AC1">
      <w:pPr>
        <w:pStyle w:val="Heading3"/>
      </w:pPr>
      <w:r w:rsidRPr="000F1C42">
        <w:t>Signs and symptoms:</w:t>
      </w:r>
    </w:p>
    <w:p w:rsidR="00395F64" w:rsidRPr="000F1C42" w:rsidRDefault="00395F64" w:rsidP="001E4AC1">
      <w:pPr>
        <w:pStyle w:val="TextChar"/>
        <w:spacing w:before="0" w:after="100" w:afterAutospacing="1" w:line="320" w:lineRule="atLeast"/>
        <w:jc w:val="left"/>
      </w:pPr>
      <w:r w:rsidRPr="000F1C42">
        <w:t xml:space="preserve">There has been no reported experience of </w:t>
      </w:r>
      <w:proofErr w:type="spellStart"/>
      <w:r w:rsidRPr="000F1C42">
        <w:t>overdosage</w:t>
      </w:r>
      <w:proofErr w:type="spellEnd"/>
      <w:r w:rsidRPr="000F1C42">
        <w:t xml:space="preserve"> of </w:t>
      </w:r>
      <w:proofErr w:type="spellStart"/>
      <w:r w:rsidRPr="000F1C42">
        <w:t>Myfortic</w:t>
      </w:r>
      <w:proofErr w:type="spellEnd"/>
      <w:r w:rsidRPr="000F1C42">
        <w:t xml:space="preserve"> in humans.</w:t>
      </w:r>
    </w:p>
    <w:p w:rsidR="00395F64" w:rsidRPr="000F1C42" w:rsidRDefault="00395F64" w:rsidP="001E4AC1">
      <w:pPr>
        <w:pStyle w:val="Heading3"/>
      </w:pPr>
      <w:r w:rsidRPr="000F1C42">
        <w:t>Treatment:</w:t>
      </w:r>
    </w:p>
    <w:p w:rsidR="00395F64" w:rsidRPr="000F1C42" w:rsidRDefault="00395F64" w:rsidP="001E4AC1">
      <w:pPr>
        <w:pStyle w:val="TextChar"/>
        <w:spacing w:before="0" w:after="100" w:afterAutospacing="1" w:line="320" w:lineRule="atLeast"/>
        <w:jc w:val="left"/>
      </w:pPr>
      <w:r w:rsidRPr="000F1C42">
        <w:t xml:space="preserve">Although dialysis may be used to remove the inactive metabolite MPAG, it would not be </w:t>
      </w:r>
      <w:proofErr w:type="gramStart"/>
      <w:r w:rsidRPr="000F1C42">
        <w:t>expected</w:t>
      </w:r>
      <w:proofErr w:type="gramEnd"/>
      <w:r w:rsidRPr="000F1C42">
        <w:t xml:space="preserve"> to remove clinically significant amounts of the active moiety</w:t>
      </w:r>
      <w:r w:rsidR="007C3F75" w:rsidRPr="000F1C42">
        <w:t>,</w:t>
      </w:r>
      <w:r w:rsidRPr="000F1C42">
        <w:t xml:space="preserve"> MPA.  This is in large part due to the very high plasma protein binding of MPA.  By interfering with </w:t>
      </w:r>
      <w:proofErr w:type="spellStart"/>
      <w:r w:rsidRPr="000F1C42">
        <w:t>enterohepatic</w:t>
      </w:r>
      <w:proofErr w:type="spellEnd"/>
      <w:r w:rsidRPr="000F1C42">
        <w:t xml:space="preserve"> circulation of MPA, bile acid </w:t>
      </w:r>
      <w:proofErr w:type="spellStart"/>
      <w:r w:rsidRPr="000F1C42">
        <w:t>sequestrants</w:t>
      </w:r>
      <w:proofErr w:type="spellEnd"/>
      <w:r w:rsidRPr="000F1C42">
        <w:t xml:space="preserve"> such as </w:t>
      </w:r>
      <w:proofErr w:type="spellStart"/>
      <w:r w:rsidRPr="000F1C42">
        <w:t>cholestyramine</w:t>
      </w:r>
      <w:proofErr w:type="spellEnd"/>
      <w:r w:rsidRPr="000F1C42">
        <w:t xml:space="preserve"> may reduce the systemic exposure of MPA.</w:t>
      </w:r>
    </w:p>
    <w:p w:rsidR="00D966A7" w:rsidRPr="000F1C42" w:rsidRDefault="00D966A7" w:rsidP="001E4AC1">
      <w:pPr>
        <w:spacing w:before="100" w:beforeAutospacing="1" w:after="100" w:afterAutospacing="1"/>
        <w:jc w:val="both"/>
        <w:rPr>
          <w:rFonts w:ascii="Times New Roman" w:hAnsi="Times New Roman" w:cs="Times New Roman"/>
        </w:rPr>
      </w:pPr>
      <w:r w:rsidRPr="000F1C42">
        <w:rPr>
          <w:rFonts w:ascii="Times New Roman" w:hAnsi="Times New Roman" w:cs="Times New Roman"/>
        </w:rPr>
        <w:t>Contact Poison Information Centre on 13</w:t>
      </w:r>
      <w:r w:rsidR="009018F8" w:rsidRPr="000F1C42">
        <w:rPr>
          <w:rFonts w:ascii="Times New Roman" w:hAnsi="Times New Roman" w:cs="Times New Roman"/>
        </w:rPr>
        <w:t xml:space="preserve"> </w:t>
      </w:r>
      <w:r w:rsidRPr="000F1C42">
        <w:rPr>
          <w:rFonts w:ascii="Times New Roman" w:hAnsi="Times New Roman" w:cs="Times New Roman"/>
        </w:rPr>
        <w:t>11</w:t>
      </w:r>
      <w:r w:rsidR="009018F8" w:rsidRPr="000F1C42">
        <w:rPr>
          <w:rFonts w:ascii="Times New Roman" w:hAnsi="Times New Roman" w:cs="Times New Roman"/>
        </w:rPr>
        <w:t xml:space="preserve"> </w:t>
      </w:r>
      <w:r w:rsidRPr="000F1C42">
        <w:rPr>
          <w:rFonts w:ascii="Times New Roman" w:hAnsi="Times New Roman" w:cs="Times New Roman"/>
        </w:rPr>
        <w:t>26 for advice on management.</w:t>
      </w:r>
    </w:p>
    <w:p w:rsidR="00395F64" w:rsidRPr="000F1C42" w:rsidRDefault="00395F64" w:rsidP="001E4AC1">
      <w:pPr>
        <w:pStyle w:val="Heading2"/>
      </w:pPr>
      <w:r w:rsidRPr="000F1C42">
        <w:t>PRESENTATION</w:t>
      </w:r>
      <w:r w:rsidR="00D966A7" w:rsidRPr="000F1C42">
        <w:t xml:space="preserve"> </w:t>
      </w:r>
      <w:smartTag w:uri="urn:schemas-microsoft-com:office:smarttags" w:element="stockticker">
        <w:r w:rsidR="00D966A7" w:rsidRPr="000F1C42">
          <w:t>AND</w:t>
        </w:r>
      </w:smartTag>
      <w:r w:rsidR="00D966A7" w:rsidRPr="000F1C42">
        <w:t xml:space="preserve"> STORAGE CONDITIONS</w:t>
      </w:r>
    </w:p>
    <w:p w:rsidR="00D966A7" w:rsidRPr="001E4AC1" w:rsidRDefault="00D966A7" w:rsidP="001E4AC1">
      <w:pPr>
        <w:pStyle w:val="Heading3"/>
      </w:pPr>
      <w:r w:rsidRPr="001E4AC1">
        <w:t>Presentation:</w:t>
      </w:r>
    </w:p>
    <w:p w:rsidR="00D966A7" w:rsidRPr="000F1C42" w:rsidRDefault="00395F64" w:rsidP="001E4AC1">
      <w:pPr>
        <w:pStyle w:val="Heading4"/>
      </w:pPr>
      <w:proofErr w:type="spellStart"/>
      <w:r w:rsidRPr="000F1C42">
        <w:t>Myfortic</w:t>
      </w:r>
      <w:proofErr w:type="spellEnd"/>
      <w:r w:rsidRPr="000F1C42">
        <w:t xml:space="preserve"> 180 mg</w:t>
      </w:r>
      <w:r w:rsidR="001E4AC1">
        <w:t>:</w:t>
      </w:r>
    </w:p>
    <w:p w:rsidR="00395F64" w:rsidRPr="000F1C42" w:rsidRDefault="00D966A7">
      <w:pPr>
        <w:pStyle w:val="TextChar"/>
        <w:spacing w:before="0" w:line="320" w:lineRule="atLeast"/>
        <w:jc w:val="left"/>
      </w:pPr>
      <w:r w:rsidRPr="000F1C42">
        <w:t>L</w:t>
      </w:r>
      <w:r w:rsidR="00395F64" w:rsidRPr="000F1C42">
        <w:t>ime green, enteric-coated</w:t>
      </w:r>
      <w:r w:rsidR="007C3F75" w:rsidRPr="000F1C42">
        <w:t>,</w:t>
      </w:r>
      <w:r w:rsidR="00395F64" w:rsidRPr="000F1C42">
        <w:t xml:space="preserve"> round tablet with </w:t>
      </w:r>
      <w:proofErr w:type="spellStart"/>
      <w:r w:rsidR="00395F64" w:rsidRPr="000F1C42">
        <w:t>bevelled</w:t>
      </w:r>
      <w:proofErr w:type="spellEnd"/>
      <w:r w:rsidR="00395F64" w:rsidRPr="000F1C42">
        <w:t xml:space="preserve"> edges and the imprint “C” on one side.</w:t>
      </w:r>
    </w:p>
    <w:p w:rsidR="00D966A7" w:rsidRPr="000F1C42" w:rsidRDefault="00395F64" w:rsidP="001E4AC1">
      <w:pPr>
        <w:pStyle w:val="Heading4"/>
      </w:pPr>
      <w:proofErr w:type="spellStart"/>
      <w:r w:rsidRPr="000F1C42">
        <w:lastRenderedPageBreak/>
        <w:t>Myfortic</w:t>
      </w:r>
      <w:proofErr w:type="spellEnd"/>
      <w:r w:rsidRPr="000F1C42">
        <w:t xml:space="preserve"> 360 mg:</w:t>
      </w:r>
    </w:p>
    <w:p w:rsidR="00395F64" w:rsidRPr="000F1C42" w:rsidRDefault="00395F64" w:rsidP="001E4AC1">
      <w:pPr>
        <w:pStyle w:val="TextChar"/>
        <w:spacing w:before="0" w:after="100" w:afterAutospacing="1" w:line="320" w:lineRule="atLeast"/>
        <w:jc w:val="left"/>
      </w:pPr>
      <w:proofErr w:type="gramStart"/>
      <w:r w:rsidRPr="000F1C42">
        <w:t>Pale orange red</w:t>
      </w:r>
      <w:r w:rsidR="007C3F75" w:rsidRPr="000F1C42">
        <w:t>,</w:t>
      </w:r>
      <w:r w:rsidRPr="000F1C42">
        <w:t xml:space="preserve"> enteric-coated</w:t>
      </w:r>
      <w:r w:rsidR="007C3F75" w:rsidRPr="000F1C42">
        <w:t>,</w:t>
      </w:r>
      <w:r w:rsidRPr="000F1C42">
        <w:t xml:space="preserve"> </w:t>
      </w:r>
      <w:proofErr w:type="spellStart"/>
      <w:r w:rsidRPr="000F1C42">
        <w:t>ovaloid</w:t>
      </w:r>
      <w:proofErr w:type="spellEnd"/>
      <w:r w:rsidRPr="000F1C42">
        <w:t xml:space="preserve"> tablet with imprint ‘CT’ on one side.</w:t>
      </w:r>
      <w:proofErr w:type="gramEnd"/>
    </w:p>
    <w:p w:rsidR="00395F64" w:rsidRPr="000F1C42" w:rsidRDefault="00395F64" w:rsidP="001E4AC1">
      <w:pPr>
        <w:pStyle w:val="TextChar"/>
        <w:spacing w:before="100" w:beforeAutospacing="1" w:after="100" w:afterAutospacing="1" w:line="320" w:lineRule="atLeast"/>
        <w:jc w:val="left"/>
      </w:pPr>
      <w:proofErr w:type="gramStart"/>
      <w:r w:rsidRPr="000F1C42">
        <w:t>Packs containing 50 or 120 tablets</w:t>
      </w:r>
      <w:r w:rsidRPr="000F1C42">
        <w:rPr>
          <w:i/>
        </w:rPr>
        <w:t>.</w:t>
      </w:r>
      <w:proofErr w:type="gramEnd"/>
    </w:p>
    <w:p w:rsidR="00D966A7" w:rsidRPr="000F1C42" w:rsidRDefault="00395F64" w:rsidP="001E4AC1">
      <w:pPr>
        <w:pStyle w:val="Heading3"/>
        <w:spacing w:before="100" w:beforeAutospacing="1"/>
      </w:pPr>
      <w:r w:rsidRPr="000F1C42">
        <w:t xml:space="preserve">Storage conditions: </w:t>
      </w:r>
    </w:p>
    <w:p w:rsidR="00395F64" w:rsidRPr="000F1C42" w:rsidRDefault="00395F64" w:rsidP="001E4AC1">
      <w:pPr>
        <w:pStyle w:val="TextChar"/>
        <w:spacing w:before="0" w:after="100" w:afterAutospacing="1" w:line="320" w:lineRule="atLeast"/>
        <w:jc w:val="left"/>
      </w:pPr>
      <w:proofErr w:type="gramStart"/>
      <w:r w:rsidRPr="000F1C42">
        <w:t>Store in original package and container below 30</w:t>
      </w:r>
      <w:r w:rsidRPr="000F1C42">
        <w:sym w:font="Symbol" w:char="F0B0"/>
      </w:r>
      <w:r w:rsidRPr="000F1C42">
        <w:t>C.</w:t>
      </w:r>
      <w:proofErr w:type="gramEnd"/>
      <w:r w:rsidRPr="000F1C42">
        <w:t xml:space="preserve">  Protect from moisture and light.  Keep out of reach of children.</w:t>
      </w:r>
    </w:p>
    <w:p w:rsidR="00395F64" w:rsidRPr="000F1C42" w:rsidRDefault="009018F8" w:rsidP="00772002">
      <w:pPr>
        <w:pStyle w:val="Heading2"/>
      </w:pPr>
      <w:r w:rsidRPr="000F1C42">
        <w:t xml:space="preserve">NAME AND ADDRESS OF THE </w:t>
      </w:r>
      <w:r w:rsidR="00395F64" w:rsidRPr="000F1C42">
        <w:t>SPONSOR</w:t>
      </w:r>
    </w:p>
    <w:p w:rsidR="00395F64" w:rsidRPr="000F1C42" w:rsidRDefault="00395F64" w:rsidP="00772002">
      <w:pPr>
        <w:tabs>
          <w:tab w:val="left" w:pos="-720"/>
          <w:tab w:val="left" w:pos="714"/>
        </w:tabs>
        <w:spacing w:before="100" w:beforeAutospacing="1" w:line="320" w:lineRule="atLeast"/>
        <w:rPr>
          <w:rFonts w:ascii="Times New Roman" w:hAnsi="Times New Roman"/>
        </w:rPr>
      </w:pPr>
      <w:r w:rsidRPr="000F1C42">
        <w:rPr>
          <w:rFonts w:ascii="Times New Roman" w:hAnsi="Times New Roman"/>
        </w:rPr>
        <w:t>NOVARTIS Pharmaceuticals Australia Pty Limited</w:t>
      </w:r>
    </w:p>
    <w:p w:rsidR="00395F64" w:rsidRPr="000F1C42" w:rsidRDefault="00395F64">
      <w:pPr>
        <w:tabs>
          <w:tab w:val="left" w:pos="-720"/>
          <w:tab w:val="left" w:pos="714"/>
        </w:tabs>
        <w:spacing w:line="320" w:lineRule="atLeast"/>
        <w:rPr>
          <w:rFonts w:ascii="Times New Roman" w:hAnsi="Times New Roman"/>
        </w:rPr>
      </w:pPr>
      <w:r w:rsidRPr="000F1C42">
        <w:rPr>
          <w:rFonts w:ascii="Times New Roman" w:hAnsi="Times New Roman"/>
        </w:rPr>
        <w:t>A</w:t>
      </w:r>
      <w:r w:rsidR="003A65B8" w:rsidRPr="000F1C42">
        <w:rPr>
          <w:rFonts w:ascii="Times New Roman" w:hAnsi="Times New Roman"/>
        </w:rPr>
        <w:t>B</w:t>
      </w:r>
      <w:r w:rsidRPr="000F1C42">
        <w:rPr>
          <w:rFonts w:ascii="Times New Roman" w:hAnsi="Times New Roman"/>
        </w:rPr>
        <w:t xml:space="preserve">N </w:t>
      </w:r>
      <w:r w:rsidR="003A65B8" w:rsidRPr="000F1C42">
        <w:rPr>
          <w:rFonts w:ascii="Times New Roman" w:hAnsi="Times New Roman"/>
        </w:rPr>
        <w:t xml:space="preserve">18 </w:t>
      </w:r>
      <w:r w:rsidRPr="000F1C42">
        <w:rPr>
          <w:rFonts w:ascii="Times New Roman" w:hAnsi="Times New Roman"/>
        </w:rPr>
        <w:t>004 244 160</w:t>
      </w:r>
    </w:p>
    <w:p w:rsidR="00395F64" w:rsidRPr="000F1C42" w:rsidRDefault="00395F64">
      <w:pPr>
        <w:tabs>
          <w:tab w:val="left" w:pos="-720"/>
          <w:tab w:val="left" w:pos="714"/>
        </w:tabs>
        <w:spacing w:line="320" w:lineRule="atLeast"/>
        <w:rPr>
          <w:rFonts w:ascii="Times New Roman" w:hAnsi="Times New Roman"/>
        </w:rPr>
      </w:pPr>
      <w:r w:rsidRPr="000F1C42">
        <w:rPr>
          <w:rFonts w:ascii="Times New Roman" w:hAnsi="Times New Roman"/>
        </w:rPr>
        <w:t>54 Waterloo Road</w:t>
      </w:r>
    </w:p>
    <w:p w:rsidR="00395F64" w:rsidRPr="000F1C42" w:rsidRDefault="00395F64">
      <w:pPr>
        <w:tabs>
          <w:tab w:val="left" w:pos="-720"/>
          <w:tab w:val="left" w:pos="714"/>
        </w:tabs>
        <w:spacing w:line="320" w:lineRule="atLeast"/>
        <w:rPr>
          <w:rFonts w:ascii="Times New Roman" w:hAnsi="Times New Roman"/>
          <w:sz w:val="30"/>
        </w:rPr>
      </w:pPr>
      <w:r w:rsidRPr="000F1C42">
        <w:rPr>
          <w:rFonts w:ascii="Times New Roman" w:hAnsi="Times New Roman"/>
        </w:rPr>
        <w:t>North Ryde NSW 2113</w:t>
      </w:r>
    </w:p>
    <w:p w:rsidR="00395F64" w:rsidRPr="000F1C42" w:rsidRDefault="00395F64" w:rsidP="00772002">
      <w:pPr>
        <w:pStyle w:val="Footer"/>
        <w:tabs>
          <w:tab w:val="clear" w:pos="4320"/>
          <w:tab w:val="clear" w:pos="8640"/>
          <w:tab w:val="left" w:pos="-720"/>
          <w:tab w:val="left" w:pos="714"/>
        </w:tabs>
        <w:spacing w:after="100" w:afterAutospacing="1" w:line="320" w:lineRule="atLeast"/>
        <w:rPr>
          <w:rFonts w:ascii="Times New Roman" w:hAnsi="Times New Roman"/>
        </w:rPr>
      </w:pPr>
      <w:r w:rsidRPr="000F1C42">
        <w:rPr>
          <w:rFonts w:ascii="Times New Roman" w:hAnsi="Times New Roman"/>
        </w:rPr>
        <w:t>® = Registered Trademark</w:t>
      </w:r>
    </w:p>
    <w:p w:rsidR="009018F8" w:rsidRPr="000F1C42" w:rsidRDefault="009018F8" w:rsidP="00772002">
      <w:pPr>
        <w:pStyle w:val="Heading2"/>
      </w:pPr>
      <w:r w:rsidRPr="000F1C42">
        <w:t>POISON SCHEDULE OF THE MEDICINE</w:t>
      </w:r>
    </w:p>
    <w:p w:rsidR="009018F8" w:rsidRPr="000F1C42" w:rsidRDefault="009018F8" w:rsidP="00772002">
      <w:pPr>
        <w:pStyle w:val="Text"/>
        <w:spacing w:before="100" w:beforeAutospacing="1" w:after="100" w:afterAutospacing="1" w:line="320" w:lineRule="atLeast"/>
        <w:jc w:val="left"/>
      </w:pPr>
      <w:r w:rsidRPr="000F1C42">
        <w:t>Schedule 4</w:t>
      </w:r>
    </w:p>
    <w:p w:rsidR="00BE0B26" w:rsidRPr="000F1C42" w:rsidRDefault="009018F8" w:rsidP="00772002">
      <w:pPr>
        <w:pStyle w:val="Heading2"/>
      </w:pPr>
      <w:r w:rsidRPr="000F1C42">
        <w:t xml:space="preserve">DATE OF </w:t>
      </w:r>
      <w:r w:rsidR="00241D23">
        <w:t>FIRST INCLUSION IN THE AUSTRALIAN REGISTER OF THERAPEUTIC GOODS (ARTG)</w:t>
      </w:r>
    </w:p>
    <w:p w:rsidR="00304307" w:rsidRDefault="00304307" w:rsidP="00772002">
      <w:pPr>
        <w:tabs>
          <w:tab w:val="left" w:pos="-720"/>
          <w:tab w:val="left" w:pos="714"/>
        </w:tabs>
        <w:spacing w:before="100" w:beforeAutospacing="1" w:after="100" w:afterAutospacing="1" w:line="320" w:lineRule="atLeast"/>
      </w:pPr>
      <w:r>
        <w:t>25 March 2003 (180mg tablet); 26 March</w:t>
      </w:r>
      <w:r w:rsidR="004A23C4">
        <w:t xml:space="preserve"> 2003</w:t>
      </w:r>
      <w:r>
        <w:t xml:space="preserve"> (360mg tab</w:t>
      </w:r>
      <w:r w:rsidR="00772002">
        <w:t>let)</w:t>
      </w:r>
    </w:p>
    <w:p w:rsidR="00304307" w:rsidRPr="00304307" w:rsidRDefault="00304307" w:rsidP="00772002">
      <w:pPr>
        <w:pStyle w:val="Heading2"/>
      </w:pPr>
      <w:r w:rsidRPr="00304307">
        <w:t>DATE OF MOST RECENT AMENDMENT</w:t>
      </w:r>
    </w:p>
    <w:p w:rsidR="00772FBA" w:rsidRPr="000F1C42" w:rsidRDefault="00925329" w:rsidP="00772002">
      <w:pPr>
        <w:tabs>
          <w:tab w:val="left" w:pos="-720"/>
          <w:tab w:val="left" w:pos="714"/>
        </w:tabs>
        <w:spacing w:before="100" w:beforeAutospacing="1" w:after="100" w:afterAutospacing="1" w:line="320" w:lineRule="atLeast"/>
        <w:rPr>
          <w:rFonts w:ascii="Times New Roman" w:hAnsi="Times New Roman"/>
        </w:rPr>
      </w:pPr>
      <w:r>
        <w:t>7 September 2012</w:t>
      </w:r>
    </w:p>
    <w:p w:rsidR="00395F64" w:rsidRPr="000F1C42" w:rsidRDefault="00395F64">
      <w:pPr>
        <w:tabs>
          <w:tab w:val="left" w:pos="-720"/>
          <w:tab w:val="left" w:pos="714"/>
        </w:tabs>
        <w:spacing w:line="320" w:lineRule="atLeast"/>
        <w:rPr>
          <w:rFonts w:ascii="Times New Roman" w:hAnsi="Times New Roman"/>
        </w:rPr>
      </w:pPr>
      <w:r w:rsidRPr="000F1C42">
        <w:rPr>
          <w:rFonts w:ascii="Times New Roman" w:hAnsi="Times New Roman"/>
        </w:rPr>
        <w:t>____________________________________________________________</w:t>
      </w:r>
    </w:p>
    <w:p w:rsidR="00656FA9" w:rsidRPr="000F1C42" w:rsidRDefault="00656FA9">
      <w:pPr>
        <w:tabs>
          <w:tab w:val="left" w:pos="-720"/>
          <w:tab w:val="left" w:pos="714"/>
        </w:tabs>
        <w:spacing w:line="320" w:lineRule="atLeast"/>
        <w:rPr>
          <w:rFonts w:ascii="Times New Roman" w:hAnsi="Times New Roman"/>
        </w:rPr>
      </w:pPr>
      <w:r w:rsidRPr="000F1C42">
        <w:rPr>
          <w:rFonts w:ascii="Times New Roman" w:hAnsi="Times New Roman"/>
        </w:rPr>
        <w:t>For internal use only:</w:t>
      </w:r>
    </w:p>
    <w:p w:rsidR="00395F64" w:rsidRPr="000F1C42" w:rsidRDefault="00395F64">
      <w:pPr>
        <w:tabs>
          <w:tab w:val="left" w:pos="-720"/>
          <w:tab w:val="left" w:pos="714"/>
        </w:tabs>
        <w:spacing w:line="320" w:lineRule="atLeast"/>
        <w:rPr>
          <w:rFonts w:ascii="Times New Roman" w:hAnsi="Times New Roman"/>
        </w:rPr>
      </w:pPr>
      <w:proofErr w:type="gramStart"/>
      <w:r w:rsidRPr="000F1C42">
        <w:rPr>
          <w:rFonts w:ascii="Times New Roman" w:hAnsi="Times New Roman"/>
        </w:rPr>
        <w:t>(</w:t>
      </w:r>
      <w:r w:rsidR="00656FA9" w:rsidRPr="000F1C42">
        <w:rPr>
          <w:rFonts w:ascii="Times New Roman" w:hAnsi="Times New Roman"/>
        </w:rPr>
        <w:t>myf</w:t>
      </w:r>
      <w:r w:rsidR="00CE3F1D">
        <w:rPr>
          <w:rFonts w:ascii="Times New Roman" w:hAnsi="Times New Roman"/>
        </w:rPr>
        <w:t>030912</w:t>
      </w:r>
      <w:r w:rsidR="00656FA9" w:rsidRPr="000F1C42">
        <w:rPr>
          <w:rFonts w:ascii="Times New Roman" w:hAnsi="Times New Roman"/>
        </w:rPr>
        <w:t>i</w:t>
      </w:r>
      <w:r w:rsidRPr="000F1C42">
        <w:rPr>
          <w:rFonts w:ascii="Times New Roman" w:hAnsi="Times New Roman"/>
        </w:rPr>
        <w:t xml:space="preserve">) based on </w:t>
      </w:r>
      <w:r w:rsidR="00D17390">
        <w:rPr>
          <w:rFonts w:ascii="Times New Roman" w:hAnsi="Times New Roman"/>
        </w:rPr>
        <w:t>CDS</w:t>
      </w:r>
      <w:r w:rsidR="00656FA9" w:rsidRPr="000F1C42">
        <w:rPr>
          <w:rFonts w:ascii="Times New Roman" w:hAnsi="Times New Roman"/>
        </w:rPr>
        <w:t xml:space="preserve"> </w:t>
      </w:r>
      <w:r w:rsidR="00765C9F">
        <w:rPr>
          <w:rFonts w:ascii="Times New Roman" w:hAnsi="Times New Roman"/>
        </w:rPr>
        <w:t>18 July 2011</w:t>
      </w:r>
      <w:r w:rsidR="006207FF" w:rsidRPr="000F1C42">
        <w:rPr>
          <w:rFonts w:ascii="Times New Roman" w:hAnsi="Times New Roman"/>
        </w:rPr>
        <w:t>.</w:t>
      </w:r>
      <w:proofErr w:type="gramEnd"/>
    </w:p>
    <w:sectPr w:rsidR="00395F64" w:rsidRPr="000F1C42" w:rsidSect="00D37482">
      <w:headerReference w:type="default" r:id="rId12"/>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4E9" w:rsidRDefault="00E944E9">
      <w:r>
        <w:separator/>
      </w:r>
    </w:p>
  </w:endnote>
  <w:endnote w:type="continuationSeparator" w:id="0">
    <w:p w:rsidR="00E944E9" w:rsidRDefault="00E944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abon">
    <w:altName w:val="Times New Roman"/>
    <w:charset w:val="00"/>
    <w:family w:val="roman"/>
    <w:pitch w:val="variable"/>
    <w:sig w:usb0="00000001"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4E9" w:rsidRDefault="00E944E9">
      <w:r>
        <w:rPr>
          <w:rFonts w:ascii="Courier" w:hAnsi="Courier"/>
        </w:rPr>
        <w:separator/>
      </w:r>
    </w:p>
  </w:footnote>
  <w:footnote w:type="continuationSeparator" w:id="0">
    <w:p w:rsidR="00E944E9" w:rsidRDefault="00E94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81" w:rsidRPr="00554B81" w:rsidRDefault="00554B81" w:rsidP="00554B81">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554B81">
      <w:rPr>
        <w:rFonts w:ascii="Cambria" w:hAnsi="Cambria"/>
        <w:b/>
        <w:sz w:val="20"/>
        <w:szCs w:val="20"/>
      </w:rPr>
      <w:t xml:space="preserve">Attachment 1: Product information for </w:t>
    </w:r>
    <w:proofErr w:type="spellStart"/>
    <w:r w:rsidRPr="00554B81">
      <w:rPr>
        <w:rFonts w:ascii="Cambria" w:hAnsi="Cambria"/>
        <w:b/>
        <w:sz w:val="20"/>
        <w:szCs w:val="20"/>
      </w:rPr>
      <w:t>AusPAR</w:t>
    </w:r>
    <w:proofErr w:type="spellEnd"/>
    <w:r w:rsidRPr="00554B81">
      <w:rPr>
        <w:rFonts w:ascii="Cambria" w:hAnsi="Cambria"/>
        <w:b/>
        <w:sz w:val="20"/>
        <w:szCs w:val="20"/>
      </w:rPr>
      <w:t xml:space="preserve"> </w:t>
    </w:r>
    <w:proofErr w:type="spellStart"/>
    <w:r w:rsidRPr="00554B81">
      <w:rPr>
        <w:rFonts w:ascii="Cambria" w:hAnsi="Cambria"/>
        <w:b/>
        <w:sz w:val="20"/>
        <w:szCs w:val="20"/>
      </w:rPr>
      <w:t>Myfortic</w:t>
    </w:r>
    <w:proofErr w:type="spellEnd"/>
    <w:r w:rsidRPr="00554B81">
      <w:rPr>
        <w:rFonts w:ascii="Cambria" w:hAnsi="Cambria"/>
        <w:b/>
        <w:sz w:val="20"/>
        <w:szCs w:val="20"/>
      </w:rPr>
      <w:t xml:space="preserve"> </w:t>
    </w:r>
    <w:proofErr w:type="spellStart"/>
    <w:r w:rsidRPr="00554B81">
      <w:rPr>
        <w:rFonts w:ascii="Cambria" w:hAnsi="Cambria"/>
        <w:b/>
        <w:sz w:val="20"/>
        <w:szCs w:val="20"/>
      </w:rPr>
      <w:t>Mycophenolate</w:t>
    </w:r>
    <w:proofErr w:type="spellEnd"/>
    <w:r w:rsidRPr="00554B81">
      <w:rPr>
        <w:rFonts w:ascii="Cambria" w:hAnsi="Cambria"/>
        <w:b/>
        <w:sz w:val="20"/>
        <w:szCs w:val="20"/>
      </w:rPr>
      <w:t xml:space="preserve"> sodium Novartis Australia Pty Limited PM-2010-01235-3-2 Date of Finalisation 17 May 2013. This Product Information was approved at the time this </w:t>
    </w:r>
    <w:proofErr w:type="spellStart"/>
    <w:r w:rsidRPr="00554B81">
      <w:rPr>
        <w:rFonts w:ascii="Cambria" w:hAnsi="Cambria"/>
        <w:b/>
        <w:sz w:val="20"/>
        <w:szCs w:val="20"/>
      </w:rPr>
      <w:t>AusPAR</w:t>
    </w:r>
    <w:proofErr w:type="spellEnd"/>
    <w:r w:rsidRPr="00554B81">
      <w:rPr>
        <w:rFonts w:ascii="Cambria" w:hAnsi="Cambria"/>
        <w:b/>
        <w:sz w:val="20"/>
        <w:szCs w:val="20"/>
      </w:rPr>
      <w:t xml:space="preserve"> was published.</w:t>
    </w:r>
  </w:p>
  <w:p w:rsidR="00554B81" w:rsidRDefault="00554B81">
    <w:pPr>
      <w:tabs>
        <w:tab w:val="left" w:pos="8640"/>
        <w:tab w:val="right" w:pos="9506"/>
      </w:tabs>
      <w:ind w:left="2835"/>
      <w:rPr>
        <w:rFonts w:ascii="Times New Roman" w:hAnsi="Times New Roman"/>
      </w:rPr>
    </w:pPr>
    <w:r>
      <w:rPr>
        <w:rFonts w:ascii="Times New Roman" w:hAnsi="Times New Roman"/>
        <w:b/>
        <w:sz w:val="20"/>
      </w:rPr>
      <w:tab/>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37087">
      <w:rPr>
        <w:rFonts w:ascii="Times New Roman" w:hAnsi="Times New Roman"/>
        <w:noProof/>
      </w:rPr>
      <w:t>1</w:t>
    </w:r>
    <w:r>
      <w:rPr>
        <w:rFonts w:ascii="Times New Roman" w:hAnsi="Times New Roman"/>
      </w:rPr>
      <w:fldChar w:fldCharType="end"/>
    </w:r>
  </w:p>
  <w:p w:rsidR="00554B81" w:rsidRDefault="00554B81">
    <w:pPr>
      <w:tabs>
        <w:tab w:val="right" w:pos="9506"/>
      </w:tabs>
      <w:spacing w:after="480" w:line="1" w:lineRule="exact"/>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2pt;height:12pt"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302F30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2B92E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3B1668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E355C2C"/>
    <w:multiLevelType w:val="hybridMultilevel"/>
    <w:tmpl w:val="5F48CE0A"/>
    <w:lvl w:ilvl="0" w:tplc="329E3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A608E"/>
    <w:multiLevelType w:val="hybridMultilevel"/>
    <w:tmpl w:val="0E008E88"/>
    <w:lvl w:ilvl="0" w:tplc="453A5040">
      <w:start w:val="360"/>
      <w:numFmt w:val="bullet"/>
      <w:lvlText w:val=""/>
      <w:lvlJc w:val="left"/>
      <w:pPr>
        <w:tabs>
          <w:tab w:val="num" w:pos="720"/>
        </w:tabs>
        <w:ind w:left="720" w:hanging="360"/>
      </w:pPr>
      <w:rPr>
        <w:rFonts w:ascii="Symbol" w:eastAsia="Times New Roman" w:hAnsi="Symbol" w:cs="Angsana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65282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printFractionalCharacterWidth/>
  <w:embedSystemFonts/>
  <w:hideSpellingErrors/>
  <w:hideGrammaticalErrors/>
  <w:proofState w:spelling="clean" w:grammar="clean"/>
  <w:stylePaneFormatFilter w:val="3F01"/>
  <w:doNotTrackMoves/>
  <w:defaultTabStop w:val="561"/>
  <w:hyphenationZone w:val="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5A2B"/>
    <w:rsid w:val="00005946"/>
    <w:rsid w:val="00021819"/>
    <w:rsid w:val="00021F5C"/>
    <w:rsid w:val="000248CB"/>
    <w:rsid w:val="0003537C"/>
    <w:rsid w:val="0003712C"/>
    <w:rsid w:val="00037A39"/>
    <w:rsid w:val="0004252B"/>
    <w:rsid w:val="0004420B"/>
    <w:rsid w:val="0004619D"/>
    <w:rsid w:val="000509E5"/>
    <w:rsid w:val="000514FA"/>
    <w:rsid w:val="00052050"/>
    <w:rsid w:val="00055AEB"/>
    <w:rsid w:val="00055D10"/>
    <w:rsid w:val="00061C45"/>
    <w:rsid w:val="00061E5B"/>
    <w:rsid w:val="00064149"/>
    <w:rsid w:val="00065FF1"/>
    <w:rsid w:val="0006712C"/>
    <w:rsid w:val="0007286E"/>
    <w:rsid w:val="00092746"/>
    <w:rsid w:val="0009399F"/>
    <w:rsid w:val="000A08BA"/>
    <w:rsid w:val="000A5606"/>
    <w:rsid w:val="000B2E24"/>
    <w:rsid w:val="000B4268"/>
    <w:rsid w:val="000C684C"/>
    <w:rsid w:val="000D06D3"/>
    <w:rsid w:val="000F0F3E"/>
    <w:rsid w:val="000F1C42"/>
    <w:rsid w:val="000F2E02"/>
    <w:rsid w:val="0011447C"/>
    <w:rsid w:val="00135F5C"/>
    <w:rsid w:val="00147C8B"/>
    <w:rsid w:val="00166803"/>
    <w:rsid w:val="00166E43"/>
    <w:rsid w:val="00174A25"/>
    <w:rsid w:val="00183D66"/>
    <w:rsid w:val="001858B4"/>
    <w:rsid w:val="0019189B"/>
    <w:rsid w:val="00197654"/>
    <w:rsid w:val="001A2E40"/>
    <w:rsid w:val="001B124E"/>
    <w:rsid w:val="001B5A2B"/>
    <w:rsid w:val="001B636A"/>
    <w:rsid w:val="001C7629"/>
    <w:rsid w:val="001E043D"/>
    <w:rsid w:val="001E3D29"/>
    <w:rsid w:val="001E4AC1"/>
    <w:rsid w:val="001E73CF"/>
    <w:rsid w:val="001E7A24"/>
    <w:rsid w:val="001F5977"/>
    <w:rsid w:val="001F7E3D"/>
    <w:rsid w:val="0023077D"/>
    <w:rsid w:val="002309C2"/>
    <w:rsid w:val="00232B5F"/>
    <w:rsid w:val="00236ADC"/>
    <w:rsid w:val="0023736E"/>
    <w:rsid w:val="00241D23"/>
    <w:rsid w:val="00280657"/>
    <w:rsid w:val="00284615"/>
    <w:rsid w:val="00284EDA"/>
    <w:rsid w:val="0028557B"/>
    <w:rsid w:val="002A7B86"/>
    <w:rsid w:val="002C1FDD"/>
    <w:rsid w:val="002D2C3D"/>
    <w:rsid w:val="002D3838"/>
    <w:rsid w:val="002F4D8C"/>
    <w:rsid w:val="002F666D"/>
    <w:rsid w:val="002F6EA3"/>
    <w:rsid w:val="00301DCB"/>
    <w:rsid w:val="00304307"/>
    <w:rsid w:val="003068D1"/>
    <w:rsid w:val="0031252A"/>
    <w:rsid w:val="00315432"/>
    <w:rsid w:val="00317A56"/>
    <w:rsid w:val="00320695"/>
    <w:rsid w:val="00325EB6"/>
    <w:rsid w:val="00332670"/>
    <w:rsid w:val="00351790"/>
    <w:rsid w:val="00352FEB"/>
    <w:rsid w:val="003543DC"/>
    <w:rsid w:val="00356DCE"/>
    <w:rsid w:val="00361614"/>
    <w:rsid w:val="00362CD3"/>
    <w:rsid w:val="0037458E"/>
    <w:rsid w:val="003753F9"/>
    <w:rsid w:val="00375A95"/>
    <w:rsid w:val="00377B78"/>
    <w:rsid w:val="00380E3E"/>
    <w:rsid w:val="00393F7F"/>
    <w:rsid w:val="003955F9"/>
    <w:rsid w:val="00395F64"/>
    <w:rsid w:val="003A06F6"/>
    <w:rsid w:val="003A112A"/>
    <w:rsid w:val="003A1A20"/>
    <w:rsid w:val="003A1E6B"/>
    <w:rsid w:val="003A4640"/>
    <w:rsid w:val="003A65B8"/>
    <w:rsid w:val="003A69C1"/>
    <w:rsid w:val="003B3A84"/>
    <w:rsid w:val="003C1111"/>
    <w:rsid w:val="003C1CEC"/>
    <w:rsid w:val="003C3CF1"/>
    <w:rsid w:val="003C5588"/>
    <w:rsid w:val="003C7D46"/>
    <w:rsid w:val="003E33E6"/>
    <w:rsid w:val="003F689A"/>
    <w:rsid w:val="00410CD3"/>
    <w:rsid w:val="00425293"/>
    <w:rsid w:val="00426A20"/>
    <w:rsid w:val="00444D77"/>
    <w:rsid w:val="0044726E"/>
    <w:rsid w:val="00447748"/>
    <w:rsid w:val="00454101"/>
    <w:rsid w:val="004541C0"/>
    <w:rsid w:val="00454A44"/>
    <w:rsid w:val="00455458"/>
    <w:rsid w:val="00460D4A"/>
    <w:rsid w:val="004738C1"/>
    <w:rsid w:val="00481F17"/>
    <w:rsid w:val="00490C18"/>
    <w:rsid w:val="00494287"/>
    <w:rsid w:val="004A23C4"/>
    <w:rsid w:val="004A3DA6"/>
    <w:rsid w:val="004B1796"/>
    <w:rsid w:val="004C1377"/>
    <w:rsid w:val="004C15D3"/>
    <w:rsid w:val="004C4CA9"/>
    <w:rsid w:val="004C63AE"/>
    <w:rsid w:val="004E469D"/>
    <w:rsid w:val="004E7E0E"/>
    <w:rsid w:val="004F0D97"/>
    <w:rsid w:val="004F5EE3"/>
    <w:rsid w:val="0051301E"/>
    <w:rsid w:val="00523954"/>
    <w:rsid w:val="00526C93"/>
    <w:rsid w:val="005301CD"/>
    <w:rsid w:val="0053132E"/>
    <w:rsid w:val="00531C8E"/>
    <w:rsid w:val="005441D1"/>
    <w:rsid w:val="00550AFC"/>
    <w:rsid w:val="00554B81"/>
    <w:rsid w:val="00573246"/>
    <w:rsid w:val="0057637F"/>
    <w:rsid w:val="00584EA5"/>
    <w:rsid w:val="005A0008"/>
    <w:rsid w:val="005A4451"/>
    <w:rsid w:val="005B4CE3"/>
    <w:rsid w:val="005B5CE8"/>
    <w:rsid w:val="005C5BEC"/>
    <w:rsid w:val="005D68F2"/>
    <w:rsid w:val="005E1CC5"/>
    <w:rsid w:val="005E2076"/>
    <w:rsid w:val="005E467F"/>
    <w:rsid w:val="005E4C1D"/>
    <w:rsid w:val="00604C59"/>
    <w:rsid w:val="006054E6"/>
    <w:rsid w:val="006207FF"/>
    <w:rsid w:val="00621602"/>
    <w:rsid w:val="00626824"/>
    <w:rsid w:val="00630A00"/>
    <w:rsid w:val="006449CB"/>
    <w:rsid w:val="006453DF"/>
    <w:rsid w:val="00646B24"/>
    <w:rsid w:val="00656FA9"/>
    <w:rsid w:val="006613C9"/>
    <w:rsid w:val="00665050"/>
    <w:rsid w:val="006679CB"/>
    <w:rsid w:val="006716DD"/>
    <w:rsid w:val="00671EC5"/>
    <w:rsid w:val="0067701B"/>
    <w:rsid w:val="00677210"/>
    <w:rsid w:val="00680AF9"/>
    <w:rsid w:val="00685925"/>
    <w:rsid w:val="00690305"/>
    <w:rsid w:val="006909F6"/>
    <w:rsid w:val="00692078"/>
    <w:rsid w:val="006B7111"/>
    <w:rsid w:val="006C63A2"/>
    <w:rsid w:val="006D1427"/>
    <w:rsid w:val="006D3570"/>
    <w:rsid w:val="006D6B10"/>
    <w:rsid w:val="006E79FB"/>
    <w:rsid w:val="006E7CFC"/>
    <w:rsid w:val="006F38A4"/>
    <w:rsid w:val="007030C8"/>
    <w:rsid w:val="00725484"/>
    <w:rsid w:val="00730607"/>
    <w:rsid w:val="00733F63"/>
    <w:rsid w:val="007379CB"/>
    <w:rsid w:val="007446A8"/>
    <w:rsid w:val="00750CCB"/>
    <w:rsid w:val="0075519B"/>
    <w:rsid w:val="0075556B"/>
    <w:rsid w:val="00757921"/>
    <w:rsid w:val="00762DD7"/>
    <w:rsid w:val="00764840"/>
    <w:rsid w:val="00765C9F"/>
    <w:rsid w:val="00772002"/>
    <w:rsid w:val="00772FBA"/>
    <w:rsid w:val="00773A1B"/>
    <w:rsid w:val="00776340"/>
    <w:rsid w:val="00782736"/>
    <w:rsid w:val="00795A65"/>
    <w:rsid w:val="00796180"/>
    <w:rsid w:val="007A50E3"/>
    <w:rsid w:val="007A74A8"/>
    <w:rsid w:val="007B2E01"/>
    <w:rsid w:val="007C3F75"/>
    <w:rsid w:val="007E24A1"/>
    <w:rsid w:val="007E5FD2"/>
    <w:rsid w:val="007E6346"/>
    <w:rsid w:val="007F0C54"/>
    <w:rsid w:val="007F0F74"/>
    <w:rsid w:val="007F4FBE"/>
    <w:rsid w:val="00803D76"/>
    <w:rsid w:val="00823C1D"/>
    <w:rsid w:val="00843E85"/>
    <w:rsid w:val="00845625"/>
    <w:rsid w:val="008513E9"/>
    <w:rsid w:val="0085496C"/>
    <w:rsid w:val="00864BEC"/>
    <w:rsid w:val="0086736B"/>
    <w:rsid w:val="00870C27"/>
    <w:rsid w:val="00877599"/>
    <w:rsid w:val="00884D2B"/>
    <w:rsid w:val="00886612"/>
    <w:rsid w:val="0089048F"/>
    <w:rsid w:val="008B1459"/>
    <w:rsid w:val="008B6AEE"/>
    <w:rsid w:val="008B6D3D"/>
    <w:rsid w:val="008C0623"/>
    <w:rsid w:val="008E0045"/>
    <w:rsid w:val="008E1027"/>
    <w:rsid w:val="008E3606"/>
    <w:rsid w:val="009018F8"/>
    <w:rsid w:val="009026E4"/>
    <w:rsid w:val="0090381D"/>
    <w:rsid w:val="00916A47"/>
    <w:rsid w:val="00924D45"/>
    <w:rsid w:val="00925329"/>
    <w:rsid w:val="00935E5A"/>
    <w:rsid w:val="00937520"/>
    <w:rsid w:val="00943EB6"/>
    <w:rsid w:val="00946FB1"/>
    <w:rsid w:val="00964DF1"/>
    <w:rsid w:val="00965F09"/>
    <w:rsid w:val="009676F8"/>
    <w:rsid w:val="00981064"/>
    <w:rsid w:val="00987281"/>
    <w:rsid w:val="00987435"/>
    <w:rsid w:val="009907CE"/>
    <w:rsid w:val="009A0AFF"/>
    <w:rsid w:val="009A71EB"/>
    <w:rsid w:val="009B1106"/>
    <w:rsid w:val="009B1BF8"/>
    <w:rsid w:val="009B5D83"/>
    <w:rsid w:val="009C300F"/>
    <w:rsid w:val="009C58D5"/>
    <w:rsid w:val="009C6B69"/>
    <w:rsid w:val="009E30AE"/>
    <w:rsid w:val="009F1936"/>
    <w:rsid w:val="009F5362"/>
    <w:rsid w:val="00A04FB8"/>
    <w:rsid w:val="00A10CA6"/>
    <w:rsid w:val="00A16F9F"/>
    <w:rsid w:val="00A17962"/>
    <w:rsid w:val="00A21366"/>
    <w:rsid w:val="00A37087"/>
    <w:rsid w:val="00A37F97"/>
    <w:rsid w:val="00A435F7"/>
    <w:rsid w:val="00A4449D"/>
    <w:rsid w:val="00A5631E"/>
    <w:rsid w:val="00A752C3"/>
    <w:rsid w:val="00A76A78"/>
    <w:rsid w:val="00A834AC"/>
    <w:rsid w:val="00A908C9"/>
    <w:rsid w:val="00AA503A"/>
    <w:rsid w:val="00AA5B9F"/>
    <w:rsid w:val="00AB31EE"/>
    <w:rsid w:val="00AC1C41"/>
    <w:rsid w:val="00AD1EFF"/>
    <w:rsid w:val="00AD2025"/>
    <w:rsid w:val="00AD5B7F"/>
    <w:rsid w:val="00AD6368"/>
    <w:rsid w:val="00AE7398"/>
    <w:rsid w:val="00AF2291"/>
    <w:rsid w:val="00AF24E8"/>
    <w:rsid w:val="00AF47CA"/>
    <w:rsid w:val="00AF4FCA"/>
    <w:rsid w:val="00AF53D9"/>
    <w:rsid w:val="00B115A7"/>
    <w:rsid w:val="00B16D94"/>
    <w:rsid w:val="00B22C0C"/>
    <w:rsid w:val="00B24CC6"/>
    <w:rsid w:val="00B33A9E"/>
    <w:rsid w:val="00B45C92"/>
    <w:rsid w:val="00B50F68"/>
    <w:rsid w:val="00B72C86"/>
    <w:rsid w:val="00B73B96"/>
    <w:rsid w:val="00B96960"/>
    <w:rsid w:val="00BA2081"/>
    <w:rsid w:val="00BA255D"/>
    <w:rsid w:val="00BA4118"/>
    <w:rsid w:val="00BD13ED"/>
    <w:rsid w:val="00BD64C9"/>
    <w:rsid w:val="00BE0B26"/>
    <w:rsid w:val="00BE4ADC"/>
    <w:rsid w:val="00BE616A"/>
    <w:rsid w:val="00BE7A98"/>
    <w:rsid w:val="00BF673A"/>
    <w:rsid w:val="00BF7284"/>
    <w:rsid w:val="00C00CD8"/>
    <w:rsid w:val="00C03AF1"/>
    <w:rsid w:val="00C03B51"/>
    <w:rsid w:val="00C06B49"/>
    <w:rsid w:val="00C10E49"/>
    <w:rsid w:val="00C11E45"/>
    <w:rsid w:val="00C12950"/>
    <w:rsid w:val="00C161BA"/>
    <w:rsid w:val="00C17F04"/>
    <w:rsid w:val="00C229EF"/>
    <w:rsid w:val="00C30CCE"/>
    <w:rsid w:val="00C35A2B"/>
    <w:rsid w:val="00C361B8"/>
    <w:rsid w:val="00C36B93"/>
    <w:rsid w:val="00C42148"/>
    <w:rsid w:val="00C43033"/>
    <w:rsid w:val="00C4495F"/>
    <w:rsid w:val="00C63C59"/>
    <w:rsid w:val="00C829A8"/>
    <w:rsid w:val="00C972F8"/>
    <w:rsid w:val="00CA13B7"/>
    <w:rsid w:val="00CB5625"/>
    <w:rsid w:val="00CB5787"/>
    <w:rsid w:val="00CC28DE"/>
    <w:rsid w:val="00CC2A8D"/>
    <w:rsid w:val="00CC7424"/>
    <w:rsid w:val="00CD21CA"/>
    <w:rsid w:val="00CE052C"/>
    <w:rsid w:val="00CE1DE0"/>
    <w:rsid w:val="00CE2519"/>
    <w:rsid w:val="00CE3175"/>
    <w:rsid w:val="00CE3F1D"/>
    <w:rsid w:val="00CF4194"/>
    <w:rsid w:val="00CF6A49"/>
    <w:rsid w:val="00CF7823"/>
    <w:rsid w:val="00D017DE"/>
    <w:rsid w:val="00D11667"/>
    <w:rsid w:val="00D14FB4"/>
    <w:rsid w:val="00D17390"/>
    <w:rsid w:val="00D23ED0"/>
    <w:rsid w:val="00D3144E"/>
    <w:rsid w:val="00D35CE6"/>
    <w:rsid w:val="00D37482"/>
    <w:rsid w:val="00D55597"/>
    <w:rsid w:val="00D83195"/>
    <w:rsid w:val="00D87786"/>
    <w:rsid w:val="00D966A7"/>
    <w:rsid w:val="00DA58DA"/>
    <w:rsid w:val="00DB06C1"/>
    <w:rsid w:val="00DB0BE9"/>
    <w:rsid w:val="00DB7BF2"/>
    <w:rsid w:val="00DD0AE5"/>
    <w:rsid w:val="00DD5FB9"/>
    <w:rsid w:val="00DD7999"/>
    <w:rsid w:val="00DE1ECA"/>
    <w:rsid w:val="00DF750A"/>
    <w:rsid w:val="00E259A0"/>
    <w:rsid w:val="00E27A4D"/>
    <w:rsid w:val="00E32D1A"/>
    <w:rsid w:val="00E35DD8"/>
    <w:rsid w:val="00E36743"/>
    <w:rsid w:val="00E36747"/>
    <w:rsid w:val="00E36F99"/>
    <w:rsid w:val="00E40D04"/>
    <w:rsid w:val="00E43EF7"/>
    <w:rsid w:val="00E509FB"/>
    <w:rsid w:val="00E51DE1"/>
    <w:rsid w:val="00E536C9"/>
    <w:rsid w:val="00E54D5B"/>
    <w:rsid w:val="00E55A72"/>
    <w:rsid w:val="00E6172B"/>
    <w:rsid w:val="00E712E6"/>
    <w:rsid w:val="00E72726"/>
    <w:rsid w:val="00E72D07"/>
    <w:rsid w:val="00E74EFF"/>
    <w:rsid w:val="00E7687C"/>
    <w:rsid w:val="00E81F68"/>
    <w:rsid w:val="00E90738"/>
    <w:rsid w:val="00E93217"/>
    <w:rsid w:val="00E944E9"/>
    <w:rsid w:val="00E978A9"/>
    <w:rsid w:val="00EA01FC"/>
    <w:rsid w:val="00EA319C"/>
    <w:rsid w:val="00EA6EE8"/>
    <w:rsid w:val="00EB1814"/>
    <w:rsid w:val="00EB6170"/>
    <w:rsid w:val="00EC0B74"/>
    <w:rsid w:val="00EC0EB6"/>
    <w:rsid w:val="00ED4096"/>
    <w:rsid w:val="00ED58A7"/>
    <w:rsid w:val="00EE7636"/>
    <w:rsid w:val="00EF5CE9"/>
    <w:rsid w:val="00F00549"/>
    <w:rsid w:val="00F03060"/>
    <w:rsid w:val="00F03AC1"/>
    <w:rsid w:val="00F1170D"/>
    <w:rsid w:val="00F13015"/>
    <w:rsid w:val="00F16EEB"/>
    <w:rsid w:val="00F23F58"/>
    <w:rsid w:val="00F25F6A"/>
    <w:rsid w:val="00F2723B"/>
    <w:rsid w:val="00F30F68"/>
    <w:rsid w:val="00F311F3"/>
    <w:rsid w:val="00F35DA0"/>
    <w:rsid w:val="00F36C29"/>
    <w:rsid w:val="00F37DF4"/>
    <w:rsid w:val="00F42BA6"/>
    <w:rsid w:val="00F43E69"/>
    <w:rsid w:val="00F456B2"/>
    <w:rsid w:val="00F54BA1"/>
    <w:rsid w:val="00F54E53"/>
    <w:rsid w:val="00F7230C"/>
    <w:rsid w:val="00F81EC7"/>
    <w:rsid w:val="00F866FC"/>
    <w:rsid w:val="00F90504"/>
    <w:rsid w:val="00F966ED"/>
    <w:rsid w:val="00FA3664"/>
    <w:rsid w:val="00FB7F3E"/>
    <w:rsid w:val="00FC400B"/>
    <w:rsid w:val="00FC4F64"/>
    <w:rsid w:val="00FD172E"/>
    <w:rsid w:val="00FD7415"/>
    <w:rsid w:val="00FD7621"/>
    <w:rsid w:val="00FE0193"/>
    <w:rsid w:val="00FE670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82"/>
    <w:rPr>
      <w:rFonts w:ascii="New Century Schlbk" w:hAnsi="New Century Schlbk" w:cs="Angsana New"/>
      <w:sz w:val="24"/>
      <w:szCs w:val="24"/>
      <w:lang w:eastAsia="en-US" w:bidi="th-TH"/>
    </w:rPr>
  </w:style>
  <w:style w:type="paragraph" w:styleId="Heading1">
    <w:name w:val="heading 1"/>
    <w:basedOn w:val="Normal"/>
    <w:next w:val="Normal"/>
    <w:qFormat/>
    <w:rsid w:val="00D37482"/>
    <w:pPr>
      <w:keepNext/>
      <w:tabs>
        <w:tab w:val="right" w:pos="9506"/>
      </w:tabs>
      <w:spacing w:line="320" w:lineRule="atLeast"/>
      <w:outlineLvl w:val="0"/>
    </w:pPr>
    <w:rPr>
      <w:rFonts w:ascii="Times New Roman" w:hAnsi="Times New Roman"/>
      <w:b/>
      <w:bCs/>
      <w:sz w:val="34"/>
      <w:szCs w:val="34"/>
    </w:rPr>
  </w:style>
  <w:style w:type="paragraph" w:styleId="Heading2">
    <w:name w:val="heading 2"/>
    <w:basedOn w:val="Normal"/>
    <w:next w:val="Normal"/>
    <w:qFormat/>
    <w:rsid w:val="00554B81"/>
    <w:pPr>
      <w:tabs>
        <w:tab w:val="left" w:pos="-720"/>
      </w:tabs>
      <w:spacing w:before="100" w:beforeAutospacing="1" w:after="100" w:afterAutospacing="1" w:line="320" w:lineRule="atLeast"/>
      <w:outlineLvl w:val="1"/>
    </w:pPr>
    <w:rPr>
      <w:rFonts w:ascii="Times New Roman" w:hAnsi="Times New Roman"/>
      <w:b/>
      <w:sz w:val="30"/>
      <w:u w:val="single"/>
    </w:rPr>
  </w:style>
  <w:style w:type="paragraph" w:styleId="Heading3">
    <w:name w:val="heading 3"/>
    <w:basedOn w:val="Heading5"/>
    <w:next w:val="Normal"/>
    <w:qFormat/>
    <w:rsid w:val="00554B81"/>
    <w:pPr>
      <w:outlineLvl w:val="2"/>
    </w:pPr>
    <w:rPr>
      <w:i w:val="0"/>
      <w:color w:val="auto"/>
      <w:sz w:val="24"/>
    </w:rPr>
  </w:style>
  <w:style w:type="paragraph" w:styleId="Heading4">
    <w:name w:val="heading 4"/>
    <w:basedOn w:val="TextChar"/>
    <w:next w:val="Normal"/>
    <w:qFormat/>
    <w:rsid w:val="007F0C54"/>
    <w:pPr>
      <w:spacing w:before="0" w:line="320" w:lineRule="atLeast"/>
      <w:jc w:val="left"/>
      <w:outlineLvl w:val="3"/>
    </w:pPr>
    <w:rPr>
      <w:u w:val="single"/>
    </w:rPr>
  </w:style>
  <w:style w:type="paragraph" w:styleId="Heading5">
    <w:name w:val="heading 5"/>
    <w:basedOn w:val="Normal"/>
    <w:next w:val="Normal"/>
    <w:qFormat/>
    <w:rsid w:val="00D37482"/>
    <w:pPr>
      <w:keepNext/>
      <w:tabs>
        <w:tab w:val="left" w:pos="-720"/>
      </w:tabs>
      <w:spacing w:line="320" w:lineRule="atLeast"/>
      <w:outlineLvl w:val="4"/>
    </w:pPr>
    <w:rPr>
      <w:rFonts w:ascii="Times New Roman" w:hAnsi="Times New Roman"/>
      <w:b/>
      <w:bCs/>
      <w:i/>
      <w:iCs/>
      <w:color w:val="0000FF"/>
      <w:sz w:val="30"/>
      <w:szCs w:val="30"/>
      <w:u w:val="single"/>
    </w:rPr>
  </w:style>
  <w:style w:type="paragraph" w:styleId="Heading6">
    <w:name w:val="heading 6"/>
    <w:basedOn w:val="Normal"/>
    <w:next w:val="Normal"/>
    <w:qFormat/>
    <w:rsid w:val="00D37482"/>
    <w:pPr>
      <w:keepNext/>
      <w:tabs>
        <w:tab w:val="left" w:pos="-720"/>
        <w:tab w:val="left" w:pos="510"/>
        <w:tab w:val="left" w:pos="918"/>
      </w:tabs>
      <w:spacing w:line="320" w:lineRule="atLeast"/>
      <w:outlineLvl w:val="5"/>
    </w:pPr>
    <w:rPr>
      <w:rFonts w:ascii="Times New Roman" w:hAnsi="Times New Roman"/>
      <w:strike/>
      <w:u w:val="single"/>
    </w:rPr>
  </w:style>
  <w:style w:type="paragraph" w:styleId="Heading7">
    <w:name w:val="heading 7"/>
    <w:basedOn w:val="Normal"/>
    <w:next w:val="Normal"/>
    <w:qFormat/>
    <w:rsid w:val="00D37482"/>
    <w:pPr>
      <w:keepNext/>
      <w:jc w:val="center"/>
      <w:outlineLvl w:val="6"/>
    </w:pPr>
    <w:rPr>
      <w:rFonts w:ascii="Times New Roman" w:hAnsi="Times New Roman"/>
      <w:b/>
      <w:bCs/>
      <w:snapToGrid w:val="0"/>
      <w:color w:val="000000"/>
      <w:sz w:val="20"/>
      <w:szCs w:val="20"/>
      <w:lang w:val="en-GB"/>
    </w:rPr>
  </w:style>
  <w:style w:type="paragraph" w:styleId="Heading8">
    <w:name w:val="heading 8"/>
    <w:basedOn w:val="Normal"/>
    <w:next w:val="Normal"/>
    <w:qFormat/>
    <w:rsid w:val="00D37482"/>
    <w:pPr>
      <w:keepNext/>
      <w:tabs>
        <w:tab w:val="left" w:pos="-720"/>
        <w:tab w:val="left" w:pos="510"/>
        <w:tab w:val="left" w:pos="918"/>
      </w:tabs>
      <w:spacing w:line="320" w:lineRule="atLeast"/>
      <w:outlineLvl w:val="7"/>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7482"/>
    <w:pPr>
      <w:tabs>
        <w:tab w:val="center" w:pos="4320"/>
        <w:tab w:val="right" w:pos="8640"/>
      </w:tabs>
    </w:pPr>
  </w:style>
  <w:style w:type="paragraph" w:styleId="Header">
    <w:name w:val="header"/>
    <w:basedOn w:val="Normal"/>
    <w:rsid w:val="00D37482"/>
    <w:pPr>
      <w:tabs>
        <w:tab w:val="center" w:pos="4320"/>
        <w:tab w:val="right" w:pos="8640"/>
      </w:tabs>
    </w:pPr>
  </w:style>
  <w:style w:type="paragraph" w:styleId="BodyText">
    <w:name w:val="Body Text"/>
    <w:basedOn w:val="Normal"/>
    <w:rsid w:val="00D37482"/>
    <w:pPr>
      <w:tabs>
        <w:tab w:val="left" w:pos="-720"/>
        <w:tab w:val="left" w:pos="510"/>
        <w:tab w:val="left" w:pos="918"/>
      </w:tabs>
      <w:spacing w:line="320" w:lineRule="atLeast"/>
    </w:pPr>
    <w:rPr>
      <w:rFonts w:ascii="Times New Roman" w:hAnsi="Times New Roman"/>
      <w:i/>
      <w:iCs/>
      <w:color w:val="FF0000"/>
    </w:rPr>
  </w:style>
  <w:style w:type="paragraph" w:styleId="BodyText2">
    <w:name w:val="Body Text 2"/>
    <w:basedOn w:val="Normal"/>
    <w:rsid w:val="00D37482"/>
    <w:pPr>
      <w:tabs>
        <w:tab w:val="left" w:pos="-720"/>
        <w:tab w:val="left" w:pos="510"/>
        <w:tab w:val="left" w:pos="918"/>
      </w:tabs>
      <w:spacing w:line="320" w:lineRule="atLeast"/>
      <w:outlineLvl w:val="0"/>
    </w:pPr>
    <w:rPr>
      <w:rFonts w:ascii="Times New Roman" w:hAnsi="Times New Roman"/>
      <w:b/>
      <w:bCs/>
    </w:rPr>
  </w:style>
  <w:style w:type="paragraph" w:customStyle="1" w:styleId="table">
    <w:name w:val="table"/>
    <w:basedOn w:val="Normal"/>
    <w:rsid w:val="00D37482"/>
    <w:pPr>
      <w:keepNext/>
      <w:tabs>
        <w:tab w:val="left" w:pos="284"/>
      </w:tabs>
      <w:spacing w:before="60" w:after="60"/>
    </w:pPr>
    <w:rPr>
      <w:rFonts w:ascii="Arial" w:hAnsi="Arial"/>
      <w:sz w:val="20"/>
      <w:szCs w:val="20"/>
      <w:lang w:val="en-GB"/>
    </w:rPr>
  </w:style>
  <w:style w:type="paragraph" w:styleId="FootnoteText">
    <w:name w:val="footnote text"/>
    <w:basedOn w:val="Normal"/>
    <w:semiHidden/>
    <w:rsid w:val="00D37482"/>
    <w:rPr>
      <w:sz w:val="20"/>
      <w:szCs w:val="20"/>
    </w:rPr>
  </w:style>
  <w:style w:type="character" w:styleId="FootnoteReference">
    <w:name w:val="footnote reference"/>
    <w:basedOn w:val="DefaultParagraphFont"/>
    <w:semiHidden/>
    <w:rsid w:val="00D37482"/>
    <w:rPr>
      <w:vertAlign w:val="superscript"/>
    </w:rPr>
  </w:style>
  <w:style w:type="paragraph" w:customStyle="1" w:styleId="TextChar">
    <w:name w:val="Text Char"/>
    <w:basedOn w:val="Normal"/>
    <w:link w:val="TextCharChar"/>
    <w:rsid w:val="00D37482"/>
    <w:pPr>
      <w:spacing w:before="120"/>
      <w:jc w:val="both"/>
    </w:pPr>
    <w:rPr>
      <w:rFonts w:ascii="Times New Roman" w:hAnsi="Times New Roman"/>
      <w:lang w:val="en-US"/>
    </w:rPr>
  </w:style>
  <w:style w:type="paragraph" w:styleId="DocumentMap">
    <w:name w:val="Document Map"/>
    <w:basedOn w:val="Normal"/>
    <w:semiHidden/>
    <w:rsid w:val="00D37482"/>
    <w:pPr>
      <w:shd w:val="clear" w:color="auto" w:fill="000080"/>
    </w:pPr>
    <w:rPr>
      <w:rFonts w:ascii="Tahoma" w:hAnsi="Tahoma" w:cs="Tahoma"/>
    </w:rPr>
  </w:style>
  <w:style w:type="paragraph" w:customStyle="1" w:styleId="Nottoc-headings">
    <w:name w:val="Not toc-headings"/>
    <w:basedOn w:val="Normal"/>
    <w:next w:val="TextChar"/>
    <w:rsid w:val="00D37482"/>
    <w:pPr>
      <w:keepNext/>
      <w:keepLines/>
      <w:spacing w:before="240" w:after="60"/>
      <w:ind w:left="1701" w:hanging="1701"/>
    </w:pPr>
    <w:rPr>
      <w:rFonts w:ascii="Arial" w:hAnsi="Arial"/>
      <w:b/>
      <w:bCs/>
      <w:sz w:val="22"/>
      <w:szCs w:val="22"/>
      <w:lang w:val="en-US"/>
    </w:rPr>
  </w:style>
  <w:style w:type="paragraph" w:customStyle="1" w:styleId="Table0">
    <w:name w:val="Table"/>
    <w:basedOn w:val="Nottoc-headings"/>
    <w:rsid w:val="00D37482"/>
    <w:pPr>
      <w:tabs>
        <w:tab w:val="left" w:pos="284"/>
      </w:tabs>
      <w:spacing w:before="40" w:after="20"/>
      <w:ind w:left="0" w:firstLine="0"/>
    </w:pPr>
    <w:rPr>
      <w:b w:val="0"/>
      <w:bCs w:val="0"/>
      <w:sz w:val="20"/>
      <w:szCs w:val="20"/>
    </w:rPr>
  </w:style>
  <w:style w:type="character" w:styleId="CommentReference">
    <w:name w:val="annotation reference"/>
    <w:basedOn w:val="DefaultParagraphFont"/>
    <w:semiHidden/>
    <w:rsid w:val="00D37482"/>
    <w:rPr>
      <w:sz w:val="16"/>
      <w:szCs w:val="16"/>
    </w:rPr>
  </w:style>
  <w:style w:type="paragraph" w:styleId="CommentText">
    <w:name w:val="annotation text"/>
    <w:basedOn w:val="Normal"/>
    <w:semiHidden/>
    <w:rsid w:val="00D37482"/>
    <w:rPr>
      <w:sz w:val="20"/>
      <w:szCs w:val="20"/>
    </w:rPr>
  </w:style>
  <w:style w:type="paragraph" w:styleId="BalloonText">
    <w:name w:val="Balloon Text"/>
    <w:basedOn w:val="Normal"/>
    <w:semiHidden/>
    <w:rsid w:val="0007286E"/>
    <w:rPr>
      <w:rFonts w:ascii="Tahoma" w:hAnsi="Tahoma" w:cs="Tahoma"/>
      <w:sz w:val="16"/>
      <w:szCs w:val="16"/>
    </w:rPr>
  </w:style>
  <w:style w:type="character" w:customStyle="1" w:styleId="TextCharChar">
    <w:name w:val="Text Char Char"/>
    <w:basedOn w:val="DefaultParagraphFont"/>
    <w:link w:val="TextChar"/>
    <w:rsid w:val="0007286E"/>
    <w:rPr>
      <w:rFonts w:cs="Angsana New"/>
      <w:sz w:val="24"/>
      <w:szCs w:val="24"/>
      <w:lang w:val="en-US" w:eastAsia="en-US" w:bidi="th-TH"/>
    </w:rPr>
  </w:style>
  <w:style w:type="table" w:styleId="TableGrid">
    <w:name w:val="Table Grid"/>
    <w:basedOn w:val="TableNormal"/>
    <w:uiPriority w:val="59"/>
    <w:rsid w:val="0007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2"/>
    <w:rsid w:val="00147C8B"/>
    <w:pPr>
      <w:spacing w:before="120"/>
      <w:jc w:val="both"/>
    </w:pPr>
    <w:rPr>
      <w:rFonts w:ascii="Times New Roman" w:hAnsi="Times New Roman" w:cs="Times New Roman"/>
      <w:szCs w:val="20"/>
      <w:lang w:val="en-US" w:bidi="ar-SA"/>
    </w:rPr>
  </w:style>
  <w:style w:type="paragraph" w:styleId="CommentSubject">
    <w:name w:val="annotation subject"/>
    <w:basedOn w:val="CommentText"/>
    <w:next w:val="CommentText"/>
    <w:semiHidden/>
    <w:rsid w:val="006453DF"/>
    <w:rPr>
      <w:b/>
      <w:bCs/>
    </w:rPr>
  </w:style>
  <w:style w:type="character" w:customStyle="1" w:styleId="TextChar2">
    <w:name w:val="Text Char2"/>
    <w:basedOn w:val="DefaultParagraphFont"/>
    <w:link w:val="Text"/>
    <w:rsid w:val="002F6EA3"/>
    <w:rPr>
      <w:sz w:val="24"/>
    </w:rPr>
  </w:style>
  <w:style w:type="paragraph" w:styleId="Revision">
    <w:name w:val="Revision"/>
    <w:hidden/>
    <w:uiPriority w:val="99"/>
    <w:semiHidden/>
    <w:rsid w:val="00864BEC"/>
    <w:rPr>
      <w:rFonts w:ascii="New Century Schlbk" w:hAnsi="New Century Schlbk" w:cs="Angsana New"/>
      <w:sz w:val="24"/>
      <w:szCs w:val="30"/>
      <w:lang w:eastAsia="en-US" w:bidi="th-TH"/>
    </w:rPr>
  </w:style>
  <w:style w:type="paragraph" w:customStyle="1" w:styleId="CM38">
    <w:name w:val="CM38"/>
    <w:basedOn w:val="Normal"/>
    <w:next w:val="Normal"/>
    <w:uiPriority w:val="99"/>
    <w:rsid w:val="00FE0193"/>
    <w:pPr>
      <w:autoSpaceDE w:val="0"/>
      <w:autoSpaceDN w:val="0"/>
      <w:adjustRightInd w:val="0"/>
      <w:spacing w:after="118"/>
    </w:pPr>
    <w:rPr>
      <w:rFonts w:ascii="Times New Roman" w:eastAsia="Calibri" w:hAnsi="Times New Roman" w:cs="Times New Roman"/>
      <w:lang w:val="en-US" w:bidi="ar-SA"/>
    </w:rPr>
  </w:style>
  <w:style w:type="paragraph" w:customStyle="1" w:styleId="Default">
    <w:name w:val="Default"/>
    <w:rsid w:val="007E24A1"/>
    <w:pPr>
      <w:autoSpaceDE w:val="0"/>
      <w:autoSpaceDN w:val="0"/>
      <w:adjustRightInd w:val="0"/>
    </w:pPr>
    <w:rPr>
      <w:rFonts w:eastAsia="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45931305">
      <w:bodyDiv w:val="1"/>
      <w:marLeft w:val="0"/>
      <w:marRight w:val="0"/>
      <w:marTop w:val="0"/>
      <w:marBottom w:val="0"/>
      <w:divBdr>
        <w:top w:val="none" w:sz="0" w:space="0" w:color="auto"/>
        <w:left w:val="none" w:sz="0" w:space="0" w:color="auto"/>
        <w:bottom w:val="none" w:sz="0" w:space="0" w:color="auto"/>
        <w:right w:val="none" w:sz="0" w:space="0" w:color="auto"/>
      </w:divBdr>
    </w:div>
    <w:div w:id="10989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mage xmlns="4b8f162b-5636-4821-85da-331af8dff062">
      <Url xsi:nil="true"/>
      <Description xsi:nil="true"/>
    </Image>
    <Generic_x0020_Name xmlns="17bb8c82-f074-452f-b484-641a2ea4a283" xsi:nil="true"/>
    <PI_x0020_Date xmlns="17bb8c82-f074-452f-b484-641a2ea4a283">2012-09-02T14:00:00+00:00</PI_x0020_Date>
    <Revision_x0020_Flag xmlns="17bb8c82-f074-452f-b484-641a2ea4a283" xsi:nil="true"/>
    <Dosage_x0020_Form xmlns="17bb8c82-f074-452f-b484-641a2ea4a283">Tablet, enteric coated</Dosage_x0020_Form>
    <Marketed xmlns="4b8f162b-5636-4821-85da-331af8dff062">true</Marketed>
    <Brand_x0020_Name xmlns="17bb8c82-f074-452f-b484-641a2ea4a283">Myfortic</Brand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C19B7-20EA-4C94-A091-4D1FD8DEF782}">
  <ds:schemaRefs>
    <ds:schemaRef ds:uri="http://schemas.microsoft.com/office/2006/metadata/properties"/>
    <ds:schemaRef ds:uri="4b8f162b-5636-4821-85da-331af8dff062"/>
    <ds:schemaRef ds:uri="17bb8c82-f074-452f-b484-641a2ea4a283"/>
  </ds:schemaRefs>
</ds:datastoreItem>
</file>

<file path=customXml/itemProps2.xml><?xml version="1.0" encoding="utf-8"?>
<ds:datastoreItem xmlns:ds="http://schemas.openxmlformats.org/officeDocument/2006/customXml" ds:itemID="{2C7AE294-06DD-47C0-AD5B-D09F6C7C898C}">
  <ds:schemaRefs>
    <ds:schemaRef ds:uri="http://schemas.microsoft.com/sharepoint/v3/contenttype/forms"/>
  </ds:schemaRefs>
</ds:datastoreItem>
</file>

<file path=customXml/itemProps3.xml><?xml version="1.0" encoding="utf-8"?>
<ds:datastoreItem xmlns:ds="http://schemas.openxmlformats.org/officeDocument/2006/customXml" ds:itemID="{C188C509-5F34-4ABE-99B1-6C75C623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A52FF7-F5EA-4573-8413-B9BC2386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7138</Words>
  <Characters>40689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PI format</vt:lpstr>
    </vt:vector>
  </TitlesOfParts>
  <Company>Novartis</Company>
  <LinksUpToDate>false</LinksUpToDate>
  <CharactersWithSpaces>47732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Myfortic</dc:title>
  <dc:subject>prescription medicine regulation</dc:subject>
  <dc:creator>Novartis</dc:creator>
  <cp:keywords>pi, product information, prescription, medicine, myfortic, mycophenolic acid as sodium salt</cp:keywords>
  <cp:lastModifiedBy>Sheppard, Fran</cp:lastModifiedBy>
  <cp:revision>11</cp:revision>
  <cp:lastPrinted>2012-09-18T01:31:00Z</cp:lastPrinted>
  <dcterms:created xsi:type="dcterms:W3CDTF">2013-03-20T00:42:00Z</dcterms:created>
  <dcterms:modified xsi:type="dcterms:W3CDTF">2013-09-15T10:57:00Z</dcterms:modified>
  <cp:contentType>PI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0x01010039983CF8680F544899597C3CF673966A006681E399D2676A4494415B5C34D2395C</vt:lpwstr>
  </property>
</Properties>
</file>