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08266" w14:textId="52E0F75D" w:rsidR="003433DA" w:rsidRPr="000244C1" w:rsidRDefault="00D62168" w:rsidP="00C74168">
      <w:pPr>
        <w:pStyle w:val="C-Heading1nopagebreak0"/>
        <w:jc w:val="center"/>
        <w:rPr>
          <w:lang w:val="en-AU"/>
        </w:rPr>
      </w:pPr>
      <w:r w:rsidRPr="000244C1">
        <w:rPr>
          <w:lang w:val="en-AU"/>
        </w:rPr>
        <w:t>AUSTRALIAN PRODUCT INFORMATION</w:t>
      </w:r>
    </w:p>
    <w:p w14:paraId="324A4455" w14:textId="76BFD7A3" w:rsidR="009057CE" w:rsidRPr="000244C1" w:rsidRDefault="009057CE" w:rsidP="00191FA0">
      <w:pPr>
        <w:pStyle w:val="C-Heading1nopagebreak0"/>
        <w:jc w:val="center"/>
        <w:rPr>
          <w:lang w:val="en-AU"/>
        </w:rPr>
      </w:pPr>
      <w:r w:rsidRPr="000244C1">
        <w:rPr>
          <w:lang w:val="en-AU"/>
        </w:rPr>
        <w:t>KAPANOL</w:t>
      </w:r>
      <w:r w:rsidR="002A5E6E" w:rsidRPr="000244C1">
        <w:rPr>
          <w:vertAlign w:val="superscript"/>
          <w:lang w:val="en-AU"/>
        </w:rPr>
        <w:t>®</w:t>
      </w:r>
      <w:r w:rsidRPr="000244C1">
        <w:rPr>
          <w:lang w:val="en-AU"/>
        </w:rPr>
        <w:t xml:space="preserve"> </w:t>
      </w:r>
      <w:r w:rsidR="00D62168" w:rsidRPr="000244C1">
        <w:rPr>
          <w:lang w:val="en-AU"/>
        </w:rPr>
        <w:t>(MORPHINE SULFATE</w:t>
      </w:r>
      <w:r w:rsidR="00D01D66" w:rsidRPr="000244C1">
        <w:rPr>
          <w:lang w:val="en-AU"/>
        </w:rPr>
        <w:t xml:space="preserve"> PENTAHYDRATE</w:t>
      </w:r>
      <w:r w:rsidR="0003071A" w:rsidRPr="000244C1">
        <w:rPr>
          <w:lang w:val="en-AU"/>
        </w:rPr>
        <w:t xml:space="preserve">) </w:t>
      </w:r>
      <w:r w:rsidRPr="000244C1">
        <w:rPr>
          <w:lang w:val="en-AU"/>
        </w:rPr>
        <w:t>CAPSULES</w:t>
      </w:r>
    </w:p>
    <w:p w14:paraId="24F2DC28" w14:textId="77777777" w:rsidR="009057CE" w:rsidRPr="000244C1" w:rsidRDefault="009057CE" w:rsidP="002069B5">
      <w:pPr>
        <w:pStyle w:val="C-Heading1nopagebreak"/>
        <w:rPr>
          <w:lang w:val="en-AU"/>
        </w:rPr>
      </w:pPr>
      <w:r w:rsidRPr="000244C1">
        <w:rPr>
          <w:lang w:val="en-AU"/>
        </w:rPr>
        <w:t xml:space="preserve">NAME OF THE </w:t>
      </w:r>
      <w:r w:rsidR="002C5D2E" w:rsidRPr="000244C1">
        <w:rPr>
          <w:lang w:val="en-AU"/>
        </w:rPr>
        <w:t>MEDICINE</w:t>
      </w:r>
    </w:p>
    <w:p w14:paraId="2BE852AF" w14:textId="72F402F8" w:rsidR="009057CE" w:rsidRPr="000244C1" w:rsidRDefault="009057CE" w:rsidP="00191FA0">
      <w:pPr>
        <w:pStyle w:val="C-BodyText"/>
        <w:rPr>
          <w:lang w:val="en-AU"/>
        </w:rPr>
      </w:pPr>
      <w:r w:rsidRPr="000244C1">
        <w:rPr>
          <w:lang w:val="en-AU"/>
        </w:rPr>
        <w:t xml:space="preserve">Morphine </w:t>
      </w:r>
      <w:proofErr w:type="spellStart"/>
      <w:r w:rsidRPr="000244C1">
        <w:rPr>
          <w:lang w:val="en-AU"/>
        </w:rPr>
        <w:t>Sulfate</w:t>
      </w:r>
      <w:proofErr w:type="spellEnd"/>
      <w:r w:rsidR="00D01D66" w:rsidRPr="000244C1">
        <w:rPr>
          <w:lang w:val="en-AU"/>
        </w:rPr>
        <w:t xml:space="preserve"> Pentahydrate</w:t>
      </w:r>
    </w:p>
    <w:p w14:paraId="58C85DD3" w14:textId="4047012E" w:rsidR="002069B5" w:rsidRPr="000244C1" w:rsidRDefault="00D62168" w:rsidP="002069B5">
      <w:pPr>
        <w:pStyle w:val="C-Heading1nopagebreak"/>
        <w:rPr>
          <w:lang w:val="en-AU"/>
        </w:rPr>
      </w:pPr>
      <w:r w:rsidRPr="000244C1">
        <w:rPr>
          <w:lang w:val="en-AU"/>
        </w:rPr>
        <w:t>QUALITATIVE AND QUANTITATIVE COMPOSITION</w:t>
      </w:r>
    </w:p>
    <w:p w14:paraId="043F2B99" w14:textId="5D2F0C2E" w:rsidR="009D3730" w:rsidRPr="000244C1" w:rsidRDefault="009D3730" w:rsidP="009D3730">
      <w:pPr>
        <w:pStyle w:val="C-BodyText"/>
        <w:rPr>
          <w:lang w:val="en-AU"/>
        </w:rPr>
      </w:pPr>
      <w:proofErr w:type="spellStart"/>
      <w:r w:rsidRPr="000244C1">
        <w:rPr>
          <w:lang w:val="en-AU"/>
        </w:rPr>
        <w:t>Kapanol</w:t>
      </w:r>
      <w:proofErr w:type="spellEnd"/>
      <w:r w:rsidRPr="000244C1">
        <w:rPr>
          <w:lang w:val="en-AU"/>
        </w:rPr>
        <w:t xml:space="preserve"> capsules 10, 20, 50 and 100 mg contain identical polymer-coated sustained-release pellets of morphine </w:t>
      </w:r>
      <w:proofErr w:type="spellStart"/>
      <w:r w:rsidRPr="000244C1">
        <w:rPr>
          <w:lang w:val="en-AU"/>
        </w:rPr>
        <w:t>sulfate</w:t>
      </w:r>
      <w:proofErr w:type="spellEnd"/>
      <w:r w:rsidRPr="000244C1">
        <w:rPr>
          <w:lang w:val="en-AU"/>
        </w:rPr>
        <w:t xml:space="preserve"> </w:t>
      </w:r>
      <w:r w:rsidR="00DA5A47" w:rsidRPr="000244C1">
        <w:rPr>
          <w:lang w:val="en-AU"/>
        </w:rPr>
        <w:t xml:space="preserve">pentahydrate </w:t>
      </w:r>
      <w:r w:rsidRPr="000244C1">
        <w:rPr>
          <w:lang w:val="en-AU"/>
        </w:rPr>
        <w:t>for oral administration.</w:t>
      </w:r>
    </w:p>
    <w:p w14:paraId="70F3366C" w14:textId="2E737212" w:rsidR="00AE4DE5" w:rsidRPr="000244C1" w:rsidRDefault="00AE4DE5" w:rsidP="009D3730">
      <w:pPr>
        <w:pStyle w:val="C-BodyText"/>
        <w:rPr>
          <w:lang w:val="en-AU"/>
        </w:rPr>
      </w:pPr>
      <w:r w:rsidRPr="000244C1">
        <w:rPr>
          <w:lang w:val="en-AU"/>
        </w:rPr>
        <w:t xml:space="preserve">For the full list of excipients see Section 6.1 List </w:t>
      </w:r>
      <w:r w:rsidR="00BA3F09" w:rsidRPr="000244C1">
        <w:rPr>
          <w:lang w:val="en-AU"/>
        </w:rPr>
        <w:t>o</w:t>
      </w:r>
      <w:r w:rsidR="001A4716" w:rsidRPr="000244C1">
        <w:rPr>
          <w:lang w:val="en-AU"/>
        </w:rPr>
        <w:t xml:space="preserve">f </w:t>
      </w:r>
      <w:r w:rsidRPr="000244C1">
        <w:rPr>
          <w:lang w:val="en-AU"/>
        </w:rPr>
        <w:t>Excipients.</w:t>
      </w:r>
    </w:p>
    <w:p w14:paraId="0E762946" w14:textId="4FCB27BD" w:rsidR="002E4D1F" w:rsidRPr="000244C1" w:rsidRDefault="002E4D1F" w:rsidP="00F06B6D">
      <w:pPr>
        <w:pStyle w:val="C-Heading1nopagebreak"/>
        <w:rPr>
          <w:lang w:val="en-AU"/>
        </w:rPr>
      </w:pPr>
      <w:r w:rsidRPr="000244C1">
        <w:rPr>
          <w:lang w:val="en-AU"/>
        </w:rPr>
        <w:t>PHARMACEUTICAL FORM</w:t>
      </w:r>
    </w:p>
    <w:p w14:paraId="46A617E1" w14:textId="5B7D1318" w:rsidR="00AE4DE5" w:rsidRPr="000244C1" w:rsidRDefault="00AE4DE5" w:rsidP="000B7459">
      <w:pPr>
        <w:pStyle w:val="C-BodyText"/>
        <w:rPr>
          <w:lang w:val="en-AU"/>
        </w:rPr>
      </w:pPr>
      <w:r w:rsidRPr="000244C1">
        <w:rPr>
          <w:lang w:val="en-AU"/>
        </w:rPr>
        <w:t>Modified release capsule.</w:t>
      </w:r>
    </w:p>
    <w:p w14:paraId="6852689E" w14:textId="04B76F7B" w:rsidR="00AE4DE5" w:rsidRPr="000244C1" w:rsidRDefault="00AE4DE5" w:rsidP="000B7459">
      <w:pPr>
        <w:pStyle w:val="C-BodyText"/>
        <w:rPr>
          <w:lang w:val="en-AU"/>
        </w:rPr>
      </w:pPr>
      <w:r w:rsidRPr="000244C1">
        <w:rPr>
          <w:lang w:val="en-AU"/>
        </w:rPr>
        <w:t>Each capsule contains creamy-white to light tan spheroidal pellets.</w:t>
      </w:r>
    </w:p>
    <w:p w14:paraId="455303B2" w14:textId="513A5A46" w:rsidR="009D3730" w:rsidRPr="000244C1" w:rsidRDefault="009D3730" w:rsidP="009D3730">
      <w:pPr>
        <w:pStyle w:val="C-Bullet"/>
        <w:rPr>
          <w:lang w:val="en-AU"/>
        </w:rPr>
      </w:pPr>
      <w:r w:rsidRPr="000244C1">
        <w:rPr>
          <w:lang w:val="en-AU"/>
        </w:rPr>
        <w:t xml:space="preserve">10 mg morphine </w:t>
      </w:r>
      <w:proofErr w:type="spellStart"/>
      <w:r w:rsidRPr="000244C1">
        <w:rPr>
          <w:lang w:val="en-AU"/>
        </w:rPr>
        <w:t>sulfate</w:t>
      </w:r>
      <w:proofErr w:type="spellEnd"/>
      <w:r w:rsidR="00D01D66" w:rsidRPr="000244C1">
        <w:rPr>
          <w:lang w:val="en-AU"/>
        </w:rPr>
        <w:t xml:space="preserve"> pentahydrate</w:t>
      </w:r>
    </w:p>
    <w:p w14:paraId="1CC1A333" w14:textId="77777777" w:rsidR="009D3730" w:rsidRPr="000244C1" w:rsidRDefault="009D3730" w:rsidP="009D3730">
      <w:pPr>
        <w:pStyle w:val="C-Bullet"/>
        <w:numPr>
          <w:ilvl w:val="0"/>
          <w:numId w:val="0"/>
        </w:numPr>
        <w:ind w:left="1080"/>
        <w:rPr>
          <w:lang w:val="en-AU"/>
        </w:rPr>
      </w:pPr>
      <w:r w:rsidRPr="000244C1">
        <w:rPr>
          <w:lang w:val="en-AU"/>
        </w:rPr>
        <w:t xml:space="preserve">Size 4 </w:t>
      </w:r>
      <w:proofErr w:type="gramStart"/>
      <w:r w:rsidRPr="000244C1">
        <w:rPr>
          <w:lang w:val="en-AU"/>
        </w:rPr>
        <w:t>capsule</w:t>
      </w:r>
      <w:proofErr w:type="gramEnd"/>
      <w:r w:rsidRPr="000244C1">
        <w:rPr>
          <w:lang w:val="en-AU"/>
        </w:rPr>
        <w:t>, clear cap imprinted with K10, and clear body imprinted with one black band.</w:t>
      </w:r>
    </w:p>
    <w:p w14:paraId="4B9EA5B5" w14:textId="61060738" w:rsidR="009D3730" w:rsidRPr="000244C1" w:rsidRDefault="009D3730" w:rsidP="009D3730">
      <w:pPr>
        <w:pStyle w:val="C-Bullet"/>
        <w:rPr>
          <w:lang w:val="en-AU"/>
        </w:rPr>
      </w:pPr>
      <w:r w:rsidRPr="000244C1">
        <w:rPr>
          <w:lang w:val="en-AU"/>
        </w:rPr>
        <w:t xml:space="preserve">20 mg morphine </w:t>
      </w:r>
      <w:proofErr w:type="spellStart"/>
      <w:r w:rsidRPr="000244C1">
        <w:rPr>
          <w:lang w:val="en-AU"/>
        </w:rPr>
        <w:t>sulfate</w:t>
      </w:r>
      <w:proofErr w:type="spellEnd"/>
      <w:r w:rsidR="00D01D66" w:rsidRPr="000244C1">
        <w:rPr>
          <w:lang w:val="en-AU"/>
        </w:rPr>
        <w:t xml:space="preserve"> pentahydrate</w:t>
      </w:r>
    </w:p>
    <w:p w14:paraId="2047E3DA" w14:textId="77777777" w:rsidR="009D3730" w:rsidRPr="000244C1" w:rsidRDefault="009D3730" w:rsidP="009D3730">
      <w:pPr>
        <w:pStyle w:val="C-Bullet"/>
        <w:numPr>
          <w:ilvl w:val="0"/>
          <w:numId w:val="0"/>
        </w:numPr>
        <w:ind w:left="1080"/>
        <w:rPr>
          <w:lang w:val="en-AU"/>
        </w:rPr>
      </w:pPr>
      <w:r w:rsidRPr="000244C1">
        <w:rPr>
          <w:lang w:val="en-AU"/>
        </w:rPr>
        <w:t xml:space="preserve">Size 4 </w:t>
      </w:r>
      <w:proofErr w:type="gramStart"/>
      <w:r w:rsidRPr="000244C1">
        <w:rPr>
          <w:lang w:val="en-AU"/>
        </w:rPr>
        <w:t>capsule</w:t>
      </w:r>
      <w:proofErr w:type="gramEnd"/>
      <w:r w:rsidRPr="000244C1">
        <w:rPr>
          <w:lang w:val="en-AU"/>
        </w:rPr>
        <w:t>, clear cap imprinted with K20, and clear body imprinted with two black bands.</w:t>
      </w:r>
    </w:p>
    <w:p w14:paraId="00FCE689" w14:textId="3E9AC683" w:rsidR="009D3730" w:rsidRPr="000244C1" w:rsidRDefault="009D3730" w:rsidP="009D3730">
      <w:pPr>
        <w:pStyle w:val="C-Bullet"/>
        <w:rPr>
          <w:lang w:val="en-AU"/>
        </w:rPr>
      </w:pPr>
      <w:r w:rsidRPr="000244C1">
        <w:rPr>
          <w:lang w:val="en-AU"/>
        </w:rPr>
        <w:t xml:space="preserve">50 mg morphine </w:t>
      </w:r>
      <w:proofErr w:type="spellStart"/>
      <w:r w:rsidRPr="000244C1">
        <w:rPr>
          <w:lang w:val="en-AU"/>
        </w:rPr>
        <w:t>sulfate</w:t>
      </w:r>
      <w:proofErr w:type="spellEnd"/>
      <w:r w:rsidR="00D01D66" w:rsidRPr="000244C1">
        <w:rPr>
          <w:lang w:val="en-AU"/>
        </w:rPr>
        <w:t xml:space="preserve"> pentahydrate</w:t>
      </w:r>
    </w:p>
    <w:p w14:paraId="0124BC10" w14:textId="77777777" w:rsidR="009D3730" w:rsidRPr="000244C1" w:rsidRDefault="009D3730" w:rsidP="009D3730">
      <w:pPr>
        <w:pStyle w:val="C-Bullet"/>
        <w:numPr>
          <w:ilvl w:val="0"/>
          <w:numId w:val="0"/>
        </w:numPr>
        <w:ind w:left="1080"/>
        <w:rPr>
          <w:lang w:val="en-AU"/>
        </w:rPr>
      </w:pPr>
      <w:r w:rsidRPr="000244C1">
        <w:rPr>
          <w:lang w:val="en-AU"/>
        </w:rPr>
        <w:t xml:space="preserve">Size 2 </w:t>
      </w:r>
      <w:proofErr w:type="gramStart"/>
      <w:r w:rsidRPr="000244C1">
        <w:rPr>
          <w:lang w:val="en-AU"/>
        </w:rPr>
        <w:t>capsule</w:t>
      </w:r>
      <w:proofErr w:type="gramEnd"/>
      <w:r w:rsidRPr="000244C1">
        <w:rPr>
          <w:lang w:val="en-AU"/>
        </w:rPr>
        <w:t>, clear cap imprinted with K50, and clear body imprinted with three black bands.</w:t>
      </w:r>
    </w:p>
    <w:p w14:paraId="794F5E51" w14:textId="47EC1115" w:rsidR="009D3730" w:rsidRPr="000244C1" w:rsidRDefault="009D3730" w:rsidP="009D3730">
      <w:pPr>
        <w:pStyle w:val="C-Bullet"/>
        <w:rPr>
          <w:lang w:val="en-AU"/>
        </w:rPr>
      </w:pPr>
      <w:r w:rsidRPr="000244C1">
        <w:rPr>
          <w:lang w:val="en-AU"/>
        </w:rPr>
        <w:t xml:space="preserve">100 mg morphine </w:t>
      </w:r>
      <w:proofErr w:type="spellStart"/>
      <w:r w:rsidRPr="000244C1">
        <w:rPr>
          <w:lang w:val="en-AU"/>
        </w:rPr>
        <w:t>sulfate</w:t>
      </w:r>
      <w:proofErr w:type="spellEnd"/>
      <w:r w:rsidRPr="000244C1">
        <w:rPr>
          <w:lang w:val="en-AU"/>
        </w:rPr>
        <w:t xml:space="preserve"> </w:t>
      </w:r>
      <w:r w:rsidR="00D01D66" w:rsidRPr="000244C1">
        <w:rPr>
          <w:lang w:val="en-AU"/>
        </w:rPr>
        <w:t>pentahydrate</w:t>
      </w:r>
    </w:p>
    <w:p w14:paraId="5D9C2DE1" w14:textId="5C87F76C" w:rsidR="009D3730" w:rsidRPr="000244C1" w:rsidRDefault="009D3730" w:rsidP="009D3730">
      <w:pPr>
        <w:pStyle w:val="C-Bullet"/>
        <w:numPr>
          <w:ilvl w:val="0"/>
          <w:numId w:val="0"/>
        </w:numPr>
        <w:ind w:left="1080"/>
        <w:rPr>
          <w:lang w:val="en-AU"/>
        </w:rPr>
      </w:pPr>
      <w:r w:rsidRPr="000244C1">
        <w:rPr>
          <w:lang w:val="en-AU"/>
        </w:rPr>
        <w:t xml:space="preserve">Size 0 </w:t>
      </w:r>
      <w:proofErr w:type="gramStart"/>
      <w:r w:rsidRPr="000244C1">
        <w:rPr>
          <w:lang w:val="en-AU"/>
        </w:rPr>
        <w:t>capsule</w:t>
      </w:r>
      <w:proofErr w:type="gramEnd"/>
      <w:r w:rsidRPr="000244C1">
        <w:rPr>
          <w:lang w:val="en-AU"/>
        </w:rPr>
        <w:t>, clear cap imprinted with K100, and clear body imprinted with four black bands.</w:t>
      </w:r>
    </w:p>
    <w:p w14:paraId="4C5B9AAE" w14:textId="3D1F609D" w:rsidR="002E4D1F" w:rsidRPr="000244C1" w:rsidRDefault="002E4D1F" w:rsidP="00F06B6D">
      <w:pPr>
        <w:pStyle w:val="C-Heading1nopagebreak"/>
        <w:rPr>
          <w:lang w:val="en-AU" w:eastAsia="zh-CN"/>
        </w:rPr>
      </w:pPr>
      <w:r w:rsidRPr="000244C1">
        <w:rPr>
          <w:lang w:val="en-AU"/>
        </w:rPr>
        <w:t>CLINICAL PARTICULARS</w:t>
      </w:r>
    </w:p>
    <w:p w14:paraId="75A65FA0" w14:textId="01335328" w:rsidR="002E4D1F" w:rsidRPr="000244C1" w:rsidRDefault="003960B2" w:rsidP="00CF2F61">
      <w:pPr>
        <w:pStyle w:val="C-Heading2"/>
        <w:rPr>
          <w:lang w:val="en-AU"/>
        </w:rPr>
      </w:pPr>
      <w:r w:rsidRPr="000244C1">
        <w:rPr>
          <w:lang w:val="en-AU"/>
        </w:rPr>
        <w:t>Therapeutic Indications</w:t>
      </w:r>
    </w:p>
    <w:p w14:paraId="22D8B4A6" w14:textId="77777777" w:rsidR="002B6CE6" w:rsidRPr="000244C1" w:rsidRDefault="002B6CE6" w:rsidP="002B6CE6">
      <w:pPr>
        <w:pStyle w:val="C-BodyText"/>
        <w:rPr>
          <w:lang w:val="en-AU"/>
        </w:rPr>
      </w:pPr>
      <w:proofErr w:type="spellStart"/>
      <w:r w:rsidRPr="000244C1">
        <w:rPr>
          <w:lang w:val="en-AU"/>
        </w:rPr>
        <w:t>Kapanol</w:t>
      </w:r>
      <w:proofErr w:type="spellEnd"/>
      <w:r w:rsidRPr="000244C1">
        <w:rPr>
          <w:lang w:val="en-AU"/>
        </w:rPr>
        <w:t xml:space="preserve"> 10, 20, 50 and 100 mg are indicated for the relief of chronic pain unresponsive to non-narcotic analgesia.</w:t>
      </w:r>
    </w:p>
    <w:p w14:paraId="540C355D" w14:textId="47CAD530" w:rsidR="0082238E" w:rsidRPr="000244C1" w:rsidRDefault="0082238E" w:rsidP="0082238E">
      <w:pPr>
        <w:pStyle w:val="C-BodyText"/>
        <w:rPr>
          <w:lang w:val="en-AU"/>
        </w:rPr>
      </w:pPr>
      <w:proofErr w:type="spellStart"/>
      <w:r w:rsidRPr="000244C1">
        <w:rPr>
          <w:lang w:val="en-AU"/>
        </w:rPr>
        <w:lastRenderedPageBreak/>
        <w:t>Kapanol</w:t>
      </w:r>
      <w:proofErr w:type="spellEnd"/>
      <w:r w:rsidRPr="000244C1">
        <w:rPr>
          <w:lang w:val="en-AU"/>
        </w:rPr>
        <w:t xml:space="preserve"> 10 and 20 mg are indicated for the symptomatic reduction of chronic breathlessness in the palliative care of patients with distressing breathlessness due to severe COPD, cardiac failure, malignancy or other cause. </w:t>
      </w:r>
      <w:r w:rsidR="00D06624" w:rsidRPr="000244C1">
        <w:rPr>
          <w:lang w:val="en-AU"/>
        </w:rPr>
        <w:t xml:space="preserve"> </w:t>
      </w:r>
      <w:proofErr w:type="spellStart"/>
      <w:r w:rsidRPr="000244C1">
        <w:rPr>
          <w:lang w:val="en-AU"/>
        </w:rPr>
        <w:t>Kapanol</w:t>
      </w:r>
      <w:proofErr w:type="spellEnd"/>
      <w:r w:rsidRPr="000244C1">
        <w:rPr>
          <w:lang w:val="en-AU"/>
        </w:rPr>
        <w:t xml:space="preserve"> should only be used after treatments for the underlying cause(s) of the breathlessness have been optimised and non-pharmacological treatment</w:t>
      </w:r>
      <w:r w:rsidR="00683A36" w:rsidRPr="000244C1">
        <w:rPr>
          <w:lang w:val="en-AU"/>
        </w:rPr>
        <w:t>s</w:t>
      </w:r>
      <w:r w:rsidRPr="000244C1">
        <w:rPr>
          <w:lang w:val="en-AU"/>
        </w:rPr>
        <w:t xml:space="preserve"> </w:t>
      </w:r>
      <w:r w:rsidR="00EC10D9" w:rsidRPr="000244C1">
        <w:rPr>
          <w:lang w:val="en-AU"/>
        </w:rPr>
        <w:t xml:space="preserve">are </w:t>
      </w:r>
      <w:r w:rsidRPr="000244C1">
        <w:rPr>
          <w:lang w:val="en-AU"/>
        </w:rPr>
        <w:t xml:space="preserve">not effective. Treatment with </w:t>
      </w:r>
      <w:proofErr w:type="spellStart"/>
      <w:r w:rsidRPr="000244C1">
        <w:rPr>
          <w:lang w:val="en-AU"/>
        </w:rPr>
        <w:t>Kapanol</w:t>
      </w:r>
      <w:proofErr w:type="spellEnd"/>
      <w:r w:rsidRPr="000244C1">
        <w:rPr>
          <w:lang w:val="en-AU"/>
        </w:rPr>
        <w:t xml:space="preserve"> in this setting should only be initiated by a specialist knowledgeable in its use</w:t>
      </w:r>
      <w:r w:rsidRPr="000244C1">
        <w:rPr>
          <w:sz w:val="23"/>
          <w:szCs w:val="23"/>
          <w:lang w:val="en-AU"/>
        </w:rPr>
        <w:t>.</w:t>
      </w:r>
    </w:p>
    <w:p w14:paraId="1CC26118" w14:textId="7B218486" w:rsidR="002E4D1F" w:rsidRPr="000244C1" w:rsidRDefault="003960B2" w:rsidP="002E4D1F">
      <w:pPr>
        <w:pStyle w:val="C-Heading2"/>
        <w:rPr>
          <w:lang w:val="en-AU"/>
        </w:rPr>
      </w:pPr>
      <w:r w:rsidRPr="000244C1">
        <w:rPr>
          <w:lang w:val="en-AU"/>
        </w:rPr>
        <w:t>Dose and Method of Administration</w:t>
      </w:r>
    </w:p>
    <w:p w14:paraId="15B40337" w14:textId="7FEEB3C1" w:rsidR="00DD7D15" w:rsidRPr="000244C1" w:rsidRDefault="00DD7D15" w:rsidP="00DD7D15">
      <w:pPr>
        <w:pStyle w:val="C-BodyText"/>
        <w:rPr>
          <w:lang w:val="en-AU"/>
        </w:rPr>
      </w:pPr>
      <w:r w:rsidRPr="000244C1">
        <w:rPr>
          <w:lang w:val="en-AU"/>
        </w:rPr>
        <w:t xml:space="preserve">The sustained-release nature of </w:t>
      </w:r>
      <w:proofErr w:type="spellStart"/>
      <w:r w:rsidRPr="000244C1">
        <w:rPr>
          <w:lang w:val="en-AU"/>
        </w:rPr>
        <w:t>Kapanol</w:t>
      </w:r>
      <w:proofErr w:type="spellEnd"/>
      <w:r w:rsidRPr="000244C1">
        <w:rPr>
          <w:lang w:val="en-AU"/>
        </w:rPr>
        <w:t xml:space="preserve"> capsules allows for administration on a once daily (every 24 hours) or twice daily (every 12 hours) dosing interval.</w:t>
      </w:r>
    </w:p>
    <w:p w14:paraId="12480524" w14:textId="77777777" w:rsidR="00F56DB3" w:rsidRPr="000244C1" w:rsidRDefault="00F56DB3" w:rsidP="00F56DB3">
      <w:pPr>
        <w:pStyle w:val="C-BodyText"/>
        <w:rPr>
          <w:lang w:val="en-AU"/>
        </w:rPr>
      </w:pPr>
      <w:proofErr w:type="spellStart"/>
      <w:r w:rsidRPr="000244C1">
        <w:rPr>
          <w:b/>
          <w:i/>
          <w:lang w:val="en-AU"/>
        </w:rPr>
        <w:t>Kapanol</w:t>
      </w:r>
      <w:proofErr w:type="spellEnd"/>
      <w:r w:rsidRPr="000244C1">
        <w:rPr>
          <w:b/>
          <w:i/>
          <w:lang w:val="en-AU"/>
        </w:rPr>
        <w:t xml:space="preserve"> is not bioequivalent to other controlled-release morphine preparations.</w:t>
      </w:r>
    </w:p>
    <w:p w14:paraId="76F4DF25" w14:textId="77777777" w:rsidR="00E730D5" w:rsidRPr="000244C1" w:rsidRDefault="00E730D5">
      <w:pPr>
        <w:pStyle w:val="C-BodyText"/>
        <w:rPr>
          <w:b/>
          <w:lang w:val="en-AU"/>
        </w:rPr>
      </w:pPr>
      <w:r w:rsidRPr="000244C1">
        <w:rPr>
          <w:b/>
          <w:lang w:val="en-AU"/>
        </w:rPr>
        <w:t>THE INDIVIDUAL PELLETS IN KAPANOL CAPSULES MUST NOT BE CHEWED OR CRUSHED.</w:t>
      </w:r>
    </w:p>
    <w:p w14:paraId="5D0A00E5" w14:textId="03525CC9" w:rsidR="002B6CE6" w:rsidRPr="000244C1" w:rsidRDefault="00DD7D15" w:rsidP="002B6CE6">
      <w:pPr>
        <w:pStyle w:val="C-Heading2non-numbered"/>
        <w:rPr>
          <w:lang w:val="en-AU"/>
        </w:rPr>
      </w:pPr>
      <w:r w:rsidRPr="000244C1">
        <w:rPr>
          <w:lang w:val="en-AU"/>
        </w:rPr>
        <w:t xml:space="preserve">Symptom Reduction </w:t>
      </w:r>
      <w:r w:rsidR="002B6CE6" w:rsidRPr="000244C1">
        <w:rPr>
          <w:lang w:val="en-AU"/>
        </w:rPr>
        <w:t>of Chronic Pain</w:t>
      </w:r>
    </w:p>
    <w:p w14:paraId="3DDCFEC4" w14:textId="166EF2E9" w:rsidR="002863EC" w:rsidRPr="000244C1" w:rsidRDefault="002863EC" w:rsidP="002863EC">
      <w:pPr>
        <w:pStyle w:val="C-BodyText"/>
        <w:rPr>
          <w:lang w:val="en-AU"/>
        </w:rPr>
      </w:pPr>
      <w:r w:rsidRPr="000244C1">
        <w:rPr>
          <w:lang w:val="en-AU"/>
        </w:rPr>
        <w:t xml:space="preserve">The use of opioid analgesics for the relief of chronic pain, including cancer pain, and chronic breathlessness should be only part of a complete approach to pain control which should include other types of treatment or drug therapy, non-drug measures and psychosocial support.  </w:t>
      </w:r>
      <w:proofErr w:type="spellStart"/>
      <w:r w:rsidRPr="000244C1">
        <w:rPr>
          <w:lang w:val="en-AU"/>
        </w:rPr>
        <w:t>Kapanol</w:t>
      </w:r>
      <w:proofErr w:type="spellEnd"/>
      <w:r w:rsidRPr="000244C1">
        <w:rPr>
          <w:lang w:val="en-AU"/>
        </w:rPr>
        <w:t xml:space="preserve"> should be used for the long-term treatment of chronic moderate to severe pain only after the pain has been proven to be alleviated by a trial of shorter-acting opioids or </w:t>
      </w:r>
      <w:proofErr w:type="spellStart"/>
      <w:r w:rsidRPr="000244C1">
        <w:rPr>
          <w:lang w:val="en-AU"/>
        </w:rPr>
        <w:t>Kapanol</w:t>
      </w:r>
      <w:proofErr w:type="spellEnd"/>
      <w:r w:rsidRPr="000244C1">
        <w:rPr>
          <w:lang w:val="en-AU"/>
        </w:rPr>
        <w:t>.</w:t>
      </w:r>
    </w:p>
    <w:p w14:paraId="6AD41EEC" w14:textId="4F351391" w:rsidR="002B6CE6" w:rsidRPr="000244C1" w:rsidRDefault="002B6CE6" w:rsidP="002B6CE6">
      <w:pPr>
        <w:pStyle w:val="C-BodyText"/>
        <w:rPr>
          <w:lang w:val="en-AU"/>
        </w:rPr>
      </w:pPr>
      <w:r w:rsidRPr="000244C1">
        <w:rPr>
          <w:lang w:val="en-AU"/>
        </w:rPr>
        <w:t xml:space="preserve">Selection of the initial dose of </w:t>
      </w:r>
      <w:proofErr w:type="spellStart"/>
      <w:r w:rsidRPr="000244C1">
        <w:rPr>
          <w:lang w:val="en-AU"/>
        </w:rPr>
        <w:t>Kapanol</w:t>
      </w:r>
      <w:proofErr w:type="spellEnd"/>
      <w:r w:rsidRPr="000244C1">
        <w:rPr>
          <w:position w:val="6"/>
          <w:lang w:val="en-AU"/>
        </w:rPr>
        <w:t xml:space="preserve"> </w:t>
      </w:r>
      <w:r w:rsidRPr="000244C1">
        <w:rPr>
          <w:lang w:val="en-AU"/>
        </w:rPr>
        <w:t>should take into account the following:</w:t>
      </w:r>
    </w:p>
    <w:p w14:paraId="66B32238" w14:textId="0C7C4625" w:rsidR="002B6CE6" w:rsidRPr="000244C1" w:rsidRDefault="002B6CE6" w:rsidP="007E2BA4">
      <w:pPr>
        <w:pStyle w:val="C-BodyText"/>
        <w:numPr>
          <w:ilvl w:val="0"/>
          <w:numId w:val="14"/>
        </w:numPr>
        <w:rPr>
          <w:lang w:val="en-AU"/>
        </w:rPr>
      </w:pPr>
      <w:proofErr w:type="gramStart"/>
      <w:r w:rsidRPr="000244C1">
        <w:rPr>
          <w:lang w:val="en-AU"/>
        </w:rPr>
        <w:t>the</w:t>
      </w:r>
      <w:proofErr w:type="gramEnd"/>
      <w:r w:rsidRPr="000244C1">
        <w:rPr>
          <w:lang w:val="en-AU"/>
        </w:rPr>
        <w:t xml:space="preserve"> total daily dose, potency and characteristics of previous opioid analgesics (e</w:t>
      </w:r>
      <w:r w:rsidR="00D86594" w:rsidRPr="000244C1">
        <w:rPr>
          <w:lang w:val="en-AU"/>
        </w:rPr>
        <w:t>.</w:t>
      </w:r>
      <w:r w:rsidRPr="000244C1">
        <w:rPr>
          <w:lang w:val="en-AU"/>
        </w:rPr>
        <w:t>g</w:t>
      </w:r>
      <w:r w:rsidR="00D86594" w:rsidRPr="000244C1">
        <w:rPr>
          <w:lang w:val="en-AU"/>
        </w:rPr>
        <w:t>.</w:t>
      </w:r>
      <w:r w:rsidRPr="000244C1">
        <w:rPr>
          <w:lang w:val="en-AU"/>
        </w:rPr>
        <w:t xml:space="preserve"> pure agonists or mixed agonist/antagonist.)</w:t>
      </w:r>
    </w:p>
    <w:p w14:paraId="01349A23" w14:textId="77777777" w:rsidR="002B6CE6" w:rsidRPr="000244C1" w:rsidRDefault="002B6CE6" w:rsidP="007E2BA4">
      <w:pPr>
        <w:pStyle w:val="C-BodyText"/>
        <w:numPr>
          <w:ilvl w:val="0"/>
          <w:numId w:val="14"/>
        </w:numPr>
        <w:rPr>
          <w:lang w:val="en-AU"/>
        </w:rPr>
      </w:pPr>
      <w:proofErr w:type="gramStart"/>
      <w:r w:rsidRPr="000244C1">
        <w:rPr>
          <w:lang w:val="en-AU"/>
        </w:rPr>
        <w:t>the</w:t>
      </w:r>
      <w:proofErr w:type="gramEnd"/>
      <w:r w:rsidRPr="000244C1">
        <w:rPr>
          <w:lang w:val="en-AU"/>
        </w:rPr>
        <w:t xml:space="preserve"> reliability of the relative potency estimate used to calculate the dose of morphine required (potency estimates vary with the route of administration.)</w:t>
      </w:r>
    </w:p>
    <w:p w14:paraId="5A09D162" w14:textId="77777777" w:rsidR="002B6CE6" w:rsidRPr="000244C1" w:rsidRDefault="002B6CE6" w:rsidP="007E2BA4">
      <w:pPr>
        <w:pStyle w:val="C-BodyText"/>
        <w:numPr>
          <w:ilvl w:val="0"/>
          <w:numId w:val="14"/>
        </w:numPr>
        <w:rPr>
          <w:lang w:val="en-AU"/>
        </w:rPr>
      </w:pPr>
      <w:r w:rsidRPr="000244C1">
        <w:rPr>
          <w:lang w:val="en-AU"/>
        </w:rPr>
        <w:t>the degree of opioid tolerance</w:t>
      </w:r>
    </w:p>
    <w:p w14:paraId="45B27DEF" w14:textId="77777777" w:rsidR="002B6CE6" w:rsidRPr="000244C1" w:rsidRDefault="002B6CE6" w:rsidP="007E2BA4">
      <w:pPr>
        <w:pStyle w:val="C-BodyText"/>
        <w:numPr>
          <w:ilvl w:val="0"/>
          <w:numId w:val="14"/>
        </w:numPr>
        <w:rPr>
          <w:lang w:val="en-AU"/>
        </w:rPr>
      </w:pPr>
      <w:r w:rsidRPr="000244C1">
        <w:rPr>
          <w:lang w:val="en-AU"/>
        </w:rPr>
        <w:t>the patient's general medical condition</w:t>
      </w:r>
    </w:p>
    <w:p w14:paraId="6B961D40" w14:textId="57BB7EC1" w:rsidR="002B6CE6" w:rsidRPr="000244C1" w:rsidRDefault="002B6CE6" w:rsidP="007E2BA4">
      <w:pPr>
        <w:pStyle w:val="C-BodyText"/>
        <w:numPr>
          <w:ilvl w:val="0"/>
          <w:numId w:val="14"/>
        </w:numPr>
        <w:rPr>
          <w:lang w:val="en-AU"/>
        </w:rPr>
      </w:pPr>
      <w:r w:rsidRPr="000244C1">
        <w:rPr>
          <w:lang w:val="en-AU"/>
        </w:rPr>
        <w:t>concurrent medication</w:t>
      </w:r>
      <w:r w:rsidR="009C72FC" w:rsidRPr="000244C1">
        <w:rPr>
          <w:lang w:val="en-AU"/>
        </w:rPr>
        <w:t>s</w:t>
      </w:r>
    </w:p>
    <w:p w14:paraId="78ED21DF" w14:textId="77777777" w:rsidR="002B6CE6" w:rsidRPr="000244C1" w:rsidRDefault="002B6CE6" w:rsidP="007E2BA4">
      <w:pPr>
        <w:pStyle w:val="C-BodyText"/>
        <w:numPr>
          <w:ilvl w:val="0"/>
          <w:numId w:val="14"/>
        </w:numPr>
        <w:rPr>
          <w:lang w:val="en-AU"/>
        </w:rPr>
      </w:pPr>
      <w:r w:rsidRPr="000244C1">
        <w:rPr>
          <w:lang w:val="en-AU"/>
        </w:rPr>
        <w:t>type and severity of pain</w:t>
      </w:r>
    </w:p>
    <w:p w14:paraId="02C447B2" w14:textId="5E88DAA8" w:rsidR="002B6CE6" w:rsidRPr="000244C1" w:rsidRDefault="002B6CE6" w:rsidP="002B6CE6">
      <w:pPr>
        <w:pStyle w:val="C-BodyText"/>
        <w:rPr>
          <w:lang w:val="en-AU"/>
        </w:rPr>
      </w:pPr>
      <w:r w:rsidRPr="000244C1">
        <w:rPr>
          <w:lang w:val="en-AU"/>
        </w:rPr>
        <w:t xml:space="preserve">The usual starting dose in opioid naive patients is </w:t>
      </w:r>
      <w:proofErr w:type="spellStart"/>
      <w:r w:rsidRPr="000244C1">
        <w:rPr>
          <w:lang w:val="en-AU"/>
        </w:rPr>
        <w:t>Kapanol</w:t>
      </w:r>
      <w:proofErr w:type="spellEnd"/>
      <w:r w:rsidRPr="000244C1">
        <w:rPr>
          <w:lang w:val="en-AU"/>
        </w:rPr>
        <w:t xml:space="preserve"> capsules 40 mg every 24 hours or 20 mg every 12 hours.</w:t>
      </w:r>
      <w:r w:rsidR="002863EC" w:rsidRPr="000244C1">
        <w:rPr>
          <w:lang w:val="en-AU"/>
        </w:rPr>
        <w:t xml:space="preserve"> </w:t>
      </w:r>
      <w:r w:rsidR="00307C1C" w:rsidRPr="000244C1">
        <w:rPr>
          <w:lang w:val="en-AU"/>
        </w:rPr>
        <w:t xml:space="preserve"> </w:t>
      </w:r>
      <w:r w:rsidRPr="000244C1">
        <w:rPr>
          <w:lang w:val="en-AU"/>
        </w:rPr>
        <w:t xml:space="preserve">The first dose of </w:t>
      </w:r>
      <w:proofErr w:type="spellStart"/>
      <w:r w:rsidRPr="000244C1">
        <w:rPr>
          <w:lang w:val="en-AU"/>
        </w:rPr>
        <w:t>Kapanol</w:t>
      </w:r>
      <w:proofErr w:type="spellEnd"/>
      <w:r w:rsidRPr="000244C1">
        <w:rPr>
          <w:lang w:val="en-AU"/>
        </w:rPr>
        <w:t xml:space="preserve"> may be taken with the last dose of any immediate-release opioid medication.</w:t>
      </w:r>
    </w:p>
    <w:p w14:paraId="097C317C" w14:textId="77777777" w:rsidR="002863EC" w:rsidRPr="000244C1" w:rsidRDefault="002863EC" w:rsidP="002863EC">
      <w:pPr>
        <w:pStyle w:val="C-BodyText"/>
        <w:rPr>
          <w:lang w:val="en-AU"/>
        </w:rPr>
      </w:pPr>
      <w:r w:rsidRPr="000244C1">
        <w:rPr>
          <w:lang w:val="en-AU"/>
        </w:rPr>
        <w:t xml:space="preserve">If signs of excessive opioid effects are observed early in the dosing interval, the next dose should be reduced. If this adjustment leads to inadequate analgesia, that is, 'breakthrough pain' </w:t>
      </w:r>
      <w:proofErr w:type="gramStart"/>
      <w:r w:rsidRPr="000244C1">
        <w:rPr>
          <w:lang w:val="en-AU"/>
        </w:rPr>
        <w:t>occurs,</w:t>
      </w:r>
      <w:proofErr w:type="gramEnd"/>
      <w:r w:rsidRPr="000244C1">
        <w:rPr>
          <w:lang w:val="en-AU"/>
        </w:rPr>
        <w:t xml:space="preserve"> a supplemental dose of a short acting analgesic may be given.  The dosing interval of </w:t>
      </w:r>
      <w:proofErr w:type="spellStart"/>
      <w:r w:rsidRPr="000244C1">
        <w:rPr>
          <w:lang w:val="en-AU"/>
        </w:rPr>
        <w:t>Kapanol</w:t>
      </w:r>
      <w:proofErr w:type="spellEnd"/>
      <w:r w:rsidRPr="000244C1">
        <w:rPr>
          <w:lang w:val="en-AU"/>
        </w:rPr>
        <w:t xml:space="preserve"> should not be reduced below every 12 hours.  As experience is gained, adjustments can be made to obtain an appropriate balance between pain relief and opioid side </w:t>
      </w:r>
      <w:proofErr w:type="gramStart"/>
      <w:r w:rsidRPr="000244C1">
        <w:rPr>
          <w:lang w:val="en-AU"/>
        </w:rPr>
        <w:t>effects</w:t>
      </w:r>
      <w:proofErr w:type="gramEnd"/>
      <w:r w:rsidRPr="000244C1">
        <w:rPr>
          <w:lang w:val="en-AU"/>
        </w:rPr>
        <w:t>.</w:t>
      </w:r>
    </w:p>
    <w:p w14:paraId="1891FC51" w14:textId="5512E60C" w:rsidR="002863EC" w:rsidRPr="000244C1" w:rsidRDefault="002863EC" w:rsidP="002863EC">
      <w:pPr>
        <w:pStyle w:val="C-BodyText"/>
        <w:rPr>
          <w:lang w:val="en-AU"/>
        </w:rPr>
      </w:pPr>
      <w:r w:rsidRPr="000244C1">
        <w:rPr>
          <w:lang w:val="en-AU"/>
        </w:rPr>
        <w:t xml:space="preserve">Because of the sustained-release properties of </w:t>
      </w:r>
      <w:proofErr w:type="spellStart"/>
      <w:r w:rsidRPr="000244C1">
        <w:rPr>
          <w:lang w:val="en-AU"/>
        </w:rPr>
        <w:t>Kapanol</w:t>
      </w:r>
      <w:proofErr w:type="spellEnd"/>
      <w:r w:rsidRPr="000244C1">
        <w:rPr>
          <w:lang w:val="en-AU"/>
        </w:rPr>
        <w:t>, dosage increases should generally be separated by 24 hours.</w:t>
      </w:r>
    </w:p>
    <w:p w14:paraId="3EFF255F" w14:textId="65379333" w:rsidR="002B6CE6" w:rsidRPr="000244C1" w:rsidRDefault="002863EC" w:rsidP="002B6CE6">
      <w:pPr>
        <w:pStyle w:val="C-Heading2non-numbered"/>
        <w:rPr>
          <w:lang w:val="en-AU"/>
        </w:rPr>
      </w:pPr>
      <w:bookmarkStart w:id="0" w:name="_Hlk530562795"/>
      <w:r w:rsidRPr="000244C1">
        <w:rPr>
          <w:lang w:val="en-AU"/>
        </w:rPr>
        <w:lastRenderedPageBreak/>
        <w:t>Symptom Reduction</w:t>
      </w:r>
      <w:r w:rsidR="002B6CE6" w:rsidRPr="000244C1">
        <w:rPr>
          <w:lang w:val="en-AU"/>
        </w:rPr>
        <w:t xml:space="preserve"> of Chronic Breathlessness</w:t>
      </w:r>
    </w:p>
    <w:bookmarkEnd w:id="0"/>
    <w:p w14:paraId="3BBE95BC" w14:textId="011BD1DD" w:rsidR="002863EC" w:rsidRPr="000244C1" w:rsidRDefault="002863EC" w:rsidP="002B6CE6">
      <w:pPr>
        <w:pStyle w:val="C-BodyText"/>
        <w:rPr>
          <w:lang w:val="en-AU"/>
        </w:rPr>
      </w:pPr>
      <w:r w:rsidRPr="000244C1">
        <w:rPr>
          <w:lang w:val="en-AU"/>
        </w:rPr>
        <w:t xml:space="preserve">Treatment should be initiated </w:t>
      </w:r>
      <w:r w:rsidR="006F778F" w:rsidRPr="000244C1">
        <w:rPr>
          <w:lang w:val="en-AU"/>
        </w:rPr>
        <w:t>by</w:t>
      </w:r>
      <w:r w:rsidR="00BE3089" w:rsidRPr="000244C1">
        <w:rPr>
          <w:lang w:val="en-AU"/>
        </w:rPr>
        <w:t xml:space="preserve"> </w:t>
      </w:r>
      <w:r w:rsidRPr="000244C1">
        <w:rPr>
          <w:lang w:val="en-AU"/>
        </w:rPr>
        <w:t xml:space="preserve">a specialist knowledgeable in the use of potent opioids for the management of chronic breathlessness. The use of </w:t>
      </w:r>
      <w:proofErr w:type="spellStart"/>
      <w:r w:rsidRPr="000244C1">
        <w:rPr>
          <w:lang w:val="en-AU"/>
        </w:rPr>
        <w:t>Kapanol</w:t>
      </w:r>
      <w:proofErr w:type="spellEnd"/>
      <w:r w:rsidRPr="000244C1">
        <w:rPr>
          <w:lang w:val="en-AU"/>
        </w:rPr>
        <w:t xml:space="preserve"> for the re</w:t>
      </w:r>
      <w:r w:rsidR="004C5621" w:rsidRPr="000244C1">
        <w:rPr>
          <w:lang w:val="en-AU"/>
        </w:rPr>
        <w:t>duction</w:t>
      </w:r>
      <w:r w:rsidRPr="000244C1">
        <w:rPr>
          <w:lang w:val="en-AU"/>
        </w:rPr>
        <w:t xml:space="preserve"> of chronic breathlessness should be only part of a complete approach to symptom control which should include non-drug measures and psychosocial support.</w:t>
      </w:r>
    </w:p>
    <w:p w14:paraId="1E6F6517" w14:textId="234EB77F" w:rsidR="002863EC" w:rsidRPr="000244C1" w:rsidRDefault="002863EC" w:rsidP="002B6CE6">
      <w:pPr>
        <w:pStyle w:val="C-BodyText"/>
        <w:rPr>
          <w:lang w:val="en-AU"/>
        </w:rPr>
      </w:pPr>
      <w:bookmarkStart w:id="1" w:name="_Hlk530562627"/>
      <w:proofErr w:type="spellStart"/>
      <w:r w:rsidRPr="000244C1">
        <w:rPr>
          <w:lang w:val="en-AU"/>
        </w:rPr>
        <w:t>Kapanol</w:t>
      </w:r>
      <w:proofErr w:type="spellEnd"/>
      <w:r w:rsidRPr="000244C1">
        <w:rPr>
          <w:lang w:val="en-AU"/>
        </w:rPr>
        <w:t xml:space="preserve"> should be commenced at 10</w:t>
      </w:r>
      <w:r w:rsidR="00307C1C" w:rsidRPr="000244C1">
        <w:rPr>
          <w:lang w:val="en-AU"/>
        </w:rPr>
        <w:t xml:space="preserve"> </w:t>
      </w:r>
      <w:r w:rsidRPr="000244C1">
        <w:rPr>
          <w:lang w:val="en-AU"/>
        </w:rPr>
        <w:t xml:space="preserve">mg once daily in opioid naïve patients. </w:t>
      </w:r>
      <w:r w:rsidR="00D06624" w:rsidRPr="000244C1">
        <w:rPr>
          <w:lang w:val="en-AU"/>
        </w:rPr>
        <w:t xml:space="preserve"> </w:t>
      </w:r>
      <w:bookmarkEnd w:id="1"/>
      <w:r w:rsidRPr="000244C1">
        <w:rPr>
          <w:lang w:val="en-AU"/>
        </w:rPr>
        <w:t>During initiation and up-titration, patients should be reviewed on a weekly basis and breathlessness evaluated using a validated tool such as a numerical rating scale (NRS).</w:t>
      </w:r>
      <w:r w:rsidR="00D06624" w:rsidRPr="000244C1">
        <w:rPr>
          <w:lang w:val="en-AU"/>
        </w:rPr>
        <w:t xml:space="preserve"> </w:t>
      </w:r>
      <w:r w:rsidRPr="000244C1">
        <w:rPr>
          <w:lang w:val="en-AU"/>
        </w:rPr>
        <w:t xml:space="preserve"> If a satisfactory clinical response (e.g., a one point reduction </w:t>
      </w:r>
      <w:r w:rsidR="00307BE7" w:rsidRPr="000244C1">
        <w:rPr>
          <w:lang w:val="en-AU"/>
        </w:rPr>
        <w:t xml:space="preserve">or greater </w:t>
      </w:r>
      <w:r w:rsidRPr="000244C1">
        <w:rPr>
          <w:lang w:val="en-AU"/>
        </w:rPr>
        <w:t xml:space="preserve">in </w:t>
      </w:r>
      <w:r w:rsidRPr="000244C1">
        <w:rPr>
          <w:i/>
          <w:lang w:val="en-AU"/>
        </w:rPr>
        <w:t>worst breathlessness</w:t>
      </w:r>
      <w:r w:rsidRPr="000244C1">
        <w:rPr>
          <w:lang w:val="en-AU"/>
        </w:rPr>
        <w:t xml:space="preserve"> in the previous 24 hours on the NRS) has not been achieved after 7 days, and the initial starting dose is well tolerated, an increase of the daily dose by 10 mg with evaluation over the next 7 days is suggested. </w:t>
      </w:r>
      <w:r w:rsidR="00D06624" w:rsidRPr="000244C1">
        <w:rPr>
          <w:lang w:val="en-AU"/>
        </w:rPr>
        <w:t xml:space="preserve"> </w:t>
      </w:r>
      <w:r w:rsidRPr="000244C1">
        <w:rPr>
          <w:lang w:val="en-AU"/>
        </w:rPr>
        <w:t xml:space="preserve">The dose should be back-titrated if adverse effects become troublesome. </w:t>
      </w:r>
      <w:r w:rsidR="00D06624" w:rsidRPr="000244C1">
        <w:rPr>
          <w:lang w:val="en-AU"/>
        </w:rPr>
        <w:t xml:space="preserve"> </w:t>
      </w:r>
      <w:r w:rsidRPr="000244C1">
        <w:rPr>
          <w:lang w:val="en-AU"/>
        </w:rPr>
        <w:t xml:space="preserve">Dosing can be once or twice daily but the maximum recommended dose </w:t>
      </w:r>
      <w:r w:rsidR="00BF7B2C" w:rsidRPr="000244C1">
        <w:rPr>
          <w:lang w:val="en-AU"/>
        </w:rPr>
        <w:t xml:space="preserve">for chronic breathlessness </w:t>
      </w:r>
      <w:r w:rsidRPr="000244C1">
        <w:rPr>
          <w:lang w:val="en-AU"/>
        </w:rPr>
        <w:t>is 30</w:t>
      </w:r>
      <w:r w:rsidR="00307C1C" w:rsidRPr="000244C1">
        <w:rPr>
          <w:lang w:val="en-AU"/>
        </w:rPr>
        <w:t xml:space="preserve"> </w:t>
      </w:r>
      <w:r w:rsidRPr="000244C1">
        <w:rPr>
          <w:lang w:val="en-AU"/>
        </w:rPr>
        <w:t>mg daily.</w:t>
      </w:r>
    </w:p>
    <w:p w14:paraId="17D15202" w14:textId="507B6DD2" w:rsidR="002863EC" w:rsidRPr="000244C1" w:rsidRDefault="002863EC" w:rsidP="002B6CE6">
      <w:pPr>
        <w:pStyle w:val="C-BodyText"/>
        <w:rPr>
          <w:lang w:val="en-AU"/>
        </w:rPr>
      </w:pPr>
      <w:r w:rsidRPr="000244C1">
        <w:rPr>
          <w:sz w:val="22"/>
          <w:szCs w:val="22"/>
          <w:lang w:val="en-AU"/>
        </w:rPr>
        <w:t>I</w:t>
      </w:r>
      <w:r w:rsidRPr="000244C1">
        <w:rPr>
          <w:lang w:val="en-AU"/>
        </w:rPr>
        <w:t xml:space="preserve">nitial prescription should be limited to a one week supply; when </w:t>
      </w:r>
      <w:r w:rsidR="00881409" w:rsidRPr="000244C1">
        <w:rPr>
          <w:lang w:val="en-AU"/>
        </w:rPr>
        <w:t>an</w:t>
      </w:r>
      <w:r w:rsidR="00307BE7" w:rsidRPr="000244C1">
        <w:rPr>
          <w:lang w:val="en-AU"/>
        </w:rPr>
        <w:t xml:space="preserve"> </w:t>
      </w:r>
      <w:r w:rsidRPr="000244C1">
        <w:rPr>
          <w:lang w:val="en-AU"/>
        </w:rPr>
        <w:t xml:space="preserve">effective dose has been determined, a one month supply should be prescribed. </w:t>
      </w:r>
      <w:r w:rsidR="00D06624" w:rsidRPr="000244C1">
        <w:rPr>
          <w:lang w:val="en-AU"/>
        </w:rPr>
        <w:t xml:space="preserve"> </w:t>
      </w:r>
      <w:r w:rsidRPr="000244C1">
        <w:rPr>
          <w:lang w:val="en-AU"/>
        </w:rPr>
        <w:t>Prophylactic treatment for constipation should be commenced simultaneously and considered for nausea and vomiting</w:t>
      </w:r>
      <w:r w:rsidR="00BF7B2C" w:rsidRPr="000244C1">
        <w:rPr>
          <w:lang w:val="en-AU"/>
        </w:rPr>
        <w:t xml:space="preserve"> depending on the patient’s past experience with opioids</w:t>
      </w:r>
      <w:r w:rsidRPr="000244C1">
        <w:rPr>
          <w:lang w:val="en-AU"/>
        </w:rPr>
        <w:t>.</w:t>
      </w:r>
    </w:p>
    <w:p w14:paraId="0AD86A25" w14:textId="553AF746" w:rsidR="00B52B79" w:rsidRPr="000244C1" w:rsidRDefault="00B52B79" w:rsidP="002B6CE6">
      <w:pPr>
        <w:pStyle w:val="C-BodyText"/>
        <w:rPr>
          <w:b/>
          <w:lang w:val="en-AU"/>
        </w:rPr>
      </w:pPr>
      <w:r w:rsidRPr="000244C1">
        <w:rPr>
          <w:b/>
          <w:lang w:val="en-AU"/>
        </w:rPr>
        <w:t xml:space="preserve">Unlike chronic pain, immediate release oral morphine solution should NOT be co-prescribed with </w:t>
      </w:r>
      <w:proofErr w:type="spellStart"/>
      <w:r w:rsidRPr="000244C1">
        <w:rPr>
          <w:b/>
          <w:lang w:val="en-AU"/>
        </w:rPr>
        <w:t>Kapanol</w:t>
      </w:r>
      <w:proofErr w:type="spellEnd"/>
      <w:r w:rsidRPr="000244C1">
        <w:rPr>
          <w:b/>
          <w:lang w:val="en-AU"/>
        </w:rPr>
        <w:t xml:space="preserve"> when </w:t>
      </w:r>
      <w:proofErr w:type="spellStart"/>
      <w:r w:rsidR="001D3549" w:rsidRPr="000244C1">
        <w:rPr>
          <w:b/>
          <w:lang w:val="en-AU"/>
        </w:rPr>
        <w:t>Kapan</w:t>
      </w:r>
      <w:r w:rsidRPr="000244C1">
        <w:rPr>
          <w:b/>
          <w:lang w:val="en-AU"/>
        </w:rPr>
        <w:t>ol</w:t>
      </w:r>
      <w:proofErr w:type="spellEnd"/>
      <w:r w:rsidRPr="000244C1">
        <w:rPr>
          <w:b/>
          <w:lang w:val="en-AU"/>
        </w:rPr>
        <w:t xml:space="preserve"> is prescribed for the reduction of chronic breathlessness. </w:t>
      </w:r>
    </w:p>
    <w:p w14:paraId="33EC2D69" w14:textId="0EC38020" w:rsidR="004C5621" w:rsidRPr="000244C1" w:rsidRDefault="004C5621" w:rsidP="00C928E9">
      <w:pPr>
        <w:pStyle w:val="C-BodyText"/>
        <w:rPr>
          <w:b/>
          <w:lang w:val="en-AU"/>
        </w:rPr>
      </w:pPr>
      <w:proofErr w:type="spellStart"/>
      <w:r w:rsidRPr="000244C1">
        <w:rPr>
          <w:b/>
          <w:lang w:val="en-AU"/>
        </w:rPr>
        <w:t>Kapanol</w:t>
      </w:r>
      <w:proofErr w:type="spellEnd"/>
      <w:r w:rsidRPr="000244C1">
        <w:rPr>
          <w:b/>
          <w:lang w:val="en-AU"/>
        </w:rPr>
        <w:t xml:space="preserve"> should not be used for acute nor acute-on-chronic breathlessness.</w:t>
      </w:r>
    </w:p>
    <w:p w14:paraId="689CFCBB" w14:textId="4444DA33" w:rsidR="004C5621" w:rsidRPr="000244C1" w:rsidRDefault="004C5621" w:rsidP="00C928E9">
      <w:pPr>
        <w:pStyle w:val="C-BodyText"/>
        <w:rPr>
          <w:b/>
          <w:lang w:val="en-AU"/>
        </w:rPr>
      </w:pPr>
      <w:proofErr w:type="spellStart"/>
      <w:r w:rsidRPr="000244C1">
        <w:rPr>
          <w:b/>
          <w:lang w:val="en-AU"/>
        </w:rPr>
        <w:t>Kapanol</w:t>
      </w:r>
      <w:proofErr w:type="spellEnd"/>
      <w:r w:rsidRPr="000244C1">
        <w:rPr>
          <w:b/>
          <w:lang w:val="en-AU"/>
        </w:rPr>
        <w:t xml:space="preserve"> should be used with caution in settings where renal function may change</w:t>
      </w:r>
      <w:r w:rsidR="00C928E9" w:rsidRPr="000244C1">
        <w:rPr>
          <w:b/>
          <w:lang w:val="en-AU"/>
        </w:rPr>
        <w:t xml:space="preserve"> </w:t>
      </w:r>
      <w:r w:rsidRPr="000244C1">
        <w:rPr>
          <w:b/>
          <w:lang w:val="en-AU"/>
        </w:rPr>
        <w:t>unpredictably or rapidly</w:t>
      </w:r>
      <w:r w:rsidR="00C928E9" w:rsidRPr="000244C1">
        <w:rPr>
          <w:b/>
          <w:lang w:val="en-AU"/>
        </w:rPr>
        <w:t>.</w:t>
      </w:r>
    </w:p>
    <w:p w14:paraId="7398C05B" w14:textId="56888CDF" w:rsidR="002863EC" w:rsidRPr="000244C1" w:rsidRDefault="002863EC" w:rsidP="00C928E9">
      <w:pPr>
        <w:pStyle w:val="C-Heading3non-numbered"/>
        <w:ind w:left="0" w:firstLine="0"/>
        <w:rPr>
          <w:lang w:val="en-AU"/>
        </w:rPr>
      </w:pPr>
      <w:r w:rsidRPr="000244C1">
        <w:rPr>
          <w:lang w:val="en-AU"/>
        </w:rPr>
        <w:t xml:space="preserve">Method of </w:t>
      </w:r>
      <w:r w:rsidR="00F71B9E" w:rsidRPr="000244C1">
        <w:rPr>
          <w:lang w:val="en-AU"/>
        </w:rPr>
        <w:t>A</w:t>
      </w:r>
      <w:r w:rsidRPr="000244C1">
        <w:rPr>
          <w:lang w:val="en-AU"/>
        </w:rPr>
        <w:t>dministration</w:t>
      </w:r>
    </w:p>
    <w:p w14:paraId="377F63C9" w14:textId="4EB0E6F2" w:rsidR="002B6CE6" w:rsidRPr="000244C1" w:rsidRDefault="002B6CE6" w:rsidP="002B6CE6">
      <w:pPr>
        <w:pStyle w:val="C-BodyText"/>
        <w:rPr>
          <w:lang w:val="en-AU"/>
        </w:rPr>
      </w:pPr>
      <w:r w:rsidRPr="000244C1">
        <w:rPr>
          <w:lang w:val="en-AU"/>
        </w:rPr>
        <w:t xml:space="preserve">It is preferable for </w:t>
      </w:r>
      <w:proofErr w:type="spellStart"/>
      <w:r w:rsidRPr="000244C1">
        <w:rPr>
          <w:lang w:val="en-AU"/>
        </w:rPr>
        <w:t>Kapanol</w:t>
      </w:r>
      <w:proofErr w:type="spellEnd"/>
      <w:r w:rsidRPr="000244C1">
        <w:rPr>
          <w:i/>
          <w:lang w:val="en-AU"/>
        </w:rPr>
        <w:t xml:space="preserve"> </w:t>
      </w:r>
      <w:r w:rsidRPr="000244C1">
        <w:rPr>
          <w:lang w:val="en-AU"/>
        </w:rPr>
        <w:t xml:space="preserve">capsules to be </w:t>
      </w:r>
      <w:r w:rsidRPr="000244C1">
        <w:rPr>
          <w:b/>
          <w:lang w:val="en-AU"/>
        </w:rPr>
        <w:t>swallowed whole.</w:t>
      </w:r>
      <w:r w:rsidRPr="000244C1">
        <w:rPr>
          <w:lang w:val="en-AU"/>
        </w:rPr>
        <w:t xml:space="preserve">  However, if the capsules cannot be swallowed whole they may be administered in one of the following ways:</w:t>
      </w:r>
    </w:p>
    <w:p w14:paraId="2D23F927" w14:textId="19C793ED" w:rsidR="002B6CE6" w:rsidRPr="000244C1" w:rsidRDefault="002B6CE6" w:rsidP="00D41BC1">
      <w:pPr>
        <w:pStyle w:val="C-Bullet"/>
        <w:rPr>
          <w:lang w:val="en-AU"/>
        </w:rPr>
      </w:pPr>
      <w:r w:rsidRPr="000244C1">
        <w:rPr>
          <w:lang w:val="en-AU"/>
        </w:rPr>
        <w:t>The pellets may be mixed into approximately 30 mL of water in a glass and taken within 30 minutes of mixing without chewing or crushing the pellets.  As some of the pellets may stick to the sides of the glass, a further 30 mL of water should be added, the glass swirled and all the remaining pellets taken with the water.  This procedure can also be performed using orange juice or milk.</w:t>
      </w:r>
    </w:p>
    <w:p w14:paraId="581A0C8E" w14:textId="6FBDFE7E" w:rsidR="002B6CE6" w:rsidRPr="000244C1" w:rsidRDefault="002B6CE6" w:rsidP="00D41BC1">
      <w:pPr>
        <w:pStyle w:val="C-Bullet"/>
        <w:rPr>
          <w:lang w:val="en-AU"/>
        </w:rPr>
      </w:pPr>
      <w:r w:rsidRPr="000244C1">
        <w:rPr>
          <w:lang w:val="en-AU"/>
        </w:rPr>
        <w:t>The pellets may be sprinkled onto a small amount of soft food (such as yoghurt, custard, ice-cream</w:t>
      </w:r>
      <w:r w:rsidR="00307BE7" w:rsidRPr="000244C1">
        <w:rPr>
          <w:lang w:val="en-AU"/>
        </w:rPr>
        <w:t>,</w:t>
      </w:r>
      <w:r w:rsidRPr="000244C1">
        <w:rPr>
          <w:lang w:val="en-AU"/>
        </w:rPr>
        <w:t xml:space="preserve"> apple sauce or jam) and taken within 30 minutes of sprinkling.  The pellets must not be chewed or crushed and the mouth should be rinsed to ensure that all pellets have been swallowed.</w:t>
      </w:r>
    </w:p>
    <w:p w14:paraId="7A60970C" w14:textId="77777777" w:rsidR="002B6CE6" w:rsidRPr="000244C1" w:rsidRDefault="002B6CE6" w:rsidP="00D41BC1">
      <w:pPr>
        <w:pStyle w:val="C-Bullet"/>
        <w:rPr>
          <w:lang w:val="en-AU"/>
        </w:rPr>
      </w:pPr>
      <w:r w:rsidRPr="000244C1">
        <w:rPr>
          <w:lang w:val="en-AU"/>
        </w:rPr>
        <w:t>The pellets may be administered through a 16 French gastrostomy tube:</w:t>
      </w:r>
    </w:p>
    <w:p w14:paraId="668FA40A" w14:textId="77777777" w:rsidR="002B6CE6" w:rsidRPr="000244C1" w:rsidRDefault="002B6CE6" w:rsidP="00D41BC1">
      <w:pPr>
        <w:pStyle w:val="C-BulletIndented"/>
        <w:rPr>
          <w:lang w:val="en-AU"/>
        </w:rPr>
      </w:pPr>
      <w:r w:rsidRPr="000244C1">
        <w:rPr>
          <w:lang w:val="en-AU"/>
        </w:rPr>
        <w:t>Flush the gastrostomy tube with water to ensure that it is wet</w:t>
      </w:r>
    </w:p>
    <w:p w14:paraId="2F94F710" w14:textId="77777777" w:rsidR="002B6CE6" w:rsidRPr="000244C1" w:rsidRDefault="002B6CE6" w:rsidP="00D41BC1">
      <w:pPr>
        <w:pStyle w:val="C-BulletIndented"/>
        <w:rPr>
          <w:lang w:val="en-AU"/>
        </w:rPr>
      </w:pPr>
      <w:r w:rsidRPr="000244C1">
        <w:rPr>
          <w:lang w:val="en-AU"/>
        </w:rPr>
        <w:t xml:space="preserve">Sprinkle the </w:t>
      </w:r>
      <w:proofErr w:type="spellStart"/>
      <w:r w:rsidRPr="000244C1">
        <w:rPr>
          <w:lang w:val="en-AU"/>
        </w:rPr>
        <w:t>Kapanol</w:t>
      </w:r>
      <w:proofErr w:type="spellEnd"/>
      <w:r w:rsidRPr="000244C1">
        <w:rPr>
          <w:lang w:val="en-AU"/>
        </w:rPr>
        <w:t xml:space="preserve"> pellets into 10 mL of water</w:t>
      </w:r>
    </w:p>
    <w:p w14:paraId="00D6FC14" w14:textId="77777777" w:rsidR="002B6CE6" w:rsidRPr="000244C1" w:rsidRDefault="002B6CE6" w:rsidP="00D41BC1">
      <w:pPr>
        <w:pStyle w:val="C-BulletIndented"/>
        <w:rPr>
          <w:lang w:val="en-AU"/>
        </w:rPr>
      </w:pPr>
      <w:r w:rsidRPr="000244C1">
        <w:rPr>
          <w:lang w:val="en-AU"/>
        </w:rPr>
        <w:lastRenderedPageBreak/>
        <w:t>Use a swirling motion to pour the pellets and water into the gastrostomy tube through a funnel</w:t>
      </w:r>
    </w:p>
    <w:p w14:paraId="529147E2" w14:textId="77777777" w:rsidR="002B6CE6" w:rsidRPr="000244C1" w:rsidRDefault="002B6CE6" w:rsidP="00D41BC1">
      <w:pPr>
        <w:pStyle w:val="C-BulletIndented"/>
        <w:rPr>
          <w:lang w:val="en-AU"/>
        </w:rPr>
      </w:pPr>
      <w:r w:rsidRPr="000244C1">
        <w:rPr>
          <w:lang w:val="en-AU"/>
        </w:rPr>
        <w:t>Rinse the beaker with a further 10 mL of water and pour this into the funnel</w:t>
      </w:r>
    </w:p>
    <w:p w14:paraId="2A7F80EC" w14:textId="77777777" w:rsidR="002B6CE6" w:rsidRPr="000244C1" w:rsidRDefault="002B6CE6" w:rsidP="00D41BC1">
      <w:pPr>
        <w:pStyle w:val="C-BulletIndented"/>
        <w:rPr>
          <w:lang w:val="en-AU"/>
        </w:rPr>
      </w:pPr>
      <w:r w:rsidRPr="000244C1">
        <w:rPr>
          <w:lang w:val="en-AU"/>
        </w:rPr>
        <w:t>Repeat rinsing until no pellets remain in the beaker.</w:t>
      </w:r>
    </w:p>
    <w:p w14:paraId="7881982D" w14:textId="77777777" w:rsidR="002B6CE6" w:rsidRPr="000244C1" w:rsidRDefault="002B6CE6" w:rsidP="002B6CE6">
      <w:pPr>
        <w:pStyle w:val="C-BodyText"/>
        <w:rPr>
          <w:lang w:val="en-AU"/>
        </w:rPr>
      </w:pPr>
      <w:r w:rsidRPr="000244C1">
        <w:rPr>
          <w:lang w:val="en-AU"/>
        </w:rPr>
        <w:t xml:space="preserve">The administration of </w:t>
      </w:r>
      <w:proofErr w:type="spellStart"/>
      <w:r w:rsidRPr="000244C1">
        <w:rPr>
          <w:lang w:val="en-AU"/>
        </w:rPr>
        <w:t>Kapanol</w:t>
      </w:r>
      <w:proofErr w:type="spellEnd"/>
      <w:r w:rsidRPr="000244C1">
        <w:rPr>
          <w:lang w:val="en-AU"/>
        </w:rPr>
        <w:t xml:space="preserve"> pellets through a nasogastric tube should not be attempted.</w:t>
      </w:r>
    </w:p>
    <w:p w14:paraId="7C2F3CE8" w14:textId="15261156" w:rsidR="002863EC" w:rsidRPr="000244C1" w:rsidRDefault="002863EC" w:rsidP="00561A58">
      <w:pPr>
        <w:pStyle w:val="C-Heading2non-numbered"/>
        <w:rPr>
          <w:lang w:val="en-AU"/>
        </w:rPr>
      </w:pPr>
      <w:r w:rsidRPr="000244C1">
        <w:rPr>
          <w:lang w:val="en-AU"/>
        </w:rPr>
        <w:t>Dose Conversion</w:t>
      </w:r>
      <w:r w:rsidR="00C643E3" w:rsidRPr="000244C1">
        <w:rPr>
          <w:lang w:val="en-AU"/>
        </w:rPr>
        <w:t xml:space="preserve"> for Use in Chronic Pain</w:t>
      </w:r>
    </w:p>
    <w:p w14:paraId="4BFD3CFE" w14:textId="05D94B6D" w:rsidR="002B6CE6" w:rsidRPr="000244C1" w:rsidRDefault="002B6CE6" w:rsidP="002B6CE6">
      <w:pPr>
        <w:pStyle w:val="C-BodyText"/>
        <w:rPr>
          <w:lang w:val="en-AU"/>
        </w:rPr>
      </w:pPr>
      <w:r w:rsidRPr="000244C1">
        <w:rPr>
          <w:lang w:val="en-AU"/>
        </w:rPr>
        <w:t xml:space="preserve">For patients currently receiving opioids, the following dosing recommendations should be considered.  </w:t>
      </w:r>
    </w:p>
    <w:p w14:paraId="4D19AA80" w14:textId="2C4D95F3" w:rsidR="002B6CE6" w:rsidRPr="000244C1" w:rsidRDefault="002B6CE6" w:rsidP="00E60288">
      <w:pPr>
        <w:pStyle w:val="C-Heading3non-numbered"/>
        <w:tabs>
          <w:tab w:val="clear" w:pos="1080"/>
        </w:tabs>
        <w:ind w:left="0" w:firstLine="0"/>
        <w:rPr>
          <w:lang w:val="en-AU"/>
        </w:rPr>
      </w:pPr>
      <w:r w:rsidRPr="000244C1">
        <w:rPr>
          <w:lang w:val="en-AU"/>
        </w:rPr>
        <w:t xml:space="preserve">Conversion from Other Oral Morphine Formulations to </w:t>
      </w:r>
      <w:proofErr w:type="spellStart"/>
      <w:r w:rsidRPr="000244C1">
        <w:rPr>
          <w:lang w:val="en-AU"/>
        </w:rPr>
        <w:t>Kapanol</w:t>
      </w:r>
      <w:proofErr w:type="spellEnd"/>
      <w:r w:rsidR="00C643E3" w:rsidRPr="000244C1">
        <w:rPr>
          <w:lang w:val="en-AU"/>
        </w:rPr>
        <w:t xml:space="preserve"> for Use in Chronic Pain</w:t>
      </w:r>
    </w:p>
    <w:p w14:paraId="6CAEBC40" w14:textId="77777777" w:rsidR="002B6CE6" w:rsidRPr="000244C1" w:rsidRDefault="002B6CE6" w:rsidP="002B6CE6">
      <w:pPr>
        <w:pStyle w:val="C-BodyText"/>
        <w:rPr>
          <w:lang w:val="en-AU"/>
        </w:rPr>
      </w:pPr>
      <w:r w:rsidRPr="000244C1">
        <w:rPr>
          <w:lang w:val="en-AU"/>
        </w:rPr>
        <w:t xml:space="preserve">Patients on other oral morphine formulations may be converted to </w:t>
      </w:r>
      <w:proofErr w:type="spellStart"/>
      <w:r w:rsidRPr="000244C1">
        <w:rPr>
          <w:lang w:val="en-AU"/>
        </w:rPr>
        <w:t>Kapanol</w:t>
      </w:r>
      <w:proofErr w:type="spellEnd"/>
      <w:r w:rsidRPr="000244C1">
        <w:rPr>
          <w:lang w:val="en-AU"/>
        </w:rPr>
        <w:t xml:space="preserve"> by administering one half of the patient's total daily morphine dose as </w:t>
      </w:r>
      <w:proofErr w:type="spellStart"/>
      <w:r w:rsidRPr="000244C1">
        <w:rPr>
          <w:lang w:val="en-AU"/>
        </w:rPr>
        <w:t>Kapanol</w:t>
      </w:r>
      <w:proofErr w:type="spellEnd"/>
      <w:r w:rsidRPr="000244C1">
        <w:rPr>
          <w:lang w:val="en-AU"/>
        </w:rPr>
        <w:t xml:space="preserve"> capsules on an every 12 hours dosing regimen or the patient's total daily morphine dose as </w:t>
      </w:r>
      <w:proofErr w:type="spellStart"/>
      <w:r w:rsidRPr="000244C1">
        <w:rPr>
          <w:lang w:val="en-AU"/>
        </w:rPr>
        <w:t>Kapanol</w:t>
      </w:r>
      <w:proofErr w:type="spellEnd"/>
      <w:r w:rsidRPr="000244C1">
        <w:rPr>
          <w:lang w:val="en-AU"/>
        </w:rPr>
        <w:t xml:space="preserve"> capsules on an every 24 hours dosing regimen.  Dose is then adjusted as needed.</w:t>
      </w:r>
    </w:p>
    <w:p w14:paraId="0678D598" w14:textId="3AA4A574" w:rsidR="002B6CE6" w:rsidRPr="000244C1" w:rsidRDefault="002B6CE6" w:rsidP="00E60288">
      <w:pPr>
        <w:pStyle w:val="C-Heading3non-numbered"/>
        <w:tabs>
          <w:tab w:val="clear" w:pos="1080"/>
        </w:tabs>
        <w:ind w:left="0" w:firstLine="0"/>
        <w:rPr>
          <w:lang w:val="en-AU"/>
        </w:rPr>
      </w:pPr>
      <w:r w:rsidRPr="000244C1">
        <w:rPr>
          <w:lang w:val="en-AU"/>
        </w:rPr>
        <w:t xml:space="preserve">Conversion from Parenteral Morphine or other Parenteral or Oral Opioids to </w:t>
      </w:r>
      <w:proofErr w:type="spellStart"/>
      <w:r w:rsidRPr="000244C1">
        <w:rPr>
          <w:lang w:val="en-AU"/>
        </w:rPr>
        <w:t>Kapanol</w:t>
      </w:r>
      <w:proofErr w:type="spellEnd"/>
      <w:r w:rsidR="004376CE" w:rsidRPr="000244C1">
        <w:rPr>
          <w:lang w:val="en-AU"/>
        </w:rPr>
        <w:t xml:space="preserve"> for </w:t>
      </w:r>
      <w:r w:rsidR="00C643E3" w:rsidRPr="000244C1">
        <w:rPr>
          <w:lang w:val="en-AU"/>
        </w:rPr>
        <w:t>Use in Chronic Pain</w:t>
      </w:r>
    </w:p>
    <w:p w14:paraId="64A6E2E3" w14:textId="0EF9C877" w:rsidR="002B6CE6" w:rsidRPr="000244C1" w:rsidRDefault="002B6CE6" w:rsidP="002B6CE6">
      <w:pPr>
        <w:pStyle w:val="C-BodyText"/>
        <w:rPr>
          <w:lang w:val="en-AU"/>
        </w:rPr>
      </w:pPr>
      <w:proofErr w:type="spellStart"/>
      <w:r w:rsidRPr="000244C1">
        <w:rPr>
          <w:lang w:val="en-AU"/>
        </w:rPr>
        <w:t>Kapanol</w:t>
      </w:r>
      <w:proofErr w:type="spellEnd"/>
      <w:r w:rsidRPr="000244C1">
        <w:rPr>
          <w:lang w:val="en-AU"/>
        </w:rPr>
        <w:t xml:space="preserve"> can be administered as the initial oral morphine drug product. However, in this case, particular care must be exercised in the conversion process. </w:t>
      </w:r>
      <w:r w:rsidR="00D06624" w:rsidRPr="000244C1">
        <w:rPr>
          <w:lang w:val="en-AU"/>
        </w:rPr>
        <w:t xml:space="preserve"> </w:t>
      </w:r>
      <w:r w:rsidRPr="000244C1">
        <w:rPr>
          <w:lang w:val="en-AU"/>
        </w:rPr>
        <w:t xml:space="preserve">Because of uncertainty about and inter-subject variation in relative estimates of opioid potency and cross tolerance, initial dosing regimens should be conservative, that is, an underestimation of the 24 hour oral morphine requirement is preferred to an overestimate. </w:t>
      </w:r>
      <w:r w:rsidR="00D06624" w:rsidRPr="000244C1">
        <w:rPr>
          <w:lang w:val="en-AU"/>
        </w:rPr>
        <w:t xml:space="preserve"> </w:t>
      </w:r>
      <w:r w:rsidRPr="000244C1">
        <w:rPr>
          <w:lang w:val="en-AU"/>
        </w:rPr>
        <w:t xml:space="preserve">To this end, initial individual doses of </w:t>
      </w:r>
      <w:proofErr w:type="spellStart"/>
      <w:r w:rsidRPr="000244C1">
        <w:rPr>
          <w:lang w:val="en-AU"/>
        </w:rPr>
        <w:t>Kapanol</w:t>
      </w:r>
      <w:proofErr w:type="spellEnd"/>
      <w:r w:rsidRPr="000244C1">
        <w:rPr>
          <w:lang w:val="en-AU"/>
        </w:rPr>
        <w:t xml:space="preserve"> should be estimated conservatively. </w:t>
      </w:r>
    </w:p>
    <w:p w14:paraId="715B00EB" w14:textId="77777777" w:rsidR="002B6CE6" w:rsidRPr="000244C1" w:rsidRDefault="002B6CE6" w:rsidP="002B6CE6">
      <w:pPr>
        <w:pStyle w:val="C-BodyText"/>
        <w:rPr>
          <w:lang w:val="en-AU"/>
        </w:rPr>
      </w:pPr>
      <w:r w:rsidRPr="000244C1">
        <w:rPr>
          <w:lang w:val="en-AU"/>
        </w:rPr>
        <w:t xml:space="preserve">Estimates of the relative potency of opioids are only approximate and are influenced by route of administration, individual patient differences, and possibly, by an individual's medical condition.  </w:t>
      </w:r>
    </w:p>
    <w:p w14:paraId="4B3F2B23" w14:textId="71D6D6D8" w:rsidR="002B6CE6" w:rsidRPr="000244C1" w:rsidRDefault="002B6CE6" w:rsidP="002B6CE6">
      <w:pPr>
        <w:pStyle w:val="C-BodyText"/>
        <w:rPr>
          <w:lang w:val="en-AU"/>
        </w:rPr>
      </w:pPr>
      <w:r w:rsidRPr="000244C1">
        <w:rPr>
          <w:lang w:val="en-AU"/>
        </w:rPr>
        <w:t xml:space="preserve">Consequently, it is difficult to recommend any fixed rule for converting a patient to </w:t>
      </w:r>
      <w:proofErr w:type="spellStart"/>
      <w:r w:rsidRPr="000244C1">
        <w:rPr>
          <w:lang w:val="en-AU"/>
        </w:rPr>
        <w:t>Kapanol</w:t>
      </w:r>
      <w:proofErr w:type="spellEnd"/>
      <w:r w:rsidRPr="000244C1">
        <w:rPr>
          <w:lang w:val="en-AU"/>
        </w:rPr>
        <w:t xml:space="preserve"> directly. </w:t>
      </w:r>
      <w:r w:rsidR="00D06624" w:rsidRPr="000244C1">
        <w:rPr>
          <w:lang w:val="en-AU"/>
        </w:rPr>
        <w:t xml:space="preserve"> </w:t>
      </w:r>
      <w:r w:rsidRPr="000244C1">
        <w:rPr>
          <w:lang w:val="en-AU"/>
        </w:rPr>
        <w:t>The following general points should be considered:</w:t>
      </w:r>
    </w:p>
    <w:p w14:paraId="5166A99E" w14:textId="0F2526B9" w:rsidR="002B6CE6" w:rsidRPr="000244C1" w:rsidRDefault="002B6CE6" w:rsidP="002B6CE6">
      <w:pPr>
        <w:pStyle w:val="C-BodyText"/>
        <w:rPr>
          <w:lang w:val="en-AU"/>
        </w:rPr>
      </w:pPr>
      <w:r w:rsidRPr="000244C1">
        <w:rPr>
          <w:i/>
          <w:lang w:val="en-AU"/>
        </w:rPr>
        <w:t>Parenteral to oral morphine ratio</w:t>
      </w:r>
      <w:r w:rsidRPr="000244C1">
        <w:rPr>
          <w:lang w:val="en-AU"/>
        </w:rPr>
        <w:t xml:space="preserve">: Estimates of the oral to parenteral potency of morphine vary. </w:t>
      </w:r>
      <w:r w:rsidR="00D06624" w:rsidRPr="000244C1">
        <w:rPr>
          <w:lang w:val="en-AU"/>
        </w:rPr>
        <w:t xml:space="preserve"> </w:t>
      </w:r>
      <w:r w:rsidRPr="000244C1">
        <w:rPr>
          <w:lang w:val="en-AU"/>
        </w:rPr>
        <w:t xml:space="preserve">Some authorities suggest that a dose of oral morphine only three times the daily parenteral morphine requirement may be sufficient in chronic use settings.  </w:t>
      </w:r>
    </w:p>
    <w:p w14:paraId="6A85EC4F" w14:textId="7F4EC423" w:rsidR="002B6CE6" w:rsidRPr="000244C1" w:rsidRDefault="002B6CE6" w:rsidP="002B6CE6">
      <w:pPr>
        <w:pStyle w:val="C-BodyText"/>
        <w:rPr>
          <w:lang w:val="en-AU"/>
        </w:rPr>
      </w:pPr>
      <w:r w:rsidRPr="000244C1">
        <w:rPr>
          <w:i/>
          <w:lang w:val="en-AU"/>
        </w:rPr>
        <w:t>Other parenteral or oral opioids to oral morphine</w:t>
      </w:r>
      <w:r w:rsidRPr="000244C1">
        <w:rPr>
          <w:lang w:val="en-AU"/>
        </w:rPr>
        <w:t>: Because there are no data on these types of analgesic substitutions, specific recommendations are not possible.</w:t>
      </w:r>
      <w:r w:rsidR="00D06624" w:rsidRPr="000244C1">
        <w:rPr>
          <w:lang w:val="en-AU"/>
        </w:rPr>
        <w:t xml:space="preserve"> </w:t>
      </w:r>
      <w:r w:rsidRPr="000244C1">
        <w:rPr>
          <w:lang w:val="en-AU"/>
        </w:rPr>
        <w:t xml:space="preserve"> Physicians are advised to refer to published relative potency data, keeping in mind that such ratios are only approximate (see Table 1).  In general, it is safer to underestimate the daily dose of </w:t>
      </w:r>
      <w:proofErr w:type="spellStart"/>
      <w:r w:rsidRPr="000244C1">
        <w:rPr>
          <w:lang w:val="en-AU"/>
        </w:rPr>
        <w:t>Kapanol</w:t>
      </w:r>
      <w:proofErr w:type="spellEnd"/>
      <w:r w:rsidRPr="000244C1">
        <w:rPr>
          <w:lang w:val="en-AU"/>
        </w:rPr>
        <w:t xml:space="preserve"> required and rely upon ad hoc supplementation to deal with inadequate analgesia.  </w:t>
      </w:r>
    </w:p>
    <w:p w14:paraId="2EC791B4" w14:textId="6ABFAC0D" w:rsidR="002B6CE6" w:rsidRPr="000244C1" w:rsidRDefault="002B6CE6" w:rsidP="00F0391E">
      <w:pPr>
        <w:pStyle w:val="Caption"/>
        <w:pageBreakBefore/>
        <w:rPr>
          <w:lang w:val="en-AU"/>
        </w:rPr>
      </w:pPr>
      <w:r w:rsidRPr="000244C1">
        <w:rPr>
          <w:lang w:val="en-AU"/>
        </w:rPr>
        <w:lastRenderedPageBreak/>
        <w:t>Table </w:t>
      </w:r>
      <w:r w:rsidR="00A06135" w:rsidRPr="000244C1">
        <w:rPr>
          <w:noProof/>
          <w:lang w:val="en-AU"/>
        </w:rPr>
        <w:fldChar w:fldCharType="begin"/>
      </w:r>
      <w:r w:rsidR="00A06135" w:rsidRPr="000244C1">
        <w:rPr>
          <w:noProof/>
          <w:lang w:val="en-AU"/>
        </w:rPr>
        <w:instrText xml:space="preserve"> SEQ Table \* ARABIC \* MERGEFORMAT </w:instrText>
      </w:r>
      <w:r w:rsidR="00A06135" w:rsidRPr="000244C1">
        <w:rPr>
          <w:noProof/>
          <w:lang w:val="en-AU"/>
        </w:rPr>
        <w:fldChar w:fldCharType="separate"/>
      </w:r>
      <w:r w:rsidR="008A24B1" w:rsidRPr="000244C1">
        <w:rPr>
          <w:noProof/>
          <w:lang w:val="en-AU"/>
        </w:rPr>
        <w:t>1</w:t>
      </w:r>
      <w:r w:rsidR="00A06135" w:rsidRPr="000244C1">
        <w:rPr>
          <w:noProof/>
          <w:lang w:val="en-AU"/>
        </w:rPr>
        <w:fldChar w:fldCharType="end"/>
      </w:r>
      <w:r w:rsidRPr="000244C1">
        <w:rPr>
          <w:lang w:val="en-AU"/>
        </w:rPr>
        <w:t>:</w:t>
      </w:r>
      <w:r w:rsidRPr="000244C1">
        <w:rPr>
          <w:lang w:val="en-AU"/>
        </w:rPr>
        <w:tab/>
        <w:t>Approximate oral opioid potency ratios relative to oral morphine*</w:t>
      </w:r>
    </w:p>
    <w:p w14:paraId="392D7BA9" w14:textId="77777777" w:rsidR="002B6CE6" w:rsidRPr="000244C1" w:rsidRDefault="002B6CE6" w:rsidP="002B6CE6">
      <w:pPr>
        <w:tabs>
          <w:tab w:val="left" w:pos="1700"/>
          <w:tab w:val="left" w:pos="2540"/>
          <w:tab w:val="left" w:pos="2880"/>
          <w:tab w:val="left" w:pos="4240"/>
        </w:tabs>
        <w:spacing w:before="40" w:after="40"/>
        <w:ind w:left="2880" w:right="969" w:hanging="2880"/>
        <w:rPr>
          <w:rFonts w:cs="Times New Roman"/>
          <w:sz w:val="20"/>
          <w:lang w:val="en-AU"/>
        </w:rPr>
      </w:pPr>
      <w:r w:rsidRPr="000244C1">
        <w:rPr>
          <w:rFonts w:cs="Times New Roman"/>
          <w:sz w:val="20"/>
          <w:lang w:val="en-AU"/>
        </w:rPr>
        <w:tab/>
      </w:r>
      <w:r w:rsidRPr="000244C1">
        <w:rPr>
          <w:rFonts w:cs="Times New Roman"/>
          <w:sz w:val="20"/>
          <w:lang w:val="en-AU"/>
        </w:rPr>
        <w:tab/>
      </w:r>
      <w:r w:rsidRPr="000244C1">
        <w:rPr>
          <w:rFonts w:cs="Times New Roman"/>
          <w:sz w:val="20"/>
          <w:lang w:val="en-AU"/>
        </w:rPr>
        <w:tab/>
      </w:r>
      <w:proofErr w:type="gramStart"/>
      <w:r w:rsidRPr="000244C1">
        <w:rPr>
          <w:rFonts w:cs="Times New Roman"/>
          <w:sz w:val="20"/>
          <w:lang w:val="en-AU"/>
        </w:rPr>
        <w:t>pethidine</w:t>
      </w:r>
      <w:proofErr w:type="gramEnd"/>
      <w:r w:rsidRPr="000244C1">
        <w:rPr>
          <w:rFonts w:cs="Times New Roman"/>
          <w:sz w:val="20"/>
          <w:lang w:val="en-AU"/>
        </w:rPr>
        <w:tab/>
      </w:r>
      <w:r w:rsidRPr="000244C1">
        <w:rPr>
          <w:rFonts w:cs="Times New Roman"/>
          <w:position w:val="6"/>
          <w:sz w:val="20"/>
          <w:lang w:val="en-AU"/>
        </w:rPr>
        <w:t>⅛</w:t>
      </w:r>
      <w:r w:rsidRPr="000244C1">
        <w:rPr>
          <w:rFonts w:cs="Times New Roman"/>
          <w:position w:val="-4"/>
          <w:sz w:val="20"/>
          <w:lang w:val="en-AU"/>
        </w:rPr>
        <w:tab/>
        <w:t>methadone</w:t>
      </w:r>
      <w:r w:rsidRPr="000244C1">
        <w:rPr>
          <w:rFonts w:cs="Times New Roman"/>
          <w:position w:val="-4"/>
          <w:sz w:val="20"/>
          <w:lang w:val="en-AU"/>
        </w:rPr>
        <w:tab/>
        <w:t>3-4</w:t>
      </w:r>
      <w:r w:rsidRPr="000244C1">
        <w:rPr>
          <w:rFonts w:cs="Times New Roman"/>
          <w:position w:val="-4"/>
          <w:sz w:val="20"/>
          <w:vertAlign w:val="superscript"/>
          <w:lang w:val="en-AU"/>
        </w:rPr>
        <w:t>1</w:t>
      </w:r>
    </w:p>
    <w:p w14:paraId="20EDD0FF" w14:textId="77777777" w:rsidR="002B6CE6" w:rsidRPr="000244C1" w:rsidRDefault="002B6CE6" w:rsidP="002B6CE6">
      <w:pPr>
        <w:tabs>
          <w:tab w:val="left" w:pos="1720"/>
          <w:tab w:val="left" w:pos="2540"/>
          <w:tab w:val="left" w:pos="2880"/>
          <w:tab w:val="left" w:pos="4240"/>
        </w:tabs>
        <w:spacing w:before="40" w:after="40"/>
        <w:ind w:left="2880" w:right="969" w:hanging="2880"/>
        <w:rPr>
          <w:rFonts w:cs="Times New Roman"/>
          <w:sz w:val="20"/>
          <w:lang w:val="en-AU"/>
        </w:rPr>
      </w:pPr>
      <w:r w:rsidRPr="000244C1">
        <w:rPr>
          <w:rFonts w:cs="Times New Roman"/>
          <w:sz w:val="20"/>
          <w:lang w:val="en-AU"/>
        </w:rPr>
        <w:tab/>
      </w:r>
      <w:r w:rsidRPr="000244C1">
        <w:rPr>
          <w:rFonts w:cs="Times New Roman"/>
          <w:sz w:val="20"/>
          <w:lang w:val="en-AU"/>
        </w:rPr>
        <w:tab/>
      </w:r>
      <w:r w:rsidRPr="000244C1">
        <w:rPr>
          <w:rFonts w:cs="Times New Roman"/>
          <w:sz w:val="20"/>
          <w:lang w:val="en-AU"/>
        </w:rPr>
        <w:tab/>
      </w:r>
      <w:proofErr w:type="spellStart"/>
      <w:proofErr w:type="gramStart"/>
      <w:r w:rsidRPr="000244C1">
        <w:rPr>
          <w:rFonts w:cs="Times New Roman"/>
          <w:sz w:val="20"/>
          <w:lang w:val="en-AU"/>
        </w:rPr>
        <w:t>papaveretum</w:t>
      </w:r>
      <w:proofErr w:type="spellEnd"/>
      <w:proofErr w:type="gramEnd"/>
      <w:r w:rsidRPr="000244C1">
        <w:rPr>
          <w:rFonts w:cs="Times New Roman"/>
          <w:sz w:val="20"/>
          <w:lang w:val="en-AU"/>
        </w:rPr>
        <w:tab/>
      </w:r>
      <w:r w:rsidRPr="000244C1">
        <w:rPr>
          <w:rFonts w:cs="Times New Roman"/>
          <w:position w:val="6"/>
          <w:sz w:val="20"/>
          <w:lang w:val="en-AU"/>
        </w:rPr>
        <w:t>⅔</w:t>
      </w:r>
      <w:r w:rsidRPr="000244C1">
        <w:rPr>
          <w:rFonts w:cs="Times New Roman"/>
          <w:sz w:val="20"/>
          <w:lang w:val="en-AU"/>
        </w:rPr>
        <w:tab/>
        <w:t>morphine</w:t>
      </w:r>
      <w:r w:rsidRPr="000244C1">
        <w:rPr>
          <w:rFonts w:cs="Times New Roman"/>
          <w:sz w:val="20"/>
          <w:lang w:val="en-AU"/>
        </w:rPr>
        <w:tab/>
        <w:t>1</w:t>
      </w:r>
    </w:p>
    <w:p w14:paraId="5E778EDE" w14:textId="77777777" w:rsidR="002B6CE6" w:rsidRPr="000244C1" w:rsidRDefault="002B6CE6" w:rsidP="002B6CE6">
      <w:pPr>
        <w:tabs>
          <w:tab w:val="left" w:pos="1720"/>
          <w:tab w:val="left" w:pos="2520"/>
          <w:tab w:val="left" w:pos="2880"/>
          <w:tab w:val="left" w:pos="4240"/>
        </w:tabs>
        <w:spacing w:before="120" w:after="120"/>
        <w:ind w:left="2880" w:right="969" w:hanging="2880"/>
        <w:rPr>
          <w:rFonts w:cs="Times New Roman"/>
          <w:position w:val="6"/>
          <w:sz w:val="20"/>
          <w:lang w:val="en-AU"/>
        </w:rPr>
      </w:pPr>
      <w:r w:rsidRPr="000244C1">
        <w:rPr>
          <w:rFonts w:cs="Times New Roman"/>
          <w:sz w:val="20"/>
          <w:lang w:val="en-AU"/>
        </w:rPr>
        <w:tab/>
      </w:r>
      <w:r w:rsidRPr="000244C1">
        <w:rPr>
          <w:rFonts w:cs="Times New Roman"/>
          <w:sz w:val="20"/>
          <w:lang w:val="en-AU"/>
        </w:rPr>
        <w:tab/>
      </w:r>
      <w:r w:rsidRPr="000244C1">
        <w:rPr>
          <w:rFonts w:cs="Times New Roman"/>
          <w:sz w:val="20"/>
          <w:lang w:val="en-AU"/>
        </w:rPr>
        <w:tab/>
      </w:r>
      <w:proofErr w:type="gramStart"/>
      <w:r w:rsidRPr="000244C1">
        <w:rPr>
          <w:rFonts w:cs="Times New Roman"/>
          <w:sz w:val="20"/>
          <w:lang w:val="en-AU"/>
        </w:rPr>
        <w:t>oxycodone</w:t>
      </w:r>
      <w:proofErr w:type="gramEnd"/>
      <w:r w:rsidRPr="000244C1">
        <w:rPr>
          <w:rFonts w:cs="Times New Roman"/>
          <w:sz w:val="20"/>
          <w:lang w:val="en-AU"/>
        </w:rPr>
        <w:tab/>
        <w:t>1</w:t>
      </w:r>
      <w:r w:rsidRPr="000244C1">
        <w:rPr>
          <w:rFonts w:cs="Times New Roman"/>
          <w:sz w:val="20"/>
          <w:lang w:val="en-AU"/>
        </w:rPr>
        <w:tab/>
      </w:r>
      <w:proofErr w:type="spellStart"/>
      <w:r w:rsidRPr="000244C1">
        <w:rPr>
          <w:rFonts w:cs="Times New Roman"/>
          <w:sz w:val="20"/>
          <w:lang w:val="en-AU"/>
        </w:rPr>
        <w:t>dextromoramide</w:t>
      </w:r>
      <w:proofErr w:type="spellEnd"/>
      <w:r w:rsidRPr="000244C1">
        <w:rPr>
          <w:rFonts w:cs="Times New Roman"/>
          <w:sz w:val="20"/>
          <w:lang w:val="en-AU"/>
        </w:rPr>
        <w:t xml:space="preserve">   2</w:t>
      </w:r>
      <w:r w:rsidRPr="000244C1">
        <w:rPr>
          <w:rFonts w:cs="Times New Roman"/>
          <w:sz w:val="20"/>
          <w:vertAlign w:val="superscript"/>
          <w:lang w:val="en-AU"/>
        </w:rPr>
        <w:t>2</w:t>
      </w:r>
    </w:p>
    <w:p w14:paraId="2BB0B863" w14:textId="77777777" w:rsidR="002B6CE6" w:rsidRPr="000244C1" w:rsidRDefault="002B6CE6" w:rsidP="002B6CE6">
      <w:pPr>
        <w:pStyle w:val="C-Footnote"/>
        <w:rPr>
          <w:lang w:val="en-AU"/>
        </w:rPr>
      </w:pPr>
      <w:r w:rsidRPr="000244C1">
        <w:rPr>
          <w:position w:val="6"/>
          <w:vertAlign w:val="superscript"/>
          <w:lang w:val="en-AU"/>
        </w:rPr>
        <w:t>1</w:t>
      </w:r>
      <w:r w:rsidRPr="000244C1">
        <w:rPr>
          <w:position w:val="6"/>
          <w:lang w:val="en-AU"/>
        </w:rPr>
        <w:tab/>
      </w:r>
      <w:r w:rsidRPr="000244C1">
        <w:rPr>
          <w:lang w:val="en-AU"/>
        </w:rPr>
        <w:t xml:space="preserve">Methadone: a single 5 mg dose is equivalent to morphine 7.5 mg.  It has a prolonged plasma half-life, which leads to </w:t>
      </w:r>
      <w:proofErr w:type="spellStart"/>
      <w:r w:rsidRPr="000244C1">
        <w:rPr>
          <w:lang w:val="en-AU"/>
        </w:rPr>
        <w:t>cumulation</w:t>
      </w:r>
      <w:proofErr w:type="spellEnd"/>
      <w:r w:rsidRPr="000244C1">
        <w:rPr>
          <w:lang w:val="en-AU"/>
        </w:rPr>
        <w:t xml:space="preserve"> when given repeatedly.  This means that when given regularly it is several times more potent.</w:t>
      </w:r>
    </w:p>
    <w:p w14:paraId="359E6A5C" w14:textId="77777777" w:rsidR="002B6CE6" w:rsidRPr="000244C1" w:rsidRDefault="002B6CE6" w:rsidP="002B6CE6">
      <w:pPr>
        <w:pStyle w:val="C-Footnote"/>
        <w:rPr>
          <w:lang w:val="en-AU"/>
        </w:rPr>
      </w:pPr>
      <w:r w:rsidRPr="000244C1">
        <w:rPr>
          <w:position w:val="6"/>
          <w:vertAlign w:val="superscript"/>
          <w:lang w:val="en-AU"/>
        </w:rPr>
        <w:t>2</w:t>
      </w:r>
      <w:r w:rsidRPr="000244C1">
        <w:rPr>
          <w:position w:val="6"/>
          <w:lang w:val="en-AU"/>
        </w:rPr>
        <w:tab/>
      </w:r>
      <w:proofErr w:type="spellStart"/>
      <w:r w:rsidRPr="000244C1">
        <w:rPr>
          <w:lang w:val="en-AU"/>
        </w:rPr>
        <w:t>Dextromoramide</w:t>
      </w:r>
      <w:proofErr w:type="spellEnd"/>
      <w:r w:rsidRPr="000244C1">
        <w:rPr>
          <w:lang w:val="en-AU"/>
        </w:rPr>
        <w:t>: a single 5 mg dose is equivalent to morphine 15 mg in terms of peak effect but is shorter acting.  The overall potency ratio has been adjusted accordingly.</w:t>
      </w:r>
    </w:p>
    <w:p w14:paraId="19630E56" w14:textId="58005BFB" w:rsidR="002B6CE6" w:rsidRPr="000244C1" w:rsidRDefault="002B6CE6" w:rsidP="002B6CE6">
      <w:pPr>
        <w:pStyle w:val="C-Footnote"/>
        <w:rPr>
          <w:position w:val="6"/>
          <w:lang w:val="en-AU"/>
        </w:rPr>
      </w:pPr>
      <w:r w:rsidRPr="000244C1">
        <w:rPr>
          <w:vertAlign w:val="superscript"/>
          <w:lang w:val="en-AU"/>
        </w:rPr>
        <w:t>*</w:t>
      </w:r>
      <w:r w:rsidRPr="000244C1">
        <w:rPr>
          <w:lang w:val="en-AU"/>
        </w:rPr>
        <w:tab/>
        <w:t xml:space="preserve">Adapted from </w:t>
      </w:r>
      <w:proofErr w:type="spellStart"/>
      <w:r w:rsidRPr="000244C1">
        <w:rPr>
          <w:lang w:val="en-AU"/>
        </w:rPr>
        <w:t>Twycross</w:t>
      </w:r>
      <w:proofErr w:type="spellEnd"/>
      <w:r w:rsidRPr="000244C1">
        <w:rPr>
          <w:lang w:val="en-AU"/>
        </w:rPr>
        <w:t xml:space="preserve"> and Lack, (1989).  </w:t>
      </w:r>
      <w:proofErr w:type="gramStart"/>
      <w:r w:rsidRPr="000244C1">
        <w:rPr>
          <w:lang w:val="en-AU"/>
        </w:rPr>
        <w:t>Oral morphine in advanced cancer.</w:t>
      </w:r>
      <w:proofErr w:type="gramEnd"/>
      <w:r w:rsidRPr="000244C1">
        <w:rPr>
          <w:lang w:val="en-AU"/>
        </w:rPr>
        <w:t xml:space="preserve">  2</w:t>
      </w:r>
      <w:r w:rsidR="007C3231" w:rsidRPr="000244C1">
        <w:rPr>
          <w:vertAlign w:val="superscript"/>
          <w:lang w:val="en-AU"/>
        </w:rPr>
        <w:t>nd</w:t>
      </w:r>
      <w:r w:rsidR="007C3231" w:rsidRPr="000244C1">
        <w:rPr>
          <w:lang w:val="en-AU"/>
        </w:rPr>
        <w:t xml:space="preserve"> </w:t>
      </w:r>
      <w:proofErr w:type="gramStart"/>
      <w:r w:rsidRPr="000244C1">
        <w:rPr>
          <w:lang w:val="en-AU"/>
        </w:rPr>
        <w:t>ed</w:t>
      </w:r>
      <w:proofErr w:type="gramEnd"/>
      <w:r w:rsidRPr="000244C1">
        <w:rPr>
          <w:lang w:val="en-AU"/>
        </w:rPr>
        <w:t>.  Beaconsfield.</w:t>
      </w:r>
    </w:p>
    <w:p w14:paraId="0829B497" w14:textId="54B0D3FB" w:rsidR="002B6CE6" w:rsidRPr="000244C1" w:rsidRDefault="002B6CE6" w:rsidP="00E60288">
      <w:pPr>
        <w:pStyle w:val="C-Heading3non-numbered"/>
        <w:tabs>
          <w:tab w:val="clear" w:pos="1080"/>
        </w:tabs>
        <w:ind w:left="0" w:firstLine="0"/>
        <w:rPr>
          <w:lang w:val="en-AU"/>
        </w:rPr>
      </w:pPr>
      <w:r w:rsidRPr="000244C1">
        <w:rPr>
          <w:lang w:val="en-AU"/>
        </w:rPr>
        <w:t xml:space="preserve">Conversion from </w:t>
      </w:r>
      <w:proofErr w:type="spellStart"/>
      <w:r w:rsidRPr="000244C1">
        <w:rPr>
          <w:lang w:val="en-AU"/>
        </w:rPr>
        <w:t>Kapanol</w:t>
      </w:r>
      <w:proofErr w:type="spellEnd"/>
      <w:r w:rsidRPr="000244C1">
        <w:rPr>
          <w:lang w:val="en-AU"/>
        </w:rPr>
        <w:t xml:space="preserve"> to other Controlled-Release Oral Morphine Formulations</w:t>
      </w:r>
      <w:r w:rsidR="00C643E3" w:rsidRPr="000244C1">
        <w:rPr>
          <w:lang w:val="en-AU"/>
        </w:rPr>
        <w:t xml:space="preserve"> for Use in Chronic Pain</w:t>
      </w:r>
    </w:p>
    <w:p w14:paraId="4301B2F0" w14:textId="56D613F0" w:rsidR="002B6CE6" w:rsidRPr="000244C1" w:rsidRDefault="002B6CE6" w:rsidP="002B6CE6">
      <w:pPr>
        <w:pStyle w:val="C-BodyText"/>
        <w:rPr>
          <w:lang w:val="en-AU"/>
        </w:rPr>
      </w:pPr>
      <w:r w:rsidRPr="000244C1">
        <w:rPr>
          <w:lang w:val="en-AU"/>
        </w:rPr>
        <w:t xml:space="preserve">Although for a given dose the same amount of morphine is available from </w:t>
      </w:r>
      <w:proofErr w:type="spellStart"/>
      <w:r w:rsidRPr="000244C1">
        <w:rPr>
          <w:lang w:val="en-AU"/>
        </w:rPr>
        <w:t>Kapanol</w:t>
      </w:r>
      <w:proofErr w:type="spellEnd"/>
      <w:r w:rsidRPr="000244C1">
        <w:rPr>
          <w:lang w:val="en-AU"/>
        </w:rPr>
        <w:t xml:space="preserve"> as from morphine solution or controlled-release morphine tablets (i</w:t>
      </w:r>
      <w:r w:rsidR="00307C1C" w:rsidRPr="000244C1">
        <w:rPr>
          <w:lang w:val="en-AU"/>
        </w:rPr>
        <w:t>.</w:t>
      </w:r>
      <w:r w:rsidRPr="000244C1">
        <w:rPr>
          <w:lang w:val="en-AU"/>
        </w:rPr>
        <w:t>e</w:t>
      </w:r>
      <w:r w:rsidR="00307C1C" w:rsidRPr="000244C1">
        <w:rPr>
          <w:lang w:val="en-AU"/>
        </w:rPr>
        <w:t>.</w:t>
      </w:r>
      <w:r w:rsidRPr="000244C1">
        <w:rPr>
          <w:lang w:val="en-AU"/>
        </w:rPr>
        <w:t xml:space="preserve"> AUC is the same), </w:t>
      </w:r>
      <w:proofErr w:type="spellStart"/>
      <w:r w:rsidRPr="000244C1">
        <w:rPr>
          <w:lang w:val="en-AU"/>
        </w:rPr>
        <w:t>Kapanol</w:t>
      </w:r>
      <w:proofErr w:type="spellEnd"/>
      <w:r w:rsidRPr="000244C1">
        <w:rPr>
          <w:lang w:val="en-AU"/>
        </w:rPr>
        <w:t xml:space="preserve"> results in reduced fluctuation in dose adjusted plasma morphine levels.  Conversion from </w:t>
      </w:r>
      <w:proofErr w:type="spellStart"/>
      <w:r w:rsidRPr="000244C1">
        <w:rPr>
          <w:lang w:val="en-AU"/>
        </w:rPr>
        <w:t>Kapanol</w:t>
      </w:r>
      <w:proofErr w:type="spellEnd"/>
      <w:r w:rsidRPr="000244C1">
        <w:rPr>
          <w:lang w:val="en-AU"/>
        </w:rPr>
        <w:t xml:space="preserve"> to the same daily dose of other morphine preparations may lead to an initial change in the clinical status of the patient and close observation is recommended.  </w:t>
      </w:r>
    </w:p>
    <w:p w14:paraId="333A6FDD" w14:textId="6E01201D" w:rsidR="002B6CE6" w:rsidRPr="000244C1" w:rsidRDefault="002B6CE6" w:rsidP="00561A58">
      <w:pPr>
        <w:pStyle w:val="C-Heading3non-numbered"/>
        <w:rPr>
          <w:lang w:val="en-AU"/>
        </w:rPr>
      </w:pPr>
      <w:r w:rsidRPr="000244C1">
        <w:rPr>
          <w:lang w:val="en-AU"/>
        </w:rPr>
        <w:t xml:space="preserve">Conversion from </w:t>
      </w:r>
      <w:proofErr w:type="spellStart"/>
      <w:r w:rsidRPr="000244C1">
        <w:rPr>
          <w:lang w:val="en-AU"/>
        </w:rPr>
        <w:t>Kapanol</w:t>
      </w:r>
      <w:proofErr w:type="spellEnd"/>
      <w:r w:rsidRPr="000244C1">
        <w:rPr>
          <w:lang w:val="en-AU"/>
        </w:rPr>
        <w:t xml:space="preserve"> to Parenteral Morphine</w:t>
      </w:r>
      <w:r w:rsidR="00C643E3" w:rsidRPr="000244C1">
        <w:rPr>
          <w:lang w:val="en-AU"/>
        </w:rPr>
        <w:t xml:space="preserve"> for Use in Chronic Pain</w:t>
      </w:r>
    </w:p>
    <w:p w14:paraId="63E2407C" w14:textId="507854AF" w:rsidR="002B6CE6" w:rsidRPr="000244C1" w:rsidRDefault="002B6CE6" w:rsidP="002B6CE6">
      <w:pPr>
        <w:pStyle w:val="C-BodyText"/>
        <w:rPr>
          <w:lang w:val="en-AU"/>
        </w:rPr>
      </w:pPr>
      <w:r w:rsidRPr="000244C1">
        <w:rPr>
          <w:lang w:val="en-AU"/>
        </w:rPr>
        <w:t xml:space="preserve">Based on single dose studies, 10 mg parenteral morphine is equipotent to 60 mg oral morphine.  However, in chronic use this ratio may not apply and the ratio of 10 mg parenteral morphine to 30 mg oral morphine may be more appropriate.  When converting from </w:t>
      </w:r>
      <w:proofErr w:type="spellStart"/>
      <w:r w:rsidRPr="000244C1">
        <w:rPr>
          <w:lang w:val="en-AU"/>
        </w:rPr>
        <w:t>Kapanol</w:t>
      </w:r>
      <w:proofErr w:type="spellEnd"/>
      <w:r w:rsidRPr="000244C1">
        <w:rPr>
          <w:lang w:val="en-AU"/>
        </w:rPr>
        <w:t xml:space="preserve"> to parenteral morphine, it is best to assume that the parenteral to oral potency is high and estimate the parenteral morphine dose per 24 hours based on the 1:6 ratio (Parenteral:</w:t>
      </w:r>
      <w:r w:rsidR="00933FFB" w:rsidRPr="000244C1">
        <w:rPr>
          <w:lang w:val="en-AU"/>
        </w:rPr>
        <w:t xml:space="preserve"> </w:t>
      </w:r>
      <w:r w:rsidRPr="000244C1">
        <w:rPr>
          <w:lang w:val="en-AU"/>
        </w:rPr>
        <w:t>Oral).  The frequency of administration depends on the site and method of the parenteral administration.  The dose should be adjusted based on the patient’s clinical response.</w:t>
      </w:r>
    </w:p>
    <w:p w14:paraId="644FB33E" w14:textId="5AF01377" w:rsidR="002B6CE6" w:rsidRPr="000244C1" w:rsidRDefault="002B6CE6" w:rsidP="002B6CE6">
      <w:pPr>
        <w:pStyle w:val="C-BodyText"/>
        <w:rPr>
          <w:lang w:val="en-AU"/>
        </w:rPr>
      </w:pPr>
      <w:r w:rsidRPr="000244C1">
        <w:rPr>
          <w:lang w:val="en-AU"/>
        </w:rPr>
        <w:t xml:space="preserve">Opioid analgesic agents do not effectively relieve </w:t>
      </w:r>
      <w:proofErr w:type="spellStart"/>
      <w:r w:rsidRPr="000244C1">
        <w:rPr>
          <w:lang w:val="en-AU"/>
        </w:rPr>
        <w:t>dysesthetic</w:t>
      </w:r>
      <w:proofErr w:type="spellEnd"/>
      <w:r w:rsidRPr="000244C1">
        <w:rPr>
          <w:lang w:val="en-AU"/>
        </w:rPr>
        <w:t xml:space="preserve"> pain, post-herpetic neuralgia, stabbing pains, activity-related pain, and some forms of headache.  This does not mean that patients suffering these types of pain should not be given an adequate trial of opioid analgesics.  However, such patients may need to be referred early on for other types of pain therapy.  Pain without nociception is usually not opioid-responsive.</w:t>
      </w:r>
    </w:p>
    <w:p w14:paraId="7860B807" w14:textId="77777777" w:rsidR="00DA20B6" w:rsidRPr="000244C1" w:rsidRDefault="00DA20B6" w:rsidP="00DA20B6">
      <w:pPr>
        <w:pStyle w:val="C-Heading2non-numbered"/>
        <w:rPr>
          <w:lang w:val="en-AU"/>
        </w:rPr>
      </w:pPr>
      <w:r w:rsidRPr="000244C1">
        <w:rPr>
          <w:lang w:val="en-AU"/>
        </w:rPr>
        <w:t xml:space="preserve">Information for Patients </w:t>
      </w:r>
    </w:p>
    <w:p w14:paraId="260C2448" w14:textId="537C599D" w:rsidR="00294002" w:rsidRPr="000244C1" w:rsidRDefault="00294002" w:rsidP="00561A58">
      <w:pPr>
        <w:pStyle w:val="C-Heading3non-numbered"/>
        <w:rPr>
          <w:lang w:val="en-AU"/>
        </w:rPr>
      </w:pPr>
      <w:r w:rsidRPr="000244C1">
        <w:rPr>
          <w:lang w:val="en-AU"/>
        </w:rPr>
        <w:t xml:space="preserve">All </w:t>
      </w:r>
      <w:r w:rsidR="00F71B9E" w:rsidRPr="000244C1">
        <w:rPr>
          <w:lang w:val="en-AU"/>
        </w:rPr>
        <w:t>P</w:t>
      </w:r>
      <w:r w:rsidRPr="000244C1">
        <w:rPr>
          <w:lang w:val="en-AU"/>
        </w:rPr>
        <w:t>atients</w:t>
      </w:r>
    </w:p>
    <w:p w14:paraId="3180CA39" w14:textId="209E4538" w:rsidR="00DA20B6" w:rsidRPr="000244C1" w:rsidRDefault="002404FE" w:rsidP="00DA20B6">
      <w:pPr>
        <w:pStyle w:val="C-BodyText"/>
        <w:rPr>
          <w:lang w:val="en-AU"/>
        </w:rPr>
      </w:pPr>
      <w:r w:rsidRPr="000244C1">
        <w:rPr>
          <w:lang w:val="en-AU"/>
        </w:rPr>
        <w:t xml:space="preserve">A Consumer Medicine Information leaflet for </w:t>
      </w:r>
      <w:proofErr w:type="spellStart"/>
      <w:r w:rsidRPr="000244C1">
        <w:rPr>
          <w:lang w:val="en-AU"/>
        </w:rPr>
        <w:t>Kapanol</w:t>
      </w:r>
      <w:proofErr w:type="spellEnd"/>
      <w:r w:rsidRPr="000244C1">
        <w:rPr>
          <w:lang w:val="en-AU"/>
        </w:rPr>
        <w:t xml:space="preserve"> is available from your pharmacist. </w:t>
      </w:r>
      <w:r w:rsidR="00DA20B6" w:rsidRPr="000244C1">
        <w:rPr>
          <w:lang w:val="en-AU"/>
        </w:rPr>
        <w:t xml:space="preserve">Medical practitioners should be familiar with the contents of this leaflet.  If clinically advisable, patients receiving </w:t>
      </w:r>
      <w:proofErr w:type="spellStart"/>
      <w:r w:rsidR="00DA20B6" w:rsidRPr="000244C1">
        <w:rPr>
          <w:lang w:val="en-AU"/>
        </w:rPr>
        <w:t>Kapanol</w:t>
      </w:r>
      <w:proofErr w:type="spellEnd"/>
      <w:r w:rsidR="00DA20B6" w:rsidRPr="000244C1">
        <w:rPr>
          <w:lang w:val="en-AU"/>
        </w:rPr>
        <w:t xml:space="preserve"> should be given the following instructions by the medical practitioner.</w:t>
      </w:r>
    </w:p>
    <w:p w14:paraId="34DAB2EA" w14:textId="77777777" w:rsidR="00DA20B6" w:rsidRPr="000244C1" w:rsidRDefault="00DA20B6" w:rsidP="004A6583">
      <w:pPr>
        <w:pStyle w:val="C-NumberedList"/>
        <w:rPr>
          <w:lang w:val="en-AU"/>
        </w:rPr>
      </w:pPr>
      <w:r w:rsidRPr="000244C1">
        <w:rPr>
          <w:lang w:val="en-AU"/>
        </w:rPr>
        <w:t xml:space="preserve">The use of </w:t>
      </w:r>
      <w:proofErr w:type="spellStart"/>
      <w:r w:rsidRPr="000244C1">
        <w:rPr>
          <w:lang w:val="en-AU"/>
        </w:rPr>
        <w:t>Kapanol</w:t>
      </w:r>
      <w:proofErr w:type="spellEnd"/>
      <w:r w:rsidRPr="000244C1">
        <w:rPr>
          <w:lang w:val="en-AU"/>
        </w:rPr>
        <w:t xml:space="preserve"> should be determined by consultation with a medical practitioner.</w:t>
      </w:r>
    </w:p>
    <w:p w14:paraId="450E9C6A" w14:textId="77777777" w:rsidR="00DA20B6" w:rsidRPr="000244C1" w:rsidRDefault="00DA20B6" w:rsidP="004A6583">
      <w:pPr>
        <w:pStyle w:val="C-NumberedList"/>
        <w:rPr>
          <w:lang w:val="en-AU"/>
        </w:rPr>
      </w:pPr>
      <w:r w:rsidRPr="000244C1">
        <w:rPr>
          <w:lang w:val="en-AU"/>
        </w:rPr>
        <w:t>Morphine may impair mental and/or physical ability required for the performance of potentially hazardous tasks (e.g. driving, operating machinery).</w:t>
      </w:r>
    </w:p>
    <w:p w14:paraId="5C936D71" w14:textId="77777777" w:rsidR="00DA20B6" w:rsidRPr="000244C1" w:rsidRDefault="00DA20B6" w:rsidP="00EC49E8">
      <w:pPr>
        <w:pStyle w:val="C-NumberedList"/>
        <w:rPr>
          <w:lang w:val="en-AU"/>
        </w:rPr>
      </w:pPr>
      <w:r w:rsidRPr="000244C1">
        <w:rPr>
          <w:lang w:val="en-AU"/>
        </w:rPr>
        <w:lastRenderedPageBreak/>
        <w:t>Morphine should not be taken with alcohol or other CNS depressants (sleeping medications, tranquillisers) because additive effects including CNS depression may occur. A medical practitioner should be consulted if other prescription medications are currently being used or are prescribed for future use.</w:t>
      </w:r>
    </w:p>
    <w:p w14:paraId="1EDA6736" w14:textId="77777777" w:rsidR="00DA20B6" w:rsidRPr="000244C1" w:rsidRDefault="00DA20B6" w:rsidP="00EC49E8">
      <w:pPr>
        <w:pStyle w:val="C-NumberedList"/>
        <w:rPr>
          <w:lang w:val="en-AU"/>
        </w:rPr>
      </w:pPr>
      <w:r w:rsidRPr="000244C1">
        <w:rPr>
          <w:lang w:val="en-AU"/>
        </w:rPr>
        <w:t>Morphine sustained-release capsules should NOT be co-administered with alcohol</w:t>
      </w:r>
    </w:p>
    <w:p w14:paraId="3BB65052" w14:textId="77777777" w:rsidR="00DA20B6" w:rsidRPr="000244C1" w:rsidRDefault="00DA20B6" w:rsidP="009A060E">
      <w:pPr>
        <w:pStyle w:val="C-NumberedList"/>
        <w:rPr>
          <w:lang w:val="en-AU"/>
        </w:rPr>
      </w:pPr>
      <w:r w:rsidRPr="000244C1">
        <w:rPr>
          <w:lang w:val="en-AU"/>
        </w:rPr>
        <w:t>For women of childbearing potential who become or are planning to become pregnant, a medical practitioner should be consulted regarding analgesics and other drug use.</w:t>
      </w:r>
    </w:p>
    <w:p w14:paraId="5C341B20" w14:textId="6B414264" w:rsidR="00DA20B6" w:rsidRPr="000244C1" w:rsidRDefault="00DA20B6" w:rsidP="00397BF0">
      <w:pPr>
        <w:pStyle w:val="C-NumberedList"/>
        <w:rPr>
          <w:b/>
          <w:lang w:val="en-AU"/>
        </w:rPr>
      </w:pPr>
      <w:r w:rsidRPr="000244C1">
        <w:rPr>
          <w:b/>
          <w:lang w:val="en-AU"/>
        </w:rPr>
        <w:t xml:space="preserve">The pellets in </w:t>
      </w:r>
      <w:proofErr w:type="spellStart"/>
      <w:r w:rsidRPr="000244C1">
        <w:rPr>
          <w:b/>
          <w:lang w:val="en-AU"/>
        </w:rPr>
        <w:t>Kapanol</w:t>
      </w:r>
      <w:proofErr w:type="spellEnd"/>
      <w:r w:rsidRPr="000244C1">
        <w:rPr>
          <w:b/>
          <w:lang w:val="en-AU"/>
        </w:rPr>
        <w:t xml:space="preserve"> capsules must NOT be chewed or crushed as this may destroy their sustained-release properties.</w:t>
      </w:r>
    </w:p>
    <w:p w14:paraId="3DBBCC0A" w14:textId="77777777" w:rsidR="00397BF0" w:rsidRPr="000244C1" w:rsidRDefault="00397BF0" w:rsidP="00561A58">
      <w:pPr>
        <w:pStyle w:val="C-Heading3non-numbered"/>
        <w:rPr>
          <w:lang w:val="en-AU" w:eastAsia="en-AU"/>
        </w:rPr>
      </w:pPr>
      <w:bookmarkStart w:id="2" w:name="_Hlk530561294"/>
      <w:r w:rsidRPr="000244C1">
        <w:rPr>
          <w:lang w:val="en-AU" w:eastAsia="en-AU"/>
        </w:rPr>
        <w:t xml:space="preserve">For Palliative Use in Chronic Breathlessness </w:t>
      </w:r>
    </w:p>
    <w:bookmarkEnd w:id="2"/>
    <w:p w14:paraId="688F6A9B" w14:textId="091D32F4" w:rsidR="00397BF0" w:rsidRPr="000244C1" w:rsidRDefault="00397BF0" w:rsidP="00561A58">
      <w:pPr>
        <w:pStyle w:val="C-BodyText"/>
        <w:rPr>
          <w:lang w:val="en-AU" w:eastAsia="en-AU"/>
        </w:rPr>
      </w:pPr>
      <w:proofErr w:type="spellStart"/>
      <w:r w:rsidRPr="000244C1">
        <w:rPr>
          <w:lang w:val="en-AU" w:eastAsia="en-AU"/>
        </w:rPr>
        <w:t>Kapanol</w:t>
      </w:r>
      <w:proofErr w:type="spellEnd"/>
      <w:r w:rsidRPr="000244C1">
        <w:rPr>
          <w:lang w:val="en-AU" w:eastAsia="en-AU"/>
        </w:rPr>
        <w:t xml:space="preserve"> should only be commenced after a careful discussion of the risks and possible benefits of its use with the </w:t>
      </w:r>
      <w:proofErr w:type="gramStart"/>
      <w:r w:rsidRPr="000244C1">
        <w:rPr>
          <w:lang w:val="en-AU" w:eastAsia="en-AU"/>
        </w:rPr>
        <w:t>patient, and carer(s)</w:t>
      </w:r>
      <w:proofErr w:type="gramEnd"/>
      <w:r w:rsidRPr="000244C1">
        <w:rPr>
          <w:lang w:val="en-AU" w:eastAsia="en-AU"/>
        </w:rPr>
        <w:t xml:space="preserve"> where possible. </w:t>
      </w:r>
      <w:r w:rsidR="00D06624" w:rsidRPr="000244C1">
        <w:rPr>
          <w:lang w:val="en-AU" w:eastAsia="en-AU"/>
        </w:rPr>
        <w:t xml:space="preserve"> </w:t>
      </w:r>
      <w:r w:rsidRPr="000244C1">
        <w:rPr>
          <w:lang w:val="en-AU" w:eastAsia="en-AU"/>
        </w:rPr>
        <w:t xml:space="preserve">The following additional information should be provided: </w:t>
      </w:r>
    </w:p>
    <w:p w14:paraId="60F9A761" w14:textId="16A18045" w:rsidR="00397BF0" w:rsidRPr="000244C1" w:rsidRDefault="00397BF0" w:rsidP="00561A58">
      <w:pPr>
        <w:pStyle w:val="C-NumberedList"/>
        <w:numPr>
          <w:ilvl w:val="0"/>
          <w:numId w:val="37"/>
        </w:numPr>
        <w:rPr>
          <w:lang w:val="en-AU" w:eastAsia="en-AU"/>
        </w:rPr>
      </w:pPr>
      <w:proofErr w:type="spellStart"/>
      <w:r w:rsidRPr="000244C1">
        <w:rPr>
          <w:lang w:val="en-AU" w:eastAsia="en-AU"/>
        </w:rPr>
        <w:t>Kapanol</w:t>
      </w:r>
      <w:proofErr w:type="spellEnd"/>
      <w:r w:rsidRPr="000244C1">
        <w:rPr>
          <w:lang w:val="en-AU" w:eastAsia="en-AU"/>
        </w:rPr>
        <w:t xml:space="preserve"> will be trialled to see if it reduces the </w:t>
      </w:r>
      <w:r w:rsidR="00C547A1" w:rsidRPr="000244C1">
        <w:rPr>
          <w:lang w:val="en-AU" w:eastAsia="en-AU"/>
        </w:rPr>
        <w:t xml:space="preserve">intensity </w:t>
      </w:r>
      <w:proofErr w:type="gramStart"/>
      <w:r w:rsidR="00C547A1" w:rsidRPr="000244C1">
        <w:rPr>
          <w:lang w:val="en-AU" w:eastAsia="en-AU"/>
        </w:rPr>
        <w:t xml:space="preserve">of </w:t>
      </w:r>
      <w:r w:rsidRPr="000244C1">
        <w:rPr>
          <w:lang w:val="en-AU" w:eastAsia="en-AU"/>
        </w:rPr>
        <w:t xml:space="preserve"> breathlessness</w:t>
      </w:r>
      <w:proofErr w:type="gramEnd"/>
      <w:r w:rsidRPr="000244C1">
        <w:rPr>
          <w:lang w:val="en-AU" w:eastAsia="en-AU"/>
        </w:rPr>
        <w:t>.</w:t>
      </w:r>
    </w:p>
    <w:p w14:paraId="649723BB" w14:textId="259922EB" w:rsidR="00397BF0" w:rsidRPr="000244C1" w:rsidRDefault="00397BF0" w:rsidP="00561A58">
      <w:pPr>
        <w:pStyle w:val="C-NumberedList"/>
        <w:rPr>
          <w:lang w:val="en-AU" w:eastAsia="en-AU"/>
        </w:rPr>
      </w:pPr>
      <w:r w:rsidRPr="000244C1">
        <w:rPr>
          <w:lang w:val="en-AU" w:eastAsia="en-AU"/>
        </w:rPr>
        <w:t xml:space="preserve">A low dose of </w:t>
      </w:r>
      <w:proofErr w:type="spellStart"/>
      <w:r w:rsidRPr="000244C1">
        <w:rPr>
          <w:lang w:val="en-AU" w:eastAsia="en-AU"/>
        </w:rPr>
        <w:t>Kapanol</w:t>
      </w:r>
      <w:proofErr w:type="spellEnd"/>
      <w:r w:rsidRPr="000244C1">
        <w:rPr>
          <w:lang w:val="en-AU" w:eastAsia="en-AU"/>
        </w:rPr>
        <w:t xml:space="preserve"> will be started. Any increase in this dose will only occur in consultation with the prescribing medical practitioner and after consideration of therapeutic response and occurrence of adverse effects.</w:t>
      </w:r>
    </w:p>
    <w:p w14:paraId="1542A191" w14:textId="52D50157" w:rsidR="00397BF0" w:rsidRPr="000244C1" w:rsidRDefault="00397BF0" w:rsidP="00561A58">
      <w:pPr>
        <w:pStyle w:val="C-NumberedList"/>
        <w:rPr>
          <w:lang w:val="en-AU" w:eastAsia="en-AU"/>
        </w:rPr>
      </w:pPr>
      <w:bookmarkStart w:id="3" w:name="_Hlk530581730"/>
      <w:proofErr w:type="spellStart"/>
      <w:r w:rsidRPr="000244C1">
        <w:rPr>
          <w:lang w:val="en-AU" w:eastAsia="en-AU"/>
        </w:rPr>
        <w:t>Kapanol</w:t>
      </w:r>
      <w:proofErr w:type="spellEnd"/>
      <w:r w:rsidRPr="000244C1">
        <w:rPr>
          <w:lang w:val="en-AU" w:eastAsia="en-AU"/>
        </w:rPr>
        <w:t xml:space="preserve"> may cause nausea, vomiting, constipation, drowsiness and confusion. Laxatives will be commenced at the same time to proactively manage constipation.</w:t>
      </w:r>
    </w:p>
    <w:p w14:paraId="0D596FEC" w14:textId="7A7A3745" w:rsidR="00397BF0" w:rsidRPr="000244C1" w:rsidRDefault="00397BF0" w:rsidP="00561A58">
      <w:pPr>
        <w:pStyle w:val="C-NumberedList"/>
        <w:rPr>
          <w:lang w:val="en-AU" w:eastAsia="en-AU"/>
        </w:rPr>
      </w:pPr>
      <w:bookmarkStart w:id="4" w:name="_Hlk507076927"/>
      <w:bookmarkEnd w:id="3"/>
      <w:proofErr w:type="spellStart"/>
      <w:r w:rsidRPr="000244C1">
        <w:rPr>
          <w:lang w:val="en-AU" w:eastAsia="en-AU"/>
        </w:rPr>
        <w:t>Kapanol</w:t>
      </w:r>
      <w:proofErr w:type="spellEnd"/>
      <w:r w:rsidRPr="000244C1">
        <w:rPr>
          <w:lang w:val="en-AU" w:eastAsia="en-AU"/>
        </w:rPr>
        <w:t xml:space="preserve"> may cause respiratory depression that has been associated with fatal outcome. This risk is increased if </w:t>
      </w:r>
      <w:proofErr w:type="spellStart"/>
      <w:r w:rsidRPr="000244C1">
        <w:rPr>
          <w:lang w:val="en-AU" w:eastAsia="en-AU"/>
        </w:rPr>
        <w:t>Kapanol</w:t>
      </w:r>
      <w:proofErr w:type="spellEnd"/>
      <w:r w:rsidRPr="000244C1">
        <w:rPr>
          <w:lang w:val="en-AU" w:eastAsia="en-AU"/>
        </w:rPr>
        <w:t xml:space="preserve"> is taken with alcohol or benzodiazepines </w:t>
      </w:r>
      <w:bookmarkEnd w:id="4"/>
      <w:r w:rsidRPr="000244C1">
        <w:rPr>
          <w:lang w:val="en-AU" w:eastAsia="en-AU"/>
        </w:rPr>
        <w:t xml:space="preserve">or if the pellets in the </w:t>
      </w:r>
      <w:proofErr w:type="spellStart"/>
      <w:r w:rsidRPr="000244C1">
        <w:rPr>
          <w:lang w:val="en-AU" w:eastAsia="en-AU"/>
        </w:rPr>
        <w:t>Kapanol</w:t>
      </w:r>
      <w:proofErr w:type="spellEnd"/>
      <w:r w:rsidRPr="000244C1">
        <w:rPr>
          <w:lang w:val="en-AU" w:eastAsia="en-AU"/>
        </w:rPr>
        <w:t xml:space="preserve"> capsules are chewed or crushed.</w:t>
      </w:r>
    </w:p>
    <w:p w14:paraId="653D8721" w14:textId="4FE6065F" w:rsidR="002E4D1F" w:rsidRPr="000244C1" w:rsidRDefault="003960B2" w:rsidP="002E4D1F">
      <w:pPr>
        <w:pStyle w:val="C-Heading2"/>
        <w:rPr>
          <w:lang w:val="en-AU"/>
        </w:rPr>
      </w:pPr>
      <w:r w:rsidRPr="000244C1">
        <w:rPr>
          <w:lang w:val="en-AU"/>
        </w:rPr>
        <w:t>Contraindications</w:t>
      </w:r>
    </w:p>
    <w:p w14:paraId="296FF1B5" w14:textId="225110D2" w:rsidR="002B6CE6" w:rsidRPr="000244C1" w:rsidRDefault="002B6CE6" w:rsidP="002A59D7">
      <w:pPr>
        <w:pStyle w:val="C-BodyText"/>
        <w:rPr>
          <w:lang w:val="en-AU"/>
        </w:rPr>
      </w:pPr>
      <w:proofErr w:type="spellStart"/>
      <w:r w:rsidRPr="000244C1">
        <w:rPr>
          <w:lang w:val="en-AU"/>
        </w:rPr>
        <w:t>Kapanol</w:t>
      </w:r>
      <w:proofErr w:type="spellEnd"/>
      <w:r w:rsidRPr="000244C1">
        <w:rPr>
          <w:lang w:val="en-AU"/>
        </w:rPr>
        <w:t xml:space="preserve"> should not be given to patients with:  known hypersensitivity to morphine, morphine salts or any of the capsule components; acute or severe bronchial asthma; respiratory depression; biliary colic, cardiac arrhythmias, gastrointestinal obstruction, particularly paralytic ileus; concurrent MAO inhibitors or within 14 days of such therapy (see </w:t>
      </w:r>
      <w:r w:rsidR="00756868" w:rsidRPr="000244C1">
        <w:rPr>
          <w:lang w:val="en-AU"/>
        </w:rPr>
        <w:t xml:space="preserve">Section </w:t>
      </w:r>
      <w:r w:rsidR="000923C0" w:rsidRPr="000244C1">
        <w:rPr>
          <w:lang w:val="en-AU"/>
        </w:rPr>
        <w:t>4.5 Interactions with Other Medicines and Other Forms of Interactions</w:t>
      </w:r>
      <w:r w:rsidRPr="000244C1">
        <w:rPr>
          <w:lang w:val="en-AU"/>
        </w:rPr>
        <w:t>).</w:t>
      </w:r>
    </w:p>
    <w:p w14:paraId="10CC44A1" w14:textId="4698664C" w:rsidR="002B6CE6" w:rsidRPr="000244C1" w:rsidRDefault="002B6CE6" w:rsidP="002B6CE6">
      <w:pPr>
        <w:pStyle w:val="C-BodyText"/>
        <w:rPr>
          <w:lang w:val="en-AU"/>
        </w:rPr>
      </w:pPr>
      <w:proofErr w:type="spellStart"/>
      <w:r w:rsidRPr="000244C1">
        <w:rPr>
          <w:lang w:val="en-AU"/>
        </w:rPr>
        <w:t>Kapanol</w:t>
      </w:r>
      <w:proofErr w:type="spellEnd"/>
      <w:r w:rsidRPr="000244C1">
        <w:rPr>
          <w:lang w:val="en-AU"/>
        </w:rPr>
        <w:t xml:space="preserve"> should not be given to patients who have a prior history of drug abuse.</w:t>
      </w:r>
    </w:p>
    <w:p w14:paraId="27E54BF1" w14:textId="468F4C25" w:rsidR="002E4D1F" w:rsidRPr="000244C1" w:rsidRDefault="003960B2" w:rsidP="002E4D1F">
      <w:pPr>
        <w:pStyle w:val="C-Heading2"/>
        <w:rPr>
          <w:lang w:val="en-AU"/>
        </w:rPr>
      </w:pPr>
      <w:r w:rsidRPr="000244C1">
        <w:rPr>
          <w:lang w:val="en-AU"/>
        </w:rPr>
        <w:t>Special Warnings and Precautions for Use</w:t>
      </w:r>
    </w:p>
    <w:p w14:paraId="242672D3" w14:textId="68362E17" w:rsidR="00524D42" w:rsidRPr="000244C1" w:rsidRDefault="00524D42" w:rsidP="00692DA9">
      <w:pPr>
        <w:pStyle w:val="C-Heading2non-numbered"/>
        <w:rPr>
          <w:lang w:val="en-AU" w:eastAsia="en-AU"/>
        </w:rPr>
      </w:pPr>
      <w:r w:rsidRPr="000244C1">
        <w:rPr>
          <w:lang w:val="en-AU" w:eastAsia="en-AU"/>
        </w:rPr>
        <w:t xml:space="preserve">Respiratory </w:t>
      </w:r>
      <w:r w:rsidR="00F71B9E" w:rsidRPr="000244C1">
        <w:rPr>
          <w:lang w:val="en-AU" w:eastAsia="en-AU"/>
        </w:rPr>
        <w:t>D</w:t>
      </w:r>
      <w:r w:rsidRPr="000244C1">
        <w:rPr>
          <w:lang w:val="en-AU" w:eastAsia="en-AU"/>
        </w:rPr>
        <w:t xml:space="preserve">epression </w:t>
      </w:r>
    </w:p>
    <w:p w14:paraId="720FCC9C" w14:textId="77777777" w:rsidR="00524D42" w:rsidRPr="000244C1" w:rsidRDefault="00524D42" w:rsidP="00561A58">
      <w:pPr>
        <w:pStyle w:val="C-BodyText"/>
        <w:rPr>
          <w:b/>
          <w:lang w:val="en-AU" w:eastAsia="en-AU"/>
        </w:rPr>
      </w:pPr>
      <w:r w:rsidRPr="000244C1">
        <w:rPr>
          <w:b/>
          <w:lang w:val="en-AU" w:eastAsia="en-AU"/>
        </w:rPr>
        <w:t xml:space="preserve">Serious, life-threatening, or fatal respiratory depression may occur. Monitor closely, especially upon initiation or following a dose increase. </w:t>
      </w:r>
    </w:p>
    <w:p w14:paraId="63297335" w14:textId="371837C1" w:rsidR="00524D42" w:rsidRPr="000244C1" w:rsidRDefault="00524D42" w:rsidP="00561A58">
      <w:pPr>
        <w:pStyle w:val="C-BodyText"/>
        <w:rPr>
          <w:lang w:val="en-AU" w:eastAsia="en-AU"/>
        </w:rPr>
      </w:pPr>
      <w:r w:rsidRPr="000244C1">
        <w:rPr>
          <w:lang w:val="en-AU" w:eastAsia="en-AU"/>
        </w:rPr>
        <w:t xml:space="preserve">Respiratory depression is the chief hazard of all morphine preparations. </w:t>
      </w:r>
      <w:r w:rsidR="00D06624" w:rsidRPr="000244C1">
        <w:rPr>
          <w:lang w:val="en-AU" w:eastAsia="en-AU"/>
        </w:rPr>
        <w:t xml:space="preserve"> </w:t>
      </w:r>
      <w:r w:rsidRPr="000244C1">
        <w:rPr>
          <w:lang w:val="en-AU" w:eastAsia="en-AU"/>
        </w:rPr>
        <w:t xml:space="preserve">Respiratory depression occurs more frequently in elderly and debilitated patients, and in those suffering from conditions accompanied by hypoxia or hypercapnia when even moderate therapeutic doses may significantly decrease pulmonary ventilation. </w:t>
      </w:r>
    </w:p>
    <w:p w14:paraId="48359FE1" w14:textId="77777777" w:rsidR="00524D42" w:rsidRPr="000244C1" w:rsidRDefault="00524D42" w:rsidP="00561A58">
      <w:pPr>
        <w:pStyle w:val="C-BodyText"/>
        <w:rPr>
          <w:b/>
          <w:lang w:val="en-AU" w:eastAsia="en-AU"/>
        </w:rPr>
      </w:pPr>
      <w:r w:rsidRPr="000244C1">
        <w:rPr>
          <w:b/>
          <w:bCs/>
          <w:lang w:val="en-AU" w:eastAsia="en-AU"/>
        </w:rPr>
        <w:lastRenderedPageBreak/>
        <w:t xml:space="preserve">Impaired Respiration when Treating Chronic Pain </w:t>
      </w:r>
    </w:p>
    <w:p w14:paraId="4C435C98" w14:textId="1CC71AD1" w:rsidR="00524D42" w:rsidRPr="000244C1" w:rsidRDefault="00524D42" w:rsidP="00561A58">
      <w:pPr>
        <w:pStyle w:val="C-BodyText"/>
        <w:rPr>
          <w:lang w:val="en-AU" w:eastAsia="en-AU"/>
        </w:rPr>
      </w:pPr>
      <w:r w:rsidRPr="000244C1">
        <w:rPr>
          <w:lang w:val="en-AU" w:eastAsia="en-AU"/>
        </w:rPr>
        <w:t>Morphine should be used with extreme caution in patients with chronic obstructive pulmonary disease</w:t>
      </w:r>
      <w:r w:rsidR="00D70C23" w:rsidRPr="000244C1">
        <w:rPr>
          <w:lang w:val="en-AU" w:eastAsia="en-AU"/>
        </w:rPr>
        <w:t xml:space="preserve">, </w:t>
      </w:r>
      <w:r w:rsidRPr="000244C1">
        <w:rPr>
          <w:lang w:val="en-AU" w:eastAsia="en-AU"/>
        </w:rPr>
        <w:t xml:space="preserve">or </w:t>
      </w:r>
      <w:proofErr w:type="spellStart"/>
      <w:r w:rsidRPr="000244C1">
        <w:rPr>
          <w:lang w:val="en-AU" w:eastAsia="en-AU"/>
        </w:rPr>
        <w:t>cor</w:t>
      </w:r>
      <w:proofErr w:type="spellEnd"/>
      <w:r w:rsidRPr="000244C1">
        <w:rPr>
          <w:lang w:val="en-AU" w:eastAsia="en-AU"/>
        </w:rPr>
        <w:t xml:space="preserve"> </w:t>
      </w:r>
      <w:proofErr w:type="spellStart"/>
      <w:r w:rsidRPr="000244C1">
        <w:rPr>
          <w:lang w:val="en-AU" w:eastAsia="en-AU"/>
        </w:rPr>
        <w:t>pulmonale</w:t>
      </w:r>
      <w:proofErr w:type="spellEnd"/>
      <w:r w:rsidRPr="000244C1">
        <w:rPr>
          <w:lang w:val="en-AU" w:eastAsia="en-AU"/>
        </w:rPr>
        <w:t xml:space="preserve"> and in patients having a substantially decreased respiratory reserve, hypoxia, </w:t>
      </w:r>
      <w:proofErr w:type="gramStart"/>
      <w:r w:rsidRPr="000244C1">
        <w:rPr>
          <w:lang w:val="en-AU" w:eastAsia="en-AU"/>
        </w:rPr>
        <w:t>hypercapnia</w:t>
      </w:r>
      <w:proofErr w:type="gramEnd"/>
      <w:r w:rsidRPr="000244C1">
        <w:rPr>
          <w:lang w:val="en-AU" w:eastAsia="en-AU"/>
        </w:rPr>
        <w:t xml:space="preserve"> or pre-existing respiratory depression. In such patients, even usual therapeutic doses of morphine may increase airway resistance and decrease respiratory drive to the point of apnoea. Severe pain antagonises the respiratory depressant effects of morphine. </w:t>
      </w:r>
    </w:p>
    <w:p w14:paraId="4F441599" w14:textId="77777777" w:rsidR="00524D42" w:rsidRPr="000244C1" w:rsidRDefault="00524D42" w:rsidP="00561A58">
      <w:pPr>
        <w:pStyle w:val="C-BodyText"/>
        <w:rPr>
          <w:b/>
          <w:lang w:val="en-AU" w:eastAsia="en-AU"/>
        </w:rPr>
      </w:pPr>
      <w:r w:rsidRPr="000244C1">
        <w:rPr>
          <w:b/>
          <w:bCs/>
          <w:lang w:val="en-AU" w:eastAsia="en-AU"/>
        </w:rPr>
        <w:t xml:space="preserve">Impaired Respiration when Treating Chronic Breathlessness </w:t>
      </w:r>
    </w:p>
    <w:p w14:paraId="27D807C1" w14:textId="527E3ACE" w:rsidR="00524D42" w:rsidRPr="000244C1" w:rsidRDefault="00524D42" w:rsidP="009A060E">
      <w:pPr>
        <w:pStyle w:val="C-BodyText"/>
        <w:rPr>
          <w:lang w:val="en-AU"/>
        </w:rPr>
      </w:pPr>
      <w:r w:rsidRPr="000244C1">
        <w:rPr>
          <w:lang w:val="en-AU" w:eastAsia="en-AU"/>
        </w:rPr>
        <w:t xml:space="preserve">Reported use of </w:t>
      </w:r>
      <w:proofErr w:type="spellStart"/>
      <w:r w:rsidRPr="000244C1">
        <w:rPr>
          <w:lang w:val="en-AU" w:eastAsia="en-AU"/>
        </w:rPr>
        <w:t>Kapanol</w:t>
      </w:r>
      <w:proofErr w:type="spellEnd"/>
      <w:r w:rsidRPr="000244C1">
        <w:rPr>
          <w:lang w:val="en-AU" w:eastAsia="en-AU"/>
        </w:rPr>
        <w:t xml:space="preserve"> carefully titrated at doses up to 30</w:t>
      </w:r>
      <w:r w:rsidR="00D06624" w:rsidRPr="000244C1">
        <w:rPr>
          <w:lang w:val="en-AU" w:eastAsia="en-AU"/>
        </w:rPr>
        <w:t xml:space="preserve"> </w:t>
      </w:r>
      <w:r w:rsidRPr="000244C1">
        <w:rPr>
          <w:lang w:val="en-AU" w:eastAsia="en-AU"/>
        </w:rPr>
        <w:t>mg/day in people with severe COPD did not result in episodes of respiratory depression (</w:t>
      </w:r>
      <w:r w:rsidR="007C3231" w:rsidRPr="000244C1">
        <w:rPr>
          <w:lang w:val="en-AU" w:eastAsia="en-AU"/>
        </w:rPr>
        <w:t xml:space="preserve">see Section 5.1 </w:t>
      </w:r>
      <w:proofErr w:type="spellStart"/>
      <w:r w:rsidR="00EC2F5A" w:rsidRPr="000244C1">
        <w:rPr>
          <w:lang w:val="en-AU" w:eastAsia="en-AU"/>
        </w:rPr>
        <w:t>Pharmacodynamic</w:t>
      </w:r>
      <w:proofErr w:type="spellEnd"/>
      <w:r w:rsidR="00EC2F5A" w:rsidRPr="000244C1">
        <w:rPr>
          <w:lang w:val="en-AU" w:eastAsia="en-AU"/>
        </w:rPr>
        <w:t xml:space="preserve"> Properties</w:t>
      </w:r>
      <w:r w:rsidR="00EC2F5A" w:rsidRPr="000244C1">
        <w:rPr>
          <w:lang w:val="en-AU"/>
        </w:rPr>
        <w:t xml:space="preserve"> </w:t>
      </w:r>
      <w:proofErr w:type="gramStart"/>
      <w:r w:rsidR="00EC2F5A" w:rsidRPr="000244C1">
        <w:rPr>
          <w:lang w:val="en-AU"/>
        </w:rPr>
        <w:t xml:space="preserve">- </w:t>
      </w:r>
      <w:r w:rsidR="00E5168F" w:rsidRPr="000244C1">
        <w:rPr>
          <w:lang w:val="en-AU" w:eastAsia="en-AU"/>
        </w:rPr>
        <w:t xml:space="preserve"> </w:t>
      </w:r>
      <w:r w:rsidR="007C3231" w:rsidRPr="000244C1">
        <w:rPr>
          <w:lang w:val="en-AU" w:eastAsia="en-AU"/>
        </w:rPr>
        <w:t>Clinical</w:t>
      </w:r>
      <w:proofErr w:type="gramEnd"/>
      <w:r w:rsidR="007C3231" w:rsidRPr="000244C1">
        <w:rPr>
          <w:lang w:val="en-AU" w:eastAsia="en-AU"/>
        </w:rPr>
        <w:t xml:space="preserve"> Trials</w:t>
      </w:r>
      <w:r w:rsidRPr="000244C1">
        <w:rPr>
          <w:lang w:val="en-AU" w:eastAsia="en-AU"/>
        </w:rPr>
        <w:t xml:space="preserve">). </w:t>
      </w:r>
      <w:r w:rsidR="00D06624" w:rsidRPr="000244C1">
        <w:rPr>
          <w:lang w:val="en-AU" w:eastAsia="en-AU"/>
        </w:rPr>
        <w:t xml:space="preserve"> </w:t>
      </w:r>
      <w:r w:rsidRPr="000244C1">
        <w:rPr>
          <w:lang w:val="en-AU" w:eastAsia="en-AU"/>
        </w:rPr>
        <w:t>However, observational studies have reported an increased risk of death with opioids in patients with severe COPD. Patients should be advised of this risk</w:t>
      </w:r>
    </w:p>
    <w:p w14:paraId="76A7AAD6" w14:textId="77777777" w:rsidR="008D5364" w:rsidRPr="000244C1" w:rsidRDefault="008D5364" w:rsidP="008D5364">
      <w:pPr>
        <w:pStyle w:val="C-Heading2non-numbered"/>
        <w:rPr>
          <w:lang w:val="en-AU"/>
        </w:rPr>
      </w:pPr>
      <w:r w:rsidRPr="000244C1">
        <w:rPr>
          <w:lang w:val="en-AU"/>
        </w:rPr>
        <w:t>Head Injury and Increased Intracranial Pressure</w:t>
      </w:r>
    </w:p>
    <w:p w14:paraId="1951DC0A" w14:textId="6D0E1B32" w:rsidR="008D5364" w:rsidRPr="000244C1" w:rsidRDefault="008D5364" w:rsidP="008D5364">
      <w:pPr>
        <w:pStyle w:val="C-BodyText"/>
        <w:rPr>
          <w:lang w:val="en-AU"/>
        </w:rPr>
      </w:pPr>
      <w:r w:rsidRPr="000244C1">
        <w:rPr>
          <w:lang w:val="en-AU"/>
        </w:rPr>
        <w:t xml:space="preserve">The respiratory depressant effects of morphine with carbon dioxide retention and secondary elevation of cerebrospinal fluid pressure may be markedly exaggerated in the presence of head injury, other intracranial lesions, or a pre-existing increase in intracranial pressure. </w:t>
      </w:r>
      <w:r w:rsidR="00D06624" w:rsidRPr="000244C1">
        <w:rPr>
          <w:lang w:val="en-AU"/>
        </w:rPr>
        <w:t xml:space="preserve"> </w:t>
      </w:r>
      <w:r w:rsidRPr="000244C1">
        <w:rPr>
          <w:lang w:val="en-AU"/>
        </w:rPr>
        <w:t xml:space="preserve">Morphine produces effects which may obscure neurological signs of further increases in pressure in patients with head injuries. </w:t>
      </w:r>
      <w:r w:rsidR="00D06624" w:rsidRPr="000244C1">
        <w:rPr>
          <w:lang w:val="en-AU"/>
        </w:rPr>
        <w:t xml:space="preserve"> </w:t>
      </w:r>
      <w:r w:rsidRPr="000244C1">
        <w:rPr>
          <w:lang w:val="en-AU"/>
        </w:rPr>
        <w:t>Morphine should only be administered under such circumstances when considered essential and then with extreme caution.</w:t>
      </w:r>
    </w:p>
    <w:p w14:paraId="74732EB1" w14:textId="77777777" w:rsidR="008D5364" w:rsidRPr="000244C1" w:rsidRDefault="008D5364" w:rsidP="008D5364">
      <w:pPr>
        <w:pStyle w:val="C-Heading2non-numbered"/>
        <w:rPr>
          <w:lang w:val="en-AU"/>
        </w:rPr>
      </w:pPr>
      <w:r w:rsidRPr="000244C1">
        <w:rPr>
          <w:lang w:val="en-AU"/>
        </w:rPr>
        <w:t>Hypotensive Effect</w:t>
      </w:r>
    </w:p>
    <w:p w14:paraId="01D32BF3" w14:textId="2B20085C" w:rsidR="008D5364" w:rsidRPr="000244C1" w:rsidRDefault="008D5364" w:rsidP="008D5364">
      <w:pPr>
        <w:pStyle w:val="C-BodyText"/>
        <w:rPr>
          <w:lang w:val="en-AU"/>
        </w:rPr>
      </w:pPr>
      <w:proofErr w:type="spellStart"/>
      <w:r w:rsidRPr="000244C1">
        <w:rPr>
          <w:lang w:val="en-AU"/>
        </w:rPr>
        <w:t>Kapanol</w:t>
      </w:r>
      <w:proofErr w:type="spellEnd"/>
      <w:r w:rsidRPr="000244C1">
        <w:rPr>
          <w:lang w:val="en-AU"/>
        </w:rPr>
        <w:t xml:space="preserve">, like all opioid analgesics, may cause severe hypotension in an individual whose ability to maintain blood pressure has already been compromised by a reduced blood volume, or a concurrent administration of drugs such as </w:t>
      </w:r>
      <w:proofErr w:type="spellStart"/>
      <w:r w:rsidRPr="000244C1">
        <w:rPr>
          <w:lang w:val="en-AU"/>
        </w:rPr>
        <w:t>phenothi</w:t>
      </w:r>
      <w:r w:rsidR="000923C0" w:rsidRPr="000244C1">
        <w:rPr>
          <w:lang w:val="en-AU"/>
        </w:rPr>
        <w:t>azines</w:t>
      </w:r>
      <w:proofErr w:type="spellEnd"/>
      <w:r w:rsidR="000923C0" w:rsidRPr="000244C1">
        <w:rPr>
          <w:lang w:val="en-AU"/>
        </w:rPr>
        <w:t xml:space="preserve"> or general anaesthetics (see Section 4.5 Interactions with Other Medicines and Other Forms of Interactions)</w:t>
      </w:r>
      <w:r w:rsidR="00307C1C" w:rsidRPr="000244C1">
        <w:rPr>
          <w:lang w:val="en-AU"/>
        </w:rPr>
        <w:t>.</w:t>
      </w:r>
      <w:r w:rsidRPr="000244C1">
        <w:rPr>
          <w:lang w:val="en-AU"/>
        </w:rPr>
        <w:t xml:space="preserve"> </w:t>
      </w:r>
      <w:proofErr w:type="spellStart"/>
      <w:r w:rsidRPr="000244C1">
        <w:rPr>
          <w:lang w:val="en-AU"/>
        </w:rPr>
        <w:t>Kapanol</w:t>
      </w:r>
      <w:proofErr w:type="spellEnd"/>
      <w:r w:rsidRPr="000244C1">
        <w:rPr>
          <w:lang w:val="en-AU"/>
        </w:rPr>
        <w:t xml:space="preserve"> may produce orthostatic hypotension in ambulatory patients.</w:t>
      </w:r>
    </w:p>
    <w:p w14:paraId="1D49AF45" w14:textId="77777777" w:rsidR="008D5364" w:rsidRPr="000244C1" w:rsidRDefault="008D5364" w:rsidP="008D5364">
      <w:pPr>
        <w:pStyle w:val="C-BodyText"/>
        <w:rPr>
          <w:lang w:val="en-AU"/>
        </w:rPr>
      </w:pPr>
      <w:proofErr w:type="spellStart"/>
      <w:r w:rsidRPr="000244C1">
        <w:rPr>
          <w:lang w:val="en-AU"/>
        </w:rPr>
        <w:t>Kapanol</w:t>
      </w:r>
      <w:proofErr w:type="spellEnd"/>
      <w:r w:rsidRPr="000244C1">
        <w:rPr>
          <w:lang w:val="en-AU"/>
        </w:rPr>
        <w:t>, like all opioid analgesics, should be administered with caution to patients in circulatory shock, as vasodilation produced by the drug may further reduce cardiac output and blood pressure.</w:t>
      </w:r>
    </w:p>
    <w:p w14:paraId="2ED5A111" w14:textId="77777777" w:rsidR="008D5364" w:rsidRPr="000244C1" w:rsidRDefault="008D5364" w:rsidP="008D5364">
      <w:pPr>
        <w:pStyle w:val="C-Heading2non-numbered"/>
        <w:rPr>
          <w:lang w:val="en-AU"/>
        </w:rPr>
      </w:pPr>
      <w:r w:rsidRPr="000244C1">
        <w:rPr>
          <w:lang w:val="en-AU"/>
        </w:rPr>
        <w:t>Gastrointestinal Motility</w:t>
      </w:r>
    </w:p>
    <w:p w14:paraId="5490E017" w14:textId="77777777" w:rsidR="008D5364" w:rsidRPr="000244C1" w:rsidRDefault="008D5364" w:rsidP="008D5364">
      <w:pPr>
        <w:pStyle w:val="C-BodyText"/>
        <w:rPr>
          <w:lang w:val="en-AU"/>
        </w:rPr>
      </w:pPr>
      <w:proofErr w:type="spellStart"/>
      <w:r w:rsidRPr="000244C1">
        <w:rPr>
          <w:lang w:val="en-AU"/>
        </w:rPr>
        <w:t>Kapanol</w:t>
      </w:r>
      <w:proofErr w:type="spellEnd"/>
      <w:r w:rsidRPr="000244C1">
        <w:rPr>
          <w:lang w:val="en-AU"/>
        </w:rPr>
        <w:t xml:space="preserve"> should not be given to patients with gastrointestinal obstruction particularly paralytic ileus as there is a risk of the product remaining in the stomach for an extended period and the subsequent release of a bolus of morphine when normal gut motility is restored.</w:t>
      </w:r>
    </w:p>
    <w:p w14:paraId="54F1C72B" w14:textId="197BCB29" w:rsidR="008D5364" w:rsidRPr="000244C1" w:rsidRDefault="008D5364" w:rsidP="008D5364">
      <w:pPr>
        <w:pStyle w:val="C-BodyText"/>
        <w:rPr>
          <w:lang w:val="en-AU"/>
        </w:rPr>
      </w:pPr>
      <w:r w:rsidRPr="000244C1">
        <w:rPr>
          <w:lang w:val="en-AU"/>
        </w:rPr>
        <w:t>As with any other oral dose morphine formulation, diarrhoea may reduce morphine absorption.</w:t>
      </w:r>
    </w:p>
    <w:p w14:paraId="5383B241" w14:textId="77777777" w:rsidR="00524D42" w:rsidRPr="000244C1" w:rsidRDefault="00524D42" w:rsidP="00561A58">
      <w:pPr>
        <w:pStyle w:val="C-Heading2non-numbered"/>
        <w:rPr>
          <w:lang w:val="en-AU" w:eastAsia="en-AU"/>
        </w:rPr>
      </w:pPr>
      <w:r w:rsidRPr="000244C1">
        <w:rPr>
          <w:lang w:val="en-AU" w:eastAsia="en-AU"/>
        </w:rPr>
        <w:t xml:space="preserve">CNS Depressants </w:t>
      </w:r>
    </w:p>
    <w:p w14:paraId="3D2DA336" w14:textId="7E5A3B61" w:rsidR="00524D42" w:rsidRPr="000244C1" w:rsidRDefault="00524D42" w:rsidP="009A060E">
      <w:pPr>
        <w:pStyle w:val="C-BodyText"/>
        <w:rPr>
          <w:lang w:val="en-AU"/>
        </w:rPr>
      </w:pPr>
      <w:r w:rsidRPr="000244C1">
        <w:rPr>
          <w:lang w:val="en-AU" w:eastAsia="en-AU"/>
        </w:rPr>
        <w:t>Concomitant use of opioids with benzodiazepines or other central nervous system (CNS) depressants, including alcohol, may result in profound sedation, respiratory depression, coma, and death.</w:t>
      </w:r>
    </w:p>
    <w:p w14:paraId="5A729D47" w14:textId="77777777" w:rsidR="008D5364" w:rsidRPr="000244C1" w:rsidRDefault="008D5364" w:rsidP="008D5364">
      <w:pPr>
        <w:pStyle w:val="C-Heading2non-numbered"/>
        <w:rPr>
          <w:lang w:val="en-AU"/>
        </w:rPr>
      </w:pPr>
      <w:r w:rsidRPr="000244C1">
        <w:rPr>
          <w:lang w:val="en-AU"/>
        </w:rPr>
        <w:lastRenderedPageBreak/>
        <w:t>Drug Dependence</w:t>
      </w:r>
    </w:p>
    <w:p w14:paraId="7A0892C4" w14:textId="1DE23D0F" w:rsidR="008D5364" w:rsidRPr="000244C1" w:rsidRDefault="008D5364" w:rsidP="008D5364">
      <w:pPr>
        <w:pStyle w:val="C-BodyText"/>
        <w:rPr>
          <w:lang w:val="en-AU"/>
        </w:rPr>
      </w:pPr>
      <w:proofErr w:type="spellStart"/>
      <w:r w:rsidRPr="000244C1">
        <w:rPr>
          <w:lang w:val="en-AU"/>
        </w:rPr>
        <w:t>Kapanol</w:t>
      </w:r>
      <w:proofErr w:type="spellEnd"/>
      <w:r w:rsidRPr="000244C1">
        <w:rPr>
          <w:lang w:val="en-AU"/>
        </w:rPr>
        <w:t xml:space="preserve">, like all morphine preparations, has a potential for physical and psychological dependence.  </w:t>
      </w:r>
      <w:bookmarkStart w:id="5" w:name="_Hlk530562258"/>
      <w:r w:rsidRPr="000244C1">
        <w:rPr>
          <w:lang w:val="en-AU"/>
        </w:rPr>
        <w:t xml:space="preserve">However, this is not a prime concern in the management of terminally ill patients or patients in severe pain. </w:t>
      </w:r>
      <w:r w:rsidR="00D06624" w:rsidRPr="000244C1">
        <w:rPr>
          <w:lang w:val="en-AU"/>
        </w:rPr>
        <w:t xml:space="preserve"> </w:t>
      </w:r>
      <w:bookmarkEnd w:id="5"/>
      <w:r w:rsidRPr="000244C1">
        <w:rPr>
          <w:lang w:val="en-AU"/>
        </w:rPr>
        <w:t xml:space="preserve">Abrupt cessation or a sudden reduction in dose after prolonged use may result in </w:t>
      </w:r>
      <w:r w:rsidR="00AE106A" w:rsidRPr="000244C1">
        <w:rPr>
          <w:lang w:val="en-AU"/>
        </w:rPr>
        <w:t xml:space="preserve">physical </w:t>
      </w:r>
      <w:r w:rsidRPr="000244C1">
        <w:rPr>
          <w:lang w:val="en-AU"/>
        </w:rPr>
        <w:t>withdrawal symptoms.</w:t>
      </w:r>
      <w:r w:rsidR="00D06624" w:rsidRPr="000244C1">
        <w:rPr>
          <w:lang w:val="en-AU"/>
        </w:rPr>
        <w:t xml:space="preserve"> </w:t>
      </w:r>
      <w:r w:rsidRPr="000244C1">
        <w:rPr>
          <w:lang w:val="en-AU"/>
        </w:rPr>
        <w:t xml:space="preserve"> If withdrawal is necessary it </w:t>
      </w:r>
      <w:r w:rsidR="004C5621" w:rsidRPr="000244C1">
        <w:rPr>
          <w:lang w:val="en-AU"/>
        </w:rPr>
        <w:t>should if possible</w:t>
      </w:r>
      <w:r w:rsidRPr="000244C1">
        <w:rPr>
          <w:lang w:val="en-AU"/>
        </w:rPr>
        <w:t xml:space="preserve"> be undertaken gradually.</w:t>
      </w:r>
    </w:p>
    <w:p w14:paraId="62045F51" w14:textId="2498182E" w:rsidR="004A6583" w:rsidRPr="000244C1" w:rsidRDefault="004A6583" w:rsidP="004A6583">
      <w:pPr>
        <w:pStyle w:val="C-BodyText"/>
        <w:rPr>
          <w:lang w:val="en-AU"/>
        </w:rPr>
      </w:pPr>
      <w:bookmarkStart w:id="6" w:name="_Hlk530562209"/>
      <w:r w:rsidRPr="000244C1">
        <w:rPr>
          <w:lang w:val="en-AU"/>
        </w:rPr>
        <w:t>When treating patients with chronic breathlessness, opiate withdrawal symptoms have been reported after 2 weeks of treatment. Care should be taken during cessation and patients advised regarding the symptoms of opiate withdrawal.</w:t>
      </w:r>
    </w:p>
    <w:bookmarkEnd w:id="6"/>
    <w:p w14:paraId="35F37193" w14:textId="1CF899C6" w:rsidR="008D5364" w:rsidRPr="000244C1" w:rsidRDefault="008D5364" w:rsidP="008D5364">
      <w:pPr>
        <w:pStyle w:val="C-BodyText"/>
        <w:rPr>
          <w:lang w:val="en-AU"/>
        </w:rPr>
      </w:pPr>
      <w:r w:rsidRPr="000244C1">
        <w:rPr>
          <w:lang w:val="en-AU"/>
        </w:rPr>
        <w:t xml:space="preserve">Infants born to mothers who are physically dependent on opioid analgesics may also be physically dependent and may exhibit withdrawal symptoms.  These infants may have respiratory depression at birth (see </w:t>
      </w:r>
      <w:r w:rsidR="000923C0" w:rsidRPr="000244C1">
        <w:rPr>
          <w:lang w:val="en-AU"/>
        </w:rPr>
        <w:t>Section 4.4 Special Warning</w:t>
      </w:r>
      <w:r w:rsidR="009A3A3C">
        <w:rPr>
          <w:lang w:val="en-AU"/>
        </w:rPr>
        <w:t>s</w:t>
      </w:r>
      <w:r w:rsidR="000923C0" w:rsidRPr="000244C1">
        <w:rPr>
          <w:lang w:val="en-AU"/>
        </w:rPr>
        <w:t xml:space="preserve"> and Precautions for Use</w:t>
      </w:r>
      <w:r w:rsidR="00DA20B6" w:rsidRPr="000244C1">
        <w:rPr>
          <w:lang w:val="en-AU"/>
        </w:rPr>
        <w:t>).</w:t>
      </w:r>
    </w:p>
    <w:p w14:paraId="5758DE5B" w14:textId="77777777" w:rsidR="008D5364" w:rsidRPr="000244C1" w:rsidRDefault="008D5364" w:rsidP="008D5364">
      <w:pPr>
        <w:pStyle w:val="C-Heading2non-numbered"/>
        <w:rPr>
          <w:lang w:val="en-AU"/>
        </w:rPr>
      </w:pPr>
      <w:r w:rsidRPr="000244C1">
        <w:rPr>
          <w:lang w:val="en-AU"/>
        </w:rPr>
        <w:t>Tolerance</w:t>
      </w:r>
    </w:p>
    <w:p w14:paraId="07572D9E" w14:textId="4FA2CC66" w:rsidR="008D5364" w:rsidRPr="000244C1" w:rsidRDefault="008D5364" w:rsidP="008D5364">
      <w:pPr>
        <w:pStyle w:val="C-BodyText"/>
        <w:rPr>
          <w:lang w:val="en-AU"/>
        </w:rPr>
      </w:pPr>
      <w:r w:rsidRPr="000244C1">
        <w:rPr>
          <w:lang w:val="en-AU"/>
        </w:rPr>
        <w:t xml:space="preserve">As with other morphine preparations, tolerance may develop upon repeated administration of </w:t>
      </w:r>
      <w:proofErr w:type="spellStart"/>
      <w:r w:rsidRPr="000244C1">
        <w:rPr>
          <w:lang w:val="en-AU"/>
        </w:rPr>
        <w:t>Kapanol</w:t>
      </w:r>
      <w:proofErr w:type="spellEnd"/>
      <w:r w:rsidRPr="000244C1">
        <w:rPr>
          <w:lang w:val="en-AU"/>
        </w:rPr>
        <w:t xml:space="preserve">.  The dose of </w:t>
      </w:r>
      <w:proofErr w:type="spellStart"/>
      <w:r w:rsidRPr="000244C1">
        <w:rPr>
          <w:lang w:val="en-AU"/>
        </w:rPr>
        <w:t>Kapanol</w:t>
      </w:r>
      <w:proofErr w:type="spellEnd"/>
      <w:r w:rsidRPr="000244C1">
        <w:rPr>
          <w:lang w:val="en-AU"/>
        </w:rPr>
        <w:t xml:space="preserve"> may need to be increased to maintain adequate pain relief (see </w:t>
      </w:r>
      <w:r w:rsidR="000923C0" w:rsidRPr="000244C1">
        <w:rPr>
          <w:lang w:val="en-AU"/>
        </w:rPr>
        <w:t>Section 4.2 Dos</w:t>
      </w:r>
      <w:r w:rsidR="00F25D5D" w:rsidRPr="000244C1">
        <w:rPr>
          <w:lang w:val="en-AU"/>
        </w:rPr>
        <w:t>e</w:t>
      </w:r>
      <w:r w:rsidR="000923C0" w:rsidRPr="000244C1">
        <w:rPr>
          <w:lang w:val="en-AU"/>
        </w:rPr>
        <w:t xml:space="preserve"> and Method of Administration</w:t>
      </w:r>
      <w:r w:rsidRPr="000244C1">
        <w:rPr>
          <w:lang w:val="en-AU"/>
        </w:rPr>
        <w:t xml:space="preserve">). </w:t>
      </w:r>
    </w:p>
    <w:p w14:paraId="6C478967" w14:textId="2C4725E4" w:rsidR="00641937" w:rsidRPr="000244C1" w:rsidRDefault="00641937" w:rsidP="008D5364">
      <w:pPr>
        <w:pStyle w:val="C-BodyText"/>
        <w:rPr>
          <w:lang w:val="en-AU"/>
        </w:rPr>
      </w:pPr>
      <w:r w:rsidRPr="000244C1">
        <w:rPr>
          <w:lang w:val="en-AU"/>
        </w:rPr>
        <w:t xml:space="preserve">Tolerance has not been reported when </w:t>
      </w:r>
      <w:r w:rsidR="009A0B9D" w:rsidRPr="000244C1">
        <w:rPr>
          <w:lang w:val="en-AU"/>
        </w:rPr>
        <w:t xml:space="preserve">regular, </w:t>
      </w:r>
      <w:r w:rsidRPr="000244C1">
        <w:rPr>
          <w:lang w:val="en-AU"/>
        </w:rPr>
        <w:t xml:space="preserve">low dose </w:t>
      </w:r>
      <w:proofErr w:type="spellStart"/>
      <w:r w:rsidRPr="000244C1">
        <w:rPr>
          <w:lang w:val="en-AU"/>
        </w:rPr>
        <w:t>Kapanol</w:t>
      </w:r>
      <w:proofErr w:type="spellEnd"/>
      <w:r w:rsidRPr="000244C1">
        <w:rPr>
          <w:lang w:val="en-AU"/>
        </w:rPr>
        <w:t xml:space="preserve"> is used to re</w:t>
      </w:r>
      <w:r w:rsidR="004C5621" w:rsidRPr="000244C1">
        <w:rPr>
          <w:lang w:val="en-AU"/>
        </w:rPr>
        <w:t>duce</w:t>
      </w:r>
      <w:r w:rsidRPr="000244C1">
        <w:rPr>
          <w:lang w:val="en-AU"/>
        </w:rPr>
        <w:t xml:space="preserve"> chronic breathlessness. </w:t>
      </w:r>
    </w:p>
    <w:p w14:paraId="1E5EF9F3" w14:textId="739C9D0A" w:rsidR="008D5364" w:rsidRPr="000244C1" w:rsidRDefault="008D5364" w:rsidP="008D5364">
      <w:pPr>
        <w:pStyle w:val="C-Heading2non-numbered"/>
        <w:rPr>
          <w:lang w:val="en-AU"/>
        </w:rPr>
      </w:pPr>
      <w:r w:rsidRPr="000244C1">
        <w:rPr>
          <w:lang w:val="en-AU"/>
        </w:rPr>
        <w:t>General Precautions</w:t>
      </w:r>
    </w:p>
    <w:p w14:paraId="3CA7B3A6" w14:textId="4CC91758" w:rsidR="008D5364" w:rsidRPr="000244C1" w:rsidRDefault="008D5364" w:rsidP="008D5364">
      <w:pPr>
        <w:pStyle w:val="C-BodyText"/>
        <w:rPr>
          <w:lang w:val="en-AU"/>
        </w:rPr>
      </w:pPr>
      <w:proofErr w:type="spellStart"/>
      <w:r w:rsidRPr="000244C1">
        <w:rPr>
          <w:lang w:val="en-AU"/>
        </w:rPr>
        <w:t>Kapanol</w:t>
      </w:r>
      <w:proofErr w:type="spellEnd"/>
      <w:r w:rsidRPr="000244C1">
        <w:rPr>
          <w:lang w:val="en-AU"/>
        </w:rPr>
        <w:t xml:space="preserve"> is intended for use in patients who require more than several days continuous t</w:t>
      </w:r>
      <w:r w:rsidR="00DA20B6" w:rsidRPr="000244C1">
        <w:rPr>
          <w:lang w:val="en-AU"/>
        </w:rPr>
        <w:t>reatment with a potent opioid.</w:t>
      </w:r>
    </w:p>
    <w:p w14:paraId="08A3AF04" w14:textId="0CADEB32" w:rsidR="008D5364" w:rsidRPr="000244C1" w:rsidRDefault="008D5364" w:rsidP="008D5364">
      <w:pPr>
        <w:pStyle w:val="C-BodyText"/>
        <w:rPr>
          <w:lang w:val="en-AU"/>
        </w:rPr>
      </w:pPr>
      <w:r w:rsidRPr="000244C1">
        <w:rPr>
          <w:lang w:val="en-AU"/>
        </w:rPr>
        <w:t xml:space="preserve">As with any potent opioid, it is critical to adjust the dosing regimen of </w:t>
      </w:r>
      <w:proofErr w:type="spellStart"/>
      <w:r w:rsidRPr="000244C1">
        <w:rPr>
          <w:lang w:val="en-AU"/>
        </w:rPr>
        <w:t>Kapanol</w:t>
      </w:r>
      <w:proofErr w:type="spellEnd"/>
      <w:r w:rsidRPr="000244C1">
        <w:rPr>
          <w:lang w:val="en-AU"/>
        </w:rPr>
        <w:t xml:space="preserve"> for each patient individually, taking into account the patient's prior treatment experience.  Although it is clearly impossible to enumerate every consideration that is important to the selection of the initial dose of </w:t>
      </w:r>
      <w:proofErr w:type="spellStart"/>
      <w:r w:rsidRPr="000244C1">
        <w:rPr>
          <w:lang w:val="en-AU"/>
        </w:rPr>
        <w:t>Kapanol</w:t>
      </w:r>
      <w:proofErr w:type="spellEnd"/>
      <w:r w:rsidRPr="000244C1">
        <w:rPr>
          <w:lang w:val="en-AU"/>
        </w:rPr>
        <w:t xml:space="preserve">, attention should be given to the points listed under </w:t>
      </w:r>
      <w:r w:rsidR="000923C0" w:rsidRPr="000244C1">
        <w:rPr>
          <w:lang w:val="en-AU"/>
        </w:rPr>
        <w:t>Section 4.2 Dos</w:t>
      </w:r>
      <w:r w:rsidR="000244C1" w:rsidRPr="000244C1">
        <w:rPr>
          <w:lang w:val="en-AU"/>
        </w:rPr>
        <w:t>e</w:t>
      </w:r>
      <w:r w:rsidR="000923C0" w:rsidRPr="000244C1">
        <w:rPr>
          <w:lang w:val="en-AU"/>
        </w:rPr>
        <w:t xml:space="preserve"> and Method of Administration</w:t>
      </w:r>
      <w:r w:rsidRPr="000244C1">
        <w:rPr>
          <w:lang w:val="en-AU"/>
        </w:rPr>
        <w:t>.</w:t>
      </w:r>
    </w:p>
    <w:p w14:paraId="0A7DD96A" w14:textId="77777777" w:rsidR="008D5364" w:rsidRPr="000244C1" w:rsidRDefault="008D5364" w:rsidP="008D5364">
      <w:pPr>
        <w:pStyle w:val="C-Heading2non-numbered"/>
        <w:rPr>
          <w:lang w:val="en-AU"/>
        </w:rPr>
      </w:pPr>
      <w:r w:rsidRPr="000244C1">
        <w:rPr>
          <w:lang w:val="en-AU"/>
        </w:rPr>
        <w:t>Use in Chronic, Non-cancer Pain</w:t>
      </w:r>
    </w:p>
    <w:p w14:paraId="190A6A63" w14:textId="77777777" w:rsidR="008D5364" w:rsidRPr="000244C1" w:rsidRDefault="008D5364" w:rsidP="008D5364">
      <w:pPr>
        <w:pStyle w:val="C-BodyText"/>
        <w:rPr>
          <w:lang w:val="en-AU"/>
        </w:rPr>
      </w:pPr>
      <w:r w:rsidRPr="000244C1">
        <w:rPr>
          <w:lang w:val="en-AU"/>
        </w:rPr>
        <w:t xml:space="preserve">The use of </w:t>
      </w:r>
      <w:proofErr w:type="spellStart"/>
      <w:r w:rsidRPr="000244C1">
        <w:rPr>
          <w:lang w:val="en-AU"/>
        </w:rPr>
        <w:t>Kapanol</w:t>
      </w:r>
      <w:proofErr w:type="spellEnd"/>
      <w:r w:rsidRPr="000244C1">
        <w:rPr>
          <w:lang w:val="en-AU"/>
        </w:rPr>
        <w:t xml:space="preserve"> for the relief of chronic pain which is not due to cancer should be restricted to situations where:</w:t>
      </w:r>
    </w:p>
    <w:p w14:paraId="3FA01841" w14:textId="77777777" w:rsidR="008D5364" w:rsidRPr="000244C1" w:rsidRDefault="008D5364" w:rsidP="008D5364">
      <w:pPr>
        <w:pStyle w:val="C-Bullet"/>
        <w:rPr>
          <w:lang w:val="en-AU"/>
        </w:rPr>
      </w:pPr>
      <w:r w:rsidRPr="000244C1">
        <w:rPr>
          <w:lang w:val="en-AU"/>
        </w:rPr>
        <w:t>all other more conservative methods of analgesia (i.e. non-opioid) have failed, and</w:t>
      </w:r>
    </w:p>
    <w:p w14:paraId="7BCF499B" w14:textId="77777777" w:rsidR="008D5364" w:rsidRPr="000244C1" w:rsidRDefault="008D5364" w:rsidP="008D5364">
      <w:pPr>
        <w:pStyle w:val="C-Bullet"/>
        <w:rPr>
          <w:lang w:val="en-AU"/>
        </w:rPr>
      </w:pPr>
      <w:r w:rsidRPr="000244C1">
        <w:rPr>
          <w:lang w:val="en-AU"/>
        </w:rPr>
        <w:t>the pain is having a significant impact on the patient’s quality of life, and</w:t>
      </w:r>
    </w:p>
    <w:p w14:paraId="5A47B0E6" w14:textId="1A998537" w:rsidR="008D5364" w:rsidRPr="000244C1" w:rsidRDefault="008D5364" w:rsidP="008D5364">
      <w:pPr>
        <w:pStyle w:val="C-Bullet"/>
        <w:rPr>
          <w:lang w:val="en-AU"/>
        </w:rPr>
      </w:pPr>
      <w:proofErr w:type="gramStart"/>
      <w:r w:rsidRPr="000244C1">
        <w:rPr>
          <w:lang w:val="en-AU"/>
        </w:rPr>
        <w:t>there</w:t>
      </w:r>
      <w:proofErr w:type="gramEnd"/>
      <w:r w:rsidRPr="000244C1">
        <w:rPr>
          <w:lang w:val="en-AU"/>
        </w:rPr>
        <w:t xml:space="preserve"> is no psychiatric contraindication or history of drug abuse</w:t>
      </w:r>
      <w:r w:rsidR="0090635E" w:rsidRPr="000244C1">
        <w:rPr>
          <w:lang w:val="en-AU"/>
        </w:rPr>
        <w:t>.</w:t>
      </w:r>
    </w:p>
    <w:p w14:paraId="0B5A4F7C" w14:textId="77777777" w:rsidR="008D5364" w:rsidRPr="000244C1" w:rsidRDefault="008D5364" w:rsidP="008D5364">
      <w:pPr>
        <w:pStyle w:val="C-BodyText"/>
        <w:rPr>
          <w:lang w:val="en-AU"/>
        </w:rPr>
      </w:pPr>
      <w:r w:rsidRPr="000244C1">
        <w:rPr>
          <w:lang w:val="en-AU"/>
        </w:rPr>
        <w:t xml:space="preserve">Prior to long-term prescription, a trial of </w:t>
      </w:r>
      <w:proofErr w:type="spellStart"/>
      <w:r w:rsidRPr="000244C1">
        <w:rPr>
          <w:lang w:val="en-AU"/>
        </w:rPr>
        <w:t>Kapanol</w:t>
      </w:r>
      <w:proofErr w:type="spellEnd"/>
      <w:r w:rsidRPr="000244C1">
        <w:rPr>
          <w:lang w:val="en-AU"/>
        </w:rPr>
        <w:t xml:space="preserve"> or shorter acting opioid should be undertaken.  Long-term administration of </w:t>
      </w:r>
      <w:proofErr w:type="spellStart"/>
      <w:r w:rsidRPr="000244C1">
        <w:rPr>
          <w:lang w:val="en-AU"/>
        </w:rPr>
        <w:t>Kapanol</w:t>
      </w:r>
      <w:proofErr w:type="spellEnd"/>
      <w:r w:rsidRPr="000244C1">
        <w:rPr>
          <w:lang w:val="en-AU"/>
        </w:rPr>
        <w:t xml:space="preserve"> should only be considered if this trial shows the pain is opioid responsive.  Long-term therapy is generally considered inappropriate for opioid naïve patients who require rapid dose escalation with no concomitant pain relief during the trial period.</w:t>
      </w:r>
    </w:p>
    <w:p w14:paraId="22A7F90D" w14:textId="77777777" w:rsidR="008D5364" w:rsidRPr="000244C1" w:rsidRDefault="008D5364" w:rsidP="008D5364">
      <w:pPr>
        <w:pStyle w:val="C-BodyText"/>
        <w:rPr>
          <w:lang w:val="en-AU"/>
        </w:rPr>
      </w:pPr>
      <w:r w:rsidRPr="000244C1">
        <w:rPr>
          <w:lang w:val="en-AU"/>
        </w:rPr>
        <w:lastRenderedPageBreak/>
        <w:t>The prescription and monitoring of the patient’s opioid use should be the responsibility of one doctor only.</w:t>
      </w:r>
    </w:p>
    <w:p w14:paraId="210A399F" w14:textId="303C7046" w:rsidR="008D5364" w:rsidRPr="000244C1" w:rsidRDefault="008D5364" w:rsidP="008D5364">
      <w:pPr>
        <w:pStyle w:val="C-BodyText"/>
        <w:rPr>
          <w:lang w:val="en-AU"/>
        </w:rPr>
      </w:pPr>
      <w:r w:rsidRPr="000244C1">
        <w:rPr>
          <w:lang w:val="en-AU"/>
        </w:rPr>
        <w:t>The prescriber should consult appropriate clinical guidelines on the use of opioid analgesics in patients with chronic, non-cancer pain.</w:t>
      </w:r>
    </w:p>
    <w:p w14:paraId="57DEFC59" w14:textId="77777777" w:rsidR="00EC49E8" w:rsidRPr="000244C1" w:rsidRDefault="00EC49E8" w:rsidP="00561A58">
      <w:pPr>
        <w:pStyle w:val="C-Heading2non-numbered"/>
        <w:rPr>
          <w:lang w:val="en-AU" w:eastAsia="en-AU"/>
        </w:rPr>
      </w:pPr>
      <w:r w:rsidRPr="000244C1">
        <w:rPr>
          <w:lang w:val="en-AU" w:eastAsia="en-AU"/>
        </w:rPr>
        <w:t xml:space="preserve">Palliative Use in Chronic Breathlessness </w:t>
      </w:r>
    </w:p>
    <w:p w14:paraId="2083B641" w14:textId="40856452" w:rsidR="00EC49E8" w:rsidRPr="000244C1" w:rsidRDefault="00EC49E8" w:rsidP="00561A58">
      <w:pPr>
        <w:pStyle w:val="C-BodyText"/>
        <w:rPr>
          <w:lang w:val="en-AU" w:eastAsia="en-AU"/>
        </w:rPr>
      </w:pPr>
      <w:r w:rsidRPr="000244C1">
        <w:rPr>
          <w:lang w:val="en-AU" w:eastAsia="en-AU"/>
        </w:rPr>
        <w:t xml:space="preserve">The use of </w:t>
      </w:r>
      <w:proofErr w:type="spellStart"/>
      <w:r w:rsidRPr="000244C1">
        <w:rPr>
          <w:lang w:val="en-AU" w:eastAsia="en-AU"/>
        </w:rPr>
        <w:t>Kapanol</w:t>
      </w:r>
      <w:proofErr w:type="spellEnd"/>
      <w:r w:rsidRPr="000244C1">
        <w:rPr>
          <w:lang w:val="en-AU" w:eastAsia="en-AU"/>
        </w:rPr>
        <w:t xml:space="preserve"> for the re</w:t>
      </w:r>
      <w:r w:rsidR="004C5621" w:rsidRPr="000244C1">
        <w:rPr>
          <w:lang w:val="en-AU" w:eastAsia="en-AU"/>
        </w:rPr>
        <w:t>duction</w:t>
      </w:r>
      <w:r w:rsidRPr="000244C1">
        <w:rPr>
          <w:lang w:val="en-AU" w:eastAsia="en-AU"/>
        </w:rPr>
        <w:t xml:space="preserve"> of chronic breathlessness should be restricted to situations where: </w:t>
      </w:r>
    </w:p>
    <w:p w14:paraId="77F39FDF" w14:textId="6BA9306B" w:rsidR="00EC49E8" w:rsidRPr="000244C1" w:rsidRDefault="00EC49E8" w:rsidP="00561A58">
      <w:pPr>
        <w:pStyle w:val="C-Bullet"/>
        <w:rPr>
          <w:lang w:val="en-AU" w:eastAsia="en-AU"/>
        </w:rPr>
      </w:pPr>
      <w:r w:rsidRPr="000244C1">
        <w:rPr>
          <w:lang w:val="en-AU" w:eastAsia="en-AU"/>
        </w:rPr>
        <w:t xml:space="preserve">the approved treatments for the underlying cause(s) of the breathlessness and non-pharmacological measures are not effective, and </w:t>
      </w:r>
    </w:p>
    <w:p w14:paraId="58491A0F" w14:textId="5316171E" w:rsidR="00EC49E8" w:rsidRPr="000244C1" w:rsidRDefault="00EC49E8" w:rsidP="00561A58">
      <w:pPr>
        <w:pStyle w:val="C-Bullet"/>
        <w:rPr>
          <w:lang w:val="en-AU" w:eastAsia="en-AU"/>
        </w:rPr>
      </w:pPr>
      <w:r w:rsidRPr="000244C1">
        <w:rPr>
          <w:lang w:val="en-AU" w:eastAsia="en-AU"/>
        </w:rPr>
        <w:t>review by a respiratory, palliative care or other appropriate specialist has confirmed that treatment of the underlying cause(s) is optimal</w:t>
      </w:r>
      <w:r w:rsidR="00AE106A" w:rsidRPr="000244C1">
        <w:rPr>
          <w:lang w:val="en-AU" w:eastAsia="en-AU"/>
        </w:rPr>
        <w:t>,</w:t>
      </w:r>
      <w:r w:rsidRPr="000244C1">
        <w:rPr>
          <w:lang w:val="en-AU" w:eastAsia="en-AU"/>
        </w:rPr>
        <w:t xml:space="preserve"> and </w:t>
      </w:r>
    </w:p>
    <w:p w14:paraId="07798898" w14:textId="0D5684C4" w:rsidR="00EC49E8" w:rsidRPr="000244C1" w:rsidRDefault="00EC49E8" w:rsidP="00561A58">
      <w:pPr>
        <w:pStyle w:val="C-Bullet"/>
        <w:rPr>
          <w:lang w:val="en-AU" w:eastAsia="en-AU"/>
        </w:rPr>
      </w:pPr>
      <w:r w:rsidRPr="000244C1">
        <w:rPr>
          <w:lang w:val="en-AU" w:eastAsia="en-AU"/>
        </w:rPr>
        <w:t xml:space="preserve">the breathlessness is having a significant impact on the patient’s quality of life, and the patient has been informed of the potential risks, and </w:t>
      </w:r>
    </w:p>
    <w:p w14:paraId="5C79EC35" w14:textId="019F04B5" w:rsidR="00EC49E8" w:rsidRPr="000244C1" w:rsidRDefault="00EC49E8" w:rsidP="00561A58">
      <w:pPr>
        <w:pStyle w:val="C-Bullet"/>
        <w:rPr>
          <w:lang w:val="en-AU" w:eastAsia="en-AU"/>
        </w:rPr>
      </w:pPr>
      <w:r w:rsidRPr="000244C1">
        <w:rPr>
          <w:lang w:val="en-AU" w:eastAsia="en-AU"/>
        </w:rPr>
        <w:t xml:space="preserve">there is no psychiatric contraindication or history of drug abuse </w:t>
      </w:r>
    </w:p>
    <w:p w14:paraId="75661E4F" w14:textId="26A352F7" w:rsidR="00EC49E8" w:rsidRPr="000244C1" w:rsidRDefault="00EC49E8" w:rsidP="009A060E">
      <w:pPr>
        <w:pStyle w:val="C-BodyText"/>
        <w:rPr>
          <w:lang w:val="en-AU"/>
        </w:rPr>
      </w:pPr>
      <w:r w:rsidRPr="000244C1">
        <w:rPr>
          <w:lang w:val="en-AU" w:eastAsia="en-AU"/>
        </w:rPr>
        <w:t xml:space="preserve">The prescriber should be knowledgeable in the use of </w:t>
      </w:r>
      <w:proofErr w:type="spellStart"/>
      <w:r w:rsidRPr="000244C1">
        <w:rPr>
          <w:lang w:val="en-AU" w:eastAsia="en-AU"/>
        </w:rPr>
        <w:t>Kapanol</w:t>
      </w:r>
      <w:proofErr w:type="spellEnd"/>
      <w:r w:rsidRPr="000244C1">
        <w:rPr>
          <w:lang w:val="en-AU" w:eastAsia="en-AU"/>
        </w:rPr>
        <w:t xml:space="preserve"> for this indication and should consult appropriate clinical guidelines on the use of opioids for the symptomatic reduction of chronic breathlessness in palliative care.</w:t>
      </w:r>
      <w:r w:rsidR="004C5621" w:rsidRPr="000244C1">
        <w:rPr>
          <w:lang w:val="en-AU" w:eastAsia="en-AU"/>
        </w:rPr>
        <w:t xml:space="preserve"> The prescription and monitoring </w:t>
      </w:r>
      <w:r w:rsidR="00080923" w:rsidRPr="000244C1">
        <w:rPr>
          <w:lang w:val="en-AU" w:eastAsia="en-AU"/>
        </w:rPr>
        <w:t xml:space="preserve">of the patient’s opioid use should be the responsibility of one doctor only. </w:t>
      </w:r>
    </w:p>
    <w:p w14:paraId="205150B2" w14:textId="77777777" w:rsidR="008D5364" w:rsidRPr="000244C1" w:rsidRDefault="008D5364" w:rsidP="008D5364">
      <w:pPr>
        <w:pStyle w:val="C-Heading2non-numbered"/>
        <w:rPr>
          <w:lang w:val="en-AU"/>
        </w:rPr>
      </w:pPr>
      <w:proofErr w:type="spellStart"/>
      <w:r w:rsidRPr="000244C1">
        <w:rPr>
          <w:lang w:val="en-AU"/>
        </w:rPr>
        <w:t>Cordotomy</w:t>
      </w:r>
      <w:proofErr w:type="spellEnd"/>
    </w:p>
    <w:p w14:paraId="6A917E86" w14:textId="77777777" w:rsidR="008D5364" w:rsidRPr="000244C1" w:rsidRDefault="008D5364" w:rsidP="008D5364">
      <w:pPr>
        <w:pStyle w:val="C-BodyText"/>
        <w:rPr>
          <w:lang w:val="en-AU"/>
        </w:rPr>
      </w:pPr>
      <w:r w:rsidRPr="000244C1">
        <w:rPr>
          <w:lang w:val="en-AU"/>
        </w:rPr>
        <w:t xml:space="preserve">Severe pain antagonises the subjective and respiratory depressant actions of morphine.  Should pain suddenly decrease, these effects may rapidly become manifest.  Patients who are scheduled for </w:t>
      </w:r>
      <w:proofErr w:type="spellStart"/>
      <w:r w:rsidRPr="000244C1">
        <w:rPr>
          <w:lang w:val="en-AU"/>
        </w:rPr>
        <w:t>cordotomy</w:t>
      </w:r>
      <w:proofErr w:type="spellEnd"/>
      <w:r w:rsidRPr="000244C1">
        <w:rPr>
          <w:lang w:val="en-AU"/>
        </w:rPr>
        <w:t xml:space="preserve"> or other interruption of pain transmission pathways should not receive </w:t>
      </w:r>
      <w:proofErr w:type="spellStart"/>
      <w:r w:rsidRPr="000244C1">
        <w:rPr>
          <w:lang w:val="en-AU"/>
        </w:rPr>
        <w:t>Kapanol</w:t>
      </w:r>
      <w:proofErr w:type="spellEnd"/>
      <w:r w:rsidRPr="000244C1">
        <w:rPr>
          <w:lang w:val="en-AU"/>
        </w:rPr>
        <w:t xml:space="preserve"> within 24 hours of the procedure.  Pain in the immediate pre-operative period, and any symptoms of opioid withdrawal, can be managed with immediate-release morphine preparations.</w:t>
      </w:r>
    </w:p>
    <w:p w14:paraId="6AAFCDEB" w14:textId="77777777" w:rsidR="008D5364" w:rsidRPr="000244C1" w:rsidRDefault="008D5364" w:rsidP="008D5364">
      <w:pPr>
        <w:pStyle w:val="C-Heading2non-numbered"/>
        <w:rPr>
          <w:lang w:val="en-AU"/>
        </w:rPr>
      </w:pPr>
      <w:r w:rsidRPr="000244C1">
        <w:rPr>
          <w:lang w:val="en-AU"/>
        </w:rPr>
        <w:t>Post-operatively</w:t>
      </w:r>
    </w:p>
    <w:p w14:paraId="757B9825" w14:textId="5789972A" w:rsidR="008D5364" w:rsidRPr="000244C1" w:rsidRDefault="008D5364" w:rsidP="008D5364">
      <w:pPr>
        <w:pStyle w:val="C-BodyText"/>
        <w:rPr>
          <w:lang w:val="en-AU"/>
        </w:rPr>
      </w:pPr>
      <w:proofErr w:type="spellStart"/>
      <w:r w:rsidRPr="000244C1">
        <w:rPr>
          <w:lang w:val="en-AU"/>
        </w:rPr>
        <w:t>Kapanol</w:t>
      </w:r>
      <w:proofErr w:type="spellEnd"/>
      <w:r w:rsidRPr="000244C1">
        <w:rPr>
          <w:lang w:val="en-AU"/>
        </w:rPr>
        <w:t xml:space="preserve"> should not be used in the first 24 hours following surgery, and should be administered with caution thereafter, especially following abdominal surgery.</w:t>
      </w:r>
    </w:p>
    <w:p w14:paraId="431958D4" w14:textId="77777777" w:rsidR="00A74B0D" w:rsidRPr="000244C1" w:rsidRDefault="00A74B0D" w:rsidP="00A74B0D">
      <w:pPr>
        <w:pStyle w:val="C-Heading2non-numbered"/>
        <w:rPr>
          <w:lang w:val="en-AU"/>
        </w:rPr>
      </w:pPr>
      <w:r w:rsidRPr="000244C1">
        <w:rPr>
          <w:lang w:val="en-AU"/>
        </w:rPr>
        <w:t>Special Risk Groups</w:t>
      </w:r>
    </w:p>
    <w:p w14:paraId="3E719B47" w14:textId="77777777" w:rsidR="00A74B0D" w:rsidRPr="000244C1" w:rsidRDefault="00A74B0D" w:rsidP="00A74B0D">
      <w:pPr>
        <w:pStyle w:val="C-BodyText"/>
        <w:rPr>
          <w:lang w:val="en-AU"/>
        </w:rPr>
      </w:pPr>
      <w:proofErr w:type="spellStart"/>
      <w:r w:rsidRPr="000244C1">
        <w:rPr>
          <w:lang w:val="en-AU"/>
        </w:rPr>
        <w:t>Kapanol</w:t>
      </w:r>
      <w:proofErr w:type="spellEnd"/>
      <w:r w:rsidRPr="000244C1">
        <w:rPr>
          <w:lang w:val="en-AU"/>
        </w:rPr>
        <w:t xml:space="preserve"> should be administered with caution, and in reduced dosages in elderly or debilitated patients; patients with severe renal or hepatic insufficiency; patients with Addison's disease; myxoedema; hypothyroidism; prostatic hypertrophy or urethral stricture.</w:t>
      </w:r>
    </w:p>
    <w:p w14:paraId="275EB99A" w14:textId="77777777" w:rsidR="00A74B0D" w:rsidRPr="000244C1" w:rsidRDefault="00A74B0D" w:rsidP="00A74B0D">
      <w:pPr>
        <w:pStyle w:val="C-BodyText"/>
        <w:rPr>
          <w:lang w:val="en-AU"/>
        </w:rPr>
      </w:pPr>
      <w:r w:rsidRPr="000244C1">
        <w:rPr>
          <w:lang w:val="en-AU"/>
        </w:rPr>
        <w:t xml:space="preserve">Caution should also be exercised in the administration of </w:t>
      </w:r>
      <w:proofErr w:type="spellStart"/>
      <w:r w:rsidRPr="000244C1">
        <w:rPr>
          <w:lang w:val="en-AU"/>
        </w:rPr>
        <w:t>Kapanol</w:t>
      </w:r>
      <w:proofErr w:type="spellEnd"/>
      <w:r w:rsidRPr="000244C1">
        <w:rPr>
          <w:lang w:val="en-AU"/>
        </w:rPr>
        <w:t xml:space="preserve"> to patients with CNS depression; toxic psychosis; acute alcoholism or delirium tremens; severe kyphoscoliosis; convulsive disorders;  about to undergo biliary surgery and patients with acute pancreatitis secondary to biliary tract disease.</w:t>
      </w:r>
    </w:p>
    <w:p w14:paraId="78B790F4" w14:textId="69BBC7C5" w:rsidR="007C2BAC" w:rsidRPr="000244C1" w:rsidRDefault="007C2BAC" w:rsidP="007C2BAC">
      <w:pPr>
        <w:pStyle w:val="C-Heading2non-numbered"/>
        <w:rPr>
          <w:lang w:val="en-AU"/>
        </w:rPr>
      </w:pPr>
      <w:r w:rsidRPr="000244C1">
        <w:rPr>
          <w:lang w:val="en-AU"/>
        </w:rPr>
        <w:lastRenderedPageBreak/>
        <w:t>Use in the Elderly</w:t>
      </w:r>
    </w:p>
    <w:p w14:paraId="63EBBC16" w14:textId="07248DA5" w:rsidR="007C2BAC" w:rsidRPr="000244C1" w:rsidRDefault="00A74B0D" w:rsidP="008D5364">
      <w:pPr>
        <w:pStyle w:val="C-BodyText"/>
        <w:rPr>
          <w:color w:val="00B050"/>
          <w:lang w:val="en-AU"/>
        </w:rPr>
      </w:pPr>
      <w:r w:rsidRPr="000244C1">
        <w:rPr>
          <w:lang w:val="en-AU"/>
        </w:rPr>
        <w:t xml:space="preserve">See Section 4.4 </w:t>
      </w:r>
      <w:r w:rsidR="00F25D5D" w:rsidRPr="000244C1">
        <w:rPr>
          <w:lang w:val="en-AU"/>
        </w:rPr>
        <w:t xml:space="preserve">Special Warnings and Precautions For Use </w:t>
      </w:r>
      <w:r w:rsidRPr="000244C1">
        <w:rPr>
          <w:lang w:val="en-AU"/>
        </w:rPr>
        <w:t xml:space="preserve">– Special Risk </w:t>
      </w:r>
      <w:r w:rsidR="00572007" w:rsidRPr="000244C1">
        <w:rPr>
          <w:lang w:val="en-AU"/>
        </w:rPr>
        <w:t>Groups</w:t>
      </w:r>
      <w:r w:rsidR="007C2BAC" w:rsidRPr="000244C1">
        <w:rPr>
          <w:color w:val="00B050"/>
          <w:lang w:val="en-AU"/>
        </w:rPr>
        <w:t>.</w:t>
      </w:r>
    </w:p>
    <w:p w14:paraId="76CB7054" w14:textId="5ADB34DD" w:rsidR="00206DC4" w:rsidRPr="000244C1" w:rsidRDefault="00206DC4" w:rsidP="00206DC4">
      <w:pPr>
        <w:pStyle w:val="C-Heading2non-numbered"/>
        <w:rPr>
          <w:lang w:val="en-AU"/>
        </w:rPr>
      </w:pPr>
      <w:r w:rsidRPr="000244C1">
        <w:rPr>
          <w:lang w:val="en-AU"/>
        </w:rPr>
        <w:t>Paediatric Use</w:t>
      </w:r>
    </w:p>
    <w:p w14:paraId="1AC149ED" w14:textId="0D684335" w:rsidR="00206DC4" w:rsidRPr="000244C1" w:rsidRDefault="00206DC4" w:rsidP="00206DC4">
      <w:pPr>
        <w:pStyle w:val="C-BodyText"/>
        <w:rPr>
          <w:lang w:val="en-AU"/>
        </w:rPr>
      </w:pPr>
      <w:r w:rsidRPr="000244C1">
        <w:rPr>
          <w:lang w:val="en-AU"/>
        </w:rPr>
        <w:t xml:space="preserve">The use of </w:t>
      </w:r>
      <w:proofErr w:type="spellStart"/>
      <w:r w:rsidRPr="000244C1">
        <w:rPr>
          <w:lang w:val="en-AU"/>
        </w:rPr>
        <w:t>Kapanol</w:t>
      </w:r>
      <w:proofErr w:type="spellEnd"/>
      <w:r w:rsidRPr="000244C1">
        <w:rPr>
          <w:lang w:val="en-AU"/>
        </w:rPr>
        <w:t xml:space="preserve"> in children has not been evaluated.</w:t>
      </w:r>
    </w:p>
    <w:p w14:paraId="73E6FF06" w14:textId="539CFCF9" w:rsidR="007C2BAC" w:rsidRPr="000244C1" w:rsidRDefault="007C2BAC" w:rsidP="007C2BAC">
      <w:pPr>
        <w:pStyle w:val="C-Heading2non-numbered"/>
        <w:rPr>
          <w:lang w:val="en-AU"/>
        </w:rPr>
      </w:pPr>
      <w:r w:rsidRPr="000244C1">
        <w:rPr>
          <w:lang w:val="en-AU"/>
        </w:rPr>
        <w:t>Effects on Laboratory Tests</w:t>
      </w:r>
    </w:p>
    <w:p w14:paraId="6D2489A2" w14:textId="3040A2F8" w:rsidR="007C2BAC" w:rsidRPr="000244C1" w:rsidRDefault="007C2BAC" w:rsidP="00206DC4">
      <w:pPr>
        <w:pStyle w:val="C-BodyText"/>
        <w:rPr>
          <w:lang w:val="en-AU"/>
        </w:rPr>
      </w:pPr>
      <w:r w:rsidRPr="000244C1">
        <w:rPr>
          <w:lang w:val="en-AU"/>
        </w:rPr>
        <w:t>No data available.</w:t>
      </w:r>
    </w:p>
    <w:p w14:paraId="549A41D6" w14:textId="6680F68B" w:rsidR="002E4D1F" w:rsidRPr="000244C1" w:rsidRDefault="003960B2" w:rsidP="002E4D1F">
      <w:pPr>
        <w:pStyle w:val="C-Heading2"/>
        <w:rPr>
          <w:lang w:val="en-AU"/>
        </w:rPr>
      </w:pPr>
      <w:r w:rsidRPr="000244C1">
        <w:rPr>
          <w:lang w:val="en-AU"/>
        </w:rPr>
        <w:t>Interactions with Other Medicines and Other Forms of Interactions</w:t>
      </w:r>
    </w:p>
    <w:p w14:paraId="48200259" w14:textId="77777777" w:rsidR="002566C7" w:rsidRPr="000244C1" w:rsidRDefault="002566C7" w:rsidP="002566C7">
      <w:pPr>
        <w:pStyle w:val="C-Heading2non-numbered"/>
        <w:rPr>
          <w:lang w:val="en-AU"/>
        </w:rPr>
      </w:pPr>
      <w:r w:rsidRPr="000244C1">
        <w:rPr>
          <w:lang w:val="en-AU"/>
        </w:rPr>
        <w:t>CNS Depressants</w:t>
      </w:r>
    </w:p>
    <w:p w14:paraId="0F06E06F" w14:textId="4622A1DF" w:rsidR="002566C7" w:rsidRPr="000244C1" w:rsidRDefault="002566C7" w:rsidP="002566C7">
      <w:pPr>
        <w:pStyle w:val="C-BodyText"/>
        <w:rPr>
          <w:lang w:val="en-AU"/>
        </w:rPr>
      </w:pPr>
      <w:r w:rsidRPr="000244C1">
        <w:rPr>
          <w:lang w:val="en-AU"/>
        </w:rPr>
        <w:t xml:space="preserve">Morphine should be used with great caution and in reduced dosage in patients concurrently receiving other central nervous system depressants including sedatives, </w:t>
      </w:r>
      <w:r w:rsidR="005D2351" w:rsidRPr="000244C1">
        <w:rPr>
          <w:lang w:val="en-AU"/>
        </w:rPr>
        <w:t xml:space="preserve">benzodiazepines, </w:t>
      </w:r>
      <w:r w:rsidRPr="000244C1">
        <w:rPr>
          <w:lang w:val="en-AU"/>
        </w:rPr>
        <w:t xml:space="preserve">hypnotics, general anaesthetics, </w:t>
      </w:r>
      <w:proofErr w:type="spellStart"/>
      <w:r w:rsidRPr="000244C1">
        <w:rPr>
          <w:lang w:val="en-AU"/>
        </w:rPr>
        <w:t>phenothiazines</w:t>
      </w:r>
      <w:proofErr w:type="spellEnd"/>
      <w:r w:rsidRPr="000244C1">
        <w:rPr>
          <w:lang w:val="en-AU"/>
        </w:rPr>
        <w:t xml:space="preserve">, other tranquilizers and alcohol because of the risk of respiratory depression, hypotension </w:t>
      </w:r>
      <w:r w:rsidR="00DA20B6" w:rsidRPr="000244C1">
        <w:rPr>
          <w:lang w:val="en-AU"/>
        </w:rPr>
        <w:t xml:space="preserve">and profound sedation or coma. </w:t>
      </w:r>
      <w:r w:rsidR="00D06624" w:rsidRPr="000244C1">
        <w:rPr>
          <w:lang w:val="en-AU"/>
        </w:rPr>
        <w:t xml:space="preserve"> </w:t>
      </w:r>
      <w:r w:rsidRPr="000244C1">
        <w:rPr>
          <w:lang w:val="en-AU"/>
        </w:rPr>
        <w:t>When such combined therapy is contemplated, the dose of one or both agents should be reduced.</w:t>
      </w:r>
    </w:p>
    <w:p w14:paraId="15DCBC79" w14:textId="77777777" w:rsidR="002566C7" w:rsidRPr="000244C1" w:rsidRDefault="002566C7" w:rsidP="002566C7">
      <w:pPr>
        <w:pStyle w:val="C-Heading2non-numbered"/>
        <w:rPr>
          <w:lang w:val="en-AU"/>
        </w:rPr>
      </w:pPr>
      <w:r w:rsidRPr="000244C1">
        <w:rPr>
          <w:lang w:val="en-AU"/>
        </w:rPr>
        <w:t>Muscle Relaxants</w:t>
      </w:r>
    </w:p>
    <w:p w14:paraId="50371FA2" w14:textId="77777777" w:rsidR="002566C7" w:rsidRPr="000244C1" w:rsidRDefault="002566C7" w:rsidP="002566C7">
      <w:pPr>
        <w:pStyle w:val="C-BodyText"/>
        <w:rPr>
          <w:lang w:val="en-AU"/>
        </w:rPr>
      </w:pPr>
      <w:r w:rsidRPr="000244C1">
        <w:rPr>
          <w:lang w:val="en-AU"/>
        </w:rPr>
        <w:t>Morphine may enhance the neuromuscular blocking action of skeletal relaxants and produce an increased degree of respiratory depression.</w:t>
      </w:r>
    </w:p>
    <w:p w14:paraId="6DC57419" w14:textId="77777777" w:rsidR="002566C7" w:rsidRPr="000244C1" w:rsidRDefault="002566C7" w:rsidP="002566C7">
      <w:pPr>
        <w:pStyle w:val="C-Heading2non-numbered"/>
        <w:rPr>
          <w:lang w:val="en-AU"/>
        </w:rPr>
      </w:pPr>
      <w:r w:rsidRPr="000244C1">
        <w:rPr>
          <w:lang w:val="en-AU"/>
        </w:rPr>
        <w:t>Mixed Agonist/Antagonist Opioid Analgesics</w:t>
      </w:r>
    </w:p>
    <w:p w14:paraId="4B03D2A6" w14:textId="68AD3AC5" w:rsidR="002566C7" w:rsidRPr="000244C1" w:rsidRDefault="002566C7" w:rsidP="002566C7">
      <w:pPr>
        <w:pStyle w:val="C-BodyText"/>
        <w:rPr>
          <w:lang w:val="en-AU"/>
        </w:rPr>
      </w:pPr>
      <w:r w:rsidRPr="000244C1">
        <w:rPr>
          <w:lang w:val="en-AU"/>
        </w:rPr>
        <w:t>From a theoretical perspective, mixed agonist/antagonist opioid analgesics (e</w:t>
      </w:r>
      <w:r w:rsidR="00DA20B6" w:rsidRPr="000244C1">
        <w:rPr>
          <w:lang w:val="en-AU"/>
        </w:rPr>
        <w:t>.</w:t>
      </w:r>
      <w:r w:rsidRPr="000244C1">
        <w:rPr>
          <w:lang w:val="en-AU"/>
        </w:rPr>
        <w:t>g</w:t>
      </w:r>
      <w:r w:rsidR="00DA20B6" w:rsidRPr="000244C1">
        <w:rPr>
          <w:lang w:val="en-AU"/>
        </w:rPr>
        <w:t>.</w:t>
      </w:r>
      <w:r w:rsidRPr="000244C1">
        <w:rPr>
          <w:lang w:val="en-AU"/>
        </w:rPr>
        <w:t xml:space="preserve"> </w:t>
      </w:r>
      <w:proofErr w:type="spellStart"/>
      <w:r w:rsidRPr="000244C1">
        <w:rPr>
          <w:lang w:val="en-AU"/>
        </w:rPr>
        <w:t>pentazocine</w:t>
      </w:r>
      <w:proofErr w:type="spellEnd"/>
      <w:r w:rsidRPr="000244C1">
        <w:rPr>
          <w:lang w:val="en-AU"/>
        </w:rPr>
        <w:t xml:space="preserve"> and buprenorphine) should NOT be administered to a patient who has received or is receiving a course of therapy with a pure opioid agonist analgesic. In these patients, mixed agonist/antagonist analgesics may reduce the analgesic effect or may precipitate withdrawal symptoms.</w:t>
      </w:r>
    </w:p>
    <w:p w14:paraId="6CB515F9" w14:textId="77777777" w:rsidR="002566C7" w:rsidRPr="000244C1" w:rsidRDefault="002566C7" w:rsidP="002566C7">
      <w:pPr>
        <w:pStyle w:val="C-Heading2non-numbered"/>
        <w:rPr>
          <w:lang w:val="en-AU"/>
        </w:rPr>
      </w:pPr>
      <w:r w:rsidRPr="000244C1">
        <w:rPr>
          <w:lang w:val="en-AU"/>
        </w:rPr>
        <w:t>Monoamine Oxidase Inhibitors (MAOIs)</w:t>
      </w:r>
    </w:p>
    <w:p w14:paraId="7A18F255" w14:textId="4BC9BE76" w:rsidR="002566C7" w:rsidRPr="000244C1" w:rsidRDefault="002566C7" w:rsidP="002566C7">
      <w:pPr>
        <w:pStyle w:val="C-BodyText"/>
        <w:rPr>
          <w:lang w:val="en-AU"/>
        </w:rPr>
      </w:pPr>
      <w:r w:rsidRPr="000244C1">
        <w:rPr>
          <w:lang w:val="en-AU"/>
        </w:rPr>
        <w:t>Non</w:t>
      </w:r>
      <w:r w:rsidRPr="000244C1">
        <w:rPr>
          <w:lang w:val="en-AU"/>
        </w:rPr>
        <w:noBreakHyphen/>
        <w:t>selective MAOIs intensify the effects of morphine and other opioid drugs which can cause anxiety, confusion and significant depression of respiration, sometimes leading to coma. Morphine should not be given to patients taking non</w:t>
      </w:r>
      <w:r w:rsidRPr="000244C1">
        <w:rPr>
          <w:lang w:val="en-AU"/>
        </w:rPr>
        <w:noBreakHyphen/>
        <w:t>selective</w:t>
      </w:r>
      <w:r w:rsidRPr="000244C1">
        <w:rPr>
          <w:b/>
          <w:lang w:val="en-AU"/>
        </w:rPr>
        <w:t xml:space="preserve"> </w:t>
      </w:r>
      <w:r w:rsidRPr="000244C1">
        <w:rPr>
          <w:lang w:val="en-AU"/>
        </w:rPr>
        <w:t xml:space="preserve">MAOIs or within 14 days of stopping such treatment. </w:t>
      </w:r>
      <w:r w:rsidRPr="000244C1">
        <w:rPr>
          <w:b/>
          <w:lang w:val="en-AU"/>
        </w:rPr>
        <w:t xml:space="preserve"> </w:t>
      </w:r>
      <w:r w:rsidRPr="000244C1">
        <w:rPr>
          <w:lang w:val="en-AU"/>
        </w:rPr>
        <w:t>It is unknown whether there is an interaction between the new selective MAOIs (e</w:t>
      </w:r>
      <w:r w:rsidR="00DA20B6" w:rsidRPr="000244C1">
        <w:rPr>
          <w:lang w:val="en-AU"/>
        </w:rPr>
        <w:t>.</w:t>
      </w:r>
      <w:r w:rsidRPr="000244C1">
        <w:rPr>
          <w:lang w:val="en-AU"/>
        </w:rPr>
        <w:t>g</w:t>
      </w:r>
      <w:r w:rsidR="00DA20B6" w:rsidRPr="000244C1">
        <w:rPr>
          <w:lang w:val="en-AU"/>
        </w:rPr>
        <w:t>.</w:t>
      </w:r>
      <w:r w:rsidRPr="000244C1">
        <w:rPr>
          <w:lang w:val="en-AU"/>
        </w:rPr>
        <w:t xml:space="preserve"> </w:t>
      </w:r>
      <w:proofErr w:type="spellStart"/>
      <w:r w:rsidRPr="000244C1">
        <w:rPr>
          <w:lang w:val="en-AU"/>
        </w:rPr>
        <w:t>moclobemide</w:t>
      </w:r>
      <w:proofErr w:type="spellEnd"/>
      <w:r w:rsidRPr="000244C1">
        <w:rPr>
          <w:lang w:val="en-AU"/>
        </w:rPr>
        <w:t xml:space="preserve">, </w:t>
      </w:r>
      <w:proofErr w:type="spellStart"/>
      <w:r w:rsidRPr="000244C1">
        <w:rPr>
          <w:lang w:val="en-AU"/>
        </w:rPr>
        <w:t>selegiline</w:t>
      </w:r>
      <w:proofErr w:type="spellEnd"/>
      <w:r w:rsidRPr="000244C1">
        <w:rPr>
          <w:lang w:val="en-AU"/>
        </w:rPr>
        <w:t xml:space="preserve">) and morphine therefore caution is advised with this drug combination. </w:t>
      </w:r>
    </w:p>
    <w:p w14:paraId="2A1590E7" w14:textId="77777777" w:rsidR="002566C7" w:rsidRPr="000244C1" w:rsidRDefault="002566C7" w:rsidP="002566C7">
      <w:pPr>
        <w:pStyle w:val="C-Heading2non-numbered"/>
        <w:rPr>
          <w:lang w:val="en-AU"/>
        </w:rPr>
      </w:pPr>
      <w:r w:rsidRPr="000244C1">
        <w:rPr>
          <w:lang w:val="en-AU"/>
        </w:rPr>
        <w:t>Cimetidine</w:t>
      </w:r>
    </w:p>
    <w:p w14:paraId="1864C8A9" w14:textId="77777777" w:rsidR="002566C7" w:rsidRPr="000244C1" w:rsidRDefault="002566C7" w:rsidP="002566C7">
      <w:pPr>
        <w:pStyle w:val="C-BodyText"/>
        <w:rPr>
          <w:lang w:val="en-AU"/>
        </w:rPr>
      </w:pPr>
      <w:r w:rsidRPr="000244C1">
        <w:rPr>
          <w:lang w:val="en-AU"/>
        </w:rPr>
        <w:t xml:space="preserve">There is a report of confusion and severe respiratory depression when a haemodialysis patient was administered morphine and cimetidine. </w:t>
      </w:r>
      <w:r w:rsidRPr="000244C1">
        <w:rPr>
          <w:b/>
          <w:lang w:val="en-AU"/>
        </w:rPr>
        <w:t xml:space="preserve"> </w:t>
      </w:r>
      <w:r w:rsidRPr="000244C1">
        <w:rPr>
          <w:lang w:val="en-AU"/>
        </w:rPr>
        <w:t xml:space="preserve">Although not reported with </w:t>
      </w:r>
      <w:proofErr w:type="spellStart"/>
      <w:r w:rsidRPr="000244C1">
        <w:rPr>
          <w:lang w:val="en-AU"/>
        </w:rPr>
        <w:t>Kapanol</w:t>
      </w:r>
      <w:proofErr w:type="spellEnd"/>
      <w:r w:rsidRPr="000244C1">
        <w:rPr>
          <w:lang w:val="en-AU"/>
        </w:rPr>
        <w:t xml:space="preserve">, caution is advised when administering </w:t>
      </w:r>
      <w:proofErr w:type="spellStart"/>
      <w:r w:rsidRPr="000244C1">
        <w:rPr>
          <w:lang w:val="en-AU"/>
        </w:rPr>
        <w:t>Kapanol</w:t>
      </w:r>
      <w:proofErr w:type="spellEnd"/>
      <w:r w:rsidRPr="000244C1">
        <w:rPr>
          <w:lang w:val="en-AU"/>
        </w:rPr>
        <w:t xml:space="preserve"> with cimetidine.</w:t>
      </w:r>
    </w:p>
    <w:p w14:paraId="6D72AD98" w14:textId="77777777" w:rsidR="002566C7" w:rsidRPr="000244C1" w:rsidRDefault="002566C7" w:rsidP="002566C7">
      <w:pPr>
        <w:pStyle w:val="C-Heading2non-numbered"/>
        <w:rPr>
          <w:lang w:val="en-AU"/>
        </w:rPr>
      </w:pPr>
      <w:r w:rsidRPr="000244C1">
        <w:rPr>
          <w:lang w:val="en-AU"/>
        </w:rPr>
        <w:lastRenderedPageBreak/>
        <w:t>Diuretics</w:t>
      </w:r>
    </w:p>
    <w:p w14:paraId="637A94E1" w14:textId="77777777" w:rsidR="002566C7" w:rsidRPr="000244C1" w:rsidRDefault="002566C7" w:rsidP="002566C7">
      <w:pPr>
        <w:pStyle w:val="C-BodyText"/>
        <w:rPr>
          <w:lang w:val="en-AU"/>
        </w:rPr>
      </w:pPr>
      <w:r w:rsidRPr="000244C1">
        <w:rPr>
          <w:lang w:val="en-AU"/>
        </w:rPr>
        <w:t xml:space="preserve">Morphine reduces the efficacy of diuretics by inducing the release of antidiuretic hormone. Morphine may also lead to acute retention of urine by causing spasm of the sphincter of the bladder, particularly in men with </w:t>
      </w:r>
      <w:proofErr w:type="spellStart"/>
      <w:r w:rsidRPr="000244C1">
        <w:rPr>
          <w:lang w:val="en-AU"/>
        </w:rPr>
        <w:t>prostatism</w:t>
      </w:r>
      <w:proofErr w:type="spellEnd"/>
      <w:r w:rsidRPr="000244C1">
        <w:rPr>
          <w:lang w:val="en-AU"/>
        </w:rPr>
        <w:t xml:space="preserve">.  As </w:t>
      </w:r>
      <w:proofErr w:type="spellStart"/>
      <w:r w:rsidRPr="000244C1">
        <w:rPr>
          <w:lang w:val="en-AU"/>
        </w:rPr>
        <w:t>Kapanol</w:t>
      </w:r>
      <w:proofErr w:type="spellEnd"/>
      <w:r w:rsidRPr="000244C1">
        <w:rPr>
          <w:lang w:val="en-AU"/>
        </w:rPr>
        <w:t xml:space="preserve"> contains morphine it has the potential to cause similar effects.</w:t>
      </w:r>
    </w:p>
    <w:p w14:paraId="70AE74E5" w14:textId="77777777" w:rsidR="002566C7" w:rsidRPr="000244C1" w:rsidRDefault="002566C7" w:rsidP="002566C7">
      <w:pPr>
        <w:pStyle w:val="C-Heading2non-numbered"/>
        <w:rPr>
          <w:lang w:val="en-AU"/>
        </w:rPr>
      </w:pPr>
      <w:r w:rsidRPr="000244C1">
        <w:rPr>
          <w:lang w:val="en-AU"/>
        </w:rPr>
        <w:t>Alcohol</w:t>
      </w:r>
    </w:p>
    <w:p w14:paraId="6FC76A60" w14:textId="35197964" w:rsidR="002566C7" w:rsidRPr="000244C1" w:rsidRDefault="002566C7" w:rsidP="002566C7">
      <w:pPr>
        <w:pStyle w:val="C-BodyText"/>
        <w:rPr>
          <w:lang w:val="en-AU"/>
        </w:rPr>
      </w:pPr>
      <w:r w:rsidRPr="000244C1">
        <w:rPr>
          <w:i/>
          <w:lang w:val="en-AU"/>
        </w:rPr>
        <w:t>In vitro</w:t>
      </w:r>
      <w:r w:rsidRPr="000244C1">
        <w:rPr>
          <w:lang w:val="en-AU"/>
        </w:rPr>
        <w:t xml:space="preserve"> data have shown that the presence of alcohol leads to an increased rate of release of morphine from the sustained-release pellets in the capsule</w:t>
      </w:r>
      <w:r w:rsidR="00D16AD7" w:rsidRPr="000244C1">
        <w:rPr>
          <w:lang w:val="en-AU"/>
        </w:rPr>
        <w:t>.</w:t>
      </w:r>
    </w:p>
    <w:p w14:paraId="75077387" w14:textId="77777777" w:rsidR="00D16AD7" w:rsidRPr="000244C1" w:rsidRDefault="00D16AD7" w:rsidP="00D16AD7">
      <w:pPr>
        <w:pStyle w:val="C-BodyText"/>
        <w:rPr>
          <w:lang w:val="en-AU"/>
        </w:rPr>
      </w:pPr>
      <w:r w:rsidRPr="000244C1">
        <w:rPr>
          <w:lang w:val="en-AU"/>
        </w:rPr>
        <w:t>Patients should be advised against co-administration of morphine sustained-release capsules with alcohol as this may lead to a rapid release and absorption of a potentially toxic dose of morphine.</w:t>
      </w:r>
    </w:p>
    <w:p w14:paraId="5048E860" w14:textId="77777777" w:rsidR="002566C7" w:rsidRPr="000244C1" w:rsidRDefault="002566C7" w:rsidP="002566C7">
      <w:pPr>
        <w:pStyle w:val="C-Heading2non-numbered"/>
        <w:rPr>
          <w:lang w:val="en-AU"/>
        </w:rPr>
      </w:pPr>
      <w:r w:rsidRPr="000244C1">
        <w:rPr>
          <w:lang w:val="en-AU"/>
        </w:rPr>
        <w:t>Food</w:t>
      </w:r>
    </w:p>
    <w:p w14:paraId="18077C53" w14:textId="77777777" w:rsidR="002566C7" w:rsidRPr="000244C1" w:rsidRDefault="002566C7" w:rsidP="002566C7">
      <w:pPr>
        <w:pStyle w:val="C-BodyText"/>
        <w:rPr>
          <w:lang w:val="en-AU"/>
        </w:rPr>
      </w:pPr>
      <w:r w:rsidRPr="000244C1">
        <w:rPr>
          <w:lang w:val="en-AU"/>
        </w:rPr>
        <w:t xml:space="preserve">The bioavailability of </w:t>
      </w:r>
      <w:proofErr w:type="spellStart"/>
      <w:r w:rsidRPr="000244C1">
        <w:rPr>
          <w:lang w:val="en-AU"/>
        </w:rPr>
        <w:t>Kapanol</w:t>
      </w:r>
      <w:proofErr w:type="spellEnd"/>
      <w:r w:rsidRPr="000244C1">
        <w:rPr>
          <w:lang w:val="en-AU"/>
        </w:rPr>
        <w:t xml:space="preserve"> is not significantly affected by food.</w:t>
      </w:r>
    </w:p>
    <w:p w14:paraId="723940A2" w14:textId="77777777" w:rsidR="002566C7" w:rsidRPr="000244C1" w:rsidRDefault="002566C7" w:rsidP="002566C7">
      <w:pPr>
        <w:pStyle w:val="C-Heading2non-numbered"/>
        <w:rPr>
          <w:lang w:val="en-AU"/>
        </w:rPr>
      </w:pPr>
      <w:r w:rsidRPr="000244C1">
        <w:rPr>
          <w:lang w:val="en-AU"/>
        </w:rPr>
        <w:t>St John’s Wort</w:t>
      </w:r>
    </w:p>
    <w:p w14:paraId="5F06B9F8" w14:textId="4ECCC582" w:rsidR="002566C7" w:rsidRPr="000244C1" w:rsidRDefault="002566C7" w:rsidP="002566C7">
      <w:pPr>
        <w:pStyle w:val="C-BodyText"/>
        <w:rPr>
          <w:lang w:val="en-AU"/>
        </w:rPr>
      </w:pPr>
      <w:r w:rsidRPr="000244C1">
        <w:rPr>
          <w:i/>
          <w:lang w:val="en-AU"/>
        </w:rPr>
        <w:t>In</w:t>
      </w:r>
      <w:r w:rsidR="00AE106A" w:rsidRPr="000244C1">
        <w:rPr>
          <w:i/>
          <w:lang w:val="en-AU"/>
        </w:rPr>
        <w:t xml:space="preserve"> </w:t>
      </w:r>
      <w:r w:rsidRPr="000244C1">
        <w:rPr>
          <w:i/>
          <w:lang w:val="en-AU"/>
        </w:rPr>
        <w:t>vitro</w:t>
      </w:r>
      <w:r w:rsidRPr="000244C1">
        <w:rPr>
          <w:lang w:val="en-AU"/>
        </w:rPr>
        <w:t xml:space="preserve"> data suggest that St John’s Wort </w:t>
      </w:r>
      <w:r w:rsidRPr="000244C1">
        <w:rPr>
          <w:i/>
          <w:lang w:val="en-AU"/>
        </w:rPr>
        <w:t>(</w:t>
      </w:r>
      <w:proofErr w:type="spellStart"/>
      <w:r w:rsidRPr="000244C1">
        <w:rPr>
          <w:i/>
          <w:lang w:val="en-AU"/>
        </w:rPr>
        <w:t>Hypericum</w:t>
      </w:r>
      <w:proofErr w:type="spellEnd"/>
      <w:r w:rsidRPr="000244C1">
        <w:rPr>
          <w:i/>
          <w:lang w:val="en-AU"/>
        </w:rPr>
        <w:t xml:space="preserve"> </w:t>
      </w:r>
      <w:proofErr w:type="spellStart"/>
      <w:r w:rsidRPr="000244C1">
        <w:rPr>
          <w:i/>
          <w:lang w:val="en-AU"/>
        </w:rPr>
        <w:t>perforatum</w:t>
      </w:r>
      <w:proofErr w:type="spellEnd"/>
      <w:r w:rsidRPr="000244C1">
        <w:rPr>
          <w:i/>
          <w:lang w:val="en-AU"/>
        </w:rPr>
        <w:t xml:space="preserve">) </w:t>
      </w:r>
      <w:r w:rsidRPr="000244C1">
        <w:rPr>
          <w:lang w:val="en-AU"/>
        </w:rPr>
        <w:t xml:space="preserve">may induce cytochrome P450 3A4.  There is a theoretical possibility therefore, that plasma levels of morphine </w:t>
      </w:r>
      <w:proofErr w:type="spellStart"/>
      <w:r w:rsidRPr="000244C1">
        <w:rPr>
          <w:lang w:val="en-AU"/>
        </w:rPr>
        <w:t>sulfate</w:t>
      </w:r>
      <w:proofErr w:type="spellEnd"/>
      <w:r w:rsidRPr="000244C1">
        <w:rPr>
          <w:lang w:val="en-AU"/>
        </w:rPr>
        <w:t xml:space="preserve"> </w:t>
      </w:r>
      <w:r w:rsidR="004D0639" w:rsidRPr="000244C1">
        <w:rPr>
          <w:lang w:val="en-AU"/>
        </w:rPr>
        <w:t xml:space="preserve">pentahydrate </w:t>
      </w:r>
      <w:r w:rsidRPr="000244C1">
        <w:rPr>
          <w:lang w:val="en-AU"/>
        </w:rPr>
        <w:t>may be decreased during concomitant administration and increased upon withdrawal of St John’s Wort.</w:t>
      </w:r>
    </w:p>
    <w:p w14:paraId="2C3D3395" w14:textId="7C7F1EC4" w:rsidR="002E4D1F" w:rsidRPr="000244C1" w:rsidRDefault="003960B2" w:rsidP="002E4D1F">
      <w:pPr>
        <w:pStyle w:val="C-Heading2"/>
        <w:rPr>
          <w:lang w:val="en-AU"/>
        </w:rPr>
      </w:pPr>
      <w:r w:rsidRPr="000244C1">
        <w:rPr>
          <w:lang w:val="en-AU"/>
        </w:rPr>
        <w:t>Fertility, Pregnancy and Lactation</w:t>
      </w:r>
    </w:p>
    <w:p w14:paraId="46B2E97F" w14:textId="77777777" w:rsidR="00491947" w:rsidRPr="000244C1" w:rsidRDefault="00491947" w:rsidP="00491947">
      <w:pPr>
        <w:pStyle w:val="C-Heading2non-numbered"/>
        <w:rPr>
          <w:lang w:val="en-AU"/>
        </w:rPr>
      </w:pPr>
      <w:r w:rsidRPr="000244C1">
        <w:rPr>
          <w:lang w:val="en-AU"/>
        </w:rPr>
        <w:t>Effects on Fertility</w:t>
      </w:r>
    </w:p>
    <w:p w14:paraId="41E62C34" w14:textId="12154497" w:rsidR="00491947" w:rsidRPr="000244C1" w:rsidRDefault="00491947" w:rsidP="00491947">
      <w:pPr>
        <w:pStyle w:val="C-BodyText"/>
        <w:rPr>
          <w:lang w:val="en-AU"/>
        </w:rPr>
      </w:pPr>
      <w:r w:rsidRPr="000244C1">
        <w:rPr>
          <w:lang w:val="en-AU"/>
        </w:rPr>
        <w:t xml:space="preserve">Conventional animal reproduction studies have not been performed using morphine.  However, there is evidence of reproductive toxicity in animals from other studies (see </w:t>
      </w:r>
      <w:r w:rsidR="000923C0" w:rsidRPr="000244C1">
        <w:rPr>
          <w:lang w:val="en-AU"/>
        </w:rPr>
        <w:t>Use in Pregnancy</w:t>
      </w:r>
      <w:r w:rsidRPr="000244C1">
        <w:rPr>
          <w:lang w:val="en-AU"/>
        </w:rPr>
        <w:t xml:space="preserve">). </w:t>
      </w:r>
      <w:r w:rsidR="00D06624" w:rsidRPr="000244C1">
        <w:rPr>
          <w:lang w:val="en-AU"/>
        </w:rPr>
        <w:t xml:space="preserve"> </w:t>
      </w:r>
      <w:r w:rsidRPr="000244C1">
        <w:rPr>
          <w:lang w:val="en-AU"/>
        </w:rPr>
        <w:t>It is not known whether morphine can cause foetal damage when administered throughout pregnancy or if it can affect r</w:t>
      </w:r>
      <w:r w:rsidR="00DA3B71" w:rsidRPr="000244C1">
        <w:rPr>
          <w:lang w:val="en-AU"/>
        </w:rPr>
        <w:t>eproductive capacity in humans.</w:t>
      </w:r>
    </w:p>
    <w:p w14:paraId="77F250B5" w14:textId="524978EC" w:rsidR="00491947" w:rsidRPr="000244C1" w:rsidRDefault="00491947" w:rsidP="00491947">
      <w:pPr>
        <w:pStyle w:val="C-Heading2non-numbered"/>
        <w:rPr>
          <w:lang w:val="en-AU"/>
        </w:rPr>
      </w:pPr>
      <w:r w:rsidRPr="000244C1">
        <w:rPr>
          <w:lang w:val="en-AU"/>
        </w:rPr>
        <w:t>Use in P</w:t>
      </w:r>
      <w:r w:rsidR="00FC2DCD" w:rsidRPr="000244C1">
        <w:rPr>
          <w:lang w:val="en-AU"/>
        </w:rPr>
        <w:t>regnancy</w:t>
      </w:r>
    </w:p>
    <w:p w14:paraId="0A88ACAC" w14:textId="54750D4A" w:rsidR="00FC2DCD" w:rsidRPr="000244C1" w:rsidRDefault="00FC2DCD" w:rsidP="00491947">
      <w:pPr>
        <w:pStyle w:val="C-BodyText"/>
        <w:rPr>
          <w:lang w:val="en-AU"/>
        </w:rPr>
      </w:pPr>
      <w:proofErr w:type="gramStart"/>
      <w:r w:rsidRPr="000244C1">
        <w:rPr>
          <w:lang w:val="en-AU"/>
        </w:rPr>
        <w:t>Category C.</w:t>
      </w:r>
      <w:proofErr w:type="gramEnd"/>
    </w:p>
    <w:p w14:paraId="24E04947" w14:textId="77777777" w:rsidR="009902C6" w:rsidRPr="000244C1" w:rsidRDefault="009902C6" w:rsidP="009902C6">
      <w:pPr>
        <w:pStyle w:val="C-BodyText"/>
        <w:rPr>
          <w:lang w:val="en-AU"/>
        </w:rPr>
      </w:pPr>
      <w:r w:rsidRPr="000244C1">
        <w:rPr>
          <w:lang w:val="en-AU"/>
        </w:rPr>
        <w:t xml:space="preserve">Treatment of laboratory animals with high doses of morphine during pregnancy has been associated with foetal and neonatal death, foetal growth retardation, </w:t>
      </w:r>
      <w:proofErr w:type="spellStart"/>
      <w:r w:rsidRPr="000244C1">
        <w:rPr>
          <w:lang w:val="en-AU"/>
        </w:rPr>
        <w:t>exencephaly</w:t>
      </w:r>
      <w:proofErr w:type="spellEnd"/>
      <w:r w:rsidRPr="000244C1">
        <w:rPr>
          <w:lang w:val="en-AU"/>
        </w:rPr>
        <w:t>, skeletal effects, and alterations in behaviour and CNS development in offspring. Some of these findings were attributed to the hypoxic effects of large doses of morphine.</w:t>
      </w:r>
    </w:p>
    <w:p w14:paraId="260F39B3" w14:textId="0586416D" w:rsidR="00491947" w:rsidRPr="000244C1" w:rsidRDefault="00491947" w:rsidP="00491947">
      <w:pPr>
        <w:pStyle w:val="C-BodyText"/>
        <w:rPr>
          <w:lang w:val="en-AU"/>
        </w:rPr>
      </w:pPr>
      <w:r w:rsidRPr="000244C1">
        <w:rPr>
          <w:lang w:val="en-AU"/>
        </w:rPr>
        <w:t xml:space="preserve">Pregnant women should only be given </w:t>
      </w:r>
      <w:proofErr w:type="spellStart"/>
      <w:r w:rsidRPr="000244C1">
        <w:rPr>
          <w:lang w:val="en-AU"/>
        </w:rPr>
        <w:t>Kapanol</w:t>
      </w:r>
      <w:proofErr w:type="spellEnd"/>
      <w:r w:rsidRPr="000244C1">
        <w:rPr>
          <w:lang w:val="en-AU"/>
        </w:rPr>
        <w:t xml:space="preserve"> when the benefits clearly outweigh potential risks to the foetus.</w:t>
      </w:r>
    </w:p>
    <w:p w14:paraId="7EB8BAE4" w14:textId="415BF413" w:rsidR="00491947" w:rsidRPr="000244C1" w:rsidRDefault="00491947" w:rsidP="00491947">
      <w:pPr>
        <w:pStyle w:val="C-BodyText"/>
        <w:rPr>
          <w:lang w:val="en-AU"/>
        </w:rPr>
      </w:pPr>
      <w:proofErr w:type="spellStart"/>
      <w:r w:rsidRPr="000244C1">
        <w:rPr>
          <w:lang w:val="en-AU"/>
        </w:rPr>
        <w:t>Kapanol</w:t>
      </w:r>
      <w:proofErr w:type="spellEnd"/>
      <w:r w:rsidRPr="000244C1">
        <w:rPr>
          <w:lang w:val="en-AU"/>
        </w:rPr>
        <w:t xml:space="preserve"> is not recommended for use in women during and immediately before labour.  The effects of opioid analgesics are unpredictable.  They may prolong labour by temporarily reducing the strength, duration and frequency of uterine contractions, or conversely they may tend to shorten labour by increasing the rate of cervical dilatation.  Infants born to mothers </w:t>
      </w:r>
      <w:r w:rsidRPr="000244C1">
        <w:rPr>
          <w:lang w:val="en-AU"/>
        </w:rPr>
        <w:lastRenderedPageBreak/>
        <w:t xml:space="preserve">receiving </w:t>
      </w:r>
      <w:r w:rsidR="008F7402" w:rsidRPr="000244C1">
        <w:rPr>
          <w:lang w:val="en-AU"/>
        </w:rPr>
        <w:t>opioid</w:t>
      </w:r>
      <w:r w:rsidRPr="000244C1">
        <w:rPr>
          <w:lang w:val="en-AU"/>
        </w:rPr>
        <w:t xml:space="preserve"> analgesics during labour should be observed closely for signs of respiratory depression. In such infants a specific opioid antagonist, naloxone hydrochloride, should be available for reversal of </w:t>
      </w:r>
      <w:r w:rsidR="00AE106A" w:rsidRPr="000244C1">
        <w:rPr>
          <w:lang w:val="en-AU"/>
        </w:rPr>
        <w:t>opioid</w:t>
      </w:r>
      <w:r w:rsidRPr="000244C1">
        <w:rPr>
          <w:lang w:val="en-AU"/>
        </w:rPr>
        <w:t>-induced respiratory depression.</w:t>
      </w:r>
    </w:p>
    <w:p w14:paraId="3280C8CE" w14:textId="04AFBE6B" w:rsidR="00491947" w:rsidRPr="000244C1" w:rsidRDefault="00491947" w:rsidP="00491947">
      <w:pPr>
        <w:pStyle w:val="C-Heading2non-numbered"/>
        <w:rPr>
          <w:lang w:val="en-AU"/>
        </w:rPr>
      </w:pPr>
      <w:r w:rsidRPr="000244C1">
        <w:rPr>
          <w:lang w:val="en-AU"/>
        </w:rPr>
        <w:t>Use in Lactation</w:t>
      </w:r>
    </w:p>
    <w:p w14:paraId="6BF008F4" w14:textId="435A80E0" w:rsidR="00491947" w:rsidRPr="000244C1" w:rsidRDefault="00491947" w:rsidP="00491947">
      <w:pPr>
        <w:pStyle w:val="C-BodyText"/>
        <w:rPr>
          <w:lang w:val="en-AU"/>
        </w:rPr>
      </w:pPr>
      <w:r w:rsidRPr="000244C1">
        <w:rPr>
          <w:lang w:val="en-AU"/>
        </w:rPr>
        <w:t xml:space="preserve">Morphine is excreted in human milk and breast-feeding is not recommended while a patient is receiving </w:t>
      </w:r>
      <w:proofErr w:type="spellStart"/>
      <w:r w:rsidRPr="000244C1">
        <w:rPr>
          <w:lang w:val="en-AU"/>
        </w:rPr>
        <w:t>Kapanol</w:t>
      </w:r>
      <w:proofErr w:type="spellEnd"/>
      <w:r w:rsidRPr="000244C1">
        <w:rPr>
          <w:lang w:val="en-AU"/>
        </w:rPr>
        <w:t xml:space="preserve">.  Withdrawal symptoms have been observed in breast-fed infants when maternal administration of morphine </w:t>
      </w:r>
      <w:proofErr w:type="spellStart"/>
      <w:r w:rsidRPr="000244C1">
        <w:rPr>
          <w:lang w:val="en-AU"/>
        </w:rPr>
        <w:t>sulfate</w:t>
      </w:r>
      <w:proofErr w:type="spellEnd"/>
      <w:r w:rsidR="004D0639" w:rsidRPr="000244C1">
        <w:rPr>
          <w:lang w:val="en-AU"/>
        </w:rPr>
        <w:t xml:space="preserve"> pentahydrate</w:t>
      </w:r>
      <w:r w:rsidRPr="000244C1">
        <w:rPr>
          <w:lang w:val="en-AU"/>
        </w:rPr>
        <w:t xml:space="preserve"> is stopped.</w:t>
      </w:r>
    </w:p>
    <w:p w14:paraId="7210930B" w14:textId="33CC311A" w:rsidR="002E4D1F" w:rsidRPr="000244C1" w:rsidRDefault="003960B2" w:rsidP="002E4D1F">
      <w:pPr>
        <w:pStyle w:val="C-Heading2"/>
        <w:rPr>
          <w:lang w:val="en-AU"/>
        </w:rPr>
      </w:pPr>
      <w:r w:rsidRPr="000244C1">
        <w:rPr>
          <w:lang w:val="en-AU"/>
        </w:rPr>
        <w:t>Effects on Ability to Drive and Use Machines</w:t>
      </w:r>
    </w:p>
    <w:p w14:paraId="5F24B117" w14:textId="3593B234" w:rsidR="00460C17" w:rsidRPr="000244C1" w:rsidRDefault="00460C17" w:rsidP="002B6CE6">
      <w:pPr>
        <w:pStyle w:val="C-BodyText"/>
        <w:rPr>
          <w:lang w:val="en-AU"/>
        </w:rPr>
      </w:pPr>
      <w:r w:rsidRPr="000244C1">
        <w:rPr>
          <w:lang w:val="en-AU"/>
        </w:rPr>
        <w:t xml:space="preserve">Morphine may impair the mental and/or physical abilities needed to perform potentially hazardous activities such as driving a car or operating machinery.  Patients must be cautioned accordingly.  Patients should also be warned about the potential combined effects of morphine with other CNS depressants, including other opioids, </w:t>
      </w:r>
      <w:proofErr w:type="spellStart"/>
      <w:r w:rsidRPr="000244C1">
        <w:rPr>
          <w:lang w:val="en-AU"/>
        </w:rPr>
        <w:t>phenothiazines</w:t>
      </w:r>
      <w:proofErr w:type="spellEnd"/>
      <w:r w:rsidRPr="000244C1">
        <w:rPr>
          <w:lang w:val="en-AU"/>
        </w:rPr>
        <w:t xml:space="preserve">, sedatives/hypnotics and alcohol (see </w:t>
      </w:r>
      <w:r w:rsidR="000923C0" w:rsidRPr="000244C1">
        <w:rPr>
          <w:lang w:val="en-AU"/>
        </w:rPr>
        <w:t>Section 4.5 Interactions with Other Medicines and Other Forms of Interactions</w:t>
      </w:r>
      <w:r w:rsidRPr="000244C1">
        <w:rPr>
          <w:lang w:val="en-AU"/>
        </w:rPr>
        <w:t>).</w:t>
      </w:r>
    </w:p>
    <w:p w14:paraId="55807685" w14:textId="18382AAB" w:rsidR="002E4D1F" w:rsidRPr="000244C1" w:rsidRDefault="00D86594" w:rsidP="002E4D1F">
      <w:pPr>
        <w:pStyle w:val="C-Heading2"/>
        <w:rPr>
          <w:lang w:val="en-AU"/>
        </w:rPr>
      </w:pPr>
      <w:r w:rsidRPr="000244C1">
        <w:rPr>
          <w:lang w:val="en-AU"/>
        </w:rPr>
        <w:t>Adverse Effects (Undesirable Effects)</w:t>
      </w:r>
    </w:p>
    <w:p w14:paraId="13CC1A05" w14:textId="77777777" w:rsidR="002B6CE6" w:rsidRPr="000244C1" w:rsidRDefault="002B6CE6" w:rsidP="002B6CE6">
      <w:pPr>
        <w:pStyle w:val="C-BodyText"/>
        <w:rPr>
          <w:lang w:val="en-AU"/>
        </w:rPr>
      </w:pPr>
      <w:r w:rsidRPr="000244C1">
        <w:rPr>
          <w:lang w:val="en-AU"/>
        </w:rPr>
        <w:t>The adverse reactions caused by morphine are essentially the same as those observed with other oral and parenteral opioids.  They include the following major hazards: respiratory depression, apnoea and to a lesser degree circulatory depression, respiratory arrest, shock and cardiac arrest.</w:t>
      </w:r>
    </w:p>
    <w:p w14:paraId="180EDEA0" w14:textId="0440F57E" w:rsidR="002B6CE6" w:rsidRPr="000244C1" w:rsidRDefault="002B6CE6" w:rsidP="00FC2DCD">
      <w:pPr>
        <w:pStyle w:val="C-Heading2non-numbered"/>
        <w:rPr>
          <w:lang w:val="en-AU"/>
        </w:rPr>
      </w:pPr>
      <w:r w:rsidRPr="000244C1">
        <w:rPr>
          <w:lang w:val="en-AU"/>
        </w:rPr>
        <w:t xml:space="preserve">Most </w:t>
      </w:r>
      <w:r w:rsidR="00F71B9E" w:rsidRPr="000244C1">
        <w:rPr>
          <w:lang w:val="en-AU"/>
        </w:rPr>
        <w:t>C</w:t>
      </w:r>
      <w:r w:rsidRPr="000244C1">
        <w:rPr>
          <w:lang w:val="en-AU"/>
        </w:rPr>
        <w:t xml:space="preserve">ommon </w:t>
      </w:r>
      <w:r w:rsidR="00F71B9E" w:rsidRPr="000244C1">
        <w:rPr>
          <w:lang w:val="en-AU"/>
        </w:rPr>
        <w:t>A</w:t>
      </w:r>
      <w:r w:rsidRPr="000244C1">
        <w:rPr>
          <w:lang w:val="en-AU"/>
        </w:rPr>
        <w:t xml:space="preserve">dverse </w:t>
      </w:r>
      <w:r w:rsidR="00F71B9E" w:rsidRPr="000244C1">
        <w:rPr>
          <w:lang w:val="en-AU"/>
        </w:rPr>
        <w:t>E</w:t>
      </w:r>
      <w:r w:rsidRPr="000244C1">
        <w:rPr>
          <w:lang w:val="en-AU"/>
        </w:rPr>
        <w:t>ffects</w:t>
      </w:r>
    </w:p>
    <w:p w14:paraId="0D7F6B6E" w14:textId="77777777" w:rsidR="002B6CE6" w:rsidRPr="000244C1" w:rsidRDefault="002B6CE6" w:rsidP="002B6CE6">
      <w:pPr>
        <w:pStyle w:val="C-BodyText"/>
        <w:rPr>
          <w:lang w:val="en-AU"/>
        </w:rPr>
      </w:pPr>
      <w:proofErr w:type="gramStart"/>
      <w:r w:rsidRPr="000244C1">
        <w:rPr>
          <w:lang w:val="en-AU"/>
        </w:rPr>
        <w:t xml:space="preserve">Constipation, </w:t>
      </w:r>
      <w:proofErr w:type="spellStart"/>
      <w:r w:rsidRPr="000244C1">
        <w:rPr>
          <w:lang w:val="en-AU"/>
        </w:rPr>
        <w:t>lightheadedness</w:t>
      </w:r>
      <w:proofErr w:type="spellEnd"/>
      <w:r w:rsidRPr="000244C1">
        <w:rPr>
          <w:lang w:val="en-AU"/>
        </w:rPr>
        <w:t xml:space="preserve">, dizziness, </w:t>
      </w:r>
      <w:r w:rsidRPr="000244C1">
        <w:rPr>
          <w:color w:val="000000"/>
          <w:lang w:val="en-AU"/>
        </w:rPr>
        <w:t>headache,</w:t>
      </w:r>
      <w:r w:rsidRPr="000244C1">
        <w:rPr>
          <w:color w:val="0000FF"/>
          <w:lang w:val="en-AU"/>
        </w:rPr>
        <w:t xml:space="preserve"> </w:t>
      </w:r>
      <w:r w:rsidRPr="000244C1">
        <w:rPr>
          <w:lang w:val="en-AU"/>
        </w:rPr>
        <w:t>sedation, nausea, vomiting, sweating, dysphoria and euphoria.</w:t>
      </w:r>
      <w:proofErr w:type="gramEnd"/>
    </w:p>
    <w:p w14:paraId="6C49237D" w14:textId="77777777" w:rsidR="002B6CE6" w:rsidRPr="000244C1" w:rsidRDefault="002B6CE6" w:rsidP="00FC2DCD">
      <w:pPr>
        <w:pStyle w:val="C-Heading3non-numbered"/>
        <w:rPr>
          <w:lang w:val="en-AU"/>
        </w:rPr>
      </w:pPr>
      <w:r w:rsidRPr="000244C1">
        <w:rPr>
          <w:lang w:val="en-AU"/>
        </w:rPr>
        <w:t>Sedation</w:t>
      </w:r>
    </w:p>
    <w:p w14:paraId="4CE36C05" w14:textId="77777777" w:rsidR="002B6CE6" w:rsidRPr="000244C1" w:rsidRDefault="002B6CE6" w:rsidP="002B6CE6">
      <w:pPr>
        <w:pStyle w:val="C-BodyText"/>
        <w:rPr>
          <w:lang w:val="en-AU"/>
        </w:rPr>
      </w:pPr>
      <w:r w:rsidRPr="000244C1">
        <w:rPr>
          <w:lang w:val="en-AU"/>
        </w:rPr>
        <w:t xml:space="preserve">Most patients receiving morphine will experience initial drowsiness.  This usually disappears in three to five days and is not a cause for concern unless it is excessive, or accompanied with unsteadiness or confusion.  Excessive or persistent sedation should be investigated.  Factors to be considered should include: concurrent sedative medications, the presence of hepatic or renal insufficiency, exacerbated respiratory failure, tolerance to the dose used especially in older patients, disease severity and the patient's general condition.  If the dose of </w:t>
      </w:r>
      <w:proofErr w:type="spellStart"/>
      <w:r w:rsidRPr="000244C1">
        <w:rPr>
          <w:lang w:val="en-AU"/>
        </w:rPr>
        <w:t>Kapanol</w:t>
      </w:r>
      <w:proofErr w:type="spellEnd"/>
      <w:r w:rsidRPr="000244C1">
        <w:rPr>
          <w:lang w:val="en-AU"/>
        </w:rPr>
        <w:t xml:space="preserve"> has been reduced and pain is not adequately controlled, the dose may be carefully increased again after a few days.</w:t>
      </w:r>
    </w:p>
    <w:p w14:paraId="4BB3CE2A" w14:textId="77777777" w:rsidR="002B6CE6" w:rsidRPr="000244C1" w:rsidRDefault="002B6CE6" w:rsidP="002B6CE6">
      <w:pPr>
        <w:pStyle w:val="C-Heading3non-numbered"/>
        <w:rPr>
          <w:lang w:val="en-AU"/>
        </w:rPr>
      </w:pPr>
      <w:r w:rsidRPr="000244C1">
        <w:rPr>
          <w:lang w:val="en-AU"/>
        </w:rPr>
        <w:t>Dizziness and Unsteadiness</w:t>
      </w:r>
    </w:p>
    <w:p w14:paraId="4BF8ECA3" w14:textId="77777777" w:rsidR="002B6CE6" w:rsidRPr="000244C1" w:rsidRDefault="002B6CE6" w:rsidP="002B6CE6">
      <w:pPr>
        <w:pStyle w:val="C-BodyText"/>
        <w:rPr>
          <w:lang w:val="en-AU"/>
        </w:rPr>
      </w:pPr>
      <w:r w:rsidRPr="000244C1">
        <w:rPr>
          <w:lang w:val="en-AU"/>
        </w:rPr>
        <w:t>Dizziness and unsteadiness may be associated with morphine-induced postural hypotension, particularly in elderly or debilitated patients.  The dosage should be adjusted according to individual needs but, because of reduced clearance, dosage may be lower in patients over 50 years of age.</w:t>
      </w:r>
    </w:p>
    <w:p w14:paraId="279AF8B7" w14:textId="77777777" w:rsidR="002B6CE6" w:rsidRPr="000244C1" w:rsidRDefault="002B6CE6" w:rsidP="002B6CE6">
      <w:pPr>
        <w:pStyle w:val="C-Heading3non-numbered"/>
        <w:rPr>
          <w:lang w:val="en-AU"/>
        </w:rPr>
      </w:pPr>
      <w:r w:rsidRPr="000244C1">
        <w:rPr>
          <w:lang w:val="en-AU"/>
        </w:rPr>
        <w:lastRenderedPageBreak/>
        <w:t>Nausea and Vomiting</w:t>
      </w:r>
    </w:p>
    <w:p w14:paraId="7F44539A" w14:textId="77777777" w:rsidR="002B6CE6" w:rsidRPr="000244C1" w:rsidRDefault="002B6CE6" w:rsidP="002B6CE6">
      <w:pPr>
        <w:pStyle w:val="C-BodyText"/>
        <w:rPr>
          <w:lang w:val="en-AU"/>
        </w:rPr>
      </w:pPr>
      <w:r w:rsidRPr="000244C1">
        <w:rPr>
          <w:lang w:val="en-AU"/>
        </w:rPr>
        <w:t>Nausea and vomiting is common after single doses of morphine or as an early undesirable effect of regular opioid therapy.  The prescription of a suitable antiemetic should be considered.  The frequency of nausea and vomiting usually decreases within a week or so but may persist due to opioid-induced gastric stasis.  Metoclopramide is often useful in such patients.</w:t>
      </w:r>
    </w:p>
    <w:p w14:paraId="7B4833F4" w14:textId="77777777" w:rsidR="002B6CE6" w:rsidRPr="000244C1" w:rsidRDefault="002B6CE6" w:rsidP="002B6CE6">
      <w:pPr>
        <w:pStyle w:val="C-Heading3non-numbered"/>
        <w:rPr>
          <w:lang w:val="en-AU"/>
        </w:rPr>
      </w:pPr>
      <w:r w:rsidRPr="000244C1">
        <w:rPr>
          <w:lang w:val="en-AU"/>
        </w:rPr>
        <w:t>Constipation</w:t>
      </w:r>
    </w:p>
    <w:p w14:paraId="1BFDFEF8" w14:textId="3DBAC7DA" w:rsidR="002B6CE6" w:rsidRPr="000244C1" w:rsidRDefault="002B6CE6" w:rsidP="002B6CE6">
      <w:pPr>
        <w:pStyle w:val="C-BodyText"/>
        <w:rPr>
          <w:lang w:val="en-AU"/>
        </w:rPr>
      </w:pPr>
      <w:r w:rsidRPr="000244C1">
        <w:rPr>
          <w:lang w:val="en-AU"/>
        </w:rPr>
        <w:t xml:space="preserve">Virtually all patients </w:t>
      </w:r>
      <w:r w:rsidR="00BF62E6" w:rsidRPr="000244C1">
        <w:rPr>
          <w:lang w:val="en-AU"/>
        </w:rPr>
        <w:t>experience</w:t>
      </w:r>
      <w:r w:rsidRPr="000244C1">
        <w:rPr>
          <w:lang w:val="en-AU"/>
        </w:rPr>
        <w:t xml:space="preserve"> constipation while taking opioids on a chronic basis.  Some patients, particularly elderly, debilitated or bedridden patients may </w:t>
      </w:r>
      <w:r w:rsidR="00BF62E6" w:rsidRPr="000244C1">
        <w:rPr>
          <w:lang w:val="en-AU"/>
        </w:rPr>
        <w:t>e</w:t>
      </w:r>
      <w:r w:rsidR="0090635E" w:rsidRPr="000244C1">
        <w:rPr>
          <w:lang w:val="en-AU"/>
        </w:rPr>
        <w:t>x</w:t>
      </w:r>
      <w:r w:rsidR="00BF62E6" w:rsidRPr="000244C1">
        <w:rPr>
          <w:lang w:val="en-AU"/>
        </w:rPr>
        <w:t>perience</w:t>
      </w:r>
      <w:r w:rsidRPr="000244C1">
        <w:rPr>
          <w:lang w:val="en-AU"/>
        </w:rPr>
        <w:t xml:space="preserve"> impacted faeces.  Patients must be cautioned accordingly and laxatives, softeners and other appropriate treatments should be initiated at the beginning of opioid therapy.</w:t>
      </w:r>
    </w:p>
    <w:p w14:paraId="7A2B3626" w14:textId="77777777" w:rsidR="002B6CE6" w:rsidRPr="000244C1" w:rsidRDefault="002B6CE6" w:rsidP="002B6CE6">
      <w:pPr>
        <w:pStyle w:val="C-Heading2non-numbered"/>
        <w:rPr>
          <w:lang w:val="en-AU"/>
        </w:rPr>
      </w:pPr>
      <w:r w:rsidRPr="000244C1">
        <w:rPr>
          <w:lang w:val="en-AU"/>
        </w:rPr>
        <w:t>Other Adverse Reactions Include</w:t>
      </w:r>
    </w:p>
    <w:p w14:paraId="66C949A3" w14:textId="77777777" w:rsidR="002B6CE6" w:rsidRPr="000244C1" w:rsidRDefault="002B6CE6" w:rsidP="002B6CE6">
      <w:pPr>
        <w:pStyle w:val="C-Heading3non-numbered"/>
        <w:rPr>
          <w:lang w:val="en-AU"/>
        </w:rPr>
      </w:pPr>
      <w:r w:rsidRPr="000244C1">
        <w:rPr>
          <w:lang w:val="en-AU"/>
        </w:rPr>
        <w:t>Cardiovascular</w:t>
      </w:r>
    </w:p>
    <w:p w14:paraId="531AD98A" w14:textId="77777777" w:rsidR="002B6CE6" w:rsidRPr="000244C1" w:rsidRDefault="002B6CE6" w:rsidP="002B6CE6">
      <w:pPr>
        <w:pStyle w:val="C-BodyText"/>
        <w:rPr>
          <w:lang w:val="en-AU"/>
        </w:rPr>
      </w:pPr>
      <w:proofErr w:type="gramStart"/>
      <w:r w:rsidRPr="000244C1">
        <w:rPr>
          <w:lang w:val="en-AU"/>
        </w:rPr>
        <w:t>Flushing of the face, chills, tachycardia, bradycardia, palpitations, faintness, syncope, hypotension and hypertension.</w:t>
      </w:r>
      <w:proofErr w:type="gramEnd"/>
    </w:p>
    <w:p w14:paraId="48186F7B" w14:textId="77777777" w:rsidR="002B6CE6" w:rsidRPr="000244C1" w:rsidRDefault="002B6CE6" w:rsidP="002B6CE6">
      <w:pPr>
        <w:pStyle w:val="C-Heading3non-numbered"/>
        <w:rPr>
          <w:lang w:val="en-AU"/>
        </w:rPr>
      </w:pPr>
      <w:r w:rsidRPr="000244C1">
        <w:rPr>
          <w:lang w:val="en-AU"/>
        </w:rPr>
        <w:t>Central Nervous System (CNS)</w:t>
      </w:r>
    </w:p>
    <w:p w14:paraId="6C798E2F" w14:textId="77777777" w:rsidR="002B6CE6" w:rsidRPr="000244C1" w:rsidRDefault="002B6CE6" w:rsidP="002B6CE6">
      <w:pPr>
        <w:pStyle w:val="C-BodyText"/>
        <w:rPr>
          <w:lang w:val="en-AU"/>
        </w:rPr>
      </w:pPr>
      <w:proofErr w:type="gramStart"/>
      <w:r w:rsidRPr="000244C1">
        <w:rPr>
          <w:lang w:val="en-AU"/>
        </w:rPr>
        <w:t xml:space="preserve">Euphoria, dysphoria, weakness, insomnia, dizziness, </w:t>
      </w:r>
      <w:proofErr w:type="spellStart"/>
      <w:r w:rsidRPr="000244C1">
        <w:rPr>
          <w:lang w:val="en-AU"/>
        </w:rPr>
        <w:t>confusional</w:t>
      </w:r>
      <w:proofErr w:type="spellEnd"/>
      <w:r w:rsidRPr="000244C1">
        <w:rPr>
          <w:lang w:val="en-AU"/>
        </w:rPr>
        <w:t xml:space="preserve"> symptoms and occasionally hallucinations.</w:t>
      </w:r>
      <w:proofErr w:type="gramEnd"/>
    </w:p>
    <w:p w14:paraId="0E508C60" w14:textId="77777777" w:rsidR="002B6CE6" w:rsidRPr="000244C1" w:rsidRDefault="002B6CE6" w:rsidP="002B6CE6">
      <w:pPr>
        <w:pStyle w:val="C-Heading3non-numbered"/>
        <w:rPr>
          <w:lang w:val="en-AU"/>
        </w:rPr>
      </w:pPr>
      <w:r w:rsidRPr="000244C1">
        <w:rPr>
          <w:lang w:val="en-AU"/>
        </w:rPr>
        <w:t>Gastrointestinal</w:t>
      </w:r>
    </w:p>
    <w:p w14:paraId="4325F68C" w14:textId="77777777" w:rsidR="002B6CE6" w:rsidRPr="000244C1" w:rsidRDefault="002B6CE6" w:rsidP="002B6CE6">
      <w:pPr>
        <w:pStyle w:val="C-BodyText"/>
        <w:rPr>
          <w:lang w:val="en-AU"/>
        </w:rPr>
      </w:pPr>
      <w:r w:rsidRPr="000244C1">
        <w:rPr>
          <w:lang w:val="en-AU"/>
        </w:rPr>
        <w:t>Dry mouth, anorexia, constipation, laryngospasm, colic, taste alterations and biliary colic.</w:t>
      </w:r>
    </w:p>
    <w:p w14:paraId="22703121" w14:textId="77777777" w:rsidR="002B6CE6" w:rsidRPr="000244C1" w:rsidRDefault="002B6CE6" w:rsidP="002B6CE6">
      <w:pPr>
        <w:pStyle w:val="C-Heading3non-numbered"/>
        <w:rPr>
          <w:lang w:val="en-AU"/>
        </w:rPr>
      </w:pPr>
      <w:r w:rsidRPr="000244C1">
        <w:rPr>
          <w:lang w:val="en-AU"/>
        </w:rPr>
        <w:t>Genitourinary</w:t>
      </w:r>
    </w:p>
    <w:p w14:paraId="4519716A" w14:textId="77777777" w:rsidR="002B6CE6" w:rsidRPr="000244C1" w:rsidRDefault="002B6CE6" w:rsidP="002B6CE6">
      <w:pPr>
        <w:pStyle w:val="C-BodyText"/>
        <w:rPr>
          <w:lang w:val="en-AU"/>
        </w:rPr>
      </w:pPr>
      <w:proofErr w:type="gramStart"/>
      <w:r w:rsidRPr="000244C1">
        <w:rPr>
          <w:lang w:val="en-AU"/>
        </w:rPr>
        <w:t>Urinary retention or hesitancy, reduced libido or potency.</w:t>
      </w:r>
      <w:proofErr w:type="gramEnd"/>
    </w:p>
    <w:p w14:paraId="7C20D2B6" w14:textId="77777777" w:rsidR="002B6CE6" w:rsidRPr="000244C1" w:rsidRDefault="002B6CE6" w:rsidP="002B6CE6">
      <w:pPr>
        <w:pStyle w:val="C-Heading3non-numbered"/>
        <w:rPr>
          <w:lang w:val="en-AU"/>
        </w:rPr>
      </w:pPr>
      <w:r w:rsidRPr="000244C1">
        <w:rPr>
          <w:lang w:val="en-AU"/>
        </w:rPr>
        <w:t>Endocrine</w:t>
      </w:r>
    </w:p>
    <w:p w14:paraId="12407CD7" w14:textId="77777777" w:rsidR="002B6CE6" w:rsidRPr="000244C1" w:rsidRDefault="002B6CE6" w:rsidP="002B6CE6">
      <w:pPr>
        <w:pStyle w:val="C-BodyText"/>
        <w:rPr>
          <w:lang w:val="en-AU"/>
        </w:rPr>
      </w:pPr>
      <w:r w:rsidRPr="000244C1">
        <w:rPr>
          <w:lang w:val="en-AU"/>
        </w:rPr>
        <w:t>A syndrome of inappropriate antidiuretic hormone secretion characterised by hyponatraemia secondary to decreased free-water excretion may occur (monitoring of electrolytes may be necessary).</w:t>
      </w:r>
    </w:p>
    <w:p w14:paraId="4F020D29" w14:textId="77777777" w:rsidR="002B6CE6" w:rsidRPr="000244C1" w:rsidRDefault="002B6CE6" w:rsidP="002B6CE6">
      <w:pPr>
        <w:pStyle w:val="C-Heading3non-numbered"/>
        <w:rPr>
          <w:lang w:val="en-AU"/>
        </w:rPr>
      </w:pPr>
      <w:r w:rsidRPr="000244C1">
        <w:rPr>
          <w:lang w:val="en-AU"/>
        </w:rPr>
        <w:t>Visual Disturbances</w:t>
      </w:r>
    </w:p>
    <w:p w14:paraId="1CBFBB8F" w14:textId="77777777" w:rsidR="002B6CE6" w:rsidRPr="000244C1" w:rsidRDefault="002B6CE6" w:rsidP="002B6CE6">
      <w:pPr>
        <w:pStyle w:val="C-BodyText"/>
        <w:rPr>
          <w:lang w:val="en-AU"/>
        </w:rPr>
      </w:pPr>
      <w:proofErr w:type="gramStart"/>
      <w:r w:rsidRPr="000244C1">
        <w:rPr>
          <w:lang w:val="en-AU"/>
        </w:rPr>
        <w:t xml:space="preserve">Blurred vision, nystagmus, diplopia and </w:t>
      </w:r>
      <w:proofErr w:type="spellStart"/>
      <w:r w:rsidRPr="000244C1">
        <w:rPr>
          <w:lang w:val="en-AU"/>
        </w:rPr>
        <w:t>miosis</w:t>
      </w:r>
      <w:proofErr w:type="spellEnd"/>
      <w:r w:rsidRPr="000244C1">
        <w:rPr>
          <w:lang w:val="en-AU"/>
        </w:rPr>
        <w:t>.</w:t>
      </w:r>
      <w:proofErr w:type="gramEnd"/>
    </w:p>
    <w:p w14:paraId="028B1261" w14:textId="77777777" w:rsidR="002B6CE6" w:rsidRPr="000244C1" w:rsidRDefault="002B6CE6" w:rsidP="002B6CE6">
      <w:pPr>
        <w:pStyle w:val="C-Heading3non-numbered"/>
        <w:rPr>
          <w:lang w:val="en-AU"/>
        </w:rPr>
      </w:pPr>
      <w:r w:rsidRPr="000244C1">
        <w:rPr>
          <w:lang w:val="en-AU"/>
        </w:rPr>
        <w:t>Allergic</w:t>
      </w:r>
    </w:p>
    <w:p w14:paraId="2C4CB3E9" w14:textId="77777777" w:rsidR="002B6CE6" w:rsidRPr="000244C1" w:rsidRDefault="002B6CE6" w:rsidP="002B6CE6">
      <w:pPr>
        <w:pStyle w:val="C-BodyText"/>
        <w:rPr>
          <w:lang w:val="en-AU"/>
        </w:rPr>
      </w:pPr>
      <w:proofErr w:type="gramStart"/>
      <w:r w:rsidRPr="000244C1">
        <w:rPr>
          <w:lang w:val="en-AU"/>
        </w:rPr>
        <w:t xml:space="preserve">Pruritus, </w:t>
      </w:r>
      <w:proofErr w:type="spellStart"/>
      <w:r w:rsidRPr="000244C1">
        <w:rPr>
          <w:lang w:val="en-AU"/>
        </w:rPr>
        <w:t>urticaria</w:t>
      </w:r>
      <w:proofErr w:type="spellEnd"/>
      <w:r w:rsidRPr="000244C1">
        <w:rPr>
          <w:lang w:val="en-AU"/>
        </w:rPr>
        <w:t>, other skin rashes and oedema.</w:t>
      </w:r>
      <w:proofErr w:type="gramEnd"/>
    </w:p>
    <w:p w14:paraId="159EAC9E" w14:textId="77777777" w:rsidR="002B6CE6" w:rsidRPr="000244C1" w:rsidRDefault="002B6CE6" w:rsidP="002B6CE6">
      <w:pPr>
        <w:pStyle w:val="C-Heading3non-numbered"/>
        <w:rPr>
          <w:lang w:val="en-AU"/>
        </w:rPr>
      </w:pPr>
      <w:bookmarkStart w:id="7" w:name="_Hlk530562465"/>
      <w:r w:rsidRPr="000244C1">
        <w:rPr>
          <w:lang w:val="en-AU"/>
        </w:rPr>
        <w:t>Withdrawal (Abstinence) Syndrome</w:t>
      </w:r>
    </w:p>
    <w:p w14:paraId="0350F202" w14:textId="77777777" w:rsidR="002B6CE6" w:rsidRPr="000244C1" w:rsidRDefault="002B6CE6" w:rsidP="002B6CE6">
      <w:pPr>
        <w:pStyle w:val="C-BodyText"/>
        <w:rPr>
          <w:lang w:val="en-AU"/>
        </w:rPr>
      </w:pPr>
      <w:r w:rsidRPr="000244C1">
        <w:rPr>
          <w:lang w:val="en-AU"/>
        </w:rPr>
        <w:t xml:space="preserve">Chronic use of opioid analgesics may be associated with the development of physical dependence.  </w:t>
      </w:r>
      <w:bookmarkEnd w:id="7"/>
      <w:r w:rsidRPr="000244C1">
        <w:rPr>
          <w:lang w:val="en-AU"/>
        </w:rPr>
        <w:t>An abstinence syndrome may be precipitated when opioid administration is suddenly discontinued or opioid antagonists administered.</w:t>
      </w:r>
    </w:p>
    <w:p w14:paraId="5360EA93" w14:textId="586680BB" w:rsidR="002B6CE6" w:rsidRPr="000244C1" w:rsidRDefault="002B6CE6" w:rsidP="002B6CE6">
      <w:pPr>
        <w:pStyle w:val="C-BodyText"/>
        <w:rPr>
          <w:lang w:val="en-AU"/>
        </w:rPr>
      </w:pPr>
      <w:r w:rsidRPr="000244C1">
        <w:rPr>
          <w:lang w:val="en-AU"/>
        </w:rPr>
        <w:lastRenderedPageBreak/>
        <w:t xml:space="preserve">Withdrawal symptoms that may be observed after discontinuation of opioid use include: body aches, diarrhoea, piloerection, anorexia, nervousness or restlessness, rhinorrhoea, sneezing, tremors or shivering, abdominal colic, nausea, sleep disturbance, unusual increase in sweating and yawning, weakness, tachycardia </w:t>
      </w:r>
      <w:r w:rsidR="00057BF0" w:rsidRPr="000244C1">
        <w:rPr>
          <w:lang w:val="en-AU"/>
        </w:rPr>
        <w:t>or</w:t>
      </w:r>
      <w:r w:rsidRPr="000244C1">
        <w:rPr>
          <w:lang w:val="en-AU"/>
        </w:rPr>
        <w:t xml:space="preserve"> unexplained fever.  With appropriate dose adjustments and gradual withdrawal</w:t>
      </w:r>
      <w:r w:rsidR="00BF62E6" w:rsidRPr="000244C1">
        <w:rPr>
          <w:lang w:val="en-AU"/>
        </w:rPr>
        <w:t>,</w:t>
      </w:r>
      <w:r w:rsidRPr="000244C1">
        <w:rPr>
          <w:lang w:val="en-AU"/>
        </w:rPr>
        <w:t xml:space="preserve"> these symptoms are usually mild.</w:t>
      </w:r>
    </w:p>
    <w:p w14:paraId="3D4B4676" w14:textId="3B847B80" w:rsidR="002069B5" w:rsidRPr="000244C1" w:rsidRDefault="003960B2" w:rsidP="00F06B6D">
      <w:pPr>
        <w:pStyle w:val="C-Heading2"/>
        <w:rPr>
          <w:lang w:val="en-AU"/>
        </w:rPr>
      </w:pPr>
      <w:r w:rsidRPr="000244C1">
        <w:rPr>
          <w:lang w:val="en-AU"/>
        </w:rPr>
        <w:t>Overdose</w:t>
      </w:r>
    </w:p>
    <w:p w14:paraId="3DCEBF45" w14:textId="77777777" w:rsidR="007E2BA4" w:rsidRPr="000244C1" w:rsidRDefault="007E2BA4" w:rsidP="007E2BA4">
      <w:pPr>
        <w:pStyle w:val="C-Heading2non-numbered"/>
        <w:rPr>
          <w:lang w:val="en-AU"/>
        </w:rPr>
      </w:pPr>
      <w:r w:rsidRPr="000244C1">
        <w:rPr>
          <w:lang w:val="en-AU"/>
        </w:rPr>
        <w:t>Symptoms</w:t>
      </w:r>
    </w:p>
    <w:p w14:paraId="3F8C9BC6" w14:textId="77777777" w:rsidR="007E2BA4" w:rsidRPr="000244C1" w:rsidRDefault="007E2BA4" w:rsidP="007E2BA4">
      <w:pPr>
        <w:pStyle w:val="C-BodyText"/>
        <w:rPr>
          <w:lang w:val="en-AU"/>
        </w:rPr>
      </w:pPr>
      <w:r w:rsidRPr="000244C1">
        <w:rPr>
          <w:lang w:val="en-AU"/>
        </w:rPr>
        <w:t xml:space="preserve">Acute </w:t>
      </w:r>
      <w:proofErr w:type="spellStart"/>
      <w:r w:rsidRPr="000244C1">
        <w:rPr>
          <w:lang w:val="en-AU"/>
        </w:rPr>
        <w:t>overdosage</w:t>
      </w:r>
      <w:proofErr w:type="spellEnd"/>
      <w:r w:rsidRPr="000244C1">
        <w:rPr>
          <w:lang w:val="en-AU"/>
        </w:rPr>
        <w:t xml:space="preserve"> with morphine is manifested by respiratory depression, somnolence progressing to stupor or coma, skeletal muscle flaccidity, cold and clammy skin, constricted pupils, and sometimes bradycardia and hypotension. </w:t>
      </w:r>
    </w:p>
    <w:p w14:paraId="1040CF61" w14:textId="77777777" w:rsidR="007E2BA4" w:rsidRPr="000244C1" w:rsidRDefault="007E2BA4" w:rsidP="007E2BA4">
      <w:pPr>
        <w:pStyle w:val="C-Heading2non-numbered"/>
        <w:rPr>
          <w:lang w:val="en-AU"/>
        </w:rPr>
      </w:pPr>
      <w:r w:rsidRPr="000244C1">
        <w:rPr>
          <w:lang w:val="en-AU"/>
        </w:rPr>
        <w:t>Treatment</w:t>
      </w:r>
    </w:p>
    <w:p w14:paraId="2160648D" w14:textId="18386B4B" w:rsidR="007E2BA4" w:rsidRPr="000244C1" w:rsidRDefault="007E2BA4" w:rsidP="007E2BA4">
      <w:pPr>
        <w:pStyle w:val="C-BodyText"/>
        <w:rPr>
          <w:lang w:val="en-AU"/>
        </w:rPr>
      </w:pPr>
      <w:r w:rsidRPr="000244C1">
        <w:rPr>
          <w:lang w:val="en-AU"/>
        </w:rPr>
        <w:t xml:space="preserve">Primary attention should be given to the establishment of a patent airway and institution of assisted or controlled ventilation. The pure opioid antagonist, naloxone hydrochloride, is a specific antidote against respiratory depression which results from opioid overdose. Naloxone (usually 0.4 to 2.0 mg) should be administered intravenously.  However, because its duration of action is relatively short, the patient must be carefully monitored until spontaneous respiration is reliably re-established. </w:t>
      </w:r>
      <w:proofErr w:type="spellStart"/>
      <w:r w:rsidRPr="000244C1">
        <w:rPr>
          <w:lang w:val="en-AU"/>
        </w:rPr>
        <w:t>Kapanol</w:t>
      </w:r>
      <w:proofErr w:type="spellEnd"/>
      <w:r w:rsidRPr="000244C1">
        <w:rPr>
          <w:lang w:val="en-AU"/>
        </w:rPr>
        <w:t xml:space="preserve"> will continue to release and add to the morphine load for up to 12 hours after administration and the management of morphine </w:t>
      </w:r>
      <w:proofErr w:type="spellStart"/>
      <w:r w:rsidRPr="000244C1">
        <w:rPr>
          <w:lang w:val="en-AU"/>
        </w:rPr>
        <w:t>overdosage</w:t>
      </w:r>
      <w:proofErr w:type="spellEnd"/>
      <w:r w:rsidRPr="000244C1">
        <w:rPr>
          <w:lang w:val="en-AU"/>
        </w:rPr>
        <w:t xml:space="preserve"> should be modified accordingly. If the response to naloxone is sub</w:t>
      </w:r>
      <w:r w:rsidR="00390BC1" w:rsidRPr="000244C1">
        <w:rPr>
          <w:lang w:val="en-AU"/>
        </w:rPr>
        <w:t>-</w:t>
      </w:r>
      <w:r w:rsidRPr="000244C1">
        <w:rPr>
          <w:lang w:val="en-AU"/>
        </w:rPr>
        <w:t xml:space="preserve">optimal or not sustained, additional naloxone may be administered as needed, or given by continuous intravenous infusion to maintain alertness and respiratory function.  There is no information available about the cumulative dose of naloxone that may be safely administered. </w:t>
      </w:r>
    </w:p>
    <w:p w14:paraId="09FE446D" w14:textId="77777777" w:rsidR="007E2BA4" w:rsidRPr="000244C1" w:rsidRDefault="007E2BA4" w:rsidP="007E2BA4">
      <w:pPr>
        <w:pStyle w:val="C-BodyText"/>
        <w:rPr>
          <w:lang w:val="en-AU"/>
        </w:rPr>
      </w:pPr>
      <w:r w:rsidRPr="000244C1">
        <w:rPr>
          <w:lang w:val="en-AU"/>
        </w:rPr>
        <w:t xml:space="preserve">Naloxone should not be administered in the absence of clinically significant respiratory or circulatory depression secondary to morphine </w:t>
      </w:r>
      <w:proofErr w:type="spellStart"/>
      <w:r w:rsidRPr="000244C1">
        <w:rPr>
          <w:lang w:val="en-AU"/>
        </w:rPr>
        <w:t>overdosage</w:t>
      </w:r>
      <w:proofErr w:type="spellEnd"/>
      <w:r w:rsidRPr="000244C1">
        <w:rPr>
          <w:lang w:val="en-AU"/>
        </w:rPr>
        <w:t xml:space="preserve">. Naloxone should be administered cautiously to persons who are known or suspected to be physically dependent on </w:t>
      </w:r>
      <w:proofErr w:type="spellStart"/>
      <w:r w:rsidRPr="000244C1">
        <w:rPr>
          <w:lang w:val="en-AU"/>
        </w:rPr>
        <w:t>Kapanol</w:t>
      </w:r>
      <w:proofErr w:type="spellEnd"/>
      <w:r w:rsidRPr="000244C1">
        <w:rPr>
          <w:lang w:val="en-AU"/>
        </w:rPr>
        <w:t>.  In such cases, an abrupt or complete reversal of opioid effects may precipitate an acute withdrawal syndrome.  The severity of the withdrawal syndrome produced will depend on the degree of physical dependence and the dose of the antagonist administered. If it is necessary to treat serious respiratory depression in the physically dependent patient, the antagonist should be administered with extreme care and by titration with smaller than usual doses of the antagonist.</w:t>
      </w:r>
    </w:p>
    <w:p w14:paraId="7A93BCD8" w14:textId="77777777" w:rsidR="007E2BA4" w:rsidRPr="000244C1" w:rsidRDefault="007E2BA4" w:rsidP="007E2BA4">
      <w:pPr>
        <w:pStyle w:val="C-BodyText"/>
        <w:rPr>
          <w:lang w:val="en-AU"/>
        </w:rPr>
      </w:pPr>
      <w:r w:rsidRPr="000244C1">
        <w:rPr>
          <w:lang w:val="en-AU"/>
        </w:rPr>
        <w:t xml:space="preserve">Supportive measures (including oxygen, vasopressors) should be employed in the management of circulatory shock and pulmonary oedema accompanying overdose as indicated. Cardiac arrest or arrhythmias may require cardiac massage or defibrillation.  </w:t>
      </w:r>
    </w:p>
    <w:p w14:paraId="10C0B3F7" w14:textId="77777777" w:rsidR="007E2BA4" w:rsidRPr="000244C1" w:rsidRDefault="007E2BA4" w:rsidP="007E2BA4">
      <w:pPr>
        <w:pStyle w:val="C-BodyText"/>
        <w:rPr>
          <w:lang w:val="en-AU"/>
        </w:rPr>
      </w:pPr>
      <w:r w:rsidRPr="000244C1">
        <w:rPr>
          <w:lang w:val="en-AU"/>
        </w:rPr>
        <w:t>Gastric contents may need to be emptied by gastric lavage</w:t>
      </w:r>
      <w:r w:rsidRPr="000244C1">
        <w:rPr>
          <w:b/>
          <w:lang w:val="en-AU"/>
        </w:rPr>
        <w:t xml:space="preserve"> </w:t>
      </w:r>
      <w:r w:rsidRPr="000244C1">
        <w:rPr>
          <w:lang w:val="en-AU"/>
        </w:rPr>
        <w:t>as this can be useful in removing unabsorbed drug, particularly when a sustained-release formulation has been taken.</w:t>
      </w:r>
    </w:p>
    <w:p w14:paraId="4BC4CA32" w14:textId="77777777" w:rsidR="007E2BA4" w:rsidRPr="000244C1" w:rsidRDefault="007E2BA4" w:rsidP="007E2BA4">
      <w:pPr>
        <w:pStyle w:val="C-BodyText"/>
        <w:rPr>
          <w:lang w:val="en-AU"/>
        </w:rPr>
      </w:pPr>
      <w:r w:rsidRPr="000244C1">
        <w:rPr>
          <w:lang w:val="en-AU"/>
        </w:rPr>
        <w:t xml:space="preserve">Morphine toxicity may be a result of </w:t>
      </w:r>
      <w:proofErr w:type="spellStart"/>
      <w:r w:rsidRPr="000244C1">
        <w:rPr>
          <w:lang w:val="en-AU"/>
        </w:rPr>
        <w:t>overdosage</w:t>
      </w:r>
      <w:proofErr w:type="spellEnd"/>
      <w:r w:rsidRPr="000244C1">
        <w:rPr>
          <w:lang w:val="en-AU"/>
        </w:rPr>
        <w:t xml:space="preserve"> but because of the large inter-individual variation in sensitivity to opioids it is difficult to assess the exact dose of any opioid that is toxic or lethal. The toxic effects of morphine tend to be overshadowed by the presence of pain or tolerance.  Patients having chronic morphine therapy have been known to take in excess of 3,000 mg/day with no apparent toxic effects being present.</w:t>
      </w:r>
    </w:p>
    <w:p w14:paraId="1742DE81" w14:textId="53AEA603" w:rsidR="007E2BA4" w:rsidRPr="000244C1" w:rsidRDefault="007E2BA4" w:rsidP="007E2BA4">
      <w:pPr>
        <w:pStyle w:val="C-BodyText"/>
        <w:rPr>
          <w:lang w:val="en-AU"/>
        </w:rPr>
      </w:pPr>
      <w:r w:rsidRPr="000244C1">
        <w:rPr>
          <w:lang w:val="en-AU"/>
        </w:rPr>
        <w:lastRenderedPageBreak/>
        <w:t xml:space="preserve">Contact the Poisons Information Centre </w:t>
      </w:r>
      <w:r w:rsidR="00572007" w:rsidRPr="000244C1">
        <w:rPr>
          <w:lang w:val="en-AU"/>
        </w:rPr>
        <w:t>on</w:t>
      </w:r>
      <w:r w:rsidRPr="000244C1">
        <w:rPr>
          <w:lang w:val="en-AU"/>
        </w:rPr>
        <w:t xml:space="preserve"> 13 11 </w:t>
      </w:r>
      <w:proofErr w:type="gramStart"/>
      <w:r w:rsidRPr="000244C1">
        <w:rPr>
          <w:lang w:val="en-AU"/>
        </w:rPr>
        <w:t xml:space="preserve">26 </w:t>
      </w:r>
      <w:r w:rsidR="00572007" w:rsidRPr="000244C1">
        <w:rPr>
          <w:lang w:val="en-AU"/>
        </w:rPr>
        <w:t xml:space="preserve"> (</w:t>
      </w:r>
      <w:proofErr w:type="gramEnd"/>
      <w:r w:rsidR="00572007" w:rsidRPr="000244C1">
        <w:rPr>
          <w:lang w:val="en-AU"/>
        </w:rPr>
        <w:t xml:space="preserve">Australia) </w:t>
      </w:r>
      <w:r w:rsidRPr="000244C1">
        <w:rPr>
          <w:lang w:val="en-AU"/>
        </w:rPr>
        <w:t>for advice on overdose management.</w:t>
      </w:r>
    </w:p>
    <w:p w14:paraId="3EF4AD30" w14:textId="016BB73C" w:rsidR="002E4D1F" w:rsidRPr="000244C1" w:rsidRDefault="002E4D1F" w:rsidP="00F06B6D">
      <w:pPr>
        <w:pStyle w:val="C-Heading1nopagebreak"/>
        <w:rPr>
          <w:lang w:val="en-AU" w:eastAsia="zh-CN"/>
        </w:rPr>
      </w:pPr>
      <w:r w:rsidRPr="000244C1">
        <w:rPr>
          <w:lang w:val="en-AU"/>
        </w:rPr>
        <w:t>PHARMACOLOGICAL PROPERTIES</w:t>
      </w:r>
    </w:p>
    <w:p w14:paraId="5D5768D9" w14:textId="6482BB29" w:rsidR="002E4D1F" w:rsidRPr="000244C1" w:rsidRDefault="003960B2" w:rsidP="00FC2DCD">
      <w:pPr>
        <w:pStyle w:val="C-Heading2"/>
        <w:rPr>
          <w:lang w:val="en-AU" w:eastAsia="zh-CN"/>
        </w:rPr>
      </w:pPr>
      <w:proofErr w:type="spellStart"/>
      <w:r w:rsidRPr="000244C1">
        <w:rPr>
          <w:lang w:val="en-AU"/>
        </w:rPr>
        <w:t>Pharmacodynamic</w:t>
      </w:r>
      <w:proofErr w:type="spellEnd"/>
      <w:r w:rsidRPr="000244C1">
        <w:rPr>
          <w:lang w:val="en-AU"/>
        </w:rPr>
        <w:t xml:space="preserve"> Properties</w:t>
      </w:r>
    </w:p>
    <w:p w14:paraId="7D5E2FA9" w14:textId="0891528D" w:rsidR="002E4D1F" w:rsidRPr="000244C1" w:rsidRDefault="002E4D1F" w:rsidP="00F06B6D">
      <w:pPr>
        <w:pStyle w:val="C-Heading2non-numbered"/>
        <w:rPr>
          <w:lang w:val="en-AU"/>
        </w:rPr>
      </w:pPr>
      <w:r w:rsidRPr="000244C1">
        <w:rPr>
          <w:lang w:val="en-AU"/>
        </w:rPr>
        <w:t xml:space="preserve">Mechanism of </w:t>
      </w:r>
      <w:r w:rsidR="00F71B9E" w:rsidRPr="000244C1">
        <w:rPr>
          <w:lang w:val="en-AU"/>
        </w:rPr>
        <w:t>A</w:t>
      </w:r>
      <w:r w:rsidRPr="000244C1">
        <w:rPr>
          <w:lang w:val="en-AU"/>
        </w:rPr>
        <w:t>ction</w:t>
      </w:r>
    </w:p>
    <w:p w14:paraId="60C7E79E" w14:textId="4376AF8E" w:rsidR="007E2BA4" w:rsidRPr="000244C1" w:rsidRDefault="007E2BA4" w:rsidP="007E2BA4">
      <w:pPr>
        <w:pStyle w:val="C-BodyText"/>
        <w:rPr>
          <w:lang w:val="en-AU"/>
        </w:rPr>
      </w:pPr>
      <w:r w:rsidRPr="000244C1">
        <w:rPr>
          <w:lang w:val="en-AU"/>
        </w:rPr>
        <w:t>Morphine is an opioid analgesic which exerts an agonist effect at specific, saturable opioid receptors in the CNS and other tissues.  Morphine produces diverse pharmacological effects in man including analgesia, suppression of the cough reflex, respiratory depression due to a reduction in the responsiveness of the respiratory centre to carbon dioxide, nausea and emesis through direct stimulation of the chemoreceptor trigger-zone (CTZ), mood changes including euphoria and dysphoria, sedation, mental clouding, alterations in both the endocrine and autonomic nervous systems, and a decrease in gastrointestinal motility leading to constipation.</w:t>
      </w:r>
    </w:p>
    <w:p w14:paraId="2EA388F4" w14:textId="7BAAF486" w:rsidR="002E4D1F" w:rsidRPr="000244C1" w:rsidRDefault="002E4D1F" w:rsidP="00F06B6D">
      <w:pPr>
        <w:pStyle w:val="C-Heading2non-numbered"/>
        <w:rPr>
          <w:lang w:val="en-AU"/>
        </w:rPr>
      </w:pPr>
      <w:r w:rsidRPr="000244C1">
        <w:rPr>
          <w:lang w:val="en-AU"/>
        </w:rPr>
        <w:t xml:space="preserve">Clinical </w:t>
      </w:r>
      <w:r w:rsidR="00F71B9E" w:rsidRPr="000244C1">
        <w:rPr>
          <w:lang w:val="en-AU"/>
        </w:rPr>
        <w:t>T</w:t>
      </w:r>
      <w:r w:rsidRPr="000244C1">
        <w:rPr>
          <w:lang w:val="en-AU"/>
        </w:rPr>
        <w:t>rials</w:t>
      </w:r>
    </w:p>
    <w:p w14:paraId="44B0B603" w14:textId="25F3C9E8" w:rsidR="007E2BA4" w:rsidRPr="000244C1" w:rsidRDefault="003B3E89" w:rsidP="007E2BA4">
      <w:pPr>
        <w:pStyle w:val="C-Heading3non-numbered"/>
        <w:rPr>
          <w:lang w:val="en-AU"/>
        </w:rPr>
      </w:pPr>
      <w:r w:rsidRPr="000244C1">
        <w:rPr>
          <w:lang w:val="en-AU"/>
        </w:rPr>
        <w:t xml:space="preserve">Symptom Reduction </w:t>
      </w:r>
      <w:r w:rsidR="007E2BA4" w:rsidRPr="000244C1">
        <w:rPr>
          <w:lang w:val="en-AU"/>
        </w:rPr>
        <w:t>of Chronic Pain</w:t>
      </w:r>
    </w:p>
    <w:p w14:paraId="7AFB647F" w14:textId="204778AD" w:rsidR="003B3E89" w:rsidRPr="000244C1" w:rsidRDefault="003B3E89" w:rsidP="007E2BA4">
      <w:pPr>
        <w:pStyle w:val="C-BodyText"/>
        <w:rPr>
          <w:lang w:val="en-AU"/>
        </w:rPr>
      </w:pPr>
      <w:r w:rsidRPr="000244C1">
        <w:rPr>
          <w:lang w:val="en-AU"/>
        </w:rPr>
        <w:t>Cancer-Related Pain:</w:t>
      </w:r>
    </w:p>
    <w:p w14:paraId="4A4369E1" w14:textId="33FFE4DB" w:rsidR="007E2BA4" w:rsidRPr="000244C1" w:rsidRDefault="007E2BA4" w:rsidP="007E2BA4">
      <w:pPr>
        <w:pStyle w:val="C-BodyText"/>
        <w:rPr>
          <w:lang w:val="en-AU"/>
        </w:rPr>
      </w:pPr>
      <w:r w:rsidRPr="000244C1">
        <w:rPr>
          <w:lang w:val="en-AU"/>
        </w:rPr>
        <w:t xml:space="preserve">A total of 94 healthy subjects and 224 patients with cancer pain participated in a total of 8 studies (6 pharmacokinetic and 3 clinical; one study reported both pharmacokinetic and clinical data).  Of these individuals, 94 healthy subjects and 171 patients received </w:t>
      </w:r>
      <w:proofErr w:type="spellStart"/>
      <w:r w:rsidRPr="000244C1">
        <w:rPr>
          <w:lang w:val="en-AU"/>
        </w:rPr>
        <w:t>Kapanol</w:t>
      </w:r>
      <w:proofErr w:type="spellEnd"/>
      <w:r w:rsidRPr="000244C1">
        <w:rPr>
          <w:lang w:val="en-AU"/>
        </w:rPr>
        <w:t xml:space="preserve">.  In the controlled clinical studies patients were followed for a median duration of 7 days.  </w:t>
      </w:r>
      <w:proofErr w:type="spellStart"/>
      <w:r w:rsidRPr="000244C1">
        <w:rPr>
          <w:lang w:val="en-AU"/>
        </w:rPr>
        <w:t>Kapanol</w:t>
      </w:r>
      <w:proofErr w:type="spellEnd"/>
      <w:r w:rsidRPr="000244C1">
        <w:rPr>
          <w:lang w:val="en-AU"/>
        </w:rPr>
        <w:t xml:space="preserve"> was compared to oral morphine solution and to MS </w:t>
      </w:r>
      <w:proofErr w:type="spellStart"/>
      <w:r w:rsidRPr="000244C1">
        <w:rPr>
          <w:lang w:val="en-AU"/>
        </w:rPr>
        <w:t>Contin</w:t>
      </w:r>
      <w:proofErr w:type="spellEnd"/>
      <w:r w:rsidRPr="000244C1">
        <w:rPr>
          <w:lang w:val="en-AU"/>
        </w:rPr>
        <w:sym w:font="Symbol" w:char="F0D2"/>
      </w:r>
      <w:r w:rsidRPr="000244C1">
        <w:rPr>
          <w:lang w:val="en-AU"/>
        </w:rPr>
        <w:t xml:space="preserve"> using trial designs that followed the clinical and pharmacokinetic performance of each treatment in cancer patients receiving chronic opioid therapy.</w:t>
      </w:r>
    </w:p>
    <w:p w14:paraId="1741BFF2" w14:textId="6E23A6B1" w:rsidR="007E2BA4" w:rsidRPr="000244C1" w:rsidRDefault="007E2BA4" w:rsidP="007E2BA4">
      <w:pPr>
        <w:pStyle w:val="C-BodyText"/>
        <w:rPr>
          <w:lang w:val="en-AU"/>
        </w:rPr>
      </w:pPr>
      <w:r w:rsidRPr="000244C1">
        <w:rPr>
          <w:lang w:val="en-AU"/>
        </w:rPr>
        <w:t xml:space="preserve">In one double-blind, controlled study, patients with moderate to severe cancer pain were titrated with immediate-release morphine (IRM) solution to a stable total daily dose of morphine for at least three consecutive days, then randomised to </w:t>
      </w:r>
      <w:proofErr w:type="spellStart"/>
      <w:r w:rsidRPr="000244C1">
        <w:rPr>
          <w:lang w:val="en-AU"/>
        </w:rPr>
        <w:t>Kapanol</w:t>
      </w:r>
      <w:proofErr w:type="spellEnd"/>
      <w:r w:rsidRPr="000244C1">
        <w:rPr>
          <w:lang w:val="en-AU"/>
        </w:rPr>
        <w:t xml:space="preserve"> once daily, </w:t>
      </w:r>
      <w:proofErr w:type="spellStart"/>
      <w:r w:rsidRPr="000244C1">
        <w:rPr>
          <w:lang w:val="en-AU"/>
        </w:rPr>
        <w:t>Kapanol</w:t>
      </w:r>
      <w:proofErr w:type="spellEnd"/>
      <w:r w:rsidRPr="000244C1">
        <w:rPr>
          <w:lang w:val="en-AU"/>
        </w:rPr>
        <w:t xml:space="preserve"> twice daily or MS </w:t>
      </w:r>
      <w:proofErr w:type="spellStart"/>
      <w:r w:rsidRPr="000244C1">
        <w:rPr>
          <w:lang w:val="en-AU"/>
        </w:rPr>
        <w:t>Contin</w:t>
      </w:r>
      <w:proofErr w:type="spellEnd"/>
      <w:r w:rsidRPr="000244C1">
        <w:rPr>
          <w:lang w:val="en-AU"/>
        </w:rPr>
        <w:t xml:space="preserve"> twice daily for seven days of observation.  </w:t>
      </w:r>
      <w:proofErr w:type="spellStart"/>
      <w:r w:rsidRPr="000244C1">
        <w:rPr>
          <w:lang w:val="en-AU"/>
        </w:rPr>
        <w:t>Kapanol</w:t>
      </w:r>
      <w:proofErr w:type="spellEnd"/>
      <w:r w:rsidRPr="000244C1">
        <w:rPr>
          <w:lang w:val="en-AU"/>
        </w:rPr>
        <w:t xml:space="preserve"> given once a day proved similar to the same total dose of morphine given in divided doses in a 12-hour dosage form, with respect to pain relief, use of rescue medication, patient and investigator global assessment, and quality of sleep.  Individual patient differences in the pattern of pain control emphasise the need to individualise the dose (see </w:t>
      </w:r>
      <w:r w:rsidR="000923C0" w:rsidRPr="000244C1">
        <w:rPr>
          <w:lang w:val="en-AU"/>
        </w:rPr>
        <w:t>Section 4.2 Dos</w:t>
      </w:r>
      <w:r w:rsidR="00F25D5D" w:rsidRPr="000244C1">
        <w:rPr>
          <w:lang w:val="en-AU"/>
        </w:rPr>
        <w:t>e</w:t>
      </w:r>
      <w:r w:rsidR="000923C0" w:rsidRPr="000244C1">
        <w:rPr>
          <w:lang w:val="en-AU"/>
        </w:rPr>
        <w:t xml:space="preserve"> and Method of Administration</w:t>
      </w:r>
      <w:r w:rsidRPr="000244C1">
        <w:rPr>
          <w:lang w:val="en-AU"/>
        </w:rPr>
        <w:t>).</w:t>
      </w:r>
    </w:p>
    <w:p w14:paraId="1105DF6A" w14:textId="6F656D7B" w:rsidR="007E2BA4" w:rsidRPr="000244C1" w:rsidRDefault="003B3E89" w:rsidP="007E2BA4">
      <w:pPr>
        <w:pStyle w:val="C-BodyText"/>
        <w:rPr>
          <w:lang w:val="en-AU"/>
        </w:rPr>
      </w:pPr>
      <w:r w:rsidRPr="000244C1">
        <w:rPr>
          <w:lang w:val="en-AU"/>
        </w:rPr>
        <w:t xml:space="preserve">Non-Cancer Related Pain: </w:t>
      </w:r>
      <w:r w:rsidR="007E2BA4" w:rsidRPr="000244C1">
        <w:rPr>
          <w:lang w:val="en-AU"/>
        </w:rPr>
        <w:t xml:space="preserve">One multi-centre, randomised, open-label, parallel study compared the efficacy and tolerability of 12-hourly </w:t>
      </w:r>
      <w:proofErr w:type="spellStart"/>
      <w:r w:rsidR="007E2BA4" w:rsidRPr="000244C1">
        <w:rPr>
          <w:lang w:val="en-AU"/>
        </w:rPr>
        <w:t>Kapanol</w:t>
      </w:r>
      <w:proofErr w:type="spellEnd"/>
      <w:r w:rsidR="007E2BA4" w:rsidRPr="000244C1">
        <w:rPr>
          <w:lang w:val="en-AU"/>
        </w:rPr>
        <w:t xml:space="preserve"> with morphine </w:t>
      </w:r>
      <w:proofErr w:type="spellStart"/>
      <w:r w:rsidR="007E2BA4" w:rsidRPr="000244C1">
        <w:rPr>
          <w:lang w:val="en-AU"/>
        </w:rPr>
        <w:t>sulfate</w:t>
      </w:r>
      <w:proofErr w:type="spellEnd"/>
      <w:r w:rsidR="007E2BA4" w:rsidRPr="000244C1">
        <w:rPr>
          <w:lang w:val="en-AU"/>
        </w:rPr>
        <w:t xml:space="preserve"> controlled-release tablets (MST</w:t>
      </w:r>
      <w:r w:rsidR="007E2BA4" w:rsidRPr="000244C1">
        <w:rPr>
          <w:lang w:val="en-AU"/>
        </w:rPr>
        <w:sym w:font="Symbol" w:char="F0D4"/>
      </w:r>
      <w:r w:rsidR="007E2BA4" w:rsidRPr="000244C1">
        <w:rPr>
          <w:lang w:val="en-AU"/>
        </w:rPr>
        <w:t>).  Patients with severe chronic pain (n=165) of various origins (73.5% non</w:t>
      </w:r>
      <w:r w:rsidR="00EF071B" w:rsidRPr="000244C1">
        <w:rPr>
          <w:lang w:val="en-AU"/>
        </w:rPr>
        <w:t>-</w:t>
      </w:r>
      <w:r w:rsidR="007E2BA4" w:rsidRPr="000244C1">
        <w:rPr>
          <w:lang w:val="en-AU"/>
        </w:rPr>
        <w:t xml:space="preserve">malignant, 26.5% malignant) were randomised and titrated to adequate analgesia with </w:t>
      </w:r>
      <w:proofErr w:type="spellStart"/>
      <w:r w:rsidR="007E2BA4" w:rsidRPr="000244C1">
        <w:rPr>
          <w:lang w:val="en-AU"/>
        </w:rPr>
        <w:t>Kapanol</w:t>
      </w:r>
      <w:proofErr w:type="spellEnd"/>
      <w:r w:rsidR="007E2BA4" w:rsidRPr="000244C1">
        <w:rPr>
          <w:lang w:val="en-AU"/>
        </w:rPr>
        <w:t xml:space="preserve"> or MST, respectively.  The median titrated doses of morphine necessary for analgesia in the initial phase of the study were 40 mg twice daily in the </w:t>
      </w:r>
      <w:proofErr w:type="spellStart"/>
      <w:r w:rsidR="007E2BA4" w:rsidRPr="000244C1">
        <w:rPr>
          <w:lang w:val="en-AU"/>
        </w:rPr>
        <w:t>Kapanol</w:t>
      </w:r>
      <w:proofErr w:type="spellEnd"/>
      <w:r w:rsidR="007E2BA4" w:rsidRPr="000244C1">
        <w:rPr>
          <w:lang w:val="en-AU"/>
        </w:rPr>
        <w:t xml:space="preserve"> group and 30 mg twice daily in the MST group.  Once stabilised, patients started the 2-week study period.  </w:t>
      </w:r>
      <w:r w:rsidR="007E2BA4" w:rsidRPr="000244C1">
        <w:rPr>
          <w:lang w:val="en-AU"/>
        </w:rPr>
        <w:lastRenderedPageBreak/>
        <w:t xml:space="preserve">112 patients completed the study: 69 patients on </w:t>
      </w:r>
      <w:proofErr w:type="spellStart"/>
      <w:r w:rsidR="007E2BA4" w:rsidRPr="000244C1">
        <w:rPr>
          <w:lang w:val="en-AU"/>
        </w:rPr>
        <w:t>Kapanol</w:t>
      </w:r>
      <w:proofErr w:type="spellEnd"/>
      <w:r w:rsidR="007E2BA4" w:rsidRPr="000244C1">
        <w:rPr>
          <w:lang w:val="en-AU"/>
        </w:rPr>
        <w:t xml:space="preserve"> and 43 on MST.  22 of 91 (24.2%) of patients on </w:t>
      </w:r>
      <w:proofErr w:type="spellStart"/>
      <w:r w:rsidR="007E2BA4" w:rsidRPr="000244C1">
        <w:rPr>
          <w:lang w:val="en-AU"/>
        </w:rPr>
        <w:t>Kapanol</w:t>
      </w:r>
      <w:proofErr w:type="spellEnd"/>
      <w:r w:rsidR="007E2BA4" w:rsidRPr="000244C1">
        <w:rPr>
          <w:lang w:val="en-AU"/>
        </w:rPr>
        <w:t xml:space="preserve"> and 31 of 74 (41.9%) on MST withdrew prematurely.  Inadequate efficacy was the reason for premature termination in 5 patients in the </w:t>
      </w:r>
      <w:proofErr w:type="spellStart"/>
      <w:r w:rsidR="007E2BA4" w:rsidRPr="000244C1">
        <w:rPr>
          <w:lang w:val="en-AU"/>
        </w:rPr>
        <w:t>Kapanol</w:t>
      </w:r>
      <w:proofErr w:type="spellEnd"/>
      <w:r w:rsidR="007E2BA4" w:rsidRPr="000244C1">
        <w:rPr>
          <w:lang w:val="en-AU"/>
        </w:rPr>
        <w:t xml:space="preserve"> group and 13 patients in the MST group.  Significantly more patients on </w:t>
      </w:r>
      <w:proofErr w:type="spellStart"/>
      <w:r w:rsidR="007E2BA4" w:rsidRPr="000244C1">
        <w:rPr>
          <w:lang w:val="en-AU"/>
        </w:rPr>
        <w:t>Kapanol</w:t>
      </w:r>
      <w:proofErr w:type="spellEnd"/>
      <w:r w:rsidR="007E2BA4" w:rsidRPr="000244C1">
        <w:rPr>
          <w:lang w:val="en-AU"/>
        </w:rPr>
        <w:t xml:space="preserve"> achieved adequate analgesia than with MST, based on the physician’s final assessment (73% vs 55.5%, p = 0.02), quality of sleep (p = 0.05), and effect on mood (p &lt; 0.05).  Inadequate efficacy was reported in 20% of patients on </w:t>
      </w:r>
      <w:proofErr w:type="spellStart"/>
      <w:r w:rsidR="007E2BA4" w:rsidRPr="000244C1">
        <w:rPr>
          <w:lang w:val="en-AU"/>
        </w:rPr>
        <w:t>Kapanol</w:t>
      </w:r>
      <w:proofErr w:type="spellEnd"/>
      <w:r w:rsidR="007E2BA4" w:rsidRPr="000244C1">
        <w:rPr>
          <w:lang w:val="en-AU"/>
        </w:rPr>
        <w:t xml:space="preserve"> and 21.5% of patients on MST.</w:t>
      </w:r>
    </w:p>
    <w:p w14:paraId="295895D7" w14:textId="3AC13318" w:rsidR="007E2BA4" w:rsidRPr="000244C1" w:rsidRDefault="003B3E89" w:rsidP="007E2BA4">
      <w:pPr>
        <w:pStyle w:val="C-Heading3non-numbered"/>
        <w:rPr>
          <w:lang w:val="en-AU"/>
        </w:rPr>
      </w:pPr>
      <w:r w:rsidRPr="000244C1">
        <w:rPr>
          <w:lang w:val="en-AU"/>
        </w:rPr>
        <w:t xml:space="preserve">Symptom Reduction </w:t>
      </w:r>
      <w:r w:rsidR="007E2BA4" w:rsidRPr="000244C1">
        <w:rPr>
          <w:lang w:val="en-AU"/>
        </w:rPr>
        <w:t>of Chronic Breathlessness</w:t>
      </w:r>
    </w:p>
    <w:p w14:paraId="56D9135F" w14:textId="7D3975B4" w:rsidR="003B3E89" w:rsidRPr="000244C1" w:rsidRDefault="003B3E89" w:rsidP="003B3E89">
      <w:pPr>
        <w:pStyle w:val="C-BodyText"/>
        <w:rPr>
          <w:lang w:val="en-AU" w:eastAsia="en-AU"/>
        </w:rPr>
      </w:pPr>
      <w:r w:rsidRPr="000244C1">
        <w:rPr>
          <w:lang w:val="en-AU" w:eastAsia="en-AU"/>
        </w:rPr>
        <w:t xml:space="preserve">Clinical trial 1: </w:t>
      </w:r>
    </w:p>
    <w:p w14:paraId="03A5E90A" w14:textId="58792559" w:rsidR="00A97D7E" w:rsidRPr="000244C1" w:rsidRDefault="003B3E89" w:rsidP="003B3E89">
      <w:pPr>
        <w:pStyle w:val="C-BodyText"/>
        <w:rPr>
          <w:lang w:val="en-AU" w:eastAsia="en-AU"/>
        </w:rPr>
      </w:pPr>
      <w:r w:rsidRPr="000244C1">
        <w:rPr>
          <w:lang w:val="en-AU" w:eastAsia="en-AU"/>
        </w:rPr>
        <w:t>282 opioid-naïve participants with modified Medical Research Council (</w:t>
      </w:r>
      <w:proofErr w:type="spellStart"/>
      <w:r w:rsidRPr="000244C1">
        <w:rPr>
          <w:lang w:val="en-AU" w:eastAsia="en-AU"/>
        </w:rPr>
        <w:t>mMRC</w:t>
      </w:r>
      <w:proofErr w:type="spellEnd"/>
      <w:r w:rsidRPr="000244C1">
        <w:rPr>
          <w:lang w:val="en-AU" w:eastAsia="en-AU"/>
        </w:rPr>
        <w:t xml:space="preserve">) breathlessness scores 2-4 despite optimal treatment of the underlying cause(s) were randomised to double-blinded placebo or 20mg </w:t>
      </w:r>
      <w:proofErr w:type="spellStart"/>
      <w:r w:rsidRPr="000244C1">
        <w:rPr>
          <w:lang w:val="en-AU" w:eastAsia="en-AU"/>
        </w:rPr>
        <w:t>Kapanol</w:t>
      </w:r>
      <w:proofErr w:type="spellEnd"/>
      <w:r w:rsidRPr="000244C1">
        <w:rPr>
          <w:lang w:val="en-AU" w:eastAsia="en-AU"/>
        </w:rPr>
        <w:t xml:space="preserve"> daily for 7 days. The primary outcome was reduction in </w:t>
      </w:r>
      <w:r w:rsidRPr="000244C1">
        <w:rPr>
          <w:i/>
          <w:lang w:val="en-AU" w:eastAsia="en-AU"/>
        </w:rPr>
        <w:t xml:space="preserve">breathlessness </w:t>
      </w:r>
      <w:r w:rsidR="00057BF0" w:rsidRPr="000244C1">
        <w:rPr>
          <w:i/>
          <w:lang w:val="en-AU" w:eastAsia="en-AU"/>
        </w:rPr>
        <w:t>now</w:t>
      </w:r>
      <w:r w:rsidR="00057BF0" w:rsidRPr="000244C1">
        <w:rPr>
          <w:lang w:val="en-AU" w:eastAsia="en-AU"/>
        </w:rPr>
        <w:t xml:space="preserve"> </w:t>
      </w:r>
      <w:r w:rsidRPr="000244C1">
        <w:rPr>
          <w:lang w:val="en-AU" w:eastAsia="en-AU"/>
        </w:rPr>
        <w:t xml:space="preserve">intensity as measured on a 0-100mm visual analogue scale </w:t>
      </w:r>
      <w:r w:rsidR="00244361" w:rsidRPr="000244C1">
        <w:rPr>
          <w:lang w:val="en-AU" w:eastAsia="en-AU"/>
        </w:rPr>
        <w:t xml:space="preserve">(VAS) </w:t>
      </w:r>
      <w:r w:rsidRPr="000244C1">
        <w:rPr>
          <w:lang w:val="en-AU" w:eastAsia="en-AU"/>
        </w:rPr>
        <w:t xml:space="preserve">- no significant difference was found between the use of </w:t>
      </w:r>
      <w:proofErr w:type="spellStart"/>
      <w:r w:rsidRPr="000244C1">
        <w:rPr>
          <w:lang w:val="en-AU" w:eastAsia="en-AU"/>
        </w:rPr>
        <w:t>Kapanol</w:t>
      </w:r>
      <w:proofErr w:type="spellEnd"/>
      <w:r w:rsidRPr="000244C1">
        <w:rPr>
          <w:lang w:val="en-AU" w:eastAsia="en-AU"/>
        </w:rPr>
        <w:t xml:space="preserve"> and placebo for this measure. However, the study was confounded by the use of immediate release morphine as rescue medication in both arms. </w:t>
      </w:r>
    </w:p>
    <w:p w14:paraId="027D0748" w14:textId="774BE171" w:rsidR="00057BF0" w:rsidRPr="000244C1" w:rsidRDefault="006F778F" w:rsidP="003B3E89">
      <w:pPr>
        <w:pStyle w:val="C-BodyText"/>
        <w:rPr>
          <w:lang w:val="en-AU" w:eastAsia="en-AU"/>
        </w:rPr>
      </w:pPr>
      <w:r w:rsidRPr="000244C1">
        <w:rPr>
          <w:lang w:val="en-AU"/>
        </w:rPr>
        <w:t xml:space="preserve">A sub-group analysis for participants with more severe breathlessness </w:t>
      </w:r>
      <w:r w:rsidR="00A97D7E" w:rsidRPr="000244C1">
        <w:rPr>
          <w:lang w:val="en-AU"/>
        </w:rPr>
        <w:t>(</w:t>
      </w:r>
      <w:proofErr w:type="spellStart"/>
      <w:r w:rsidR="00A97D7E" w:rsidRPr="000244C1">
        <w:rPr>
          <w:lang w:val="en-AU"/>
        </w:rPr>
        <w:t>mMRC</w:t>
      </w:r>
      <w:proofErr w:type="spellEnd"/>
      <w:r w:rsidR="00A97D7E" w:rsidRPr="000244C1">
        <w:rPr>
          <w:lang w:val="en-AU"/>
        </w:rPr>
        <w:t xml:space="preserve"> 3 or 4) </w:t>
      </w:r>
      <w:r w:rsidRPr="000244C1">
        <w:rPr>
          <w:lang w:val="en-AU"/>
        </w:rPr>
        <w:t xml:space="preserve">found that there was a significant reduction in </w:t>
      </w:r>
      <w:r w:rsidR="00A97D7E" w:rsidRPr="000244C1">
        <w:rPr>
          <w:lang w:val="en-AU"/>
        </w:rPr>
        <w:t xml:space="preserve">worst breathlessness </w:t>
      </w:r>
      <w:r w:rsidRPr="000244C1">
        <w:rPr>
          <w:lang w:val="en-AU"/>
        </w:rPr>
        <w:t xml:space="preserve">when compared to placebo. </w:t>
      </w:r>
      <w:r w:rsidR="00A97D7E" w:rsidRPr="000244C1">
        <w:rPr>
          <w:lang w:val="en-AU" w:eastAsia="en-AU"/>
        </w:rPr>
        <w:t xml:space="preserve">There were no episodes of respiratory depression in the study. </w:t>
      </w:r>
    </w:p>
    <w:p w14:paraId="7C2D6F6A" w14:textId="77777777" w:rsidR="007878E9" w:rsidRDefault="007878E9">
      <w:pPr>
        <w:rPr>
          <w:rFonts w:cs="Times New Roman"/>
          <w:b/>
          <w:bCs/>
          <w:szCs w:val="24"/>
          <w:lang w:val="en-AU"/>
        </w:rPr>
      </w:pPr>
      <w:r>
        <w:rPr>
          <w:lang w:val="en-AU"/>
        </w:rPr>
        <w:br w:type="page"/>
      </w:r>
    </w:p>
    <w:p w14:paraId="0A493544" w14:textId="66664337" w:rsidR="00057BF0" w:rsidRPr="000244C1" w:rsidRDefault="00C928E9" w:rsidP="00C928E9">
      <w:pPr>
        <w:pStyle w:val="Caption"/>
        <w:rPr>
          <w:lang w:val="en-AU"/>
        </w:rPr>
      </w:pPr>
      <w:r w:rsidRPr="000244C1">
        <w:rPr>
          <w:lang w:val="en-AU"/>
        </w:rPr>
        <w:lastRenderedPageBreak/>
        <w:t>Table 2:</w:t>
      </w:r>
      <w:r w:rsidRPr="000244C1">
        <w:rPr>
          <w:lang w:val="en-AU"/>
        </w:rPr>
        <w:tab/>
      </w:r>
      <w:r w:rsidR="00057BF0" w:rsidRPr="000244C1">
        <w:rPr>
          <w:lang w:val="en-AU"/>
        </w:rPr>
        <w:t>Change in 0-100mm visual analogue scale (VAS) breathlessness - change between baseline and days 5-7. Mean (standard error (SE)</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908"/>
        <w:gridCol w:w="887"/>
        <w:gridCol w:w="1041"/>
        <w:gridCol w:w="876"/>
        <w:gridCol w:w="1117"/>
        <w:gridCol w:w="1041"/>
        <w:gridCol w:w="876"/>
        <w:gridCol w:w="1117"/>
      </w:tblGrid>
      <w:tr w:rsidR="00F0391E" w:rsidRPr="000244C1" w14:paraId="6DE6B586" w14:textId="77777777" w:rsidTr="00F0391E">
        <w:tc>
          <w:tcPr>
            <w:tcW w:w="3175" w:type="dxa"/>
            <w:gridSpan w:val="3"/>
            <w:tcBorders>
              <w:top w:val="nil"/>
              <w:left w:val="nil"/>
              <w:bottom w:val="nil"/>
            </w:tcBorders>
            <w:shd w:val="clear" w:color="auto" w:fill="auto"/>
          </w:tcPr>
          <w:p w14:paraId="5B171940" w14:textId="77777777" w:rsidR="00F0391E" w:rsidRPr="000244C1" w:rsidRDefault="00F0391E" w:rsidP="005522D6">
            <w:pPr>
              <w:rPr>
                <w:rFonts w:eastAsia="Calibri"/>
                <w:sz w:val="20"/>
                <w:lang w:val="en-AU"/>
              </w:rPr>
            </w:pPr>
          </w:p>
        </w:tc>
        <w:tc>
          <w:tcPr>
            <w:tcW w:w="3034" w:type="dxa"/>
            <w:gridSpan w:val="3"/>
            <w:shd w:val="clear" w:color="auto" w:fill="auto"/>
          </w:tcPr>
          <w:p w14:paraId="2030A09E" w14:textId="77777777" w:rsidR="00F0391E" w:rsidRPr="000244C1" w:rsidRDefault="00F0391E" w:rsidP="008A24B1">
            <w:pPr>
              <w:spacing w:before="120" w:after="120"/>
              <w:jc w:val="center"/>
              <w:rPr>
                <w:rFonts w:eastAsia="Calibri"/>
                <w:b/>
                <w:sz w:val="20"/>
                <w:lang w:val="en-AU"/>
              </w:rPr>
            </w:pPr>
            <w:r w:rsidRPr="000244C1">
              <w:rPr>
                <w:rFonts w:eastAsia="Calibri"/>
                <w:b/>
                <w:sz w:val="20"/>
                <w:lang w:val="en-AU"/>
              </w:rPr>
              <w:t>Complete trial cohort**</w:t>
            </w:r>
          </w:p>
        </w:tc>
        <w:tc>
          <w:tcPr>
            <w:tcW w:w="3034" w:type="dxa"/>
            <w:gridSpan w:val="3"/>
            <w:shd w:val="clear" w:color="auto" w:fill="auto"/>
          </w:tcPr>
          <w:p w14:paraId="048E9B41" w14:textId="77777777" w:rsidR="00F0391E" w:rsidRPr="000244C1" w:rsidRDefault="00F0391E" w:rsidP="008A24B1">
            <w:pPr>
              <w:spacing w:before="120" w:after="120"/>
              <w:jc w:val="center"/>
              <w:rPr>
                <w:rFonts w:eastAsia="Calibri"/>
                <w:b/>
                <w:sz w:val="20"/>
                <w:lang w:val="en-AU"/>
              </w:rPr>
            </w:pPr>
            <w:r w:rsidRPr="000244C1">
              <w:rPr>
                <w:rFonts w:eastAsia="Calibri"/>
                <w:b/>
                <w:sz w:val="20"/>
                <w:lang w:val="en-AU"/>
              </w:rPr>
              <w:t>Severely breathless cohort*</w:t>
            </w:r>
          </w:p>
        </w:tc>
      </w:tr>
      <w:tr w:rsidR="00F0391E" w:rsidRPr="000244C1" w14:paraId="4454E19D" w14:textId="77777777" w:rsidTr="00E568D0">
        <w:tc>
          <w:tcPr>
            <w:tcW w:w="3175" w:type="dxa"/>
            <w:gridSpan w:val="3"/>
            <w:tcBorders>
              <w:top w:val="nil"/>
              <w:left w:val="nil"/>
            </w:tcBorders>
            <w:shd w:val="clear" w:color="auto" w:fill="auto"/>
          </w:tcPr>
          <w:p w14:paraId="57B0A754" w14:textId="77777777" w:rsidR="00F0391E" w:rsidRPr="000244C1" w:rsidRDefault="00F0391E" w:rsidP="005522D6">
            <w:pPr>
              <w:rPr>
                <w:rFonts w:eastAsia="Calibri"/>
                <w:sz w:val="20"/>
                <w:lang w:val="en-AU"/>
              </w:rPr>
            </w:pPr>
          </w:p>
        </w:tc>
        <w:tc>
          <w:tcPr>
            <w:tcW w:w="1041" w:type="dxa"/>
            <w:shd w:val="clear" w:color="auto" w:fill="auto"/>
          </w:tcPr>
          <w:p w14:paraId="2F102D57" w14:textId="77777777" w:rsidR="00F0391E" w:rsidRPr="000244C1" w:rsidRDefault="00F0391E" w:rsidP="008A24B1">
            <w:pPr>
              <w:spacing w:before="120" w:after="120"/>
              <w:jc w:val="center"/>
              <w:rPr>
                <w:rFonts w:eastAsia="Calibri"/>
                <w:b/>
                <w:sz w:val="20"/>
                <w:lang w:val="en-AU"/>
              </w:rPr>
            </w:pPr>
            <w:r w:rsidRPr="000244C1">
              <w:rPr>
                <w:rFonts w:eastAsia="Calibri"/>
                <w:b/>
                <w:sz w:val="20"/>
                <w:lang w:val="en-AU"/>
              </w:rPr>
              <w:t>ER^^</w:t>
            </w:r>
          </w:p>
          <w:p w14:paraId="1AA83BB3" w14:textId="56386675" w:rsidR="00F0391E" w:rsidRPr="000244C1" w:rsidRDefault="00F0391E" w:rsidP="008A24B1">
            <w:pPr>
              <w:spacing w:before="120" w:after="120"/>
              <w:jc w:val="center"/>
              <w:rPr>
                <w:rFonts w:eastAsia="Calibri"/>
                <w:b/>
                <w:sz w:val="20"/>
                <w:lang w:val="en-AU"/>
              </w:rPr>
            </w:pPr>
            <w:r w:rsidRPr="000244C1">
              <w:rPr>
                <w:rFonts w:eastAsia="Calibri"/>
                <w:b/>
                <w:sz w:val="20"/>
                <w:lang w:val="en-AU"/>
              </w:rPr>
              <w:t>morphine</w:t>
            </w:r>
          </w:p>
        </w:tc>
        <w:tc>
          <w:tcPr>
            <w:tcW w:w="876" w:type="dxa"/>
            <w:shd w:val="clear" w:color="auto" w:fill="auto"/>
          </w:tcPr>
          <w:p w14:paraId="4306F461" w14:textId="77777777" w:rsidR="00F0391E" w:rsidRPr="000244C1" w:rsidRDefault="00F0391E" w:rsidP="008A24B1">
            <w:pPr>
              <w:spacing w:before="120" w:after="120"/>
              <w:jc w:val="center"/>
              <w:rPr>
                <w:rFonts w:eastAsia="Calibri"/>
                <w:b/>
                <w:sz w:val="20"/>
                <w:lang w:val="en-AU"/>
              </w:rPr>
            </w:pPr>
            <w:r w:rsidRPr="000244C1">
              <w:rPr>
                <w:rFonts w:eastAsia="Calibri"/>
                <w:b/>
                <w:sz w:val="20"/>
                <w:lang w:val="en-AU"/>
              </w:rPr>
              <w:t>Placebo</w:t>
            </w:r>
          </w:p>
        </w:tc>
        <w:tc>
          <w:tcPr>
            <w:tcW w:w="1117" w:type="dxa"/>
            <w:shd w:val="clear" w:color="auto" w:fill="auto"/>
          </w:tcPr>
          <w:p w14:paraId="7CDA0979" w14:textId="77777777" w:rsidR="00F0391E" w:rsidRPr="000244C1" w:rsidRDefault="00F0391E" w:rsidP="008A24B1">
            <w:pPr>
              <w:spacing w:before="120" w:after="120"/>
              <w:jc w:val="center"/>
              <w:rPr>
                <w:rFonts w:eastAsia="Calibri"/>
                <w:b/>
                <w:sz w:val="20"/>
                <w:lang w:val="en-AU"/>
              </w:rPr>
            </w:pPr>
            <w:r w:rsidRPr="000244C1">
              <w:rPr>
                <w:rFonts w:eastAsia="Calibri"/>
                <w:b/>
                <w:sz w:val="20"/>
                <w:lang w:val="en-AU"/>
              </w:rPr>
              <w:t>Treatment Difference</w:t>
            </w:r>
          </w:p>
        </w:tc>
        <w:tc>
          <w:tcPr>
            <w:tcW w:w="1041" w:type="dxa"/>
            <w:shd w:val="clear" w:color="auto" w:fill="auto"/>
          </w:tcPr>
          <w:p w14:paraId="53AA57CC" w14:textId="4CBF7A62" w:rsidR="00F0391E" w:rsidRPr="000244C1" w:rsidRDefault="00F0391E" w:rsidP="008A24B1">
            <w:pPr>
              <w:spacing w:before="120" w:after="120"/>
              <w:jc w:val="center"/>
              <w:rPr>
                <w:rFonts w:eastAsia="Calibri"/>
                <w:b/>
                <w:sz w:val="20"/>
                <w:lang w:val="en-AU"/>
              </w:rPr>
            </w:pPr>
            <w:r w:rsidRPr="000244C1">
              <w:rPr>
                <w:rFonts w:eastAsia="Calibri"/>
                <w:b/>
                <w:sz w:val="20"/>
                <w:lang w:val="en-AU"/>
              </w:rPr>
              <w:t>ER morphine</w:t>
            </w:r>
          </w:p>
        </w:tc>
        <w:tc>
          <w:tcPr>
            <w:tcW w:w="876" w:type="dxa"/>
            <w:shd w:val="clear" w:color="auto" w:fill="auto"/>
          </w:tcPr>
          <w:p w14:paraId="48F71C3A" w14:textId="77777777" w:rsidR="00F0391E" w:rsidRPr="000244C1" w:rsidRDefault="00F0391E" w:rsidP="008A24B1">
            <w:pPr>
              <w:spacing w:before="120" w:after="120"/>
              <w:jc w:val="center"/>
              <w:rPr>
                <w:rFonts w:eastAsia="Calibri"/>
                <w:b/>
                <w:sz w:val="20"/>
                <w:lang w:val="en-AU"/>
              </w:rPr>
            </w:pPr>
            <w:r w:rsidRPr="000244C1">
              <w:rPr>
                <w:rFonts w:eastAsia="Calibri"/>
                <w:b/>
                <w:sz w:val="20"/>
                <w:lang w:val="en-AU"/>
              </w:rPr>
              <w:t>Placebo</w:t>
            </w:r>
          </w:p>
        </w:tc>
        <w:tc>
          <w:tcPr>
            <w:tcW w:w="1117" w:type="dxa"/>
            <w:shd w:val="clear" w:color="auto" w:fill="auto"/>
          </w:tcPr>
          <w:p w14:paraId="4B02C538" w14:textId="77777777" w:rsidR="00F0391E" w:rsidRPr="000244C1" w:rsidRDefault="00F0391E" w:rsidP="008A24B1">
            <w:pPr>
              <w:spacing w:before="120" w:after="120"/>
              <w:jc w:val="center"/>
              <w:rPr>
                <w:rFonts w:eastAsia="Calibri"/>
                <w:b/>
                <w:sz w:val="20"/>
                <w:lang w:val="en-AU"/>
              </w:rPr>
            </w:pPr>
            <w:r w:rsidRPr="000244C1">
              <w:rPr>
                <w:rFonts w:eastAsia="Calibri"/>
                <w:b/>
                <w:sz w:val="20"/>
                <w:lang w:val="en-AU"/>
              </w:rPr>
              <w:t>Treatment Difference</w:t>
            </w:r>
          </w:p>
        </w:tc>
      </w:tr>
      <w:tr w:rsidR="008A24B1" w:rsidRPr="000244C1" w14:paraId="210578ED" w14:textId="77777777" w:rsidTr="00F0391E">
        <w:tc>
          <w:tcPr>
            <w:tcW w:w="1380" w:type="dxa"/>
            <w:vMerge w:val="restart"/>
            <w:shd w:val="clear" w:color="auto" w:fill="auto"/>
          </w:tcPr>
          <w:p w14:paraId="07602FF0" w14:textId="77777777" w:rsidR="00057BF0" w:rsidRPr="000244C1" w:rsidRDefault="00057BF0" w:rsidP="005522D6">
            <w:pPr>
              <w:rPr>
                <w:rFonts w:eastAsia="Calibri"/>
                <w:sz w:val="20"/>
                <w:lang w:val="en-AU"/>
              </w:rPr>
            </w:pPr>
            <w:r w:rsidRPr="000244C1">
              <w:rPr>
                <w:rFonts w:eastAsia="Calibri"/>
                <w:sz w:val="20"/>
                <w:lang w:val="en-AU"/>
              </w:rPr>
              <w:t>Breathlessness 0-100</w:t>
            </w:r>
          </w:p>
        </w:tc>
        <w:tc>
          <w:tcPr>
            <w:tcW w:w="908" w:type="dxa"/>
            <w:shd w:val="clear" w:color="auto" w:fill="auto"/>
          </w:tcPr>
          <w:p w14:paraId="101BACE2" w14:textId="77777777" w:rsidR="00057BF0" w:rsidRPr="000244C1" w:rsidRDefault="00057BF0" w:rsidP="005522D6">
            <w:pPr>
              <w:rPr>
                <w:rFonts w:eastAsia="Calibri"/>
                <w:sz w:val="20"/>
                <w:lang w:val="en-AU"/>
              </w:rPr>
            </w:pPr>
          </w:p>
        </w:tc>
        <w:tc>
          <w:tcPr>
            <w:tcW w:w="887" w:type="dxa"/>
            <w:shd w:val="clear" w:color="auto" w:fill="auto"/>
          </w:tcPr>
          <w:p w14:paraId="10C41167" w14:textId="77777777" w:rsidR="00057BF0" w:rsidRPr="000244C1" w:rsidRDefault="00057BF0" w:rsidP="00FC2B4A">
            <w:pPr>
              <w:spacing w:before="120" w:after="120"/>
              <w:rPr>
                <w:rFonts w:eastAsia="Calibri"/>
                <w:b/>
                <w:sz w:val="20"/>
                <w:lang w:val="en-AU"/>
              </w:rPr>
            </w:pPr>
            <w:r w:rsidRPr="000244C1">
              <w:rPr>
                <w:rFonts w:eastAsia="Calibri"/>
                <w:b/>
                <w:sz w:val="20"/>
                <w:lang w:val="en-AU"/>
              </w:rPr>
              <w:t>Now^</w:t>
            </w:r>
          </w:p>
        </w:tc>
        <w:tc>
          <w:tcPr>
            <w:tcW w:w="1041" w:type="dxa"/>
            <w:shd w:val="clear" w:color="auto" w:fill="auto"/>
          </w:tcPr>
          <w:p w14:paraId="4CDC51D7" w14:textId="77777777" w:rsidR="00057BF0" w:rsidRPr="000244C1" w:rsidRDefault="00057BF0" w:rsidP="00FC2B4A">
            <w:pPr>
              <w:spacing w:before="120" w:after="120"/>
              <w:jc w:val="center"/>
              <w:rPr>
                <w:rFonts w:eastAsia="Calibri"/>
                <w:b/>
                <w:color w:val="000000"/>
                <w:sz w:val="20"/>
                <w:lang w:val="en-AU"/>
              </w:rPr>
            </w:pPr>
            <w:r w:rsidRPr="000244C1">
              <w:rPr>
                <w:rFonts w:eastAsia="Calibri"/>
                <w:b/>
                <w:color w:val="000000"/>
                <w:sz w:val="20"/>
                <w:lang w:val="en-AU"/>
              </w:rPr>
              <w:t>─5.00</w:t>
            </w:r>
          </w:p>
          <w:p w14:paraId="3B3C9280" w14:textId="77777777" w:rsidR="00057BF0" w:rsidRPr="000244C1" w:rsidRDefault="00057BF0" w:rsidP="00FC2B4A">
            <w:pPr>
              <w:spacing w:before="120" w:after="120"/>
              <w:jc w:val="center"/>
              <w:rPr>
                <w:rFonts w:eastAsia="Calibri"/>
                <w:b/>
                <w:sz w:val="20"/>
                <w:lang w:val="en-AU"/>
              </w:rPr>
            </w:pPr>
            <w:r w:rsidRPr="000244C1">
              <w:rPr>
                <w:rFonts w:eastAsia="Calibri"/>
                <w:b/>
                <w:color w:val="000000"/>
                <w:sz w:val="20"/>
                <w:lang w:val="en-AU"/>
              </w:rPr>
              <w:t xml:space="preserve"> (2.13)</w:t>
            </w:r>
          </w:p>
        </w:tc>
        <w:tc>
          <w:tcPr>
            <w:tcW w:w="876" w:type="dxa"/>
            <w:shd w:val="clear" w:color="auto" w:fill="auto"/>
          </w:tcPr>
          <w:p w14:paraId="1DCD19D6" w14:textId="77777777" w:rsidR="00057BF0" w:rsidRPr="000244C1" w:rsidRDefault="00057BF0" w:rsidP="00FC2B4A">
            <w:pPr>
              <w:spacing w:before="120" w:after="120"/>
              <w:jc w:val="center"/>
              <w:rPr>
                <w:rFonts w:eastAsia="Calibri"/>
                <w:b/>
                <w:sz w:val="20"/>
                <w:lang w:val="en-AU"/>
              </w:rPr>
            </w:pPr>
            <w:r w:rsidRPr="000244C1">
              <w:rPr>
                <w:rFonts w:eastAsia="Calibri"/>
                <w:b/>
                <w:color w:val="000000"/>
                <w:sz w:val="20"/>
                <w:lang w:val="en-AU"/>
              </w:rPr>
              <w:t>─4.86 (2.07)</w:t>
            </w:r>
          </w:p>
        </w:tc>
        <w:tc>
          <w:tcPr>
            <w:tcW w:w="1117" w:type="dxa"/>
            <w:shd w:val="clear" w:color="auto" w:fill="auto"/>
          </w:tcPr>
          <w:p w14:paraId="6064D858" w14:textId="77777777" w:rsidR="00057BF0" w:rsidRPr="000244C1" w:rsidRDefault="00057BF0" w:rsidP="00FC2B4A">
            <w:pPr>
              <w:spacing w:before="120" w:after="120"/>
              <w:jc w:val="center"/>
              <w:rPr>
                <w:rFonts w:eastAsia="Calibri"/>
                <w:b/>
                <w:color w:val="000000"/>
                <w:sz w:val="20"/>
                <w:lang w:val="en-AU"/>
              </w:rPr>
            </w:pPr>
            <w:r w:rsidRPr="000244C1">
              <w:rPr>
                <w:rFonts w:eastAsia="Calibri"/>
                <w:b/>
                <w:color w:val="000000"/>
                <w:sz w:val="20"/>
                <w:lang w:val="en-AU"/>
              </w:rPr>
              <w:t xml:space="preserve">─0.15 </w:t>
            </w:r>
          </w:p>
          <w:p w14:paraId="17CC8B40" w14:textId="77777777" w:rsidR="00057BF0" w:rsidRPr="000244C1" w:rsidRDefault="00057BF0" w:rsidP="00FC2B4A">
            <w:pPr>
              <w:spacing w:before="120" w:after="120"/>
              <w:jc w:val="center"/>
              <w:rPr>
                <w:rFonts w:eastAsia="Calibri"/>
                <w:b/>
                <w:sz w:val="20"/>
                <w:lang w:val="en-AU"/>
              </w:rPr>
            </w:pPr>
            <w:r w:rsidRPr="000244C1">
              <w:rPr>
                <w:rFonts w:eastAsia="Calibri"/>
                <w:b/>
                <w:color w:val="000000"/>
                <w:sz w:val="20"/>
                <w:lang w:val="en-AU"/>
              </w:rPr>
              <w:t>(-4.59, 4.29)</w:t>
            </w:r>
          </w:p>
        </w:tc>
        <w:tc>
          <w:tcPr>
            <w:tcW w:w="1041" w:type="dxa"/>
            <w:shd w:val="clear" w:color="auto" w:fill="auto"/>
          </w:tcPr>
          <w:p w14:paraId="1D06E394"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 xml:space="preserve">─3.93 </w:t>
            </w:r>
          </w:p>
          <w:p w14:paraId="2C5569A0"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(2·48)</w:t>
            </w:r>
          </w:p>
        </w:tc>
        <w:tc>
          <w:tcPr>
            <w:tcW w:w="876" w:type="dxa"/>
            <w:shd w:val="clear" w:color="auto" w:fill="auto"/>
          </w:tcPr>
          <w:p w14:paraId="63C1F631"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─3.02 (2.43)</w:t>
            </w:r>
          </w:p>
        </w:tc>
        <w:tc>
          <w:tcPr>
            <w:tcW w:w="1117" w:type="dxa"/>
            <w:shd w:val="clear" w:color="auto" w:fill="auto"/>
          </w:tcPr>
          <w:p w14:paraId="230E9231"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 xml:space="preserve">─0.91 </w:t>
            </w:r>
          </w:p>
          <w:p w14:paraId="010B13DB"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(-6.61, 4.78)</w:t>
            </w:r>
          </w:p>
        </w:tc>
      </w:tr>
      <w:tr w:rsidR="008A24B1" w:rsidRPr="000244C1" w14:paraId="670AD57F" w14:textId="77777777" w:rsidTr="00F0391E">
        <w:tc>
          <w:tcPr>
            <w:tcW w:w="1380" w:type="dxa"/>
            <w:vMerge/>
            <w:shd w:val="clear" w:color="auto" w:fill="auto"/>
          </w:tcPr>
          <w:p w14:paraId="69FCD0B2" w14:textId="77777777" w:rsidR="00057BF0" w:rsidRPr="000244C1" w:rsidRDefault="00057BF0" w:rsidP="005522D6">
            <w:pPr>
              <w:rPr>
                <w:rFonts w:eastAsia="Calibri"/>
                <w:sz w:val="20"/>
                <w:lang w:val="en-AU"/>
              </w:rPr>
            </w:pPr>
          </w:p>
        </w:tc>
        <w:tc>
          <w:tcPr>
            <w:tcW w:w="908" w:type="dxa"/>
            <w:vMerge w:val="restart"/>
            <w:shd w:val="clear" w:color="auto" w:fill="auto"/>
          </w:tcPr>
          <w:p w14:paraId="22DF35A3" w14:textId="77777777" w:rsidR="00057BF0" w:rsidRPr="000244C1" w:rsidRDefault="00057BF0" w:rsidP="005522D6">
            <w:pPr>
              <w:rPr>
                <w:rFonts w:eastAsia="Calibri"/>
                <w:sz w:val="20"/>
                <w:lang w:val="en-AU"/>
              </w:rPr>
            </w:pPr>
            <w:r w:rsidRPr="000244C1">
              <w:rPr>
                <w:rFonts w:eastAsia="Calibri"/>
                <w:sz w:val="20"/>
                <w:lang w:val="en-AU"/>
              </w:rPr>
              <w:t>Previous 24 hours</w:t>
            </w:r>
          </w:p>
        </w:tc>
        <w:tc>
          <w:tcPr>
            <w:tcW w:w="887" w:type="dxa"/>
            <w:shd w:val="clear" w:color="auto" w:fill="auto"/>
          </w:tcPr>
          <w:p w14:paraId="68197ED6" w14:textId="77777777" w:rsidR="00057BF0" w:rsidRPr="000244C1" w:rsidRDefault="00057BF0" w:rsidP="00FC2B4A">
            <w:pPr>
              <w:spacing w:before="120" w:after="120"/>
              <w:rPr>
                <w:rFonts w:eastAsia="Calibri"/>
                <w:sz w:val="20"/>
                <w:lang w:val="en-AU"/>
              </w:rPr>
            </w:pPr>
            <w:r w:rsidRPr="000244C1">
              <w:rPr>
                <w:rFonts w:eastAsia="Calibri"/>
                <w:sz w:val="20"/>
                <w:lang w:val="en-AU"/>
              </w:rPr>
              <w:t>Worst</w:t>
            </w:r>
          </w:p>
        </w:tc>
        <w:tc>
          <w:tcPr>
            <w:tcW w:w="1041" w:type="dxa"/>
            <w:shd w:val="clear" w:color="auto" w:fill="auto"/>
          </w:tcPr>
          <w:p w14:paraId="3523C2AA"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 xml:space="preserve">─10.51 </w:t>
            </w:r>
          </w:p>
          <w:p w14:paraId="37EFD551" w14:textId="77777777" w:rsidR="00057BF0" w:rsidRPr="000244C1" w:rsidRDefault="00057BF0" w:rsidP="00FC2B4A">
            <w:pPr>
              <w:spacing w:before="120" w:after="120"/>
              <w:jc w:val="center"/>
              <w:rPr>
                <w:rFonts w:eastAsia="Calibri"/>
                <w:sz w:val="20"/>
                <w:lang w:val="en-AU"/>
              </w:rPr>
            </w:pPr>
            <w:r w:rsidRPr="000244C1">
              <w:rPr>
                <w:rFonts w:eastAsia="Calibri"/>
                <w:color w:val="000000"/>
                <w:sz w:val="20"/>
                <w:lang w:val="en-AU"/>
              </w:rPr>
              <w:t>(2.59)</w:t>
            </w:r>
          </w:p>
        </w:tc>
        <w:tc>
          <w:tcPr>
            <w:tcW w:w="876" w:type="dxa"/>
            <w:shd w:val="clear" w:color="auto" w:fill="auto"/>
          </w:tcPr>
          <w:p w14:paraId="06D74AF0" w14:textId="77777777" w:rsidR="00057BF0" w:rsidRPr="000244C1" w:rsidRDefault="00057BF0" w:rsidP="00FC2B4A">
            <w:pPr>
              <w:spacing w:before="120" w:after="120"/>
              <w:jc w:val="center"/>
              <w:rPr>
                <w:rFonts w:eastAsia="Calibri"/>
                <w:sz w:val="20"/>
                <w:lang w:val="en-AU"/>
              </w:rPr>
            </w:pPr>
            <w:r w:rsidRPr="000244C1">
              <w:rPr>
                <w:rFonts w:eastAsia="Calibri"/>
                <w:color w:val="000000"/>
                <w:sz w:val="20"/>
                <w:lang w:val="en-AU"/>
              </w:rPr>
              <w:t>─5.29 (2.61)</w:t>
            </w:r>
          </w:p>
        </w:tc>
        <w:tc>
          <w:tcPr>
            <w:tcW w:w="1117" w:type="dxa"/>
            <w:shd w:val="clear" w:color="auto" w:fill="auto"/>
          </w:tcPr>
          <w:p w14:paraId="0C6289BF"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 xml:space="preserve">─5.23 </w:t>
            </w:r>
          </w:p>
          <w:p w14:paraId="3B4B0C79" w14:textId="77777777" w:rsidR="00057BF0" w:rsidRPr="000244C1" w:rsidRDefault="00057BF0" w:rsidP="00FC2B4A">
            <w:pPr>
              <w:spacing w:before="120" w:after="120"/>
              <w:jc w:val="center"/>
              <w:rPr>
                <w:rFonts w:eastAsia="Calibri"/>
                <w:sz w:val="20"/>
                <w:lang w:val="en-AU"/>
              </w:rPr>
            </w:pPr>
            <w:r w:rsidRPr="000244C1">
              <w:rPr>
                <w:rFonts w:eastAsia="Calibri"/>
                <w:color w:val="000000"/>
                <w:sz w:val="20"/>
                <w:lang w:val="en-AU"/>
              </w:rPr>
              <w:t>(-10.77, 0.31)</w:t>
            </w:r>
          </w:p>
        </w:tc>
        <w:tc>
          <w:tcPr>
            <w:tcW w:w="1041" w:type="dxa"/>
            <w:shd w:val="clear" w:color="auto" w:fill="auto"/>
          </w:tcPr>
          <w:p w14:paraId="492A5E9D"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 xml:space="preserve">─11.84 </w:t>
            </w:r>
          </w:p>
          <w:p w14:paraId="797C9302"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(2.96)</w:t>
            </w:r>
          </w:p>
        </w:tc>
        <w:tc>
          <w:tcPr>
            <w:tcW w:w="876" w:type="dxa"/>
            <w:shd w:val="clear" w:color="auto" w:fill="auto"/>
          </w:tcPr>
          <w:p w14:paraId="3B20BC19"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─4.03 (2.97)</w:t>
            </w:r>
          </w:p>
        </w:tc>
        <w:tc>
          <w:tcPr>
            <w:tcW w:w="1117" w:type="dxa"/>
            <w:shd w:val="clear" w:color="auto" w:fill="auto"/>
          </w:tcPr>
          <w:p w14:paraId="71DCD509"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 xml:space="preserve">─7.81 </w:t>
            </w:r>
          </w:p>
          <w:p w14:paraId="3FE59ED3"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(-14.65, -0.97)</w:t>
            </w:r>
          </w:p>
        </w:tc>
      </w:tr>
      <w:tr w:rsidR="008A24B1" w:rsidRPr="000244C1" w14:paraId="7D47E6F0" w14:textId="77777777" w:rsidTr="00F0391E">
        <w:tc>
          <w:tcPr>
            <w:tcW w:w="1380" w:type="dxa"/>
            <w:vMerge/>
            <w:shd w:val="clear" w:color="auto" w:fill="auto"/>
          </w:tcPr>
          <w:p w14:paraId="25AD68F7" w14:textId="77777777" w:rsidR="00057BF0" w:rsidRPr="000244C1" w:rsidRDefault="00057BF0" w:rsidP="005522D6">
            <w:pPr>
              <w:rPr>
                <w:rFonts w:eastAsia="Calibri"/>
                <w:sz w:val="20"/>
                <w:lang w:val="en-AU"/>
              </w:rPr>
            </w:pPr>
          </w:p>
        </w:tc>
        <w:tc>
          <w:tcPr>
            <w:tcW w:w="908" w:type="dxa"/>
            <w:vMerge/>
            <w:shd w:val="clear" w:color="auto" w:fill="auto"/>
          </w:tcPr>
          <w:p w14:paraId="08A0A0ED" w14:textId="77777777" w:rsidR="00057BF0" w:rsidRPr="000244C1" w:rsidRDefault="00057BF0" w:rsidP="005522D6">
            <w:pPr>
              <w:rPr>
                <w:rFonts w:eastAsia="Calibri"/>
                <w:sz w:val="20"/>
                <w:lang w:val="en-AU"/>
              </w:rPr>
            </w:pPr>
          </w:p>
        </w:tc>
        <w:tc>
          <w:tcPr>
            <w:tcW w:w="887" w:type="dxa"/>
            <w:shd w:val="clear" w:color="auto" w:fill="auto"/>
          </w:tcPr>
          <w:p w14:paraId="154A6BBB" w14:textId="77777777" w:rsidR="00057BF0" w:rsidRPr="000244C1" w:rsidRDefault="00057BF0" w:rsidP="00FC2B4A">
            <w:pPr>
              <w:spacing w:before="120" w:after="120"/>
              <w:rPr>
                <w:rFonts w:eastAsia="Calibri"/>
                <w:sz w:val="20"/>
                <w:lang w:val="en-AU"/>
              </w:rPr>
            </w:pPr>
            <w:r w:rsidRPr="000244C1">
              <w:rPr>
                <w:rFonts w:eastAsia="Calibri"/>
                <w:sz w:val="20"/>
                <w:lang w:val="en-AU"/>
              </w:rPr>
              <w:t>Average</w:t>
            </w:r>
          </w:p>
        </w:tc>
        <w:tc>
          <w:tcPr>
            <w:tcW w:w="1041" w:type="dxa"/>
            <w:shd w:val="clear" w:color="auto" w:fill="auto"/>
          </w:tcPr>
          <w:p w14:paraId="6313B149"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 xml:space="preserve">─4.49 </w:t>
            </w:r>
          </w:p>
          <w:p w14:paraId="05851AE2" w14:textId="77777777" w:rsidR="00057BF0" w:rsidRPr="000244C1" w:rsidRDefault="00057BF0" w:rsidP="00FC2B4A">
            <w:pPr>
              <w:spacing w:before="120" w:after="120"/>
              <w:jc w:val="center"/>
              <w:rPr>
                <w:rFonts w:eastAsia="Calibri"/>
                <w:sz w:val="20"/>
                <w:lang w:val="en-AU"/>
              </w:rPr>
            </w:pPr>
            <w:r w:rsidRPr="000244C1">
              <w:rPr>
                <w:rFonts w:eastAsia="Calibri"/>
                <w:color w:val="000000"/>
                <w:sz w:val="20"/>
                <w:lang w:val="en-AU"/>
              </w:rPr>
              <w:t>(2.09)</w:t>
            </w:r>
          </w:p>
        </w:tc>
        <w:tc>
          <w:tcPr>
            <w:tcW w:w="876" w:type="dxa"/>
            <w:shd w:val="clear" w:color="auto" w:fill="auto"/>
          </w:tcPr>
          <w:p w14:paraId="5E651004" w14:textId="77777777" w:rsidR="00057BF0" w:rsidRPr="000244C1" w:rsidRDefault="00057BF0" w:rsidP="00FC2B4A">
            <w:pPr>
              <w:spacing w:before="120" w:after="120"/>
              <w:jc w:val="center"/>
              <w:rPr>
                <w:rFonts w:eastAsia="Calibri"/>
                <w:sz w:val="20"/>
                <w:lang w:val="en-AU"/>
              </w:rPr>
            </w:pPr>
            <w:r w:rsidRPr="000244C1">
              <w:rPr>
                <w:rFonts w:eastAsia="Calibri"/>
                <w:color w:val="000000"/>
                <w:sz w:val="20"/>
                <w:lang w:val="en-AU"/>
              </w:rPr>
              <w:t>─2.36 (2.06)</w:t>
            </w:r>
          </w:p>
        </w:tc>
        <w:tc>
          <w:tcPr>
            <w:tcW w:w="1117" w:type="dxa"/>
            <w:shd w:val="clear" w:color="auto" w:fill="auto"/>
          </w:tcPr>
          <w:p w14:paraId="662440F8"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 xml:space="preserve">─2.13 </w:t>
            </w:r>
          </w:p>
          <w:p w14:paraId="17DD49EE" w14:textId="77777777" w:rsidR="00057BF0" w:rsidRPr="000244C1" w:rsidRDefault="00057BF0" w:rsidP="00FC2B4A">
            <w:pPr>
              <w:spacing w:before="120" w:after="120"/>
              <w:jc w:val="center"/>
              <w:rPr>
                <w:rFonts w:eastAsia="Calibri"/>
                <w:sz w:val="20"/>
                <w:lang w:val="en-AU"/>
              </w:rPr>
            </w:pPr>
            <w:r w:rsidRPr="000244C1">
              <w:rPr>
                <w:rFonts w:eastAsia="Calibri"/>
                <w:color w:val="000000"/>
                <w:sz w:val="20"/>
                <w:lang w:val="en-AU"/>
              </w:rPr>
              <w:t>(-6.64, 2.38)</w:t>
            </w:r>
          </w:p>
        </w:tc>
        <w:tc>
          <w:tcPr>
            <w:tcW w:w="1041" w:type="dxa"/>
            <w:shd w:val="clear" w:color="auto" w:fill="auto"/>
          </w:tcPr>
          <w:p w14:paraId="1F69EF27"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 xml:space="preserve">─4.21 </w:t>
            </w:r>
          </w:p>
          <w:p w14:paraId="3E086DC8"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(2.41)</w:t>
            </w:r>
          </w:p>
        </w:tc>
        <w:tc>
          <w:tcPr>
            <w:tcW w:w="876" w:type="dxa"/>
            <w:shd w:val="clear" w:color="auto" w:fill="auto"/>
          </w:tcPr>
          <w:p w14:paraId="6468577D"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─1.21 (2.39)</w:t>
            </w:r>
          </w:p>
        </w:tc>
        <w:tc>
          <w:tcPr>
            <w:tcW w:w="1117" w:type="dxa"/>
            <w:shd w:val="clear" w:color="auto" w:fill="auto"/>
          </w:tcPr>
          <w:p w14:paraId="11F13B57"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 xml:space="preserve">─3.00 </w:t>
            </w:r>
          </w:p>
          <w:p w14:paraId="6E7E45C7" w14:textId="77777777" w:rsidR="00057BF0" w:rsidRPr="000244C1" w:rsidRDefault="00057BF0" w:rsidP="00FC2B4A">
            <w:pPr>
              <w:spacing w:before="120" w:after="120"/>
              <w:jc w:val="center"/>
              <w:rPr>
                <w:rFonts w:eastAsia="Calibri"/>
                <w:color w:val="000000"/>
                <w:sz w:val="20"/>
                <w:lang w:val="en-AU"/>
              </w:rPr>
            </w:pPr>
            <w:r w:rsidRPr="000244C1">
              <w:rPr>
                <w:rFonts w:eastAsia="Calibri"/>
                <w:color w:val="000000"/>
                <w:sz w:val="20"/>
                <w:lang w:val="en-AU"/>
              </w:rPr>
              <w:t>(-8·63, 2.62)</w:t>
            </w:r>
          </w:p>
        </w:tc>
      </w:tr>
    </w:tbl>
    <w:p w14:paraId="4A738AEF" w14:textId="77777777" w:rsidR="00057BF0" w:rsidRPr="000244C1" w:rsidRDefault="00057BF0" w:rsidP="008A24B1">
      <w:pPr>
        <w:pStyle w:val="C-Footnote"/>
        <w:rPr>
          <w:lang w:val="en-AU"/>
        </w:rPr>
      </w:pPr>
      <w:r w:rsidRPr="000244C1">
        <w:rPr>
          <w:lang w:val="en-AU"/>
        </w:rPr>
        <w:t>*Severely breathless cohort as defined in the originally registered study - people with modified Medical</w:t>
      </w:r>
    </w:p>
    <w:p w14:paraId="4DA5D581" w14:textId="77777777" w:rsidR="00057BF0" w:rsidRPr="000244C1" w:rsidRDefault="00057BF0" w:rsidP="008A24B1">
      <w:pPr>
        <w:pStyle w:val="C-Footnote"/>
        <w:rPr>
          <w:lang w:val="en-AU"/>
        </w:rPr>
      </w:pPr>
      <w:proofErr w:type="gramStart"/>
      <w:r w:rsidRPr="000244C1">
        <w:rPr>
          <w:lang w:val="en-AU"/>
        </w:rPr>
        <w:t>Research Council (</w:t>
      </w:r>
      <w:proofErr w:type="spellStart"/>
      <w:r w:rsidRPr="000244C1">
        <w:rPr>
          <w:lang w:val="en-AU"/>
        </w:rPr>
        <w:t>mMRC</w:t>
      </w:r>
      <w:proofErr w:type="spellEnd"/>
      <w:r w:rsidRPr="000244C1">
        <w:rPr>
          <w:lang w:val="en-AU"/>
        </w:rPr>
        <w:t>) breathlessness scale 3, 4 at baseline.</w:t>
      </w:r>
      <w:proofErr w:type="gramEnd"/>
    </w:p>
    <w:p w14:paraId="6DFC982B" w14:textId="77777777" w:rsidR="00057BF0" w:rsidRPr="000244C1" w:rsidRDefault="00057BF0" w:rsidP="008A24B1">
      <w:pPr>
        <w:pStyle w:val="C-Footnote"/>
        <w:rPr>
          <w:lang w:val="en-AU"/>
        </w:rPr>
      </w:pPr>
      <w:r w:rsidRPr="000244C1">
        <w:rPr>
          <w:lang w:val="en-AU"/>
        </w:rPr>
        <w:t xml:space="preserve">** Complete cohort  </w:t>
      </w:r>
    </w:p>
    <w:p w14:paraId="0E668F74" w14:textId="77777777" w:rsidR="00057BF0" w:rsidRPr="000244C1" w:rsidRDefault="00057BF0" w:rsidP="008A24B1">
      <w:pPr>
        <w:pStyle w:val="C-Footnote"/>
        <w:rPr>
          <w:lang w:val="en-AU"/>
        </w:rPr>
      </w:pPr>
      <w:r w:rsidRPr="000244C1">
        <w:rPr>
          <w:lang w:val="en-AU"/>
        </w:rPr>
        <w:t>^ Primary outcome ^^ ER – extended release</w:t>
      </w:r>
    </w:p>
    <w:p w14:paraId="4D7305D0" w14:textId="2CD0F083" w:rsidR="003B3E89" w:rsidRPr="000244C1" w:rsidRDefault="003B3E89" w:rsidP="003B3E89">
      <w:pPr>
        <w:pStyle w:val="C-BodyText"/>
        <w:rPr>
          <w:lang w:val="en-AU" w:eastAsia="en-AU"/>
        </w:rPr>
      </w:pPr>
      <w:r w:rsidRPr="000244C1">
        <w:rPr>
          <w:lang w:val="en-AU" w:eastAsia="en-AU"/>
        </w:rPr>
        <w:t>Clinical trial 2:</w:t>
      </w:r>
    </w:p>
    <w:p w14:paraId="76CB5FC8" w14:textId="0D7AE90A" w:rsidR="003B3E89" w:rsidRPr="000244C1" w:rsidRDefault="003B3E89" w:rsidP="003B3E89">
      <w:pPr>
        <w:pStyle w:val="C-BodyText"/>
        <w:rPr>
          <w:lang w:val="en-AU" w:eastAsia="en-AU"/>
        </w:rPr>
      </w:pPr>
      <w:r w:rsidRPr="000244C1">
        <w:rPr>
          <w:lang w:val="en-AU" w:eastAsia="en-AU"/>
        </w:rPr>
        <w:t xml:space="preserve">48 opioid naive participants with </w:t>
      </w:r>
      <w:r w:rsidR="00244361" w:rsidRPr="000244C1">
        <w:rPr>
          <w:lang w:val="en-AU" w:eastAsia="en-AU"/>
        </w:rPr>
        <w:t xml:space="preserve">chronic </w:t>
      </w:r>
      <w:r w:rsidR="00EF071B" w:rsidRPr="000244C1">
        <w:rPr>
          <w:lang w:val="en-AU" w:eastAsia="en-AU"/>
        </w:rPr>
        <w:t>breathlessness</w:t>
      </w:r>
      <w:r w:rsidRPr="000244C1">
        <w:rPr>
          <w:lang w:val="en-AU" w:eastAsia="en-AU"/>
        </w:rPr>
        <w:t xml:space="preserve"> secondary to advanced disease with no reversible components were randomised to receive 20mg sustained release morphine for 4 days or placebo in a double blind, crossover trial. The mean age of participants was 76 (SD 5) years, 73% were men, 88% had a diagnosis of COPD and 71% were receiving supplemental oxygen; </w:t>
      </w:r>
      <w:r w:rsidR="00244361" w:rsidRPr="000244C1">
        <w:rPr>
          <w:lang w:val="en-AU" w:eastAsia="en-AU"/>
        </w:rPr>
        <w:t xml:space="preserve">Eastern Co-operative Oncology Group functional </w:t>
      </w:r>
      <w:r w:rsidRPr="000244C1">
        <w:rPr>
          <w:lang w:val="en-AU" w:eastAsia="en-AU"/>
        </w:rPr>
        <w:t xml:space="preserve">status was 2 or 3. The primary outcome variable was the sensation of </w:t>
      </w:r>
      <w:r w:rsidR="00244361" w:rsidRPr="000244C1">
        <w:rPr>
          <w:lang w:val="en-AU" w:eastAsia="en-AU"/>
        </w:rPr>
        <w:t>breathlessness</w:t>
      </w:r>
      <w:r w:rsidRPr="000244C1">
        <w:rPr>
          <w:lang w:val="en-AU" w:eastAsia="en-AU"/>
        </w:rPr>
        <w:t xml:space="preserve"> as measured on a </w:t>
      </w:r>
      <w:r w:rsidR="00244361" w:rsidRPr="000244C1">
        <w:rPr>
          <w:lang w:val="en-AU" w:eastAsia="en-AU"/>
        </w:rPr>
        <w:t xml:space="preserve">VAS </w:t>
      </w:r>
      <w:r w:rsidRPr="000244C1">
        <w:rPr>
          <w:lang w:val="en-AU" w:eastAsia="en-AU"/>
        </w:rPr>
        <w:t>in the evening on the final day of the period. This was significantly reduced with sustained release morphine compared to placebo with a difference of 9.5mm (SD 19, 95% CI 3.0 to 16.1, P = 0.006). 21% of participants withdrew from the study.</w:t>
      </w:r>
      <w:r w:rsidR="0058616F" w:rsidRPr="000244C1">
        <w:rPr>
          <w:rStyle w:val="FootnoteReference"/>
          <w:lang w:val="en-AU" w:eastAsia="en-AU"/>
        </w:rPr>
        <w:footnoteReference w:id="1"/>
      </w:r>
    </w:p>
    <w:p w14:paraId="7326702B" w14:textId="1498CC2D" w:rsidR="003B3E89" w:rsidRPr="000244C1" w:rsidRDefault="000244C1" w:rsidP="003B3E89">
      <w:pPr>
        <w:pStyle w:val="C-BodyText"/>
        <w:rPr>
          <w:lang w:val="en-AU" w:eastAsia="en-AU"/>
        </w:rPr>
      </w:pPr>
      <w:r>
        <w:rPr>
          <w:lang w:val="en-AU" w:eastAsia="en-AU"/>
        </w:rPr>
        <w:t>Clinical trial 3:</w:t>
      </w:r>
    </w:p>
    <w:p w14:paraId="24AA23C6" w14:textId="5AE011A7" w:rsidR="003B3E89" w:rsidRPr="000244C1" w:rsidRDefault="003B3E89" w:rsidP="003B3E89">
      <w:pPr>
        <w:pStyle w:val="C-BodyText"/>
        <w:rPr>
          <w:lang w:val="en-AU" w:eastAsia="en-AU"/>
        </w:rPr>
      </w:pPr>
      <w:r w:rsidRPr="000244C1">
        <w:rPr>
          <w:lang w:val="en-AU" w:eastAsia="en-AU"/>
        </w:rPr>
        <w:t xml:space="preserve">83 opioid-naive adult outpatients with a palliative diagnosis and </w:t>
      </w:r>
      <w:r w:rsidR="00244361" w:rsidRPr="000244C1">
        <w:rPr>
          <w:lang w:val="en-AU" w:eastAsia="en-AU"/>
        </w:rPr>
        <w:t>chronic breathlessness</w:t>
      </w:r>
      <w:r w:rsidRPr="000244C1">
        <w:rPr>
          <w:lang w:val="en-AU" w:eastAsia="en-AU"/>
        </w:rPr>
        <w:t xml:space="preserve"> (</w:t>
      </w:r>
      <w:proofErr w:type="spellStart"/>
      <w:r w:rsidRPr="000244C1">
        <w:rPr>
          <w:lang w:val="en-AU" w:eastAsia="en-AU"/>
        </w:rPr>
        <w:t>mMRC</w:t>
      </w:r>
      <w:proofErr w:type="spellEnd"/>
      <w:r w:rsidRPr="000244C1">
        <w:rPr>
          <w:lang w:val="en-AU" w:eastAsia="en-AU"/>
        </w:rPr>
        <w:t xml:space="preserve"> 3-4) were enrolled in an open-label dose finding study of sustained release morphine. Of the participants, mean age was 75 years, 64% were male, </w:t>
      </w:r>
      <w:proofErr w:type="gramStart"/>
      <w:r w:rsidRPr="000244C1">
        <w:rPr>
          <w:lang w:val="en-AU" w:eastAsia="en-AU"/>
        </w:rPr>
        <w:t>54</w:t>
      </w:r>
      <w:proofErr w:type="gramEnd"/>
      <w:r w:rsidRPr="000244C1">
        <w:rPr>
          <w:lang w:val="en-AU" w:eastAsia="en-AU"/>
        </w:rPr>
        <w:t xml:space="preserve">% had a diagnosis of COPD, median </w:t>
      </w:r>
      <w:r w:rsidR="00057BF0" w:rsidRPr="000244C1">
        <w:rPr>
          <w:color w:val="000000"/>
          <w:lang w:val="en-AU"/>
        </w:rPr>
        <w:t xml:space="preserve">Australia-modified </w:t>
      </w:r>
      <w:proofErr w:type="spellStart"/>
      <w:r w:rsidR="00057BF0" w:rsidRPr="000244C1">
        <w:rPr>
          <w:color w:val="000000"/>
          <w:lang w:val="en-AU"/>
        </w:rPr>
        <w:t>Karnofsky</w:t>
      </w:r>
      <w:proofErr w:type="spellEnd"/>
      <w:r w:rsidR="00057BF0" w:rsidRPr="000244C1">
        <w:rPr>
          <w:color w:val="000000"/>
          <w:lang w:val="en-AU"/>
        </w:rPr>
        <w:t xml:space="preserve"> Performance Status </w:t>
      </w:r>
      <w:r w:rsidR="00057BF0" w:rsidRPr="000244C1">
        <w:rPr>
          <w:lang w:val="en-AU" w:eastAsia="en-AU"/>
        </w:rPr>
        <w:t xml:space="preserve">function </w:t>
      </w:r>
      <w:r w:rsidRPr="000244C1">
        <w:rPr>
          <w:lang w:val="en-AU" w:eastAsia="en-AU"/>
        </w:rPr>
        <w:t xml:space="preserve">was 60. The duration of participation in the study was a mean of 142 days (SD 190; median 29; range 2 to 665). There were 52 participants who were assessed as responding (with this defined as a 10% improvement over baseline in VAS Breathlessness score and with acceptable/minimal side effects). In these patients, the average improvement from their own baselines was 17.1 </w:t>
      </w:r>
      <w:r w:rsidRPr="000244C1">
        <w:rPr>
          <w:lang w:val="en-AU" w:eastAsia="en-AU"/>
        </w:rPr>
        <w:lastRenderedPageBreak/>
        <w:t>mm (SD 11.6) and 69.2% had had benefit at a daily dose of 10 mg, 23.1% at 20 mg, and 7.7% at 30 mg.</w:t>
      </w:r>
      <w:r w:rsidR="0058616F" w:rsidRPr="000244C1">
        <w:rPr>
          <w:rStyle w:val="FootnoteReference"/>
          <w:lang w:val="en-AU" w:eastAsia="en-AU"/>
        </w:rPr>
        <w:footnoteReference w:id="2"/>
      </w:r>
    </w:p>
    <w:p w14:paraId="4F23769E" w14:textId="71E1D483" w:rsidR="006129B7" w:rsidRPr="000244C1" w:rsidRDefault="00A97D7E" w:rsidP="0000138E">
      <w:pPr>
        <w:pStyle w:val="C-BodyText"/>
        <w:rPr>
          <w:lang w:val="en-AU" w:eastAsia="en-AU"/>
        </w:rPr>
      </w:pPr>
      <w:r w:rsidRPr="000244C1">
        <w:rPr>
          <w:lang w:val="en-AU" w:eastAsia="en-AU"/>
        </w:rPr>
        <w:t xml:space="preserve">The most recent </w:t>
      </w:r>
      <w:r w:rsidR="00726431" w:rsidRPr="000244C1">
        <w:rPr>
          <w:lang w:val="en-AU" w:eastAsia="en-AU"/>
        </w:rPr>
        <w:t>meta-analysis</w:t>
      </w:r>
      <w:r w:rsidR="00A12BCA" w:rsidRPr="000244C1">
        <w:rPr>
          <w:lang w:val="en-AU" w:eastAsia="en-AU"/>
        </w:rPr>
        <w:t xml:space="preserve"> </w:t>
      </w:r>
      <w:r w:rsidRPr="000244C1">
        <w:rPr>
          <w:lang w:val="en-AU" w:eastAsia="en-AU"/>
        </w:rPr>
        <w:t>of controlled clinical trials of morphine for the reduction of chronic breathlessness explored 12 trials with significant heterogeneity, 11 of which were cross-over studies. The findings were of a statistically and clinically meaningful reduction in breathlessness</w:t>
      </w:r>
      <w:r w:rsidR="004B73D1" w:rsidRPr="000244C1">
        <w:rPr>
          <w:lang w:val="en-AU" w:eastAsia="en-AU"/>
        </w:rPr>
        <w:t>.</w:t>
      </w:r>
      <w:r w:rsidR="000139C1" w:rsidRPr="000244C1">
        <w:rPr>
          <w:rStyle w:val="FootnoteReference"/>
          <w:lang w:val="en-AU" w:eastAsia="en-AU"/>
        </w:rPr>
        <w:footnoteReference w:id="3"/>
      </w:r>
      <w:r w:rsidR="00C928E9" w:rsidRPr="000244C1">
        <w:rPr>
          <w:lang w:val="en-AU" w:eastAsia="en-AU"/>
        </w:rPr>
        <w:t xml:space="preserve"> Of these studies, two used extended release (ER) morphine (64 participants) and one of these studies was for up to six weeks of treatment.</w:t>
      </w:r>
    </w:p>
    <w:p w14:paraId="0185C367" w14:textId="68BEB9D4" w:rsidR="00A97D7E" w:rsidRPr="000244C1" w:rsidRDefault="00BD14AC" w:rsidP="0000138E">
      <w:pPr>
        <w:pStyle w:val="C-BodyText"/>
        <w:rPr>
          <w:szCs w:val="24"/>
          <w:lang w:val="en-AU"/>
        </w:rPr>
      </w:pPr>
      <w:r w:rsidRPr="000244C1">
        <w:rPr>
          <w:lang w:val="en-AU"/>
        </w:rPr>
        <w:t xml:space="preserve">A further systematic review and meta-analysis that brought together </w:t>
      </w:r>
      <w:r w:rsidR="00E34A03" w:rsidRPr="000244C1">
        <w:rPr>
          <w:lang w:val="en-AU"/>
        </w:rPr>
        <w:t xml:space="preserve">67 </w:t>
      </w:r>
      <w:r w:rsidRPr="000244C1">
        <w:rPr>
          <w:lang w:val="en-AU"/>
        </w:rPr>
        <w:t xml:space="preserve">clinical studies of opioids for breathlessness </w:t>
      </w:r>
      <w:r w:rsidRPr="000244C1">
        <w:rPr>
          <w:szCs w:val="24"/>
          <w:lang w:val="en-AU"/>
        </w:rPr>
        <w:t xml:space="preserve">found no </w:t>
      </w:r>
      <w:r w:rsidRPr="000244C1">
        <w:rPr>
          <w:color w:val="000000"/>
          <w:szCs w:val="24"/>
          <w:shd w:val="clear" w:color="auto" w:fill="FFFFFF"/>
          <w:lang w:val="en-AU"/>
        </w:rPr>
        <w:t>evidence of clinically relevant respiratory adverse effects of opioids for chronic breathlessness including changes in blood gases or respiratory dep</w:t>
      </w:r>
      <w:r w:rsidRPr="000244C1">
        <w:rPr>
          <w:szCs w:val="24"/>
          <w:shd w:val="clear" w:color="auto" w:fill="FFFFFF"/>
          <w:lang w:val="en-AU"/>
        </w:rPr>
        <w:t>ression.</w:t>
      </w:r>
      <w:r w:rsidR="004B73D1" w:rsidRPr="000244C1">
        <w:rPr>
          <w:szCs w:val="24"/>
          <w:shd w:val="clear" w:color="auto" w:fill="FFFFFF"/>
          <w:lang w:val="en-AU"/>
        </w:rPr>
        <w:t xml:space="preserve"> </w:t>
      </w:r>
      <w:r w:rsidR="004B73D1" w:rsidRPr="000244C1">
        <w:rPr>
          <w:lang w:val="en-AU"/>
        </w:rPr>
        <w:t>In this study, 84 participants in three studies were on ER morphine, two of which for longer than seven days.</w:t>
      </w:r>
      <w:r w:rsidR="000138B4" w:rsidRPr="000244C1">
        <w:rPr>
          <w:rStyle w:val="FootnoteReference"/>
          <w:lang w:val="en-AU"/>
        </w:rPr>
        <w:footnoteReference w:id="4"/>
      </w:r>
    </w:p>
    <w:p w14:paraId="4FC85051" w14:textId="0652EFAF" w:rsidR="002E4D1F" w:rsidRPr="000244C1" w:rsidRDefault="003960B2" w:rsidP="00E60288">
      <w:pPr>
        <w:pStyle w:val="C-Heading2"/>
        <w:rPr>
          <w:lang w:val="en-AU"/>
        </w:rPr>
      </w:pPr>
      <w:r w:rsidRPr="000244C1">
        <w:rPr>
          <w:lang w:val="en-AU"/>
        </w:rPr>
        <w:t>Pharmacokinetic Properties</w:t>
      </w:r>
    </w:p>
    <w:p w14:paraId="3114F8F6" w14:textId="77777777" w:rsidR="00C74168" w:rsidRPr="000244C1" w:rsidRDefault="00C74168" w:rsidP="00C74168">
      <w:pPr>
        <w:pStyle w:val="C-Heading2non-numbered"/>
        <w:rPr>
          <w:lang w:val="en-AU"/>
        </w:rPr>
      </w:pPr>
      <w:r w:rsidRPr="000244C1">
        <w:rPr>
          <w:lang w:val="en-AU"/>
        </w:rPr>
        <w:t>Absorption</w:t>
      </w:r>
    </w:p>
    <w:p w14:paraId="0C9FC698" w14:textId="3536077E" w:rsidR="00C74168" w:rsidRPr="000244C1" w:rsidRDefault="00C74168" w:rsidP="00C74168">
      <w:pPr>
        <w:pStyle w:val="C-BodyText"/>
        <w:rPr>
          <w:lang w:val="en-AU"/>
        </w:rPr>
      </w:pPr>
      <w:r w:rsidRPr="000244C1">
        <w:rPr>
          <w:lang w:val="en-AU"/>
        </w:rPr>
        <w:t xml:space="preserve">Morphine is rapidly absorbed from the gastrointestinal tract, nasal mucosa, </w:t>
      </w:r>
      <w:proofErr w:type="gramStart"/>
      <w:r w:rsidRPr="000244C1">
        <w:rPr>
          <w:lang w:val="en-AU"/>
        </w:rPr>
        <w:t>lung</w:t>
      </w:r>
      <w:proofErr w:type="gramEnd"/>
      <w:r w:rsidRPr="000244C1">
        <w:rPr>
          <w:lang w:val="en-AU"/>
        </w:rPr>
        <w:t xml:space="preserve"> and after subcutaneous (</w:t>
      </w:r>
      <w:proofErr w:type="spellStart"/>
      <w:r w:rsidRPr="000244C1">
        <w:rPr>
          <w:lang w:val="en-AU"/>
        </w:rPr>
        <w:t>s.c.</w:t>
      </w:r>
      <w:proofErr w:type="spellEnd"/>
      <w:r w:rsidRPr="000244C1">
        <w:rPr>
          <w:lang w:val="en-AU"/>
        </w:rPr>
        <w:t>) and i</w:t>
      </w:r>
      <w:r w:rsidR="002B3FE7" w:rsidRPr="000244C1">
        <w:rPr>
          <w:lang w:val="en-AU"/>
        </w:rPr>
        <w:t>ntramuscular (</w:t>
      </w:r>
      <w:proofErr w:type="spellStart"/>
      <w:r w:rsidR="002B3FE7" w:rsidRPr="000244C1">
        <w:rPr>
          <w:lang w:val="en-AU"/>
        </w:rPr>
        <w:t>i.m</w:t>
      </w:r>
      <w:proofErr w:type="spellEnd"/>
      <w:r w:rsidR="002B3FE7" w:rsidRPr="000244C1">
        <w:rPr>
          <w:lang w:val="en-AU"/>
        </w:rPr>
        <w:t>.) injection.</w:t>
      </w:r>
    </w:p>
    <w:p w14:paraId="689264CC" w14:textId="603238F9" w:rsidR="00C74168" w:rsidRPr="000244C1" w:rsidRDefault="00C74168" w:rsidP="00C74168">
      <w:pPr>
        <w:pStyle w:val="C-BodyText"/>
        <w:rPr>
          <w:lang w:val="en-AU"/>
        </w:rPr>
      </w:pPr>
      <w:r w:rsidRPr="000244C1">
        <w:rPr>
          <w:lang w:val="en-AU"/>
        </w:rPr>
        <w:t>Following oral administration</w:t>
      </w:r>
      <w:r w:rsidR="00244361" w:rsidRPr="000244C1">
        <w:rPr>
          <w:lang w:val="en-AU"/>
        </w:rPr>
        <w:t>,</w:t>
      </w:r>
      <w:r w:rsidRPr="000244C1">
        <w:rPr>
          <w:lang w:val="en-AU"/>
        </w:rPr>
        <w:t xml:space="preserve"> the dose normalised extent of absorption (AUC) of morphine from </w:t>
      </w:r>
      <w:proofErr w:type="spellStart"/>
      <w:r w:rsidRPr="000244C1">
        <w:rPr>
          <w:lang w:val="en-AU"/>
        </w:rPr>
        <w:t>Kapanol</w:t>
      </w:r>
      <w:proofErr w:type="spellEnd"/>
      <w:r w:rsidRPr="000244C1">
        <w:rPr>
          <w:lang w:val="en-AU"/>
        </w:rPr>
        <w:t xml:space="preserve"> is similar to that obtained from morphine solution or controlled-release tablets.  However, the rate of absorption of morphine from </w:t>
      </w:r>
      <w:proofErr w:type="spellStart"/>
      <w:r w:rsidRPr="000244C1">
        <w:rPr>
          <w:lang w:val="en-AU"/>
        </w:rPr>
        <w:t>Kapanol</w:t>
      </w:r>
      <w:proofErr w:type="spellEnd"/>
      <w:r w:rsidRPr="000244C1">
        <w:rPr>
          <w:lang w:val="en-AU"/>
        </w:rPr>
        <w:t xml:space="preserve"> is significantly slower.</w:t>
      </w:r>
    </w:p>
    <w:p w14:paraId="5331CD0F" w14:textId="77777777" w:rsidR="00C74168" w:rsidRPr="000244C1" w:rsidRDefault="00C74168" w:rsidP="00C74168">
      <w:pPr>
        <w:pStyle w:val="C-BodyText"/>
        <w:rPr>
          <w:lang w:val="en-AU"/>
        </w:rPr>
      </w:pPr>
      <w:r w:rsidRPr="000244C1">
        <w:rPr>
          <w:lang w:val="en-AU"/>
        </w:rPr>
        <w:t xml:space="preserve">On a 12 hourly dosing schedule, </w:t>
      </w:r>
      <w:proofErr w:type="spellStart"/>
      <w:r w:rsidRPr="000244C1">
        <w:rPr>
          <w:lang w:val="en-AU"/>
        </w:rPr>
        <w:t>Kapanol</w:t>
      </w:r>
      <w:proofErr w:type="spellEnd"/>
      <w:r w:rsidRPr="000244C1">
        <w:rPr>
          <w:lang w:val="en-AU"/>
        </w:rPr>
        <w:t xml:space="preserve"> at steady state exhibits a lower mean peak plasma morphine concentration (</w:t>
      </w:r>
      <w:proofErr w:type="spellStart"/>
      <w:r w:rsidRPr="000244C1">
        <w:rPr>
          <w:lang w:val="en-AU"/>
        </w:rPr>
        <w:t>Cmax</w:t>
      </w:r>
      <w:proofErr w:type="spellEnd"/>
      <w:r w:rsidRPr="000244C1">
        <w:rPr>
          <w:lang w:val="en-AU"/>
        </w:rPr>
        <w:t>) and higher mean trough plasma morphine concentration (</w:t>
      </w:r>
      <w:proofErr w:type="spellStart"/>
      <w:r w:rsidRPr="000244C1">
        <w:rPr>
          <w:lang w:val="en-AU"/>
        </w:rPr>
        <w:t>Cmin</w:t>
      </w:r>
      <w:proofErr w:type="spellEnd"/>
      <w:r w:rsidRPr="000244C1">
        <w:rPr>
          <w:lang w:val="en-AU"/>
        </w:rPr>
        <w:t xml:space="preserve">) than the same total daily dose of morphine solution administered on a 4 hourly dosing regimen.  Although there is no clear relationship between the analgesic effect or the incidence of adverse reactions and plasma morphine concentrations, the reduced fluctuation in blood morphine concentrations following administration of </w:t>
      </w:r>
      <w:proofErr w:type="spellStart"/>
      <w:r w:rsidRPr="000244C1">
        <w:rPr>
          <w:lang w:val="en-AU"/>
        </w:rPr>
        <w:t>Kapanol</w:t>
      </w:r>
      <w:proofErr w:type="spellEnd"/>
      <w:r w:rsidRPr="000244C1">
        <w:rPr>
          <w:lang w:val="en-AU"/>
        </w:rPr>
        <w:t xml:space="preserve"> may reduce adverse reactions and the incidence of breakthrough pain.  </w:t>
      </w:r>
    </w:p>
    <w:p w14:paraId="3894A851" w14:textId="77777777" w:rsidR="00C74168" w:rsidRPr="000244C1" w:rsidRDefault="00C74168" w:rsidP="00C74168">
      <w:pPr>
        <w:pStyle w:val="C-BodyText"/>
        <w:rPr>
          <w:lang w:val="en-AU"/>
        </w:rPr>
      </w:pPr>
      <w:r w:rsidRPr="000244C1">
        <w:rPr>
          <w:lang w:val="en-AU"/>
        </w:rPr>
        <w:t xml:space="preserve">On a 24 hourly dosing schedule, </w:t>
      </w:r>
      <w:proofErr w:type="spellStart"/>
      <w:r w:rsidRPr="000244C1">
        <w:rPr>
          <w:lang w:val="en-AU"/>
        </w:rPr>
        <w:t>Kapanol</w:t>
      </w:r>
      <w:proofErr w:type="spellEnd"/>
      <w:r w:rsidRPr="000244C1">
        <w:rPr>
          <w:lang w:val="en-AU"/>
        </w:rPr>
        <w:t xml:space="preserve"> at steady state maintained higher dose-adjusted minimum plasma morphine concentrations (</w:t>
      </w:r>
      <w:proofErr w:type="spellStart"/>
      <w:r w:rsidRPr="000244C1">
        <w:rPr>
          <w:lang w:val="en-AU"/>
        </w:rPr>
        <w:t>Cmin</w:t>
      </w:r>
      <w:proofErr w:type="spellEnd"/>
      <w:r w:rsidRPr="000244C1">
        <w:rPr>
          <w:lang w:val="en-AU"/>
        </w:rPr>
        <w:t xml:space="preserve">) and was associated with reduced fluctuation in dose-adjusted plasma morphine levels than controlled-release morphine tablets administered on a 12 hourly dosing regimen.  Plasma morphine concentrations remained at or above 75% of the maximum plasma concentration for longer with </w:t>
      </w:r>
      <w:proofErr w:type="spellStart"/>
      <w:r w:rsidRPr="000244C1">
        <w:rPr>
          <w:lang w:val="en-AU"/>
        </w:rPr>
        <w:t>Kapanol</w:t>
      </w:r>
      <w:proofErr w:type="spellEnd"/>
      <w:r w:rsidRPr="000244C1">
        <w:rPr>
          <w:lang w:val="en-AU"/>
        </w:rPr>
        <w:t xml:space="preserve"> than for controlled-release morphine tablets.  There was no significant difference in the dose-adjusted AUC, average concentration (Cave) or </w:t>
      </w:r>
      <w:proofErr w:type="spellStart"/>
      <w:r w:rsidRPr="000244C1">
        <w:rPr>
          <w:lang w:val="en-AU"/>
        </w:rPr>
        <w:t>Cmax</w:t>
      </w:r>
      <w:proofErr w:type="spellEnd"/>
      <w:r w:rsidRPr="000244C1">
        <w:rPr>
          <w:lang w:val="en-AU"/>
        </w:rPr>
        <w:t xml:space="preserve"> between these two treatments.</w:t>
      </w:r>
    </w:p>
    <w:p w14:paraId="3A0A0C89" w14:textId="77777777" w:rsidR="00C74168" w:rsidRPr="000244C1" w:rsidRDefault="00C74168" w:rsidP="00C74168">
      <w:pPr>
        <w:pStyle w:val="C-Heading2non-numbered"/>
        <w:rPr>
          <w:lang w:val="en-AU"/>
        </w:rPr>
      </w:pPr>
      <w:r w:rsidRPr="000244C1">
        <w:rPr>
          <w:lang w:val="en-AU"/>
        </w:rPr>
        <w:lastRenderedPageBreak/>
        <w:t>Distribution</w:t>
      </w:r>
    </w:p>
    <w:p w14:paraId="2E8FA6D5" w14:textId="77777777" w:rsidR="00C74168" w:rsidRPr="000244C1" w:rsidRDefault="00C74168" w:rsidP="00C74168">
      <w:pPr>
        <w:pStyle w:val="C-BodyText"/>
        <w:rPr>
          <w:lang w:val="en-AU"/>
        </w:rPr>
      </w:pPr>
      <w:r w:rsidRPr="000244C1">
        <w:rPr>
          <w:lang w:val="en-AU"/>
        </w:rPr>
        <w:t>Once absorbed, morphine is distributed to skeletal muscle, kidneys, liver, intestinal tract, lungs, spleen and brain.  It crosses the placental membranes and has been found in breast milk.  About 30 to 35% of morphine is reversibly protein bound.</w:t>
      </w:r>
    </w:p>
    <w:p w14:paraId="580002A8" w14:textId="77777777" w:rsidR="00C74168" w:rsidRPr="000244C1" w:rsidRDefault="00C74168" w:rsidP="00C74168">
      <w:pPr>
        <w:pStyle w:val="C-BodyText"/>
        <w:rPr>
          <w:lang w:val="en-AU"/>
        </w:rPr>
      </w:pPr>
      <w:r w:rsidRPr="000244C1">
        <w:rPr>
          <w:lang w:val="en-AU"/>
        </w:rPr>
        <w:t xml:space="preserve">When </w:t>
      </w:r>
      <w:proofErr w:type="spellStart"/>
      <w:r w:rsidRPr="000244C1">
        <w:rPr>
          <w:lang w:val="en-AU"/>
        </w:rPr>
        <w:t>Kapanol</w:t>
      </w:r>
      <w:proofErr w:type="spellEnd"/>
      <w:r w:rsidRPr="000244C1">
        <w:rPr>
          <w:lang w:val="en-AU"/>
        </w:rPr>
        <w:t xml:space="preserve"> is given on a fixed dosing regimen, steady state is achieved within about two days.</w:t>
      </w:r>
    </w:p>
    <w:p w14:paraId="1372D99A" w14:textId="7068A0AC" w:rsidR="00C74168" w:rsidRPr="000244C1" w:rsidRDefault="00C74168" w:rsidP="00C74168">
      <w:pPr>
        <w:pStyle w:val="C-BodyText"/>
        <w:rPr>
          <w:lang w:val="en-AU"/>
        </w:rPr>
      </w:pPr>
      <w:r w:rsidRPr="000244C1">
        <w:rPr>
          <w:lang w:val="en-AU"/>
        </w:rPr>
        <w:t>Pharmacokinetic parameters of morphine show considerable inter-subject variation.  The average volume of distribution (</w:t>
      </w:r>
      <w:proofErr w:type="spellStart"/>
      <w:proofErr w:type="gramStart"/>
      <w:r w:rsidRPr="000244C1">
        <w:rPr>
          <w:lang w:val="en-AU"/>
        </w:rPr>
        <w:t>Vd</w:t>
      </w:r>
      <w:proofErr w:type="spellEnd"/>
      <w:proofErr w:type="gramEnd"/>
      <w:r w:rsidRPr="000244C1">
        <w:rPr>
          <w:lang w:val="en-AU"/>
        </w:rPr>
        <w:t>) is approximately 4 L/kg.</w:t>
      </w:r>
    </w:p>
    <w:p w14:paraId="38129202" w14:textId="77777777" w:rsidR="00C74168" w:rsidRPr="000244C1" w:rsidRDefault="00C74168" w:rsidP="00C74168">
      <w:pPr>
        <w:pStyle w:val="C-Heading2non-numbered"/>
        <w:rPr>
          <w:lang w:val="en-AU"/>
        </w:rPr>
      </w:pPr>
      <w:r w:rsidRPr="000244C1">
        <w:rPr>
          <w:lang w:val="en-AU"/>
        </w:rPr>
        <w:t>Metabolism</w:t>
      </w:r>
    </w:p>
    <w:p w14:paraId="3B781EE2" w14:textId="77777777" w:rsidR="00C74168" w:rsidRPr="000244C1" w:rsidRDefault="00C74168" w:rsidP="00C74168">
      <w:pPr>
        <w:pStyle w:val="C-BodyText"/>
        <w:rPr>
          <w:lang w:val="en-AU"/>
        </w:rPr>
      </w:pPr>
      <w:r w:rsidRPr="000244C1">
        <w:rPr>
          <w:lang w:val="en-AU"/>
        </w:rPr>
        <w:t>When administered orally it is subject to extensive but variable 'first-pass' metabolism and only about 40% of the administered dose reaches the central compartment.</w:t>
      </w:r>
    </w:p>
    <w:p w14:paraId="0A459ADF" w14:textId="77777777" w:rsidR="00C74168" w:rsidRPr="000244C1" w:rsidRDefault="00C74168" w:rsidP="00C74168">
      <w:pPr>
        <w:pStyle w:val="C-BodyText"/>
        <w:rPr>
          <w:lang w:val="en-AU"/>
        </w:rPr>
      </w:pPr>
      <w:r w:rsidRPr="000244C1">
        <w:rPr>
          <w:lang w:val="en-AU"/>
        </w:rPr>
        <w:t>Virtually all morphine is converted to glucuronide metabolites including morphine</w:t>
      </w:r>
      <w:r w:rsidRPr="000244C1">
        <w:rPr>
          <w:lang w:val="en-AU"/>
        </w:rPr>
        <w:noBreakHyphen/>
        <w:t>3</w:t>
      </w:r>
      <w:r w:rsidRPr="000244C1">
        <w:rPr>
          <w:lang w:val="en-AU"/>
        </w:rPr>
        <w:noBreakHyphen/>
        <w:t>glucuronide (M</w:t>
      </w:r>
      <w:r w:rsidRPr="000244C1">
        <w:rPr>
          <w:lang w:val="en-AU"/>
        </w:rPr>
        <w:noBreakHyphen/>
        <w:t>3</w:t>
      </w:r>
      <w:r w:rsidRPr="000244C1">
        <w:rPr>
          <w:lang w:val="en-AU"/>
        </w:rPr>
        <w:noBreakHyphen/>
        <w:t>G) (about 50%) and morphine</w:t>
      </w:r>
      <w:r w:rsidRPr="000244C1">
        <w:rPr>
          <w:lang w:val="en-AU"/>
        </w:rPr>
        <w:noBreakHyphen/>
        <w:t>6</w:t>
      </w:r>
      <w:r w:rsidRPr="000244C1">
        <w:rPr>
          <w:lang w:val="en-AU"/>
        </w:rPr>
        <w:noBreakHyphen/>
        <w:t>glucuronide (M</w:t>
      </w:r>
      <w:r w:rsidRPr="000244C1">
        <w:rPr>
          <w:lang w:val="en-AU"/>
        </w:rPr>
        <w:noBreakHyphen/>
        <w:t>6</w:t>
      </w:r>
      <w:r w:rsidRPr="000244C1">
        <w:rPr>
          <w:lang w:val="en-AU"/>
        </w:rPr>
        <w:noBreakHyphen/>
        <w:t xml:space="preserve">G) (5 to 15%). Morphine-6-glucuronide has been shown to be pharmacologically active.  Because accumulation of this metabolite has been observed in patients with renal disease, caution should be exercised in patients with clinically significant impairment of renal function. There has been no evaluation of </w:t>
      </w:r>
      <w:proofErr w:type="spellStart"/>
      <w:r w:rsidRPr="000244C1">
        <w:rPr>
          <w:lang w:val="en-AU"/>
        </w:rPr>
        <w:t>Kapanol</w:t>
      </w:r>
      <w:proofErr w:type="spellEnd"/>
      <w:r w:rsidRPr="000244C1">
        <w:rPr>
          <w:lang w:val="en-AU"/>
        </w:rPr>
        <w:t xml:space="preserve"> in patients with impaired hepatic and renal function.</w:t>
      </w:r>
    </w:p>
    <w:p w14:paraId="2B531D87" w14:textId="77777777" w:rsidR="00C74168" w:rsidRPr="000244C1" w:rsidRDefault="00C74168" w:rsidP="00C74168">
      <w:pPr>
        <w:pStyle w:val="C-Heading2non-numbered"/>
        <w:rPr>
          <w:lang w:val="en-AU"/>
        </w:rPr>
      </w:pPr>
      <w:r w:rsidRPr="000244C1">
        <w:rPr>
          <w:lang w:val="en-AU"/>
        </w:rPr>
        <w:t>Excretion</w:t>
      </w:r>
    </w:p>
    <w:p w14:paraId="2EA08695" w14:textId="6063F9E5" w:rsidR="00C74168" w:rsidRPr="000244C1" w:rsidRDefault="00C74168" w:rsidP="00C74168">
      <w:pPr>
        <w:pStyle w:val="C-BodyText"/>
        <w:rPr>
          <w:lang w:val="en-AU"/>
        </w:rPr>
      </w:pPr>
      <w:r w:rsidRPr="000244C1">
        <w:rPr>
          <w:lang w:val="en-AU"/>
        </w:rPr>
        <w:t xml:space="preserve">Morphine is excreted primarily in the urine as morphine-3-glucuronide and morphine-6-glucuronide.  A small amount of the glucuronide metabolites is excreted in the bile and there is some minor enterohepatic cycling.  Seven to 10% of administered morphine is excreted in the faeces. The terminal </w:t>
      </w:r>
      <w:r w:rsidR="0087445D" w:rsidRPr="000244C1">
        <w:rPr>
          <w:lang w:val="en-AU"/>
        </w:rPr>
        <w:t>half-life</w:t>
      </w:r>
      <w:r w:rsidRPr="000244C1">
        <w:rPr>
          <w:lang w:val="en-AU"/>
        </w:rPr>
        <w:t xml:space="preserve"> of morphine is 2 to 4 hours.</w:t>
      </w:r>
    </w:p>
    <w:p w14:paraId="4F8402D0" w14:textId="2D2EE953" w:rsidR="002E4D1F" w:rsidRPr="000244C1" w:rsidRDefault="002E4D1F" w:rsidP="00F06B6D">
      <w:pPr>
        <w:pStyle w:val="C-Heading1nopagebreak"/>
        <w:rPr>
          <w:lang w:val="en-AU"/>
        </w:rPr>
      </w:pPr>
      <w:r w:rsidRPr="000244C1">
        <w:rPr>
          <w:lang w:val="en-AU"/>
        </w:rPr>
        <w:t>PHARMACEUTICAL PARTICULARS</w:t>
      </w:r>
    </w:p>
    <w:p w14:paraId="166CD1D6" w14:textId="36C1D39B" w:rsidR="002E4D1F" w:rsidRPr="000244C1" w:rsidRDefault="003960B2" w:rsidP="00F06B6D">
      <w:pPr>
        <w:pStyle w:val="C-Heading2"/>
        <w:rPr>
          <w:lang w:val="en-AU"/>
        </w:rPr>
      </w:pPr>
      <w:r w:rsidRPr="000244C1">
        <w:rPr>
          <w:lang w:val="en-AU"/>
        </w:rPr>
        <w:t>List of Excipients</w:t>
      </w:r>
    </w:p>
    <w:p w14:paraId="174EC42B" w14:textId="1FE64399" w:rsidR="00EA5749" w:rsidRPr="000244C1" w:rsidRDefault="00EA5749" w:rsidP="00EA5749">
      <w:pPr>
        <w:pStyle w:val="C-BodyText"/>
        <w:rPr>
          <w:lang w:val="en-AU"/>
        </w:rPr>
      </w:pPr>
      <w:proofErr w:type="spellStart"/>
      <w:r w:rsidRPr="000244C1">
        <w:rPr>
          <w:lang w:val="en-AU"/>
        </w:rPr>
        <w:t>Kapanol</w:t>
      </w:r>
      <w:proofErr w:type="spellEnd"/>
      <w:r w:rsidR="002A59D7" w:rsidRPr="000244C1">
        <w:rPr>
          <w:lang w:val="en-AU"/>
        </w:rPr>
        <w:t xml:space="preserve"> </w:t>
      </w:r>
      <w:r w:rsidRPr="000244C1">
        <w:rPr>
          <w:lang w:val="en-AU"/>
        </w:rPr>
        <w:t xml:space="preserve">inactive ingredients:  sucrose, </w:t>
      </w:r>
      <w:r w:rsidR="00572007" w:rsidRPr="000244C1">
        <w:rPr>
          <w:lang w:val="en-AU"/>
        </w:rPr>
        <w:t>–maize starch</w:t>
      </w:r>
      <w:r w:rsidRPr="000244C1">
        <w:rPr>
          <w:lang w:val="en-AU"/>
        </w:rPr>
        <w:t xml:space="preserve">, </w:t>
      </w:r>
      <w:proofErr w:type="spellStart"/>
      <w:r w:rsidRPr="000244C1">
        <w:rPr>
          <w:lang w:val="en-AU"/>
        </w:rPr>
        <w:t>hypromellose</w:t>
      </w:r>
      <w:proofErr w:type="spellEnd"/>
      <w:r w:rsidRPr="000244C1">
        <w:rPr>
          <w:lang w:val="en-AU"/>
        </w:rPr>
        <w:t xml:space="preserve">, </w:t>
      </w:r>
      <w:proofErr w:type="spellStart"/>
      <w:r w:rsidRPr="000244C1">
        <w:rPr>
          <w:lang w:val="en-AU"/>
        </w:rPr>
        <w:t>ethylcellulose</w:t>
      </w:r>
      <w:proofErr w:type="spellEnd"/>
      <w:r w:rsidRPr="000244C1">
        <w:rPr>
          <w:lang w:val="en-AU"/>
        </w:rPr>
        <w:t xml:space="preserve">, </w:t>
      </w:r>
      <w:proofErr w:type="spellStart"/>
      <w:r w:rsidRPr="000244C1">
        <w:rPr>
          <w:lang w:val="en-AU"/>
        </w:rPr>
        <w:t>methacrylic</w:t>
      </w:r>
      <w:proofErr w:type="spellEnd"/>
      <w:r w:rsidRPr="000244C1">
        <w:rPr>
          <w:lang w:val="en-AU"/>
        </w:rPr>
        <w:t xml:space="preserve"> acid copolymer, </w:t>
      </w:r>
      <w:proofErr w:type="spellStart"/>
      <w:r w:rsidRPr="000244C1">
        <w:rPr>
          <w:lang w:val="en-AU"/>
        </w:rPr>
        <w:t>macrogol</w:t>
      </w:r>
      <w:proofErr w:type="spellEnd"/>
      <w:r w:rsidRPr="000244C1">
        <w:rPr>
          <w:lang w:val="en-AU"/>
        </w:rPr>
        <w:t xml:space="preserve"> 6000, diethyl phthalate, </w:t>
      </w:r>
      <w:r w:rsidR="00572007" w:rsidRPr="000244C1">
        <w:rPr>
          <w:lang w:val="en-AU"/>
        </w:rPr>
        <w:t xml:space="preserve">purified </w:t>
      </w:r>
      <w:r w:rsidRPr="000244C1">
        <w:rPr>
          <w:lang w:val="en-AU"/>
        </w:rPr>
        <w:t xml:space="preserve">talc, </w:t>
      </w:r>
      <w:r w:rsidR="00572007" w:rsidRPr="000244C1">
        <w:rPr>
          <w:lang w:val="en-AU"/>
        </w:rPr>
        <w:t xml:space="preserve">purified water, </w:t>
      </w:r>
      <w:proofErr w:type="spellStart"/>
      <w:r w:rsidRPr="000244C1">
        <w:rPr>
          <w:lang w:val="en-AU"/>
        </w:rPr>
        <w:t>gelatin</w:t>
      </w:r>
      <w:proofErr w:type="spellEnd"/>
      <w:r w:rsidRPr="000244C1">
        <w:rPr>
          <w:lang w:val="en-AU"/>
        </w:rPr>
        <w:t xml:space="preserve">, </w:t>
      </w:r>
      <w:proofErr w:type="spellStart"/>
      <w:r w:rsidRPr="000244C1">
        <w:rPr>
          <w:lang w:val="en-AU"/>
        </w:rPr>
        <w:t>Tek</w:t>
      </w:r>
      <w:proofErr w:type="spellEnd"/>
      <w:r w:rsidRPr="000244C1">
        <w:rPr>
          <w:lang w:val="en-AU"/>
        </w:rPr>
        <w:t xml:space="preserve"> Print* SW-9009 Black Ink.</w:t>
      </w:r>
    </w:p>
    <w:p w14:paraId="570DF790" w14:textId="44DFC2A4" w:rsidR="002E4D1F" w:rsidRPr="000244C1" w:rsidRDefault="003960B2" w:rsidP="00F06B6D">
      <w:pPr>
        <w:pStyle w:val="C-Heading2"/>
        <w:rPr>
          <w:lang w:val="en-AU"/>
        </w:rPr>
      </w:pPr>
      <w:r w:rsidRPr="000244C1">
        <w:rPr>
          <w:lang w:val="en-AU"/>
        </w:rPr>
        <w:t>Incompatibilities</w:t>
      </w:r>
    </w:p>
    <w:p w14:paraId="5CC9056D" w14:textId="3E3A0CC8" w:rsidR="007805DA" w:rsidRPr="000244C1" w:rsidRDefault="007805DA" w:rsidP="002A59D7">
      <w:pPr>
        <w:pStyle w:val="C-BodyText"/>
        <w:rPr>
          <w:lang w:val="en-AU"/>
        </w:rPr>
      </w:pPr>
      <w:r w:rsidRPr="000244C1">
        <w:rPr>
          <w:lang w:val="en-AU"/>
        </w:rPr>
        <w:t>Incompatibilities were either not assessed or not identified as part of the registration of this medicine.</w:t>
      </w:r>
    </w:p>
    <w:p w14:paraId="2B860CB8" w14:textId="573AE58B" w:rsidR="002E4D1F" w:rsidRPr="000244C1" w:rsidRDefault="003960B2" w:rsidP="00F06B6D">
      <w:pPr>
        <w:pStyle w:val="C-Heading2"/>
        <w:rPr>
          <w:lang w:val="en-AU"/>
        </w:rPr>
      </w:pPr>
      <w:r w:rsidRPr="000244C1">
        <w:rPr>
          <w:lang w:val="en-AU"/>
        </w:rPr>
        <w:t>Shelf Life</w:t>
      </w:r>
    </w:p>
    <w:p w14:paraId="0D0E54E0" w14:textId="43690343" w:rsidR="002E4D1F" w:rsidRPr="000244C1" w:rsidRDefault="002E4D1F" w:rsidP="002A59D7">
      <w:pPr>
        <w:pStyle w:val="C-BodyText"/>
        <w:rPr>
          <w:lang w:val="en-AU"/>
        </w:rPr>
      </w:pPr>
      <w:r w:rsidRPr="000244C1">
        <w:rPr>
          <w:lang w:val="en-AU"/>
        </w:rPr>
        <w:t>In Australia, information on the shelf life can be found on the public summary of the Australian Register of Therapeutic Goods (ARTG). The expiry date can be fou</w:t>
      </w:r>
      <w:r w:rsidR="0015062F" w:rsidRPr="000244C1">
        <w:rPr>
          <w:lang w:val="en-AU"/>
        </w:rPr>
        <w:t>nd on the packaging.</w:t>
      </w:r>
    </w:p>
    <w:p w14:paraId="58DF6A4C" w14:textId="0984E8C8" w:rsidR="002E4D1F" w:rsidRPr="000244C1" w:rsidRDefault="003960B2" w:rsidP="00F06B6D">
      <w:pPr>
        <w:pStyle w:val="C-Heading2"/>
        <w:rPr>
          <w:lang w:val="en-AU"/>
        </w:rPr>
      </w:pPr>
      <w:r w:rsidRPr="000244C1">
        <w:rPr>
          <w:lang w:val="en-AU"/>
        </w:rPr>
        <w:lastRenderedPageBreak/>
        <w:t>Special Precautions for Storage</w:t>
      </w:r>
    </w:p>
    <w:p w14:paraId="5FF31650" w14:textId="5A26C3AA" w:rsidR="009D3730" w:rsidRPr="000244C1" w:rsidRDefault="009D3730" w:rsidP="009D3730">
      <w:pPr>
        <w:pStyle w:val="C-BodyText"/>
        <w:rPr>
          <w:lang w:val="en-AU"/>
        </w:rPr>
      </w:pPr>
      <w:r w:rsidRPr="000244C1">
        <w:rPr>
          <w:lang w:val="en-AU"/>
        </w:rPr>
        <w:t>Store the capsules below 30°C.  Protect from light and moisture.</w:t>
      </w:r>
    </w:p>
    <w:p w14:paraId="5D864F57" w14:textId="4AE2E79E" w:rsidR="002E4D1F" w:rsidRPr="000244C1" w:rsidRDefault="003960B2" w:rsidP="00F06B6D">
      <w:pPr>
        <w:pStyle w:val="C-Heading2"/>
        <w:rPr>
          <w:lang w:val="en-AU"/>
        </w:rPr>
      </w:pPr>
      <w:r w:rsidRPr="000244C1">
        <w:rPr>
          <w:lang w:val="en-AU"/>
        </w:rPr>
        <w:t>Nature and Contents of Container</w:t>
      </w:r>
    </w:p>
    <w:p w14:paraId="23F04AB3" w14:textId="0225EAC7" w:rsidR="007805DA" w:rsidRPr="000244C1" w:rsidRDefault="007805DA" w:rsidP="007805DA">
      <w:pPr>
        <w:pStyle w:val="C-BodyText"/>
        <w:rPr>
          <w:lang w:val="en-AU"/>
        </w:rPr>
      </w:pPr>
      <w:proofErr w:type="spellStart"/>
      <w:r w:rsidRPr="000244C1">
        <w:rPr>
          <w:lang w:val="en-AU"/>
        </w:rPr>
        <w:t>Kapanol</w:t>
      </w:r>
      <w:proofErr w:type="spellEnd"/>
      <w:r w:rsidRPr="000244C1">
        <w:rPr>
          <w:lang w:val="en-AU"/>
        </w:rPr>
        <w:t xml:space="preserve"> capsules are available in in blister packs of 20, 28 or 60 capsules.</w:t>
      </w:r>
    </w:p>
    <w:p w14:paraId="623D6C47" w14:textId="546E70F8" w:rsidR="00592735" w:rsidRPr="000244C1" w:rsidRDefault="007805DA" w:rsidP="007805DA">
      <w:pPr>
        <w:pStyle w:val="C-BodyText"/>
        <w:rPr>
          <w:lang w:val="en-AU"/>
        </w:rPr>
      </w:pPr>
      <w:r w:rsidRPr="000244C1">
        <w:rPr>
          <w:lang w:val="en-AU"/>
        </w:rPr>
        <w:t>Not all strengths or pack sizes may be distributed in Australia.</w:t>
      </w:r>
    </w:p>
    <w:p w14:paraId="64A75204" w14:textId="7DDC839E" w:rsidR="002E4D1F" w:rsidRPr="000244C1" w:rsidRDefault="007D232B" w:rsidP="00F06B6D">
      <w:pPr>
        <w:pStyle w:val="C-Heading2"/>
        <w:rPr>
          <w:lang w:val="en-AU"/>
        </w:rPr>
      </w:pPr>
      <w:r w:rsidRPr="000244C1">
        <w:rPr>
          <w:lang w:val="en-AU"/>
        </w:rPr>
        <w:t>Special Precautions for Disposal</w:t>
      </w:r>
    </w:p>
    <w:p w14:paraId="22765356" w14:textId="63DF58C1" w:rsidR="007E2BA4" w:rsidRPr="000244C1" w:rsidRDefault="007E2BA4" w:rsidP="002A59D7">
      <w:pPr>
        <w:pStyle w:val="C-BodyText"/>
        <w:rPr>
          <w:lang w:val="en-AU"/>
        </w:rPr>
      </w:pPr>
      <w:r w:rsidRPr="000244C1">
        <w:rPr>
          <w:lang w:val="en-AU"/>
        </w:rPr>
        <w:t>In Australia, any unused medicine or waste material should be disposed of by taking to your local pharmacy.</w:t>
      </w:r>
    </w:p>
    <w:p w14:paraId="2D09FFFE" w14:textId="0FB241D5" w:rsidR="002E4D1F" w:rsidRPr="000244C1" w:rsidRDefault="007D232B" w:rsidP="00F06B6D">
      <w:pPr>
        <w:pStyle w:val="C-Heading2"/>
        <w:rPr>
          <w:lang w:val="en-AU"/>
        </w:rPr>
      </w:pPr>
      <w:r w:rsidRPr="000244C1">
        <w:rPr>
          <w:lang w:val="en-AU"/>
        </w:rPr>
        <w:t>Physicochemical Properties</w:t>
      </w:r>
    </w:p>
    <w:p w14:paraId="73AE9188" w14:textId="2B21078A" w:rsidR="002E4D1F" w:rsidRPr="000244C1" w:rsidRDefault="002E4D1F" w:rsidP="00F06B6D">
      <w:pPr>
        <w:pStyle w:val="C-Heading2non-numbered"/>
        <w:rPr>
          <w:lang w:val="en-AU"/>
        </w:rPr>
      </w:pPr>
      <w:r w:rsidRPr="000244C1">
        <w:rPr>
          <w:lang w:val="en-AU"/>
        </w:rPr>
        <w:t>Chemical structure</w:t>
      </w:r>
    </w:p>
    <w:p w14:paraId="2D2B0543" w14:textId="6467D45F" w:rsidR="00267653" w:rsidRPr="000244C1" w:rsidRDefault="00267653" w:rsidP="00267653">
      <w:pPr>
        <w:pStyle w:val="C-BodyText"/>
        <w:rPr>
          <w:lang w:val="en-AU"/>
        </w:rPr>
      </w:pPr>
      <w:r w:rsidRPr="000244C1">
        <w:rPr>
          <w:lang w:val="en-AU"/>
        </w:rPr>
        <w:t xml:space="preserve">Chemically, morphine </w:t>
      </w:r>
      <w:proofErr w:type="spellStart"/>
      <w:r w:rsidRPr="000244C1">
        <w:rPr>
          <w:lang w:val="en-AU"/>
        </w:rPr>
        <w:t>sulfate</w:t>
      </w:r>
      <w:proofErr w:type="spellEnd"/>
      <w:r w:rsidRPr="000244C1">
        <w:rPr>
          <w:lang w:val="en-AU"/>
        </w:rPr>
        <w:t xml:space="preserve"> </w:t>
      </w:r>
      <w:r w:rsidR="004D0639" w:rsidRPr="000244C1">
        <w:rPr>
          <w:lang w:val="en-AU"/>
        </w:rPr>
        <w:t xml:space="preserve">pentahydrate </w:t>
      </w:r>
      <w:r w:rsidRPr="000244C1">
        <w:rPr>
          <w:lang w:val="en-AU"/>
        </w:rPr>
        <w:t xml:space="preserve">is 7,8-didehydro-4,5(alpha)-epoxy-17-methyl-morphinan-3,6 (alpha) diol </w:t>
      </w:r>
      <w:proofErr w:type="spellStart"/>
      <w:r w:rsidRPr="000244C1">
        <w:rPr>
          <w:lang w:val="en-AU"/>
        </w:rPr>
        <w:t>sulfate</w:t>
      </w:r>
      <w:proofErr w:type="spellEnd"/>
      <w:r w:rsidRPr="000244C1">
        <w:rPr>
          <w:lang w:val="en-AU"/>
        </w:rPr>
        <w:t xml:space="preserve"> (2:1) (salt) pentahydrate and has the following structural formula:</w:t>
      </w:r>
    </w:p>
    <w:p w14:paraId="102E918E" w14:textId="3A75D75E" w:rsidR="009D3730" w:rsidRPr="000244C1" w:rsidRDefault="009D3730" w:rsidP="009D3730">
      <w:pPr>
        <w:pStyle w:val="C-BodyText"/>
        <w:rPr>
          <w:lang w:val="en-AU"/>
        </w:rPr>
      </w:pPr>
      <w:r w:rsidRPr="000244C1">
        <w:rPr>
          <w:noProof/>
          <w:sz w:val="20"/>
          <w:lang w:val="en-AU" w:eastAsia="en-AU"/>
        </w:rPr>
        <w:drawing>
          <wp:inline distT="0" distB="0" distL="0" distR="0" wp14:anchorId="55D40451" wp14:editId="0B3F5B52">
            <wp:extent cx="2581275" cy="1676400"/>
            <wp:effectExtent l="0" t="0" r="9525" b="0"/>
            <wp:docPr id="2" name="Picture 1" descr="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81275" cy="1676400"/>
                    </a:xfrm>
                    <a:prstGeom prst="rect">
                      <a:avLst/>
                    </a:prstGeom>
                    <a:noFill/>
                    <a:ln w="9525">
                      <a:noFill/>
                      <a:miter lim="800000"/>
                      <a:headEnd/>
                      <a:tailEnd/>
                    </a:ln>
                  </pic:spPr>
                </pic:pic>
              </a:graphicData>
            </a:graphic>
          </wp:inline>
        </w:drawing>
      </w:r>
    </w:p>
    <w:p w14:paraId="59A84DB0" w14:textId="16308156" w:rsidR="00AE4DE5" w:rsidRPr="000244C1" w:rsidRDefault="00AE4DE5" w:rsidP="00AE4DE5">
      <w:pPr>
        <w:pStyle w:val="C-BodyText"/>
        <w:rPr>
          <w:lang w:val="en-AU"/>
        </w:rPr>
      </w:pPr>
      <w:r w:rsidRPr="000244C1">
        <w:rPr>
          <w:lang w:val="en-AU"/>
        </w:rPr>
        <w:t xml:space="preserve">Morphine </w:t>
      </w:r>
      <w:proofErr w:type="spellStart"/>
      <w:r w:rsidRPr="000244C1">
        <w:rPr>
          <w:lang w:val="en-AU"/>
        </w:rPr>
        <w:t>sulfate</w:t>
      </w:r>
      <w:proofErr w:type="spellEnd"/>
      <w:r w:rsidRPr="000244C1">
        <w:rPr>
          <w:lang w:val="en-AU"/>
        </w:rPr>
        <w:t xml:space="preserve"> pentahydrate is an odourless, white, crystalline powder or </w:t>
      </w:r>
      <w:proofErr w:type="spellStart"/>
      <w:r w:rsidRPr="000244C1">
        <w:rPr>
          <w:lang w:val="en-AU"/>
        </w:rPr>
        <w:t>needlelike</w:t>
      </w:r>
      <w:proofErr w:type="spellEnd"/>
      <w:r w:rsidRPr="000244C1">
        <w:rPr>
          <w:lang w:val="en-AU"/>
        </w:rPr>
        <w:t xml:space="preserve"> crystals with a bitter taste. It has a solubility of 1 in 21 of water and 1 in 1000 of alcohol, but it is practically insoluble in chloroform or ether.</w:t>
      </w:r>
    </w:p>
    <w:p w14:paraId="0EBF969E" w14:textId="7958EC6F" w:rsidR="002E4D1F" w:rsidRPr="000244C1" w:rsidRDefault="002E4D1F" w:rsidP="00F06B6D">
      <w:pPr>
        <w:pStyle w:val="C-Heading2non-numbered"/>
        <w:rPr>
          <w:lang w:val="en-AU"/>
        </w:rPr>
      </w:pPr>
      <w:r w:rsidRPr="000244C1">
        <w:rPr>
          <w:lang w:val="en-AU"/>
        </w:rPr>
        <w:t>CAS number</w:t>
      </w:r>
    </w:p>
    <w:p w14:paraId="4ECCFDAA" w14:textId="5603D5C6" w:rsidR="002E4D1F" w:rsidRPr="000244C1" w:rsidRDefault="009D3730" w:rsidP="009D3730">
      <w:pPr>
        <w:pStyle w:val="C-BodyText"/>
        <w:rPr>
          <w:lang w:val="en-AU"/>
        </w:rPr>
      </w:pPr>
      <w:r w:rsidRPr="000244C1">
        <w:rPr>
          <w:lang w:val="en-AU"/>
        </w:rPr>
        <w:t>57-27-2</w:t>
      </w:r>
    </w:p>
    <w:p w14:paraId="292C5121" w14:textId="58AEBA4F" w:rsidR="002E4D1F" w:rsidRPr="000244C1" w:rsidRDefault="002E4D1F" w:rsidP="0045330A">
      <w:pPr>
        <w:pStyle w:val="C-Heading1nopagebreak"/>
        <w:rPr>
          <w:lang w:val="en-AU"/>
        </w:rPr>
      </w:pPr>
      <w:r w:rsidRPr="000244C1">
        <w:rPr>
          <w:lang w:val="en-AU"/>
        </w:rPr>
        <w:t>MEDICINE SCHEDULE (POISONS STANDARD)</w:t>
      </w:r>
    </w:p>
    <w:p w14:paraId="422E496F" w14:textId="6AD9940A" w:rsidR="001E2ED6" w:rsidRPr="000244C1" w:rsidRDefault="001E2ED6" w:rsidP="001E2ED6">
      <w:pPr>
        <w:pStyle w:val="C-BodyText"/>
        <w:rPr>
          <w:lang w:val="en-AU"/>
        </w:rPr>
      </w:pPr>
      <w:r w:rsidRPr="000244C1">
        <w:rPr>
          <w:lang w:val="en-AU"/>
        </w:rPr>
        <w:t>S8</w:t>
      </w:r>
    </w:p>
    <w:p w14:paraId="0CD16C0C" w14:textId="023E0FCF" w:rsidR="002E4D1F" w:rsidRPr="000244C1" w:rsidRDefault="002E4D1F" w:rsidP="00F0391E">
      <w:pPr>
        <w:pStyle w:val="C-Heading1nopagebreak"/>
        <w:pageBreakBefore/>
        <w:ind w:left="1077" w:hanging="1077"/>
        <w:rPr>
          <w:lang w:val="en-AU"/>
        </w:rPr>
      </w:pPr>
      <w:bookmarkStart w:id="8" w:name="_GoBack"/>
      <w:bookmarkEnd w:id="8"/>
      <w:r w:rsidRPr="000244C1">
        <w:rPr>
          <w:lang w:val="en-AU"/>
        </w:rPr>
        <w:lastRenderedPageBreak/>
        <w:t>SPONSOR</w:t>
      </w:r>
    </w:p>
    <w:p w14:paraId="581845F3" w14:textId="5A1B32AC" w:rsidR="00D22BF9" w:rsidRPr="000244C1" w:rsidRDefault="00D22BF9" w:rsidP="00D22BF9">
      <w:pPr>
        <w:pStyle w:val="C-BodyText"/>
        <w:rPr>
          <w:lang w:val="en-AU"/>
        </w:rPr>
      </w:pPr>
      <w:r w:rsidRPr="000244C1">
        <w:rPr>
          <w:lang w:val="en-AU"/>
        </w:rPr>
        <w:t>Mayne Pharma International Pty Ltd.</w:t>
      </w:r>
    </w:p>
    <w:p w14:paraId="3640544B" w14:textId="77777777" w:rsidR="00D22BF9" w:rsidRPr="000244C1" w:rsidRDefault="00D22BF9" w:rsidP="00D22BF9">
      <w:pPr>
        <w:pStyle w:val="C-BodyText"/>
        <w:rPr>
          <w:lang w:val="en-AU"/>
        </w:rPr>
      </w:pPr>
      <w:r w:rsidRPr="000244C1">
        <w:rPr>
          <w:lang w:val="en-AU"/>
        </w:rPr>
        <w:t>ABN 88 007 870 984</w:t>
      </w:r>
    </w:p>
    <w:p w14:paraId="21F13199" w14:textId="127D3932" w:rsidR="00D22BF9" w:rsidRPr="000244C1" w:rsidRDefault="00D22BF9" w:rsidP="00D22BF9">
      <w:pPr>
        <w:pStyle w:val="C-BodyText"/>
        <w:rPr>
          <w:lang w:val="en-AU"/>
        </w:rPr>
      </w:pPr>
      <w:r w:rsidRPr="000244C1">
        <w:rPr>
          <w:lang w:val="en-AU"/>
        </w:rPr>
        <w:t>1538 Main North Rd., Salisbury South, SA 5106, Australia</w:t>
      </w:r>
    </w:p>
    <w:p w14:paraId="6907F519" w14:textId="2F4CEBF0" w:rsidR="00D86594" w:rsidRPr="000244C1" w:rsidRDefault="00F0391E" w:rsidP="00D22BF9">
      <w:pPr>
        <w:pStyle w:val="C-BodyText"/>
        <w:rPr>
          <w:lang w:val="en-AU"/>
        </w:rPr>
      </w:pPr>
      <w:hyperlink r:id="rId10" w:history="1">
        <w:r w:rsidR="007F4831" w:rsidRPr="001D2F02">
          <w:rPr>
            <w:rStyle w:val="Hyperlink"/>
            <w:lang w:val="en-AU"/>
          </w:rPr>
          <w:t>http://www.maynepharma.com/products/australian-products/</w:t>
        </w:r>
      </w:hyperlink>
    </w:p>
    <w:p w14:paraId="4613ED82" w14:textId="1A969802" w:rsidR="002E4D1F" w:rsidRPr="000244C1" w:rsidRDefault="002E4D1F" w:rsidP="00F06B6D">
      <w:pPr>
        <w:pStyle w:val="C-Heading1nopagebreak"/>
        <w:rPr>
          <w:lang w:val="en-AU"/>
        </w:rPr>
      </w:pPr>
      <w:r w:rsidRPr="000244C1">
        <w:rPr>
          <w:lang w:val="en-AU"/>
        </w:rPr>
        <w:t>DATE OF FIRST APPROVAL</w:t>
      </w:r>
    </w:p>
    <w:p w14:paraId="1E524431" w14:textId="25DB91F5" w:rsidR="00D22BF9" w:rsidRPr="000244C1" w:rsidRDefault="00D22BF9" w:rsidP="00D22BF9">
      <w:pPr>
        <w:pStyle w:val="C-BodyText"/>
        <w:rPr>
          <w:lang w:val="en-AU"/>
        </w:rPr>
      </w:pPr>
      <w:r w:rsidRPr="000244C1">
        <w:rPr>
          <w:lang w:val="en-AU"/>
        </w:rPr>
        <w:t>21 July 1994</w:t>
      </w:r>
    </w:p>
    <w:p w14:paraId="7A8D0788" w14:textId="50B095B0" w:rsidR="002E4D1F" w:rsidRPr="000244C1" w:rsidRDefault="002E4D1F" w:rsidP="00F06B6D">
      <w:pPr>
        <w:pStyle w:val="C-Heading1nopagebreak"/>
        <w:rPr>
          <w:lang w:val="en-AU"/>
        </w:rPr>
      </w:pPr>
      <w:r w:rsidRPr="000244C1">
        <w:rPr>
          <w:lang w:val="en-AU"/>
        </w:rPr>
        <w:t>DATE OF REVISION</w:t>
      </w:r>
    </w:p>
    <w:p w14:paraId="5FACFA9F" w14:textId="38FC030C" w:rsidR="00F06B6D" w:rsidRPr="000244C1" w:rsidRDefault="00752228" w:rsidP="00F06B6D">
      <w:pPr>
        <w:pStyle w:val="C-BodyText"/>
        <w:rPr>
          <w:lang w:val="en-AU"/>
        </w:rPr>
      </w:pPr>
      <w:r>
        <w:rPr>
          <w:lang w:val="en-AU"/>
        </w:rPr>
        <w:t>6 February 2019</w:t>
      </w:r>
    </w:p>
    <w:p w14:paraId="497FAB95" w14:textId="77777777" w:rsidR="000B7459" w:rsidRPr="000244C1" w:rsidRDefault="000B7459" w:rsidP="000B7459">
      <w:pPr>
        <w:pStyle w:val="C-BodyText"/>
        <w:rPr>
          <w:lang w:val="en-AU"/>
        </w:rPr>
      </w:pPr>
    </w:p>
    <w:p w14:paraId="6C76D9E4" w14:textId="2691FC10" w:rsidR="000B7459" w:rsidRPr="000244C1" w:rsidRDefault="000B7459" w:rsidP="000B7459">
      <w:pPr>
        <w:pStyle w:val="C-BodyText"/>
        <w:rPr>
          <w:lang w:val="en-AU"/>
        </w:rPr>
      </w:pPr>
      <w:proofErr w:type="spellStart"/>
      <w:r w:rsidRPr="000244C1">
        <w:rPr>
          <w:lang w:val="en-AU"/>
        </w:rPr>
        <w:t>Kapanol</w:t>
      </w:r>
      <w:proofErr w:type="spellEnd"/>
      <w:r w:rsidRPr="000244C1">
        <w:rPr>
          <w:vertAlign w:val="superscript"/>
          <w:lang w:val="en-AU"/>
        </w:rPr>
        <w:t>®</w:t>
      </w:r>
      <w:r w:rsidRPr="000244C1">
        <w:rPr>
          <w:lang w:val="en-AU"/>
        </w:rPr>
        <w:t xml:space="preserve"> is a registered trade mark of Mayne Pharma International Pty Ltd.</w:t>
      </w:r>
    </w:p>
    <w:p w14:paraId="33F8D7AD" w14:textId="77777777" w:rsidR="000B7459" w:rsidRPr="000244C1" w:rsidRDefault="000B7459" w:rsidP="00F06B6D">
      <w:pPr>
        <w:pStyle w:val="C-BodyText"/>
        <w:rPr>
          <w:lang w:val="en-AU"/>
        </w:rPr>
      </w:pPr>
    </w:p>
    <w:p w14:paraId="3998EDE1" w14:textId="51CBD17C" w:rsidR="002E4D1F" w:rsidRPr="000244C1" w:rsidRDefault="002E4D1F" w:rsidP="009D1002">
      <w:pPr>
        <w:pStyle w:val="C-Heading2non-numbered"/>
        <w:spacing w:after="240"/>
        <w:rPr>
          <w:lang w:val="en-AU"/>
        </w:rPr>
      </w:pPr>
      <w:r w:rsidRPr="000244C1">
        <w:rPr>
          <w:lang w:val="en-AU"/>
        </w:rPr>
        <w:t>Summary table of changes</w:t>
      </w:r>
    </w:p>
    <w:tbl>
      <w:tblPr>
        <w:tblW w:w="9206" w:type="dxa"/>
        <w:tblCellMar>
          <w:top w:w="15" w:type="dxa"/>
          <w:left w:w="15" w:type="dxa"/>
          <w:bottom w:w="15" w:type="dxa"/>
          <w:right w:w="15" w:type="dxa"/>
        </w:tblCellMar>
        <w:tblLook w:val="04A0" w:firstRow="1" w:lastRow="0" w:firstColumn="1" w:lastColumn="0" w:noHBand="0" w:noVBand="1"/>
      </w:tblPr>
      <w:tblGrid>
        <w:gridCol w:w="1977"/>
        <w:gridCol w:w="7229"/>
      </w:tblGrid>
      <w:tr w:rsidR="00F06B6D" w:rsidRPr="000244C1" w14:paraId="31EDD663" w14:textId="77777777" w:rsidTr="00F92BD4">
        <w:trPr>
          <w:tblHeader/>
        </w:trPr>
        <w:tc>
          <w:tcPr>
            <w:tcW w:w="197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EAA017" w14:textId="77777777" w:rsidR="002E4D1F" w:rsidRPr="000244C1" w:rsidRDefault="002E4D1F" w:rsidP="002A59D7">
            <w:pPr>
              <w:pStyle w:val="C-BodyText"/>
              <w:spacing w:before="0" w:after="0"/>
              <w:rPr>
                <w:b/>
                <w:lang w:val="en-AU"/>
              </w:rPr>
            </w:pPr>
            <w:r w:rsidRPr="000244C1">
              <w:rPr>
                <w:b/>
                <w:lang w:val="en-AU"/>
              </w:rPr>
              <w:t>Section changed</w:t>
            </w:r>
          </w:p>
        </w:tc>
        <w:tc>
          <w:tcPr>
            <w:tcW w:w="72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0C538B" w14:textId="77777777" w:rsidR="002E4D1F" w:rsidRPr="000244C1" w:rsidRDefault="002E4D1F" w:rsidP="002A59D7">
            <w:pPr>
              <w:pStyle w:val="C-BodyText"/>
              <w:spacing w:before="0" w:after="0"/>
              <w:rPr>
                <w:b/>
                <w:lang w:val="en-AU"/>
              </w:rPr>
            </w:pPr>
            <w:r w:rsidRPr="000244C1">
              <w:rPr>
                <w:b/>
                <w:lang w:val="en-AU"/>
              </w:rPr>
              <w:t>Summary of new information</w:t>
            </w:r>
          </w:p>
        </w:tc>
      </w:tr>
      <w:tr w:rsidR="00706174" w:rsidRPr="000244C1" w14:paraId="739F5178" w14:textId="77777777" w:rsidTr="00F92BD4">
        <w:trPr>
          <w:tblHeader/>
        </w:trPr>
        <w:tc>
          <w:tcPr>
            <w:tcW w:w="197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E73AFBD" w14:textId="008BD7F9" w:rsidR="00706174" w:rsidRPr="000244C1" w:rsidRDefault="00706174" w:rsidP="002A59D7">
            <w:pPr>
              <w:pStyle w:val="C-BodyText"/>
              <w:spacing w:before="0" w:after="0"/>
              <w:rPr>
                <w:lang w:val="en-AU"/>
              </w:rPr>
            </w:pPr>
            <w:r w:rsidRPr="000244C1">
              <w:rPr>
                <w:lang w:val="en-AU"/>
              </w:rPr>
              <w:t>All</w:t>
            </w:r>
          </w:p>
        </w:tc>
        <w:tc>
          <w:tcPr>
            <w:tcW w:w="722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729A4AC" w14:textId="49F676A3" w:rsidR="00706174" w:rsidRPr="000244C1" w:rsidRDefault="00706174" w:rsidP="002A59D7">
            <w:pPr>
              <w:pStyle w:val="C-BodyText"/>
              <w:spacing w:before="0" w:after="0"/>
              <w:rPr>
                <w:lang w:val="en-AU"/>
              </w:rPr>
            </w:pPr>
            <w:r w:rsidRPr="000244C1">
              <w:rPr>
                <w:lang w:val="en-AU"/>
              </w:rPr>
              <w:t>PI reformat</w:t>
            </w:r>
          </w:p>
        </w:tc>
      </w:tr>
      <w:tr w:rsidR="002E4D1F" w:rsidRPr="000244C1" w14:paraId="63EC7BEA" w14:textId="77777777" w:rsidTr="00F92BD4">
        <w:tc>
          <w:tcPr>
            <w:tcW w:w="1977"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6E0DB13" w14:textId="135AD769" w:rsidR="002E4D1F" w:rsidRPr="000244C1" w:rsidRDefault="00E34A03" w:rsidP="002A59D7">
            <w:pPr>
              <w:pStyle w:val="C-BodyText"/>
              <w:spacing w:before="0" w:after="0"/>
              <w:rPr>
                <w:lang w:val="en-AU"/>
              </w:rPr>
            </w:pPr>
            <w:r w:rsidRPr="000244C1">
              <w:rPr>
                <w:lang w:val="en-AU"/>
              </w:rPr>
              <w:t>4.1, 4.2, 4.4 and 5.1</w:t>
            </w:r>
          </w:p>
        </w:tc>
        <w:tc>
          <w:tcPr>
            <w:tcW w:w="722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B4151D1" w14:textId="1F06A479" w:rsidR="002E4D1F" w:rsidRPr="000244C1" w:rsidRDefault="005A6758" w:rsidP="002A59D7">
            <w:pPr>
              <w:pStyle w:val="C-BodyText"/>
              <w:spacing w:before="0" w:after="0"/>
              <w:rPr>
                <w:lang w:val="en-AU"/>
              </w:rPr>
            </w:pPr>
            <w:r w:rsidRPr="000244C1">
              <w:rPr>
                <w:lang w:val="en-AU"/>
              </w:rPr>
              <w:t>Updates to account for the addition of the indication, symptomatic reduction of chronic breathlessness.</w:t>
            </w:r>
          </w:p>
        </w:tc>
      </w:tr>
    </w:tbl>
    <w:p w14:paraId="1D4E1313" w14:textId="325C2096" w:rsidR="009057CE" w:rsidRPr="000244C1" w:rsidRDefault="009057CE" w:rsidP="000B7459">
      <w:pPr>
        <w:pStyle w:val="C-BodyText"/>
        <w:rPr>
          <w:lang w:val="en-AU"/>
        </w:rPr>
      </w:pPr>
    </w:p>
    <w:sectPr w:rsidR="009057CE" w:rsidRPr="000244C1" w:rsidSect="00191FA0">
      <w:headerReference w:type="default" r:id="rId11"/>
      <w:footerReference w:type="even" r:id="rId12"/>
      <w:footerReference w:type="default" r:id="rId13"/>
      <w:pgSz w:w="11907" w:h="16840" w:code="9"/>
      <w:pgMar w:top="1440" w:right="1440" w:bottom="1440" w:left="1440" w:header="720" w:footer="720" w:gutter="0"/>
      <w:paperSrc w:first="7" w:other="7"/>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7E783" w14:textId="77777777" w:rsidR="00BE79E5" w:rsidRDefault="00BE79E5">
      <w:r>
        <w:separator/>
      </w:r>
    </w:p>
  </w:endnote>
  <w:endnote w:type="continuationSeparator" w:id="0">
    <w:p w14:paraId="4F5EEFFE" w14:textId="77777777" w:rsidR="00BE79E5" w:rsidRDefault="00BE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fa Rotis Semisans">
    <w:altName w:val="Tahoma"/>
    <w:charset w:val="00"/>
    <w:family w:val="swiss"/>
    <w:pitch w:val="variable"/>
    <w:sig w:usb0="00000007" w:usb1="00000000" w:usb2="00000000" w:usb3="00000000" w:csb0="00000013"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294CF" w14:textId="77777777" w:rsidR="00A12BCA" w:rsidRDefault="00A12B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2F53B9F8" w14:textId="77777777" w:rsidR="00A12BCA" w:rsidRDefault="00A12B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D36A1" w14:textId="2CA5CD50" w:rsidR="00A12BCA" w:rsidRPr="00191FA0" w:rsidRDefault="00A12BCA" w:rsidP="00191FA0">
    <w:pPr>
      <w:pStyle w:val="Footer"/>
      <w:tabs>
        <w:tab w:val="clear" w:pos="4320"/>
        <w:tab w:val="clear" w:pos="8640"/>
        <w:tab w:val="center" w:pos="4678"/>
        <w:tab w:val="right" w:pos="8910"/>
      </w:tabs>
      <w:jc w:val="both"/>
      <w:rPr>
        <w:sz w:val="20"/>
      </w:rPr>
    </w:pPr>
    <w:proofErr w:type="gramStart"/>
    <w:r>
      <w:rPr>
        <w:sz w:val="20"/>
      </w:rPr>
      <w:t>v</w:t>
    </w:r>
    <w:proofErr w:type="gramEnd"/>
    <w:r w:rsidR="00752228">
      <w:rPr>
        <w:rFonts w:cs="Times New Roman"/>
        <w:sz w:val="20"/>
      </w:rPr>
      <w:t xml:space="preserve"> 5.0</w:t>
    </w:r>
    <w:r>
      <w:rPr>
        <w:sz w:val="20"/>
      </w:rPr>
      <w:tab/>
    </w:r>
    <w:r w:rsidRPr="00191FA0">
      <w:rPr>
        <w:rStyle w:val="PageNumber"/>
        <w:rFonts w:cs="Times New Roman"/>
        <w:sz w:val="20"/>
      </w:rPr>
      <w:fldChar w:fldCharType="begin"/>
    </w:r>
    <w:r w:rsidRPr="00191FA0">
      <w:rPr>
        <w:rStyle w:val="PageNumber"/>
        <w:rFonts w:cs="Times New Roman"/>
        <w:sz w:val="20"/>
      </w:rPr>
      <w:instrText xml:space="preserve"> PAGE </w:instrText>
    </w:r>
    <w:r w:rsidRPr="00191FA0">
      <w:rPr>
        <w:rStyle w:val="PageNumber"/>
        <w:rFonts w:cs="Times New Roman"/>
        <w:sz w:val="20"/>
      </w:rPr>
      <w:fldChar w:fldCharType="separate"/>
    </w:r>
    <w:r w:rsidR="00F0391E">
      <w:rPr>
        <w:rStyle w:val="PageNumber"/>
        <w:rFonts w:cs="Times New Roman"/>
        <w:noProof/>
        <w:sz w:val="20"/>
      </w:rPr>
      <w:t>21</w:t>
    </w:r>
    <w:r w:rsidRPr="00191FA0">
      <w:rPr>
        <w:rStyle w:val="PageNumber"/>
        <w:rFonts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6A945" w14:textId="77777777" w:rsidR="00BE79E5" w:rsidRDefault="00BE79E5">
      <w:r>
        <w:separator/>
      </w:r>
    </w:p>
  </w:footnote>
  <w:footnote w:type="continuationSeparator" w:id="0">
    <w:p w14:paraId="793860DA" w14:textId="77777777" w:rsidR="00BE79E5" w:rsidRDefault="00BE79E5">
      <w:r>
        <w:continuationSeparator/>
      </w:r>
    </w:p>
  </w:footnote>
  <w:footnote w:id="1">
    <w:p w14:paraId="1D52F580" w14:textId="5CC43C38" w:rsidR="00A12BCA" w:rsidRPr="0058616F" w:rsidRDefault="00A12BCA">
      <w:pPr>
        <w:pStyle w:val="FootnoteText"/>
      </w:pPr>
      <w:r>
        <w:rPr>
          <w:rStyle w:val="FootnoteReference"/>
        </w:rPr>
        <w:footnoteRef/>
      </w:r>
      <w:r>
        <w:t xml:space="preserve"> Abernethy AP, </w:t>
      </w:r>
      <w:proofErr w:type="spellStart"/>
      <w:r>
        <w:t>Currow</w:t>
      </w:r>
      <w:proofErr w:type="spellEnd"/>
      <w:r>
        <w:t xml:space="preserve"> DC, </w:t>
      </w:r>
      <w:proofErr w:type="spellStart"/>
      <w:r>
        <w:t>Frith</w:t>
      </w:r>
      <w:proofErr w:type="spellEnd"/>
      <w:r>
        <w:t xml:space="preserve"> P, </w:t>
      </w:r>
      <w:proofErr w:type="spellStart"/>
      <w:r>
        <w:t>Fazekas</w:t>
      </w:r>
      <w:proofErr w:type="spellEnd"/>
      <w:r>
        <w:t xml:space="preserve"> BS, McHugh A, Bui C. </w:t>
      </w:r>
      <w:proofErr w:type="spellStart"/>
      <w:r>
        <w:t>Randomised</w:t>
      </w:r>
      <w:proofErr w:type="spellEnd"/>
      <w:r>
        <w:t xml:space="preserve">, double blind, placebo controlled crossover trial of sustained release morphine for the management of refractory </w:t>
      </w:r>
      <w:proofErr w:type="spellStart"/>
      <w:r>
        <w:t>dyspnoea</w:t>
      </w:r>
      <w:proofErr w:type="spellEnd"/>
      <w:r>
        <w:t xml:space="preserve">. </w:t>
      </w:r>
      <w:proofErr w:type="gramStart"/>
      <w:r>
        <w:t>BMJ.</w:t>
      </w:r>
      <w:proofErr w:type="gramEnd"/>
      <w:r>
        <w:t xml:space="preserve"> 2003;327(7414):523-528</w:t>
      </w:r>
    </w:p>
  </w:footnote>
  <w:footnote w:id="2">
    <w:p w14:paraId="21349EBD" w14:textId="6246EBD3" w:rsidR="00A12BCA" w:rsidRPr="0058616F" w:rsidRDefault="00A12BCA">
      <w:pPr>
        <w:pStyle w:val="FootnoteText"/>
        <w:rPr>
          <w:lang w:val="en-AU"/>
        </w:rPr>
      </w:pPr>
      <w:r>
        <w:rPr>
          <w:rStyle w:val="FootnoteReference"/>
        </w:rPr>
        <w:footnoteRef/>
      </w:r>
      <w:r>
        <w:t xml:space="preserve"> </w:t>
      </w:r>
      <w:proofErr w:type="spellStart"/>
      <w:proofErr w:type="gramStart"/>
      <w:r>
        <w:t>Currow</w:t>
      </w:r>
      <w:proofErr w:type="spellEnd"/>
      <w:r>
        <w:t xml:space="preserve"> DC, McDonald C, Oaten S, et al.</w:t>
      </w:r>
      <w:proofErr w:type="gramEnd"/>
      <w:r>
        <w:t xml:space="preserve"> Once daily opioids for chronic dyspnea: a dose increment and pharmacovigilance study. J Pain Symptom Manage 2011</w:t>
      </w:r>
      <w:proofErr w:type="gramStart"/>
      <w:r>
        <w:t>;42:388</w:t>
      </w:r>
      <w:proofErr w:type="gramEnd"/>
      <w:r>
        <w:t>-399.</w:t>
      </w:r>
    </w:p>
  </w:footnote>
  <w:footnote w:id="3">
    <w:p w14:paraId="08144765" w14:textId="4988B4D8" w:rsidR="000139C1" w:rsidRPr="000139C1" w:rsidRDefault="000139C1">
      <w:pPr>
        <w:pStyle w:val="FootnoteText"/>
        <w:rPr>
          <w:lang w:val="en-AU"/>
        </w:rPr>
      </w:pPr>
      <w:r w:rsidRPr="000139C1">
        <w:rPr>
          <w:rStyle w:val="FootnoteReference"/>
        </w:rPr>
        <w:footnoteRef/>
      </w:r>
      <w:r w:rsidRPr="000139C1">
        <w:rPr>
          <w:rStyle w:val="FootnoteReference"/>
        </w:rPr>
        <w:t xml:space="preserve"> </w:t>
      </w:r>
      <w:proofErr w:type="spellStart"/>
      <w:r w:rsidRPr="000139C1">
        <w:t>Ekström</w:t>
      </w:r>
      <w:proofErr w:type="spellEnd"/>
      <w:r w:rsidRPr="000139C1">
        <w:t xml:space="preserve"> M, </w:t>
      </w:r>
      <w:proofErr w:type="spellStart"/>
      <w:r w:rsidRPr="000139C1">
        <w:t>Bajwah</w:t>
      </w:r>
      <w:proofErr w:type="spellEnd"/>
      <w:r w:rsidRPr="000139C1">
        <w:t xml:space="preserve"> S, Bland JM, </w:t>
      </w:r>
      <w:proofErr w:type="spellStart"/>
      <w:r w:rsidRPr="000139C1">
        <w:t>Currow</w:t>
      </w:r>
      <w:proofErr w:type="spellEnd"/>
      <w:r w:rsidRPr="000139C1">
        <w:t xml:space="preserve"> DC, Hussain J, Johnson MJ. One evidence base; three stories: do opioids relieve chronic breathlessness? </w:t>
      </w:r>
      <w:proofErr w:type="gramStart"/>
      <w:r w:rsidRPr="000139C1">
        <w:t>Thorax.</w:t>
      </w:r>
      <w:proofErr w:type="gramEnd"/>
      <w:r w:rsidRPr="000139C1">
        <w:t xml:space="preserve"> 2018 Jan;73(1):88-90</w:t>
      </w:r>
    </w:p>
  </w:footnote>
  <w:footnote w:id="4">
    <w:p w14:paraId="4091908F" w14:textId="77777777" w:rsidR="000138B4" w:rsidRPr="000138B4" w:rsidRDefault="000138B4" w:rsidP="000244C1">
      <w:pPr>
        <w:pStyle w:val="FootnoteText"/>
      </w:pPr>
      <w:r w:rsidRPr="000244C1">
        <w:rPr>
          <w:rStyle w:val="FootnoteReference"/>
        </w:rPr>
        <w:footnoteRef/>
      </w:r>
      <w:r w:rsidRPr="000244C1">
        <w:t xml:space="preserve"> </w:t>
      </w:r>
      <w:proofErr w:type="spellStart"/>
      <w:r w:rsidRPr="000138B4">
        <w:t>Verberkt</w:t>
      </w:r>
      <w:proofErr w:type="spellEnd"/>
      <w:r w:rsidRPr="000138B4">
        <w:t xml:space="preserve"> CA, van den </w:t>
      </w:r>
      <w:proofErr w:type="spellStart"/>
      <w:r w:rsidRPr="000138B4">
        <w:t>Beuken</w:t>
      </w:r>
      <w:proofErr w:type="spellEnd"/>
      <w:r w:rsidRPr="000138B4">
        <w:t xml:space="preserve">-van </w:t>
      </w:r>
      <w:proofErr w:type="spellStart"/>
      <w:r w:rsidRPr="000138B4">
        <w:t>Everdingen</w:t>
      </w:r>
      <w:proofErr w:type="spellEnd"/>
      <w:r w:rsidRPr="000138B4">
        <w:t xml:space="preserve"> MHJ, </w:t>
      </w:r>
      <w:proofErr w:type="spellStart"/>
      <w:r w:rsidRPr="000138B4">
        <w:t>Schols</w:t>
      </w:r>
      <w:proofErr w:type="spellEnd"/>
      <w:r w:rsidRPr="000138B4">
        <w:t xml:space="preserve"> JMGA, </w:t>
      </w:r>
      <w:proofErr w:type="spellStart"/>
      <w:r w:rsidRPr="000138B4">
        <w:t>Datla</w:t>
      </w:r>
      <w:proofErr w:type="spellEnd"/>
      <w:r w:rsidRPr="000138B4">
        <w:t xml:space="preserve"> S, Dirksen CD, Johnson MJ, van</w:t>
      </w:r>
    </w:p>
    <w:p w14:paraId="51A1591F" w14:textId="7E1A7624" w:rsidR="000138B4" w:rsidRPr="000138B4" w:rsidRDefault="000138B4" w:rsidP="006641AB">
      <w:pPr>
        <w:pStyle w:val="FootnoteText"/>
      </w:pPr>
      <w:proofErr w:type="spellStart"/>
      <w:r w:rsidRPr="000138B4">
        <w:t>Kuijk</w:t>
      </w:r>
      <w:proofErr w:type="spellEnd"/>
      <w:r w:rsidRPr="000138B4">
        <w:t xml:space="preserve"> SMJ, </w:t>
      </w:r>
      <w:proofErr w:type="spellStart"/>
      <w:r w:rsidRPr="000138B4">
        <w:t>Wouters</w:t>
      </w:r>
      <w:proofErr w:type="spellEnd"/>
      <w:r w:rsidRPr="000138B4">
        <w:t xml:space="preserve"> EFM, Janssen DJA. Respiratory adverse effects of opioids for breathlessness: a systematic review and meta-analysis </w:t>
      </w:r>
      <w:proofErr w:type="spellStart"/>
      <w:r w:rsidRPr="000138B4">
        <w:t>Eur</w:t>
      </w:r>
      <w:proofErr w:type="spellEnd"/>
      <w:r w:rsidRPr="000138B4">
        <w:t xml:space="preserve"> </w:t>
      </w:r>
      <w:proofErr w:type="spellStart"/>
      <w:r w:rsidRPr="000138B4">
        <w:t>Respir</w:t>
      </w:r>
      <w:proofErr w:type="spellEnd"/>
      <w:r w:rsidRPr="000138B4">
        <w:t xml:space="preserve"> J. 2017</w:t>
      </w:r>
      <w:r>
        <w:t>;</w:t>
      </w:r>
      <w:r w:rsidRPr="000138B4">
        <w:t xml:space="preserve"> Nov 22</w:t>
      </w:r>
      <w:proofErr w:type="gramStart"/>
      <w:r w:rsidRPr="000138B4">
        <w:t>;50</w:t>
      </w:r>
      <w:proofErr w:type="gramEnd"/>
      <w:r w:rsidRPr="000138B4">
        <w:t>(5).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C552C9" w:rsidRPr="00C552C9" w14:paraId="5758AA95" w14:textId="77777777" w:rsidTr="00D75CC1">
      <w:tc>
        <w:tcPr>
          <w:tcW w:w="8720" w:type="dxa"/>
          <w:shd w:val="clear" w:color="auto" w:fill="E4F2E0"/>
        </w:tcPr>
        <w:p w14:paraId="4DD09E60" w14:textId="77777777" w:rsidR="00C552C9" w:rsidRPr="00C552C9" w:rsidRDefault="00C552C9" w:rsidP="00D75CC1">
          <w:pPr>
            <w:spacing w:before="40" w:after="40"/>
            <w:rPr>
              <w:rFonts w:ascii="Cambria" w:hAnsi="Cambria"/>
              <w:b/>
              <w:sz w:val="18"/>
              <w:szCs w:val="18"/>
            </w:rPr>
          </w:pPr>
          <w:r w:rsidRPr="00C552C9">
            <w:rPr>
              <w:rFonts w:ascii="Cambria" w:hAnsi="Cambria"/>
              <w:b/>
              <w:sz w:val="18"/>
              <w:szCs w:val="18"/>
            </w:rPr>
            <w:t xml:space="preserve">Attachment 1: Product information for </w:t>
          </w:r>
          <w:proofErr w:type="spellStart"/>
          <w:r w:rsidRPr="00C552C9">
            <w:rPr>
              <w:rFonts w:ascii="Cambria" w:hAnsi="Cambria"/>
              <w:b/>
              <w:sz w:val="18"/>
              <w:szCs w:val="18"/>
            </w:rPr>
            <w:t>AusPAR</w:t>
          </w:r>
          <w:proofErr w:type="spellEnd"/>
          <w:r w:rsidRPr="00C552C9">
            <w:rPr>
              <w:rFonts w:ascii="Cambria" w:hAnsi="Cambria"/>
              <w:b/>
              <w:sz w:val="18"/>
              <w:szCs w:val="18"/>
            </w:rPr>
            <w:t xml:space="preserve"> </w:t>
          </w:r>
          <w:proofErr w:type="spellStart"/>
          <w:r w:rsidRPr="00C552C9">
            <w:rPr>
              <w:rFonts w:ascii="Cambria" w:hAnsi="Cambria"/>
              <w:b/>
              <w:sz w:val="18"/>
              <w:szCs w:val="18"/>
            </w:rPr>
            <w:t>Kapanol</w:t>
          </w:r>
          <w:proofErr w:type="spellEnd"/>
          <w:r w:rsidRPr="00C552C9">
            <w:rPr>
              <w:rFonts w:ascii="Cambria" w:hAnsi="Cambria"/>
              <w:b/>
              <w:sz w:val="18"/>
              <w:szCs w:val="18"/>
            </w:rPr>
            <w:t xml:space="preserve"> Morphine </w:t>
          </w:r>
          <w:proofErr w:type="spellStart"/>
          <w:r w:rsidRPr="00C552C9">
            <w:rPr>
              <w:rFonts w:ascii="Cambria" w:hAnsi="Cambria"/>
              <w:b/>
              <w:sz w:val="18"/>
              <w:szCs w:val="18"/>
            </w:rPr>
            <w:t>sulphate</w:t>
          </w:r>
          <w:proofErr w:type="spellEnd"/>
          <w:r w:rsidRPr="00C552C9">
            <w:rPr>
              <w:rFonts w:ascii="Cambria" w:hAnsi="Cambria"/>
              <w:b/>
              <w:sz w:val="18"/>
              <w:szCs w:val="18"/>
            </w:rPr>
            <w:t xml:space="preserve"> pentahydrate </w:t>
          </w:r>
          <w:proofErr w:type="spellStart"/>
          <w:r w:rsidRPr="00C552C9">
            <w:rPr>
              <w:rFonts w:ascii="Cambria" w:hAnsi="Cambria"/>
              <w:b/>
              <w:sz w:val="18"/>
              <w:szCs w:val="18"/>
            </w:rPr>
            <w:t>MaynePharma</w:t>
          </w:r>
          <w:proofErr w:type="spellEnd"/>
          <w:r w:rsidRPr="00C552C9">
            <w:rPr>
              <w:rFonts w:ascii="Cambria" w:hAnsi="Cambria"/>
              <w:b/>
              <w:sz w:val="18"/>
              <w:szCs w:val="18"/>
            </w:rPr>
            <w:t xml:space="preserve"> International Pty Ltd PM-2017-01592-1-5 FINAL 21 March 2019. This is the Product Information that was approved with the submission described in this </w:t>
          </w:r>
          <w:proofErr w:type="spellStart"/>
          <w:r w:rsidRPr="00C552C9">
            <w:rPr>
              <w:rFonts w:ascii="Cambria" w:hAnsi="Cambria"/>
              <w:b/>
              <w:sz w:val="18"/>
              <w:szCs w:val="18"/>
            </w:rPr>
            <w:t>AusPAR</w:t>
          </w:r>
          <w:proofErr w:type="spellEnd"/>
          <w:r w:rsidRPr="00C552C9">
            <w:rPr>
              <w:rFonts w:ascii="Cambria" w:hAnsi="Cambria"/>
              <w:b/>
              <w:sz w:val="18"/>
              <w:szCs w:val="18"/>
            </w:rPr>
            <w:t>. It may have been superseded. For the most recent PI, please refer to the TGA website at &lt;</w:t>
          </w:r>
          <w:hyperlink r:id="rId1" w:history="1">
            <w:r w:rsidRPr="00C552C9">
              <w:rPr>
                <w:rStyle w:val="Hyperlink"/>
                <w:rFonts w:ascii="Cambria" w:hAnsi="Cambria"/>
                <w:b/>
                <w:sz w:val="18"/>
                <w:szCs w:val="18"/>
              </w:rPr>
              <w:t>https://www.tga.gov.au/product-information-pi</w:t>
            </w:r>
          </w:hyperlink>
          <w:r w:rsidRPr="00C552C9">
            <w:rPr>
              <w:rFonts w:ascii="Cambria" w:hAnsi="Cambria"/>
              <w:b/>
              <w:sz w:val="18"/>
              <w:szCs w:val="18"/>
            </w:rPr>
            <w:t>&gt;</w:t>
          </w:r>
        </w:p>
      </w:tc>
    </w:tr>
  </w:tbl>
  <w:p w14:paraId="520A60A9" w14:textId="77777777" w:rsidR="00C552C9" w:rsidRDefault="00C552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006614"/>
    <w:lvl w:ilvl="0">
      <w:start w:val="1"/>
      <w:numFmt w:val="decimal"/>
      <w:lvlText w:val="%1."/>
      <w:lvlJc w:val="left"/>
      <w:pPr>
        <w:tabs>
          <w:tab w:val="num" w:pos="1800"/>
        </w:tabs>
        <w:ind w:left="1800" w:hanging="360"/>
      </w:pPr>
    </w:lvl>
  </w:abstractNum>
  <w:abstractNum w:abstractNumId="1">
    <w:nsid w:val="FFFFFF7D"/>
    <w:multiLevelType w:val="singleLevel"/>
    <w:tmpl w:val="685E7B12"/>
    <w:lvl w:ilvl="0">
      <w:start w:val="1"/>
      <w:numFmt w:val="decimal"/>
      <w:lvlText w:val="%1."/>
      <w:lvlJc w:val="left"/>
      <w:pPr>
        <w:tabs>
          <w:tab w:val="num" w:pos="1440"/>
        </w:tabs>
        <w:ind w:left="1440" w:hanging="360"/>
      </w:pPr>
    </w:lvl>
  </w:abstractNum>
  <w:abstractNum w:abstractNumId="2">
    <w:nsid w:val="FFFFFF7E"/>
    <w:multiLevelType w:val="singleLevel"/>
    <w:tmpl w:val="60562066"/>
    <w:lvl w:ilvl="0">
      <w:start w:val="1"/>
      <w:numFmt w:val="decimal"/>
      <w:lvlText w:val="%1."/>
      <w:lvlJc w:val="left"/>
      <w:pPr>
        <w:tabs>
          <w:tab w:val="num" w:pos="1080"/>
        </w:tabs>
        <w:ind w:left="1080" w:hanging="360"/>
      </w:pPr>
    </w:lvl>
  </w:abstractNum>
  <w:abstractNum w:abstractNumId="3">
    <w:nsid w:val="FFFFFF7F"/>
    <w:multiLevelType w:val="singleLevel"/>
    <w:tmpl w:val="8682AC6C"/>
    <w:lvl w:ilvl="0">
      <w:start w:val="1"/>
      <w:numFmt w:val="decimal"/>
      <w:lvlText w:val="%1."/>
      <w:lvlJc w:val="left"/>
      <w:pPr>
        <w:tabs>
          <w:tab w:val="num" w:pos="720"/>
        </w:tabs>
        <w:ind w:left="720" w:hanging="360"/>
      </w:pPr>
    </w:lvl>
  </w:abstractNum>
  <w:abstractNum w:abstractNumId="4">
    <w:nsid w:val="FFFFFF80"/>
    <w:multiLevelType w:val="singleLevel"/>
    <w:tmpl w:val="61822C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4831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BC207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EC80D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7617EE"/>
    <w:lvl w:ilvl="0">
      <w:start w:val="1"/>
      <w:numFmt w:val="decimal"/>
      <w:lvlText w:val="%1."/>
      <w:lvlJc w:val="left"/>
      <w:pPr>
        <w:tabs>
          <w:tab w:val="num" w:pos="360"/>
        </w:tabs>
        <w:ind w:left="360" w:hanging="360"/>
      </w:pPr>
    </w:lvl>
  </w:abstractNum>
  <w:abstractNum w:abstractNumId="9">
    <w:nsid w:val="FFFFFF89"/>
    <w:multiLevelType w:val="singleLevel"/>
    <w:tmpl w:val="8572D90C"/>
    <w:lvl w:ilvl="0">
      <w:start w:val="1"/>
      <w:numFmt w:val="bullet"/>
      <w:lvlText w:val=""/>
      <w:lvlJc w:val="left"/>
      <w:pPr>
        <w:tabs>
          <w:tab w:val="num" w:pos="360"/>
        </w:tabs>
        <w:ind w:left="360" w:hanging="360"/>
      </w:pPr>
      <w:rPr>
        <w:rFonts w:ascii="Symbol" w:hAnsi="Symbol" w:hint="default"/>
      </w:rPr>
    </w:lvl>
  </w:abstractNum>
  <w:abstractNum w:abstractNumId="1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outline w:val="0"/>
        <w:shadow w:val="0"/>
        <w:emboss w:val="0"/>
        <w:imprint w:val="0"/>
        <w:vanish w:val="0"/>
        <w:color w:val="auto"/>
        <w:sz w:val="24"/>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12">
    <w:nsid w:val="0D0364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15">
    <w:nsid w:val="2497758C"/>
    <w:multiLevelType w:val="hybridMultilevel"/>
    <w:tmpl w:val="016AAAE6"/>
    <w:lvl w:ilvl="0" w:tplc="D93EBD12">
      <w:start w:val="1"/>
      <w:numFmt w:val="decimal"/>
      <w:pStyle w:val="C-AppendixNumbered"/>
      <w:lvlText w:val="Appendix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433127"/>
    <w:multiLevelType w:val="multilevel"/>
    <w:tmpl w:val="F2F66A26"/>
    <w:numStyleLink w:val="SPNumberedTabs"/>
  </w:abstractNum>
  <w:abstractNum w:abstractNumId="17">
    <w:nsid w:val="32C60FEA"/>
    <w:multiLevelType w:val="hybridMultilevel"/>
    <w:tmpl w:val="6C9E5236"/>
    <w:lvl w:ilvl="0" w:tplc="CAA84086">
      <w:start w:val="1"/>
      <w:numFmt w:val="lowerLetter"/>
      <w:lvlText w:val="%1."/>
      <w:lvlJc w:val="left"/>
      <w:pPr>
        <w:tabs>
          <w:tab w:val="num" w:pos="1080"/>
        </w:tabs>
        <w:ind w:left="1080" w:hanging="360"/>
      </w:pPr>
      <w:rPr>
        <w:rFonts w:hint="default"/>
        <w:b w:val="0"/>
        <w:i w:val="0"/>
        <w:caps w:val="0"/>
        <w:strike w:val="0"/>
        <w:dstrike w:val="0"/>
        <w:outline w:val="0"/>
        <w:shadow w:val="0"/>
        <w:emboss w:val="0"/>
        <w:imprint w:val="0"/>
        <w:vanish w:val="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74E75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AE6311"/>
    <w:multiLevelType w:val="multilevel"/>
    <w:tmpl w:val="4FA4CF0A"/>
    <w:lvl w:ilvl="0">
      <w:start w:val="1"/>
      <w:numFmt w:val="bullet"/>
      <w:lvlText w:val=""/>
      <w:lvlJc w:val="left"/>
      <w:pPr>
        <w:tabs>
          <w:tab w:val="num" w:pos="1080"/>
        </w:tabs>
        <w:ind w:left="108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440" w:hanging="360"/>
      </w:pPr>
      <w:rPr>
        <w:rFonts w:ascii="Symbol" w:hAnsi="Symbol" w:hint="default"/>
      </w:rPr>
    </w:lvl>
    <w:lvl w:ilvl="6">
      <w:start w:val="1"/>
      <w:numFmt w:val="bullet"/>
      <w:lvlText w:val=""/>
      <w:lvlJc w:val="left"/>
      <w:pPr>
        <w:ind w:left="1440" w:hanging="360"/>
      </w:pPr>
      <w:rPr>
        <w:rFonts w:ascii="Symbol" w:hAnsi="Symbol" w:hint="default"/>
      </w:rPr>
    </w:lvl>
    <w:lvl w:ilvl="7">
      <w:start w:val="1"/>
      <w:numFmt w:val="bullet"/>
      <w:lvlText w:val=""/>
      <w:lvlJc w:val="left"/>
      <w:pPr>
        <w:ind w:left="1440" w:hanging="360"/>
      </w:pPr>
      <w:rPr>
        <w:rFonts w:ascii="Symbol" w:hAnsi="Symbol" w:hint="default"/>
      </w:rPr>
    </w:lvl>
    <w:lvl w:ilvl="8">
      <w:start w:val="1"/>
      <w:numFmt w:val="bullet"/>
      <w:lvlText w:val=""/>
      <w:lvlJc w:val="left"/>
      <w:pPr>
        <w:ind w:left="1440" w:hanging="360"/>
      </w:pPr>
      <w:rPr>
        <w:rFonts w:ascii="Symbol" w:hAnsi="Symbol" w:hint="default"/>
      </w:rPr>
    </w:lvl>
  </w:abstractNum>
  <w:abstractNum w:abstractNumId="22">
    <w:nsid w:val="486F0A19"/>
    <w:multiLevelType w:val="hybridMultilevel"/>
    <w:tmpl w:val="45948B3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4">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5">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6">
    <w:nsid w:val="52FE2CFA"/>
    <w:multiLevelType w:val="hybridMultilevel"/>
    <w:tmpl w:val="EF5C1A9E"/>
    <w:lvl w:ilvl="0" w:tplc="474A4A64">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sz w:val="24"/>
        <w:u w:val="none"/>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3814F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9">
    <w:nsid w:val="5C980D01"/>
    <w:multiLevelType w:val="hybridMultilevel"/>
    <w:tmpl w:val="125466B8"/>
    <w:lvl w:ilvl="0" w:tplc="6DC22D0A">
      <w:start w:val="1"/>
      <w:numFmt w:val="bullet"/>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AB1534"/>
    <w:multiLevelType w:val="multilevel"/>
    <w:tmpl w:val="88DCF0C0"/>
    <w:numStyleLink w:val="SPBulletTabs"/>
  </w:abstractNum>
  <w:abstractNum w:abstractNumId="31">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2">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1035A3"/>
    <w:multiLevelType w:val="hybridMultilevel"/>
    <w:tmpl w:val="4BAA3E4E"/>
    <w:lvl w:ilvl="0" w:tplc="E22A06DA">
      <w:start w:val="1"/>
      <w:numFmt w:val="upperLetter"/>
      <w:pStyle w:val="C-Appendix"/>
      <w:lvlText w:val="Appendix %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num w:numId="1">
    <w:abstractNumId w:val="19"/>
  </w:num>
  <w:num w:numId="2">
    <w:abstractNumId w:val="34"/>
  </w:num>
  <w:num w:numId="3">
    <w:abstractNumId w:val="32"/>
  </w:num>
  <w:num w:numId="4">
    <w:abstractNumId w:val="20"/>
  </w:num>
  <w:num w:numId="5">
    <w:abstractNumId w:val="25"/>
  </w:num>
  <w:num w:numId="6">
    <w:abstractNumId w:val="35"/>
  </w:num>
  <w:num w:numId="7">
    <w:abstractNumId w:val="33"/>
  </w:num>
  <w:num w:numId="8">
    <w:abstractNumId w:val="15"/>
  </w:num>
  <w:num w:numId="9">
    <w:abstractNumId w:val="24"/>
  </w:num>
  <w:num w:numId="10">
    <w:abstractNumId w:val="28"/>
  </w:num>
  <w:num w:numId="11">
    <w:abstractNumId w:val="23"/>
  </w:num>
  <w:num w:numId="12">
    <w:abstractNumId w:val="13"/>
  </w:num>
  <w:num w:numId="13">
    <w:abstractNumId w:val="31"/>
  </w:num>
  <w:num w:numId="14">
    <w:abstractNumId w:val="22"/>
  </w:num>
  <w:num w:numId="15">
    <w:abstractNumId w:val="10"/>
  </w:num>
  <w:num w:numId="16">
    <w:abstractNumId w:val="29"/>
  </w:num>
  <w:num w:numId="17">
    <w:abstractNumId w:val="26"/>
  </w:num>
  <w:num w:numId="18">
    <w:abstractNumId w:val="17"/>
  </w:num>
  <w:num w:numId="19">
    <w:abstractNumId w:val="11"/>
  </w:num>
  <w:num w:numId="20">
    <w:abstractNumId w:val="14"/>
  </w:num>
  <w:num w:numId="21">
    <w:abstractNumId w:val="1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7"/>
  </w:num>
  <w:num w:numId="33">
    <w:abstractNumId w:val="12"/>
  </w:num>
  <w:num w:numId="34">
    <w:abstractNumId w:val="16"/>
  </w:num>
  <w:num w:numId="35">
    <w:abstractNumId w:val="30"/>
  </w:num>
  <w:num w:numId="36">
    <w:abstractNumId w:val="21"/>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intFractionalCharacterWidth/>
  <w:embedSystemFonts/>
  <w:hideGrammaticalErrors/>
  <w:activeWritingStyle w:appName="MSWord" w:lang="en-GB" w:vendorID="8" w:dllVersion="513" w:checkStyle="1"/>
  <w:activeWritingStyle w:appName="MSWord" w:lang="sv-SE" w:vendorID="22"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8913">
      <o:colormru v:ext="edit" colors="#f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42"/>
    <w:rsid w:val="0000138E"/>
    <w:rsid w:val="00004E46"/>
    <w:rsid w:val="000138B4"/>
    <w:rsid w:val="000139C1"/>
    <w:rsid w:val="0001446B"/>
    <w:rsid w:val="000179D7"/>
    <w:rsid w:val="0002109E"/>
    <w:rsid w:val="000244C1"/>
    <w:rsid w:val="0003071A"/>
    <w:rsid w:val="000345C7"/>
    <w:rsid w:val="000424EC"/>
    <w:rsid w:val="00045035"/>
    <w:rsid w:val="00057BF0"/>
    <w:rsid w:val="00067E60"/>
    <w:rsid w:val="00080923"/>
    <w:rsid w:val="0008416F"/>
    <w:rsid w:val="000923C0"/>
    <w:rsid w:val="000B1A72"/>
    <w:rsid w:val="000B3F56"/>
    <w:rsid w:val="000B4E13"/>
    <w:rsid w:val="000B7459"/>
    <w:rsid w:val="000C5573"/>
    <w:rsid w:val="000F7940"/>
    <w:rsid w:val="00120B5E"/>
    <w:rsid w:val="00121D70"/>
    <w:rsid w:val="001243AF"/>
    <w:rsid w:val="001350BC"/>
    <w:rsid w:val="001373BF"/>
    <w:rsid w:val="00137F06"/>
    <w:rsid w:val="00140A34"/>
    <w:rsid w:val="0015062F"/>
    <w:rsid w:val="00163A6C"/>
    <w:rsid w:val="00177842"/>
    <w:rsid w:val="00185918"/>
    <w:rsid w:val="00191FA0"/>
    <w:rsid w:val="001A4716"/>
    <w:rsid w:val="001A774F"/>
    <w:rsid w:val="001B1EBF"/>
    <w:rsid w:val="001B3127"/>
    <w:rsid w:val="001C6292"/>
    <w:rsid w:val="001C6E38"/>
    <w:rsid w:val="001D3549"/>
    <w:rsid w:val="001D4375"/>
    <w:rsid w:val="001E2ED6"/>
    <w:rsid w:val="001F2984"/>
    <w:rsid w:val="002069B5"/>
    <w:rsid w:val="00206DC4"/>
    <w:rsid w:val="00207E32"/>
    <w:rsid w:val="0021525A"/>
    <w:rsid w:val="00222D05"/>
    <w:rsid w:val="002247C8"/>
    <w:rsid w:val="00224B2A"/>
    <w:rsid w:val="00224DD8"/>
    <w:rsid w:val="00225C2A"/>
    <w:rsid w:val="002404FE"/>
    <w:rsid w:val="00243C8A"/>
    <w:rsid w:val="00244361"/>
    <w:rsid w:val="00251BAE"/>
    <w:rsid w:val="00252005"/>
    <w:rsid w:val="00252FAB"/>
    <w:rsid w:val="002566C7"/>
    <w:rsid w:val="002579DA"/>
    <w:rsid w:val="00267653"/>
    <w:rsid w:val="0027432E"/>
    <w:rsid w:val="002863EC"/>
    <w:rsid w:val="00287FEF"/>
    <w:rsid w:val="0029179F"/>
    <w:rsid w:val="00292E98"/>
    <w:rsid w:val="00294002"/>
    <w:rsid w:val="002966F8"/>
    <w:rsid w:val="002A21F2"/>
    <w:rsid w:val="002A59D7"/>
    <w:rsid w:val="002A5E6E"/>
    <w:rsid w:val="002B290B"/>
    <w:rsid w:val="002B3FE7"/>
    <w:rsid w:val="002B6CE6"/>
    <w:rsid w:val="002C5D2E"/>
    <w:rsid w:val="002C699B"/>
    <w:rsid w:val="002C7F4F"/>
    <w:rsid w:val="002E4D1F"/>
    <w:rsid w:val="002F5B4B"/>
    <w:rsid w:val="002F760A"/>
    <w:rsid w:val="00307BE7"/>
    <w:rsid w:val="00307C1C"/>
    <w:rsid w:val="00310808"/>
    <w:rsid w:val="00330418"/>
    <w:rsid w:val="00332AB8"/>
    <w:rsid w:val="0033329A"/>
    <w:rsid w:val="003433DA"/>
    <w:rsid w:val="00354C43"/>
    <w:rsid w:val="003565FC"/>
    <w:rsid w:val="00356673"/>
    <w:rsid w:val="0035703B"/>
    <w:rsid w:val="00360D34"/>
    <w:rsid w:val="0037427C"/>
    <w:rsid w:val="00375C88"/>
    <w:rsid w:val="003823C0"/>
    <w:rsid w:val="00383345"/>
    <w:rsid w:val="00390BC1"/>
    <w:rsid w:val="0039261C"/>
    <w:rsid w:val="003960B2"/>
    <w:rsid w:val="00397BF0"/>
    <w:rsid w:val="003A0560"/>
    <w:rsid w:val="003A3A9A"/>
    <w:rsid w:val="003B3E89"/>
    <w:rsid w:val="003B5892"/>
    <w:rsid w:val="003B593A"/>
    <w:rsid w:val="003D1FA4"/>
    <w:rsid w:val="0041262C"/>
    <w:rsid w:val="004230CE"/>
    <w:rsid w:val="00423D4E"/>
    <w:rsid w:val="00431B83"/>
    <w:rsid w:val="004376CE"/>
    <w:rsid w:val="0045330A"/>
    <w:rsid w:val="00460C17"/>
    <w:rsid w:val="00477BE1"/>
    <w:rsid w:val="00477D6C"/>
    <w:rsid w:val="00487E88"/>
    <w:rsid w:val="00491947"/>
    <w:rsid w:val="00496E37"/>
    <w:rsid w:val="004A166F"/>
    <w:rsid w:val="004A2618"/>
    <w:rsid w:val="004A6583"/>
    <w:rsid w:val="004B73D1"/>
    <w:rsid w:val="004C5621"/>
    <w:rsid w:val="004D0639"/>
    <w:rsid w:val="004E0F44"/>
    <w:rsid w:val="004E14A4"/>
    <w:rsid w:val="004E5ED6"/>
    <w:rsid w:val="004F450B"/>
    <w:rsid w:val="00507345"/>
    <w:rsid w:val="00511AA7"/>
    <w:rsid w:val="00524D42"/>
    <w:rsid w:val="00525C62"/>
    <w:rsid w:val="00527A95"/>
    <w:rsid w:val="00530CBD"/>
    <w:rsid w:val="00537A8F"/>
    <w:rsid w:val="00561A58"/>
    <w:rsid w:val="00572007"/>
    <w:rsid w:val="0058616F"/>
    <w:rsid w:val="00592735"/>
    <w:rsid w:val="00595146"/>
    <w:rsid w:val="005A6758"/>
    <w:rsid w:val="005B0382"/>
    <w:rsid w:val="005B7151"/>
    <w:rsid w:val="005C0D0A"/>
    <w:rsid w:val="005C251E"/>
    <w:rsid w:val="005D2351"/>
    <w:rsid w:val="005D3D24"/>
    <w:rsid w:val="005E6586"/>
    <w:rsid w:val="006129B7"/>
    <w:rsid w:val="00615826"/>
    <w:rsid w:val="00631028"/>
    <w:rsid w:val="00632490"/>
    <w:rsid w:val="00641937"/>
    <w:rsid w:val="00652D20"/>
    <w:rsid w:val="0065506C"/>
    <w:rsid w:val="00660A4D"/>
    <w:rsid w:val="006641AB"/>
    <w:rsid w:val="00666343"/>
    <w:rsid w:val="00673FA7"/>
    <w:rsid w:val="0067768A"/>
    <w:rsid w:val="00683A36"/>
    <w:rsid w:val="00692DA9"/>
    <w:rsid w:val="00694F80"/>
    <w:rsid w:val="0069691D"/>
    <w:rsid w:val="006A3F8A"/>
    <w:rsid w:val="006A4782"/>
    <w:rsid w:val="006B0053"/>
    <w:rsid w:val="006B1901"/>
    <w:rsid w:val="006B3432"/>
    <w:rsid w:val="006B4F46"/>
    <w:rsid w:val="006B5C3F"/>
    <w:rsid w:val="006B6F36"/>
    <w:rsid w:val="006C55AA"/>
    <w:rsid w:val="006F0AC6"/>
    <w:rsid w:val="006F1596"/>
    <w:rsid w:val="006F778F"/>
    <w:rsid w:val="00705B15"/>
    <w:rsid w:val="00706174"/>
    <w:rsid w:val="007163DD"/>
    <w:rsid w:val="00720DF8"/>
    <w:rsid w:val="00724EEF"/>
    <w:rsid w:val="00726431"/>
    <w:rsid w:val="007305BF"/>
    <w:rsid w:val="00741E74"/>
    <w:rsid w:val="00747EA6"/>
    <w:rsid w:val="00752228"/>
    <w:rsid w:val="00756868"/>
    <w:rsid w:val="007805DA"/>
    <w:rsid w:val="00781188"/>
    <w:rsid w:val="007878E9"/>
    <w:rsid w:val="007A21C9"/>
    <w:rsid w:val="007C2BAC"/>
    <w:rsid w:val="007C3231"/>
    <w:rsid w:val="007C4889"/>
    <w:rsid w:val="007C6E84"/>
    <w:rsid w:val="007D232B"/>
    <w:rsid w:val="007E2BA4"/>
    <w:rsid w:val="007E2E08"/>
    <w:rsid w:val="007F3E28"/>
    <w:rsid w:val="007F4831"/>
    <w:rsid w:val="0082238E"/>
    <w:rsid w:val="00827CC8"/>
    <w:rsid w:val="008348F8"/>
    <w:rsid w:val="0083537E"/>
    <w:rsid w:val="00843C43"/>
    <w:rsid w:val="0086319E"/>
    <w:rsid w:val="0087445D"/>
    <w:rsid w:val="008765CB"/>
    <w:rsid w:val="00881409"/>
    <w:rsid w:val="00884460"/>
    <w:rsid w:val="00895B42"/>
    <w:rsid w:val="008A24B1"/>
    <w:rsid w:val="008B78D2"/>
    <w:rsid w:val="008C1547"/>
    <w:rsid w:val="008C337D"/>
    <w:rsid w:val="008C787C"/>
    <w:rsid w:val="008D063F"/>
    <w:rsid w:val="008D5364"/>
    <w:rsid w:val="008E023A"/>
    <w:rsid w:val="008E5471"/>
    <w:rsid w:val="008F2429"/>
    <w:rsid w:val="008F7402"/>
    <w:rsid w:val="00902763"/>
    <w:rsid w:val="00904307"/>
    <w:rsid w:val="009057CE"/>
    <w:rsid w:val="0090635E"/>
    <w:rsid w:val="00910080"/>
    <w:rsid w:val="00915DD1"/>
    <w:rsid w:val="0092102A"/>
    <w:rsid w:val="00921D8B"/>
    <w:rsid w:val="00925767"/>
    <w:rsid w:val="009279CB"/>
    <w:rsid w:val="009301D9"/>
    <w:rsid w:val="00933FFB"/>
    <w:rsid w:val="0093614C"/>
    <w:rsid w:val="009633CA"/>
    <w:rsid w:val="00967E35"/>
    <w:rsid w:val="009703EF"/>
    <w:rsid w:val="009902C6"/>
    <w:rsid w:val="00995BBF"/>
    <w:rsid w:val="009A060E"/>
    <w:rsid w:val="009A0A9B"/>
    <w:rsid w:val="009A0B9D"/>
    <w:rsid w:val="009A3A3C"/>
    <w:rsid w:val="009C72FC"/>
    <w:rsid w:val="009D1002"/>
    <w:rsid w:val="009D3730"/>
    <w:rsid w:val="009F65CB"/>
    <w:rsid w:val="00A049E8"/>
    <w:rsid w:val="00A06135"/>
    <w:rsid w:val="00A12BCA"/>
    <w:rsid w:val="00A26227"/>
    <w:rsid w:val="00A47AA4"/>
    <w:rsid w:val="00A52D6F"/>
    <w:rsid w:val="00A71D2C"/>
    <w:rsid w:val="00A74B0D"/>
    <w:rsid w:val="00A81C12"/>
    <w:rsid w:val="00A94934"/>
    <w:rsid w:val="00A97D7E"/>
    <w:rsid w:val="00AA7358"/>
    <w:rsid w:val="00AC62E3"/>
    <w:rsid w:val="00AE106A"/>
    <w:rsid w:val="00AE4DE5"/>
    <w:rsid w:val="00B014FB"/>
    <w:rsid w:val="00B027C3"/>
    <w:rsid w:val="00B10B22"/>
    <w:rsid w:val="00B16CE8"/>
    <w:rsid w:val="00B16EDD"/>
    <w:rsid w:val="00B411F0"/>
    <w:rsid w:val="00B44A47"/>
    <w:rsid w:val="00B52B79"/>
    <w:rsid w:val="00B56407"/>
    <w:rsid w:val="00B65B31"/>
    <w:rsid w:val="00B74288"/>
    <w:rsid w:val="00B84B55"/>
    <w:rsid w:val="00B92A7B"/>
    <w:rsid w:val="00BA3F09"/>
    <w:rsid w:val="00BA7D22"/>
    <w:rsid w:val="00BD14AC"/>
    <w:rsid w:val="00BD5A09"/>
    <w:rsid w:val="00BE3089"/>
    <w:rsid w:val="00BE4620"/>
    <w:rsid w:val="00BE79E5"/>
    <w:rsid w:val="00BF62E6"/>
    <w:rsid w:val="00BF7B2C"/>
    <w:rsid w:val="00C01EA8"/>
    <w:rsid w:val="00C02AE7"/>
    <w:rsid w:val="00C12109"/>
    <w:rsid w:val="00C16506"/>
    <w:rsid w:val="00C547A1"/>
    <w:rsid w:val="00C552C9"/>
    <w:rsid w:val="00C643E3"/>
    <w:rsid w:val="00C74168"/>
    <w:rsid w:val="00C919D9"/>
    <w:rsid w:val="00C928E9"/>
    <w:rsid w:val="00C92C77"/>
    <w:rsid w:val="00CE0344"/>
    <w:rsid w:val="00CF1EEC"/>
    <w:rsid w:val="00CF234B"/>
    <w:rsid w:val="00CF2F61"/>
    <w:rsid w:val="00CF78FC"/>
    <w:rsid w:val="00D01D66"/>
    <w:rsid w:val="00D06624"/>
    <w:rsid w:val="00D1046C"/>
    <w:rsid w:val="00D16A2B"/>
    <w:rsid w:val="00D16AD7"/>
    <w:rsid w:val="00D22BF9"/>
    <w:rsid w:val="00D41BC1"/>
    <w:rsid w:val="00D56810"/>
    <w:rsid w:val="00D62168"/>
    <w:rsid w:val="00D64CE9"/>
    <w:rsid w:val="00D65733"/>
    <w:rsid w:val="00D674E0"/>
    <w:rsid w:val="00D70C23"/>
    <w:rsid w:val="00D7666E"/>
    <w:rsid w:val="00D8461B"/>
    <w:rsid w:val="00D86594"/>
    <w:rsid w:val="00DA20B6"/>
    <w:rsid w:val="00DA3B71"/>
    <w:rsid w:val="00DA5A47"/>
    <w:rsid w:val="00DA7AD5"/>
    <w:rsid w:val="00DB5BAA"/>
    <w:rsid w:val="00DC631B"/>
    <w:rsid w:val="00DD21D4"/>
    <w:rsid w:val="00DD2389"/>
    <w:rsid w:val="00DD7D15"/>
    <w:rsid w:val="00E0170D"/>
    <w:rsid w:val="00E142BA"/>
    <w:rsid w:val="00E20CDE"/>
    <w:rsid w:val="00E24E24"/>
    <w:rsid w:val="00E27AE8"/>
    <w:rsid w:val="00E34A03"/>
    <w:rsid w:val="00E40321"/>
    <w:rsid w:val="00E432AC"/>
    <w:rsid w:val="00E46D5C"/>
    <w:rsid w:val="00E5168F"/>
    <w:rsid w:val="00E60288"/>
    <w:rsid w:val="00E633DD"/>
    <w:rsid w:val="00E638D8"/>
    <w:rsid w:val="00E64CFF"/>
    <w:rsid w:val="00E7167A"/>
    <w:rsid w:val="00E730D5"/>
    <w:rsid w:val="00E81CB1"/>
    <w:rsid w:val="00E83515"/>
    <w:rsid w:val="00E83992"/>
    <w:rsid w:val="00E93B9F"/>
    <w:rsid w:val="00EA10AB"/>
    <w:rsid w:val="00EA2738"/>
    <w:rsid w:val="00EA5749"/>
    <w:rsid w:val="00EB1FD9"/>
    <w:rsid w:val="00EB57A8"/>
    <w:rsid w:val="00EB586A"/>
    <w:rsid w:val="00EC10D9"/>
    <w:rsid w:val="00EC2F5A"/>
    <w:rsid w:val="00EC4999"/>
    <w:rsid w:val="00EC49E8"/>
    <w:rsid w:val="00ED1416"/>
    <w:rsid w:val="00ED16F8"/>
    <w:rsid w:val="00ED7214"/>
    <w:rsid w:val="00EE16DB"/>
    <w:rsid w:val="00EE311D"/>
    <w:rsid w:val="00EF007D"/>
    <w:rsid w:val="00EF071B"/>
    <w:rsid w:val="00EF1767"/>
    <w:rsid w:val="00F00546"/>
    <w:rsid w:val="00F00E3B"/>
    <w:rsid w:val="00F0391E"/>
    <w:rsid w:val="00F06B6D"/>
    <w:rsid w:val="00F204F4"/>
    <w:rsid w:val="00F23889"/>
    <w:rsid w:val="00F25D5D"/>
    <w:rsid w:val="00F26435"/>
    <w:rsid w:val="00F26959"/>
    <w:rsid w:val="00F512B4"/>
    <w:rsid w:val="00F56DB3"/>
    <w:rsid w:val="00F612F4"/>
    <w:rsid w:val="00F71B9E"/>
    <w:rsid w:val="00F804E6"/>
    <w:rsid w:val="00F8797F"/>
    <w:rsid w:val="00F92BD4"/>
    <w:rsid w:val="00F95F86"/>
    <w:rsid w:val="00FC12A7"/>
    <w:rsid w:val="00FC2B4A"/>
    <w:rsid w:val="00FC2DCD"/>
    <w:rsid w:val="00FC6376"/>
    <w:rsid w:val="00FD26DF"/>
    <w:rsid w:val="00FE0DE4"/>
    <w:rsid w:val="00FE508C"/>
    <w:rsid w:val="00FF0C98"/>
    <w:rsid w:val="00FF650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ffc"/>
    </o:shapedefaults>
    <o:shapelayout v:ext="edit">
      <o:idmap v:ext="edit" data="1"/>
    </o:shapelayout>
  </w:shapeDefaults>
  <w:decimalSymbol w:val="."/>
  <w:listSeparator w:val=","/>
  <w14:docId w14:val="7512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table of figures"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HTML Keyboar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228"/>
    <w:rPr>
      <w:rFonts w:ascii="Times New Roman" w:hAnsi="Times New Roman" w:cs="Arial"/>
      <w:sz w:val="24"/>
      <w:lang w:val="en-US" w:eastAsia="en-US"/>
    </w:rPr>
  </w:style>
  <w:style w:type="paragraph" w:styleId="Heading1">
    <w:name w:val="heading 1"/>
    <w:basedOn w:val="Normal"/>
    <w:next w:val="Normal"/>
    <w:qFormat/>
    <w:rsid w:val="00752228"/>
    <w:pPr>
      <w:keepNext/>
      <w:tabs>
        <w:tab w:val="num" w:pos="360"/>
      </w:tabs>
      <w:spacing w:before="480" w:after="240"/>
      <w:outlineLvl w:val="0"/>
    </w:pPr>
    <w:rPr>
      <w:b/>
      <w:bCs/>
      <w:caps/>
      <w:kern w:val="32"/>
      <w:sz w:val="28"/>
      <w:szCs w:val="32"/>
    </w:rPr>
  </w:style>
  <w:style w:type="paragraph" w:styleId="Heading2">
    <w:name w:val="heading 2"/>
    <w:basedOn w:val="Normal"/>
    <w:next w:val="Normal"/>
    <w:qFormat/>
    <w:rsid w:val="00752228"/>
    <w:pPr>
      <w:keepNext/>
      <w:tabs>
        <w:tab w:val="num" w:pos="360"/>
      </w:tabs>
      <w:spacing w:before="120" w:after="120"/>
      <w:outlineLvl w:val="1"/>
    </w:pPr>
    <w:rPr>
      <w:b/>
      <w:bCs/>
      <w:sz w:val="28"/>
      <w:szCs w:val="28"/>
    </w:rPr>
  </w:style>
  <w:style w:type="paragraph" w:styleId="Heading3">
    <w:name w:val="heading 3"/>
    <w:basedOn w:val="Normal"/>
    <w:next w:val="Normal"/>
    <w:qFormat/>
    <w:rsid w:val="00752228"/>
    <w:pPr>
      <w:keepNext/>
      <w:tabs>
        <w:tab w:val="num" w:pos="360"/>
      </w:tabs>
      <w:spacing w:after="120"/>
      <w:outlineLvl w:val="2"/>
    </w:pPr>
    <w:rPr>
      <w:b/>
    </w:rPr>
  </w:style>
  <w:style w:type="paragraph" w:styleId="Heading4">
    <w:name w:val="heading 4"/>
    <w:basedOn w:val="Normal"/>
    <w:next w:val="Normal"/>
    <w:qFormat/>
    <w:rsid w:val="00752228"/>
    <w:pPr>
      <w:keepNext/>
      <w:tabs>
        <w:tab w:val="num" w:pos="360"/>
      </w:tabs>
      <w:spacing w:after="120"/>
      <w:outlineLvl w:val="3"/>
    </w:pPr>
    <w:rPr>
      <w:rFonts w:cs="Times New Roman"/>
      <w:b/>
      <w:bCs/>
      <w:szCs w:val="28"/>
    </w:rPr>
  </w:style>
  <w:style w:type="paragraph" w:styleId="Heading5">
    <w:name w:val="heading 5"/>
    <w:basedOn w:val="Normal"/>
    <w:next w:val="Normal"/>
    <w:qFormat/>
    <w:rsid w:val="00752228"/>
    <w:pPr>
      <w:keepNext/>
      <w:tabs>
        <w:tab w:val="num" w:pos="360"/>
      </w:tabs>
      <w:spacing w:after="120"/>
      <w:outlineLvl w:val="4"/>
    </w:pPr>
    <w:rPr>
      <w:b/>
      <w:bCs/>
      <w:szCs w:val="26"/>
    </w:rPr>
  </w:style>
  <w:style w:type="paragraph" w:styleId="Heading6">
    <w:name w:val="heading 6"/>
    <w:basedOn w:val="Normal"/>
    <w:next w:val="Normal"/>
    <w:qFormat/>
    <w:rsid w:val="00752228"/>
    <w:pPr>
      <w:keepNext/>
      <w:tabs>
        <w:tab w:val="num" w:pos="360"/>
      </w:tabs>
      <w:spacing w:after="120"/>
      <w:outlineLvl w:val="5"/>
    </w:pPr>
    <w:rPr>
      <w:rFonts w:cs="Times New Roman"/>
      <w:b/>
      <w:bCs/>
      <w:szCs w:val="22"/>
    </w:rPr>
  </w:style>
  <w:style w:type="paragraph" w:styleId="Heading7">
    <w:name w:val="heading 7"/>
    <w:basedOn w:val="Normal"/>
    <w:next w:val="Normal"/>
    <w:qFormat/>
    <w:rsid w:val="00752228"/>
    <w:pPr>
      <w:tabs>
        <w:tab w:val="num" w:pos="360"/>
      </w:tabs>
      <w:spacing w:before="240" w:after="60"/>
      <w:outlineLvl w:val="6"/>
    </w:pPr>
    <w:rPr>
      <w:rFonts w:cs="Times New Roman"/>
      <w:szCs w:val="24"/>
    </w:rPr>
  </w:style>
  <w:style w:type="paragraph" w:styleId="Heading8">
    <w:name w:val="heading 8"/>
    <w:basedOn w:val="Normal"/>
    <w:next w:val="Normal"/>
    <w:qFormat/>
    <w:rsid w:val="00752228"/>
    <w:pPr>
      <w:tabs>
        <w:tab w:val="num" w:pos="360"/>
      </w:tabs>
      <w:spacing w:before="240" w:after="60"/>
      <w:outlineLvl w:val="7"/>
    </w:pPr>
    <w:rPr>
      <w:rFonts w:cs="Times New Roman"/>
      <w:i/>
      <w:iCs/>
      <w:szCs w:val="24"/>
    </w:rPr>
  </w:style>
  <w:style w:type="paragraph" w:styleId="Heading9">
    <w:name w:val="heading 9"/>
    <w:basedOn w:val="Normal"/>
    <w:next w:val="Normal"/>
    <w:qFormat/>
    <w:rsid w:val="00752228"/>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B4F46"/>
    <w:pPr>
      <w:ind w:left="720"/>
    </w:pPr>
  </w:style>
  <w:style w:type="paragraph" w:styleId="Footer">
    <w:name w:val="footer"/>
    <w:basedOn w:val="Normal"/>
    <w:link w:val="FooterChar"/>
    <w:rsid w:val="006B4F46"/>
    <w:pPr>
      <w:tabs>
        <w:tab w:val="center" w:pos="4320"/>
        <w:tab w:val="right" w:pos="8640"/>
      </w:tabs>
    </w:pPr>
  </w:style>
  <w:style w:type="paragraph" w:styleId="Header">
    <w:name w:val="header"/>
    <w:basedOn w:val="Normal"/>
    <w:link w:val="HeaderChar"/>
    <w:uiPriority w:val="99"/>
    <w:rsid w:val="006B4F46"/>
    <w:pPr>
      <w:tabs>
        <w:tab w:val="center" w:pos="4320"/>
        <w:tab w:val="right" w:pos="8640"/>
      </w:tabs>
    </w:pPr>
  </w:style>
  <w:style w:type="paragraph" w:styleId="FootnoteText">
    <w:name w:val="footnote text"/>
    <w:basedOn w:val="Normal"/>
    <w:semiHidden/>
    <w:rsid w:val="006B4F46"/>
    <w:rPr>
      <w:sz w:val="20"/>
    </w:rPr>
  </w:style>
  <w:style w:type="paragraph" w:styleId="Title">
    <w:name w:val="Title"/>
    <w:basedOn w:val="Normal"/>
    <w:qFormat/>
    <w:rsid w:val="006B4F46"/>
    <w:pPr>
      <w:ind w:left="2800" w:hanging="2800"/>
      <w:jc w:val="center"/>
    </w:pPr>
    <w:rPr>
      <w:b/>
    </w:rPr>
  </w:style>
  <w:style w:type="paragraph" w:styleId="BlockText">
    <w:name w:val="Block Text"/>
    <w:basedOn w:val="Normal"/>
    <w:rsid w:val="006B4F46"/>
    <w:pPr>
      <w:tabs>
        <w:tab w:val="left" w:pos="360"/>
        <w:tab w:val="left" w:pos="900"/>
        <w:tab w:val="left" w:pos="2880"/>
        <w:tab w:val="left" w:pos="3240"/>
      </w:tabs>
      <w:ind w:left="360" w:right="-40" w:hanging="360"/>
    </w:pPr>
  </w:style>
  <w:style w:type="paragraph" w:styleId="DocumentMap">
    <w:name w:val="Document Map"/>
    <w:basedOn w:val="Normal"/>
    <w:semiHidden/>
    <w:rsid w:val="006B4F46"/>
    <w:pPr>
      <w:shd w:val="clear" w:color="auto" w:fill="000080"/>
    </w:pPr>
    <w:rPr>
      <w:rFonts w:ascii="Tahoma" w:hAnsi="Tahoma"/>
    </w:rPr>
  </w:style>
  <w:style w:type="paragraph" w:styleId="BodyText">
    <w:name w:val="Body Text"/>
    <w:basedOn w:val="Normal"/>
    <w:rsid w:val="006B4F46"/>
    <w:rPr>
      <w:sz w:val="18"/>
    </w:rPr>
  </w:style>
  <w:style w:type="character" w:styleId="PageNumber">
    <w:name w:val="page number"/>
    <w:basedOn w:val="DefaultParagraphFont"/>
    <w:rsid w:val="006B4F46"/>
  </w:style>
  <w:style w:type="paragraph" w:styleId="BodyTextIndent">
    <w:name w:val="Body Text Indent"/>
    <w:basedOn w:val="Normal"/>
    <w:link w:val="BodyTextIndentChar"/>
    <w:rsid w:val="00752228"/>
    <w:pPr>
      <w:spacing w:after="120"/>
      <w:ind w:left="360"/>
    </w:pPr>
  </w:style>
  <w:style w:type="paragraph" w:styleId="BodyTextIndent2">
    <w:name w:val="Body Text Indent 2"/>
    <w:basedOn w:val="Normal"/>
    <w:rsid w:val="006B4F46"/>
    <w:pPr>
      <w:ind w:left="540"/>
    </w:pPr>
    <w:rPr>
      <w:rFonts w:ascii="Agfa Rotis Semisans" w:hAnsi="Agfa Rotis Semisans"/>
    </w:rPr>
  </w:style>
  <w:style w:type="paragraph" w:styleId="BalloonText">
    <w:name w:val="Balloon Text"/>
    <w:basedOn w:val="Normal"/>
    <w:semiHidden/>
    <w:rsid w:val="00F612F4"/>
    <w:rPr>
      <w:rFonts w:ascii="Tahoma" w:hAnsi="Tahoma" w:cs="Tahoma"/>
      <w:sz w:val="16"/>
      <w:szCs w:val="16"/>
    </w:rPr>
  </w:style>
  <w:style w:type="character" w:customStyle="1" w:styleId="HeaderChar">
    <w:name w:val="Header Char"/>
    <w:basedOn w:val="DefaultParagraphFont"/>
    <w:link w:val="Header"/>
    <w:uiPriority w:val="99"/>
    <w:rsid w:val="005E6586"/>
    <w:rPr>
      <w:rFonts w:ascii="CG Times" w:hAnsi="CG Times"/>
      <w:sz w:val="22"/>
      <w:lang w:val="en-GB"/>
    </w:rPr>
  </w:style>
  <w:style w:type="character" w:customStyle="1" w:styleId="FooterChar">
    <w:name w:val="Footer Char"/>
    <w:basedOn w:val="DefaultParagraphFont"/>
    <w:link w:val="Footer"/>
    <w:rsid w:val="00120B5E"/>
    <w:rPr>
      <w:rFonts w:ascii="CG Times" w:hAnsi="CG Times"/>
      <w:sz w:val="22"/>
      <w:lang w:val="en-GB"/>
    </w:rPr>
  </w:style>
  <w:style w:type="paragraph" w:customStyle="1" w:styleId="Default">
    <w:name w:val="Default"/>
    <w:rsid w:val="00F512B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512B4"/>
    <w:rPr>
      <w:sz w:val="16"/>
      <w:szCs w:val="16"/>
    </w:rPr>
  </w:style>
  <w:style w:type="paragraph" w:styleId="CommentText">
    <w:name w:val="annotation text"/>
    <w:basedOn w:val="Normal"/>
    <w:link w:val="CommentTextChar"/>
    <w:rsid w:val="00752228"/>
    <w:rPr>
      <w:sz w:val="20"/>
    </w:rPr>
  </w:style>
  <w:style w:type="character" w:customStyle="1" w:styleId="CommentTextChar">
    <w:name w:val="Comment Text Char"/>
    <w:basedOn w:val="DefaultParagraphFont"/>
    <w:link w:val="CommentText"/>
    <w:rsid w:val="00F512B4"/>
    <w:rPr>
      <w:rFonts w:ascii="Times New Roman" w:hAnsi="Times New Roman" w:cs="Arial"/>
      <w:lang w:val="en-US" w:eastAsia="en-US"/>
    </w:rPr>
  </w:style>
  <w:style w:type="paragraph" w:styleId="CommentSubject">
    <w:name w:val="annotation subject"/>
    <w:basedOn w:val="CommentText"/>
    <w:next w:val="CommentText"/>
    <w:link w:val="CommentSubjectChar"/>
    <w:rsid w:val="00752228"/>
    <w:rPr>
      <w:b/>
      <w:bCs/>
    </w:rPr>
  </w:style>
  <w:style w:type="character" w:customStyle="1" w:styleId="CommentSubjectChar">
    <w:name w:val="Comment Subject Char"/>
    <w:basedOn w:val="CommentTextChar"/>
    <w:link w:val="CommentSubject"/>
    <w:rsid w:val="00F512B4"/>
    <w:rPr>
      <w:rFonts w:ascii="Times New Roman" w:hAnsi="Times New Roman" w:cs="Arial"/>
      <w:b/>
      <w:bCs/>
      <w:lang w:val="en-US" w:eastAsia="en-US"/>
    </w:rPr>
  </w:style>
  <w:style w:type="paragraph" w:styleId="Revision">
    <w:name w:val="Revision"/>
    <w:hidden/>
    <w:uiPriority w:val="99"/>
    <w:semiHidden/>
    <w:rsid w:val="00251BAE"/>
    <w:rPr>
      <w:rFonts w:ascii="CG Times" w:hAnsi="CG Times"/>
      <w:sz w:val="22"/>
      <w:lang w:val="en-GB"/>
    </w:rPr>
  </w:style>
  <w:style w:type="paragraph" w:styleId="Caption">
    <w:name w:val="caption"/>
    <w:next w:val="C-BodyText"/>
    <w:qFormat/>
    <w:rsid w:val="00752228"/>
    <w:pPr>
      <w:keepNext/>
      <w:spacing w:before="120" w:after="120" w:line="280" w:lineRule="atLeast"/>
      <w:ind w:left="1440" w:hanging="1440"/>
    </w:pPr>
    <w:rPr>
      <w:rFonts w:ascii="Times New Roman" w:hAnsi="Times New Roman"/>
      <w:b/>
      <w:bCs/>
      <w:sz w:val="24"/>
      <w:szCs w:val="24"/>
      <w:lang w:val="en-US" w:eastAsia="en-US"/>
    </w:rPr>
  </w:style>
  <w:style w:type="paragraph" w:customStyle="1" w:styleId="C-BodyText">
    <w:name w:val="C-Body Text"/>
    <w:rsid w:val="00752228"/>
    <w:pPr>
      <w:spacing w:before="120" w:after="120" w:line="280" w:lineRule="atLeast"/>
    </w:pPr>
    <w:rPr>
      <w:rFonts w:ascii="Times New Roman" w:hAnsi="Times New Roman"/>
      <w:sz w:val="24"/>
      <w:lang w:val="en-US" w:eastAsia="en-US"/>
    </w:rPr>
  </w:style>
  <w:style w:type="paragraph" w:styleId="TOC1">
    <w:name w:val="toc 1"/>
    <w:next w:val="C-BodyText"/>
    <w:rsid w:val="00752228"/>
    <w:pPr>
      <w:tabs>
        <w:tab w:val="left" w:pos="1152"/>
        <w:tab w:val="right" w:leader="dot" w:pos="9360"/>
      </w:tabs>
      <w:spacing w:before="120"/>
      <w:ind w:left="1152" w:right="792" w:hanging="1152"/>
    </w:pPr>
    <w:rPr>
      <w:rFonts w:ascii="Times New Roman" w:hAnsi="Times New Roman" w:cs="Arial"/>
      <w:caps/>
      <w:color w:val="0000FF"/>
      <w:sz w:val="24"/>
      <w:szCs w:val="24"/>
      <w:lang w:val="en-US" w:eastAsia="en-US"/>
    </w:rPr>
  </w:style>
  <w:style w:type="paragraph" w:styleId="TOC2">
    <w:name w:val="toc 2"/>
    <w:basedOn w:val="TOC1"/>
    <w:next w:val="C-BodyText"/>
    <w:rsid w:val="00752228"/>
    <w:rPr>
      <w:caps w:val="0"/>
    </w:rPr>
  </w:style>
  <w:style w:type="paragraph" w:styleId="TOC3">
    <w:name w:val="toc 3"/>
    <w:basedOn w:val="TOC1"/>
    <w:next w:val="C-BodyText"/>
    <w:rsid w:val="00752228"/>
    <w:rPr>
      <w:caps w:val="0"/>
    </w:rPr>
  </w:style>
  <w:style w:type="paragraph" w:styleId="TOC4">
    <w:name w:val="toc 4"/>
    <w:basedOn w:val="TOC1"/>
    <w:next w:val="C-BodyText"/>
    <w:rsid w:val="00752228"/>
    <w:rPr>
      <w:caps w:val="0"/>
    </w:rPr>
  </w:style>
  <w:style w:type="paragraph" w:customStyle="1" w:styleId="C-Heading1">
    <w:name w:val="C-Heading 1"/>
    <w:next w:val="C-BodyText"/>
    <w:link w:val="C-Heading1Char"/>
    <w:rsid w:val="00752228"/>
    <w:pPr>
      <w:keepNext/>
      <w:pageBreakBefore/>
      <w:numPr>
        <w:numId w:val="1"/>
      </w:numPr>
      <w:spacing w:before="480" w:after="120"/>
      <w:outlineLvl w:val="0"/>
    </w:pPr>
    <w:rPr>
      <w:rFonts w:ascii="Times New Roman" w:hAnsi="Times New Roman"/>
      <w:b/>
      <w:caps/>
      <w:sz w:val="28"/>
      <w:lang w:val="en-US" w:eastAsia="en-US"/>
    </w:rPr>
  </w:style>
  <w:style w:type="paragraph" w:customStyle="1" w:styleId="C-Heading2">
    <w:name w:val="C-Heading 2"/>
    <w:next w:val="C-BodyText"/>
    <w:rsid w:val="00752228"/>
    <w:pPr>
      <w:keepNext/>
      <w:numPr>
        <w:ilvl w:val="1"/>
        <w:numId w:val="1"/>
      </w:numPr>
      <w:spacing w:before="240"/>
      <w:outlineLvl w:val="1"/>
    </w:pPr>
    <w:rPr>
      <w:rFonts w:ascii="Times New Roman" w:hAnsi="Times New Roman"/>
      <w:b/>
      <w:sz w:val="28"/>
      <w:lang w:val="en-US" w:eastAsia="en-US"/>
    </w:rPr>
  </w:style>
  <w:style w:type="paragraph" w:customStyle="1" w:styleId="C-Heading3">
    <w:name w:val="C-Heading 3"/>
    <w:next w:val="C-BodyText"/>
    <w:rsid w:val="00752228"/>
    <w:pPr>
      <w:keepNext/>
      <w:numPr>
        <w:ilvl w:val="2"/>
        <w:numId w:val="1"/>
      </w:numPr>
      <w:spacing w:before="240"/>
      <w:outlineLvl w:val="2"/>
    </w:pPr>
    <w:rPr>
      <w:rFonts w:ascii="Times New Roman" w:hAnsi="Times New Roman"/>
      <w:b/>
      <w:sz w:val="24"/>
      <w:lang w:val="en-US" w:eastAsia="en-US"/>
    </w:rPr>
  </w:style>
  <w:style w:type="paragraph" w:customStyle="1" w:styleId="C-Heading4">
    <w:name w:val="C-Heading 4"/>
    <w:next w:val="C-BodyText"/>
    <w:rsid w:val="00752228"/>
    <w:pPr>
      <w:keepNext/>
      <w:numPr>
        <w:ilvl w:val="3"/>
        <w:numId w:val="1"/>
      </w:numPr>
      <w:spacing w:before="240"/>
      <w:outlineLvl w:val="3"/>
    </w:pPr>
    <w:rPr>
      <w:rFonts w:ascii="Times New Roman" w:hAnsi="Times New Roman"/>
      <w:b/>
      <w:sz w:val="24"/>
      <w:lang w:val="en-US" w:eastAsia="en-US"/>
    </w:rPr>
  </w:style>
  <w:style w:type="paragraph" w:customStyle="1" w:styleId="C-Heading5">
    <w:name w:val="C-Heading 5"/>
    <w:next w:val="C-BodyText"/>
    <w:rsid w:val="00752228"/>
    <w:pPr>
      <w:keepNext/>
      <w:numPr>
        <w:ilvl w:val="4"/>
        <w:numId w:val="1"/>
      </w:numPr>
      <w:spacing w:before="240"/>
      <w:outlineLvl w:val="4"/>
    </w:pPr>
    <w:rPr>
      <w:rFonts w:ascii="Times New Roman" w:hAnsi="Times New Roman"/>
      <w:b/>
      <w:sz w:val="24"/>
      <w:lang w:val="en-US" w:eastAsia="en-US"/>
    </w:rPr>
  </w:style>
  <w:style w:type="paragraph" w:customStyle="1" w:styleId="C-Heading6">
    <w:name w:val="C-Heading 6"/>
    <w:next w:val="C-BodyText"/>
    <w:rsid w:val="00752228"/>
    <w:pPr>
      <w:keepNext/>
      <w:numPr>
        <w:ilvl w:val="5"/>
        <w:numId w:val="1"/>
      </w:numPr>
      <w:tabs>
        <w:tab w:val="clear" w:pos="1080"/>
        <w:tab w:val="num" w:pos="1224"/>
      </w:tabs>
      <w:spacing w:before="240"/>
      <w:ind w:left="1224" w:hanging="1224"/>
      <w:outlineLvl w:val="5"/>
    </w:pPr>
    <w:rPr>
      <w:rFonts w:ascii="Times New Roman" w:hAnsi="Times New Roman"/>
      <w:b/>
      <w:sz w:val="24"/>
      <w:lang w:val="en-US" w:eastAsia="en-US"/>
    </w:rPr>
  </w:style>
  <w:style w:type="paragraph" w:customStyle="1" w:styleId="C-BodyTextIndent">
    <w:name w:val="C-Body Text Indent"/>
    <w:rsid w:val="00752228"/>
    <w:pPr>
      <w:spacing w:before="120" w:after="120" w:line="280" w:lineRule="atLeast"/>
      <w:ind w:left="360"/>
    </w:pPr>
    <w:rPr>
      <w:rFonts w:ascii="Times New Roman" w:hAnsi="Times New Roman"/>
      <w:sz w:val="24"/>
      <w:lang w:val="en-US" w:eastAsia="en-US"/>
    </w:rPr>
  </w:style>
  <w:style w:type="paragraph" w:customStyle="1" w:styleId="C-Bullet">
    <w:name w:val="C-Bullet"/>
    <w:rsid w:val="00752228"/>
    <w:pPr>
      <w:numPr>
        <w:numId w:val="13"/>
      </w:numPr>
      <w:spacing w:before="120" w:after="120" w:line="280" w:lineRule="atLeast"/>
    </w:pPr>
    <w:rPr>
      <w:rFonts w:ascii="Times New Roman" w:hAnsi="Times New Roman"/>
      <w:sz w:val="24"/>
      <w:lang w:val="en-US" w:eastAsia="en-US"/>
    </w:rPr>
  </w:style>
  <w:style w:type="paragraph" w:customStyle="1" w:styleId="C-BulletIndented">
    <w:name w:val="C-Bullet Indented"/>
    <w:rsid w:val="00752228"/>
    <w:pPr>
      <w:numPr>
        <w:ilvl w:val="1"/>
        <w:numId w:val="13"/>
      </w:numPr>
      <w:spacing w:before="120" w:after="120" w:line="280" w:lineRule="atLeast"/>
    </w:pPr>
    <w:rPr>
      <w:rFonts w:ascii="Times New Roman" w:hAnsi="Times New Roman" w:cs="Arial"/>
      <w:sz w:val="24"/>
      <w:lang w:val="en-US" w:eastAsia="en-US"/>
    </w:rPr>
  </w:style>
  <w:style w:type="paragraph" w:customStyle="1" w:styleId="C-TableHeader">
    <w:name w:val="C-Table Header"/>
    <w:next w:val="C-TableText"/>
    <w:rsid w:val="00752228"/>
    <w:pPr>
      <w:keepNext/>
      <w:spacing w:before="60" w:after="60"/>
    </w:pPr>
    <w:rPr>
      <w:rFonts w:ascii="Times New Roman" w:hAnsi="Times New Roman"/>
      <w:b/>
      <w:sz w:val="22"/>
      <w:lang w:val="en-US" w:eastAsia="en-US"/>
    </w:rPr>
  </w:style>
  <w:style w:type="paragraph" w:customStyle="1" w:styleId="C-TableText">
    <w:name w:val="C-Table Text"/>
    <w:rsid w:val="00752228"/>
    <w:pPr>
      <w:spacing w:before="60" w:after="60"/>
    </w:pPr>
    <w:rPr>
      <w:rFonts w:ascii="Times New Roman" w:hAnsi="Times New Roman"/>
      <w:sz w:val="22"/>
      <w:lang w:val="en-US" w:eastAsia="en-US"/>
    </w:rPr>
  </w:style>
  <w:style w:type="paragraph" w:customStyle="1" w:styleId="C-TableFootnote">
    <w:name w:val="C-Table Footnote"/>
    <w:next w:val="C-BodyText"/>
    <w:rsid w:val="00752228"/>
    <w:pPr>
      <w:tabs>
        <w:tab w:val="left" w:pos="144"/>
      </w:tabs>
      <w:ind w:left="144" w:hanging="144"/>
    </w:pPr>
    <w:rPr>
      <w:rFonts w:ascii="Times New Roman" w:hAnsi="Times New Roman" w:cs="Arial"/>
      <w:lang w:val="en-US" w:eastAsia="en-US"/>
    </w:rPr>
  </w:style>
  <w:style w:type="paragraph" w:styleId="TOC5">
    <w:name w:val="toc 5"/>
    <w:basedOn w:val="TOC1"/>
    <w:next w:val="C-BodyText"/>
    <w:rsid w:val="00752228"/>
    <w:rPr>
      <w:caps w:val="0"/>
    </w:rPr>
  </w:style>
  <w:style w:type="paragraph" w:styleId="TOC6">
    <w:name w:val="toc 6"/>
    <w:basedOn w:val="TOC1"/>
    <w:next w:val="C-BodyText"/>
    <w:rsid w:val="00752228"/>
    <w:rPr>
      <w:caps w:val="0"/>
    </w:rPr>
  </w:style>
  <w:style w:type="paragraph" w:styleId="TOC7">
    <w:name w:val="toc 7"/>
    <w:basedOn w:val="TOC1"/>
    <w:next w:val="C-BodyText"/>
    <w:rsid w:val="00752228"/>
    <w:rPr>
      <w:caps w:val="0"/>
    </w:rPr>
  </w:style>
  <w:style w:type="paragraph" w:styleId="TOC8">
    <w:name w:val="toc 8"/>
    <w:basedOn w:val="TOC1"/>
    <w:next w:val="C-BodyText"/>
    <w:rsid w:val="00752228"/>
    <w:rPr>
      <w:caps w:val="0"/>
    </w:rPr>
  </w:style>
  <w:style w:type="paragraph" w:styleId="TOC9">
    <w:name w:val="toc 9"/>
    <w:basedOn w:val="TOC1"/>
    <w:next w:val="C-BodyText"/>
    <w:rsid w:val="00752228"/>
    <w:rPr>
      <w:caps w:val="0"/>
    </w:rPr>
  </w:style>
  <w:style w:type="paragraph" w:styleId="TableofFigures">
    <w:name w:val="table of figures"/>
    <w:next w:val="C-BodyText"/>
    <w:rsid w:val="00752228"/>
    <w:pPr>
      <w:tabs>
        <w:tab w:val="left" w:pos="1152"/>
        <w:tab w:val="right" w:leader="dot" w:pos="9360"/>
      </w:tabs>
      <w:spacing w:before="120" w:line="280" w:lineRule="atLeast"/>
      <w:ind w:left="1152" w:right="792" w:hanging="1152"/>
    </w:pPr>
    <w:rPr>
      <w:rFonts w:ascii="Times New Roman" w:hAnsi="Times New Roman" w:cs="Arial"/>
      <w:color w:val="0000FF"/>
      <w:sz w:val="24"/>
      <w:lang w:val="en-US" w:eastAsia="en-US"/>
    </w:rPr>
  </w:style>
  <w:style w:type="paragraph" w:customStyle="1" w:styleId="C-TOCTitle">
    <w:name w:val="C-TOC Title"/>
    <w:next w:val="C-BodyText"/>
    <w:rsid w:val="00752228"/>
    <w:pPr>
      <w:spacing w:after="120"/>
      <w:jc w:val="center"/>
    </w:pPr>
    <w:rPr>
      <w:rFonts w:ascii="Times New Roman" w:hAnsi="Times New Roman"/>
      <w:b/>
      <w:caps/>
      <w:sz w:val="28"/>
      <w:szCs w:val="28"/>
      <w:lang w:val="en-US" w:eastAsia="en-US"/>
    </w:rPr>
  </w:style>
  <w:style w:type="paragraph" w:customStyle="1" w:styleId="C-CaptionContinued">
    <w:name w:val="C-Caption Continued"/>
    <w:next w:val="C-BodyText"/>
    <w:rsid w:val="00752228"/>
    <w:pPr>
      <w:keepNext/>
      <w:spacing w:before="120" w:after="120" w:line="280" w:lineRule="atLeast"/>
      <w:ind w:left="1440" w:hanging="1440"/>
    </w:pPr>
    <w:rPr>
      <w:rFonts w:ascii="Times New Roman" w:hAnsi="Times New Roman" w:cs="Arial"/>
      <w:b/>
      <w:sz w:val="24"/>
      <w:lang w:val="en-US" w:eastAsia="en-US"/>
    </w:rPr>
  </w:style>
  <w:style w:type="paragraph" w:customStyle="1" w:styleId="C-NumberedList">
    <w:name w:val="C-Numbered List"/>
    <w:rsid w:val="00752228"/>
    <w:pPr>
      <w:numPr>
        <w:numId w:val="11"/>
      </w:numPr>
      <w:spacing w:before="120" w:after="120" w:line="280" w:lineRule="atLeast"/>
    </w:pPr>
    <w:rPr>
      <w:rFonts w:ascii="Times New Roman" w:hAnsi="Times New Roman"/>
      <w:sz w:val="24"/>
      <w:lang w:val="en-US" w:eastAsia="en-US"/>
    </w:rPr>
  </w:style>
  <w:style w:type="paragraph" w:customStyle="1" w:styleId="C-InstructionText">
    <w:name w:val="C-Instruction Text"/>
    <w:rsid w:val="00752228"/>
    <w:pPr>
      <w:spacing w:before="120" w:after="120" w:line="280" w:lineRule="atLeast"/>
    </w:pPr>
    <w:rPr>
      <w:rFonts w:ascii="Times New Roman" w:hAnsi="Times New Roman"/>
      <w:vanish/>
      <w:color w:val="FF0000"/>
      <w:sz w:val="24"/>
      <w:szCs w:val="24"/>
      <w:lang w:val="en-US" w:eastAsia="en-US"/>
    </w:rPr>
  </w:style>
  <w:style w:type="paragraph" w:styleId="TOAHeading">
    <w:name w:val="toa heading"/>
    <w:basedOn w:val="Normal"/>
    <w:next w:val="Normal"/>
    <w:rsid w:val="00752228"/>
    <w:pPr>
      <w:spacing w:before="120"/>
    </w:pPr>
    <w:rPr>
      <w:rFonts w:ascii="Arial" w:hAnsi="Arial"/>
      <w:b/>
      <w:bCs/>
      <w:szCs w:val="24"/>
    </w:rPr>
  </w:style>
  <w:style w:type="paragraph" w:customStyle="1" w:styleId="C-Title">
    <w:name w:val="C-Title"/>
    <w:next w:val="C-BodyText"/>
    <w:rsid w:val="00752228"/>
    <w:pPr>
      <w:spacing w:after="120"/>
      <w:jc w:val="center"/>
    </w:pPr>
    <w:rPr>
      <w:rFonts w:ascii="Times New Roman" w:hAnsi="Times New Roman"/>
      <w:b/>
      <w:caps/>
      <w:sz w:val="36"/>
      <w:lang w:val="en-US" w:eastAsia="en-US"/>
    </w:rPr>
  </w:style>
  <w:style w:type="paragraph" w:customStyle="1" w:styleId="C-Header">
    <w:name w:val="C-Header"/>
    <w:rsid w:val="00752228"/>
    <w:rPr>
      <w:rFonts w:ascii="Times New Roman" w:hAnsi="Times New Roman"/>
      <w:sz w:val="24"/>
      <w:lang w:val="en-US" w:eastAsia="en-US"/>
    </w:rPr>
  </w:style>
  <w:style w:type="paragraph" w:customStyle="1" w:styleId="C-Footer">
    <w:name w:val="C-Footer"/>
    <w:rsid w:val="00752228"/>
    <w:rPr>
      <w:rFonts w:ascii="Times New Roman" w:hAnsi="Times New Roman"/>
      <w:sz w:val="24"/>
      <w:lang w:val="en-US" w:eastAsia="en-US"/>
    </w:rPr>
  </w:style>
  <w:style w:type="paragraph" w:customStyle="1" w:styleId="C-Heading1non-numbered">
    <w:name w:val="C-Heading 1 (non-numbered)"/>
    <w:basedOn w:val="C-Heading1"/>
    <w:next w:val="C-BodyText"/>
    <w:rsid w:val="00752228"/>
    <w:pPr>
      <w:numPr>
        <w:numId w:val="0"/>
      </w:numPr>
      <w:tabs>
        <w:tab w:val="left" w:pos="1080"/>
      </w:tabs>
      <w:ind w:left="1080" w:hanging="1080"/>
    </w:pPr>
  </w:style>
  <w:style w:type="paragraph" w:customStyle="1" w:styleId="C-Heading2non-numbered">
    <w:name w:val="C-Heading 2 (non-numbered)"/>
    <w:basedOn w:val="C-Heading2"/>
    <w:next w:val="C-BodyText"/>
    <w:rsid w:val="00752228"/>
    <w:pPr>
      <w:numPr>
        <w:ilvl w:val="0"/>
        <w:numId w:val="0"/>
      </w:numPr>
      <w:tabs>
        <w:tab w:val="left" w:pos="1080"/>
      </w:tabs>
      <w:ind w:left="1080" w:hanging="1080"/>
    </w:pPr>
  </w:style>
  <w:style w:type="paragraph" w:customStyle="1" w:styleId="C-Heading3non-numbered">
    <w:name w:val="C-Heading 3 (non-numbered)"/>
    <w:basedOn w:val="C-Heading3"/>
    <w:next w:val="C-BodyText"/>
    <w:rsid w:val="00752228"/>
    <w:pPr>
      <w:numPr>
        <w:ilvl w:val="0"/>
        <w:numId w:val="0"/>
      </w:numPr>
      <w:tabs>
        <w:tab w:val="left" w:pos="1080"/>
      </w:tabs>
      <w:ind w:left="1080" w:hanging="1080"/>
    </w:pPr>
  </w:style>
  <w:style w:type="paragraph" w:customStyle="1" w:styleId="C-Heading4non-numbered">
    <w:name w:val="C-Heading 4 (non-numbered)"/>
    <w:basedOn w:val="C-Heading4"/>
    <w:next w:val="C-BodyText"/>
    <w:rsid w:val="00752228"/>
    <w:pPr>
      <w:numPr>
        <w:ilvl w:val="0"/>
        <w:numId w:val="0"/>
      </w:numPr>
      <w:tabs>
        <w:tab w:val="left" w:pos="1080"/>
      </w:tabs>
      <w:ind w:left="1080" w:hanging="1080"/>
    </w:pPr>
  </w:style>
  <w:style w:type="paragraph" w:customStyle="1" w:styleId="C-Heading5non-numbered">
    <w:name w:val="C-Heading 5 (non-numbered)"/>
    <w:basedOn w:val="C-Heading5"/>
    <w:next w:val="C-BodyText"/>
    <w:rsid w:val="00752228"/>
    <w:pPr>
      <w:numPr>
        <w:ilvl w:val="0"/>
        <w:numId w:val="0"/>
      </w:numPr>
      <w:tabs>
        <w:tab w:val="left" w:pos="1080"/>
      </w:tabs>
      <w:ind w:left="1080" w:hanging="1080"/>
    </w:pPr>
  </w:style>
  <w:style w:type="paragraph" w:customStyle="1" w:styleId="C-Heading6non-numbered">
    <w:name w:val="C-Heading 6 (non-numbered)"/>
    <w:basedOn w:val="C-Heading6"/>
    <w:next w:val="C-BodyText"/>
    <w:rsid w:val="00752228"/>
    <w:pPr>
      <w:numPr>
        <w:ilvl w:val="0"/>
        <w:numId w:val="0"/>
      </w:numPr>
      <w:tabs>
        <w:tab w:val="left" w:pos="1080"/>
      </w:tabs>
      <w:ind w:left="1080" w:hanging="1080"/>
    </w:pPr>
  </w:style>
  <w:style w:type="character" w:styleId="Hyperlink">
    <w:name w:val="Hyperlink"/>
    <w:uiPriority w:val="99"/>
    <w:rsid w:val="00752228"/>
    <w:rPr>
      <w:color w:val="0000FF"/>
      <w:u w:val="single"/>
    </w:rPr>
  </w:style>
  <w:style w:type="paragraph" w:customStyle="1" w:styleId="C-Heading1nopagebreak">
    <w:name w:val="C-Heading 1 (no page break)"/>
    <w:basedOn w:val="C-Heading1"/>
    <w:next w:val="C-BodyText"/>
    <w:rsid w:val="00752228"/>
    <w:pPr>
      <w:pageBreakBefore w:val="0"/>
    </w:pPr>
  </w:style>
  <w:style w:type="paragraph" w:customStyle="1" w:styleId="C-Heading1nopagebreak0">
    <w:name w:val="C-Heading 1 (no page break"/>
    <w:aliases w:val="non-numbered)"/>
    <w:basedOn w:val="C-Heading1non-numbered"/>
    <w:next w:val="C-BodyText"/>
    <w:rsid w:val="00752228"/>
    <w:pPr>
      <w:pageBreakBefore w:val="0"/>
    </w:pPr>
  </w:style>
  <w:style w:type="character" w:styleId="HTMLKeyboard">
    <w:name w:val="HTML Keyboard"/>
    <w:rsid w:val="00752228"/>
    <w:rPr>
      <w:rFonts w:ascii="Courier New" w:hAnsi="Courier New"/>
      <w:sz w:val="20"/>
      <w:szCs w:val="20"/>
    </w:rPr>
  </w:style>
  <w:style w:type="paragraph" w:customStyle="1" w:styleId="C-AlphabeticList">
    <w:name w:val="C-Alphabetic List"/>
    <w:rsid w:val="00752228"/>
    <w:pPr>
      <w:numPr>
        <w:ilvl w:val="1"/>
        <w:numId w:val="11"/>
      </w:numPr>
    </w:pPr>
    <w:rPr>
      <w:rFonts w:ascii="Times New Roman" w:hAnsi="Times New Roman"/>
      <w:sz w:val="24"/>
      <w:lang w:val="en-US" w:eastAsia="en-US"/>
    </w:rPr>
  </w:style>
  <w:style w:type="paragraph" w:customStyle="1" w:styleId="C-Appendix">
    <w:name w:val="C-Appendix"/>
    <w:next w:val="C-BodyText"/>
    <w:rsid w:val="00752228"/>
    <w:pPr>
      <w:keepNext/>
      <w:pageBreakBefore/>
      <w:numPr>
        <w:numId w:val="2"/>
      </w:numPr>
      <w:spacing w:before="480" w:after="120"/>
      <w:outlineLvl w:val="0"/>
    </w:pPr>
    <w:rPr>
      <w:rFonts w:ascii="Times New Roman" w:hAnsi="Times New Roman"/>
      <w:b/>
      <w:caps/>
      <w:sz w:val="28"/>
      <w:lang w:val="en-US" w:eastAsia="en-US"/>
    </w:rPr>
  </w:style>
  <w:style w:type="paragraph" w:customStyle="1" w:styleId="C-PLR-NumberedList">
    <w:name w:val="C-PLR-Numbered List"/>
    <w:rsid w:val="00752228"/>
    <w:pPr>
      <w:numPr>
        <w:numId w:val="7"/>
      </w:numPr>
    </w:pPr>
    <w:rPr>
      <w:rFonts w:ascii="Times New Roman" w:hAnsi="Times New Roman"/>
      <w:sz w:val="16"/>
      <w:lang w:val="en-US" w:eastAsia="en-US"/>
    </w:rPr>
  </w:style>
  <w:style w:type="paragraph" w:customStyle="1" w:styleId="C-PLR-BodyText">
    <w:name w:val="C-PLR-Body Text"/>
    <w:rsid w:val="00752228"/>
    <w:rPr>
      <w:rFonts w:ascii="Times New Roman" w:hAnsi="Times New Roman"/>
      <w:sz w:val="16"/>
      <w:lang w:val="en-US" w:eastAsia="en-US"/>
    </w:rPr>
  </w:style>
  <w:style w:type="paragraph" w:customStyle="1" w:styleId="C-PLR-BodyTextIndent">
    <w:name w:val="C-PLR-Body Text Indent"/>
    <w:rsid w:val="00752228"/>
    <w:pPr>
      <w:ind w:left="360"/>
    </w:pPr>
    <w:rPr>
      <w:rFonts w:ascii="Times New Roman" w:hAnsi="Times New Roman"/>
      <w:sz w:val="16"/>
      <w:lang w:val="en-US" w:eastAsia="en-US"/>
    </w:rPr>
  </w:style>
  <w:style w:type="paragraph" w:customStyle="1" w:styleId="C-PLR-Bullet">
    <w:name w:val="C-PLR-Bullet"/>
    <w:rsid w:val="00752228"/>
    <w:pPr>
      <w:numPr>
        <w:numId w:val="3"/>
      </w:numPr>
    </w:pPr>
    <w:rPr>
      <w:rFonts w:ascii="Times New Roman" w:hAnsi="Times New Roman"/>
      <w:sz w:val="16"/>
      <w:lang w:val="en-US" w:eastAsia="en-US"/>
    </w:rPr>
  </w:style>
  <w:style w:type="paragraph" w:customStyle="1" w:styleId="C-PLR-BulletIndented">
    <w:name w:val="C-PLR-Bullet Indented"/>
    <w:rsid w:val="00752228"/>
    <w:pPr>
      <w:numPr>
        <w:numId w:val="4"/>
      </w:numPr>
    </w:pPr>
    <w:rPr>
      <w:rFonts w:ascii="Times New Roman" w:hAnsi="Times New Roman"/>
      <w:sz w:val="16"/>
      <w:lang w:val="en-US" w:eastAsia="en-US"/>
    </w:rPr>
  </w:style>
  <w:style w:type="paragraph" w:customStyle="1" w:styleId="C-PLR-Caption">
    <w:name w:val="C-PLR-Caption"/>
    <w:next w:val="C-PLR-BodyText"/>
    <w:rsid w:val="00752228"/>
    <w:pPr>
      <w:keepNext/>
      <w:ind w:left="360" w:hanging="360"/>
    </w:pPr>
    <w:rPr>
      <w:rFonts w:ascii="Times New Roman" w:hAnsi="Times New Roman"/>
      <w:b/>
      <w:sz w:val="16"/>
      <w:lang w:val="en-US" w:eastAsia="en-US"/>
    </w:rPr>
  </w:style>
  <w:style w:type="paragraph" w:customStyle="1" w:styleId="C-PLR-Heading1nopagebreaknon-numbered">
    <w:name w:val="C-PLR-Heading 1 (no page break.non-numbered)"/>
    <w:basedOn w:val="C-PLR-Heading1non-numbered"/>
    <w:next w:val="C-PLR-BodyText"/>
    <w:rsid w:val="00752228"/>
  </w:style>
  <w:style w:type="paragraph" w:customStyle="1" w:styleId="C-PLR-Heading2non-numbered">
    <w:name w:val="C-PLR-Heading 2 (non-numbered)"/>
    <w:basedOn w:val="C-PLR-Heading2"/>
    <w:next w:val="C-PLR-BodyText"/>
    <w:rsid w:val="00752228"/>
    <w:pPr>
      <w:numPr>
        <w:ilvl w:val="0"/>
        <w:numId w:val="0"/>
      </w:numPr>
      <w:ind w:left="720" w:hanging="720"/>
    </w:pPr>
  </w:style>
  <w:style w:type="paragraph" w:customStyle="1" w:styleId="C-PLR-TableHeader">
    <w:name w:val="C-PLR-Table Header"/>
    <w:next w:val="C-PLR-TableText"/>
    <w:rsid w:val="00752228"/>
    <w:pPr>
      <w:keepNext/>
    </w:pPr>
    <w:rPr>
      <w:rFonts w:ascii="Times New Roman" w:hAnsi="Times New Roman"/>
      <w:b/>
      <w:sz w:val="16"/>
      <w:lang w:val="en-US" w:eastAsia="en-US"/>
    </w:rPr>
  </w:style>
  <w:style w:type="paragraph" w:customStyle="1" w:styleId="C-PLR-TableText">
    <w:name w:val="C-PLR-Table Text"/>
    <w:rsid w:val="00752228"/>
    <w:rPr>
      <w:rFonts w:ascii="Times New Roman" w:hAnsi="Times New Roman"/>
      <w:sz w:val="16"/>
      <w:lang w:val="en-US" w:eastAsia="en-US"/>
    </w:rPr>
  </w:style>
  <w:style w:type="paragraph" w:customStyle="1" w:styleId="C-PLR-Title">
    <w:name w:val="C-PLR-Title"/>
    <w:next w:val="C-PLR-BodyText"/>
    <w:rsid w:val="00752228"/>
    <w:pPr>
      <w:jc w:val="center"/>
    </w:pPr>
    <w:rPr>
      <w:rFonts w:ascii="Times New Roman" w:hAnsi="Times New Roman"/>
      <w:b/>
      <w:caps/>
      <w:sz w:val="16"/>
      <w:lang w:val="en-US" w:eastAsia="en-US"/>
    </w:rPr>
  </w:style>
  <w:style w:type="paragraph" w:customStyle="1" w:styleId="C-PLR-TOCTitle">
    <w:name w:val="C-PLR-TOC Title"/>
    <w:next w:val="C-PLR-BodyText"/>
    <w:rsid w:val="00752228"/>
    <w:pPr>
      <w:tabs>
        <w:tab w:val="center" w:leader="underscore" w:pos="2520"/>
        <w:tab w:val="right" w:leader="underscore" w:pos="5040"/>
      </w:tabs>
      <w:jc w:val="center"/>
    </w:pPr>
    <w:rPr>
      <w:rFonts w:ascii="Times New Roman" w:hAnsi="Times New Roman"/>
      <w:b/>
      <w:caps/>
      <w:sz w:val="16"/>
      <w:lang w:val="en-US" w:eastAsia="en-US"/>
    </w:rPr>
  </w:style>
  <w:style w:type="paragraph" w:customStyle="1" w:styleId="C-PLR-TOC1">
    <w:name w:val="C-PLR-TOC 1"/>
    <w:next w:val="C-PLR-BodyText"/>
    <w:rsid w:val="00752228"/>
    <w:pPr>
      <w:ind w:left="432" w:hanging="432"/>
    </w:pPr>
    <w:rPr>
      <w:rFonts w:ascii="Times New Roman Bold" w:hAnsi="Times New Roman Bold"/>
      <w:b/>
      <w:caps/>
      <w:color w:val="0000FF"/>
      <w:sz w:val="16"/>
      <w:lang w:val="en-US" w:eastAsia="en-US"/>
    </w:rPr>
  </w:style>
  <w:style w:type="paragraph" w:customStyle="1" w:styleId="C-PLR-TOC2">
    <w:name w:val="C-PLR-TOC 2"/>
    <w:basedOn w:val="C-PLR-TOC1"/>
    <w:next w:val="C-PLR-BodyText"/>
    <w:rsid w:val="00752228"/>
    <w:pPr>
      <w:ind w:left="864"/>
    </w:pPr>
    <w:rPr>
      <w:rFonts w:ascii="Times New Roman" w:hAnsi="Times New Roman"/>
      <w:b w:val="0"/>
      <w:caps w:val="0"/>
    </w:rPr>
  </w:style>
  <w:style w:type="paragraph" w:customStyle="1" w:styleId="C-PLR-TableFootnote">
    <w:name w:val="C-PLR-Table Footnote"/>
    <w:next w:val="C-PLR-BodyText"/>
    <w:rsid w:val="00752228"/>
    <w:pPr>
      <w:tabs>
        <w:tab w:val="left" w:pos="432"/>
      </w:tabs>
      <w:ind w:left="432" w:hanging="432"/>
    </w:pPr>
    <w:rPr>
      <w:rFonts w:ascii="Times New Roman" w:hAnsi="Times New Roman"/>
      <w:sz w:val="16"/>
      <w:lang w:val="en-US" w:eastAsia="en-US"/>
    </w:rPr>
  </w:style>
  <w:style w:type="character" w:customStyle="1" w:styleId="C-Hyperlink">
    <w:name w:val="C-Hyperlink"/>
    <w:rsid w:val="00752228"/>
    <w:rPr>
      <w:color w:val="0000FF"/>
    </w:rPr>
  </w:style>
  <w:style w:type="table" w:customStyle="1" w:styleId="C-Table">
    <w:name w:val="C-Table"/>
    <w:basedOn w:val="TableNormal"/>
    <w:rsid w:val="00752228"/>
    <w:rPr>
      <w:rFonts w:ascii="Times New Roman" w:hAnsi="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752228"/>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PLR-AlphabeticList">
    <w:name w:val="C-PLR-Alphabetic List"/>
    <w:rsid w:val="00752228"/>
    <w:pPr>
      <w:numPr>
        <w:numId w:val="6"/>
      </w:numPr>
    </w:pPr>
    <w:rPr>
      <w:rFonts w:ascii="Times New Roman" w:hAnsi="Times New Roman" w:cs="Arial"/>
      <w:sz w:val="16"/>
      <w:lang w:val="en-US" w:eastAsia="en-US"/>
    </w:rPr>
  </w:style>
  <w:style w:type="paragraph" w:customStyle="1" w:styleId="C-PLR-CaptionContinued">
    <w:name w:val="C-PLR-Caption Continued"/>
    <w:next w:val="C-PLR-BodyText"/>
    <w:rsid w:val="00752228"/>
    <w:pPr>
      <w:keepNext/>
      <w:ind w:left="360" w:hanging="360"/>
    </w:pPr>
    <w:rPr>
      <w:rFonts w:ascii="Times New Roman Bold" w:hAnsi="Times New Roman Bold" w:cs="Arial"/>
      <w:b/>
      <w:sz w:val="16"/>
      <w:lang w:val="en-US" w:eastAsia="en-US"/>
    </w:rPr>
  </w:style>
  <w:style w:type="paragraph" w:customStyle="1" w:styleId="C-PLR-Heading1">
    <w:name w:val="C-PLR-Heading 1"/>
    <w:next w:val="C-PLR-BodyText"/>
    <w:rsid w:val="00752228"/>
    <w:pPr>
      <w:keepNext/>
      <w:numPr>
        <w:numId w:val="5"/>
      </w:numPr>
      <w:tabs>
        <w:tab w:val="clear" w:pos="1080"/>
        <w:tab w:val="left" w:pos="720"/>
      </w:tabs>
      <w:ind w:left="720" w:hanging="720"/>
      <w:outlineLvl w:val="0"/>
    </w:pPr>
    <w:rPr>
      <w:rFonts w:ascii="Times New Roman Bold" w:hAnsi="Times New Roman Bold"/>
      <w:caps/>
      <w:sz w:val="16"/>
      <w:lang w:val="en-US" w:eastAsia="en-US"/>
    </w:rPr>
  </w:style>
  <w:style w:type="paragraph" w:customStyle="1" w:styleId="C-PLR-Heading1nopagebreak">
    <w:name w:val="C-PLR-Heading 1 (no page break)"/>
    <w:basedOn w:val="C-PLR-Heading1"/>
    <w:next w:val="C-PLR-BodyText"/>
    <w:rsid w:val="00752228"/>
  </w:style>
  <w:style w:type="paragraph" w:customStyle="1" w:styleId="C-PLR-Heading2">
    <w:name w:val="C-PLR-Heading 2"/>
    <w:next w:val="C-PLR-BodyText"/>
    <w:rsid w:val="00752228"/>
    <w:pPr>
      <w:numPr>
        <w:ilvl w:val="1"/>
        <w:numId w:val="5"/>
      </w:numPr>
      <w:tabs>
        <w:tab w:val="clear" w:pos="1080"/>
        <w:tab w:val="left" w:pos="720"/>
      </w:tabs>
      <w:ind w:left="720" w:hanging="720"/>
      <w:outlineLvl w:val="1"/>
    </w:pPr>
    <w:rPr>
      <w:rFonts w:ascii="Times New Roman Bold" w:hAnsi="Times New Roman Bold" w:cs="Arial"/>
      <w:sz w:val="16"/>
      <w:lang w:val="en-US" w:eastAsia="en-US"/>
    </w:rPr>
  </w:style>
  <w:style w:type="paragraph" w:customStyle="1" w:styleId="C-PLR-Heading3">
    <w:name w:val="C-PLR-Heading 3"/>
    <w:next w:val="C-PLR-BodyText"/>
    <w:rsid w:val="00752228"/>
    <w:pPr>
      <w:numPr>
        <w:ilvl w:val="2"/>
        <w:numId w:val="5"/>
      </w:numPr>
      <w:tabs>
        <w:tab w:val="clear" w:pos="1080"/>
        <w:tab w:val="left" w:pos="720"/>
      </w:tabs>
      <w:ind w:left="720" w:hanging="720"/>
      <w:outlineLvl w:val="2"/>
    </w:pPr>
    <w:rPr>
      <w:rFonts w:ascii="Times New Roman Bold" w:hAnsi="Times New Roman Bold" w:cs="Arial"/>
      <w:sz w:val="16"/>
      <w:lang w:val="en-US" w:eastAsia="en-US"/>
    </w:rPr>
  </w:style>
  <w:style w:type="paragraph" w:customStyle="1" w:styleId="C-PLR-Heading3non-numbered">
    <w:name w:val="C-PLR-Heading 3 (non-numbered)"/>
    <w:basedOn w:val="C-PLR-Heading3"/>
    <w:next w:val="C-PLR-BodyText"/>
    <w:rsid w:val="00752228"/>
    <w:pPr>
      <w:numPr>
        <w:ilvl w:val="0"/>
        <w:numId w:val="0"/>
      </w:numPr>
      <w:ind w:left="720" w:hanging="720"/>
    </w:pPr>
  </w:style>
  <w:style w:type="paragraph" w:customStyle="1" w:styleId="C-PLR-Heading4">
    <w:name w:val="C-PLR-Heading 4"/>
    <w:next w:val="C-PLR-BodyText"/>
    <w:rsid w:val="00752228"/>
    <w:pPr>
      <w:numPr>
        <w:ilvl w:val="3"/>
        <w:numId w:val="5"/>
      </w:numPr>
      <w:tabs>
        <w:tab w:val="clear" w:pos="1080"/>
        <w:tab w:val="left" w:pos="720"/>
      </w:tabs>
      <w:ind w:left="720" w:hanging="720"/>
      <w:outlineLvl w:val="3"/>
    </w:pPr>
    <w:rPr>
      <w:rFonts w:ascii="Times New Roman Bold" w:hAnsi="Times New Roman Bold" w:cs="Arial"/>
      <w:sz w:val="16"/>
      <w:lang w:val="en-US" w:eastAsia="en-US"/>
    </w:rPr>
  </w:style>
  <w:style w:type="paragraph" w:customStyle="1" w:styleId="C-PLR-Heading4non-numbered">
    <w:name w:val="C-PLR-Heading 4 (non-numbered)"/>
    <w:basedOn w:val="C-PLR-Heading4"/>
    <w:next w:val="C-PLR-BodyText"/>
    <w:rsid w:val="00752228"/>
    <w:pPr>
      <w:numPr>
        <w:ilvl w:val="0"/>
        <w:numId w:val="0"/>
      </w:numPr>
      <w:ind w:left="720" w:hanging="720"/>
    </w:pPr>
  </w:style>
  <w:style w:type="paragraph" w:customStyle="1" w:styleId="C-PLR-Heading5">
    <w:name w:val="C-PLR-Heading 5"/>
    <w:next w:val="C-PLR-BodyText"/>
    <w:rsid w:val="00752228"/>
    <w:pPr>
      <w:numPr>
        <w:ilvl w:val="4"/>
        <w:numId w:val="5"/>
      </w:numPr>
      <w:tabs>
        <w:tab w:val="clear" w:pos="1080"/>
        <w:tab w:val="left" w:pos="720"/>
      </w:tabs>
      <w:ind w:left="720" w:hanging="720"/>
      <w:outlineLvl w:val="4"/>
    </w:pPr>
    <w:rPr>
      <w:rFonts w:ascii="Times New Roman Bold" w:hAnsi="Times New Roman Bold" w:cs="Arial"/>
      <w:sz w:val="16"/>
      <w:lang w:val="en-US" w:eastAsia="en-US"/>
    </w:rPr>
  </w:style>
  <w:style w:type="paragraph" w:customStyle="1" w:styleId="C-PLR-Heading5non-numbered">
    <w:name w:val="C-PLR-Heading 5 (non-numbered)"/>
    <w:basedOn w:val="C-PLR-Heading5"/>
    <w:next w:val="C-PLR-BodyText"/>
    <w:rsid w:val="00752228"/>
    <w:pPr>
      <w:numPr>
        <w:ilvl w:val="0"/>
        <w:numId w:val="0"/>
      </w:numPr>
      <w:ind w:left="720" w:hanging="720"/>
    </w:pPr>
  </w:style>
  <w:style w:type="paragraph" w:customStyle="1" w:styleId="C-PLR-Heading6">
    <w:name w:val="C-PLR-Heading 6"/>
    <w:next w:val="C-PLR-BodyText"/>
    <w:rsid w:val="00752228"/>
    <w:pPr>
      <w:numPr>
        <w:ilvl w:val="5"/>
        <w:numId w:val="5"/>
      </w:numPr>
      <w:tabs>
        <w:tab w:val="clear" w:pos="1080"/>
        <w:tab w:val="left" w:pos="864"/>
      </w:tabs>
      <w:ind w:left="864" w:hanging="864"/>
      <w:outlineLvl w:val="5"/>
    </w:pPr>
    <w:rPr>
      <w:rFonts w:ascii="Times New Roman Bold" w:hAnsi="Times New Roman Bold" w:cs="Arial"/>
      <w:sz w:val="16"/>
      <w:lang w:val="en-US" w:eastAsia="en-US"/>
    </w:rPr>
  </w:style>
  <w:style w:type="paragraph" w:customStyle="1" w:styleId="C-PLR-Heading6non-numbered">
    <w:name w:val="C-PLR-Heading 6 (non-numbered)"/>
    <w:basedOn w:val="C-PLR-Heading6"/>
    <w:next w:val="C-PLR-BodyText"/>
    <w:rsid w:val="00752228"/>
    <w:pPr>
      <w:numPr>
        <w:ilvl w:val="0"/>
        <w:numId w:val="0"/>
      </w:numPr>
      <w:ind w:left="864" w:hanging="864"/>
    </w:pPr>
  </w:style>
  <w:style w:type="paragraph" w:customStyle="1" w:styleId="C-PLR-InstructionText">
    <w:name w:val="C-PLR-Instruction Text"/>
    <w:rsid w:val="00752228"/>
    <w:rPr>
      <w:rFonts w:ascii="Times New Roman Bold" w:hAnsi="Times New Roman Bold" w:cs="Arial"/>
      <w:vanish/>
      <w:color w:val="FF0000"/>
      <w:sz w:val="16"/>
      <w:lang w:val="en-US" w:eastAsia="en-US"/>
    </w:rPr>
  </w:style>
  <w:style w:type="paragraph" w:customStyle="1" w:styleId="C-PLR-TOC3">
    <w:name w:val="C-PLR-TOC 3"/>
    <w:basedOn w:val="C-PLR-TOC1"/>
    <w:next w:val="C-PLR-BodyText"/>
    <w:rsid w:val="00752228"/>
    <w:pPr>
      <w:tabs>
        <w:tab w:val="left" w:pos="432"/>
      </w:tabs>
      <w:ind w:left="864"/>
    </w:pPr>
    <w:rPr>
      <w:rFonts w:ascii="Times New Roman" w:hAnsi="Times New Roman"/>
      <w:b w:val="0"/>
      <w:caps w:val="0"/>
    </w:rPr>
  </w:style>
  <w:style w:type="paragraph" w:customStyle="1" w:styleId="C-PLR-TOC4">
    <w:name w:val="C-PLR-TOC 4"/>
    <w:basedOn w:val="C-PLR-TOC1"/>
    <w:next w:val="C-PLR-BodyText"/>
    <w:rsid w:val="00752228"/>
    <w:pPr>
      <w:tabs>
        <w:tab w:val="left" w:pos="432"/>
      </w:tabs>
      <w:ind w:left="864"/>
    </w:pPr>
    <w:rPr>
      <w:rFonts w:ascii="Times New Roman" w:hAnsi="Times New Roman"/>
      <w:b w:val="0"/>
      <w:caps w:val="0"/>
    </w:rPr>
  </w:style>
  <w:style w:type="paragraph" w:styleId="BodyTextFirstIndent2">
    <w:name w:val="Body Text First Indent 2"/>
    <w:basedOn w:val="BodyTextIndent"/>
    <w:link w:val="BodyTextFirstIndent2Char"/>
    <w:rsid w:val="00752228"/>
    <w:pPr>
      <w:ind w:firstLine="210"/>
    </w:pPr>
  </w:style>
  <w:style w:type="character" w:customStyle="1" w:styleId="BodyTextIndentChar">
    <w:name w:val="Body Text Indent Char"/>
    <w:basedOn w:val="DefaultParagraphFont"/>
    <w:link w:val="BodyTextIndent"/>
    <w:rsid w:val="00191FA0"/>
    <w:rPr>
      <w:rFonts w:ascii="Times New Roman" w:hAnsi="Times New Roman" w:cs="Arial"/>
      <w:sz w:val="24"/>
      <w:lang w:val="en-US" w:eastAsia="en-US"/>
    </w:rPr>
  </w:style>
  <w:style w:type="character" w:customStyle="1" w:styleId="BodyTextFirstIndent2Char">
    <w:name w:val="Body Text First Indent 2 Char"/>
    <w:basedOn w:val="BodyTextIndentChar"/>
    <w:link w:val="BodyTextFirstIndent2"/>
    <w:rsid w:val="00191FA0"/>
    <w:rPr>
      <w:rFonts w:ascii="Times New Roman" w:hAnsi="Times New Roman" w:cs="Arial"/>
      <w:sz w:val="24"/>
      <w:lang w:val="en-US" w:eastAsia="en-US"/>
    </w:rPr>
  </w:style>
  <w:style w:type="paragraph" w:customStyle="1" w:styleId="C-PLR-Heading1non-numbered">
    <w:name w:val="C-PLR-Heading 1 (non-numbered)"/>
    <w:basedOn w:val="C-PLR-Heading1"/>
    <w:next w:val="C-PLR-BodyText"/>
    <w:rsid w:val="00752228"/>
    <w:pPr>
      <w:numPr>
        <w:numId w:val="0"/>
      </w:numPr>
      <w:ind w:left="720" w:hanging="720"/>
    </w:pPr>
  </w:style>
  <w:style w:type="paragraph" w:customStyle="1" w:styleId="C-AppendixNumbered">
    <w:name w:val="C-Appendix (Numbered)"/>
    <w:basedOn w:val="C-Appendix"/>
    <w:next w:val="C-BodyText"/>
    <w:rsid w:val="00752228"/>
    <w:pPr>
      <w:numPr>
        <w:numId w:val="8"/>
      </w:numPr>
      <w:tabs>
        <w:tab w:val="left" w:pos="1987"/>
      </w:tabs>
    </w:pPr>
  </w:style>
  <w:style w:type="numbering" w:customStyle="1" w:styleId="SPNumberedTabs">
    <w:name w:val="SP Numbered Tabs"/>
    <w:rsid w:val="00752228"/>
    <w:pPr>
      <w:numPr>
        <w:numId w:val="9"/>
      </w:numPr>
    </w:pPr>
  </w:style>
  <w:style w:type="numbering" w:customStyle="1" w:styleId="SPBulletTabs">
    <w:name w:val="SP Bullet Tabs"/>
    <w:rsid w:val="00752228"/>
    <w:pPr>
      <w:numPr>
        <w:numId w:val="10"/>
      </w:numPr>
    </w:pPr>
  </w:style>
  <w:style w:type="paragraph" w:customStyle="1" w:styleId="C-Alphabetic">
    <w:name w:val="C-Alphabetic"/>
    <w:basedOn w:val="C-Heading1"/>
    <w:next w:val="C-BodyText"/>
    <w:link w:val="C-AlphabeticChar"/>
    <w:qFormat/>
    <w:rsid w:val="00752228"/>
    <w:pPr>
      <w:numPr>
        <w:numId w:val="12"/>
      </w:numPr>
      <w:tabs>
        <w:tab w:val="left" w:pos="1080"/>
      </w:tabs>
      <w:ind w:left="1080" w:hanging="1080"/>
    </w:pPr>
  </w:style>
  <w:style w:type="paragraph" w:customStyle="1" w:styleId="C-Footnote">
    <w:name w:val="C-Footnote"/>
    <w:basedOn w:val="C-TableFootnote"/>
    <w:qFormat/>
    <w:rsid w:val="00752228"/>
    <w:pPr>
      <w:ind w:left="0" w:firstLine="0"/>
    </w:pPr>
  </w:style>
  <w:style w:type="character" w:customStyle="1" w:styleId="C-Heading1Char">
    <w:name w:val="C-Heading 1 Char"/>
    <w:link w:val="C-Heading1"/>
    <w:rsid w:val="00752228"/>
    <w:rPr>
      <w:rFonts w:ascii="Times New Roman" w:hAnsi="Times New Roman"/>
      <w:b/>
      <w:caps/>
      <w:sz w:val="28"/>
      <w:lang w:val="en-US" w:eastAsia="en-US"/>
    </w:rPr>
  </w:style>
  <w:style w:type="character" w:customStyle="1" w:styleId="C-AlphabeticChar">
    <w:name w:val="C-Alphabetic Char"/>
    <w:basedOn w:val="C-Heading1Char"/>
    <w:link w:val="C-Alphabetic"/>
    <w:rsid w:val="00752228"/>
    <w:rPr>
      <w:rFonts w:ascii="Times New Roman" w:hAnsi="Times New Roman"/>
      <w:b/>
      <w:caps/>
      <w:sz w:val="28"/>
      <w:lang w:val="en-US" w:eastAsia="en-US"/>
    </w:rPr>
  </w:style>
  <w:style w:type="paragraph" w:styleId="ListParagraph">
    <w:name w:val="List Paragraph"/>
    <w:basedOn w:val="Normal"/>
    <w:uiPriority w:val="34"/>
    <w:qFormat/>
    <w:rsid w:val="00E93B9F"/>
    <w:pPr>
      <w:ind w:left="720"/>
      <w:contextualSpacing/>
    </w:pPr>
  </w:style>
  <w:style w:type="character" w:customStyle="1" w:styleId="apple-converted-space">
    <w:name w:val="apple-converted-space"/>
    <w:basedOn w:val="DefaultParagraphFont"/>
    <w:rsid w:val="002E4D1F"/>
  </w:style>
  <w:style w:type="paragraph" w:styleId="NormalWeb">
    <w:name w:val="Normal (Web)"/>
    <w:basedOn w:val="Normal"/>
    <w:uiPriority w:val="99"/>
    <w:semiHidden/>
    <w:unhideWhenUsed/>
    <w:rsid w:val="002E4D1F"/>
    <w:pPr>
      <w:spacing w:before="100" w:beforeAutospacing="1" w:after="100" w:afterAutospacing="1"/>
    </w:pPr>
    <w:rPr>
      <w:rFonts w:cs="Times New Roman"/>
      <w:szCs w:val="24"/>
      <w:lang w:val="en-AU" w:eastAsia="zh-CN"/>
    </w:rPr>
  </w:style>
  <w:style w:type="character" w:styleId="Strong">
    <w:name w:val="Strong"/>
    <w:basedOn w:val="DefaultParagraphFont"/>
    <w:uiPriority w:val="22"/>
    <w:qFormat/>
    <w:rsid w:val="002E4D1F"/>
    <w:rPr>
      <w:b/>
      <w:bCs/>
    </w:rPr>
  </w:style>
  <w:style w:type="paragraph" w:styleId="Date">
    <w:name w:val="Date"/>
    <w:basedOn w:val="Normal"/>
    <w:next w:val="Normal"/>
    <w:link w:val="DateChar"/>
    <w:uiPriority w:val="99"/>
    <w:semiHidden/>
    <w:unhideWhenUsed/>
    <w:rsid w:val="0045330A"/>
  </w:style>
  <w:style w:type="character" w:customStyle="1" w:styleId="DateChar">
    <w:name w:val="Date Char"/>
    <w:basedOn w:val="DefaultParagraphFont"/>
    <w:link w:val="Date"/>
    <w:uiPriority w:val="99"/>
    <w:semiHidden/>
    <w:rsid w:val="0045330A"/>
    <w:rPr>
      <w:rFonts w:ascii="Times New Roman" w:hAnsi="Times New Roman" w:cs="Arial"/>
      <w:sz w:val="24"/>
      <w:lang w:val="en-US" w:eastAsia="en-US"/>
    </w:rPr>
  </w:style>
  <w:style w:type="character" w:styleId="FootnoteReference">
    <w:name w:val="footnote reference"/>
    <w:basedOn w:val="DefaultParagraphFont"/>
    <w:uiPriority w:val="99"/>
    <w:semiHidden/>
    <w:unhideWhenUsed/>
    <w:rsid w:val="0058616F"/>
    <w:rPr>
      <w:vertAlign w:val="superscript"/>
    </w:rPr>
  </w:style>
  <w:style w:type="paragraph" w:customStyle="1" w:styleId="Title1">
    <w:name w:val="Title1"/>
    <w:basedOn w:val="Normal"/>
    <w:rsid w:val="00726431"/>
    <w:pPr>
      <w:spacing w:before="100" w:beforeAutospacing="1" w:after="100" w:afterAutospacing="1"/>
    </w:pPr>
    <w:rPr>
      <w:rFonts w:cs="Times New Roman"/>
      <w:szCs w:val="24"/>
      <w:lang w:val="en-AU" w:eastAsia="en-AU"/>
    </w:rPr>
  </w:style>
  <w:style w:type="paragraph" w:customStyle="1" w:styleId="desc">
    <w:name w:val="desc"/>
    <w:basedOn w:val="Normal"/>
    <w:rsid w:val="00726431"/>
    <w:pPr>
      <w:spacing w:before="100" w:beforeAutospacing="1" w:after="100" w:afterAutospacing="1"/>
    </w:pPr>
    <w:rPr>
      <w:rFonts w:cs="Times New Roman"/>
      <w:szCs w:val="24"/>
      <w:lang w:val="en-AU" w:eastAsia="en-AU"/>
    </w:rPr>
  </w:style>
  <w:style w:type="paragraph" w:customStyle="1" w:styleId="details">
    <w:name w:val="details"/>
    <w:basedOn w:val="Normal"/>
    <w:rsid w:val="00726431"/>
    <w:pPr>
      <w:spacing w:before="100" w:beforeAutospacing="1" w:after="100" w:afterAutospacing="1"/>
    </w:pPr>
    <w:rPr>
      <w:rFonts w:cs="Times New Roman"/>
      <w:szCs w:val="24"/>
      <w:lang w:val="en-AU" w:eastAsia="en-AU"/>
    </w:rPr>
  </w:style>
  <w:style w:type="character" w:customStyle="1" w:styleId="jrnl">
    <w:name w:val="jrnl"/>
    <w:basedOn w:val="DefaultParagraphFont"/>
    <w:rsid w:val="00726431"/>
  </w:style>
  <w:style w:type="character" w:styleId="FollowedHyperlink">
    <w:name w:val="FollowedHyperlink"/>
    <w:basedOn w:val="DefaultParagraphFont"/>
    <w:uiPriority w:val="99"/>
    <w:semiHidden/>
    <w:unhideWhenUsed/>
    <w:rsid w:val="00FC12A7"/>
    <w:rPr>
      <w:color w:val="800080" w:themeColor="followedHyperlink"/>
      <w:u w:val="single"/>
    </w:rPr>
  </w:style>
  <w:style w:type="paragraph" w:customStyle="1" w:styleId="Title2">
    <w:name w:val="Title2"/>
    <w:basedOn w:val="Normal"/>
    <w:rsid w:val="00BD14AC"/>
    <w:pPr>
      <w:spacing w:before="100" w:beforeAutospacing="1" w:after="100" w:afterAutospacing="1"/>
    </w:pPr>
    <w:rPr>
      <w:rFonts w:cs="Times New Roman"/>
      <w:szCs w:val="24"/>
      <w:lang w:val="en-AU" w:eastAsia="en-AU"/>
    </w:rPr>
  </w:style>
  <w:style w:type="character" w:customStyle="1" w:styleId="UnresolvedMention">
    <w:name w:val="Unresolved Mention"/>
    <w:basedOn w:val="DefaultParagraphFont"/>
    <w:uiPriority w:val="99"/>
    <w:semiHidden/>
    <w:unhideWhenUsed/>
    <w:rsid w:val="007F4831"/>
    <w:rPr>
      <w:color w:val="808080"/>
      <w:shd w:val="clear" w:color="auto" w:fill="E6E6E6"/>
    </w:rPr>
  </w:style>
  <w:style w:type="table" w:styleId="TableGrid">
    <w:name w:val="Table Grid"/>
    <w:basedOn w:val="TableNormal"/>
    <w:uiPriority w:val="59"/>
    <w:rsid w:val="00C552C9"/>
    <w:rPr>
      <w:rFonts w:asciiTheme="minorHAnsi" w:eastAsia="Cambr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table of figures"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HTML Keyboar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228"/>
    <w:rPr>
      <w:rFonts w:ascii="Times New Roman" w:hAnsi="Times New Roman" w:cs="Arial"/>
      <w:sz w:val="24"/>
      <w:lang w:val="en-US" w:eastAsia="en-US"/>
    </w:rPr>
  </w:style>
  <w:style w:type="paragraph" w:styleId="Heading1">
    <w:name w:val="heading 1"/>
    <w:basedOn w:val="Normal"/>
    <w:next w:val="Normal"/>
    <w:qFormat/>
    <w:rsid w:val="00752228"/>
    <w:pPr>
      <w:keepNext/>
      <w:tabs>
        <w:tab w:val="num" w:pos="360"/>
      </w:tabs>
      <w:spacing w:before="480" w:after="240"/>
      <w:outlineLvl w:val="0"/>
    </w:pPr>
    <w:rPr>
      <w:b/>
      <w:bCs/>
      <w:caps/>
      <w:kern w:val="32"/>
      <w:sz w:val="28"/>
      <w:szCs w:val="32"/>
    </w:rPr>
  </w:style>
  <w:style w:type="paragraph" w:styleId="Heading2">
    <w:name w:val="heading 2"/>
    <w:basedOn w:val="Normal"/>
    <w:next w:val="Normal"/>
    <w:qFormat/>
    <w:rsid w:val="00752228"/>
    <w:pPr>
      <w:keepNext/>
      <w:tabs>
        <w:tab w:val="num" w:pos="360"/>
      </w:tabs>
      <w:spacing w:before="120" w:after="120"/>
      <w:outlineLvl w:val="1"/>
    </w:pPr>
    <w:rPr>
      <w:b/>
      <w:bCs/>
      <w:sz w:val="28"/>
      <w:szCs w:val="28"/>
    </w:rPr>
  </w:style>
  <w:style w:type="paragraph" w:styleId="Heading3">
    <w:name w:val="heading 3"/>
    <w:basedOn w:val="Normal"/>
    <w:next w:val="Normal"/>
    <w:qFormat/>
    <w:rsid w:val="00752228"/>
    <w:pPr>
      <w:keepNext/>
      <w:tabs>
        <w:tab w:val="num" w:pos="360"/>
      </w:tabs>
      <w:spacing w:after="120"/>
      <w:outlineLvl w:val="2"/>
    </w:pPr>
    <w:rPr>
      <w:b/>
    </w:rPr>
  </w:style>
  <w:style w:type="paragraph" w:styleId="Heading4">
    <w:name w:val="heading 4"/>
    <w:basedOn w:val="Normal"/>
    <w:next w:val="Normal"/>
    <w:qFormat/>
    <w:rsid w:val="00752228"/>
    <w:pPr>
      <w:keepNext/>
      <w:tabs>
        <w:tab w:val="num" w:pos="360"/>
      </w:tabs>
      <w:spacing w:after="120"/>
      <w:outlineLvl w:val="3"/>
    </w:pPr>
    <w:rPr>
      <w:rFonts w:cs="Times New Roman"/>
      <w:b/>
      <w:bCs/>
      <w:szCs w:val="28"/>
    </w:rPr>
  </w:style>
  <w:style w:type="paragraph" w:styleId="Heading5">
    <w:name w:val="heading 5"/>
    <w:basedOn w:val="Normal"/>
    <w:next w:val="Normal"/>
    <w:qFormat/>
    <w:rsid w:val="00752228"/>
    <w:pPr>
      <w:keepNext/>
      <w:tabs>
        <w:tab w:val="num" w:pos="360"/>
      </w:tabs>
      <w:spacing w:after="120"/>
      <w:outlineLvl w:val="4"/>
    </w:pPr>
    <w:rPr>
      <w:b/>
      <w:bCs/>
      <w:szCs w:val="26"/>
    </w:rPr>
  </w:style>
  <w:style w:type="paragraph" w:styleId="Heading6">
    <w:name w:val="heading 6"/>
    <w:basedOn w:val="Normal"/>
    <w:next w:val="Normal"/>
    <w:qFormat/>
    <w:rsid w:val="00752228"/>
    <w:pPr>
      <w:keepNext/>
      <w:tabs>
        <w:tab w:val="num" w:pos="360"/>
      </w:tabs>
      <w:spacing w:after="120"/>
      <w:outlineLvl w:val="5"/>
    </w:pPr>
    <w:rPr>
      <w:rFonts w:cs="Times New Roman"/>
      <w:b/>
      <w:bCs/>
      <w:szCs w:val="22"/>
    </w:rPr>
  </w:style>
  <w:style w:type="paragraph" w:styleId="Heading7">
    <w:name w:val="heading 7"/>
    <w:basedOn w:val="Normal"/>
    <w:next w:val="Normal"/>
    <w:qFormat/>
    <w:rsid w:val="00752228"/>
    <w:pPr>
      <w:tabs>
        <w:tab w:val="num" w:pos="360"/>
      </w:tabs>
      <w:spacing w:before="240" w:after="60"/>
      <w:outlineLvl w:val="6"/>
    </w:pPr>
    <w:rPr>
      <w:rFonts w:cs="Times New Roman"/>
      <w:szCs w:val="24"/>
    </w:rPr>
  </w:style>
  <w:style w:type="paragraph" w:styleId="Heading8">
    <w:name w:val="heading 8"/>
    <w:basedOn w:val="Normal"/>
    <w:next w:val="Normal"/>
    <w:qFormat/>
    <w:rsid w:val="00752228"/>
    <w:pPr>
      <w:tabs>
        <w:tab w:val="num" w:pos="360"/>
      </w:tabs>
      <w:spacing w:before="240" w:after="60"/>
      <w:outlineLvl w:val="7"/>
    </w:pPr>
    <w:rPr>
      <w:rFonts w:cs="Times New Roman"/>
      <w:i/>
      <w:iCs/>
      <w:szCs w:val="24"/>
    </w:rPr>
  </w:style>
  <w:style w:type="paragraph" w:styleId="Heading9">
    <w:name w:val="heading 9"/>
    <w:basedOn w:val="Normal"/>
    <w:next w:val="Normal"/>
    <w:qFormat/>
    <w:rsid w:val="00752228"/>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B4F46"/>
    <w:pPr>
      <w:ind w:left="720"/>
    </w:pPr>
  </w:style>
  <w:style w:type="paragraph" w:styleId="Footer">
    <w:name w:val="footer"/>
    <w:basedOn w:val="Normal"/>
    <w:link w:val="FooterChar"/>
    <w:rsid w:val="006B4F46"/>
    <w:pPr>
      <w:tabs>
        <w:tab w:val="center" w:pos="4320"/>
        <w:tab w:val="right" w:pos="8640"/>
      </w:tabs>
    </w:pPr>
  </w:style>
  <w:style w:type="paragraph" w:styleId="Header">
    <w:name w:val="header"/>
    <w:basedOn w:val="Normal"/>
    <w:link w:val="HeaderChar"/>
    <w:uiPriority w:val="99"/>
    <w:rsid w:val="006B4F46"/>
    <w:pPr>
      <w:tabs>
        <w:tab w:val="center" w:pos="4320"/>
        <w:tab w:val="right" w:pos="8640"/>
      </w:tabs>
    </w:pPr>
  </w:style>
  <w:style w:type="paragraph" w:styleId="FootnoteText">
    <w:name w:val="footnote text"/>
    <w:basedOn w:val="Normal"/>
    <w:semiHidden/>
    <w:rsid w:val="006B4F46"/>
    <w:rPr>
      <w:sz w:val="20"/>
    </w:rPr>
  </w:style>
  <w:style w:type="paragraph" w:styleId="Title">
    <w:name w:val="Title"/>
    <w:basedOn w:val="Normal"/>
    <w:qFormat/>
    <w:rsid w:val="006B4F46"/>
    <w:pPr>
      <w:ind w:left="2800" w:hanging="2800"/>
      <w:jc w:val="center"/>
    </w:pPr>
    <w:rPr>
      <w:b/>
    </w:rPr>
  </w:style>
  <w:style w:type="paragraph" w:styleId="BlockText">
    <w:name w:val="Block Text"/>
    <w:basedOn w:val="Normal"/>
    <w:rsid w:val="006B4F46"/>
    <w:pPr>
      <w:tabs>
        <w:tab w:val="left" w:pos="360"/>
        <w:tab w:val="left" w:pos="900"/>
        <w:tab w:val="left" w:pos="2880"/>
        <w:tab w:val="left" w:pos="3240"/>
      </w:tabs>
      <w:ind w:left="360" w:right="-40" w:hanging="360"/>
    </w:pPr>
  </w:style>
  <w:style w:type="paragraph" w:styleId="DocumentMap">
    <w:name w:val="Document Map"/>
    <w:basedOn w:val="Normal"/>
    <w:semiHidden/>
    <w:rsid w:val="006B4F46"/>
    <w:pPr>
      <w:shd w:val="clear" w:color="auto" w:fill="000080"/>
    </w:pPr>
    <w:rPr>
      <w:rFonts w:ascii="Tahoma" w:hAnsi="Tahoma"/>
    </w:rPr>
  </w:style>
  <w:style w:type="paragraph" w:styleId="BodyText">
    <w:name w:val="Body Text"/>
    <w:basedOn w:val="Normal"/>
    <w:rsid w:val="006B4F46"/>
    <w:rPr>
      <w:sz w:val="18"/>
    </w:rPr>
  </w:style>
  <w:style w:type="character" w:styleId="PageNumber">
    <w:name w:val="page number"/>
    <w:basedOn w:val="DefaultParagraphFont"/>
    <w:rsid w:val="006B4F46"/>
  </w:style>
  <w:style w:type="paragraph" w:styleId="BodyTextIndent">
    <w:name w:val="Body Text Indent"/>
    <w:basedOn w:val="Normal"/>
    <w:link w:val="BodyTextIndentChar"/>
    <w:rsid w:val="00752228"/>
    <w:pPr>
      <w:spacing w:after="120"/>
      <w:ind w:left="360"/>
    </w:pPr>
  </w:style>
  <w:style w:type="paragraph" w:styleId="BodyTextIndent2">
    <w:name w:val="Body Text Indent 2"/>
    <w:basedOn w:val="Normal"/>
    <w:rsid w:val="006B4F46"/>
    <w:pPr>
      <w:ind w:left="540"/>
    </w:pPr>
    <w:rPr>
      <w:rFonts w:ascii="Agfa Rotis Semisans" w:hAnsi="Agfa Rotis Semisans"/>
    </w:rPr>
  </w:style>
  <w:style w:type="paragraph" w:styleId="BalloonText">
    <w:name w:val="Balloon Text"/>
    <w:basedOn w:val="Normal"/>
    <w:semiHidden/>
    <w:rsid w:val="00F612F4"/>
    <w:rPr>
      <w:rFonts w:ascii="Tahoma" w:hAnsi="Tahoma" w:cs="Tahoma"/>
      <w:sz w:val="16"/>
      <w:szCs w:val="16"/>
    </w:rPr>
  </w:style>
  <w:style w:type="character" w:customStyle="1" w:styleId="HeaderChar">
    <w:name w:val="Header Char"/>
    <w:basedOn w:val="DefaultParagraphFont"/>
    <w:link w:val="Header"/>
    <w:uiPriority w:val="99"/>
    <w:rsid w:val="005E6586"/>
    <w:rPr>
      <w:rFonts w:ascii="CG Times" w:hAnsi="CG Times"/>
      <w:sz w:val="22"/>
      <w:lang w:val="en-GB"/>
    </w:rPr>
  </w:style>
  <w:style w:type="character" w:customStyle="1" w:styleId="FooterChar">
    <w:name w:val="Footer Char"/>
    <w:basedOn w:val="DefaultParagraphFont"/>
    <w:link w:val="Footer"/>
    <w:rsid w:val="00120B5E"/>
    <w:rPr>
      <w:rFonts w:ascii="CG Times" w:hAnsi="CG Times"/>
      <w:sz w:val="22"/>
      <w:lang w:val="en-GB"/>
    </w:rPr>
  </w:style>
  <w:style w:type="paragraph" w:customStyle="1" w:styleId="Default">
    <w:name w:val="Default"/>
    <w:rsid w:val="00F512B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512B4"/>
    <w:rPr>
      <w:sz w:val="16"/>
      <w:szCs w:val="16"/>
    </w:rPr>
  </w:style>
  <w:style w:type="paragraph" w:styleId="CommentText">
    <w:name w:val="annotation text"/>
    <w:basedOn w:val="Normal"/>
    <w:link w:val="CommentTextChar"/>
    <w:rsid w:val="00752228"/>
    <w:rPr>
      <w:sz w:val="20"/>
    </w:rPr>
  </w:style>
  <w:style w:type="character" w:customStyle="1" w:styleId="CommentTextChar">
    <w:name w:val="Comment Text Char"/>
    <w:basedOn w:val="DefaultParagraphFont"/>
    <w:link w:val="CommentText"/>
    <w:rsid w:val="00F512B4"/>
    <w:rPr>
      <w:rFonts w:ascii="Times New Roman" w:hAnsi="Times New Roman" w:cs="Arial"/>
      <w:lang w:val="en-US" w:eastAsia="en-US"/>
    </w:rPr>
  </w:style>
  <w:style w:type="paragraph" w:styleId="CommentSubject">
    <w:name w:val="annotation subject"/>
    <w:basedOn w:val="CommentText"/>
    <w:next w:val="CommentText"/>
    <w:link w:val="CommentSubjectChar"/>
    <w:rsid w:val="00752228"/>
    <w:rPr>
      <w:b/>
      <w:bCs/>
    </w:rPr>
  </w:style>
  <w:style w:type="character" w:customStyle="1" w:styleId="CommentSubjectChar">
    <w:name w:val="Comment Subject Char"/>
    <w:basedOn w:val="CommentTextChar"/>
    <w:link w:val="CommentSubject"/>
    <w:rsid w:val="00F512B4"/>
    <w:rPr>
      <w:rFonts w:ascii="Times New Roman" w:hAnsi="Times New Roman" w:cs="Arial"/>
      <w:b/>
      <w:bCs/>
      <w:lang w:val="en-US" w:eastAsia="en-US"/>
    </w:rPr>
  </w:style>
  <w:style w:type="paragraph" w:styleId="Revision">
    <w:name w:val="Revision"/>
    <w:hidden/>
    <w:uiPriority w:val="99"/>
    <w:semiHidden/>
    <w:rsid w:val="00251BAE"/>
    <w:rPr>
      <w:rFonts w:ascii="CG Times" w:hAnsi="CG Times"/>
      <w:sz w:val="22"/>
      <w:lang w:val="en-GB"/>
    </w:rPr>
  </w:style>
  <w:style w:type="paragraph" w:styleId="Caption">
    <w:name w:val="caption"/>
    <w:next w:val="C-BodyText"/>
    <w:qFormat/>
    <w:rsid w:val="00752228"/>
    <w:pPr>
      <w:keepNext/>
      <w:spacing w:before="120" w:after="120" w:line="280" w:lineRule="atLeast"/>
      <w:ind w:left="1440" w:hanging="1440"/>
    </w:pPr>
    <w:rPr>
      <w:rFonts w:ascii="Times New Roman" w:hAnsi="Times New Roman"/>
      <w:b/>
      <w:bCs/>
      <w:sz w:val="24"/>
      <w:szCs w:val="24"/>
      <w:lang w:val="en-US" w:eastAsia="en-US"/>
    </w:rPr>
  </w:style>
  <w:style w:type="paragraph" w:customStyle="1" w:styleId="C-BodyText">
    <w:name w:val="C-Body Text"/>
    <w:rsid w:val="00752228"/>
    <w:pPr>
      <w:spacing w:before="120" w:after="120" w:line="280" w:lineRule="atLeast"/>
    </w:pPr>
    <w:rPr>
      <w:rFonts w:ascii="Times New Roman" w:hAnsi="Times New Roman"/>
      <w:sz w:val="24"/>
      <w:lang w:val="en-US" w:eastAsia="en-US"/>
    </w:rPr>
  </w:style>
  <w:style w:type="paragraph" w:styleId="TOC1">
    <w:name w:val="toc 1"/>
    <w:next w:val="C-BodyText"/>
    <w:rsid w:val="00752228"/>
    <w:pPr>
      <w:tabs>
        <w:tab w:val="left" w:pos="1152"/>
        <w:tab w:val="right" w:leader="dot" w:pos="9360"/>
      </w:tabs>
      <w:spacing w:before="120"/>
      <w:ind w:left="1152" w:right="792" w:hanging="1152"/>
    </w:pPr>
    <w:rPr>
      <w:rFonts w:ascii="Times New Roman" w:hAnsi="Times New Roman" w:cs="Arial"/>
      <w:caps/>
      <w:color w:val="0000FF"/>
      <w:sz w:val="24"/>
      <w:szCs w:val="24"/>
      <w:lang w:val="en-US" w:eastAsia="en-US"/>
    </w:rPr>
  </w:style>
  <w:style w:type="paragraph" w:styleId="TOC2">
    <w:name w:val="toc 2"/>
    <w:basedOn w:val="TOC1"/>
    <w:next w:val="C-BodyText"/>
    <w:rsid w:val="00752228"/>
    <w:rPr>
      <w:caps w:val="0"/>
    </w:rPr>
  </w:style>
  <w:style w:type="paragraph" w:styleId="TOC3">
    <w:name w:val="toc 3"/>
    <w:basedOn w:val="TOC1"/>
    <w:next w:val="C-BodyText"/>
    <w:rsid w:val="00752228"/>
    <w:rPr>
      <w:caps w:val="0"/>
    </w:rPr>
  </w:style>
  <w:style w:type="paragraph" w:styleId="TOC4">
    <w:name w:val="toc 4"/>
    <w:basedOn w:val="TOC1"/>
    <w:next w:val="C-BodyText"/>
    <w:rsid w:val="00752228"/>
    <w:rPr>
      <w:caps w:val="0"/>
    </w:rPr>
  </w:style>
  <w:style w:type="paragraph" w:customStyle="1" w:styleId="C-Heading1">
    <w:name w:val="C-Heading 1"/>
    <w:next w:val="C-BodyText"/>
    <w:link w:val="C-Heading1Char"/>
    <w:rsid w:val="00752228"/>
    <w:pPr>
      <w:keepNext/>
      <w:pageBreakBefore/>
      <w:numPr>
        <w:numId w:val="1"/>
      </w:numPr>
      <w:spacing w:before="480" w:after="120"/>
      <w:outlineLvl w:val="0"/>
    </w:pPr>
    <w:rPr>
      <w:rFonts w:ascii="Times New Roman" w:hAnsi="Times New Roman"/>
      <w:b/>
      <w:caps/>
      <w:sz w:val="28"/>
      <w:lang w:val="en-US" w:eastAsia="en-US"/>
    </w:rPr>
  </w:style>
  <w:style w:type="paragraph" w:customStyle="1" w:styleId="C-Heading2">
    <w:name w:val="C-Heading 2"/>
    <w:next w:val="C-BodyText"/>
    <w:rsid w:val="00752228"/>
    <w:pPr>
      <w:keepNext/>
      <w:numPr>
        <w:ilvl w:val="1"/>
        <w:numId w:val="1"/>
      </w:numPr>
      <w:spacing w:before="240"/>
      <w:outlineLvl w:val="1"/>
    </w:pPr>
    <w:rPr>
      <w:rFonts w:ascii="Times New Roman" w:hAnsi="Times New Roman"/>
      <w:b/>
      <w:sz w:val="28"/>
      <w:lang w:val="en-US" w:eastAsia="en-US"/>
    </w:rPr>
  </w:style>
  <w:style w:type="paragraph" w:customStyle="1" w:styleId="C-Heading3">
    <w:name w:val="C-Heading 3"/>
    <w:next w:val="C-BodyText"/>
    <w:rsid w:val="00752228"/>
    <w:pPr>
      <w:keepNext/>
      <w:numPr>
        <w:ilvl w:val="2"/>
        <w:numId w:val="1"/>
      </w:numPr>
      <w:spacing w:before="240"/>
      <w:outlineLvl w:val="2"/>
    </w:pPr>
    <w:rPr>
      <w:rFonts w:ascii="Times New Roman" w:hAnsi="Times New Roman"/>
      <w:b/>
      <w:sz w:val="24"/>
      <w:lang w:val="en-US" w:eastAsia="en-US"/>
    </w:rPr>
  </w:style>
  <w:style w:type="paragraph" w:customStyle="1" w:styleId="C-Heading4">
    <w:name w:val="C-Heading 4"/>
    <w:next w:val="C-BodyText"/>
    <w:rsid w:val="00752228"/>
    <w:pPr>
      <w:keepNext/>
      <w:numPr>
        <w:ilvl w:val="3"/>
        <w:numId w:val="1"/>
      </w:numPr>
      <w:spacing w:before="240"/>
      <w:outlineLvl w:val="3"/>
    </w:pPr>
    <w:rPr>
      <w:rFonts w:ascii="Times New Roman" w:hAnsi="Times New Roman"/>
      <w:b/>
      <w:sz w:val="24"/>
      <w:lang w:val="en-US" w:eastAsia="en-US"/>
    </w:rPr>
  </w:style>
  <w:style w:type="paragraph" w:customStyle="1" w:styleId="C-Heading5">
    <w:name w:val="C-Heading 5"/>
    <w:next w:val="C-BodyText"/>
    <w:rsid w:val="00752228"/>
    <w:pPr>
      <w:keepNext/>
      <w:numPr>
        <w:ilvl w:val="4"/>
        <w:numId w:val="1"/>
      </w:numPr>
      <w:spacing w:before="240"/>
      <w:outlineLvl w:val="4"/>
    </w:pPr>
    <w:rPr>
      <w:rFonts w:ascii="Times New Roman" w:hAnsi="Times New Roman"/>
      <w:b/>
      <w:sz w:val="24"/>
      <w:lang w:val="en-US" w:eastAsia="en-US"/>
    </w:rPr>
  </w:style>
  <w:style w:type="paragraph" w:customStyle="1" w:styleId="C-Heading6">
    <w:name w:val="C-Heading 6"/>
    <w:next w:val="C-BodyText"/>
    <w:rsid w:val="00752228"/>
    <w:pPr>
      <w:keepNext/>
      <w:numPr>
        <w:ilvl w:val="5"/>
        <w:numId w:val="1"/>
      </w:numPr>
      <w:tabs>
        <w:tab w:val="clear" w:pos="1080"/>
        <w:tab w:val="num" w:pos="1224"/>
      </w:tabs>
      <w:spacing w:before="240"/>
      <w:ind w:left="1224" w:hanging="1224"/>
      <w:outlineLvl w:val="5"/>
    </w:pPr>
    <w:rPr>
      <w:rFonts w:ascii="Times New Roman" w:hAnsi="Times New Roman"/>
      <w:b/>
      <w:sz w:val="24"/>
      <w:lang w:val="en-US" w:eastAsia="en-US"/>
    </w:rPr>
  </w:style>
  <w:style w:type="paragraph" w:customStyle="1" w:styleId="C-BodyTextIndent">
    <w:name w:val="C-Body Text Indent"/>
    <w:rsid w:val="00752228"/>
    <w:pPr>
      <w:spacing w:before="120" w:after="120" w:line="280" w:lineRule="atLeast"/>
      <w:ind w:left="360"/>
    </w:pPr>
    <w:rPr>
      <w:rFonts w:ascii="Times New Roman" w:hAnsi="Times New Roman"/>
      <w:sz w:val="24"/>
      <w:lang w:val="en-US" w:eastAsia="en-US"/>
    </w:rPr>
  </w:style>
  <w:style w:type="paragraph" w:customStyle="1" w:styleId="C-Bullet">
    <w:name w:val="C-Bullet"/>
    <w:rsid w:val="00752228"/>
    <w:pPr>
      <w:numPr>
        <w:numId w:val="13"/>
      </w:numPr>
      <w:spacing w:before="120" w:after="120" w:line="280" w:lineRule="atLeast"/>
    </w:pPr>
    <w:rPr>
      <w:rFonts w:ascii="Times New Roman" w:hAnsi="Times New Roman"/>
      <w:sz w:val="24"/>
      <w:lang w:val="en-US" w:eastAsia="en-US"/>
    </w:rPr>
  </w:style>
  <w:style w:type="paragraph" w:customStyle="1" w:styleId="C-BulletIndented">
    <w:name w:val="C-Bullet Indented"/>
    <w:rsid w:val="00752228"/>
    <w:pPr>
      <w:numPr>
        <w:ilvl w:val="1"/>
        <w:numId w:val="13"/>
      </w:numPr>
      <w:spacing w:before="120" w:after="120" w:line="280" w:lineRule="atLeast"/>
    </w:pPr>
    <w:rPr>
      <w:rFonts w:ascii="Times New Roman" w:hAnsi="Times New Roman" w:cs="Arial"/>
      <w:sz w:val="24"/>
      <w:lang w:val="en-US" w:eastAsia="en-US"/>
    </w:rPr>
  </w:style>
  <w:style w:type="paragraph" w:customStyle="1" w:styleId="C-TableHeader">
    <w:name w:val="C-Table Header"/>
    <w:next w:val="C-TableText"/>
    <w:rsid w:val="00752228"/>
    <w:pPr>
      <w:keepNext/>
      <w:spacing w:before="60" w:after="60"/>
    </w:pPr>
    <w:rPr>
      <w:rFonts w:ascii="Times New Roman" w:hAnsi="Times New Roman"/>
      <w:b/>
      <w:sz w:val="22"/>
      <w:lang w:val="en-US" w:eastAsia="en-US"/>
    </w:rPr>
  </w:style>
  <w:style w:type="paragraph" w:customStyle="1" w:styleId="C-TableText">
    <w:name w:val="C-Table Text"/>
    <w:rsid w:val="00752228"/>
    <w:pPr>
      <w:spacing w:before="60" w:after="60"/>
    </w:pPr>
    <w:rPr>
      <w:rFonts w:ascii="Times New Roman" w:hAnsi="Times New Roman"/>
      <w:sz w:val="22"/>
      <w:lang w:val="en-US" w:eastAsia="en-US"/>
    </w:rPr>
  </w:style>
  <w:style w:type="paragraph" w:customStyle="1" w:styleId="C-TableFootnote">
    <w:name w:val="C-Table Footnote"/>
    <w:next w:val="C-BodyText"/>
    <w:rsid w:val="00752228"/>
    <w:pPr>
      <w:tabs>
        <w:tab w:val="left" w:pos="144"/>
      </w:tabs>
      <w:ind w:left="144" w:hanging="144"/>
    </w:pPr>
    <w:rPr>
      <w:rFonts w:ascii="Times New Roman" w:hAnsi="Times New Roman" w:cs="Arial"/>
      <w:lang w:val="en-US" w:eastAsia="en-US"/>
    </w:rPr>
  </w:style>
  <w:style w:type="paragraph" w:styleId="TOC5">
    <w:name w:val="toc 5"/>
    <w:basedOn w:val="TOC1"/>
    <w:next w:val="C-BodyText"/>
    <w:rsid w:val="00752228"/>
    <w:rPr>
      <w:caps w:val="0"/>
    </w:rPr>
  </w:style>
  <w:style w:type="paragraph" w:styleId="TOC6">
    <w:name w:val="toc 6"/>
    <w:basedOn w:val="TOC1"/>
    <w:next w:val="C-BodyText"/>
    <w:rsid w:val="00752228"/>
    <w:rPr>
      <w:caps w:val="0"/>
    </w:rPr>
  </w:style>
  <w:style w:type="paragraph" w:styleId="TOC7">
    <w:name w:val="toc 7"/>
    <w:basedOn w:val="TOC1"/>
    <w:next w:val="C-BodyText"/>
    <w:rsid w:val="00752228"/>
    <w:rPr>
      <w:caps w:val="0"/>
    </w:rPr>
  </w:style>
  <w:style w:type="paragraph" w:styleId="TOC8">
    <w:name w:val="toc 8"/>
    <w:basedOn w:val="TOC1"/>
    <w:next w:val="C-BodyText"/>
    <w:rsid w:val="00752228"/>
    <w:rPr>
      <w:caps w:val="0"/>
    </w:rPr>
  </w:style>
  <w:style w:type="paragraph" w:styleId="TOC9">
    <w:name w:val="toc 9"/>
    <w:basedOn w:val="TOC1"/>
    <w:next w:val="C-BodyText"/>
    <w:rsid w:val="00752228"/>
    <w:rPr>
      <w:caps w:val="0"/>
    </w:rPr>
  </w:style>
  <w:style w:type="paragraph" w:styleId="TableofFigures">
    <w:name w:val="table of figures"/>
    <w:next w:val="C-BodyText"/>
    <w:rsid w:val="00752228"/>
    <w:pPr>
      <w:tabs>
        <w:tab w:val="left" w:pos="1152"/>
        <w:tab w:val="right" w:leader="dot" w:pos="9360"/>
      </w:tabs>
      <w:spacing w:before="120" w:line="280" w:lineRule="atLeast"/>
      <w:ind w:left="1152" w:right="792" w:hanging="1152"/>
    </w:pPr>
    <w:rPr>
      <w:rFonts w:ascii="Times New Roman" w:hAnsi="Times New Roman" w:cs="Arial"/>
      <w:color w:val="0000FF"/>
      <w:sz w:val="24"/>
      <w:lang w:val="en-US" w:eastAsia="en-US"/>
    </w:rPr>
  </w:style>
  <w:style w:type="paragraph" w:customStyle="1" w:styleId="C-TOCTitle">
    <w:name w:val="C-TOC Title"/>
    <w:next w:val="C-BodyText"/>
    <w:rsid w:val="00752228"/>
    <w:pPr>
      <w:spacing w:after="120"/>
      <w:jc w:val="center"/>
    </w:pPr>
    <w:rPr>
      <w:rFonts w:ascii="Times New Roman" w:hAnsi="Times New Roman"/>
      <w:b/>
      <w:caps/>
      <w:sz w:val="28"/>
      <w:szCs w:val="28"/>
      <w:lang w:val="en-US" w:eastAsia="en-US"/>
    </w:rPr>
  </w:style>
  <w:style w:type="paragraph" w:customStyle="1" w:styleId="C-CaptionContinued">
    <w:name w:val="C-Caption Continued"/>
    <w:next w:val="C-BodyText"/>
    <w:rsid w:val="00752228"/>
    <w:pPr>
      <w:keepNext/>
      <w:spacing w:before="120" w:after="120" w:line="280" w:lineRule="atLeast"/>
      <w:ind w:left="1440" w:hanging="1440"/>
    </w:pPr>
    <w:rPr>
      <w:rFonts w:ascii="Times New Roman" w:hAnsi="Times New Roman" w:cs="Arial"/>
      <w:b/>
      <w:sz w:val="24"/>
      <w:lang w:val="en-US" w:eastAsia="en-US"/>
    </w:rPr>
  </w:style>
  <w:style w:type="paragraph" w:customStyle="1" w:styleId="C-NumberedList">
    <w:name w:val="C-Numbered List"/>
    <w:rsid w:val="00752228"/>
    <w:pPr>
      <w:numPr>
        <w:numId w:val="11"/>
      </w:numPr>
      <w:spacing w:before="120" w:after="120" w:line="280" w:lineRule="atLeast"/>
    </w:pPr>
    <w:rPr>
      <w:rFonts w:ascii="Times New Roman" w:hAnsi="Times New Roman"/>
      <w:sz w:val="24"/>
      <w:lang w:val="en-US" w:eastAsia="en-US"/>
    </w:rPr>
  </w:style>
  <w:style w:type="paragraph" w:customStyle="1" w:styleId="C-InstructionText">
    <w:name w:val="C-Instruction Text"/>
    <w:rsid w:val="00752228"/>
    <w:pPr>
      <w:spacing w:before="120" w:after="120" w:line="280" w:lineRule="atLeast"/>
    </w:pPr>
    <w:rPr>
      <w:rFonts w:ascii="Times New Roman" w:hAnsi="Times New Roman"/>
      <w:vanish/>
      <w:color w:val="FF0000"/>
      <w:sz w:val="24"/>
      <w:szCs w:val="24"/>
      <w:lang w:val="en-US" w:eastAsia="en-US"/>
    </w:rPr>
  </w:style>
  <w:style w:type="paragraph" w:styleId="TOAHeading">
    <w:name w:val="toa heading"/>
    <w:basedOn w:val="Normal"/>
    <w:next w:val="Normal"/>
    <w:rsid w:val="00752228"/>
    <w:pPr>
      <w:spacing w:before="120"/>
    </w:pPr>
    <w:rPr>
      <w:rFonts w:ascii="Arial" w:hAnsi="Arial"/>
      <w:b/>
      <w:bCs/>
      <w:szCs w:val="24"/>
    </w:rPr>
  </w:style>
  <w:style w:type="paragraph" w:customStyle="1" w:styleId="C-Title">
    <w:name w:val="C-Title"/>
    <w:next w:val="C-BodyText"/>
    <w:rsid w:val="00752228"/>
    <w:pPr>
      <w:spacing w:after="120"/>
      <w:jc w:val="center"/>
    </w:pPr>
    <w:rPr>
      <w:rFonts w:ascii="Times New Roman" w:hAnsi="Times New Roman"/>
      <w:b/>
      <w:caps/>
      <w:sz w:val="36"/>
      <w:lang w:val="en-US" w:eastAsia="en-US"/>
    </w:rPr>
  </w:style>
  <w:style w:type="paragraph" w:customStyle="1" w:styleId="C-Header">
    <w:name w:val="C-Header"/>
    <w:rsid w:val="00752228"/>
    <w:rPr>
      <w:rFonts w:ascii="Times New Roman" w:hAnsi="Times New Roman"/>
      <w:sz w:val="24"/>
      <w:lang w:val="en-US" w:eastAsia="en-US"/>
    </w:rPr>
  </w:style>
  <w:style w:type="paragraph" w:customStyle="1" w:styleId="C-Footer">
    <w:name w:val="C-Footer"/>
    <w:rsid w:val="00752228"/>
    <w:rPr>
      <w:rFonts w:ascii="Times New Roman" w:hAnsi="Times New Roman"/>
      <w:sz w:val="24"/>
      <w:lang w:val="en-US" w:eastAsia="en-US"/>
    </w:rPr>
  </w:style>
  <w:style w:type="paragraph" w:customStyle="1" w:styleId="C-Heading1non-numbered">
    <w:name w:val="C-Heading 1 (non-numbered)"/>
    <w:basedOn w:val="C-Heading1"/>
    <w:next w:val="C-BodyText"/>
    <w:rsid w:val="00752228"/>
    <w:pPr>
      <w:numPr>
        <w:numId w:val="0"/>
      </w:numPr>
      <w:tabs>
        <w:tab w:val="left" w:pos="1080"/>
      </w:tabs>
      <w:ind w:left="1080" w:hanging="1080"/>
    </w:pPr>
  </w:style>
  <w:style w:type="paragraph" w:customStyle="1" w:styleId="C-Heading2non-numbered">
    <w:name w:val="C-Heading 2 (non-numbered)"/>
    <w:basedOn w:val="C-Heading2"/>
    <w:next w:val="C-BodyText"/>
    <w:rsid w:val="00752228"/>
    <w:pPr>
      <w:numPr>
        <w:ilvl w:val="0"/>
        <w:numId w:val="0"/>
      </w:numPr>
      <w:tabs>
        <w:tab w:val="left" w:pos="1080"/>
      </w:tabs>
      <w:ind w:left="1080" w:hanging="1080"/>
    </w:pPr>
  </w:style>
  <w:style w:type="paragraph" w:customStyle="1" w:styleId="C-Heading3non-numbered">
    <w:name w:val="C-Heading 3 (non-numbered)"/>
    <w:basedOn w:val="C-Heading3"/>
    <w:next w:val="C-BodyText"/>
    <w:rsid w:val="00752228"/>
    <w:pPr>
      <w:numPr>
        <w:ilvl w:val="0"/>
        <w:numId w:val="0"/>
      </w:numPr>
      <w:tabs>
        <w:tab w:val="left" w:pos="1080"/>
      </w:tabs>
      <w:ind w:left="1080" w:hanging="1080"/>
    </w:pPr>
  </w:style>
  <w:style w:type="paragraph" w:customStyle="1" w:styleId="C-Heading4non-numbered">
    <w:name w:val="C-Heading 4 (non-numbered)"/>
    <w:basedOn w:val="C-Heading4"/>
    <w:next w:val="C-BodyText"/>
    <w:rsid w:val="00752228"/>
    <w:pPr>
      <w:numPr>
        <w:ilvl w:val="0"/>
        <w:numId w:val="0"/>
      </w:numPr>
      <w:tabs>
        <w:tab w:val="left" w:pos="1080"/>
      </w:tabs>
      <w:ind w:left="1080" w:hanging="1080"/>
    </w:pPr>
  </w:style>
  <w:style w:type="paragraph" w:customStyle="1" w:styleId="C-Heading5non-numbered">
    <w:name w:val="C-Heading 5 (non-numbered)"/>
    <w:basedOn w:val="C-Heading5"/>
    <w:next w:val="C-BodyText"/>
    <w:rsid w:val="00752228"/>
    <w:pPr>
      <w:numPr>
        <w:ilvl w:val="0"/>
        <w:numId w:val="0"/>
      </w:numPr>
      <w:tabs>
        <w:tab w:val="left" w:pos="1080"/>
      </w:tabs>
      <w:ind w:left="1080" w:hanging="1080"/>
    </w:pPr>
  </w:style>
  <w:style w:type="paragraph" w:customStyle="1" w:styleId="C-Heading6non-numbered">
    <w:name w:val="C-Heading 6 (non-numbered)"/>
    <w:basedOn w:val="C-Heading6"/>
    <w:next w:val="C-BodyText"/>
    <w:rsid w:val="00752228"/>
    <w:pPr>
      <w:numPr>
        <w:ilvl w:val="0"/>
        <w:numId w:val="0"/>
      </w:numPr>
      <w:tabs>
        <w:tab w:val="left" w:pos="1080"/>
      </w:tabs>
      <w:ind w:left="1080" w:hanging="1080"/>
    </w:pPr>
  </w:style>
  <w:style w:type="character" w:styleId="Hyperlink">
    <w:name w:val="Hyperlink"/>
    <w:uiPriority w:val="99"/>
    <w:rsid w:val="00752228"/>
    <w:rPr>
      <w:color w:val="0000FF"/>
      <w:u w:val="single"/>
    </w:rPr>
  </w:style>
  <w:style w:type="paragraph" w:customStyle="1" w:styleId="C-Heading1nopagebreak">
    <w:name w:val="C-Heading 1 (no page break)"/>
    <w:basedOn w:val="C-Heading1"/>
    <w:next w:val="C-BodyText"/>
    <w:rsid w:val="00752228"/>
    <w:pPr>
      <w:pageBreakBefore w:val="0"/>
    </w:pPr>
  </w:style>
  <w:style w:type="paragraph" w:customStyle="1" w:styleId="C-Heading1nopagebreak0">
    <w:name w:val="C-Heading 1 (no page break"/>
    <w:aliases w:val="non-numbered)"/>
    <w:basedOn w:val="C-Heading1non-numbered"/>
    <w:next w:val="C-BodyText"/>
    <w:rsid w:val="00752228"/>
    <w:pPr>
      <w:pageBreakBefore w:val="0"/>
    </w:pPr>
  </w:style>
  <w:style w:type="character" w:styleId="HTMLKeyboard">
    <w:name w:val="HTML Keyboard"/>
    <w:rsid w:val="00752228"/>
    <w:rPr>
      <w:rFonts w:ascii="Courier New" w:hAnsi="Courier New"/>
      <w:sz w:val="20"/>
      <w:szCs w:val="20"/>
    </w:rPr>
  </w:style>
  <w:style w:type="paragraph" w:customStyle="1" w:styleId="C-AlphabeticList">
    <w:name w:val="C-Alphabetic List"/>
    <w:rsid w:val="00752228"/>
    <w:pPr>
      <w:numPr>
        <w:ilvl w:val="1"/>
        <w:numId w:val="11"/>
      </w:numPr>
    </w:pPr>
    <w:rPr>
      <w:rFonts w:ascii="Times New Roman" w:hAnsi="Times New Roman"/>
      <w:sz w:val="24"/>
      <w:lang w:val="en-US" w:eastAsia="en-US"/>
    </w:rPr>
  </w:style>
  <w:style w:type="paragraph" w:customStyle="1" w:styleId="C-Appendix">
    <w:name w:val="C-Appendix"/>
    <w:next w:val="C-BodyText"/>
    <w:rsid w:val="00752228"/>
    <w:pPr>
      <w:keepNext/>
      <w:pageBreakBefore/>
      <w:numPr>
        <w:numId w:val="2"/>
      </w:numPr>
      <w:spacing w:before="480" w:after="120"/>
      <w:outlineLvl w:val="0"/>
    </w:pPr>
    <w:rPr>
      <w:rFonts w:ascii="Times New Roman" w:hAnsi="Times New Roman"/>
      <w:b/>
      <w:caps/>
      <w:sz w:val="28"/>
      <w:lang w:val="en-US" w:eastAsia="en-US"/>
    </w:rPr>
  </w:style>
  <w:style w:type="paragraph" w:customStyle="1" w:styleId="C-PLR-NumberedList">
    <w:name w:val="C-PLR-Numbered List"/>
    <w:rsid w:val="00752228"/>
    <w:pPr>
      <w:numPr>
        <w:numId w:val="7"/>
      </w:numPr>
    </w:pPr>
    <w:rPr>
      <w:rFonts w:ascii="Times New Roman" w:hAnsi="Times New Roman"/>
      <w:sz w:val="16"/>
      <w:lang w:val="en-US" w:eastAsia="en-US"/>
    </w:rPr>
  </w:style>
  <w:style w:type="paragraph" w:customStyle="1" w:styleId="C-PLR-BodyText">
    <w:name w:val="C-PLR-Body Text"/>
    <w:rsid w:val="00752228"/>
    <w:rPr>
      <w:rFonts w:ascii="Times New Roman" w:hAnsi="Times New Roman"/>
      <w:sz w:val="16"/>
      <w:lang w:val="en-US" w:eastAsia="en-US"/>
    </w:rPr>
  </w:style>
  <w:style w:type="paragraph" w:customStyle="1" w:styleId="C-PLR-BodyTextIndent">
    <w:name w:val="C-PLR-Body Text Indent"/>
    <w:rsid w:val="00752228"/>
    <w:pPr>
      <w:ind w:left="360"/>
    </w:pPr>
    <w:rPr>
      <w:rFonts w:ascii="Times New Roman" w:hAnsi="Times New Roman"/>
      <w:sz w:val="16"/>
      <w:lang w:val="en-US" w:eastAsia="en-US"/>
    </w:rPr>
  </w:style>
  <w:style w:type="paragraph" w:customStyle="1" w:styleId="C-PLR-Bullet">
    <w:name w:val="C-PLR-Bullet"/>
    <w:rsid w:val="00752228"/>
    <w:pPr>
      <w:numPr>
        <w:numId w:val="3"/>
      </w:numPr>
    </w:pPr>
    <w:rPr>
      <w:rFonts w:ascii="Times New Roman" w:hAnsi="Times New Roman"/>
      <w:sz w:val="16"/>
      <w:lang w:val="en-US" w:eastAsia="en-US"/>
    </w:rPr>
  </w:style>
  <w:style w:type="paragraph" w:customStyle="1" w:styleId="C-PLR-BulletIndented">
    <w:name w:val="C-PLR-Bullet Indented"/>
    <w:rsid w:val="00752228"/>
    <w:pPr>
      <w:numPr>
        <w:numId w:val="4"/>
      </w:numPr>
    </w:pPr>
    <w:rPr>
      <w:rFonts w:ascii="Times New Roman" w:hAnsi="Times New Roman"/>
      <w:sz w:val="16"/>
      <w:lang w:val="en-US" w:eastAsia="en-US"/>
    </w:rPr>
  </w:style>
  <w:style w:type="paragraph" w:customStyle="1" w:styleId="C-PLR-Caption">
    <w:name w:val="C-PLR-Caption"/>
    <w:next w:val="C-PLR-BodyText"/>
    <w:rsid w:val="00752228"/>
    <w:pPr>
      <w:keepNext/>
      <w:ind w:left="360" w:hanging="360"/>
    </w:pPr>
    <w:rPr>
      <w:rFonts w:ascii="Times New Roman" w:hAnsi="Times New Roman"/>
      <w:b/>
      <w:sz w:val="16"/>
      <w:lang w:val="en-US" w:eastAsia="en-US"/>
    </w:rPr>
  </w:style>
  <w:style w:type="paragraph" w:customStyle="1" w:styleId="C-PLR-Heading1nopagebreaknon-numbered">
    <w:name w:val="C-PLR-Heading 1 (no page break.non-numbered)"/>
    <w:basedOn w:val="C-PLR-Heading1non-numbered"/>
    <w:next w:val="C-PLR-BodyText"/>
    <w:rsid w:val="00752228"/>
  </w:style>
  <w:style w:type="paragraph" w:customStyle="1" w:styleId="C-PLR-Heading2non-numbered">
    <w:name w:val="C-PLR-Heading 2 (non-numbered)"/>
    <w:basedOn w:val="C-PLR-Heading2"/>
    <w:next w:val="C-PLR-BodyText"/>
    <w:rsid w:val="00752228"/>
    <w:pPr>
      <w:numPr>
        <w:ilvl w:val="0"/>
        <w:numId w:val="0"/>
      </w:numPr>
      <w:ind w:left="720" w:hanging="720"/>
    </w:pPr>
  </w:style>
  <w:style w:type="paragraph" w:customStyle="1" w:styleId="C-PLR-TableHeader">
    <w:name w:val="C-PLR-Table Header"/>
    <w:next w:val="C-PLR-TableText"/>
    <w:rsid w:val="00752228"/>
    <w:pPr>
      <w:keepNext/>
    </w:pPr>
    <w:rPr>
      <w:rFonts w:ascii="Times New Roman" w:hAnsi="Times New Roman"/>
      <w:b/>
      <w:sz w:val="16"/>
      <w:lang w:val="en-US" w:eastAsia="en-US"/>
    </w:rPr>
  </w:style>
  <w:style w:type="paragraph" w:customStyle="1" w:styleId="C-PLR-TableText">
    <w:name w:val="C-PLR-Table Text"/>
    <w:rsid w:val="00752228"/>
    <w:rPr>
      <w:rFonts w:ascii="Times New Roman" w:hAnsi="Times New Roman"/>
      <w:sz w:val="16"/>
      <w:lang w:val="en-US" w:eastAsia="en-US"/>
    </w:rPr>
  </w:style>
  <w:style w:type="paragraph" w:customStyle="1" w:styleId="C-PLR-Title">
    <w:name w:val="C-PLR-Title"/>
    <w:next w:val="C-PLR-BodyText"/>
    <w:rsid w:val="00752228"/>
    <w:pPr>
      <w:jc w:val="center"/>
    </w:pPr>
    <w:rPr>
      <w:rFonts w:ascii="Times New Roman" w:hAnsi="Times New Roman"/>
      <w:b/>
      <w:caps/>
      <w:sz w:val="16"/>
      <w:lang w:val="en-US" w:eastAsia="en-US"/>
    </w:rPr>
  </w:style>
  <w:style w:type="paragraph" w:customStyle="1" w:styleId="C-PLR-TOCTitle">
    <w:name w:val="C-PLR-TOC Title"/>
    <w:next w:val="C-PLR-BodyText"/>
    <w:rsid w:val="00752228"/>
    <w:pPr>
      <w:tabs>
        <w:tab w:val="center" w:leader="underscore" w:pos="2520"/>
        <w:tab w:val="right" w:leader="underscore" w:pos="5040"/>
      </w:tabs>
      <w:jc w:val="center"/>
    </w:pPr>
    <w:rPr>
      <w:rFonts w:ascii="Times New Roman" w:hAnsi="Times New Roman"/>
      <w:b/>
      <w:caps/>
      <w:sz w:val="16"/>
      <w:lang w:val="en-US" w:eastAsia="en-US"/>
    </w:rPr>
  </w:style>
  <w:style w:type="paragraph" w:customStyle="1" w:styleId="C-PLR-TOC1">
    <w:name w:val="C-PLR-TOC 1"/>
    <w:next w:val="C-PLR-BodyText"/>
    <w:rsid w:val="00752228"/>
    <w:pPr>
      <w:ind w:left="432" w:hanging="432"/>
    </w:pPr>
    <w:rPr>
      <w:rFonts w:ascii="Times New Roman Bold" w:hAnsi="Times New Roman Bold"/>
      <w:b/>
      <w:caps/>
      <w:color w:val="0000FF"/>
      <w:sz w:val="16"/>
      <w:lang w:val="en-US" w:eastAsia="en-US"/>
    </w:rPr>
  </w:style>
  <w:style w:type="paragraph" w:customStyle="1" w:styleId="C-PLR-TOC2">
    <w:name w:val="C-PLR-TOC 2"/>
    <w:basedOn w:val="C-PLR-TOC1"/>
    <w:next w:val="C-PLR-BodyText"/>
    <w:rsid w:val="00752228"/>
    <w:pPr>
      <w:ind w:left="864"/>
    </w:pPr>
    <w:rPr>
      <w:rFonts w:ascii="Times New Roman" w:hAnsi="Times New Roman"/>
      <w:b w:val="0"/>
      <w:caps w:val="0"/>
    </w:rPr>
  </w:style>
  <w:style w:type="paragraph" w:customStyle="1" w:styleId="C-PLR-TableFootnote">
    <w:name w:val="C-PLR-Table Footnote"/>
    <w:next w:val="C-PLR-BodyText"/>
    <w:rsid w:val="00752228"/>
    <w:pPr>
      <w:tabs>
        <w:tab w:val="left" w:pos="432"/>
      </w:tabs>
      <w:ind w:left="432" w:hanging="432"/>
    </w:pPr>
    <w:rPr>
      <w:rFonts w:ascii="Times New Roman" w:hAnsi="Times New Roman"/>
      <w:sz w:val="16"/>
      <w:lang w:val="en-US" w:eastAsia="en-US"/>
    </w:rPr>
  </w:style>
  <w:style w:type="character" w:customStyle="1" w:styleId="C-Hyperlink">
    <w:name w:val="C-Hyperlink"/>
    <w:rsid w:val="00752228"/>
    <w:rPr>
      <w:color w:val="0000FF"/>
    </w:rPr>
  </w:style>
  <w:style w:type="table" w:customStyle="1" w:styleId="C-Table">
    <w:name w:val="C-Table"/>
    <w:basedOn w:val="TableNormal"/>
    <w:rsid w:val="00752228"/>
    <w:rPr>
      <w:rFonts w:ascii="Times New Roman" w:hAnsi="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752228"/>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PLR-AlphabeticList">
    <w:name w:val="C-PLR-Alphabetic List"/>
    <w:rsid w:val="00752228"/>
    <w:pPr>
      <w:numPr>
        <w:numId w:val="6"/>
      </w:numPr>
    </w:pPr>
    <w:rPr>
      <w:rFonts w:ascii="Times New Roman" w:hAnsi="Times New Roman" w:cs="Arial"/>
      <w:sz w:val="16"/>
      <w:lang w:val="en-US" w:eastAsia="en-US"/>
    </w:rPr>
  </w:style>
  <w:style w:type="paragraph" w:customStyle="1" w:styleId="C-PLR-CaptionContinued">
    <w:name w:val="C-PLR-Caption Continued"/>
    <w:next w:val="C-PLR-BodyText"/>
    <w:rsid w:val="00752228"/>
    <w:pPr>
      <w:keepNext/>
      <w:ind w:left="360" w:hanging="360"/>
    </w:pPr>
    <w:rPr>
      <w:rFonts w:ascii="Times New Roman Bold" w:hAnsi="Times New Roman Bold" w:cs="Arial"/>
      <w:b/>
      <w:sz w:val="16"/>
      <w:lang w:val="en-US" w:eastAsia="en-US"/>
    </w:rPr>
  </w:style>
  <w:style w:type="paragraph" w:customStyle="1" w:styleId="C-PLR-Heading1">
    <w:name w:val="C-PLR-Heading 1"/>
    <w:next w:val="C-PLR-BodyText"/>
    <w:rsid w:val="00752228"/>
    <w:pPr>
      <w:keepNext/>
      <w:numPr>
        <w:numId w:val="5"/>
      </w:numPr>
      <w:tabs>
        <w:tab w:val="clear" w:pos="1080"/>
        <w:tab w:val="left" w:pos="720"/>
      </w:tabs>
      <w:ind w:left="720" w:hanging="720"/>
      <w:outlineLvl w:val="0"/>
    </w:pPr>
    <w:rPr>
      <w:rFonts w:ascii="Times New Roman Bold" w:hAnsi="Times New Roman Bold"/>
      <w:caps/>
      <w:sz w:val="16"/>
      <w:lang w:val="en-US" w:eastAsia="en-US"/>
    </w:rPr>
  </w:style>
  <w:style w:type="paragraph" w:customStyle="1" w:styleId="C-PLR-Heading1nopagebreak">
    <w:name w:val="C-PLR-Heading 1 (no page break)"/>
    <w:basedOn w:val="C-PLR-Heading1"/>
    <w:next w:val="C-PLR-BodyText"/>
    <w:rsid w:val="00752228"/>
  </w:style>
  <w:style w:type="paragraph" w:customStyle="1" w:styleId="C-PLR-Heading2">
    <w:name w:val="C-PLR-Heading 2"/>
    <w:next w:val="C-PLR-BodyText"/>
    <w:rsid w:val="00752228"/>
    <w:pPr>
      <w:numPr>
        <w:ilvl w:val="1"/>
        <w:numId w:val="5"/>
      </w:numPr>
      <w:tabs>
        <w:tab w:val="clear" w:pos="1080"/>
        <w:tab w:val="left" w:pos="720"/>
      </w:tabs>
      <w:ind w:left="720" w:hanging="720"/>
      <w:outlineLvl w:val="1"/>
    </w:pPr>
    <w:rPr>
      <w:rFonts w:ascii="Times New Roman Bold" w:hAnsi="Times New Roman Bold" w:cs="Arial"/>
      <w:sz w:val="16"/>
      <w:lang w:val="en-US" w:eastAsia="en-US"/>
    </w:rPr>
  </w:style>
  <w:style w:type="paragraph" w:customStyle="1" w:styleId="C-PLR-Heading3">
    <w:name w:val="C-PLR-Heading 3"/>
    <w:next w:val="C-PLR-BodyText"/>
    <w:rsid w:val="00752228"/>
    <w:pPr>
      <w:numPr>
        <w:ilvl w:val="2"/>
        <w:numId w:val="5"/>
      </w:numPr>
      <w:tabs>
        <w:tab w:val="clear" w:pos="1080"/>
        <w:tab w:val="left" w:pos="720"/>
      </w:tabs>
      <w:ind w:left="720" w:hanging="720"/>
      <w:outlineLvl w:val="2"/>
    </w:pPr>
    <w:rPr>
      <w:rFonts w:ascii="Times New Roman Bold" w:hAnsi="Times New Roman Bold" w:cs="Arial"/>
      <w:sz w:val="16"/>
      <w:lang w:val="en-US" w:eastAsia="en-US"/>
    </w:rPr>
  </w:style>
  <w:style w:type="paragraph" w:customStyle="1" w:styleId="C-PLR-Heading3non-numbered">
    <w:name w:val="C-PLR-Heading 3 (non-numbered)"/>
    <w:basedOn w:val="C-PLR-Heading3"/>
    <w:next w:val="C-PLR-BodyText"/>
    <w:rsid w:val="00752228"/>
    <w:pPr>
      <w:numPr>
        <w:ilvl w:val="0"/>
        <w:numId w:val="0"/>
      </w:numPr>
      <w:ind w:left="720" w:hanging="720"/>
    </w:pPr>
  </w:style>
  <w:style w:type="paragraph" w:customStyle="1" w:styleId="C-PLR-Heading4">
    <w:name w:val="C-PLR-Heading 4"/>
    <w:next w:val="C-PLR-BodyText"/>
    <w:rsid w:val="00752228"/>
    <w:pPr>
      <w:numPr>
        <w:ilvl w:val="3"/>
        <w:numId w:val="5"/>
      </w:numPr>
      <w:tabs>
        <w:tab w:val="clear" w:pos="1080"/>
        <w:tab w:val="left" w:pos="720"/>
      </w:tabs>
      <w:ind w:left="720" w:hanging="720"/>
      <w:outlineLvl w:val="3"/>
    </w:pPr>
    <w:rPr>
      <w:rFonts w:ascii="Times New Roman Bold" w:hAnsi="Times New Roman Bold" w:cs="Arial"/>
      <w:sz w:val="16"/>
      <w:lang w:val="en-US" w:eastAsia="en-US"/>
    </w:rPr>
  </w:style>
  <w:style w:type="paragraph" w:customStyle="1" w:styleId="C-PLR-Heading4non-numbered">
    <w:name w:val="C-PLR-Heading 4 (non-numbered)"/>
    <w:basedOn w:val="C-PLR-Heading4"/>
    <w:next w:val="C-PLR-BodyText"/>
    <w:rsid w:val="00752228"/>
    <w:pPr>
      <w:numPr>
        <w:ilvl w:val="0"/>
        <w:numId w:val="0"/>
      </w:numPr>
      <w:ind w:left="720" w:hanging="720"/>
    </w:pPr>
  </w:style>
  <w:style w:type="paragraph" w:customStyle="1" w:styleId="C-PLR-Heading5">
    <w:name w:val="C-PLR-Heading 5"/>
    <w:next w:val="C-PLR-BodyText"/>
    <w:rsid w:val="00752228"/>
    <w:pPr>
      <w:numPr>
        <w:ilvl w:val="4"/>
        <w:numId w:val="5"/>
      </w:numPr>
      <w:tabs>
        <w:tab w:val="clear" w:pos="1080"/>
        <w:tab w:val="left" w:pos="720"/>
      </w:tabs>
      <w:ind w:left="720" w:hanging="720"/>
      <w:outlineLvl w:val="4"/>
    </w:pPr>
    <w:rPr>
      <w:rFonts w:ascii="Times New Roman Bold" w:hAnsi="Times New Roman Bold" w:cs="Arial"/>
      <w:sz w:val="16"/>
      <w:lang w:val="en-US" w:eastAsia="en-US"/>
    </w:rPr>
  </w:style>
  <w:style w:type="paragraph" w:customStyle="1" w:styleId="C-PLR-Heading5non-numbered">
    <w:name w:val="C-PLR-Heading 5 (non-numbered)"/>
    <w:basedOn w:val="C-PLR-Heading5"/>
    <w:next w:val="C-PLR-BodyText"/>
    <w:rsid w:val="00752228"/>
    <w:pPr>
      <w:numPr>
        <w:ilvl w:val="0"/>
        <w:numId w:val="0"/>
      </w:numPr>
      <w:ind w:left="720" w:hanging="720"/>
    </w:pPr>
  </w:style>
  <w:style w:type="paragraph" w:customStyle="1" w:styleId="C-PLR-Heading6">
    <w:name w:val="C-PLR-Heading 6"/>
    <w:next w:val="C-PLR-BodyText"/>
    <w:rsid w:val="00752228"/>
    <w:pPr>
      <w:numPr>
        <w:ilvl w:val="5"/>
        <w:numId w:val="5"/>
      </w:numPr>
      <w:tabs>
        <w:tab w:val="clear" w:pos="1080"/>
        <w:tab w:val="left" w:pos="864"/>
      </w:tabs>
      <w:ind w:left="864" w:hanging="864"/>
      <w:outlineLvl w:val="5"/>
    </w:pPr>
    <w:rPr>
      <w:rFonts w:ascii="Times New Roman Bold" w:hAnsi="Times New Roman Bold" w:cs="Arial"/>
      <w:sz w:val="16"/>
      <w:lang w:val="en-US" w:eastAsia="en-US"/>
    </w:rPr>
  </w:style>
  <w:style w:type="paragraph" w:customStyle="1" w:styleId="C-PLR-Heading6non-numbered">
    <w:name w:val="C-PLR-Heading 6 (non-numbered)"/>
    <w:basedOn w:val="C-PLR-Heading6"/>
    <w:next w:val="C-PLR-BodyText"/>
    <w:rsid w:val="00752228"/>
    <w:pPr>
      <w:numPr>
        <w:ilvl w:val="0"/>
        <w:numId w:val="0"/>
      </w:numPr>
      <w:ind w:left="864" w:hanging="864"/>
    </w:pPr>
  </w:style>
  <w:style w:type="paragraph" w:customStyle="1" w:styleId="C-PLR-InstructionText">
    <w:name w:val="C-PLR-Instruction Text"/>
    <w:rsid w:val="00752228"/>
    <w:rPr>
      <w:rFonts w:ascii="Times New Roman Bold" w:hAnsi="Times New Roman Bold" w:cs="Arial"/>
      <w:vanish/>
      <w:color w:val="FF0000"/>
      <w:sz w:val="16"/>
      <w:lang w:val="en-US" w:eastAsia="en-US"/>
    </w:rPr>
  </w:style>
  <w:style w:type="paragraph" w:customStyle="1" w:styleId="C-PLR-TOC3">
    <w:name w:val="C-PLR-TOC 3"/>
    <w:basedOn w:val="C-PLR-TOC1"/>
    <w:next w:val="C-PLR-BodyText"/>
    <w:rsid w:val="00752228"/>
    <w:pPr>
      <w:tabs>
        <w:tab w:val="left" w:pos="432"/>
      </w:tabs>
      <w:ind w:left="864"/>
    </w:pPr>
    <w:rPr>
      <w:rFonts w:ascii="Times New Roman" w:hAnsi="Times New Roman"/>
      <w:b w:val="0"/>
      <w:caps w:val="0"/>
    </w:rPr>
  </w:style>
  <w:style w:type="paragraph" w:customStyle="1" w:styleId="C-PLR-TOC4">
    <w:name w:val="C-PLR-TOC 4"/>
    <w:basedOn w:val="C-PLR-TOC1"/>
    <w:next w:val="C-PLR-BodyText"/>
    <w:rsid w:val="00752228"/>
    <w:pPr>
      <w:tabs>
        <w:tab w:val="left" w:pos="432"/>
      </w:tabs>
      <w:ind w:left="864"/>
    </w:pPr>
    <w:rPr>
      <w:rFonts w:ascii="Times New Roman" w:hAnsi="Times New Roman"/>
      <w:b w:val="0"/>
      <w:caps w:val="0"/>
    </w:rPr>
  </w:style>
  <w:style w:type="paragraph" w:styleId="BodyTextFirstIndent2">
    <w:name w:val="Body Text First Indent 2"/>
    <w:basedOn w:val="BodyTextIndent"/>
    <w:link w:val="BodyTextFirstIndent2Char"/>
    <w:rsid w:val="00752228"/>
    <w:pPr>
      <w:ind w:firstLine="210"/>
    </w:pPr>
  </w:style>
  <w:style w:type="character" w:customStyle="1" w:styleId="BodyTextIndentChar">
    <w:name w:val="Body Text Indent Char"/>
    <w:basedOn w:val="DefaultParagraphFont"/>
    <w:link w:val="BodyTextIndent"/>
    <w:rsid w:val="00191FA0"/>
    <w:rPr>
      <w:rFonts w:ascii="Times New Roman" w:hAnsi="Times New Roman" w:cs="Arial"/>
      <w:sz w:val="24"/>
      <w:lang w:val="en-US" w:eastAsia="en-US"/>
    </w:rPr>
  </w:style>
  <w:style w:type="character" w:customStyle="1" w:styleId="BodyTextFirstIndent2Char">
    <w:name w:val="Body Text First Indent 2 Char"/>
    <w:basedOn w:val="BodyTextIndentChar"/>
    <w:link w:val="BodyTextFirstIndent2"/>
    <w:rsid w:val="00191FA0"/>
    <w:rPr>
      <w:rFonts w:ascii="Times New Roman" w:hAnsi="Times New Roman" w:cs="Arial"/>
      <w:sz w:val="24"/>
      <w:lang w:val="en-US" w:eastAsia="en-US"/>
    </w:rPr>
  </w:style>
  <w:style w:type="paragraph" w:customStyle="1" w:styleId="C-PLR-Heading1non-numbered">
    <w:name w:val="C-PLR-Heading 1 (non-numbered)"/>
    <w:basedOn w:val="C-PLR-Heading1"/>
    <w:next w:val="C-PLR-BodyText"/>
    <w:rsid w:val="00752228"/>
    <w:pPr>
      <w:numPr>
        <w:numId w:val="0"/>
      </w:numPr>
      <w:ind w:left="720" w:hanging="720"/>
    </w:pPr>
  </w:style>
  <w:style w:type="paragraph" w:customStyle="1" w:styleId="C-AppendixNumbered">
    <w:name w:val="C-Appendix (Numbered)"/>
    <w:basedOn w:val="C-Appendix"/>
    <w:next w:val="C-BodyText"/>
    <w:rsid w:val="00752228"/>
    <w:pPr>
      <w:numPr>
        <w:numId w:val="8"/>
      </w:numPr>
      <w:tabs>
        <w:tab w:val="left" w:pos="1987"/>
      </w:tabs>
    </w:pPr>
  </w:style>
  <w:style w:type="numbering" w:customStyle="1" w:styleId="SPNumberedTabs">
    <w:name w:val="SP Numbered Tabs"/>
    <w:rsid w:val="00752228"/>
    <w:pPr>
      <w:numPr>
        <w:numId w:val="9"/>
      </w:numPr>
    </w:pPr>
  </w:style>
  <w:style w:type="numbering" w:customStyle="1" w:styleId="SPBulletTabs">
    <w:name w:val="SP Bullet Tabs"/>
    <w:rsid w:val="00752228"/>
    <w:pPr>
      <w:numPr>
        <w:numId w:val="10"/>
      </w:numPr>
    </w:pPr>
  </w:style>
  <w:style w:type="paragraph" w:customStyle="1" w:styleId="C-Alphabetic">
    <w:name w:val="C-Alphabetic"/>
    <w:basedOn w:val="C-Heading1"/>
    <w:next w:val="C-BodyText"/>
    <w:link w:val="C-AlphabeticChar"/>
    <w:qFormat/>
    <w:rsid w:val="00752228"/>
    <w:pPr>
      <w:numPr>
        <w:numId w:val="12"/>
      </w:numPr>
      <w:tabs>
        <w:tab w:val="left" w:pos="1080"/>
      </w:tabs>
      <w:ind w:left="1080" w:hanging="1080"/>
    </w:pPr>
  </w:style>
  <w:style w:type="paragraph" w:customStyle="1" w:styleId="C-Footnote">
    <w:name w:val="C-Footnote"/>
    <w:basedOn w:val="C-TableFootnote"/>
    <w:qFormat/>
    <w:rsid w:val="00752228"/>
    <w:pPr>
      <w:ind w:left="0" w:firstLine="0"/>
    </w:pPr>
  </w:style>
  <w:style w:type="character" w:customStyle="1" w:styleId="C-Heading1Char">
    <w:name w:val="C-Heading 1 Char"/>
    <w:link w:val="C-Heading1"/>
    <w:rsid w:val="00752228"/>
    <w:rPr>
      <w:rFonts w:ascii="Times New Roman" w:hAnsi="Times New Roman"/>
      <w:b/>
      <w:caps/>
      <w:sz w:val="28"/>
      <w:lang w:val="en-US" w:eastAsia="en-US"/>
    </w:rPr>
  </w:style>
  <w:style w:type="character" w:customStyle="1" w:styleId="C-AlphabeticChar">
    <w:name w:val="C-Alphabetic Char"/>
    <w:basedOn w:val="C-Heading1Char"/>
    <w:link w:val="C-Alphabetic"/>
    <w:rsid w:val="00752228"/>
    <w:rPr>
      <w:rFonts w:ascii="Times New Roman" w:hAnsi="Times New Roman"/>
      <w:b/>
      <w:caps/>
      <w:sz w:val="28"/>
      <w:lang w:val="en-US" w:eastAsia="en-US"/>
    </w:rPr>
  </w:style>
  <w:style w:type="paragraph" w:styleId="ListParagraph">
    <w:name w:val="List Paragraph"/>
    <w:basedOn w:val="Normal"/>
    <w:uiPriority w:val="34"/>
    <w:qFormat/>
    <w:rsid w:val="00E93B9F"/>
    <w:pPr>
      <w:ind w:left="720"/>
      <w:contextualSpacing/>
    </w:pPr>
  </w:style>
  <w:style w:type="character" w:customStyle="1" w:styleId="apple-converted-space">
    <w:name w:val="apple-converted-space"/>
    <w:basedOn w:val="DefaultParagraphFont"/>
    <w:rsid w:val="002E4D1F"/>
  </w:style>
  <w:style w:type="paragraph" w:styleId="NormalWeb">
    <w:name w:val="Normal (Web)"/>
    <w:basedOn w:val="Normal"/>
    <w:uiPriority w:val="99"/>
    <w:semiHidden/>
    <w:unhideWhenUsed/>
    <w:rsid w:val="002E4D1F"/>
    <w:pPr>
      <w:spacing w:before="100" w:beforeAutospacing="1" w:after="100" w:afterAutospacing="1"/>
    </w:pPr>
    <w:rPr>
      <w:rFonts w:cs="Times New Roman"/>
      <w:szCs w:val="24"/>
      <w:lang w:val="en-AU" w:eastAsia="zh-CN"/>
    </w:rPr>
  </w:style>
  <w:style w:type="character" w:styleId="Strong">
    <w:name w:val="Strong"/>
    <w:basedOn w:val="DefaultParagraphFont"/>
    <w:uiPriority w:val="22"/>
    <w:qFormat/>
    <w:rsid w:val="002E4D1F"/>
    <w:rPr>
      <w:b/>
      <w:bCs/>
    </w:rPr>
  </w:style>
  <w:style w:type="paragraph" w:styleId="Date">
    <w:name w:val="Date"/>
    <w:basedOn w:val="Normal"/>
    <w:next w:val="Normal"/>
    <w:link w:val="DateChar"/>
    <w:uiPriority w:val="99"/>
    <w:semiHidden/>
    <w:unhideWhenUsed/>
    <w:rsid w:val="0045330A"/>
  </w:style>
  <w:style w:type="character" w:customStyle="1" w:styleId="DateChar">
    <w:name w:val="Date Char"/>
    <w:basedOn w:val="DefaultParagraphFont"/>
    <w:link w:val="Date"/>
    <w:uiPriority w:val="99"/>
    <w:semiHidden/>
    <w:rsid w:val="0045330A"/>
    <w:rPr>
      <w:rFonts w:ascii="Times New Roman" w:hAnsi="Times New Roman" w:cs="Arial"/>
      <w:sz w:val="24"/>
      <w:lang w:val="en-US" w:eastAsia="en-US"/>
    </w:rPr>
  </w:style>
  <w:style w:type="character" w:styleId="FootnoteReference">
    <w:name w:val="footnote reference"/>
    <w:basedOn w:val="DefaultParagraphFont"/>
    <w:uiPriority w:val="99"/>
    <w:semiHidden/>
    <w:unhideWhenUsed/>
    <w:rsid w:val="0058616F"/>
    <w:rPr>
      <w:vertAlign w:val="superscript"/>
    </w:rPr>
  </w:style>
  <w:style w:type="paragraph" w:customStyle="1" w:styleId="Title1">
    <w:name w:val="Title1"/>
    <w:basedOn w:val="Normal"/>
    <w:rsid w:val="00726431"/>
    <w:pPr>
      <w:spacing w:before="100" w:beforeAutospacing="1" w:after="100" w:afterAutospacing="1"/>
    </w:pPr>
    <w:rPr>
      <w:rFonts w:cs="Times New Roman"/>
      <w:szCs w:val="24"/>
      <w:lang w:val="en-AU" w:eastAsia="en-AU"/>
    </w:rPr>
  </w:style>
  <w:style w:type="paragraph" w:customStyle="1" w:styleId="desc">
    <w:name w:val="desc"/>
    <w:basedOn w:val="Normal"/>
    <w:rsid w:val="00726431"/>
    <w:pPr>
      <w:spacing w:before="100" w:beforeAutospacing="1" w:after="100" w:afterAutospacing="1"/>
    </w:pPr>
    <w:rPr>
      <w:rFonts w:cs="Times New Roman"/>
      <w:szCs w:val="24"/>
      <w:lang w:val="en-AU" w:eastAsia="en-AU"/>
    </w:rPr>
  </w:style>
  <w:style w:type="paragraph" w:customStyle="1" w:styleId="details">
    <w:name w:val="details"/>
    <w:basedOn w:val="Normal"/>
    <w:rsid w:val="00726431"/>
    <w:pPr>
      <w:spacing w:before="100" w:beforeAutospacing="1" w:after="100" w:afterAutospacing="1"/>
    </w:pPr>
    <w:rPr>
      <w:rFonts w:cs="Times New Roman"/>
      <w:szCs w:val="24"/>
      <w:lang w:val="en-AU" w:eastAsia="en-AU"/>
    </w:rPr>
  </w:style>
  <w:style w:type="character" w:customStyle="1" w:styleId="jrnl">
    <w:name w:val="jrnl"/>
    <w:basedOn w:val="DefaultParagraphFont"/>
    <w:rsid w:val="00726431"/>
  </w:style>
  <w:style w:type="character" w:styleId="FollowedHyperlink">
    <w:name w:val="FollowedHyperlink"/>
    <w:basedOn w:val="DefaultParagraphFont"/>
    <w:uiPriority w:val="99"/>
    <w:semiHidden/>
    <w:unhideWhenUsed/>
    <w:rsid w:val="00FC12A7"/>
    <w:rPr>
      <w:color w:val="800080" w:themeColor="followedHyperlink"/>
      <w:u w:val="single"/>
    </w:rPr>
  </w:style>
  <w:style w:type="paragraph" w:customStyle="1" w:styleId="Title2">
    <w:name w:val="Title2"/>
    <w:basedOn w:val="Normal"/>
    <w:rsid w:val="00BD14AC"/>
    <w:pPr>
      <w:spacing w:before="100" w:beforeAutospacing="1" w:after="100" w:afterAutospacing="1"/>
    </w:pPr>
    <w:rPr>
      <w:rFonts w:cs="Times New Roman"/>
      <w:szCs w:val="24"/>
      <w:lang w:val="en-AU" w:eastAsia="en-AU"/>
    </w:rPr>
  </w:style>
  <w:style w:type="character" w:customStyle="1" w:styleId="UnresolvedMention">
    <w:name w:val="Unresolved Mention"/>
    <w:basedOn w:val="DefaultParagraphFont"/>
    <w:uiPriority w:val="99"/>
    <w:semiHidden/>
    <w:unhideWhenUsed/>
    <w:rsid w:val="007F4831"/>
    <w:rPr>
      <w:color w:val="808080"/>
      <w:shd w:val="clear" w:color="auto" w:fill="E6E6E6"/>
    </w:rPr>
  </w:style>
  <w:style w:type="table" w:styleId="TableGrid">
    <w:name w:val="Table Grid"/>
    <w:basedOn w:val="TableNormal"/>
    <w:uiPriority w:val="59"/>
    <w:rsid w:val="00C552C9"/>
    <w:rPr>
      <w:rFonts w:asciiTheme="minorHAnsi" w:eastAsia="Cambr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721734">
      <w:bodyDiv w:val="1"/>
      <w:marLeft w:val="0"/>
      <w:marRight w:val="0"/>
      <w:marTop w:val="0"/>
      <w:marBottom w:val="0"/>
      <w:divBdr>
        <w:top w:val="none" w:sz="0" w:space="0" w:color="auto"/>
        <w:left w:val="none" w:sz="0" w:space="0" w:color="auto"/>
        <w:bottom w:val="none" w:sz="0" w:space="0" w:color="auto"/>
        <w:right w:val="none" w:sz="0" w:space="0" w:color="auto"/>
      </w:divBdr>
      <w:divsChild>
        <w:div w:id="541594176">
          <w:marLeft w:val="0"/>
          <w:marRight w:val="0"/>
          <w:marTop w:val="34"/>
          <w:marBottom w:val="34"/>
          <w:divBdr>
            <w:top w:val="none" w:sz="0" w:space="0" w:color="auto"/>
            <w:left w:val="none" w:sz="0" w:space="0" w:color="auto"/>
            <w:bottom w:val="none" w:sz="0" w:space="0" w:color="auto"/>
            <w:right w:val="none" w:sz="0" w:space="0" w:color="auto"/>
          </w:divBdr>
        </w:div>
      </w:divsChild>
    </w:div>
    <w:div w:id="539905318">
      <w:bodyDiv w:val="1"/>
      <w:marLeft w:val="0"/>
      <w:marRight w:val="0"/>
      <w:marTop w:val="0"/>
      <w:marBottom w:val="0"/>
      <w:divBdr>
        <w:top w:val="none" w:sz="0" w:space="0" w:color="auto"/>
        <w:left w:val="none" w:sz="0" w:space="0" w:color="auto"/>
        <w:bottom w:val="none" w:sz="0" w:space="0" w:color="auto"/>
        <w:right w:val="none" w:sz="0" w:space="0" w:color="auto"/>
      </w:divBdr>
    </w:div>
    <w:div w:id="1040976055">
      <w:bodyDiv w:val="1"/>
      <w:marLeft w:val="0"/>
      <w:marRight w:val="0"/>
      <w:marTop w:val="0"/>
      <w:marBottom w:val="0"/>
      <w:divBdr>
        <w:top w:val="none" w:sz="0" w:space="0" w:color="auto"/>
        <w:left w:val="none" w:sz="0" w:space="0" w:color="auto"/>
        <w:bottom w:val="none" w:sz="0" w:space="0" w:color="auto"/>
        <w:right w:val="none" w:sz="0" w:space="0" w:color="auto"/>
      </w:divBdr>
    </w:div>
    <w:div w:id="1048649519">
      <w:bodyDiv w:val="1"/>
      <w:marLeft w:val="0"/>
      <w:marRight w:val="0"/>
      <w:marTop w:val="0"/>
      <w:marBottom w:val="0"/>
      <w:divBdr>
        <w:top w:val="none" w:sz="0" w:space="0" w:color="auto"/>
        <w:left w:val="none" w:sz="0" w:space="0" w:color="auto"/>
        <w:bottom w:val="none" w:sz="0" w:space="0" w:color="auto"/>
        <w:right w:val="none" w:sz="0" w:space="0" w:color="auto"/>
      </w:divBdr>
      <w:divsChild>
        <w:div w:id="817185361">
          <w:marLeft w:val="0"/>
          <w:marRight w:val="0"/>
          <w:marTop w:val="34"/>
          <w:marBottom w:val="34"/>
          <w:divBdr>
            <w:top w:val="none" w:sz="0" w:space="0" w:color="auto"/>
            <w:left w:val="none" w:sz="0" w:space="0" w:color="auto"/>
            <w:bottom w:val="none" w:sz="0" w:space="0" w:color="auto"/>
            <w:right w:val="none" w:sz="0" w:space="0" w:color="auto"/>
          </w:divBdr>
        </w:div>
      </w:divsChild>
    </w:div>
    <w:div w:id="1158616360">
      <w:bodyDiv w:val="1"/>
      <w:marLeft w:val="0"/>
      <w:marRight w:val="0"/>
      <w:marTop w:val="0"/>
      <w:marBottom w:val="0"/>
      <w:divBdr>
        <w:top w:val="none" w:sz="0" w:space="0" w:color="auto"/>
        <w:left w:val="none" w:sz="0" w:space="0" w:color="auto"/>
        <w:bottom w:val="none" w:sz="0" w:space="0" w:color="auto"/>
        <w:right w:val="none" w:sz="0" w:space="0" w:color="auto"/>
      </w:divBdr>
    </w:div>
    <w:div w:id="1423066828">
      <w:bodyDiv w:val="1"/>
      <w:marLeft w:val="0"/>
      <w:marRight w:val="0"/>
      <w:marTop w:val="0"/>
      <w:marBottom w:val="0"/>
      <w:divBdr>
        <w:top w:val="none" w:sz="0" w:space="0" w:color="auto"/>
        <w:left w:val="none" w:sz="0" w:space="0" w:color="auto"/>
        <w:bottom w:val="none" w:sz="0" w:space="0" w:color="auto"/>
        <w:right w:val="none" w:sz="0" w:space="0" w:color="auto"/>
      </w:divBdr>
      <w:divsChild>
        <w:div w:id="1549952450">
          <w:marLeft w:val="240"/>
          <w:marRight w:val="0"/>
          <w:marTop w:val="0"/>
          <w:marBottom w:val="0"/>
          <w:divBdr>
            <w:top w:val="none" w:sz="0" w:space="0" w:color="auto"/>
            <w:left w:val="none" w:sz="0" w:space="0" w:color="auto"/>
            <w:bottom w:val="none" w:sz="0" w:space="0" w:color="auto"/>
            <w:right w:val="none" w:sz="0" w:space="0" w:color="auto"/>
          </w:divBdr>
        </w:div>
        <w:div w:id="1980912371">
          <w:marLeft w:val="240"/>
          <w:marRight w:val="0"/>
          <w:marTop w:val="0"/>
          <w:marBottom w:val="0"/>
          <w:divBdr>
            <w:top w:val="none" w:sz="0" w:space="0" w:color="auto"/>
            <w:left w:val="none" w:sz="0" w:space="0" w:color="auto"/>
            <w:bottom w:val="none" w:sz="0" w:space="0" w:color="auto"/>
            <w:right w:val="none" w:sz="0" w:space="0" w:color="auto"/>
          </w:divBdr>
        </w:div>
      </w:divsChild>
    </w:div>
    <w:div w:id="209578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aynepharma.com/products/australian-product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rn0\AppData\Roaming\Microsoft\Templates\Autho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3C474-2AE1-4318-A929-99E3B103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Author.dotm</Template>
  <TotalTime>8</TotalTime>
  <Pages>21</Pages>
  <Words>6977</Words>
  <Characters>40516</Characters>
  <Application>Microsoft Office Word</Application>
  <DocSecurity>0</DocSecurity>
  <Lines>337</Lines>
  <Paragraphs>94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Kapanol Issue 8</vt:lpstr>
      <vt:lpstr>Kapanol Issue 8</vt:lpstr>
    </vt:vector>
  </TitlesOfParts>
  <Company>GlaxoSmithKline Australia Pty Ltd</Company>
  <LinksUpToDate>false</LinksUpToDate>
  <CharactersWithSpaces>47399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Morphine sulfate pentahydrate</dc:title>
  <dc:subject>Prescription medicines</dc:subject>
  <dc:creator>Roula Robotis</dc:creator>
  <cp:keywords>AusPARs</cp:keywords>
  <cp:lastPrinted>2018-11-28T04:56:00Z</cp:lastPrinted>
  <dcterms:created xsi:type="dcterms:W3CDTF">2019-07-18T05:18:00Z</dcterms:created>
  <dcterms:modified xsi:type="dcterms:W3CDTF">2019-07-18T05:26:00Z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ble and figure numbering style">
    <vt:lpwstr>Document</vt:lpwstr>
  </property>
</Properties>
</file>