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D0" w:rsidRDefault="00BE670B">
      <w:pPr>
        <w:pStyle w:val="BodyText"/>
        <w:spacing w:before="28"/>
        <w:ind w:right="278" w:hanging="1"/>
      </w:pPr>
      <w:r>
        <w:rPr>
          <w:noProof/>
          <w:lang w:val="en-AU" w:eastAsia="en-AU"/>
        </w:rPr>
        <w:drawing>
          <wp:inline distT="0" distB="0" distL="0" distR="0">
            <wp:extent cx="167005" cy="166369"/>
            <wp:effectExtent l="0" t="0" r="0" b="0"/>
            <wp:docPr id="1" name="image1.png"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005" cy="166369"/>
                    </a:xfrm>
                    <a:prstGeom prst="rect">
                      <a:avLst/>
                    </a:prstGeom>
                  </pic:spPr>
                </pic:pic>
              </a:graphicData>
            </a:graphic>
          </wp:inline>
        </w:drawing>
      </w:r>
      <w:bookmarkStart w:id="0" w:name="AUSTRALIAN_PRODUCT_INFORMATION_–_POTELIG"/>
      <w:bookmarkStart w:id="1" w:name="_bookmark0"/>
      <w:bookmarkEnd w:id="0"/>
      <w:bookmarkEnd w:id="1"/>
      <w:r>
        <w:t>This medicinal product is subject to additional monitoring in Australia. This will allow quick</w:t>
      </w:r>
      <w:r>
        <w:rPr>
          <w:spacing w:val="-57"/>
        </w:rPr>
        <w:t xml:space="preserve"> </w:t>
      </w:r>
      <w:r>
        <w:t>identification of new safety information. Healthcare professionals are asked to report any</w:t>
      </w:r>
      <w:r>
        <w:rPr>
          <w:spacing w:val="1"/>
        </w:rPr>
        <w:t xml:space="preserve"> </w:t>
      </w:r>
      <w:r>
        <w:t>suspected</w:t>
      </w:r>
      <w:r>
        <w:rPr>
          <w:spacing w:val="-3"/>
        </w:rPr>
        <w:t xml:space="preserve"> </w:t>
      </w:r>
      <w:r>
        <w:t>adverse events</w:t>
      </w:r>
      <w:r>
        <w:rPr>
          <w:spacing w:val="-1"/>
        </w:rPr>
        <w:t xml:space="preserve"> </w:t>
      </w:r>
      <w:r>
        <w:t>at</w:t>
      </w:r>
      <w:r>
        <w:rPr>
          <w:spacing w:val="-1"/>
        </w:rPr>
        <w:t xml:space="preserve"> </w:t>
      </w:r>
      <w:hyperlink r:id="rId8">
        <w:r>
          <w:t>www.tga.gov.au/reporting-problems.</w:t>
        </w:r>
      </w:hyperlink>
    </w:p>
    <w:p w:rsidR="008269D0" w:rsidRDefault="00BE670B" w:rsidP="007C2DAB">
      <w:pPr>
        <w:pStyle w:val="BodyText"/>
        <w:spacing w:before="120" w:after="240"/>
        <w:ind w:right="607"/>
      </w:pPr>
      <w:r>
        <w:t>Australian Product Information – POTELIGEO (mogamulizumab) concentrated solution for</w:t>
      </w:r>
      <w:r>
        <w:rPr>
          <w:spacing w:val="-57"/>
        </w:rPr>
        <w:t xml:space="preserve"> </w:t>
      </w:r>
      <w:r>
        <w:t>intravenous</w:t>
      </w:r>
      <w:r>
        <w:rPr>
          <w:spacing w:val="-2"/>
        </w:rPr>
        <w:t xml:space="preserve"> </w:t>
      </w:r>
      <w:r>
        <w:t>infusion</w:t>
      </w:r>
    </w:p>
    <w:p w:rsidR="008269D0" w:rsidRDefault="00BE670B">
      <w:pPr>
        <w:pStyle w:val="Heading1"/>
        <w:numPr>
          <w:ilvl w:val="0"/>
          <w:numId w:val="2"/>
        </w:numPr>
        <w:tabs>
          <w:tab w:val="left" w:pos="685"/>
          <w:tab w:val="left" w:pos="686"/>
        </w:tabs>
      </w:pPr>
      <w:bookmarkStart w:id="2" w:name="1._NAME_OF_THE_MEDICINE"/>
      <w:bookmarkEnd w:id="2"/>
      <w:r>
        <w:t>NAME</w:t>
      </w:r>
      <w:r>
        <w:rPr>
          <w:spacing w:val="-3"/>
        </w:rPr>
        <w:t xml:space="preserve"> </w:t>
      </w:r>
      <w:r>
        <w:t>OF</w:t>
      </w:r>
      <w:r>
        <w:rPr>
          <w:spacing w:val="-4"/>
        </w:rPr>
        <w:t xml:space="preserve"> </w:t>
      </w:r>
      <w:r>
        <w:t>THE</w:t>
      </w:r>
      <w:r>
        <w:rPr>
          <w:spacing w:val="-4"/>
        </w:rPr>
        <w:t xml:space="preserve"> </w:t>
      </w:r>
      <w:r>
        <w:t>MEDICINE</w:t>
      </w:r>
    </w:p>
    <w:p w:rsidR="008269D0" w:rsidRDefault="00BE670B" w:rsidP="007C2DAB">
      <w:pPr>
        <w:pStyle w:val="BodyText"/>
        <w:spacing w:before="239" w:after="240"/>
      </w:pPr>
      <w:r>
        <w:t>Mogamulizumab</w:t>
      </w:r>
    </w:p>
    <w:p w:rsidR="008269D0" w:rsidRDefault="00BE670B">
      <w:pPr>
        <w:pStyle w:val="Heading1"/>
        <w:numPr>
          <w:ilvl w:val="0"/>
          <w:numId w:val="2"/>
        </w:numPr>
        <w:tabs>
          <w:tab w:val="left" w:pos="685"/>
          <w:tab w:val="left" w:pos="686"/>
        </w:tabs>
      </w:pPr>
      <w:bookmarkStart w:id="3" w:name="2._QUALITATIVE_AND_QUANTITATIVE_COMPOSIT"/>
      <w:bookmarkEnd w:id="3"/>
      <w:r>
        <w:t>QUALITATIVE</w:t>
      </w:r>
      <w:r>
        <w:rPr>
          <w:spacing w:val="-8"/>
        </w:rPr>
        <w:t xml:space="preserve"> </w:t>
      </w:r>
      <w:r>
        <w:t>AND</w:t>
      </w:r>
      <w:r>
        <w:rPr>
          <w:spacing w:val="-7"/>
        </w:rPr>
        <w:t xml:space="preserve"> </w:t>
      </w:r>
      <w:r>
        <w:t>QUANTITATIVE</w:t>
      </w:r>
      <w:r>
        <w:rPr>
          <w:spacing w:val="-7"/>
        </w:rPr>
        <w:t xml:space="preserve"> </w:t>
      </w:r>
      <w:r>
        <w:t>COMPOSITION</w:t>
      </w:r>
    </w:p>
    <w:p w:rsidR="008269D0" w:rsidRDefault="00BE670B">
      <w:pPr>
        <w:pStyle w:val="BodyText"/>
        <w:spacing w:before="238"/>
        <w:ind w:right="594"/>
      </w:pPr>
      <w:r>
        <w:t>Each vial of POTELIGEO contains 20 mg of mogamulizumab, a recombinant defucosylated</w:t>
      </w:r>
      <w:r>
        <w:rPr>
          <w:spacing w:val="-57"/>
        </w:rPr>
        <w:t xml:space="preserve"> </w:t>
      </w:r>
      <w:r>
        <w:rPr>
          <w:position w:val="1"/>
        </w:rPr>
        <w:t>humanised IgG</w:t>
      </w:r>
      <w:r>
        <w:rPr>
          <w:sz w:val="16"/>
        </w:rPr>
        <w:t>1</w:t>
      </w:r>
      <w:r>
        <w:rPr>
          <w:spacing w:val="1"/>
          <w:sz w:val="16"/>
        </w:rPr>
        <w:t xml:space="preserve"> </w:t>
      </w:r>
      <w:r>
        <w:rPr>
          <w:position w:val="1"/>
        </w:rPr>
        <w:t>kappa monoclonal antibody produced in Chinese hamster ovary cells by</w:t>
      </w:r>
      <w:r>
        <w:rPr>
          <w:spacing w:val="1"/>
          <w:position w:val="1"/>
        </w:rPr>
        <w:t xml:space="preserve"> </w:t>
      </w:r>
      <w:r>
        <w:t>recombinant</w:t>
      </w:r>
      <w:r>
        <w:rPr>
          <w:spacing w:val="-1"/>
        </w:rPr>
        <w:t xml:space="preserve"> </w:t>
      </w:r>
      <w:r>
        <w:t>DNA</w:t>
      </w:r>
      <w:r>
        <w:rPr>
          <w:spacing w:val="-1"/>
        </w:rPr>
        <w:t xml:space="preserve"> </w:t>
      </w:r>
      <w:r>
        <w:t>technology.</w:t>
      </w:r>
    </w:p>
    <w:p w:rsidR="008269D0" w:rsidRDefault="00BE670B" w:rsidP="007C2DAB">
      <w:pPr>
        <w:pStyle w:val="BodyText"/>
        <w:spacing w:before="120" w:after="240"/>
      </w:pPr>
      <w:r>
        <w:t>For</w:t>
      </w:r>
      <w:r>
        <w:rPr>
          <w:spacing w:val="-1"/>
        </w:rPr>
        <w:t xml:space="preserve"> </w:t>
      </w:r>
      <w:r>
        <w:t>the</w:t>
      </w:r>
      <w:r>
        <w:rPr>
          <w:spacing w:val="-1"/>
        </w:rPr>
        <w:t xml:space="preserve"> </w:t>
      </w:r>
      <w:r>
        <w:t>full</w:t>
      </w:r>
      <w:r>
        <w:rPr>
          <w:spacing w:val="-2"/>
        </w:rPr>
        <w:t xml:space="preserve"> </w:t>
      </w:r>
      <w:r>
        <w:t>list of</w:t>
      </w:r>
      <w:r>
        <w:rPr>
          <w:spacing w:val="-2"/>
        </w:rPr>
        <w:t xml:space="preserve"> </w:t>
      </w:r>
      <w:r>
        <w:t>excipients,</w:t>
      </w:r>
      <w:r>
        <w:rPr>
          <w:spacing w:val="-1"/>
        </w:rPr>
        <w:t xml:space="preserve"> </w:t>
      </w:r>
      <w:r>
        <w:t>see</w:t>
      </w:r>
      <w:r>
        <w:rPr>
          <w:spacing w:val="-2"/>
        </w:rPr>
        <w:t xml:space="preserve"> </w:t>
      </w:r>
      <w:hyperlink w:anchor="_bookmark4" w:history="1">
        <w:r>
          <w:rPr>
            <w:color w:val="0000FF"/>
          </w:rPr>
          <w:t>section 6.1</w:t>
        </w:r>
        <w:r>
          <w:rPr>
            <w:color w:val="0000FF"/>
            <w:spacing w:val="-1"/>
          </w:rPr>
          <w:t xml:space="preserve"> </w:t>
        </w:r>
        <w:r>
          <w:rPr>
            <w:color w:val="0000FF"/>
          </w:rPr>
          <w:t>List</w:t>
        </w:r>
        <w:r>
          <w:rPr>
            <w:color w:val="0000FF"/>
            <w:spacing w:val="-2"/>
          </w:rPr>
          <w:t xml:space="preserve"> </w:t>
        </w:r>
        <w:r>
          <w:rPr>
            <w:color w:val="0000FF"/>
          </w:rPr>
          <w:t>of</w:t>
        </w:r>
        <w:r>
          <w:rPr>
            <w:color w:val="0000FF"/>
            <w:spacing w:val="-2"/>
          </w:rPr>
          <w:t xml:space="preserve"> </w:t>
        </w:r>
        <w:r>
          <w:rPr>
            <w:color w:val="0000FF"/>
          </w:rPr>
          <w:t>Excipients</w:t>
        </w:r>
      </w:hyperlink>
      <w:r>
        <w:t>.</w:t>
      </w:r>
    </w:p>
    <w:p w:rsidR="008269D0" w:rsidRDefault="00BE670B">
      <w:pPr>
        <w:pStyle w:val="Heading1"/>
        <w:numPr>
          <w:ilvl w:val="0"/>
          <w:numId w:val="2"/>
        </w:numPr>
        <w:tabs>
          <w:tab w:val="left" w:pos="685"/>
          <w:tab w:val="left" w:pos="686"/>
        </w:tabs>
        <w:spacing w:before="1"/>
      </w:pPr>
      <w:bookmarkStart w:id="4" w:name="3._PHARMACEUTICAL_FORM"/>
      <w:bookmarkEnd w:id="4"/>
      <w:r>
        <w:t>PHARMACEUTICAL</w:t>
      </w:r>
      <w:r>
        <w:rPr>
          <w:spacing w:val="-14"/>
        </w:rPr>
        <w:t xml:space="preserve"> </w:t>
      </w:r>
      <w:r>
        <w:t>FORM</w:t>
      </w:r>
    </w:p>
    <w:p w:rsidR="008269D0" w:rsidRDefault="00BE670B" w:rsidP="007C2DAB">
      <w:pPr>
        <w:pStyle w:val="BodyText"/>
        <w:spacing w:before="237" w:after="240"/>
      </w:pPr>
      <w:r>
        <w:t>Concentrated</w:t>
      </w:r>
      <w:r>
        <w:rPr>
          <w:spacing w:val="-2"/>
        </w:rPr>
        <w:t xml:space="preserve"> </w:t>
      </w:r>
      <w:r>
        <w:t>solution</w:t>
      </w:r>
      <w:r>
        <w:rPr>
          <w:spacing w:val="-3"/>
        </w:rPr>
        <w:t xml:space="preserve"> </w:t>
      </w:r>
      <w:r>
        <w:t>for</w:t>
      </w:r>
      <w:r>
        <w:rPr>
          <w:spacing w:val="-1"/>
        </w:rPr>
        <w:t xml:space="preserve"> </w:t>
      </w:r>
      <w:r>
        <w:t>intravenous</w:t>
      </w:r>
      <w:r>
        <w:rPr>
          <w:spacing w:val="-1"/>
        </w:rPr>
        <w:t xml:space="preserve"> </w:t>
      </w:r>
      <w:r>
        <w:t>infusion.</w:t>
      </w:r>
      <w:r>
        <w:rPr>
          <w:spacing w:val="-2"/>
        </w:rPr>
        <w:t xml:space="preserve"> </w:t>
      </w:r>
      <w:r>
        <w:t>Clear</w:t>
      </w:r>
      <w:r>
        <w:rPr>
          <w:spacing w:val="-2"/>
        </w:rPr>
        <w:t xml:space="preserve"> </w:t>
      </w:r>
      <w:r>
        <w:t>to</w:t>
      </w:r>
      <w:r>
        <w:rPr>
          <w:spacing w:val="-1"/>
        </w:rPr>
        <w:t xml:space="preserve"> </w:t>
      </w:r>
      <w:r>
        <w:t>slightly</w:t>
      </w:r>
      <w:r>
        <w:rPr>
          <w:spacing w:val="-1"/>
        </w:rPr>
        <w:t xml:space="preserve"> </w:t>
      </w:r>
      <w:r>
        <w:t>opalescent,</w:t>
      </w:r>
      <w:r>
        <w:rPr>
          <w:spacing w:val="-1"/>
        </w:rPr>
        <w:t xml:space="preserve"> </w:t>
      </w:r>
      <w:r>
        <w:t>colourless</w:t>
      </w:r>
      <w:r>
        <w:rPr>
          <w:spacing w:val="-3"/>
        </w:rPr>
        <w:t xml:space="preserve"> </w:t>
      </w:r>
      <w:r>
        <w:t>solution.</w:t>
      </w:r>
    </w:p>
    <w:p w:rsidR="008269D0" w:rsidRDefault="00BE670B" w:rsidP="007C2DAB">
      <w:pPr>
        <w:pStyle w:val="Heading1"/>
        <w:numPr>
          <w:ilvl w:val="0"/>
          <w:numId w:val="2"/>
        </w:numPr>
        <w:tabs>
          <w:tab w:val="left" w:pos="685"/>
          <w:tab w:val="left" w:pos="686"/>
        </w:tabs>
        <w:spacing w:after="240"/>
      </w:pPr>
      <w:bookmarkStart w:id="5" w:name="4._CLINICAL_PARTICULARS"/>
      <w:bookmarkEnd w:id="5"/>
      <w:r>
        <w:t>CLINICAL</w:t>
      </w:r>
      <w:r>
        <w:rPr>
          <w:spacing w:val="-14"/>
        </w:rPr>
        <w:t xml:space="preserve"> </w:t>
      </w:r>
      <w:r>
        <w:t>PARTICULARS</w:t>
      </w:r>
    </w:p>
    <w:p w:rsidR="008269D0" w:rsidRDefault="00127F27" w:rsidP="00127F27">
      <w:pPr>
        <w:pStyle w:val="Heading2"/>
        <w:spacing w:before="90" w:after="240"/>
        <w:ind w:left="709" w:hanging="567"/>
      </w:pPr>
      <w:bookmarkStart w:id="6" w:name="4.1_THERAPEUTIC_INDICATIONS"/>
      <w:bookmarkEnd w:id="6"/>
      <w:r>
        <w:t>4.1</w:t>
      </w:r>
      <w:r>
        <w:tab/>
      </w:r>
      <w:r w:rsidR="00BE670B">
        <w:t>THERAPEUTIC</w:t>
      </w:r>
      <w:r w:rsidR="00BE670B">
        <w:rPr>
          <w:spacing w:val="-12"/>
        </w:rPr>
        <w:t xml:space="preserve"> </w:t>
      </w:r>
      <w:r w:rsidR="00BE670B">
        <w:t>INDICATIONS</w:t>
      </w:r>
    </w:p>
    <w:p w:rsidR="008269D0" w:rsidRDefault="00BE670B" w:rsidP="007C2DAB">
      <w:pPr>
        <w:pStyle w:val="BodyText"/>
        <w:spacing w:before="90" w:after="240"/>
      </w:pPr>
      <w:r>
        <w:t>POTELIGEO is indicated for the treatment of adult patients (</w:t>
      </w:r>
      <w:r>
        <w:rPr>
          <w:sz w:val="22"/>
        </w:rPr>
        <w:t xml:space="preserve">≥ </w:t>
      </w:r>
      <w:r>
        <w:rPr>
          <w:rFonts w:ascii="Cambria" w:hAnsi="Cambria"/>
          <w:sz w:val="22"/>
        </w:rPr>
        <w:t xml:space="preserve">18 years of age) </w:t>
      </w:r>
      <w:r>
        <w:t>with mycosis</w:t>
      </w:r>
      <w:r>
        <w:rPr>
          <w:spacing w:val="1"/>
        </w:rPr>
        <w:t xml:space="preserve"> </w:t>
      </w:r>
      <w:r>
        <w:t>fungoides</w:t>
      </w:r>
      <w:r>
        <w:rPr>
          <w:spacing w:val="-2"/>
        </w:rPr>
        <w:t xml:space="preserve"> </w:t>
      </w:r>
      <w:r>
        <w:t>(MF)</w:t>
      </w:r>
      <w:r>
        <w:rPr>
          <w:spacing w:val="-1"/>
        </w:rPr>
        <w:t xml:space="preserve"> </w:t>
      </w:r>
      <w:r>
        <w:t>or</w:t>
      </w:r>
      <w:r>
        <w:rPr>
          <w:spacing w:val="-1"/>
        </w:rPr>
        <w:t xml:space="preserve"> </w:t>
      </w:r>
      <w:r>
        <w:t>Sézary</w:t>
      </w:r>
      <w:r>
        <w:rPr>
          <w:spacing w:val="-1"/>
        </w:rPr>
        <w:t xml:space="preserve"> </w:t>
      </w:r>
      <w:r>
        <w:t>syndrome</w:t>
      </w:r>
      <w:r>
        <w:rPr>
          <w:spacing w:val="-1"/>
        </w:rPr>
        <w:t xml:space="preserve"> </w:t>
      </w:r>
      <w:r>
        <w:t>(SS)</w:t>
      </w:r>
      <w:r>
        <w:rPr>
          <w:spacing w:val="-2"/>
        </w:rPr>
        <w:t xml:space="preserve"> </w:t>
      </w:r>
      <w:r>
        <w:t>who</w:t>
      </w:r>
      <w:r>
        <w:rPr>
          <w:spacing w:val="-1"/>
        </w:rPr>
        <w:t xml:space="preserve"> </w:t>
      </w:r>
      <w:r>
        <w:t>have</w:t>
      </w:r>
      <w:r>
        <w:rPr>
          <w:spacing w:val="-1"/>
        </w:rPr>
        <w:t xml:space="preserve"> </w:t>
      </w:r>
      <w:r>
        <w:t>received</w:t>
      </w:r>
      <w:r>
        <w:rPr>
          <w:spacing w:val="-3"/>
        </w:rPr>
        <w:t xml:space="preserve"> </w:t>
      </w:r>
      <w:r>
        <w:t>at</w:t>
      </w:r>
      <w:r>
        <w:rPr>
          <w:spacing w:val="-1"/>
        </w:rPr>
        <w:t xml:space="preserve"> </w:t>
      </w:r>
      <w:r>
        <w:t>least</w:t>
      </w:r>
      <w:r>
        <w:rPr>
          <w:spacing w:val="-1"/>
        </w:rPr>
        <w:t xml:space="preserve"> </w:t>
      </w:r>
      <w:r>
        <w:t>one</w:t>
      </w:r>
      <w:r>
        <w:rPr>
          <w:spacing w:val="-3"/>
        </w:rPr>
        <w:t xml:space="preserve"> </w:t>
      </w:r>
      <w:r>
        <w:t>prior</w:t>
      </w:r>
      <w:r>
        <w:rPr>
          <w:spacing w:val="-1"/>
        </w:rPr>
        <w:t xml:space="preserve"> </w:t>
      </w:r>
      <w:r>
        <w:t>systemic</w:t>
      </w:r>
      <w:r>
        <w:rPr>
          <w:spacing w:val="-1"/>
        </w:rPr>
        <w:t xml:space="preserve"> </w:t>
      </w:r>
      <w:r>
        <w:t>therapy.</w:t>
      </w:r>
    </w:p>
    <w:p w:rsidR="008269D0" w:rsidRDefault="00127F27" w:rsidP="00127F27">
      <w:pPr>
        <w:pStyle w:val="Heading2"/>
        <w:spacing w:before="90" w:after="240"/>
        <w:ind w:left="709" w:hanging="567"/>
      </w:pPr>
      <w:bookmarkStart w:id="7" w:name="4.2_DOSE_AND_METHOD_OF_ADMINISTRATION"/>
      <w:bookmarkEnd w:id="7"/>
      <w:r>
        <w:rPr>
          <w:noProof/>
          <w:lang w:val="en-AU" w:eastAsia="en-AU"/>
        </w:rPr>
        <w:t>4.2</w:t>
      </w:r>
      <w:r>
        <w:rPr>
          <w:noProof/>
          <w:lang w:val="en-AU" w:eastAsia="en-AU"/>
        </w:rPr>
        <w:tab/>
      </w:r>
      <w:r w:rsidR="00BE670B">
        <w:t>DOSE</w:t>
      </w:r>
      <w:r w:rsidR="00BE670B">
        <w:rPr>
          <w:spacing w:val="-4"/>
        </w:rPr>
        <w:t xml:space="preserve"> </w:t>
      </w:r>
      <w:r w:rsidR="00BE670B">
        <w:t>AND</w:t>
      </w:r>
      <w:r w:rsidR="00BE670B">
        <w:rPr>
          <w:spacing w:val="-3"/>
        </w:rPr>
        <w:t xml:space="preserve"> </w:t>
      </w:r>
      <w:r w:rsidR="00BE670B">
        <w:t>METHOD</w:t>
      </w:r>
      <w:r w:rsidR="00BE670B">
        <w:rPr>
          <w:spacing w:val="-4"/>
        </w:rPr>
        <w:t xml:space="preserve"> </w:t>
      </w:r>
      <w:r w:rsidR="00BE670B">
        <w:t>OF</w:t>
      </w:r>
      <w:r w:rsidR="00BE670B">
        <w:rPr>
          <w:spacing w:val="-3"/>
        </w:rPr>
        <w:t xml:space="preserve"> </w:t>
      </w:r>
      <w:r w:rsidR="00BE670B">
        <w:t>ADMINISTRATION</w:t>
      </w:r>
    </w:p>
    <w:p w:rsidR="008269D0" w:rsidRDefault="00BE670B" w:rsidP="007C2DAB">
      <w:pPr>
        <w:pStyle w:val="BodyText"/>
        <w:spacing w:after="240"/>
        <w:ind w:right="228"/>
      </w:pPr>
      <w:r>
        <w:t>Treatment must be initiated and supervised by physicians experienced in the treatment of cancer</w:t>
      </w:r>
      <w:r>
        <w:rPr>
          <w:spacing w:val="-57"/>
        </w:rPr>
        <w:t xml:space="preserve"> </w:t>
      </w:r>
      <w:r>
        <w:t>and should only be administered by healthcare professionals in an environment where</w:t>
      </w:r>
      <w:r>
        <w:rPr>
          <w:spacing w:val="1"/>
        </w:rPr>
        <w:t xml:space="preserve"> </w:t>
      </w:r>
      <w:r>
        <w:t>resuscitation</w:t>
      </w:r>
      <w:r>
        <w:rPr>
          <w:spacing w:val="-3"/>
        </w:rPr>
        <w:t xml:space="preserve"> </w:t>
      </w:r>
      <w:r>
        <w:t>equipment is available.</w:t>
      </w:r>
    </w:p>
    <w:p w:rsidR="008269D0" w:rsidRDefault="00BE670B">
      <w:pPr>
        <w:pStyle w:val="Heading2"/>
      </w:pPr>
      <w:bookmarkStart w:id="8" w:name="Dosage"/>
      <w:bookmarkEnd w:id="8"/>
      <w:r>
        <w:t>Dosage</w:t>
      </w:r>
    </w:p>
    <w:p w:rsidR="008269D0" w:rsidRDefault="00BE670B">
      <w:pPr>
        <w:pStyle w:val="BodyText"/>
        <w:spacing w:before="118"/>
        <w:ind w:right="161"/>
      </w:pPr>
      <w:r>
        <w:t>The recommended dose is 1 mg/kg mogamulizumab administered as an intravenous infusion</w:t>
      </w:r>
      <w:r>
        <w:rPr>
          <w:spacing w:val="1"/>
        </w:rPr>
        <w:t xml:space="preserve"> </w:t>
      </w:r>
      <w:r>
        <w:t>over at least 60 minutes. Administration is weekly on days 1, 8, 15 and 22 of the first 28-day</w:t>
      </w:r>
      <w:r>
        <w:rPr>
          <w:spacing w:val="1"/>
        </w:rPr>
        <w:t xml:space="preserve"> </w:t>
      </w:r>
      <w:r>
        <w:t>cycle, followed by infusions every two weeks on Days 1 and 15 of each subsequent 28-day cycle</w:t>
      </w:r>
      <w:r>
        <w:rPr>
          <w:spacing w:val="-57"/>
        </w:rPr>
        <w:t xml:space="preserve"> </w:t>
      </w:r>
      <w:r>
        <w:t>until</w:t>
      </w:r>
      <w:r>
        <w:rPr>
          <w:spacing w:val="-1"/>
        </w:rPr>
        <w:t xml:space="preserve"> </w:t>
      </w:r>
      <w:r>
        <w:t>disease</w:t>
      </w:r>
      <w:r>
        <w:rPr>
          <w:spacing w:val="-1"/>
        </w:rPr>
        <w:t xml:space="preserve"> </w:t>
      </w:r>
      <w:r>
        <w:t>progression</w:t>
      </w:r>
      <w:r>
        <w:rPr>
          <w:spacing w:val="-2"/>
        </w:rPr>
        <w:t xml:space="preserve"> </w:t>
      </w:r>
      <w:r>
        <w:t>or unacceptable toxicity.</w:t>
      </w:r>
    </w:p>
    <w:p w:rsidR="008269D0" w:rsidRDefault="00BE670B">
      <w:pPr>
        <w:pStyle w:val="BodyText"/>
        <w:spacing w:before="119"/>
        <w:ind w:right="280"/>
      </w:pPr>
      <w:r>
        <w:t>POTELIGEO should be administered within 2 days of the scheduled day. If a dose is missed by</w:t>
      </w:r>
      <w:r>
        <w:rPr>
          <w:spacing w:val="-57"/>
        </w:rPr>
        <w:t xml:space="preserve"> </w:t>
      </w:r>
      <w:r>
        <w:t>more than 2 days, the next dose should be administered as soon as possible, after which the</w:t>
      </w:r>
      <w:r>
        <w:rPr>
          <w:spacing w:val="1"/>
        </w:rPr>
        <w:t xml:space="preserve"> </w:t>
      </w:r>
      <w:r>
        <w:t>dosing</w:t>
      </w:r>
      <w:r>
        <w:rPr>
          <w:spacing w:val="-1"/>
        </w:rPr>
        <w:t xml:space="preserve"> </w:t>
      </w:r>
      <w:r>
        <w:t>schedule should</w:t>
      </w:r>
      <w:r>
        <w:rPr>
          <w:spacing w:val="-3"/>
        </w:rPr>
        <w:t xml:space="preserve"> </w:t>
      </w:r>
      <w:r>
        <w:t>be resumed</w:t>
      </w:r>
      <w:r>
        <w:rPr>
          <w:spacing w:val="-1"/>
        </w:rPr>
        <w:t xml:space="preserve"> </w:t>
      </w:r>
      <w:r>
        <w:t>with doses given</w:t>
      </w:r>
      <w:r>
        <w:rPr>
          <w:spacing w:val="-1"/>
        </w:rPr>
        <w:t xml:space="preserve"> </w:t>
      </w:r>
      <w:r>
        <w:t>based on</w:t>
      </w:r>
      <w:r>
        <w:rPr>
          <w:spacing w:val="-1"/>
        </w:rPr>
        <w:t xml:space="preserve"> </w:t>
      </w:r>
      <w:r>
        <w:t>the new</w:t>
      </w:r>
      <w:r>
        <w:rPr>
          <w:spacing w:val="-1"/>
        </w:rPr>
        <w:t xml:space="preserve"> </w:t>
      </w:r>
      <w:r>
        <w:t>scheduled</w:t>
      </w:r>
      <w:r>
        <w:rPr>
          <w:spacing w:val="-1"/>
        </w:rPr>
        <w:t xml:space="preserve"> </w:t>
      </w:r>
      <w:r>
        <w:t>days.</w:t>
      </w:r>
    </w:p>
    <w:p w:rsidR="008269D0" w:rsidRDefault="00BE670B">
      <w:pPr>
        <w:pStyle w:val="BodyText"/>
        <w:spacing w:before="120"/>
        <w:ind w:right="261"/>
      </w:pPr>
      <w:r>
        <w:t>Pre-medication with anti-pyretic and anti-histamine is recommended for the first POTELIGEO</w:t>
      </w:r>
      <w:r>
        <w:rPr>
          <w:spacing w:val="1"/>
        </w:rPr>
        <w:t xml:space="preserve"> </w:t>
      </w:r>
      <w:r>
        <w:t>infusion. If an infusion reaction occurs, administer pre-medication for subsequent POTELIGEO</w:t>
      </w:r>
      <w:r>
        <w:rPr>
          <w:spacing w:val="-57"/>
        </w:rPr>
        <w:t xml:space="preserve"> </w:t>
      </w:r>
      <w:r>
        <w:t>infusions.</w:t>
      </w:r>
    </w:p>
    <w:p w:rsidR="008269D0" w:rsidRDefault="008269D0">
      <w:pPr>
        <w:sectPr w:rsidR="008269D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60" w:right="1120" w:bottom="600" w:left="1180" w:header="720" w:footer="404" w:gutter="0"/>
          <w:pgNumType w:start="1"/>
          <w:cols w:space="720"/>
        </w:sectPr>
      </w:pPr>
    </w:p>
    <w:p w:rsidR="008269D0" w:rsidRDefault="00BE670B">
      <w:pPr>
        <w:pStyle w:val="Heading2"/>
        <w:spacing w:before="70"/>
      </w:pPr>
      <w:bookmarkStart w:id="10" w:name="Dose_modification"/>
      <w:bookmarkEnd w:id="10"/>
      <w:r>
        <w:lastRenderedPageBreak/>
        <w:t>Dose</w:t>
      </w:r>
      <w:r>
        <w:rPr>
          <w:spacing w:val="-3"/>
        </w:rPr>
        <w:t xml:space="preserve"> </w:t>
      </w:r>
      <w:r>
        <w:t>modification</w:t>
      </w:r>
    </w:p>
    <w:p w:rsidR="008269D0" w:rsidRDefault="00BE670B">
      <w:pPr>
        <w:spacing w:before="119"/>
        <w:ind w:left="118"/>
        <w:rPr>
          <w:i/>
          <w:sz w:val="24"/>
        </w:rPr>
      </w:pPr>
      <w:r>
        <w:rPr>
          <w:i/>
          <w:sz w:val="24"/>
          <w:u w:val="single"/>
        </w:rPr>
        <w:t>Dermatologic</w:t>
      </w:r>
      <w:r>
        <w:rPr>
          <w:i/>
          <w:spacing w:val="-1"/>
          <w:sz w:val="24"/>
          <w:u w:val="single"/>
        </w:rPr>
        <w:t xml:space="preserve"> </w:t>
      </w:r>
      <w:r>
        <w:rPr>
          <w:i/>
          <w:sz w:val="24"/>
          <w:u w:val="single"/>
        </w:rPr>
        <w:t>reactions</w:t>
      </w:r>
    </w:p>
    <w:p w:rsidR="008269D0" w:rsidRDefault="00BE670B">
      <w:pPr>
        <w:pStyle w:val="BodyText"/>
        <w:spacing w:before="119"/>
        <w:ind w:right="341"/>
      </w:pPr>
      <w:r>
        <w:t>Patients receiving mogamulizumab have experienced drug rash (drug eruption), some of which</w:t>
      </w:r>
      <w:r>
        <w:rPr>
          <w:spacing w:val="-57"/>
        </w:rPr>
        <w:t xml:space="preserve"> </w:t>
      </w:r>
      <w:r>
        <w:t>were</w:t>
      </w:r>
      <w:r>
        <w:rPr>
          <w:spacing w:val="-1"/>
        </w:rPr>
        <w:t xml:space="preserve"> </w:t>
      </w:r>
      <w:r>
        <w:t>severe</w:t>
      </w:r>
      <w:r>
        <w:rPr>
          <w:spacing w:val="-1"/>
        </w:rPr>
        <w:t xml:space="preserve"> </w:t>
      </w:r>
      <w:r>
        <w:t>and/or serious.</w:t>
      </w:r>
    </w:p>
    <w:p w:rsidR="008269D0" w:rsidRDefault="00BE670B">
      <w:pPr>
        <w:pStyle w:val="ListParagraph"/>
        <w:numPr>
          <w:ilvl w:val="0"/>
          <w:numId w:val="1"/>
        </w:numPr>
        <w:tabs>
          <w:tab w:val="left" w:pos="478"/>
          <w:tab w:val="left" w:pos="479"/>
        </w:tabs>
        <w:spacing w:before="120"/>
        <w:ind w:right="789"/>
        <w:rPr>
          <w:sz w:val="24"/>
        </w:rPr>
      </w:pPr>
      <w:r>
        <w:rPr>
          <w:sz w:val="24"/>
        </w:rPr>
        <w:t>In the event of a rash (drug related) with severity of Grade 2 or 3 (moderate or severe),</w:t>
      </w:r>
      <w:r>
        <w:rPr>
          <w:spacing w:val="-57"/>
          <w:sz w:val="24"/>
        </w:rPr>
        <w:t xml:space="preserve"> </w:t>
      </w:r>
      <w:r>
        <w:rPr>
          <w:sz w:val="24"/>
        </w:rPr>
        <w:t>treatment with mogamulizumab must be interrupted and the rash should be treated</w:t>
      </w:r>
      <w:r>
        <w:rPr>
          <w:spacing w:val="1"/>
          <w:sz w:val="24"/>
        </w:rPr>
        <w:t xml:space="preserve"> </w:t>
      </w:r>
      <w:r>
        <w:rPr>
          <w:sz w:val="24"/>
        </w:rPr>
        <w:t>appropriately until rash improves to Grade 1 or less (mild severity), at which time</w:t>
      </w:r>
      <w:r>
        <w:rPr>
          <w:spacing w:val="1"/>
          <w:sz w:val="24"/>
        </w:rPr>
        <w:t xml:space="preserve"> </w:t>
      </w:r>
      <w:r>
        <w:rPr>
          <w:sz w:val="24"/>
        </w:rPr>
        <w:t>mogamulizumab</w:t>
      </w:r>
      <w:r>
        <w:rPr>
          <w:spacing w:val="-1"/>
          <w:sz w:val="24"/>
        </w:rPr>
        <w:t xml:space="preserve"> </w:t>
      </w:r>
      <w:r>
        <w:rPr>
          <w:sz w:val="24"/>
        </w:rPr>
        <w:t>treatment may be resumed.</w:t>
      </w:r>
    </w:p>
    <w:p w:rsidR="008269D0" w:rsidRDefault="00BE670B" w:rsidP="007C2DAB">
      <w:pPr>
        <w:pStyle w:val="ListParagraph"/>
        <w:numPr>
          <w:ilvl w:val="0"/>
          <w:numId w:val="1"/>
        </w:numPr>
        <w:tabs>
          <w:tab w:val="left" w:pos="478"/>
          <w:tab w:val="left" w:pos="479"/>
        </w:tabs>
        <w:spacing w:before="119" w:after="240"/>
        <w:ind w:right="327"/>
        <w:rPr>
          <w:sz w:val="24"/>
        </w:rPr>
      </w:pPr>
      <w:r>
        <w:rPr>
          <w:sz w:val="24"/>
        </w:rPr>
        <w:t>POTELIGEO should be permanently discontinued for a life-threatening (Grade 4) rash (see</w:t>
      </w:r>
      <w:r>
        <w:rPr>
          <w:spacing w:val="-57"/>
          <w:sz w:val="24"/>
        </w:rPr>
        <w:t xml:space="preserve"> </w:t>
      </w:r>
      <w:hyperlink w:anchor="_bookmark1" w:history="1">
        <w:r>
          <w:rPr>
            <w:color w:val="0000FF"/>
            <w:sz w:val="24"/>
          </w:rPr>
          <w:t>section 4.4</w:t>
        </w:r>
      </w:hyperlink>
      <w:r>
        <w:rPr>
          <w:sz w:val="24"/>
        </w:rPr>
        <w:t>).</w:t>
      </w:r>
    </w:p>
    <w:p w:rsidR="008269D0" w:rsidRDefault="00BE670B">
      <w:pPr>
        <w:ind w:left="118"/>
        <w:rPr>
          <w:i/>
          <w:sz w:val="24"/>
        </w:rPr>
      </w:pPr>
      <w:r>
        <w:rPr>
          <w:i/>
          <w:sz w:val="24"/>
          <w:u w:val="single"/>
        </w:rPr>
        <w:t>Infusion-related</w:t>
      </w:r>
      <w:r>
        <w:rPr>
          <w:i/>
          <w:spacing w:val="-2"/>
          <w:sz w:val="24"/>
          <w:u w:val="single"/>
        </w:rPr>
        <w:t xml:space="preserve"> </w:t>
      </w:r>
      <w:r>
        <w:rPr>
          <w:i/>
          <w:sz w:val="24"/>
          <w:u w:val="single"/>
        </w:rPr>
        <w:t>reactions</w:t>
      </w:r>
    </w:p>
    <w:p w:rsidR="008269D0" w:rsidRDefault="00BE670B">
      <w:pPr>
        <w:pStyle w:val="ListParagraph"/>
        <w:numPr>
          <w:ilvl w:val="0"/>
          <w:numId w:val="1"/>
        </w:numPr>
        <w:tabs>
          <w:tab w:val="left" w:pos="478"/>
          <w:tab w:val="left" w:pos="479"/>
        </w:tabs>
        <w:spacing w:before="119"/>
        <w:ind w:right="143"/>
        <w:rPr>
          <w:sz w:val="24"/>
        </w:rPr>
      </w:pPr>
      <w:r>
        <w:rPr>
          <w:sz w:val="24"/>
        </w:rPr>
        <w:t>The infusion of POTELIGEO should be temporarily interrupted for mild to severe (Grades 1-</w:t>
      </w:r>
      <w:r>
        <w:rPr>
          <w:spacing w:val="-57"/>
          <w:sz w:val="24"/>
        </w:rPr>
        <w:t xml:space="preserve"> </w:t>
      </w:r>
      <w:r>
        <w:rPr>
          <w:sz w:val="24"/>
        </w:rPr>
        <w:t>3) infusion-related reactions and symptoms treated. The infusion rate should be reduced by at</w:t>
      </w:r>
      <w:r>
        <w:rPr>
          <w:spacing w:val="-57"/>
          <w:sz w:val="24"/>
        </w:rPr>
        <w:t xml:space="preserve"> </w:t>
      </w:r>
      <w:r>
        <w:rPr>
          <w:sz w:val="24"/>
        </w:rPr>
        <w:t>least 50% when re-starting the infusion after symptoms resolve. If reaction recurs,</w:t>
      </w:r>
      <w:r>
        <w:rPr>
          <w:spacing w:val="1"/>
          <w:sz w:val="24"/>
        </w:rPr>
        <w:t xml:space="preserve"> </w:t>
      </w:r>
      <w:r>
        <w:rPr>
          <w:sz w:val="24"/>
        </w:rPr>
        <w:t>discontinuing</w:t>
      </w:r>
      <w:r>
        <w:rPr>
          <w:spacing w:val="-1"/>
          <w:sz w:val="24"/>
        </w:rPr>
        <w:t xml:space="preserve"> </w:t>
      </w:r>
      <w:r>
        <w:rPr>
          <w:sz w:val="24"/>
        </w:rPr>
        <w:t>the infusion should be</w:t>
      </w:r>
      <w:r>
        <w:rPr>
          <w:spacing w:val="-2"/>
          <w:sz w:val="24"/>
        </w:rPr>
        <w:t xml:space="preserve"> </w:t>
      </w:r>
      <w:r>
        <w:rPr>
          <w:sz w:val="24"/>
        </w:rPr>
        <w:t>considered (see section 4.4).</w:t>
      </w:r>
    </w:p>
    <w:p w:rsidR="008269D0" w:rsidRDefault="00BE670B" w:rsidP="007C2DAB">
      <w:pPr>
        <w:pStyle w:val="ListParagraph"/>
        <w:numPr>
          <w:ilvl w:val="0"/>
          <w:numId w:val="1"/>
        </w:numPr>
        <w:tabs>
          <w:tab w:val="left" w:pos="478"/>
          <w:tab w:val="left" w:pos="479"/>
        </w:tabs>
        <w:spacing w:before="119" w:after="240"/>
        <w:ind w:right="1234"/>
        <w:rPr>
          <w:sz w:val="24"/>
        </w:rPr>
      </w:pPr>
      <w:r>
        <w:rPr>
          <w:sz w:val="24"/>
        </w:rPr>
        <w:t>POTELIGEO should be permanently discontinued for a life-threatening (Grade 4)</w:t>
      </w:r>
      <w:r>
        <w:rPr>
          <w:spacing w:val="-57"/>
          <w:sz w:val="24"/>
        </w:rPr>
        <w:t xml:space="preserve"> </w:t>
      </w:r>
      <w:r>
        <w:rPr>
          <w:sz w:val="24"/>
        </w:rPr>
        <w:t>infusion-related</w:t>
      </w:r>
      <w:r>
        <w:rPr>
          <w:spacing w:val="-1"/>
          <w:sz w:val="24"/>
        </w:rPr>
        <w:t xml:space="preserve"> </w:t>
      </w:r>
      <w:r>
        <w:rPr>
          <w:sz w:val="24"/>
        </w:rPr>
        <w:t>reaction</w:t>
      </w:r>
      <w:r>
        <w:rPr>
          <w:spacing w:val="-2"/>
          <w:sz w:val="24"/>
        </w:rPr>
        <w:t xml:space="preserve"> </w:t>
      </w:r>
      <w:r>
        <w:rPr>
          <w:sz w:val="24"/>
        </w:rPr>
        <w:t>(see section</w:t>
      </w:r>
      <w:r>
        <w:rPr>
          <w:spacing w:val="-2"/>
          <w:sz w:val="24"/>
        </w:rPr>
        <w:t xml:space="preserve"> </w:t>
      </w:r>
      <w:r>
        <w:rPr>
          <w:sz w:val="24"/>
        </w:rPr>
        <w:t>4.4).</w:t>
      </w:r>
    </w:p>
    <w:p w:rsidR="008269D0" w:rsidRDefault="00BE670B">
      <w:pPr>
        <w:pStyle w:val="Heading2"/>
      </w:pPr>
      <w:bookmarkStart w:id="11" w:name="Preparation_for_Administration"/>
      <w:bookmarkEnd w:id="11"/>
      <w:r>
        <w:t>Preparation</w:t>
      </w:r>
      <w:r>
        <w:rPr>
          <w:spacing w:val="-6"/>
        </w:rPr>
        <w:t xml:space="preserve"> </w:t>
      </w:r>
      <w:r>
        <w:t>for</w:t>
      </w:r>
      <w:r>
        <w:rPr>
          <w:spacing w:val="-4"/>
        </w:rPr>
        <w:t xml:space="preserve"> </w:t>
      </w:r>
      <w:r>
        <w:t>Administration</w:t>
      </w:r>
    </w:p>
    <w:p w:rsidR="008269D0" w:rsidRDefault="00BE670B">
      <w:pPr>
        <w:pStyle w:val="ListParagraph"/>
        <w:numPr>
          <w:ilvl w:val="0"/>
          <w:numId w:val="1"/>
        </w:numPr>
        <w:tabs>
          <w:tab w:val="left" w:pos="478"/>
          <w:tab w:val="left" w:pos="479"/>
        </w:tabs>
        <w:spacing w:before="117"/>
        <w:ind w:right="136"/>
        <w:rPr>
          <w:sz w:val="24"/>
        </w:rPr>
      </w:pPr>
      <w:r>
        <w:rPr>
          <w:sz w:val="24"/>
        </w:rPr>
        <w:t>Visually inspect the medicinal product for particulate matter and discolouration prior to</w:t>
      </w:r>
      <w:r>
        <w:rPr>
          <w:spacing w:val="1"/>
          <w:sz w:val="24"/>
        </w:rPr>
        <w:t xml:space="preserve"> </w:t>
      </w:r>
      <w:r>
        <w:rPr>
          <w:sz w:val="24"/>
        </w:rPr>
        <w:t>administration. POTELIGEO is a clear to slightly opalescent, colourless solution. Discard the</w:t>
      </w:r>
      <w:r>
        <w:rPr>
          <w:spacing w:val="-57"/>
          <w:sz w:val="24"/>
        </w:rPr>
        <w:t xml:space="preserve"> </w:t>
      </w:r>
      <w:r>
        <w:rPr>
          <w:sz w:val="24"/>
        </w:rPr>
        <w:t>vial</w:t>
      </w:r>
      <w:r>
        <w:rPr>
          <w:spacing w:val="-2"/>
          <w:sz w:val="24"/>
        </w:rPr>
        <w:t xml:space="preserve"> </w:t>
      </w:r>
      <w:r>
        <w:rPr>
          <w:sz w:val="24"/>
        </w:rPr>
        <w:t>if</w:t>
      </w:r>
      <w:r>
        <w:rPr>
          <w:spacing w:val="-1"/>
          <w:sz w:val="24"/>
        </w:rPr>
        <w:t xml:space="preserve"> </w:t>
      </w:r>
      <w:r>
        <w:rPr>
          <w:sz w:val="24"/>
        </w:rPr>
        <w:t>cloudiness, discolouration or particulates</w:t>
      </w:r>
      <w:r>
        <w:rPr>
          <w:spacing w:val="-1"/>
          <w:sz w:val="24"/>
        </w:rPr>
        <w:t xml:space="preserve"> </w:t>
      </w:r>
      <w:r>
        <w:rPr>
          <w:sz w:val="24"/>
        </w:rPr>
        <w:t>are observed.</w:t>
      </w:r>
    </w:p>
    <w:p w:rsidR="008269D0" w:rsidRDefault="00BE670B">
      <w:pPr>
        <w:pStyle w:val="ListParagraph"/>
        <w:numPr>
          <w:ilvl w:val="0"/>
          <w:numId w:val="1"/>
        </w:numPr>
        <w:tabs>
          <w:tab w:val="left" w:pos="478"/>
          <w:tab w:val="left" w:pos="479"/>
        </w:tabs>
        <w:spacing w:before="119"/>
        <w:ind w:right="381"/>
        <w:rPr>
          <w:sz w:val="24"/>
        </w:rPr>
      </w:pPr>
      <w:r>
        <w:rPr>
          <w:sz w:val="24"/>
        </w:rPr>
        <w:t>Calculate the required volume of POTELIGEO needed to prepare the infusion solution for</w:t>
      </w:r>
      <w:r>
        <w:rPr>
          <w:spacing w:val="1"/>
          <w:sz w:val="24"/>
        </w:rPr>
        <w:t xml:space="preserve"> </w:t>
      </w:r>
      <w:r>
        <w:rPr>
          <w:sz w:val="24"/>
        </w:rPr>
        <w:t>the 1 mg/kg dosage based on patient weight. Aseptically withdraw the required volume of</w:t>
      </w:r>
      <w:r>
        <w:rPr>
          <w:spacing w:val="1"/>
          <w:sz w:val="24"/>
        </w:rPr>
        <w:t xml:space="preserve"> </w:t>
      </w:r>
      <w:r>
        <w:rPr>
          <w:sz w:val="24"/>
        </w:rPr>
        <w:t>POTELIGEO into the syringe and transfer into an infusion bag containing 9 mg per mL</w:t>
      </w:r>
      <w:r>
        <w:rPr>
          <w:spacing w:val="1"/>
          <w:sz w:val="24"/>
        </w:rPr>
        <w:t xml:space="preserve"> </w:t>
      </w:r>
      <w:r>
        <w:rPr>
          <w:sz w:val="24"/>
        </w:rPr>
        <w:t>(0.9%) sodium chloride solution for injection. Mix diluted solution by gentle inversion. Do</w:t>
      </w:r>
      <w:r>
        <w:rPr>
          <w:spacing w:val="-57"/>
          <w:sz w:val="24"/>
        </w:rPr>
        <w:t xml:space="preserve"> </w:t>
      </w:r>
      <w:r>
        <w:rPr>
          <w:sz w:val="24"/>
        </w:rPr>
        <w:t>not</w:t>
      </w:r>
      <w:r>
        <w:rPr>
          <w:spacing w:val="-1"/>
          <w:sz w:val="24"/>
        </w:rPr>
        <w:t xml:space="preserve"> </w:t>
      </w:r>
      <w:r>
        <w:rPr>
          <w:sz w:val="24"/>
        </w:rPr>
        <w:t>shake.</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concentration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diluted</w:t>
      </w:r>
      <w:r>
        <w:rPr>
          <w:spacing w:val="-3"/>
          <w:sz w:val="24"/>
        </w:rPr>
        <w:t xml:space="preserve"> </w:t>
      </w:r>
      <w:r>
        <w:rPr>
          <w:sz w:val="24"/>
        </w:rPr>
        <w:t>solution</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between 0.1</w:t>
      </w:r>
      <w:r>
        <w:rPr>
          <w:spacing w:val="-1"/>
          <w:sz w:val="24"/>
        </w:rPr>
        <w:t xml:space="preserve"> </w:t>
      </w:r>
      <w:r>
        <w:rPr>
          <w:sz w:val="24"/>
        </w:rPr>
        <w:t>mg/mL</w:t>
      </w:r>
      <w:r>
        <w:rPr>
          <w:spacing w:val="-2"/>
          <w:sz w:val="24"/>
        </w:rPr>
        <w:t xml:space="preserve"> </w:t>
      </w:r>
      <w:r>
        <w:rPr>
          <w:sz w:val="24"/>
        </w:rPr>
        <w:t>to</w:t>
      </w:r>
    </w:p>
    <w:p w:rsidR="008269D0" w:rsidRDefault="00BE670B">
      <w:pPr>
        <w:pStyle w:val="BodyText"/>
        <w:spacing w:line="275" w:lineRule="exact"/>
        <w:ind w:left="478"/>
      </w:pPr>
      <w:r>
        <w:t>3.0 mg/mL.</w:t>
      </w:r>
    </w:p>
    <w:p w:rsidR="008269D0" w:rsidRDefault="00BE670B" w:rsidP="007C2DAB">
      <w:pPr>
        <w:pStyle w:val="ListParagraph"/>
        <w:numPr>
          <w:ilvl w:val="0"/>
          <w:numId w:val="1"/>
        </w:numPr>
        <w:tabs>
          <w:tab w:val="left" w:pos="478"/>
          <w:tab w:val="left" w:pos="479"/>
        </w:tabs>
        <w:spacing w:before="120" w:after="240"/>
        <w:ind w:right="536"/>
        <w:rPr>
          <w:sz w:val="24"/>
        </w:rPr>
      </w:pPr>
      <w:r>
        <w:rPr>
          <w:sz w:val="24"/>
        </w:rPr>
        <w:t>Product is for single use in one patient only. Discard any unused portion left in the vial in</w:t>
      </w:r>
      <w:r>
        <w:rPr>
          <w:spacing w:val="-57"/>
          <w:sz w:val="24"/>
        </w:rPr>
        <w:t xml:space="preserve"> </w:t>
      </w:r>
      <w:r>
        <w:rPr>
          <w:sz w:val="24"/>
        </w:rPr>
        <w:t>accordance</w:t>
      </w:r>
      <w:r>
        <w:rPr>
          <w:spacing w:val="-2"/>
          <w:sz w:val="24"/>
        </w:rPr>
        <w:t xml:space="preserve"> </w:t>
      </w:r>
      <w:r>
        <w:rPr>
          <w:sz w:val="24"/>
        </w:rPr>
        <w:t>with local requirements.</w:t>
      </w:r>
    </w:p>
    <w:p w:rsidR="008269D0" w:rsidRDefault="00BE670B">
      <w:pPr>
        <w:pStyle w:val="Heading2"/>
      </w:pPr>
      <w:bookmarkStart w:id="12" w:name="Administration"/>
      <w:bookmarkEnd w:id="12"/>
      <w:r>
        <w:t>Administration</w:t>
      </w:r>
    </w:p>
    <w:p w:rsidR="008269D0" w:rsidRDefault="00BE670B">
      <w:pPr>
        <w:pStyle w:val="BodyText"/>
        <w:spacing w:before="118"/>
        <w:ind w:right="120"/>
      </w:pPr>
      <w:r>
        <w:t>POTELIGEO is for intravenous use. It should be administered by intravenous infusion only, over</w:t>
      </w:r>
      <w:r>
        <w:rPr>
          <w:spacing w:val="-57"/>
        </w:rPr>
        <w:t xml:space="preserve"> </w:t>
      </w:r>
      <w:r>
        <w:t>at</w:t>
      </w:r>
      <w:r>
        <w:rPr>
          <w:spacing w:val="-1"/>
        </w:rPr>
        <w:t xml:space="preserve"> </w:t>
      </w:r>
      <w:r>
        <w:t>least 60</w:t>
      </w:r>
      <w:r>
        <w:rPr>
          <w:spacing w:val="-1"/>
        </w:rPr>
        <w:t xml:space="preserve"> </w:t>
      </w:r>
      <w:r>
        <w:t>minutes. See</w:t>
      </w:r>
      <w:r>
        <w:rPr>
          <w:spacing w:val="-1"/>
        </w:rPr>
        <w:t xml:space="preserve"> </w:t>
      </w:r>
      <w:r>
        <w:t>above recommendations</w:t>
      </w:r>
      <w:r>
        <w:rPr>
          <w:spacing w:val="-1"/>
        </w:rPr>
        <w:t xml:space="preserve"> </w:t>
      </w:r>
      <w:r>
        <w:t>in case</w:t>
      </w:r>
      <w:r>
        <w:rPr>
          <w:spacing w:val="-1"/>
        </w:rPr>
        <w:t xml:space="preserve"> </w:t>
      </w:r>
      <w:r>
        <w:t>of</w:t>
      </w:r>
      <w:r>
        <w:rPr>
          <w:spacing w:val="-1"/>
        </w:rPr>
        <w:t xml:space="preserve"> </w:t>
      </w:r>
      <w:r>
        <w:t>infusion-related</w:t>
      </w:r>
      <w:r>
        <w:rPr>
          <w:spacing w:val="-1"/>
        </w:rPr>
        <w:t xml:space="preserve"> </w:t>
      </w:r>
      <w:r>
        <w:t>reaction.</w:t>
      </w:r>
    </w:p>
    <w:p w:rsidR="008269D0" w:rsidRDefault="00BE670B">
      <w:pPr>
        <w:pStyle w:val="BodyText"/>
        <w:spacing w:before="120"/>
      </w:pPr>
      <w:r>
        <w:t>For</w:t>
      </w:r>
      <w:r>
        <w:rPr>
          <w:spacing w:val="-2"/>
        </w:rPr>
        <w:t xml:space="preserve"> </w:t>
      </w:r>
      <w:r>
        <w:t>instructions</w:t>
      </w:r>
      <w:r>
        <w:rPr>
          <w:spacing w:val="-1"/>
        </w:rPr>
        <w:t xml:space="preserve"> </w:t>
      </w:r>
      <w:r>
        <w:t>on</w:t>
      </w:r>
      <w:r>
        <w:rPr>
          <w:spacing w:val="-2"/>
        </w:rPr>
        <w:t xml:space="preserve"> </w:t>
      </w:r>
      <w:r>
        <w:t>the</w:t>
      </w:r>
      <w:r>
        <w:rPr>
          <w:spacing w:val="-1"/>
        </w:rPr>
        <w:t xml:space="preserve"> </w:t>
      </w:r>
      <w:r>
        <w:t>dilution</w:t>
      </w:r>
      <w:r>
        <w:rPr>
          <w:spacing w:val="-1"/>
        </w:rPr>
        <w:t xml:space="preserve"> </w:t>
      </w:r>
      <w:r>
        <w:t>of</w:t>
      </w:r>
      <w:r>
        <w:rPr>
          <w:spacing w:val="-3"/>
        </w:rPr>
        <w:t xml:space="preserve"> </w:t>
      </w:r>
      <w:r>
        <w:t>the</w:t>
      </w:r>
      <w:r>
        <w:rPr>
          <w:spacing w:val="-1"/>
        </w:rPr>
        <w:t xml:space="preserve"> </w:t>
      </w:r>
      <w:r>
        <w:t>medicinal</w:t>
      </w:r>
      <w:r>
        <w:rPr>
          <w:spacing w:val="-2"/>
        </w:rPr>
        <w:t xml:space="preserve"> </w:t>
      </w:r>
      <w:r>
        <w:t>product</w:t>
      </w:r>
      <w:r>
        <w:rPr>
          <w:spacing w:val="-2"/>
        </w:rPr>
        <w:t xml:space="preserve"> </w:t>
      </w:r>
      <w:r>
        <w:t>before</w:t>
      </w:r>
      <w:r>
        <w:rPr>
          <w:spacing w:val="-1"/>
        </w:rPr>
        <w:t xml:space="preserve"> </w:t>
      </w:r>
      <w:r>
        <w:t>administration:</w:t>
      </w:r>
    </w:p>
    <w:p w:rsidR="008269D0" w:rsidRDefault="00BE670B">
      <w:pPr>
        <w:pStyle w:val="BodyText"/>
        <w:spacing w:before="118"/>
        <w:ind w:right="513"/>
      </w:pPr>
      <w:r>
        <w:t>The diluted solution is compatible with polyvinyl chloride (PVC) or polyolefin (PO) infusion</w:t>
      </w:r>
      <w:r>
        <w:rPr>
          <w:spacing w:val="-57"/>
        </w:rPr>
        <w:t xml:space="preserve"> </w:t>
      </w:r>
      <w:r>
        <w:t>bags.</w:t>
      </w:r>
    </w:p>
    <w:p w:rsidR="008269D0" w:rsidRDefault="00BE670B">
      <w:pPr>
        <w:pStyle w:val="ListParagraph"/>
        <w:numPr>
          <w:ilvl w:val="0"/>
          <w:numId w:val="1"/>
        </w:numPr>
        <w:tabs>
          <w:tab w:val="left" w:pos="478"/>
          <w:tab w:val="left" w:pos="479"/>
        </w:tabs>
        <w:spacing w:before="120"/>
        <w:ind w:hanging="361"/>
        <w:rPr>
          <w:sz w:val="24"/>
        </w:rPr>
      </w:pPr>
      <w:r>
        <w:rPr>
          <w:sz w:val="24"/>
        </w:rPr>
        <w:t>Do</w:t>
      </w:r>
      <w:r>
        <w:rPr>
          <w:spacing w:val="-2"/>
          <w:sz w:val="24"/>
        </w:rPr>
        <w:t xml:space="preserve"> </w:t>
      </w:r>
      <w:r>
        <w:rPr>
          <w:sz w:val="24"/>
        </w:rPr>
        <w:t>not mix</w:t>
      </w:r>
      <w:r>
        <w:rPr>
          <w:spacing w:val="-1"/>
          <w:sz w:val="24"/>
        </w:rPr>
        <w:t xml:space="preserve"> </w:t>
      </w:r>
      <w:r>
        <w:rPr>
          <w:sz w:val="24"/>
        </w:rPr>
        <w:t>POTELIGEO</w:t>
      </w:r>
      <w:r>
        <w:rPr>
          <w:spacing w:val="-2"/>
          <w:sz w:val="24"/>
        </w:rPr>
        <w:t xml:space="preserve"> </w:t>
      </w:r>
      <w:r>
        <w:rPr>
          <w:sz w:val="24"/>
        </w:rPr>
        <w:t>with,</w:t>
      </w:r>
      <w:r>
        <w:rPr>
          <w:spacing w:val="-1"/>
          <w:sz w:val="24"/>
        </w:rPr>
        <w:t xml:space="preserve"> </w:t>
      </w:r>
      <w:r>
        <w:rPr>
          <w:sz w:val="24"/>
        </w:rPr>
        <w:t>or</w:t>
      </w:r>
      <w:r>
        <w:rPr>
          <w:spacing w:val="-1"/>
          <w:sz w:val="24"/>
        </w:rPr>
        <w:t xml:space="preserve"> </w:t>
      </w:r>
      <w:r>
        <w:rPr>
          <w:sz w:val="24"/>
        </w:rPr>
        <w:t>administer</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infusion</w:t>
      </w:r>
      <w:r>
        <w:rPr>
          <w:spacing w:val="-3"/>
          <w:sz w:val="24"/>
        </w:rPr>
        <w:t xml:space="preserve"> </w:t>
      </w:r>
      <w:r>
        <w:rPr>
          <w:sz w:val="24"/>
        </w:rPr>
        <w:t>with,</w:t>
      </w:r>
      <w:r>
        <w:rPr>
          <w:spacing w:val="-1"/>
          <w:sz w:val="24"/>
        </w:rPr>
        <w:t xml:space="preserve"> </w:t>
      </w:r>
      <w:r>
        <w:rPr>
          <w:sz w:val="24"/>
        </w:rPr>
        <w:t>other</w:t>
      </w:r>
      <w:r>
        <w:rPr>
          <w:spacing w:val="-2"/>
          <w:sz w:val="24"/>
        </w:rPr>
        <w:t xml:space="preserve"> </w:t>
      </w:r>
      <w:r>
        <w:rPr>
          <w:sz w:val="24"/>
        </w:rPr>
        <w:t>medicinal</w:t>
      </w:r>
      <w:r>
        <w:rPr>
          <w:spacing w:val="-1"/>
          <w:sz w:val="24"/>
        </w:rPr>
        <w:t xml:space="preserve"> </w:t>
      </w:r>
      <w:r>
        <w:rPr>
          <w:sz w:val="24"/>
        </w:rPr>
        <w:t>products.</w:t>
      </w:r>
    </w:p>
    <w:p w:rsidR="008269D0" w:rsidRDefault="00BE670B">
      <w:pPr>
        <w:pStyle w:val="ListParagraph"/>
        <w:numPr>
          <w:ilvl w:val="0"/>
          <w:numId w:val="1"/>
        </w:numPr>
        <w:tabs>
          <w:tab w:val="left" w:pos="478"/>
          <w:tab w:val="left" w:pos="479"/>
        </w:tabs>
        <w:spacing w:before="120"/>
        <w:ind w:right="648"/>
        <w:rPr>
          <w:sz w:val="24"/>
        </w:rPr>
      </w:pPr>
      <w:r>
        <w:rPr>
          <w:sz w:val="24"/>
        </w:rPr>
        <w:t>POTELIGEO is intended for intravenous use only, and should not be administered</w:t>
      </w:r>
      <w:r>
        <w:rPr>
          <w:spacing w:val="1"/>
          <w:sz w:val="24"/>
        </w:rPr>
        <w:t xml:space="preserve"> </w:t>
      </w:r>
      <w:r>
        <w:rPr>
          <w:sz w:val="24"/>
        </w:rPr>
        <w:t>subcutaneously,</w:t>
      </w:r>
      <w:r>
        <w:rPr>
          <w:spacing w:val="-2"/>
          <w:sz w:val="24"/>
        </w:rPr>
        <w:t xml:space="preserve"> </w:t>
      </w:r>
      <w:r>
        <w:rPr>
          <w:sz w:val="24"/>
        </w:rPr>
        <w:t>intramuscularly,</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bolus</w:t>
      </w:r>
      <w:r>
        <w:rPr>
          <w:spacing w:val="-1"/>
          <w:sz w:val="24"/>
        </w:rPr>
        <w:t xml:space="preserve"> </w:t>
      </w:r>
      <w:r>
        <w:rPr>
          <w:sz w:val="24"/>
        </w:rPr>
        <w:t>dose</w:t>
      </w:r>
      <w:r>
        <w:rPr>
          <w:spacing w:val="-2"/>
          <w:sz w:val="24"/>
        </w:rPr>
        <w:t xml:space="preserve"> </w:t>
      </w:r>
      <w:r>
        <w:rPr>
          <w:sz w:val="24"/>
        </w:rPr>
        <w:t>or</w:t>
      </w:r>
      <w:r>
        <w:rPr>
          <w:spacing w:val="-1"/>
          <w:sz w:val="24"/>
        </w:rPr>
        <w:t xml:space="preserve"> </w:t>
      </w:r>
      <w:r>
        <w:rPr>
          <w:sz w:val="24"/>
        </w:rPr>
        <w:t>by</w:t>
      </w:r>
      <w:r>
        <w:rPr>
          <w:spacing w:val="-1"/>
          <w:sz w:val="24"/>
        </w:rPr>
        <w:t xml:space="preserve"> </w:t>
      </w:r>
      <w:r>
        <w:rPr>
          <w:sz w:val="24"/>
        </w:rPr>
        <w:t>rapid</w:t>
      </w:r>
      <w:r>
        <w:rPr>
          <w:spacing w:val="-3"/>
          <w:sz w:val="24"/>
        </w:rPr>
        <w:t xml:space="preserve"> </w:t>
      </w:r>
      <w:r>
        <w:rPr>
          <w:sz w:val="24"/>
        </w:rPr>
        <w:t>intravenous</w:t>
      </w:r>
      <w:r>
        <w:rPr>
          <w:spacing w:val="-2"/>
          <w:sz w:val="24"/>
        </w:rPr>
        <w:t xml:space="preserve"> </w:t>
      </w:r>
      <w:r>
        <w:rPr>
          <w:sz w:val="24"/>
        </w:rPr>
        <w:t>administration.</w:t>
      </w:r>
    </w:p>
    <w:p w:rsidR="008269D0" w:rsidRDefault="00BE670B">
      <w:pPr>
        <w:pStyle w:val="ListParagraph"/>
        <w:numPr>
          <w:ilvl w:val="0"/>
          <w:numId w:val="1"/>
        </w:numPr>
        <w:tabs>
          <w:tab w:val="left" w:pos="478"/>
          <w:tab w:val="left" w:pos="479"/>
        </w:tabs>
        <w:spacing w:before="119"/>
        <w:ind w:right="255"/>
        <w:rPr>
          <w:sz w:val="24"/>
        </w:rPr>
      </w:pPr>
      <w:r>
        <w:rPr>
          <w:sz w:val="24"/>
        </w:rPr>
        <w:t>Administer infusion solution over at least 60 minutes through an intravenous line containing</w:t>
      </w:r>
      <w:r>
        <w:rPr>
          <w:spacing w:val="-57"/>
          <w:sz w:val="24"/>
        </w:rPr>
        <w:t xml:space="preserve"> </w:t>
      </w:r>
      <w:r>
        <w:rPr>
          <w:sz w:val="24"/>
        </w:rPr>
        <w:t>a</w:t>
      </w:r>
      <w:r>
        <w:rPr>
          <w:spacing w:val="-1"/>
          <w:sz w:val="24"/>
        </w:rPr>
        <w:t xml:space="preserve"> </w:t>
      </w:r>
      <w:r>
        <w:rPr>
          <w:sz w:val="24"/>
        </w:rPr>
        <w:t>sterile, low</w:t>
      </w:r>
      <w:r>
        <w:rPr>
          <w:spacing w:val="-2"/>
          <w:sz w:val="24"/>
        </w:rPr>
        <w:t xml:space="preserve"> </w:t>
      </w:r>
      <w:r>
        <w:rPr>
          <w:sz w:val="24"/>
        </w:rPr>
        <w:t>protein binding 0.22</w:t>
      </w:r>
      <w:r>
        <w:rPr>
          <w:spacing w:val="-1"/>
          <w:sz w:val="24"/>
        </w:rPr>
        <w:t xml:space="preserve"> </w:t>
      </w:r>
      <w:r>
        <w:rPr>
          <w:sz w:val="24"/>
        </w:rPr>
        <w:t>micron (or</w:t>
      </w:r>
      <w:r>
        <w:rPr>
          <w:spacing w:val="-1"/>
          <w:sz w:val="24"/>
        </w:rPr>
        <w:t xml:space="preserve"> </w:t>
      </w:r>
      <w:r>
        <w:rPr>
          <w:sz w:val="24"/>
        </w:rPr>
        <w:t>equivalent)</w:t>
      </w:r>
      <w:r>
        <w:rPr>
          <w:spacing w:val="-1"/>
          <w:sz w:val="24"/>
        </w:rPr>
        <w:t xml:space="preserve"> </w:t>
      </w:r>
      <w:r>
        <w:rPr>
          <w:sz w:val="24"/>
        </w:rPr>
        <w:t>in-line filter.</w:t>
      </w:r>
    </w:p>
    <w:p w:rsidR="008269D0" w:rsidRDefault="008269D0">
      <w:pPr>
        <w:rPr>
          <w:sz w:val="24"/>
        </w:rPr>
        <w:sectPr w:rsidR="008269D0" w:rsidSect="003F0986">
          <w:pgSz w:w="11910" w:h="16840"/>
          <w:pgMar w:top="900" w:right="1120" w:bottom="600" w:left="1180" w:header="113" w:footer="404" w:gutter="0"/>
          <w:cols w:space="720"/>
          <w:docGrid w:linePitch="299"/>
        </w:sectPr>
      </w:pPr>
    </w:p>
    <w:p w:rsidR="008269D0" w:rsidRDefault="00BE670B">
      <w:pPr>
        <w:pStyle w:val="Heading2"/>
        <w:spacing w:before="70"/>
      </w:pPr>
      <w:bookmarkStart w:id="13" w:name="Special_populations"/>
      <w:bookmarkStart w:id="14" w:name="_bookmark1"/>
      <w:bookmarkEnd w:id="13"/>
      <w:bookmarkEnd w:id="14"/>
      <w:r>
        <w:t>Special</w:t>
      </w:r>
      <w:r>
        <w:rPr>
          <w:spacing w:val="-8"/>
        </w:rPr>
        <w:t xml:space="preserve"> </w:t>
      </w:r>
      <w:r>
        <w:t>populations</w:t>
      </w:r>
    </w:p>
    <w:p w:rsidR="008269D0" w:rsidRDefault="00BE670B">
      <w:pPr>
        <w:spacing w:before="119"/>
        <w:ind w:left="118"/>
        <w:rPr>
          <w:i/>
          <w:sz w:val="24"/>
        </w:rPr>
      </w:pPr>
      <w:r>
        <w:rPr>
          <w:i/>
          <w:sz w:val="24"/>
          <w:u w:val="single"/>
        </w:rPr>
        <w:t>Elderly</w:t>
      </w:r>
      <w:r>
        <w:rPr>
          <w:i/>
          <w:spacing w:val="-1"/>
          <w:sz w:val="24"/>
          <w:u w:val="single"/>
        </w:rPr>
        <w:t xml:space="preserve"> </w:t>
      </w:r>
      <w:r>
        <w:rPr>
          <w:i/>
          <w:sz w:val="24"/>
          <w:u w:val="single"/>
        </w:rPr>
        <w:t>(≥</w:t>
      </w:r>
      <w:r>
        <w:rPr>
          <w:i/>
          <w:spacing w:val="-1"/>
          <w:sz w:val="24"/>
          <w:u w:val="single"/>
        </w:rPr>
        <w:t xml:space="preserve"> </w:t>
      </w:r>
      <w:r>
        <w:rPr>
          <w:i/>
          <w:sz w:val="24"/>
          <w:u w:val="single"/>
        </w:rPr>
        <w:t>65 years</w:t>
      </w:r>
      <w:r>
        <w:rPr>
          <w:i/>
          <w:spacing w:val="-1"/>
          <w:sz w:val="24"/>
          <w:u w:val="single"/>
        </w:rPr>
        <w:t xml:space="preserve"> </w:t>
      </w:r>
      <w:r>
        <w:rPr>
          <w:i/>
          <w:sz w:val="24"/>
          <w:u w:val="single"/>
        </w:rPr>
        <w:t>of</w:t>
      </w:r>
      <w:r>
        <w:rPr>
          <w:i/>
          <w:spacing w:val="-1"/>
          <w:sz w:val="24"/>
          <w:u w:val="single"/>
        </w:rPr>
        <w:t xml:space="preserve"> </w:t>
      </w:r>
      <w:r>
        <w:rPr>
          <w:i/>
          <w:sz w:val="24"/>
          <w:u w:val="single"/>
        </w:rPr>
        <w:t>age)</w:t>
      </w:r>
    </w:p>
    <w:p w:rsidR="008269D0" w:rsidRDefault="00BE670B">
      <w:pPr>
        <w:pStyle w:val="BodyText"/>
        <w:spacing w:before="119"/>
      </w:pPr>
      <w:r>
        <w:t>No</w:t>
      </w:r>
      <w:r>
        <w:rPr>
          <w:spacing w:val="-1"/>
        </w:rPr>
        <w:t xml:space="preserve"> </w:t>
      </w:r>
      <w:r>
        <w:t>dose</w:t>
      </w:r>
      <w:r>
        <w:rPr>
          <w:spacing w:val="-1"/>
        </w:rPr>
        <w:t xml:space="preserve"> </w:t>
      </w:r>
      <w:r>
        <w:t>adjustment</w:t>
      </w:r>
      <w:r>
        <w:rPr>
          <w:spacing w:val="-1"/>
        </w:rPr>
        <w:t xml:space="preserve"> </w:t>
      </w:r>
      <w:r>
        <w:t>is</w:t>
      </w:r>
      <w:r>
        <w:rPr>
          <w:spacing w:val="-1"/>
        </w:rPr>
        <w:t xml:space="preserve"> </w:t>
      </w:r>
      <w:r>
        <w:t>required</w:t>
      </w:r>
      <w:r>
        <w:rPr>
          <w:spacing w:val="-3"/>
        </w:rPr>
        <w:t xml:space="preserve"> </w:t>
      </w:r>
      <w:r>
        <w:t>in</w:t>
      </w:r>
      <w:r>
        <w:rPr>
          <w:spacing w:val="-1"/>
        </w:rPr>
        <w:t xml:space="preserve"> </w:t>
      </w:r>
      <w:r>
        <w:t>elderly patients</w:t>
      </w:r>
      <w:r>
        <w:rPr>
          <w:spacing w:val="-2"/>
        </w:rPr>
        <w:t xml:space="preserve"> </w:t>
      </w:r>
      <w:r>
        <w:t>(see</w:t>
      </w:r>
      <w:r>
        <w:rPr>
          <w:spacing w:val="-1"/>
        </w:rPr>
        <w:t xml:space="preserve"> </w:t>
      </w:r>
      <w:hyperlink w:anchor="_bookmark3" w:history="1">
        <w:r>
          <w:rPr>
            <w:color w:val="0000FF"/>
          </w:rPr>
          <w:t>section</w:t>
        </w:r>
        <w:r>
          <w:rPr>
            <w:color w:val="0000FF"/>
            <w:spacing w:val="-3"/>
          </w:rPr>
          <w:t xml:space="preserve"> </w:t>
        </w:r>
        <w:r>
          <w:rPr>
            <w:color w:val="0000FF"/>
          </w:rPr>
          <w:t>5.2</w:t>
        </w:r>
      </w:hyperlink>
      <w:r>
        <w:t>).</w:t>
      </w:r>
    </w:p>
    <w:p w:rsidR="008269D0" w:rsidRDefault="00BE670B">
      <w:pPr>
        <w:spacing w:before="121"/>
        <w:ind w:left="118"/>
        <w:rPr>
          <w:i/>
          <w:sz w:val="24"/>
        </w:rPr>
      </w:pPr>
      <w:r>
        <w:rPr>
          <w:i/>
          <w:sz w:val="24"/>
          <w:u w:val="single"/>
        </w:rPr>
        <w:t>Renal</w:t>
      </w:r>
      <w:r>
        <w:rPr>
          <w:i/>
          <w:spacing w:val="-1"/>
          <w:sz w:val="24"/>
          <w:u w:val="single"/>
        </w:rPr>
        <w:t xml:space="preserve"> </w:t>
      </w:r>
      <w:r>
        <w:rPr>
          <w:i/>
          <w:sz w:val="24"/>
          <w:u w:val="single"/>
        </w:rPr>
        <w:t>impairment</w:t>
      </w:r>
    </w:p>
    <w:p w:rsidR="008269D0" w:rsidRDefault="00BE670B">
      <w:pPr>
        <w:pStyle w:val="BodyText"/>
        <w:spacing w:before="119"/>
        <w:ind w:right="174"/>
      </w:pPr>
      <w:r>
        <w:t>Based on a population pharmacokinetic analysis, no dose adjustment is recommended in patients</w:t>
      </w:r>
      <w:r>
        <w:rPr>
          <w:spacing w:val="-57"/>
        </w:rPr>
        <w:t xml:space="preserve"> </w:t>
      </w:r>
      <w:r>
        <w:t>with</w:t>
      </w:r>
      <w:r>
        <w:rPr>
          <w:spacing w:val="-1"/>
        </w:rPr>
        <w:t xml:space="preserve"> </w:t>
      </w:r>
      <w:r>
        <w:t>mild to severe</w:t>
      </w:r>
      <w:r>
        <w:rPr>
          <w:spacing w:val="-1"/>
        </w:rPr>
        <w:t xml:space="preserve"> </w:t>
      </w:r>
      <w:r>
        <w:t>renal</w:t>
      </w:r>
      <w:r>
        <w:rPr>
          <w:spacing w:val="-1"/>
        </w:rPr>
        <w:t xml:space="preserve"> </w:t>
      </w:r>
      <w:r>
        <w:t>impairment (see section</w:t>
      </w:r>
      <w:r>
        <w:rPr>
          <w:spacing w:val="-2"/>
        </w:rPr>
        <w:t xml:space="preserve"> </w:t>
      </w:r>
      <w:r>
        <w:t>5.2).</w:t>
      </w:r>
    </w:p>
    <w:p w:rsidR="008269D0" w:rsidRDefault="00BE670B">
      <w:pPr>
        <w:spacing w:before="121"/>
        <w:ind w:left="118"/>
        <w:rPr>
          <w:i/>
          <w:sz w:val="24"/>
        </w:rPr>
      </w:pPr>
      <w:r>
        <w:rPr>
          <w:i/>
          <w:sz w:val="24"/>
          <w:u w:val="single"/>
        </w:rPr>
        <w:t>Hepatic</w:t>
      </w:r>
      <w:r>
        <w:rPr>
          <w:i/>
          <w:spacing w:val="-1"/>
          <w:sz w:val="24"/>
          <w:u w:val="single"/>
        </w:rPr>
        <w:t xml:space="preserve"> </w:t>
      </w:r>
      <w:r>
        <w:rPr>
          <w:i/>
          <w:sz w:val="24"/>
          <w:u w:val="single"/>
        </w:rPr>
        <w:t>impairment</w:t>
      </w:r>
    </w:p>
    <w:p w:rsidR="008269D0" w:rsidRDefault="00BE670B" w:rsidP="007C2DAB">
      <w:pPr>
        <w:pStyle w:val="BodyText"/>
        <w:spacing w:before="119" w:after="240"/>
        <w:ind w:right="174"/>
      </w:pPr>
      <w:r>
        <w:t>Based on a population pharmacokinetic analysis, no dose adjustment is recommended in patients</w:t>
      </w:r>
      <w:r>
        <w:rPr>
          <w:spacing w:val="-57"/>
        </w:rPr>
        <w:t xml:space="preserve"> </w:t>
      </w:r>
      <w:r>
        <w:t>with mild or moderate hepatic impairment. POTELIGEO has not been studied in patients with</w:t>
      </w:r>
      <w:r>
        <w:rPr>
          <w:spacing w:val="1"/>
        </w:rPr>
        <w:t xml:space="preserve"> </w:t>
      </w:r>
      <w:r>
        <w:t>severe</w:t>
      </w:r>
      <w:r>
        <w:rPr>
          <w:spacing w:val="-1"/>
        </w:rPr>
        <w:t xml:space="preserve"> </w:t>
      </w:r>
      <w:r>
        <w:t>hepatic impairment (see</w:t>
      </w:r>
      <w:r>
        <w:rPr>
          <w:spacing w:val="-2"/>
        </w:rPr>
        <w:t xml:space="preserve"> </w:t>
      </w:r>
      <w:r>
        <w:t>section 5.2).</w:t>
      </w:r>
    </w:p>
    <w:p w:rsidR="008269D0" w:rsidRDefault="00127F27" w:rsidP="00127F27">
      <w:pPr>
        <w:pStyle w:val="Heading2"/>
        <w:spacing w:before="90" w:after="240"/>
        <w:ind w:left="709" w:hanging="567"/>
      </w:pPr>
      <w:bookmarkStart w:id="15" w:name="4.3_CONTRAINDICATIONS"/>
      <w:bookmarkEnd w:id="15"/>
      <w:r>
        <w:t>4.3</w:t>
      </w:r>
      <w:r>
        <w:tab/>
      </w:r>
      <w:r w:rsidR="00BE670B">
        <w:t>CONTRAINDICATIONS</w:t>
      </w:r>
    </w:p>
    <w:p w:rsidR="008269D0" w:rsidRDefault="00BE670B" w:rsidP="007C2DAB">
      <w:pPr>
        <w:spacing w:after="240"/>
        <w:ind w:left="118" w:right="346"/>
        <w:rPr>
          <w:sz w:val="24"/>
        </w:rPr>
      </w:pPr>
      <w:r>
        <w:rPr>
          <w:sz w:val="24"/>
        </w:rPr>
        <w:t xml:space="preserve">Known hypersensitivity to mogamulizumab or to any of the excipients listed in </w:t>
      </w:r>
      <w:hyperlink w:anchor="_bookmark5" w:history="1">
        <w:r>
          <w:rPr>
            <w:i/>
            <w:color w:val="0000FF"/>
            <w:sz w:val="24"/>
          </w:rPr>
          <w:t>section 6.1 List</w:t>
        </w:r>
      </w:hyperlink>
      <w:r>
        <w:rPr>
          <w:i/>
          <w:color w:val="0000FF"/>
          <w:spacing w:val="-57"/>
          <w:sz w:val="24"/>
        </w:rPr>
        <w:t xml:space="preserve"> </w:t>
      </w:r>
      <w:hyperlink w:anchor="_bookmark5" w:history="1">
        <w:r>
          <w:rPr>
            <w:i/>
            <w:color w:val="0000FF"/>
            <w:sz w:val="24"/>
          </w:rPr>
          <w:t>of</w:t>
        </w:r>
        <w:r>
          <w:rPr>
            <w:i/>
            <w:color w:val="0000FF"/>
            <w:spacing w:val="-1"/>
            <w:sz w:val="24"/>
          </w:rPr>
          <w:t xml:space="preserve"> </w:t>
        </w:r>
        <w:r>
          <w:rPr>
            <w:i/>
            <w:color w:val="0000FF"/>
            <w:sz w:val="24"/>
          </w:rPr>
          <w:t>Excipients</w:t>
        </w:r>
        <w:r>
          <w:rPr>
            <w:color w:val="0000FF"/>
            <w:sz w:val="24"/>
          </w:rPr>
          <w:t>.</w:t>
        </w:r>
      </w:hyperlink>
    </w:p>
    <w:p w:rsidR="008269D0" w:rsidRDefault="00127F27" w:rsidP="00127F27">
      <w:pPr>
        <w:pStyle w:val="Heading2"/>
        <w:spacing w:before="90" w:after="240"/>
        <w:ind w:left="709" w:hanging="567"/>
      </w:pPr>
      <w:bookmarkStart w:id="16" w:name="4.4_SPECIAL_WARNINGS_AND_PRECAUTIONS_FOR"/>
      <w:bookmarkEnd w:id="16"/>
      <w:r>
        <w:rPr>
          <w:noProof/>
          <w:lang w:val="en-AU" w:eastAsia="en-AU"/>
        </w:rPr>
        <w:t>4.4</w:t>
      </w:r>
      <w:r>
        <w:rPr>
          <w:noProof/>
          <w:lang w:val="en-AU" w:eastAsia="en-AU"/>
        </w:rPr>
        <w:tab/>
      </w:r>
      <w:r w:rsidR="00BE670B">
        <w:t>SPECIAL</w:t>
      </w:r>
      <w:r w:rsidR="00BE670B">
        <w:rPr>
          <w:spacing w:val="-4"/>
        </w:rPr>
        <w:t xml:space="preserve"> </w:t>
      </w:r>
      <w:r w:rsidR="00BE670B">
        <w:t>WARNINGS</w:t>
      </w:r>
      <w:r w:rsidR="00BE670B">
        <w:rPr>
          <w:spacing w:val="-4"/>
        </w:rPr>
        <w:t xml:space="preserve"> </w:t>
      </w:r>
      <w:r w:rsidR="00BE670B">
        <w:t>AND</w:t>
      </w:r>
      <w:r w:rsidR="00BE670B">
        <w:rPr>
          <w:spacing w:val="-4"/>
        </w:rPr>
        <w:t xml:space="preserve"> </w:t>
      </w:r>
      <w:r w:rsidR="00BE670B">
        <w:t>PRECAUTIONS</w:t>
      </w:r>
      <w:r w:rsidR="00BE670B">
        <w:rPr>
          <w:spacing w:val="-4"/>
        </w:rPr>
        <w:t xml:space="preserve"> </w:t>
      </w:r>
      <w:r w:rsidR="00BE670B">
        <w:t>FOR</w:t>
      </w:r>
      <w:r w:rsidR="00BE670B">
        <w:rPr>
          <w:spacing w:val="-4"/>
        </w:rPr>
        <w:t xml:space="preserve"> </w:t>
      </w:r>
      <w:r w:rsidR="00BE670B">
        <w:t>USE</w:t>
      </w:r>
    </w:p>
    <w:p w:rsidR="008269D0" w:rsidRDefault="00BE670B">
      <w:pPr>
        <w:ind w:left="118"/>
        <w:rPr>
          <w:b/>
          <w:sz w:val="24"/>
        </w:rPr>
      </w:pPr>
      <w:bookmarkStart w:id="17" w:name="Dermatologic_reactions"/>
      <w:bookmarkEnd w:id="17"/>
      <w:r>
        <w:rPr>
          <w:b/>
          <w:sz w:val="24"/>
        </w:rPr>
        <w:t>Dermatologic</w:t>
      </w:r>
      <w:r>
        <w:rPr>
          <w:b/>
          <w:spacing w:val="-5"/>
          <w:sz w:val="24"/>
        </w:rPr>
        <w:t xml:space="preserve"> </w:t>
      </w:r>
      <w:r>
        <w:rPr>
          <w:b/>
          <w:sz w:val="24"/>
        </w:rPr>
        <w:t>reactions</w:t>
      </w:r>
    </w:p>
    <w:p w:rsidR="008269D0" w:rsidRDefault="00BE670B">
      <w:pPr>
        <w:pStyle w:val="BodyText"/>
        <w:spacing w:before="117"/>
        <w:ind w:right="160"/>
      </w:pPr>
      <w:r>
        <w:t>Fatal and life-threatening skin adverse reactions, including Stevens-Johnson syndrome (SJS) and</w:t>
      </w:r>
      <w:r>
        <w:rPr>
          <w:spacing w:val="-57"/>
        </w:rPr>
        <w:t xml:space="preserve"> </w:t>
      </w:r>
      <w:r>
        <w:t>toxic epidermal necrolysis (TEN), have occurred in recipients of mogamulizumab. Rash (drug</w:t>
      </w:r>
      <w:r>
        <w:rPr>
          <w:spacing w:val="1"/>
        </w:rPr>
        <w:t xml:space="preserve"> </w:t>
      </w:r>
      <w:r>
        <w:t>eruption) is one of the most common adverse reactions associated with mogamulizumab. In</w:t>
      </w:r>
      <w:r>
        <w:rPr>
          <w:spacing w:val="1"/>
        </w:rPr>
        <w:t xml:space="preserve"> </w:t>
      </w:r>
      <w:r>
        <w:t>Study 0761-010, 24% (44/184) of patients treated with mogamulizumab in the randomised phase</w:t>
      </w:r>
      <w:r>
        <w:rPr>
          <w:spacing w:val="-57"/>
        </w:rPr>
        <w:t xml:space="preserve"> </w:t>
      </w:r>
      <w:r>
        <w:t>of the study had an adverse reaction of drug eruption, with 4.3% of these cases being severe</w:t>
      </w:r>
      <w:r>
        <w:rPr>
          <w:spacing w:val="1"/>
        </w:rPr>
        <w:t xml:space="preserve"> </w:t>
      </w:r>
      <w:r>
        <w:t>(Grade 3) and 95.7% of these cases being Grade 1 or 2. Of 528 patients treated with</w:t>
      </w:r>
      <w:r>
        <w:rPr>
          <w:spacing w:val="1"/>
        </w:rPr>
        <w:t xml:space="preserve"> </w:t>
      </w:r>
      <w:r>
        <w:t>mogamulizumab in clinical trials, Grade 3 skin adverse reactions were reported in 3.6%, Grade 4</w:t>
      </w:r>
      <w:r>
        <w:rPr>
          <w:spacing w:val="-57"/>
        </w:rPr>
        <w:t xml:space="preserve"> </w:t>
      </w:r>
      <w:r>
        <w:t>skin</w:t>
      </w:r>
      <w:r>
        <w:rPr>
          <w:spacing w:val="-1"/>
        </w:rPr>
        <w:t xml:space="preserve"> </w:t>
      </w:r>
      <w:r>
        <w:t>adverse</w:t>
      </w:r>
      <w:r>
        <w:rPr>
          <w:spacing w:val="-1"/>
        </w:rPr>
        <w:t xml:space="preserve"> </w:t>
      </w:r>
      <w:r>
        <w:t>reactions</w:t>
      </w:r>
      <w:r>
        <w:rPr>
          <w:spacing w:val="-1"/>
        </w:rPr>
        <w:t xml:space="preserve"> </w:t>
      </w:r>
      <w:r>
        <w:t>in</w:t>
      </w:r>
      <w:r>
        <w:rPr>
          <w:spacing w:val="-2"/>
        </w:rPr>
        <w:t xml:space="preserve"> </w:t>
      </w:r>
      <w:r>
        <w:t>&lt;1%, and SJS</w:t>
      </w:r>
      <w:r>
        <w:rPr>
          <w:spacing w:val="-1"/>
        </w:rPr>
        <w:t xml:space="preserve"> </w:t>
      </w:r>
      <w:r>
        <w:t>in &lt;1%.</w:t>
      </w:r>
    </w:p>
    <w:p w:rsidR="008269D0" w:rsidRDefault="00BE670B">
      <w:pPr>
        <w:pStyle w:val="BodyText"/>
        <w:spacing w:before="121"/>
        <w:ind w:right="188"/>
      </w:pPr>
      <w:bookmarkStart w:id="18" w:name="Infusion_related_Reactions"/>
      <w:bookmarkEnd w:id="18"/>
      <w:r>
        <w:t>The onset of drug eruption is variable, and the affected areas and appearance vary. In Study</w:t>
      </w:r>
      <w:r>
        <w:rPr>
          <w:spacing w:val="1"/>
        </w:rPr>
        <w:t xml:space="preserve"> </w:t>
      </w:r>
      <w:r>
        <w:t>0761-010, the median time to onset was 15 weeks, with 25% of cases occurring after 31 weeks.</w:t>
      </w:r>
      <w:r>
        <w:rPr>
          <w:spacing w:val="1"/>
        </w:rPr>
        <w:t xml:space="preserve"> </w:t>
      </w:r>
      <w:r>
        <w:t>The more common presentations reported included papular or maculopapular rash, lichenoid,</w:t>
      </w:r>
      <w:r>
        <w:rPr>
          <w:spacing w:val="1"/>
        </w:rPr>
        <w:t xml:space="preserve"> </w:t>
      </w:r>
      <w:r>
        <w:t>spongiotic or granulomatous dermatitis, and morbilliform rash. Other presentations included</w:t>
      </w:r>
      <w:r>
        <w:rPr>
          <w:spacing w:val="1"/>
        </w:rPr>
        <w:t xml:space="preserve"> </w:t>
      </w:r>
      <w:r>
        <w:t>scaly</w:t>
      </w:r>
      <w:r>
        <w:rPr>
          <w:spacing w:val="-3"/>
        </w:rPr>
        <w:t xml:space="preserve"> </w:t>
      </w:r>
      <w:r>
        <w:t>plaques,</w:t>
      </w:r>
      <w:r>
        <w:rPr>
          <w:spacing w:val="-2"/>
        </w:rPr>
        <w:t xml:space="preserve"> </w:t>
      </w:r>
      <w:r>
        <w:t>pustular</w:t>
      </w:r>
      <w:r>
        <w:rPr>
          <w:spacing w:val="-2"/>
        </w:rPr>
        <w:t xml:space="preserve"> </w:t>
      </w:r>
      <w:r>
        <w:t>eruption,</w:t>
      </w:r>
      <w:r>
        <w:rPr>
          <w:spacing w:val="-2"/>
        </w:rPr>
        <w:t xml:space="preserve"> </w:t>
      </w:r>
      <w:r>
        <w:t>folliculitis,</w:t>
      </w:r>
      <w:r>
        <w:rPr>
          <w:spacing w:val="-2"/>
        </w:rPr>
        <w:t xml:space="preserve"> </w:t>
      </w:r>
      <w:r>
        <w:t>non-specific</w:t>
      </w:r>
      <w:r>
        <w:rPr>
          <w:spacing w:val="-3"/>
        </w:rPr>
        <w:t xml:space="preserve"> </w:t>
      </w:r>
      <w:r>
        <w:t>dermatitis,</w:t>
      </w:r>
      <w:r>
        <w:rPr>
          <w:spacing w:val="-2"/>
        </w:rPr>
        <w:t xml:space="preserve"> </w:t>
      </w:r>
      <w:r>
        <w:t>and</w:t>
      </w:r>
      <w:r>
        <w:rPr>
          <w:spacing w:val="-4"/>
        </w:rPr>
        <w:t xml:space="preserve"> </w:t>
      </w:r>
      <w:r>
        <w:t>psoriasiform</w:t>
      </w:r>
      <w:r>
        <w:rPr>
          <w:spacing w:val="-3"/>
        </w:rPr>
        <w:t xml:space="preserve"> </w:t>
      </w:r>
      <w:r>
        <w:t>dermatitis.</w:t>
      </w:r>
    </w:p>
    <w:p w:rsidR="008269D0" w:rsidRDefault="00BE670B">
      <w:pPr>
        <w:pStyle w:val="BodyText"/>
        <w:spacing w:before="119"/>
        <w:ind w:right="366"/>
      </w:pPr>
      <w:r>
        <w:t>Monitor patients for rash throughout the treatment course. Management of dermatologic</w:t>
      </w:r>
      <w:r>
        <w:rPr>
          <w:spacing w:val="1"/>
        </w:rPr>
        <w:t xml:space="preserve"> </w:t>
      </w:r>
      <w:r>
        <w:t>reactions includes topical corticosteroids and interruption or permanent cessation of</w:t>
      </w:r>
      <w:r>
        <w:rPr>
          <w:spacing w:val="1"/>
        </w:rPr>
        <w:t xml:space="preserve"> </w:t>
      </w:r>
      <w:r>
        <w:t xml:space="preserve">mogamulizumab (see </w:t>
      </w:r>
      <w:hyperlink w:anchor="_bookmark0" w:history="1">
        <w:r>
          <w:rPr>
            <w:color w:val="0000FF"/>
          </w:rPr>
          <w:t>section 4.2</w:t>
        </w:r>
      </w:hyperlink>
      <w:r>
        <w:t>). Consider skin biopsy to help distinguish drug eruption from</w:t>
      </w:r>
      <w:r>
        <w:rPr>
          <w:spacing w:val="-57"/>
        </w:rPr>
        <w:t xml:space="preserve"> </w:t>
      </w:r>
      <w:r>
        <w:t>disease</w:t>
      </w:r>
      <w:r>
        <w:rPr>
          <w:spacing w:val="-1"/>
        </w:rPr>
        <w:t xml:space="preserve"> </w:t>
      </w:r>
      <w:r>
        <w:t>progression.</w:t>
      </w:r>
    </w:p>
    <w:p w:rsidR="008269D0" w:rsidRDefault="00BE670B" w:rsidP="00FC6A4A">
      <w:pPr>
        <w:pStyle w:val="BodyText"/>
        <w:spacing w:before="120" w:after="240"/>
        <w:ind w:right="301"/>
      </w:pPr>
      <w:r>
        <w:t>Discontinue mogamulizumab permanently for SJS or TEN or for any life-threatening (Grade 4)</w:t>
      </w:r>
      <w:r>
        <w:rPr>
          <w:spacing w:val="-57"/>
        </w:rPr>
        <w:t xml:space="preserve"> </w:t>
      </w:r>
      <w:r>
        <w:t>reaction. For possible SJS or TEN, interrupt mogamulizumab and do not restart unless SJS or</w:t>
      </w:r>
      <w:r>
        <w:rPr>
          <w:spacing w:val="1"/>
        </w:rPr>
        <w:t xml:space="preserve"> </w:t>
      </w:r>
      <w:r>
        <w:t>TEN</w:t>
      </w:r>
      <w:r>
        <w:rPr>
          <w:spacing w:val="-2"/>
        </w:rPr>
        <w:t xml:space="preserve"> </w:t>
      </w:r>
      <w:r>
        <w:t>is ruled out and</w:t>
      </w:r>
      <w:r>
        <w:rPr>
          <w:spacing w:val="-1"/>
        </w:rPr>
        <w:t xml:space="preserve"> </w:t>
      </w:r>
      <w:r>
        <w:t>the cutaneous</w:t>
      </w:r>
      <w:r>
        <w:rPr>
          <w:spacing w:val="-1"/>
        </w:rPr>
        <w:t xml:space="preserve"> </w:t>
      </w:r>
      <w:r>
        <w:t>reaction has</w:t>
      </w:r>
      <w:r>
        <w:rPr>
          <w:spacing w:val="-1"/>
        </w:rPr>
        <w:t xml:space="preserve"> </w:t>
      </w:r>
      <w:r>
        <w:t>resolved</w:t>
      </w:r>
      <w:r>
        <w:rPr>
          <w:spacing w:val="-3"/>
        </w:rPr>
        <w:t xml:space="preserve"> </w:t>
      </w:r>
      <w:r>
        <w:t>to</w:t>
      </w:r>
      <w:r>
        <w:rPr>
          <w:spacing w:val="-2"/>
        </w:rPr>
        <w:t xml:space="preserve"> </w:t>
      </w:r>
      <w:r>
        <w:t>Grade 1 or</w:t>
      </w:r>
      <w:r>
        <w:rPr>
          <w:spacing w:val="-1"/>
        </w:rPr>
        <w:t xml:space="preserve"> </w:t>
      </w:r>
      <w:r>
        <w:t>less.</w:t>
      </w:r>
    </w:p>
    <w:p w:rsidR="008269D0" w:rsidRDefault="00BE670B">
      <w:pPr>
        <w:pStyle w:val="Heading2"/>
        <w:spacing w:before="1"/>
      </w:pPr>
      <w:r>
        <w:t>Infusion</w:t>
      </w:r>
      <w:r>
        <w:rPr>
          <w:spacing w:val="-2"/>
        </w:rPr>
        <w:t xml:space="preserve"> </w:t>
      </w:r>
      <w:r>
        <w:t>related</w:t>
      </w:r>
      <w:r>
        <w:rPr>
          <w:spacing w:val="-2"/>
        </w:rPr>
        <w:t xml:space="preserve"> </w:t>
      </w:r>
      <w:r>
        <w:t>Reactions</w:t>
      </w:r>
    </w:p>
    <w:p w:rsidR="008269D0" w:rsidRDefault="00BE670B">
      <w:pPr>
        <w:pStyle w:val="BodyText"/>
        <w:spacing w:before="117"/>
        <w:ind w:right="201"/>
      </w:pPr>
      <w:r>
        <w:t>Fatal and life-threatening infusion related reactions have been reported in patients treated with</w:t>
      </w:r>
      <w:r>
        <w:rPr>
          <w:spacing w:val="1"/>
        </w:rPr>
        <w:t xml:space="preserve"> </w:t>
      </w:r>
      <w:r>
        <w:t>mogamulizumab. In Study 0761-010, infusion related reactions occurred in 33% (61/184) of</w:t>
      </w:r>
      <w:r>
        <w:rPr>
          <w:spacing w:val="1"/>
        </w:rPr>
        <w:t xml:space="preserve"> </w:t>
      </w:r>
      <w:r>
        <w:t>patients treated with mogamulizumab in the randomised phase of the study, with 1.6% of these</w:t>
      </w:r>
      <w:r>
        <w:rPr>
          <w:spacing w:val="1"/>
        </w:rPr>
        <w:t xml:space="preserve"> </w:t>
      </w:r>
      <w:r>
        <w:t>reactions being severe (Grade 3). In the crossover phase of the study, 37% (50/136) of the</w:t>
      </w:r>
      <w:r>
        <w:rPr>
          <w:spacing w:val="1"/>
        </w:rPr>
        <w:t xml:space="preserve"> </w:t>
      </w:r>
      <w:r>
        <w:t>patients who switched to mogamulizumab treatment experienced infusion related reactions, with</w:t>
      </w:r>
      <w:r>
        <w:rPr>
          <w:spacing w:val="-57"/>
        </w:rPr>
        <w:t xml:space="preserve"> </w:t>
      </w:r>
      <w:r>
        <w:t>4.4% being severe (Grade 3). Most reactions (approximately 90%) occur during or shortly after</w:t>
      </w:r>
      <w:r>
        <w:rPr>
          <w:spacing w:val="1"/>
        </w:rPr>
        <w:t xml:space="preserve"> </w:t>
      </w:r>
      <w:r>
        <w:t>the first cycle of infusion (first four administrations). Infusion related reactions can also occur</w:t>
      </w:r>
      <w:r>
        <w:rPr>
          <w:spacing w:val="1"/>
        </w:rPr>
        <w:t xml:space="preserve"> </w:t>
      </w:r>
      <w:r>
        <w:t>with</w:t>
      </w:r>
      <w:r>
        <w:rPr>
          <w:spacing w:val="-2"/>
        </w:rPr>
        <w:t xml:space="preserve"> </w:t>
      </w:r>
      <w:r>
        <w:t>subsequent</w:t>
      </w:r>
      <w:r>
        <w:rPr>
          <w:spacing w:val="-1"/>
        </w:rPr>
        <w:t xml:space="preserve"> </w:t>
      </w:r>
      <w:r>
        <w:t>infusions.</w:t>
      </w:r>
      <w:r>
        <w:rPr>
          <w:spacing w:val="-1"/>
        </w:rPr>
        <w:t xml:space="preserve"> </w:t>
      </w:r>
      <w:r>
        <w:t>The</w:t>
      </w:r>
      <w:r>
        <w:rPr>
          <w:spacing w:val="-1"/>
        </w:rPr>
        <w:t xml:space="preserve"> </w:t>
      </w:r>
      <w:r>
        <w:t>most</w:t>
      </w:r>
      <w:r>
        <w:rPr>
          <w:spacing w:val="-1"/>
        </w:rPr>
        <w:t xml:space="preserve"> </w:t>
      </w:r>
      <w:r>
        <w:t>commonly reported</w:t>
      </w:r>
      <w:r>
        <w:rPr>
          <w:spacing w:val="-1"/>
        </w:rPr>
        <w:t xml:space="preserve"> </w:t>
      </w:r>
      <w:r>
        <w:t>signs</w:t>
      </w:r>
      <w:r>
        <w:rPr>
          <w:spacing w:val="-1"/>
        </w:rPr>
        <w:t xml:space="preserve"> </w:t>
      </w:r>
      <w:r>
        <w:t>include</w:t>
      </w:r>
      <w:r>
        <w:rPr>
          <w:spacing w:val="-1"/>
        </w:rPr>
        <w:t xml:space="preserve"> </w:t>
      </w:r>
      <w:r>
        <w:t>chills,</w:t>
      </w:r>
      <w:r>
        <w:rPr>
          <w:spacing w:val="-1"/>
        </w:rPr>
        <w:t xml:space="preserve"> </w:t>
      </w:r>
      <w:r>
        <w:t>nausea,</w:t>
      </w:r>
      <w:r>
        <w:rPr>
          <w:spacing w:val="-1"/>
        </w:rPr>
        <w:t xml:space="preserve"> </w:t>
      </w:r>
      <w:r>
        <w:t>fever,</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pPr>
        <w:pStyle w:val="BodyText"/>
        <w:spacing w:before="68"/>
      </w:pPr>
      <w:bookmarkStart w:id="19" w:name="Infections"/>
      <w:bookmarkEnd w:id="19"/>
      <w:r>
        <w:t>tachycardia,</w:t>
      </w:r>
      <w:r>
        <w:rPr>
          <w:spacing w:val="-5"/>
        </w:rPr>
        <w:t xml:space="preserve"> </w:t>
      </w:r>
      <w:r>
        <w:t>rigors,</w:t>
      </w:r>
      <w:r>
        <w:rPr>
          <w:spacing w:val="-2"/>
        </w:rPr>
        <w:t xml:space="preserve"> </w:t>
      </w:r>
      <w:r>
        <w:t>headache,</w:t>
      </w:r>
      <w:r>
        <w:rPr>
          <w:spacing w:val="-2"/>
        </w:rPr>
        <w:t xml:space="preserve"> </w:t>
      </w:r>
      <w:r>
        <w:t>and</w:t>
      </w:r>
      <w:r>
        <w:rPr>
          <w:spacing w:val="-2"/>
        </w:rPr>
        <w:t xml:space="preserve"> </w:t>
      </w:r>
      <w:r>
        <w:t>vomiting.</w:t>
      </w:r>
    </w:p>
    <w:p w:rsidR="008269D0" w:rsidRDefault="00BE670B" w:rsidP="00FC6A4A">
      <w:pPr>
        <w:pStyle w:val="BodyText"/>
        <w:spacing w:before="120" w:after="240"/>
        <w:ind w:right="154"/>
      </w:pPr>
      <w:r>
        <w:t>Consider premedication (such as anti-histamines and paracetamol) for the first infusion of</w:t>
      </w:r>
      <w:r>
        <w:rPr>
          <w:spacing w:val="1"/>
        </w:rPr>
        <w:t xml:space="preserve"> </w:t>
      </w:r>
      <w:r>
        <w:t>mogamulizumab in all patients. Whether premedication reduces the risk or severity of these</w:t>
      </w:r>
      <w:r>
        <w:rPr>
          <w:spacing w:val="1"/>
        </w:rPr>
        <w:t xml:space="preserve"> </w:t>
      </w:r>
      <w:r>
        <w:t>reactions is not established. In Study 0761-010, infusion related reactions occurred in 42% of</w:t>
      </w:r>
      <w:r>
        <w:rPr>
          <w:spacing w:val="1"/>
        </w:rPr>
        <w:t xml:space="preserve"> </w:t>
      </w:r>
      <w:r>
        <w:t>patients without premedication and 32% of patients with premedication. Monitor patients closely</w:t>
      </w:r>
      <w:r>
        <w:rPr>
          <w:spacing w:val="-57"/>
        </w:rPr>
        <w:t xml:space="preserve"> </w:t>
      </w:r>
      <w:bookmarkStart w:id="20" w:name="Complications_of_Allogeneic_Hematopoieti"/>
      <w:bookmarkEnd w:id="20"/>
      <w:r>
        <w:t>for signs and symptoms of infusion related reactions and interrupt the infusion for any grade</w:t>
      </w:r>
      <w:r>
        <w:rPr>
          <w:spacing w:val="1"/>
        </w:rPr>
        <w:t xml:space="preserve"> </w:t>
      </w:r>
      <w:r>
        <w:t>reaction</w:t>
      </w:r>
      <w:r>
        <w:rPr>
          <w:spacing w:val="-1"/>
        </w:rPr>
        <w:t xml:space="preserve"> </w:t>
      </w:r>
      <w:r>
        <w:t>and</w:t>
      </w:r>
      <w:r>
        <w:rPr>
          <w:spacing w:val="-2"/>
        </w:rPr>
        <w:t xml:space="preserve"> </w:t>
      </w:r>
      <w:r>
        <w:t>treat promptly</w:t>
      </w:r>
      <w:r>
        <w:rPr>
          <w:spacing w:val="-1"/>
        </w:rPr>
        <w:t xml:space="preserve"> </w:t>
      </w:r>
      <w:r>
        <w:t xml:space="preserve">(see </w:t>
      </w:r>
      <w:hyperlink w:anchor="_bookmark0" w:history="1">
        <w:r>
          <w:rPr>
            <w:color w:val="0000FF"/>
          </w:rPr>
          <w:t>section 4.2</w:t>
        </w:r>
      </w:hyperlink>
      <w:r>
        <w:t>).</w:t>
      </w:r>
    </w:p>
    <w:p w:rsidR="008269D0" w:rsidRDefault="00BE670B">
      <w:pPr>
        <w:pStyle w:val="Heading2"/>
      </w:pPr>
      <w:r>
        <w:t>Infections</w:t>
      </w:r>
    </w:p>
    <w:p w:rsidR="008269D0" w:rsidRDefault="00BE670B">
      <w:pPr>
        <w:pStyle w:val="BodyText"/>
        <w:spacing w:before="118"/>
        <w:ind w:right="421"/>
      </w:pPr>
      <w:r>
        <w:t>Fatal and life-threatening infections have occurred in patients treated with mogamulizumab,</w:t>
      </w:r>
      <w:r>
        <w:rPr>
          <w:spacing w:val="1"/>
        </w:rPr>
        <w:t xml:space="preserve"> </w:t>
      </w:r>
      <w:r>
        <w:t>including sepsis, pneumonia, and skin infection. In Study 0761-010, 17% (32/184) of patients</w:t>
      </w:r>
      <w:r>
        <w:rPr>
          <w:spacing w:val="1"/>
        </w:rPr>
        <w:t xml:space="preserve"> </w:t>
      </w:r>
      <w:r>
        <w:t>randomised to mogamulizumab had Grade 3 or higher infection or an infection-related serious</w:t>
      </w:r>
      <w:r>
        <w:rPr>
          <w:spacing w:val="-57"/>
        </w:rPr>
        <w:t xml:space="preserve"> </w:t>
      </w:r>
      <w:r>
        <w:t>adverse</w:t>
      </w:r>
      <w:r>
        <w:rPr>
          <w:spacing w:val="-2"/>
        </w:rPr>
        <w:t xml:space="preserve"> </w:t>
      </w:r>
      <w:r>
        <w:t>reaction.</w:t>
      </w:r>
      <w:r>
        <w:rPr>
          <w:spacing w:val="-1"/>
        </w:rPr>
        <w:t xml:space="preserve"> </w:t>
      </w:r>
      <w:r>
        <w:t>Monitor</w:t>
      </w:r>
      <w:r>
        <w:rPr>
          <w:spacing w:val="-1"/>
        </w:rPr>
        <w:t xml:space="preserve"> </w:t>
      </w:r>
      <w:r>
        <w:t>patients</w:t>
      </w:r>
      <w:r>
        <w:rPr>
          <w:spacing w:val="-1"/>
        </w:rPr>
        <w:t xml:space="preserve"> </w:t>
      </w:r>
      <w:r>
        <w:t>for</w:t>
      </w:r>
      <w:r>
        <w:rPr>
          <w:spacing w:val="-2"/>
        </w:rPr>
        <w:t xml:space="preserve"> </w:t>
      </w:r>
      <w:r>
        <w:t>signs</w:t>
      </w:r>
      <w:r>
        <w:rPr>
          <w:spacing w:val="-1"/>
        </w:rPr>
        <w:t xml:space="preserve"> </w:t>
      </w:r>
      <w:r>
        <w:t>and</w:t>
      </w:r>
      <w:r>
        <w:rPr>
          <w:spacing w:val="-1"/>
        </w:rPr>
        <w:t xml:space="preserve"> </w:t>
      </w:r>
      <w:r>
        <w:t>symptoms of</w:t>
      </w:r>
      <w:r>
        <w:rPr>
          <w:spacing w:val="-1"/>
        </w:rPr>
        <w:t xml:space="preserve"> </w:t>
      </w:r>
      <w:r>
        <w:t>infection</w:t>
      </w:r>
      <w:r>
        <w:rPr>
          <w:spacing w:val="-1"/>
        </w:rPr>
        <w:t xml:space="preserve"> </w:t>
      </w:r>
      <w:r>
        <w:t>and</w:t>
      </w:r>
      <w:r>
        <w:rPr>
          <w:spacing w:val="-1"/>
        </w:rPr>
        <w:t xml:space="preserve"> </w:t>
      </w:r>
      <w:r>
        <w:t>treat</w:t>
      </w:r>
      <w:r>
        <w:rPr>
          <w:spacing w:val="-1"/>
        </w:rPr>
        <w:t xml:space="preserve"> </w:t>
      </w:r>
      <w:r>
        <w:t>promptly.</w:t>
      </w:r>
    </w:p>
    <w:p w:rsidR="008269D0" w:rsidRDefault="00BE670B" w:rsidP="00FC6A4A">
      <w:pPr>
        <w:pStyle w:val="BodyText"/>
        <w:spacing w:before="120" w:after="240"/>
        <w:ind w:right="354"/>
      </w:pPr>
      <w:r>
        <w:t>Patients should be tested for hepatitis B infection before initiating treatment with</w:t>
      </w:r>
      <w:r>
        <w:rPr>
          <w:spacing w:val="1"/>
        </w:rPr>
        <w:t xml:space="preserve"> </w:t>
      </w:r>
      <w:r>
        <w:t>mogamulizumab. For patients who test positive for current/previous hepatitis B infection,</w:t>
      </w:r>
      <w:r>
        <w:rPr>
          <w:spacing w:val="1"/>
        </w:rPr>
        <w:t xml:space="preserve"> </w:t>
      </w:r>
      <w:r>
        <w:t>consultation with a physician with expertise in the treatment of hepatitis B is recommended for</w:t>
      </w:r>
      <w:r>
        <w:rPr>
          <w:spacing w:val="-57"/>
        </w:rPr>
        <w:t xml:space="preserve"> </w:t>
      </w:r>
      <w:r>
        <w:t>advice</w:t>
      </w:r>
      <w:r>
        <w:rPr>
          <w:spacing w:val="-1"/>
        </w:rPr>
        <w:t xml:space="preserve"> </w:t>
      </w:r>
      <w:r>
        <w:t>concerning appropriate</w:t>
      </w:r>
      <w:r>
        <w:rPr>
          <w:spacing w:val="-1"/>
        </w:rPr>
        <w:t xml:space="preserve"> </w:t>
      </w:r>
      <w:r>
        <w:t>measures against</w:t>
      </w:r>
      <w:r>
        <w:rPr>
          <w:spacing w:val="-1"/>
        </w:rPr>
        <w:t xml:space="preserve"> </w:t>
      </w:r>
      <w:r>
        <w:t>hepatitis B</w:t>
      </w:r>
      <w:r>
        <w:rPr>
          <w:spacing w:val="-1"/>
        </w:rPr>
        <w:t xml:space="preserve"> </w:t>
      </w:r>
      <w:r>
        <w:t>reactivation.</w:t>
      </w:r>
    </w:p>
    <w:p w:rsidR="008269D0" w:rsidRDefault="00BE670B">
      <w:pPr>
        <w:pStyle w:val="Heading2"/>
        <w:ind w:right="846"/>
      </w:pPr>
      <w:r>
        <w:t>Complications of Allogeneic Hematopoietic Stem Cell Transplantation (HSCT) after</w:t>
      </w:r>
      <w:r>
        <w:rPr>
          <w:spacing w:val="-57"/>
        </w:rPr>
        <w:t xml:space="preserve"> </w:t>
      </w:r>
      <w:r>
        <w:t>mogamulizumab</w:t>
      </w:r>
    </w:p>
    <w:p w:rsidR="008269D0" w:rsidRDefault="00BE670B" w:rsidP="00FC6A4A">
      <w:pPr>
        <w:pStyle w:val="BodyText"/>
        <w:spacing w:before="118" w:after="240"/>
        <w:ind w:right="155"/>
      </w:pPr>
      <w:r>
        <w:t>Increased risks of transplant complications have been reported in patients who receive allogeneic</w:t>
      </w:r>
      <w:r>
        <w:rPr>
          <w:spacing w:val="-57"/>
        </w:rPr>
        <w:t xml:space="preserve"> </w:t>
      </w:r>
      <w:r>
        <w:t>HSCT after mogamulizumab including severe (Grade 3 or 4) acute graft-versus-host disease</w:t>
      </w:r>
      <w:r>
        <w:rPr>
          <w:spacing w:val="1"/>
        </w:rPr>
        <w:t xml:space="preserve"> </w:t>
      </w:r>
      <w:r>
        <w:t>(GVHD),</w:t>
      </w:r>
      <w:r>
        <w:rPr>
          <w:spacing w:val="-1"/>
        </w:rPr>
        <w:t xml:space="preserve"> </w:t>
      </w:r>
      <w:r>
        <w:t>steroid-refractory</w:t>
      </w:r>
      <w:r>
        <w:rPr>
          <w:spacing w:val="-1"/>
        </w:rPr>
        <w:t xml:space="preserve"> </w:t>
      </w:r>
      <w:r>
        <w:t>GVHD, and</w:t>
      </w:r>
      <w:r>
        <w:rPr>
          <w:spacing w:val="-1"/>
        </w:rPr>
        <w:t xml:space="preserve"> </w:t>
      </w:r>
      <w:r>
        <w:t>transplant-related</w:t>
      </w:r>
      <w:r>
        <w:rPr>
          <w:spacing w:val="-1"/>
        </w:rPr>
        <w:t xml:space="preserve"> </w:t>
      </w:r>
      <w:r>
        <w:t>death.</w:t>
      </w:r>
      <w:r>
        <w:rPr>
          <w:spacing w:val="-1"/>
        </w:rPr>
        <w:t xml:space="preserve"> </w:t>
      </w:r>
      <w:r>
        <w:t>Among recipients</w:t>
      </w:r>
      <w:r>
        <w:rPr>
          <w:spacing w:val="-1"/>
        </w:rPr>
        <w:t xml:space="preserve"> </w:t>
      </w:r>
      <w:r>
        <w:t>of</w:t>
      </w:r>
      <w:r w:rsidR="00FC6A4A">
        <w:t xml:space="preserve"> </w:t>
      </w:r>
      <w:r>
        <w:t>pre-transplantation mogamulizumab, a higher risk of transplant complications has been reported</w:t>
      </w:r>
      <w:r>
        <w:rPr>
          <w:spacing w:val="-57"/>
        </w:rPr>
        <w:t xml:space="preserve"> </w:t>
      </w:r>
      <w:r>
        <w:t>if mogamulizumab is given within a shorter time frame (approximately 50 days) before HSCT.</w:t>
      </w:r>
      <w:r>
        <w:rPr>
          <w:spacing w:val="1"/>
        </w:rPr>
        <w:t xml:space="preserve"> </w:t>
      </w:r>
      <w:r>
        <w:t>Follow</w:t>
      </w:r>
      <w:r>
        <w:rPr>
          <w:spacing w:val="-2"/>
        </w:rPr>
        <w:t xml:space="preserve"> </w:t>
      </w:r>
      <w:r>
        <w:t>patients closely</w:t>
      </w:r>
      <w:r>
        <w:rPr>
          <w:spacing w:val="-1"/>
        </w:rPr>
        <w:t xml:space="preserve"> </w:t>
      </w:r>
      <w:r>
        <w:t>for early</w:t>
      </w:r>
      <w:r>
        <w:rPr>
          <w:spacing w:val="-1"/>
        </w:rPr>
        <w:t xml:space="preserve"> </w:t>
      </w:r>
      <w:r>
        <w:t>evidence of</w:t>
      </w:r>
      <w:r>
        <w:rPr>
          <w:spacing w:val="-1"/>
        </w:rPr>
        <w:t xml:space="preserve"> </w:t>
      </w:r>
      <w:r>
        <w:t>transplant-related</w:t>
      </w:r>
      <w:r>
        <w:rPr>
          <w:spacing w:val="-3"/>
        </w:rPr>
        <w:t xml:space="preserve"> </w:t>
      </w:r>
      <w:r>
        <w:t>complications.</w:t>
      </w:r>
    </w:p>
    <w:p w:rsidR="008269D0" w:rsidRDefault="00BE670B">
      <w:pPr>
        <w:pStyle w:val="Heading2"/>
        <w:spacing w:before="1"/>
      </w:pPr>
      <w:bookmarkStart w:id="21" w:name="Tumour_lysis_syndrome"/>
      <w:bookmarkEnd w:id="21"/>
      <w:r>
        <w:t>Tumour</w:t>
      </w:r>
      <w:r>
        <w:rPr>
          <w:spacing w:val="-4"/>
        </w:rPr>
        <w:t xml:space="preserve"> </w:t>
      </w:r>
      <w:r>
        <w:t>lysis</w:t>
      </w:r>
      <w:r>
        <w:rPr>
          <w:spacing w:val="-3"/>
        </w:rPr>
        <w:t xml:space="preserve"> </w:t>
      </w:r>
      <w:r>
        <w:t>syndrome</w:t>
      </w:r>
    </w:p>
    <w:p w:rsidR="008269D0" w:rsidRDefault="00BE670B" w:rsidP="00FC6A4A">
      <w:pPr>
        <w:pStyle w:val="BodyText"/>
        <w:spacing w:before="116" w:after="240"/>
        <w:ind w:right="480"/>
      </w:pPr>
      <w:r>
        <w:t>Tumour lysis syndrome (TLS) has been observed in patients receiving mogamulizumab. TLS</w:t>
      </w:r>
      <w:r>
        <w:rPr>
          <w:spacing w:val="-57"/>
        </w:rPr>
        <w:t xml:space="preserve"> </w:t>
      </w:r>
      <w:r>
        <w:t>was observed most frequently during the first month of treatment. Patients with rapidly</w:t>
      </w:r>
      <w:r>
        <w:rPr>
          <w:spacing w:val="1"/>
        </w:rPr>
        <w:t xml:space="preserve"> </w:t>
      </w:r>
      <w:r>
        <w:t>proliferating tumour and high tumour burden are at risk of TLS. Patients should be monitored</w:t>
      </w:r>
      <w:r>
        <w:rPr>
          <w:spacing w:val="-57"/>
        </w:rPr>
        <w:t xml:space="preserve"> </w:t>
      </w:r>
      <w:r>
        <w:t>closely by appropriate laboratory and clinical tests for electrolyte status, hydration and renal</w:t>
      </w:r>
      <w:r>
        <w:rPr>
          <w:spacing w:val="1"/>
        </w:rPr>
        <w:t xml:space="preserve"> </w:t>
      </w:r>
      <w:r>
        <w:t>function, particularly in the first month of treatment, and managed according to best medical</w:t>
      </w:r>
      <w:r>
        <w:rPr>
          <w:spacing w:val="1"/>
        </w:rPr>
        <w:t xml:space="preserve"> </w:t>
      </w:r>
      <w:r>
        <w:t>practice. Management of TLS may include aggressive hydration, correction of electrolyte</w:t>
      </w:r>
      <w:r>
        <w:rPr>
          <w:spacing w:val="1"/>
        </w:rPr>
        <w:t xml:space="preserve"> </w:t>
      </w:r>
      <w:r>
        <w:t>abnormalities,</w:t>
      </w:r>
      <w:r>
        <w:rPr>
          <w:spacing w:val="-1"/>
        </w:rPr>
        <w:t xml:space="preserve"> </w:t>
      </w:r>
      <w:r>
        <w:t>anti-hyperuricaemic therapy, and supportive</w:t>
      </w:r>
      <w:r>
        <w:rPr>
          <w:spacing w:val="-1"/>
        </w:rPr>
        <w:t xml:space="preserve"> </w:t>
      </w:r>
      <w:r>
        <w:t>care.</w:t>
      </w:r>
    </w:p>
    <w:p w:rsidR="008269D0" w:rsidRDefault="00BE670B">
      <w:pPr>
        <w:pStyle w:val="Heading2"/>
      </w:pPr>
      <w:bookmarkStart w:id="22" w:name="Cardiac_disorders"/>
      <w:bookmarkEnd w:id="22"/>
      <w:r>
        <w:t>Cardiac</w:t>
      </w:r>
      <w:r>
        <w:rPr>
          <w:spacing w:val="-5"/>
        </w:rPr>
        <w:t xml:space="preserve"> </w:t>
      </w:r>
      <w:r>
        <w:t>disorders</w:t>
      </w:r>
    </w:p>
    <w:p w:rsidR="008269D0" w:rsidRDefault="00BE670B" w:rsidP="00FC6A4A">
      <w:pPr>
        <w:pStyle w:val="BodyText"/>
        <w:spacing w:before="118" w:after="240"/>
        <w:ind w:right="134"/>
      </w:pPr>
      <w:r>
        <w:t>One case of acute myocardial infarction has been observed in a clinical trial patient with MF / SS</w:t>
      </w:r>
      <w:r>
        <w:rPr>
          <w:spacing w:val="-57"/>
        </w:rPr>
        <w:t xml:space="preserve"> </w:t>
      </w:r>
      <w:r>
        <w:t>receiving mogamulizumab. In clinical trial patients with other T-cell lymphomas there have been</w:t>
      </w:r>
      <w:r>
        <w:rPr>
          <w:spacing w:val="-57"/>
        </w:rPr>
        <w:t xml:space="preserve"> </w:t>
      </w:r>
      <w:r>
        <w:t>reports of stress cardiomyopathy (one case) and acute myocardial infarction (one case). The</w:t>
      </w:r>
      <w:r>
        <w:rPr>
          <w:spacing w:val="1"/>
        </w:rPr>
        <w:t xml:space="preserve"> </w:t>
      </w:r>
      <w:r>
        <w:t>subjects had a medical history including various risk factors. Patients who have risk factors</w:t>
      </w:r>
      <w:r>
        <w:rPr>
          <w:spacing w:val="1"/>
        </w:rPr>
        <w:t xml:space="preserve"> </w:t>
      </w:r>
      <w:r>
        <w:t>associated</w:t>
      </w:r>
      <w:r>
        <w:rPr>
          <w:spacing w:val="-1"/>
        </w:rPr>
        <w:t xml:space="preserve"> </w:t>
      </w:r>
      <w:r>
        <w:t>with</w:t>
      </w:r>
      <w:r>
        <w:rPr>
          <w:spacing w:val="-1"/>
        </w:rPr>
        <w:t xml:space="preserve"> </w:t>
      </w:r>
      <w:r>
        <w:t>cardiac disease</w:t>
      </w:r>
      <w:r>
        <w:rPr>
          <w:spacing w:val="-2"/>
        </w:rPr>
        <w:t xml:space="preserve"> </w:t>
      </w:r>
      <w:r>
        <w:t>should be</w:t>
      </w:r>
      <w:r>
        <w:rPr>
          <w:spacing w:val="-1"/>
        </w:rPr>
        <w:t xml:space="preserve"> </w:t>
      </w:r>
      <w:r>
        <w:t>monitored and</w:t>
      </w:r>
      <w:r>
        <w:rPr>
          <w:spacing w:val="-1"/>
        </w:rPr>
        <w:t xml:space="preserve"> </w:t>
      </w:r>
      <w:r>
        <w:t>appropriate</w:t>
      </w:r>
      <w:r>
        <w:rPr>
          <w:spacing w:val="-1"/>
        </w:rPr>
        <w:t xml:space="preserve"> </w:t>
      </w:r>
      <w:r>
        <w:t>precautions</w:t>
      </w:r>
      <w:r>
        <w:rPr>
          <w:spacing w:val="-1"/>
        </w:rPr>
        <w:t xml:space="preserve"> </w:t>
      </w:r>
      <w:r>
        <w:t>taken.</w:t>
      </w:r>
    </w:p>
    <w:p w:rsidR="008269D0" w:rsidRDefault="00BE670B">
      <w:pPr>
        <w:pStyle w:val="Heading2"/>
      </w:pPr>
      <w:bookmarkStart w:id="23" w:name="Large_cell_transformation_(LCT)"/>
      <w:bookmarkEnd w:id="23"/>
      <w:r>
        <w:t>Large</w:t>
      </w:r>
      <w:r>
        <w:rPr>
          <w:spacing w:val="-4"/>
        </w:rPr>
        <w:t xml:space="preserve"> </w:t>
      </w:r>
      <w:r>
        <w:t>cell</w:t>
      </w:r>
      <w:r>
        <w:rPr>
          <w:spacing w:val="-4"/>
        </w:rPr>
        <w:t xml:space="preserve"> </w:t>
      </w:r>
      <w:r>
        <w:t>transformation</w:t>
      </w:r>
      <w:r>
        <w:rPr>
          <w:spacing w:val="-3"/>
        </w:rPr>
        <w:t xml:space="preserve"> </w:t>
      </w:r>
      <w:r>
        <w:t>(LCT)</w:t>
      </w:r>
    </w:p>
    <w:p w:rsidR="008269D0" w:rsidRPr="00FC6A4A" w:rsidRDefault="00BE670B" w:rsidP="00FC6A4A">
      <w:pPr>
        <w:pStyle w:val="BodyText"/>
        <w:spacing w:before="117" w:after="240"/>
      </w:pPr>
      <w:r>
        <w:t>There</w:t>
      </w:r>
      <w:r>
        <w:rPr>
          <w:spacing w:val="-2"/>
        </w:rPr>
        <w:t xml:space="preserve"> </w:t>
      </w:r>
      <w:r>
        <w:t>are</w:t>
      </w:r>
      <w:r>
        <w:rPr>
          <w:spacing w:val="-1"/>
        </w:rPr>
        <w:t xml:space="preserve"> </w:t>
      </w:r>
      <w:r>
        <w:t>limited</w:t>
      </w:r>
      <w:r>
        <w:rPr>
          <w:spacing w:val="-2"/>
        </w:rPr>
        <w:t xml:space="preserve"> </w:t>
      </w:r>
      <w:r>
        <w:t>data</w:t>
      </w:r>
      <w:r>
        <w:rPr>
          <w:spacing w:val="-1"/>
        </w:rPr>
        <w:t xml:space="preserve"> </w:t>
      </w:r>
      <w:r>
        <w:t>available</w:t>
      </w:r>
      <w:r>
        <w:rPr>
          <w:spacing w:val="-1"/>
        </w:rPr>
        <w:t xml:space="preserve"> </w:t>
      </w:r>
      <w:r>
        <w:t>on</w:t>
      </w:r>
      <w:r>
        <w:rPr>
          <w:spacing w:val="-3"/>
        </w:rPr>
        <w:t xml:space="preserve"> </w:t>
      </w:r>
      <w:r>
        <w:t>patients</w:t>
      </w:r>
      <w:r>
        <w:rPr>
          <w:spacing w:val="-2"/>
        </w:rPr>
        <w:t xml:space="preserve"> </w:t>
      </w:r>
      <w:r>
        <w:t>with</w:t>
      </w:r>
      <w:r>
        <w:rPr>
          <w:spacing w:val="-2"/>
        </w:rPr>
        <w:t xml:space="preserve"> </w:t>
      </w:r>
      <w:r>
        <w:t>LCT.</w:t>
      </w:r>
    </w:p>
    <w:p w:rsidR="008269D0" w:rsidRDefault="00BE670B">
      <w:pPr>
        <w:pStyle w:val="Heading2"/>
      </w:pPr>
      <w:bookmarkStart w:id="24" w:name="Other"/>
      <w:bookmarkEnd w:id="24"/>
      <w:r>
        <w:t>Other</w:t>
      </w:r>
    </w:p>
    <w:p w:rsidR="008269D0" w:rsidRDefault="00BE670B">
      <w:pPr>
        <w:pStyle w:val="BodyText"/>
        <w:spacing w:before="118"/>
        <w:ind w:right="900"/>
      </w:pPr>
      <w:r>
        <w:t>Mogamulizumab should not be administered subcutaneously or intramuscularly, by rapid</w:t>
      </w:r>
      <w:r>
        <w:rPr>
          <w:spacing w:val="-57"/>
        </w:rPr>
        <w:t xml:space="preserve"> </w:t>
      </w:r>
      <w:r>
        <w:t>intravenous</w:t>
      </w:r>
      <w:r>
        <w:rPr>
          <w:spacing w:val="-2"/>
        </w:rPr>
        <w:t xml:space="preserve"> </w:t>
      </w:r>
      <w:r>
        <w:t>administration, or as an</w:t>
      </w:r>
      <w:r>
        <w:rPr>
          <w:spacing w:val="-2"/>
        </w:rPr>
        <w:t xml:space="preserve"> </w:t>
      </w:r>
      <w:r>
        <w:t>intravenous</w:t>
      </w:r>
      <w:r>
        <w:rPr>
          <w:spacing w:val="-1"/>
        </w:rPr>
        <w:t xml:space="preserve"> </w:t>
      </w:r>
      <w:r>
        <w:t>bolus.</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pPr>
        <w:pStyle w:val="Heading2"/>
        <w:spacing w:before="70"/>
      </w:pPr>
      <w:bookmarkStart w:id="25" w:name="Use_in_the_Elderly"/>
      <w:bookmarkStart w:id="26" w:name="Paediatric_Use"/>
      <w:bookmarkStart w:id="27" w:name="Effects_on_laboratory_tests"/>
      <w:bookmarkEnd w:id="25"/>
      <w:bookmarkEnd w:id="26"/>
      <w:bookmarkEnd w:id="27"/>
      <w:r>
        <w:t>Use</w:t>
      </w:r>
      <w:r>
        <w:rPr>
          <w:spacing w:val="-2"/>
        </w:rPr>
        <w:t xml:space="preserve"> </w:t>
      </w:r>
      <w:r>
        <w:t>in</w:t>
      </w:r>
      <w:r>
        <w:rPr>
          <w:spacing w:val="-2"/>
        </w:rPr>
        <w:t xml:space="preserve"> </w:t>
      </w:r>
      <w:r>
        <w:t>the</w:t>
      </w:r>
      <w:r>
        <w:rPr>
          <w:spacing w:val="-2"/>
        </w:rPr>
        <w:t xml:space="preserve"> </w:t>
      </w:r>
      <w:r>
        <w:t>Elderly</w:t>
      </w:r>
    </w:p>
    <w:p w:rsidR="008269D0" w:rsidRDefault="00BE670B" w:rsidP="00FC6A4A">
      <w:pPr>
        <w:pStyle w:val="BodyText"/>
        <w:spacing w:before="118" w:after="240"/>
      </w:pPr>
      <w:r>
        <w:t>POTELIGEO</w:t>
      </w:r>
      <w:r>
        <w:rPr>
          <w:spacing w:val="-1"/>
        </w:rPr>
        <w:t xml:space="preserve"> </w:t>
      </w:r>
      <w:r>
        <w:t>may</w:t>
      </w:r>
      <w:r>
        <w:rPr>
          <w:spacing w:val="-1"/>
        </w:rPr>
        <w:t xml:space="preserve"> </w:t>
      </w:r>
      <w:r>
        <w:t>be</w:t>
      </w:r>
      <w:r>
        <w:rPr>
          <w:spacing w:val="-1"/>
        </w:rPr>
        <w:t xml:space="preserve"> </w:t>
      </w:r>
      <w:r>
        <w:t>administered</w:t>
      </w:r>
      <w:r>
        <w:rPr>
          <w:spacing w:val="-1"/>
        </w:rPr>
        <w:t xml:space="preserve"> </w:t>
      </w:r>
      <w:r>
        <w:t>to</w:t>
      </w:r>
      <w:r>
        <w:rPr>
          <w:spacing w:val="-1"/>
        </w:rPr>
        <w:t xml:space="preserve"> </w:t>
      </w:r>
      <w:r>
        <w:t>patients</w:t>
      </w:r>
      <w:r>
        <w:rPr>
          <w:spacing w:val="-1"/>
        </w:rPr>
        <w:t xml:space="preserve"> </w:t>
      </w:r>
      <w:r>
        <w:t>aged</w:t>
      </w:r>
      <w:r>
        <w:rPr>
          <w:spacing w:val="-1"/>
        </w:rPr>
        <w:t xml:space="preserve"> </w:t>
      </w:r>
      <w:r>
        <w:t>65</w:t>
      </w:r>
      <w:r>
        <w:rPr>
          <w:spacing w:val="-1"/>
        </w:rPr>
        <w:t xml:space="preserve"> </w:t>
      </w:r>
      <w:r>
        <w:t>years</w:t>
      </w:r>
      <w:r>
        <w:rPr>
          <w:spacing w:val="-2"/>
        </w:rPr>
        <w:t xml:space="preserve"> </w:t>
      </w:r>
      <w:r>
        <w:t>and</w:t>
      </w:r>
      <w:r>
        <w:rPr>
          <w:spacing w:val="-1"/>
        </w:rPr>
        <w:t xml:space="preserve"> </w:t>
      </w:r>
      <w:r>
        <w:t>over.</w:t>
      </w:r>
    </w:p>
    <w:p w:rsidR="008269D0" w:rsidRDefault="00BE670B">
      <w:pPr>
        <w:pStyle w:val="Heading2"/>
      </w:pPr>
      <w:r>
        <w:t>Paediatric</w:t>
      </w:r>
      <w:r>
        <w:rPr>
          <w:spacing w:val="-2"/>
        </w:rPr>
        <w:t xml:space="preserve"> </w:t>
      </w:r>
      <w:r>
        <w:t>Use</w:t>
      </w:r>
    </w:p>
    <w:p w:rsidR="008269D0" w:rsidRDefault="00BE670B" w:rsidP="00FC6A4A">
      <w:pPr>
        <w:pStyle w:val="BodyText"/>
        <w:spacing w:before="118" w:after="240"/>
        <w:ind w:right="382"/>
      </w:pPr>
      <w:r>
        <w:t>The safety and efficacy of POTELIGEO in children and adolescents aged below 18 years have</w:t>
      </w:r>
      <w:r>
        <w:rPr>
          <w:spacing w:val="-57"/>
        </w:rPr>
        <w:t xml:space="preserve"> </w:t>
      </w:r>
      <w:r>
        <w:t>not</w:t>
      </w:r>
      <w:r>
        <w:rPr>
          <w:spacing w:val="-1"/>
        </w:rPr>
        <w:t xml:space="preserve"> </w:t>
      </w:r>
      <w:r>
        <w:t>been established. No data are available.</w:t>
      </w:r>
    </w:p>
    <w:p w:rsidR="008269D0" w:rsidRDefault="00BE670B">
      <w:pPr>
        <w:pStyle w:val="Heading2"/>
        <w:spacing w:before="1"/>
      </w:pPr>
      <w:r>
        <w:t>Effects</w:t>
      </w:r>
      <w:r>
        <w:rPr>
          <w:spacing w:val="-1"/>
        </w:rPr>
        <w:t xml:space="preserve"> </w:t>
      </w:r>
      <w:r>
        <w:t>on</w:t>
      </w:r>
      <w:r>
        <w:rPr>
          <w:spacing w:val="-3"/>
        </w:rPr>
        <w:t xml:space="preserve"> </w:t>
      </w:r>
      <w:r>
        <w:t>laboratory</w:t>
      </w:r>
      <w:r>
        <w:rPr>
          <w:spacing w:val="-1"/>
        </w:rPr>
        <w:t xml:space="preserve"> </w:t>
      </w:r>
      <w:r>
        <w:t>tests</w:t>
      </w:r>
    </w:p>
    <w:p w:rsidR="008269D0" w:rsidRDefault="00BE670B" w:rsidP="00FC6A4A">
      <w:pPr>
        <w:pStyle w:val="BodyText"/>
        <w:spacing w:before="117" w:after="240"/>
        <w:ind w:right="1035"/>
      </w:pPr>
      <w:r>
        <w:t>POTELIGEO may cause increased alanine aminotransferase, increased aspartate</w:t>
      </w:r>
      <w:r>
        <w:rPr>
          <w:spacing w:val="1"/>
        </w:rPr>
        <w:t xml:space="preserve"> </w:t>
      </w:r>
      <w:r>
        <w:t>aminotransferase, increased blood alkaline phosphatase or decreased lymphocyte count.</w:t>
      </w:r>
      <w:r>
        <w:rPr>
          <w:spacing w:val="-57"/>
        </w:rPr>
        <w:t xml:space="preserve"> </w:t>
      </w:r>
      <w:r>
        <w:t>Common</w:t>
      </w:r>
      <w:r>
        <w:rPr>
          <w:spacing w:val="-1"/>
        </w:rPr>
        <w:t xml:space="preserve"> </w:t>
      </w:r>
      <w:r>
        <w:t>or</w:t>
      </w:r>
      <w:r>
        <w:rPr>
          <w:spacing w:val="-1"/>
        </w:rPr>
        <w:t xml:space="preserve"> </w:t>
      </w:r>
      <w:r>
        <w:t>worsening laboratory</w:t>
      </w:r>
      <w:r>
        <w:rPr>
          <w:spacing w:val="-1"/>
        </w:rPr>
        <w:t xml:space="preserve"> </w:t>
      </w:r>
      <w:r>
        <w:t>abnormalities</w:t>
      </w:r>
      <w:r>
        <w:rPr>
          <w:spacing w:val="-1"/>
        </w:rPr>
        <w:t xml:space="preserve"> </w:t>
      </w:r>
      <w:r>
        <w:t>are</w:t>
      </w:r>
      <w:r>
        <w:rPr>
          <w:spacing w:val="-1"/>
        </w:rPr>
        <w:t xml:space="preserve"> </w:t>
      </w:r>
      <w:r>
        <w:t>summarised in</w:t>
      </w:r>
      <w:r>
        <w:rPr>
          <w:spacing w:val="-1"/>
        </w:rPr>
        <w:t xml:space="preserve"> </w:t>
      </w:r>
      <w:hyperlink w:anchor="_bookmark2" w:history="1">
        <w:r>
          <w:rPr>
            <w:color w:val="0000FF"/>
          </w:rPr>
          <w:t>Table</w:t>
        </w:r>
        <w:r>
          <w:rPr>
            <w:color w:val="0000FF"/>
            <w:spacing w:val="-2"/>
          </w:rPr>
          <w:t xml:space="preserve"> </w:t>
        </w:r>
        <w:r>
          <w:rPr>
            <w:color w:val="0000FF"/>
          </w:rPr>
          <w:t>3.</w:t>
        </w:r>
      </w:hyperlink>
    </w:p>
    <w:p w:rsidR="008269D0" w:rsidRDefault="00127F27" w:rsidP="00127F27">
      <w:pPr>
        <w:pStyle w:val="Heading2"/>
        <w:spacing w:before="90" w:after="240"/>
        <w:ind w:left="709" w:right="216" w:hanging="567"/>
      </w:pPr>
      <w:bookmarkStart w:id="28" w:name="4.5_INTERACTION_WITH_OTHER_MEDICINAL_PRO"/>
      <w:bookmarkEnd w:id="28"/>
      <w:r>
        <w:rPr>
          <w:noProof/>
          <w:lang w:val="en-AU" w:eastAsia="en-AU"/>
        </w:rPr>
        <w:t>4.5</w:t>
      </w:r>
      <w:r>
        <w:rPr>
          <w:noProof/>
          <w:lang w:val="en-AU" w:eastAsia="en-AU"/>
        </w:rPr>
        <w:tab/>
      </w:r>
      <w:r w:rsidR="00BE670B">
        <w:t>INTERACTION WITH OTHER MEDICINAL PRODUCTS AND OTHER FORMS</w:t>
      </w:r>
      <w:r w:rsidR="00BE670B">
        <w:rPr>
          <w:spacing w:val="-57"/>
        </w:rPr>
        <w:t xml:space="preserve"> </w:t>
      </w:r>
      <w:r w:rsidR="00BE670B">
        <w:t>OF</w:t>
      </w:r>
      <w:r w:rsidR="00BE670B">
        <w:rPr>
          <w:spacing w:val="-2"/>
        </w:rPr>
        <w:t xml:space="preserve"> </w:t>
      </w:r>
      <w:r w:rsidR="00BE670B">
        <w:t>INTERACTION</w:t>
      </w:r>
    </w:p>
    <w:p w:rsidR="008269D0" w:rsidRDefault="00BE670B" w:rsidP="00FC6A4A">
      <w:pPr>
        <w:pStyle w:val="BodyText"/>
        <w:spacing w:after="240"/>
      </w:pPr>
      <w:r>
        <w:t>No</w:t>
      </w:r>
      <w:r>
        <w:rPr>
          <w:spacing w:val="-1"/>
        </w:rPr>
        <w:t xml:space="preserve"> </w:t>
      </w:r>
      <w:r>
        <w:t>interaction</w:t>
      </w:r>
      <w:r>
        <w:rPr>
          <w:spacing w:val="-1"/>
        </w:rPr>
        <w:t xml:space="preserve"> </w:t>
      </w:r>
      <w:r>
        <w:t>studies</w:t>
      </w:r>
      <w:r>
        <w:rPr>
          <w:spacing w:val="-1"/>
        </w:rPr>
        <w:t xml:space="preserve"> </w:t>
      </w:r>
      <w:r>
        <w:t>have</w:t>
      </w:r>
      <w:r>
        <w:rPr>
          <w:spacing w:val="-1"/>
        </w:rPr>
        <w:t xml:space="preserve"> </w:t>
      </w:r>
      <w:r>
        <w:t>been</w:t>
      </w:r>
      <w:r>
        <w:rPr>
          <w:spacing w:val="-1"/>
        </w:rPr>
        <w:t xml:space="preserve"> </w:t>
      </w:r>
      <w:r>
        <w:t>performed.</w:t>
      </w:r>
    </w:p>
    <w:p w:rsidR="008269D0" w:rsidRDefault="00127F27" w:rsidP="00127F27">
      <w:pPr>
        <w:pStyle w:val="Heading2"/>
        <w:spacing w:before="90" w:after="240"/>
        <w:ind w:left="709" w:hanging="567"/>
      </w:pPr>
      <w:bookmarkStart w:id="29" w:name="4.6_FERTILITY,_PREGNANCY_AND_LACTATION"/>
      <w:bookmarkEnd w:id="29"/>
      <w:r>
        <w:rPr>
          <w:noProof/>
          <w:lang w:val="en-AU" w:eastAsia="en-AU"/>
        </w:rPr>
        <w:t>4.6</w:t>
      </w:r>
      <w:r>
        <w:rPr>
          <w:noProof/>
          <w:lang w:val="en-AU" w:eastAsia="en-AU"/>
        </w:rPr>
        <w:tab/>
      </w:r>
      <w:r w:rsidR="00BE670B">
        <w:t>FERTILITY,</w:t>
      </w:r>
      <w:r w:rsidR="00BE670B">
        <w:rPr>
          <w:spacing w:val="-6"/>
        </w:rPr>
        <w:t xml:space="preserve"> </w:t>
      </w:r>
      <w:r w:rsidR="00BE670B">
        <w:t>PREGNANCY</w:t>
      </w:r>
      <w:r w:rsidR="00BE670B">
        <w:rPr>
          <w:spacing w:val="-6"/>
        </w:rPr>
        <w:t xml:space="preserve"> </w:t>
      </w:r>
      <w:r w:rsidR="00BE670B">
        <w:t>AND</w:t>
      </w:r>
      <w:r w:rsidR="00BE670B">
        <w:rPr>
          <w:spacing w:val="-5"/>
        </w:rPr>
        <w:t xml:space="preserve"> </w:t>
      </w:r>
      <w:r w:rsidR="00BE670B">
        <w:t>LACTATION</w:t>
      </w:r>
    </w:p>
    <w:p w:rsidR="008269D0" w:rsidRDefault="00BE670B" w:rsidP="00FC6A4A">
      <w:pPr>
        <w:spacing w:after="240"/>
        <w:ind w:left="118"/>
        <w:rPr>
          <w:b/>
          <w:sz w:val="24"/>
        </w:rPr>
      </w:pPr>
      <w:bookmarkStart w:id="30" w:name="Women_of_childbearing_potential_/_Contra"/>
      <w:bookmarkEnd w:id="30"/>
      <w:r>
        <w:rPr>
          <w:b/>
          <w:sz w:val="24"/>
        </w:rPr>
        <w:t>Women</w:t>
      </w:r>
      <w:r>
        <w:rPr>
          <w:b/>
          <w:spacing w:val="-3"/>
          <w:sz w:val="24"/>
        </w:rPr>
        <w:t xml:space="preserve"> </w:t>
      </w:r>
      <w:r>
        <w:rPr>
          <w:b/>
          <w:sz w:val="24"/>
        </w:rPr>
        <w:t>of</w:t>
      </w:r>
      <w:r>
        <w:rPr>
          <w:b/>
          <w:spacing w:val="-1"/>
          <w:sz w:val="24"/>
        </w:rPr>
        <w:t xml:space="preserve"> </w:t>
      </w:r>
      <w:r>
        <w:rPr>
          <w:b/>
          <w:sz w:val="24"/>
        </w:rPr>
        <w:t>childbearing</w:t>
      </w:r>
      <w:r>
        <w:rPr>
          <w:b/>
          <w:spacing w:val="-4"/>
          <w:sz w:val="24"/>
        </w:rPr>
        <w:t xml:space="preserve"> </w:t>
      </w:r>
      <w:r>
        <w:rPr>
          <w:b/>
          <w:sz w:val="24"/>
        </w:rPr>
        <w:t>potential</w:t>
      </w:r>
      <w:r>
        <w:rPr>
          <w:b/>
          <w:spacing w:val="-2"/>
          <w:sz w:val="24"/>
        </w:rPr>
        <w:t xml:space="preserve"> </w:t>
      </w:r>
      <w:r>
        <w:rPr>
          <w:b/>
          <w:sz w:val="24"/>
        </w:rPr>
        <w:t>/</w:t>
      </w:r>
      <w:r>
        <w:rPr>
          <w:b/>
          <w:spacing w:val="-3"/>
          <w:sz w:val="24"/>
        </w:rPr>
        <w:t xml:space="preserve"> </w:t>
      </w:r>
      <w:r>
        <w:rPr>
          <w:b/>
          <w:sz w:val="24"/>
        </w:rPr>
        <w:t>Contraception</w:t>
      </w:r>
      <w:r>
        <w:rPr>
          <w:b/>
          <w:spacing w:val="-2"/>
          <w:sz w:val="24"/>
        </w:rPr>
        <w:t xml:space="preserve"> </w:t>
      </w:r>
      <w:r>
        <w:rPr>
          <w:b/>
          <w:sz w:val="24"/>
        </w:rPr>
        <w:t>in</w:t>
      </w:r>
      <w:r>
        <w:rPr>
          <w:b/>
          <w:spacing w:val="-3"/>
          <w:sz w:val="24"/>
        </w:rPr>
        <w:t xml:space="preserve"> </w:t>
      </w:r>
      <w:r>
        <w:rPr>
          <w:b/>
          <w:sz w:val="24"/>
        </w:rPr>
        <w:t>males</w:t>
      </w:r>
      <w:r>
        <w:rPr>
          <w:b/>
          <w:spacing w:val="-2"/>
          <w:sz w:val="24"/>
        </w:rPr>
        <w:t xml:space="preserve"> </w:t>
      </w:r>
      <w:r>
        <w:rPr>
          <w:b/>
          <w:sz w:val="24"/>
        </w:rPr>
        <w:t>and</w:t>
      </w:r>
      <w:r>
        <w:rPr>
          <w:b/>
          <w:spacing w:val="-2"/>
          <w:sz w:val="24"/>
        </w:rPr>
        <w:t xml:space="preserve"> </w:t>
      </w:r>
      <w:r>
        <w:rPr>
          <w:b/>
          <w:sz w:val="24"/>
        </w:rPr>
        <w:t>females</w:t>
      </w:r>
    </w:p>
    <w:p w:rsidR="008269D0" w:rsidRDefault="00BE670B" w:rsidP="00FC6A4A">
      <w:pPr>
        <w:pStyle w:val="BodyText"/>
        <w:spacing w:before="118" w:after="240"/>
        <w:ind w:right="278"/>
      </w:pPr>
      <w:r>
        <w:t>Women of childbearing potential and males of reproductive potential should use effective</w:t>
      </w:r>
      <w:r>
        <w:rPr>
          <w:spacing w:val="1"/>
        </w:rPr>
        <w:t xml:space="preserve"> </w:t>
      </w:r>
      <w:r>
        <w:t>contraception</w:t>
      </w:r>
      <w:r>
        <w:rPr>
          <w:spacing w:val="-2"/>
        </w:rPr>
        <w:t xml:space="preserve"> </w:t>
      </w:r>
      <w:r>
        <w:t>during</w:t>
      </w:r>
      <w:r>
        <w:rPr>
          <w:spacing w:val="-2"/>
        </w:rPr>
        <w:t xml:space="preserve"> </w:t>
      </w:r>
      <w:r>
        <w:t>treatment</w:t>
      </w:r>
      <w:r>
        <w:rPr>
          <w:spacing w:val="-2"/>
        </w:rPr>
        <w:t xml:space="preserve"> </w:t>
      </w:r>
      <w:r>
        <w:t>with</w:t>
      </w:r>
      <w:r>
        <w:rPr>
          <w:spacing w:val="-2"/>
        </w:rPr>
        <w:t xml:space="preserve"> </w:t>
      </w:r>
      <w:r>
        <w:t>POTELIGEO</w:t>
      </w:r>
      <w:r>
        <w:rPr>
          <w:spacing w:val="-2"/>
        </w:rPr>
        <w:t xml:space="preserve"> </w:t>
      </w:r>
      <w:r>
        <w:t>and</w:t>
      </w:r>
      <w:r>
        <w:rPr>
          <w:spacing w:val="-2"/>
        </w:rPr>
        <w:t xml:space="preserve"> </w:t>
      </w:r>
      <w:r>
        <w:t>for</w:t>
      </w:r>
      <w:r>
        <w:rPr>
          <w:spacing w:val="-2"/>
        </w:rPr>
        <w:t xml:space="preserve"> </w:t>
      </w:r>
      <w:r>
        <w:t>at</w:t>
      </w:r>
      <w:r>
        <w:rPr>
          <w:spacing w:val="-2"/>
        </w:rPr>
        <w:t xml:space="preserve"> </w:t>
      </w:r>
      <w:r>
        <w:t>least</w:t>
      </w:r>
      <w:r>
        <w:rPr>
          <w:spacing w:val="-2"/>
        </w:rPr>
        <w:t xml:space="preserve"> </w:t>
      </w:r>
      <w:r>
        <w:t>3</w:t>
      </w:r>
      <w:r>
        <w:rPr>
          <w:spacing w:val="-1"/>
        </w:rPr>
        <w:t xml:space="preserve"> </w:t>
      </w:r>
      <w:r>
        <w:t>months</w:t>
      </w:r>
      <w:r>
        <w:rPr>
          <w:spacing w:val="-2"/>
        </w:rPr>
        <w:t xml:space="preserve"> </w:t>
      </w:r>
      <w:r>
        <w:t>after</w:t>
      </w:r>
      <w:r>
        <w:rPr>
          <w:spacing w:val="-2"/>
        </w:rPr>
        <w:t xml:space="preserve"> </w:t>
      </w:r>
      <w:r>
        <w:t>treatment.</w:t>
      </w:r>
    </w:p>
    <w:p w:rsidR="008269D0" w:rsidRDefault="00BE670B">
      <w:pPr>
        <w:pStyle w:val="Heading2"/>
      </w:pPr>
      <w:bookmarkStart w:id="31" w:name="Effects_on_fertility"/>
      <w:bookmarkEnd w:id="31"/>
      <w:r>
        <w:t>Effects</w:t>
      </w:r>
      <w:r>
        <w:rPr>
          <w:spacing w:val="-3"/>
        </w:rPr>
        <w:t xml:space="preserve"> </w:t>
      </w:r>
      <w:r>
        <w:t>on</w:t>
      </w:r>
      <w:r>
        <w:rPr>
          <w:spacing w:val="-4"/>
        </w:rPr>
        <w:t xml:space="preserve"> </w:t>
      </w:r>
      <w:r>
        <w:t>fertility</w:t>
      </w:r>
    </w:p>
    <w:p w:rsidR="008269D0" w:rsidRDefault="00BE670B" w:rsidP="00667063">
      <w:pPr>
        <w:pStyle w:val="BodyText"/>
        <w:spacing w:before="118" w:after="240"/>
        <w:ind w:right="175"/>
      </w:pPr>
      <w:r>
        <w:t>There are no clinical data available on the effect of POTELIGEO on human fertility. No specific</w:t>
      </w:r>
      <w:r>
        <w:rPr>
          <w:spacing w:val="-57"/>
        </w:rPr>
        <w:t xml:space="preserve"> </w:t>
      </w:r>
      <w:r>
        <w:t>studies in animals have been performed to evaluate the effect of mogamulizumab on fertility. No</w:t>
      </w:r>
      <w:r>
        <w:rPr>
          <w:spacing w:val="-57"/>
        </w:rPr>
        <w:t xml:space="preserve"> </w:t>
      </w:r>
      <w:r>
        <w:t>adverse effects on male and female reproductive organs were observed in repeat-dose toxicity</w:t>
      </w:r>
      <w:r>
        <w:rPr>
          <w:spacing w:val="1"/>
        </w:rPr>
        <w:t xml:space="preserve"> </w:t>
      </w:r>
      <w:r>
        <w:t>studies in cynomolgus monkeys at intravenous doses up to 40 mg/kg/week for 26 weeks</w:t>
      </w:r>
      <w:r>
        <w:rPr>
          <w:spacing w:val="1"/>
        </w:rPr>
        <w:t xml:space="preserve"> </w:t>
      </w:r>
      <w:r>
        <w:t>(yielding</w:t>
      </w:r>
      <w:r>
        <w:rPr>
          <w:spacing w:val="-1"/>
        </w:rPr>
        <w:t xml:space="preserve"> </w:t>
      </w:r>
      <w:r>
        <w:t>almost 80 times</w:t>
      </w:r>
      <w:r>
        <w:rPr>
          <w:spacing w:val="-1"/>
        </w:rPr>
        <w:t xml:space="preserve"> </w:t>
      </w:r>
      <w:r>
        <w:t>the systemic exposure</w:t>
      </w:r>
      <w:r>
        <w:rPr>
          <w:spacing w:val="-1"/>
        </w:rPr>
        <w:t xml:space="preserve"> </w:t>
      </w:r>
      <w:r>
        <w:t>in patients,</w:t>
      </w:r>
      <w:r>
        <w:rPr>
          <w:spacing w:val="-2"/>
        </w:rPr>
        <w:t xml:space="preserve"> </w:t>
      </w:r>
      <w:r>
        <w:t>based</w:t>
      </w:r>
      <w:r>
        <w:rPr>
          <w:spacing w:val="-1"/>
        </w:rPr>
        <w:t xml:space="preserve"> </w:t>
      </w:r>
      <w:r>
        <w:t>on AUC).</w:t>
      </w:r>
    </w:p>
    <w:p w:rsidR="008269D0" w:rsidRDefault="00BE670B">
      <w:pPr>
        <w:pStyle w:val="Heading2"/>
      </w:pPr>
      <w:bookmarkStart w:id="32" w:name="Use_in_pregnancy_–_Category_C"/>
      <w:bookmarkEnd w:id="32"/>
      <w:r>
        <w:t>Use</w:t>
      </w:r>
      <w:r>
        <w:rPr>
          <w:spacing w:val="-1"/>
        </w:rPr>
        <w:t xml:space="preserve"> </w:t>
      </w:r>
      <w:r>
        <w:t>in</w:t>
      </w:r>
      <w:r>
        <w:rPr>
          <w:spacing w:val="-2"/>
        </w:rPr>
        <w:t xml:space="preserve"> </w:t>
      </w:r>
      <w:r>
        <w:t>pregnancy</w:t>
      </w:r>
      <w:r>
        <w:rPr>
          <w:spacing w:val="-1"/>
        </w:rPr>
        <w:t xml:space="preserve"> </w:t>
      </w:r>
      <w:r>
        <w:t>–</w:t>
      </w:r>
      <w:r>
        <w:rPr>
          <w:spacing w:val="-1"/>
        </w:rPr>
        <w:t xml:space="preserve"> </w:t>
      </w:r>
      <w:r>
        <w:t>Category</w:t>
      </w:r>
      <w:r>
        <w:rPr>
          <w:spacing w:val="-1"/>
        </w:rPr>
        <w:t xml:space="preserve"> </w:t>
      </w:r>
      <w:r>
        <w:t>C</w:t>
      </w:r>
    </w:p>
    <w:p w:rsidR="008269D0" w:rsidRDefault="00BE670B">
      <w:pPr>
        <w:pStyle w:val="BodyText"/>
        <w:spacing w:before="118"/>
      </w:pPr>
      <w:r>
        <w:t>There</w:t>
      </w:r>
      <w:r>
        <w:rPr>
          <w:spacing w:val="-1"/>
        </w:rPr>
        <w:t xml:space="preserve"> </w:t>
      </w:r>
      <w:r>
        <w:t>are</w:t>
      </w:r>
      <w:r>
        <w:rPr>
          <w:spacing w:val="-1"/>
        </w:rPr>
        <w:t xml:space="preserve"> </w:t>
      </w:r>
      <w:r>
        <w:t>no</w:t>
      </w:r>
      <w:r>
        <w:rPr>
          <w:spacing w:val="-3"/>
        </w:rPr>
        <w:t xml:space="preserve"> </w:t>
      </w:r>
      <w:r>
        <w:t>data</w:t>
      </w:r>
      <w:r>
        <w:rPr>
          <w:spacing w:val="-1"/>
        </w:rPr>
        <w:t xml:space="preserve"> </w:t>
      </w:r>
      <w:r>
        <w:t>from</w:t>
      </w:r>
      <w:r>
        <w:rPr>
          <w:spacing w:val="-2"/>
        </w:rPr>
        <w:t xml:space="preserve"> </w:t>
      </w:r>
      <w:r>
        <w:t>the</w:t>
      </w:r>
      <w:r>
        <w:rPr>
          <w:spacing w:val="-1"/>
        </w:rPr>
        <w:t xml:space="preserve"> </w:t>
      </w:r>
      <w:r>
        <w:t>use</w:t>
      </w:r>
      <w:r>
        <w:rPr>
          <w:spacing w:val="-1"/>
        </w:rPr>
        <w:t xml:space="preserve"> </w:t>
      </w:r>
      <w:r>
        <w:t>of</w:t>
      </w:r>
      <w:r>
        <w:rPr>
          <w:spacing w:val="-2"/>
        </w:rPr>
        <w:t xml:space="preserve"> </w:t>
      </w:r>
      <w:r>
        <w:t>POTELIGEO</w:t>
      </w:r>
      <w:r>
        <w:rPr>
          <w:spacing w:val="-1"/>
        </w:rPr>
        <w:t xml:space="preserve"> </w:t>
      </w:r>
      <w:r>
        <w:t>in pregnant</w:t>
      </w:r>
      <w:r>
        <w:rPr>
          <w:spacing w:val="-2"/>
        </w:rPr>
        <w:t xml:space="preserve"> </w:t>
      </w:r>
      <w:r>
        <w:t>women.</w:t>
      </w:r>
    </w:p>
    <w:p w:rsidR="008269D0" w:rsidRDefault="00BE670B" w:rsidP="00667063">
      <w:pPr>
        <w:pStyle w:val="BodyText"/>
        <w:spacing w:before="119" w:after="240"/>
        <w:ind w:right="188"/>
      </w:pPr>
      <w:r>
        <w:t>In a study in pregnant cynomolgus monkeys, mogamulizumab did not cause malformations,</w:t>
      </w:r>
      <w:r>
        <w:rPr>
          <w:spacing w:val="1"/>
        </w:rPr>
        <w:t xml:space="preserve"> </w:t>
      </w:r>
      <w:r>
        <w:t>embryofetal</w:t>
      </w:r>
      <w:r>
        <w:rPr>
          <w:spacing w:val="-1"/>
        </w:rPr>
        <w:t xml:space="preserve"> </w:t>
      </w:r>
      <w:r>
        <w:t>lethality</w:t>
      </w:r>
      <w:r>
        <w:rPr>
          <w:spacing w:val="1"/>
        </w:rPr>
        <w:t xml:space="preserve"> </w:t>
      </w:r>
      <w:r>
        <w:t>or</w:t>
      </w:r>
      <w:r>
        <w:rPr>
          <w:spacing w:val="1"/>
        </w:rPr>
        <w:t xml:space="preserve"> </w:t>
      </w:r>
      <w:r>
        <w:t>growth</w:t>
      </w:r>
      <w:r>
        <w:rPr>
          <w:spacing w:val="1"/>
        </w:rPr>
        <w:t xml:space="preserve"> </w:t>
      </w:r>
      <w:r>
        <w:t>retardation with</w:t>
      </w:r>
      <w:r>
        <w:rPr>
          <w:spacing w:val="1"/>
        </w:rPr>
        <w:t xml:space="preserve"> </w:t>
      </w:r>
      <w:r>
        <w:t>administration</w:t>
      </w:r>
      <w:r>
        <w:rPr>
          <w:spacing w:val="1"/>
        </w:rPr>
        <w:t xml:space="preserve"> </w:t>
      </w:r>
      <w:r>
        <w:t>at</w:t>
      </w:r>
      <w:r>
        <w:rPr>
          <w:spacing w:val="1"/>
        </w:rPr>
        <w:t xml:space="preserve"> </w:t>
      </w:r>
      <w:r>
        <w:t>40 mg/kg/week</w:t>
      </w:r>
      <w:r>
        <w:rPr>
          <w:spacing w:val="1"/>
        </w:rPr>
        <w:t xml:space="preserve"> </w:t>
      </w:r>
      <w:r>
        <w:t>IV (yielding</w:t>
      </w:r>
      <w:r>
        <w:rPr>
          <w:spacing w:val="1"/>
        </w:rPr>
        <w:t xml:space="preserve"> </w:t>
      </w:r>
      <w:r>
        <w:t>27 times the systemic exposure in patients, based on AUC). However, mogamulizumab was</w:t>
      </w:r>
      <w:r>
        <w:rPr>
          <w:spacing w:val="1"/>
        </w:rPr>
        <w:t xml:space="preserve"> </w:t>
      </w:r>
      <w:r>
        <w:t>shown to cross the placental barrier, and this resulted in pharmacological activity in the foetuses,</w:t>
      </w:r>
      <w:r>
        <w:rPr>
          <w:spacing w:val="-57"/>
        </w:rPr>
        <w:t xml:space="preserve"> </w:t>
      </w:r>
      <w:r>
        <w:t>evident as a decrease in CCR4-expressing lymphocytes. POTELIGEO is not recommended</w:t>
      </w:r>
      <w:r>
        <w:rPr>
          <w:spacing w:val="1"/>
        </w:rPr>
        <w:t xml:space="preserve"> </w:t>
      </w:r>
      <w:r>
        <w:t>during pregnancy unless the potential benefit for the mother outweighs the potential risk to the</w:t>
      </w:r>
      <w:r>
        <w:rPr>
          <w:spacing w:val="1"/>
        </w:rPr>
        <w:t xml:space="preserve"> </w:t>
      </w:r>
      <w:r>
        <w:t>foetus.</w:t>
      </w:r>
    </w:p>
    <w:p w:rsidR="008269D0" w:rsidRDefault="00BE670B">
      <w:pPr>
        <w:pStyle w:val="Heading2"/>
      </w:pPr>
      <w:bookmarkStart w:id="33" w:name="Use_in_lactation"/>
      <w:bookmarkEnd w:id="33"/>
      <w:r>
        <w:t>Use</w:t>
      </w:r>
      <w:r>
        <w:rPr>
          <w:spacing w:val="-2"/>
        </w:rPr>
        <w:t xml:space="preserve"> </w:t>
      </w:r>
      <w:r>
        <w:t>in</w:t>
      </w:r>
      <w:r>
        <w:rPr>
          <w:spacing w:val="-2"/>
        </w:rPr>
        <w:t xml:space="preserve"> </w:t>
      </w:r>
      <w:r>
        <w:t>lactation</w:t>
      </w:r>
    </w:p>
    <w:p w:rsidR="008269D0" w:rsidRDefault="00BE670B">
      <w:pPr>
        <w:pStyle w:val="BodyText"/>
        <w:spacing w:before="117"/>
        <w:ind w:right="140"/>
      </w:pPr>
      <w:r>
        <w:t>It is unknown whether mogamulizumab is excreted in human milk. Human IgGs are known to be</w:t>
      </w:r>
      <w:r>
        <w:rPr>
          <w:spacing w:val="-57"/>
        </w:rPr>
        <w:t xml:space="preserve"> </w:t>
      </w:r>
      <w:r>
        <w:t>excreted in breast milk. Consequently, a risk to the breast-fed child cannot be excluded. The</w:t>
      </w:r>
      <w:r>
        <w:rPr>
          <w:spacing w:val="1"/>
        </w:rPr>
        <w:t xml:space="preserve"> </w:t>
      </w:r>
      <w:r>
        <w:t>developmental and health benefits of breastfeeding should be considered along with the mother’s</w:t>
      </w:r>
      <w:r>
        <w:rPr>
          <w:spacing w:val="-57"/>
        </w:rPr>
        <w:t xml:space="preserve"> </w:t>
      </w:r>
      <w:r>
        <w:t>clinical need for POTELIGEO and any potential adverse effects on the breastfed child from</w:t>
      </w:r>
      <w:r>
        <w:rPr>
          <w:spacing w:val="1"/>
        </w:rPr>
        <w:t xml:space="preserve"> </w:t>
      </w:r>
      <w:r>
        <w:t>POTELIGEO.</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127F27" w:rsidP="00127F27">
      <w:pPr>
        <w:pStyle w:val="Heading2"/>
        <w:spacing w:before="70" w:after="240"/>
        <w:ind w:left="709" w:hanging="567"/>
      </w:pPr>
      <w:bookmarkStart w:id="34" w:name="4.7_EFFECTS_ON_ABILITY_TO_DRIVE_AND_USE_"/>
      <w:bookmarkEnd w:id="34"/>
      <w:r>
        <w:rPr>
          <w:noProof/>
          <w:lang w:val="en-AU" w:eastAsia="en-AU"/>
        </w:rPr>
        <w:t>4.7</w:t>
      </w:r>
      <w:r>
        <w:rPr>
          <w:noProof/>
          <w:lang w:val="en-AU" w:eastAsia="en-AU"/>
        </w:rPr>
        <w:tab/>
      </w:r>
      <w:r w:rsidR="00BE670B">
        <w:t>EFFECTS</w:t>
      </w:r>
      <w:r w:rsidR="00BE670B">
        <w:rPr>
          <w:spacing w:val="-3"/>
        </w:rPr>
        <w:t xml:space="preserve"> </w:t>
      </w:r>
      <w:r w:rsidR="00BE670B">
        <w:t>ON</w:t>
      </w:r>
      <w:r w:rsidR="00BE670B">
        <w:rPr>
          <w:spacing w:val="-3"/>
        </w:rPr>
        <w:t xml:space="preserve"> </w:t>
      </w:r>
      <w:r w:rsidR="00BE670B">
        <w:t>ABILITY</w:t>
      </w:r>
      <w:r w:rsidR="00BE670B">
        <w:rPr>
          <w:spacing w:val="-3"/>
        </w:rPr>
        <w:t xml:space="preserve"> </w:t>
      </w:r>
      <w:r w:rsidR="00BE670B">
        <w:t>TO</w:t>
      </w:r>
      <w:r w:rsidR="00BE670B">
        <w:rPr>
          <w:spacing w:val="-3"/>
        </w:rPr>
        <w:t xml:space="preserve"> </w:t>
      </w:r>
      <w:r w:rsidR="00BE670B">
        <w:t>DRIVE</w:t>
      </w:r>
      <w:r w:rsidR="00BE670B">
        <w:rPr>
          <w:spacing w:val="-3"/>
        </w:rPr>
        <w:t xml:space="preserve"> </w:t>
      </w:r>
      <w:r w:rsidR="00BE670B">
        <w:t>AND</w:t>
      </w:r>
      <w:r w:rsidR="00BE670B">
        <w:rPr>
          <w:spacing w:val="-2"/>
        </w:rPr>
        <w:t xml:space="preserve"> </w:t>
      </w:r>
      <w:r w:rsidR="00BE670B">
        <w:t>USE</w:t>
      </w:r>
      <w:r w:rsidR="00BE670B">
        <w:rPr>
          <w:spacing w:val="-3"/>
        </w:rPr>
        <w:t xml:space="preserve"> </w:t>
      </w:r>
      <w:r w:rsidR="00BE670B">
        <w:t>MACHINES</w:t>
      </w:r>
    </w:p>
    <w:p w:rsidR="008269D0" w:rsidRDefault="00BE670B" w:rsidP="00902EF1">
      <w:pPr>
        <w:pStyle w:val="BodyText"/>
        <w:spacing w:after="240"/>
        <w:ind w:right="674"/>
      </w:pPr>
      <w:r>
        <w:t>Mogamulizumab has minor influence on the ability to drive and use machines. Fatigue may</w:t>
      </w:r>
      <w:r>
        <w:rPr>
          <w:spacing w:val="-57"/>
        </w:rPr>
        <w:t xml:space="preserve"> </w:t>
      </w:r>
      <w:r>
        <w:t>occur</w:t>
      </w:r>
      <w:r>
        <w:rPr>
          <w:spacing w:val="-1"/>
        </w:rPr>
        <w:t xml:space="preserve"> </w:t>
      </w:r>
      <w:r>
        <w:t>following administration of</w:t>
      </w:r>
      <w:r>
        <w:rPr>
          <w:spacing w:val="-1"/>
        </w:rPr>
        <w:t xml:space="preserve"> </w:t>
      </w:r>
      <w:r>
        <w:t>mogamulizumab (see section</w:t>
      </w:r>
      <w:r>
        <w:rPr>
          <w:spacing w:val="-1"/>
        </w:rPr>
        <w:t xml:space="preserve"> </w:t>
      </w:r>
      <w:r>
        <w:t>4.8).</w:t>
      </w:r>
    </w:p>
    <w:p w:rsidR="008269D0" w:rsidRDefault="00127F27" w:rsidP="00127F27">
      <w:pPr>
        <w:pStyle w:val="Heading2"/>
        <w:spacing w:before="90" w:after="240"/>
        <w:ind w:left="709" w:hanging="567"/>
      </w:pPr>
      <w:bookmarkStart w:id="35" w:name="4.8_ADVERSE_EFFECTS_(UNDESIRABLE_EFFECTS"/>
      <w:bookmarkEnd w:id="35"/>
      <w:r>
        <w:rPr>
          <w:noProof/>
          <w:lang w:val="en-AU" w:eastAsia="en-AU"/>
        </w:rPr>
        <w:t>4.8</w:t>
      </w:r>
      <w:r>
        <w:rPr>
          <w:noProof/>
          <w:lang w:val="en-AU" w:eastAsia="en-AU"/>
        </w:rPr>
        <w:tab/>
      </w:r>
      <w:r w:rsidR="00BE670B">
        <w:t>ADVERSE</w:t>
      </w:r>
      <w:r w:rsidR="00BE670B">
        <w:rPr>
          <w:spacing w:val="-7"/>
        </w:rPr>
        <w:t xml:space="preserve"> </w:t>
      </w:r>
      <w:r w:rsidR="00BE670B">
        <w:t>EFFECTS</w:t>
      </w:r>
      <w:r w:rsidR="00BE670B">
        <w:rPr>
          <w:spacing w:val="-7"/>
        </w:rPr>
        <w:t xml:space="preserve"> </w:t>
      </w:r>
      <w:r w:rsidR="00BE670B">
        <w:t>(UNDESIRABLE</w:t>
      </w:r>
      <w:r w:rsidR="00BE670B">
        <w:rPr>
          <w:spacing w:val="-7"/>
        </w:rPr>
        <w:t xml:space="preserve"> </w:t>
      </w:r>
      <w:r w:rsidR="00BE670B">
        <w:t>EFFECTS)</w:t>
      </w:r>
    </w:p>
    <w:p w:rsidR="008269D0" w:rsidRDefault="00BE670B" w:rsidP="00902EF1">
      <w:pPr>
        <w:spacing w:after="240"/>
        <w:ind w:left="118"/>
        <w:rPr>
          <w:b/>
          <w:sz w:val="24"/>
        </w:rPr>
      </w:pPr>
      <w:bookmarkStart w:id="36" w:name="Summary_of_the_safety_profile"/>
      <w:bookmarkEnd w:id="36"/>
      <w:r>
        <w:rPr>
          <w:b/>
          <w:sz w:val="24"/>
        </w:rPr>
        <w:t>Summary</w:t>
      </w:r>
      <w:r>
        <w:rPr>
          <w:b/>
          <w:spacing w:val="-3"/>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safety</w:t>
      </w:r>
      <w:r>
        <w:rPr>
          <w:b/>
          <w:spacing w:val="-3"/>
          <w:sz w:val="24"/>
        </w:rPr>
        <w:t xml:space="preserve"> </w:t>
      </w:r>
      <w:r>
        <w:rPr>
          <w:b/>
          <w:sz w:val="24"/>
        </w:rPr>
        <w:t>profile</w:t>
      </w:r>
    </w:p>
    <w:p w:rsidR="008269D0" w:rsidRDefault="00BE670B">
      <w:pPr>
        <w:pStyle w:val="BodyText"/>
        <w:spacing w:before="118"/>
        <w:ind w:right="808"/>
      </w:pPr>
      <w:r>
        <w:t>The most frequently reported serious adverse reactions were pneumonia, pyrexia, infusion</w:t>
      </w:r>
      <w:r>
        <w:rPr>
          <w:spacing w:val="-57"/>
        </w:rPr>
        <w:t xml:space="preserve"> </w:t>
      </w:r>
      <w:r>
        <w:t>related</w:t>
      </w:r>
      <w:r>
        <w:rPr>
          <w:spacing w:val="-1"/>
        </w:rPr>
        <w:t xml:space="preserve"> </w:t>
      </w:r>
      <w:r>
        <w:t>reaction and cellulitis.</w:t>
      </w:r>
    </w:p>
    <w:p w:rsidR="008269D0" w:rsidRDefault="00BE670B">
      <w:pPr>
        <w:pStyle w:val="BodyText"/>
        <w:spacing w:before="120"/>
        <w:ind w:right="562"/>
      </w:pPr>
      <w:r>
        <w:t>The most frequently reported adverse reactions were infusion-related reaction and rash (drug</w:t>
      </w:r>
      <w:r>
        <w:rPr>
          <w:spacing w:val="-57"/>
        </w:rPr>
        <w:t xml:space="preserve"> </w:t>
      </w:r>
      <w:r>
        <w:t>eruption);</w:t>
      </w:r>
      <w:r>
        <w:rPr>
          <w:spacing w:val="-1"/>
        </w:rPr>
        <w:t xml:space="preserve"> </w:t>
      </w:r>
      <w:r>
        <w:t>most of</w:t>
      </w:r>
      <w:r>
        <w:rPr>
          <w:spacing w:val="-1"/>
        </w:rPr>
        <w:t xml:space="preserve"> </w:t>
      </w:r>
      <w:r>
        <w:t>these</w:t>
      </w:r>
      <w:r>
        <w:rPr>
          <w:spacing w:val="-1"/>
        </w:rPr>
        <w:t xml:space="preserve"> </w:t>
      </w:r>
      <w:r>
        <w:t>reactions</w:t>
      </w:r>
      <w:r>
        <w:rPr>
          <w:spacing w:val="-1"/>
        </w:rPr>
        <w:t xml:space="preserve"> </w:t>
      </w:r>
      <w:r>
        <w:t>were non-serious and</w:t>
      </w:r>
      <w:r>
        <w:rPr>
          <w:spacing w:val="-1"/>
        </w:rPr>
        <w:t xml:space="preserve"> </w:t>
      </w:r>
      <w:r>
        <w:t>Grades 1 or 2.</w:t>
      </w:r>
    </w:p>
    <w:p w:rsidR="008269D0" w:rsidRDefault="00BE670B" w:rsidP="006C11DB">
      <w:pPr>
        <w:pStyle w:val="BodyText"/>
        <w:spacing w:before="120" w:after="240"/>
        <w:ind w:right="196"/>
      </w:pPr>
      <w:r>
        <w:t>Severe adverse reactions included Grade 4 respiratory failure (1.1%) and Grade 5 reactions were</w:t>
      </w:r>
      <w:r>
        <w:rPr>
          <w:spacing w:val="-57"/>
        </w:rPr>
        <w:t xml:space="preserve"> </w:t>
      </w:r>
      <w:r>
        <w:t>polymyositis</w:t>
      </w:r>
      <w:r>
        <w:rPr>
          <w:spacing w:val="-1"/>
        </w:rPr>
        <w:t xml:space="preserve"> </w:t>
      </w:r>
      <w:r>
        <w:t>and sepsis</w:t>
      </w:r>
      <w:r>
        <w:rPr>
          <w:spacing w:val="-1"/>
        </w:rPr>
        <w:t xml:space="preserve"> </w:t>
      </w:r>
      <w:r>
        <w:t>(0.5% each).</w:t>
      </w:r>
    </w:p>
    <w:p w:rsidR="008269D0" w:rsidRDefault="00BE670B">
      <w:pPr>
        <w:pStyle w:val="Heading2"/>
      </w:pPr>
      <w:bookmarkStart w:id="37" w:name="Tabulated_list_of_adverse_reactions"/>
      <w:bookmarkEnd w:id="37"/>
      <w:r>
        <w:t>Tabulated</w:t>
      </w:r>
      <w:r>
        <w:rPr>
          <w:spacing w:val="-3"/>
        </w:rPr>
        <w:t xml:space="preserve"> </w:t>
      </w:r>
      <w:r>
        <w:t>list</w:t>
      </w:r>
      <w:r>
        <w:rPr>
          <w:spacing w:val="-2"/>
        </w:rPr>
        <w:t xml:space="preserve"> </w:t>
      </w:r>
      <w:r>
        <w:t>of</w:t>
      </w:r>
      <w:r>
        <w:rPr>
          <w:spacing w:val="-2"/>
        </w:rPr>
        <w:t xml:space="preserve"> </w:t>
      </w:r>
      <w:r>
        <w:t>adverse</w:t>
      </w:r>
      <w:r>
        <w:rPr>
          <w:spacing w:val="-2"/>
        </w:rPr>
        <w:t xml:space="preserve"> </w:t>
      </w:r>
      <w:r>
        <w:t>reactions</w:t>
      </w:r>
    </w:p>
    <w:p w:rsidR="008269D0" w:rsidRDefault="00BE670B" w:rsidP="006C11DB">
      <w:pPr>
        <w:pStyle w:val="BodyText"/>
        <w:spacing w:after="240"/>
        <w:ind w:right="204"/>
      </w:pPr>
      <w:r>
        <w:t>The adverse reactions are presented by system organ class and frequency categories, defined</w:t>
      </w:r>
      <w:r>
        <w:rPr>
          <w:spacing w:val="1"/>
        </w:rPr>
        <w:t xml:space="preserve"> </w:t>
      </w:r>
      <w:r>
        <w:t>using the following convention: very common (≥1/10); common (≥1/100 to &lt;1/10); uncommon</w:t>
      </w:r>
      <w:r>
        <w:rPr>
          <w:spacing w:val="1"/>
        </w:rPr>
        <w:t xml:space="preserve"> </w:t>
      </w:r>
      <w:r>
        <w:t>(≥1/1,000 to &lt;1/100); rare (≥1/10,000 to &lt;1/1,000); very rare (&lt;1/10,000), not known (cannot be</w:t>
      </w:r>
      <w:r>
        <w:rPr>
          <w:spacing w:val="-57"/>
        </w:rPr>
        <w:t xml:space="preserve"> </w:t>
      </w:r>
      <w:r>
        <w:t>estimated from the available data). Within each frequency grouping, undesirable effects are</w:t>
      </w:r>
      <w:r>
        <w:rPr>
          <w:spacing w:val="1"/>
        </w:rPr>
        <w:t xml:space="preserve"> </w:t>
      </w:r>
      <w:r>
        <w:t>presented</w:t>
      </w:r>
      <w:r>
        <w:rPr>
          <w:spacing w:val="-1"/>
        </w:rPr>
        <w:t xml:space="preserve"> </w:t>
      </w:r>
      <w:r>
        <w:t>in</w:t>
      </w:r>
      <w:r>
        <w:rPr>
          <w:spacing w:val="-2"/>
        </w:rPr>
        <w:t xml:space="preserve"> </w:t>
      </w:r>
      <w:r>
        <w:t>order of</w:t>
      </w:r>
      <w:r>
        <w:rPr>
          <w:spacing w:val="-1"/>
        </w:rPr>
        <w:t xml:space="preserve"> </w:t>
      </w:r>
      <w:r>
        <w:t>decreasing</w:t>
      </w:r>
      <w:r>
        <w:rPr>
          <w:spacing w:val="-2"/>
        </w:rPr>
        <w:t xml:space="preserve"> </w:t>
      </w:r>
      <w:r>
        <w:t>seriousness.</w:t>
      </w:r>
    </w:p>
    <w:p w:rsidR="008269D0" w:rsidRDefault="00BE670B">
      <w:pPr>
        <w:pStyle w:val="Heading2"/>
      </w:pPr>
      <w:r>
        <w:t>Table</w:t>
      </w:r>
      <w:r>
        <w:rPr>
          <w:spacing w:val="-2"/>
        </w:rPr>
        <w:t xml:space="preserve"> </w:t>
      </w:r>
      <w:r>
        <w:t>1:</w:t>
      </w:r>
      <w:r>
        <w:rPr>
          <w:spacing w:val="-2"/>
        </w:rPr>
        <w:t xml:space="preserve"> </w:t>
      </w:r>
      <w:r>
        <w:t>Adverse</w:t>
      </w:r>
      <w:r>
        <w:rPr>
          <w:spacing w:val="-1"/>
        </w:rPr>
        <w:t xml:space="preserve"> </w:t>
      </w:r>
      <w:r>
        <w:t>drug</w:t>
      </w:r>
      <w:r>
        <w:rPr>
          <w:spacing w:val="-4"/>
        </w:rPr>
        <w:t xml:space="preserve"> </w:t>
      </w:r>
      <w:r>
        <w:t>reactions</w:t>
      </w:r>
      <w:r>
        <w:rPr>
          <w:spacing w:val="-2"/>
        </w:rPr>
        <w:t xml:space="preserve"> </w:t>
      </w:r>
      <w:r>
        <w:t>occurring</w:t>
      </w:r>
      <w:r>
        <w:rPr>
          <w:spacing w:val="-1"/>
        </w:rPr>
        <w:t xml:space="preserve"> </w:t>
      </w:r>
      <w:r>
        <w:t>in</w:t>
      </w:r>
      <w:r>
        <w:rPr>
          <w:spacing w:val="-3"/>
        </w:rPr>
        <w:t xml:space="preserve"> </w:t>
      </w:r>
      <w:r>
        <w:t>patients</w:t>
      </w:r>
      <w:r>
        <w:rPr>
          <w:spacing w:val="-4"/>
        </w:rPr>
        <w:t xml:space="preserve"> </w:t>
      </w:r>
      <w:r>
        <w:t>receiving</w:t>
      </w:r>
      <w:r>
        <w:rPr>
          <w:spacing w:val="-1"/>
        </w:rPr>
        <w:t xml:space="preserve"> </w:t>
      </w:r>
      <w:r>
        <w:t>POTELIGEO</w:t>
      </w:r>
      <w:r>
        <w:rPr>
          <w:spacing w:val="-2"/>
        </w:rPr>
        <w:t xml:space="preserve"> </w:t>
      </w:r>
      <w:r>
        <w:t>(N=184)</w:t>
      </w:r>
    </w:p>
    <w:p w:rsidR="008269D0" w:rsidRDefault="008269D0">
      <w:pPr>
        <w:pStyle w:val="BodyText"/>
        <w:spacing w:before="5"/>
        <w:ind w:left="0"/>
        <w:rPr>
          <w:b/>
          <w:sz w:val="1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840"/>
      </w:tblGrid>
      <w:tr w:rsidR="008269D0">
        <w:trPr>
          <w:trHeight w:val="371"/>
        </w:trPr>
        <w:tc>
          <w:tcPr>
            <w:tcW w:w="3397" w:type="dxa"/>
          </w:tcPr>
          <w:p w:rsidR="008269D0" w:rsidRDefault="00BE670B">
            <w:pPr>
              <w:pStyle w:val="TableParagraph"/>
              <w:spacing w:before="48"/>
              <w:ind w:left="38"/>
              <w:rPr>
                <w:b/>
                <w:sz w:val="24"/>
              </w:rPr>
            </w:pPr>
            <w:r>
              <w:rPr>
                <w:b/>
                <w:sz w:val="24"/>
              </w:rPr>
              <w:t>System</w:t>
            </w:r>
            <w:r>
              <w:rPr>
                <w:b/>
                <w:spacing w:val="-1"/>
                <w:sz w:val="24"/>
              </w:rPr>
              <w:t xml:space="preserve"> </w:t>
            </w:r>
            <w:r>
              <w:rPr>
                <w:b/>
                <w:sz w:val="24"/>
              </w:rPr>
              <w:t>organ</w:t>
            </w:r>
            <w:r>
              <w:rPr>
                <w:b/>
                <w:spacing w:val="-2"/>
                <w:sz w:val="24"/>
              </w:rPr>
              <w:t xml:space="preserve"> </w:t>
            </w:r>
            <w:r>
              <w:rPr>
                <w:b/>
                <w:sz w:val="24"/>
              </w:rPr>
              <w:t>class</w:t>
            </w:r>
            <w:r>
              <w:rPr>
                <w:b/>
                <w:spacing w:val="-1"/>
                <w:sz w:val="24"/>
              </w:rPr>
              <w:t xml:space="preserve"> </w:t>
            </w:r>
            <w:r>
              <w:rPr>
                <w:b/>
                <w:sz w:val="24"/>
              </w:rPr>
              <w:t>(SOC)</w:t>
            </w:r>
          </w:p>
        </w:tc>
        <w:tc>
          <w:tcPr>
            <w:tcW w:w="5840" w:type="dxa"/>
          </w:tcPr>
          <w:p w:rsidR="008269D0" w:rsidRDefault="00BE670B">
            <w:pPr>
              <w:pStyle w:val="TableParagraph"/>
              <w:spacing w:before="48"/>
              <w:ind w:left="143"/>
              <w:rPr>
                <w:b/>
                <w:sz w:val="24"/>
              </w:rPr>
            </w:pPr>
            <w:r>
              <w:rPr>
                <w:b/>
                <w:sz w:val="24"/>
              </w:rPr>
              <w:t>Adverse</w:t>
            </w:r>
            <w:r>
              <w:rPr>
                <w:b/>
                <w:spacing w:val="-1"/>
                <w:sz w:val="24"/>
              </w:rPr>
              <w:t xml:space="preserve"> </w:t>
            </w:r>
            <w:r>
              <w:rPr>
                <w:b/>
                <w:sz w:val="24"/>
              </w:rPr>
              <w:t>reaction</w:t>
            </w:r>
          </w:p>
        </w:tc>
      </w:tr>
      <w:tr w:rsidR="008269D0">
        <w:trPr>
          <w:trHeight w:val="371"/>
        </w:trPr>
        <w:tc>
          <w:tcPr>
            <w:tcW w:w="9237" w:type="dxa"/>
            <w:gridSpan w:val="2"/>
          </w:tcPr>
          <w:p w:rsidR="008269D0" w:rsidRDefault="00BE670B">
            <w:pPr>
              <w:pStyle w:val="TableParagraph"/>
              <w:spacing w:before="48"/>
              <w:ind w:left="38"/>
              <w:rPr>
                <w:b/>
                <w:sz w:val="24"/>
              </w:rPr>
            </w:pPr>
            <w:r>
              <w:rPr>
                <w:b/>
                <w:sz w:val="24"/>
              </w:rPr>
              <w:t>Blood</w:t>
            </w:r>
            <w:r>
              <w:rPr>
                <w:b/>
                <w:spacing w:val="-3"/>
                <w:sz w:val="24"/>
              </w:rPr>
              <w:t xml:space="preserve"> </w:t>
            </w:r>
            <w:r>
              <w:rPr>
                <w:b/>
                <w:sz w:val="24"/>
              </w:rPr>
              <w:t>and</w:t>
            </w:r>
            <w:r>
              <w:rPr>
                <w:b/>
                <w:spacing w:val="-2"/>
                <w:sz w:val="24"/>
              </w:rPr>
              <w:t xml:space="preserve"> </w:t>
            </w:r>
            <w:r>
              <w:rPr>
                <w:b/>
                <w:sz w:val="24"/>
              </w:rPr>
              <w:t>lymphatic</w:t>
            </w:r>
            <w:r>
              <w:rPr>
                <w:b/>
                <w:spacing w:val="-1"/>
                <w:sz w:val="24"/>
              </w:rPr>
              <w:t xml:space="preserve"> </w:t>
            </w:r>
            <w:r>
              <w:rPr>
                <w:b/>
                <w:sz w:val="24"/>
              </w:rPr>
              <w:t>system</w:t>
            </w:r>
            <w:r>
              <w:rPr>
                <w:b/>
                <w:spacing w:val="-1"/>
                <w:sz w:val="24"/>
              </w:rPr>
              <w:t xml:space="preserve"> </w:t>
            </w:r>
            <w:r>
              <w:rPr>
                <w:b/>
                <w:sz w:val="24"/>
              </w:rPr>
              <w:t>disorders</w:t>
            </w:r>
          </w:p>
        </w:tc>
      </w:tr>
      <w:tr w:rsidR="008269D0">
        <w:trPr>
          <w:trHeight w:val="372"/>
        </w:trPr>
        <w:tc>
          <w:tcPr>
            <w:tcW w:w="3397" w:type="dxa"/>
          </w:tcPr>
          <w:p w:rsidR="008269D0" w:rsidRDefault="00BE670B">
            <w:pPr>
              <w:pStyle w:val="TableParagraph"/>
              <w:spacing w:before="47"/>
              <w:ind w:left="38"/>
              <w:rPr>
                <w:sz w:val="24"/>
              </w:rPr>
            </w:pPr>
            <w:r>
              <w:rPr>
                <w:sz w:val="24"/>
              </w:rPr>
              <w:t>Common:</w:t>
            </w:r>
          </w:p>
        </w:tc>
        <w:tc>
          <w:tcPr>
            <w:tcW w:w="5840" w:type="dxa"/>
          </w:tcPr>
          <w:p w:rsidR="008269D0" w:rsidRDefault="00BE670B">
            <w:pPr>
              <w:pStyle w:val="TableParagraph"/>
              <w:spacing w:before="47"/>
              <w:ind w:left="143"/>
              <w:rPr>
                <w:sz w:val="24"/>
              </w:rPr>
            </w:pPr>
            <w:r>
              <w:rPr>
                <w:sz w:val="24"/>
              </w:rPr>
              <w:t>Anaemia,</w:t>
            </w:r>
            <w:r>
              <w:rPr>
                <w:spacing w:val="-2"/>
                <w:sz w:val="24"/>
              </w:rPr>
              <w:t xml:space="preserve"> </w:t>
            </w:r>
            <w:r>
              <w:rPr>
                <w:sz w:val="24"/>
              </w:rPr>
              <w:t>neutropenia,</w:t>
            </w:r>
            <w:r>
              <w:rPr>
                <w:spacing w:val="-1"/>
                <w:sz w:val="24"/>
              </w:rPr>
              <w:t xml:space="preserve"> </w:t>
            </w:r>
            <w:r>
              <w:rPr>
                <w:sz w:val="24"/>
              </w:rPr>
              <w:t>leukopenia,</w:t>
            </w:r>
            <w:r>
              <w:rPr>
                <w:spacing w:val="-1"/>
                <w:sz w:val="24"/>
              </w:rPr>
              <w:t xml:space="preserve"> </w:t>
            </w:r>
            <w:r>
              <w:rPr>
                <w:sz w:val="24"/>
              </w:rPr>
              <w:t>thrombocytopenia</w:t>
            </w:r>
          </w:p>
        </w:tc>
      </w:tr>
      <w:tr w:rsidR="008269D0">
        <w:trPr>
          <w:trHeight w:val="371"/>
        </w:trPr>
        <w:tc>
          <w:tcPr>
            <w:tcW w:w="9237" w:type="dxa"/>
            <w:gridSpan w:val="2"/>
          </w:tcPr>
          <w:p w:rsidR="008269D0" w:rsidRDefault="00BE670B">
            <w:pPr>
              <w:pStyle w:val="TableParagraph"/>
              <w:spacing w:before="48"/>
              <w:ind w:left="38"/>
              <w:rPr>
                <w:b/>
                <w:sz w:val="24"/>
              </w:rPr>
            </w:pPr>
            <w:r>
              <w:rPr>
                <w:b/>
                <w:sz w:val="24"/>
              </w:rPr>
              <w:t>Endocrine</w:t>
            </w:r>
            <w:r>
              <w:rPr>
                <w:b/>
                <w:spacing w:val="-2"/>
                <w:sz w:val="24"/>
              </w:rPr>
              <w:t xml:space="preserve"> </w:t>
            </w:r>
            <w:r>
              <w:rPr>
                <w:b/>
                <w:sz w:val="24"/>
              </w:rPr>
              <w:t>disorders</w:t>
            </w:r>
          </w:p>
        </w:tc>
      </w:tr>
      <w:tr w:rsidR="008269D0">
        <w:trPr>
          <w:trHeight w:val="371"/>
        </w:trPr>
        <w:tc>
          <w:tcPr>
            <w:tcW w:w="3397" w:type="dxa"/>
          </w:tcPr>
          <w:p w:rsidR="008269D0" w:rsidRDefault="00BE670B">
            <w:pPr>
              <w:pStyle w:val="TableParagraph"/>
              <w:ind w:left="38"/>
              <w:rPr>
                <w:sz w:val="24"/>
              </w:rPr>
            </w:pPr>
            <w:r>
              <w:rPr>
                <w:sz w:val="24"/>
              </w:rPr>
              <w:t>Common:</w:t>
            </w:r>
          </w:p>
        </w:tc>
        <w:tc>
          <w:tcPr>
            <w:tcW w:w="5840" w:type="dxa"/>
          </w:tcPr>
          <w:p w:rsidR="008269D0" w:rsidRDefault="00BE670B">
            <w:pPr>
              <w:pStyle w:val="TableParagraph"/>
              <w:ind w:left="143"/>
              <w:rPr>
                <w:sz w:val="24"/>
              </w:rPr>
            </w:pPr>
            <w:r>
              <w:rPr>
                <w:sz w:val="24"/>
              </w:rPr>
              <w:t>Hypothyroidism</w:t>
            </w:r>
          </w:p>
        </w:tc>
      </w:tr>
      <w:tr w:rsidR="008269D0">
        <w:trPr>
          <w:trHeight w:val="371"/>
        </w:trPr>
        <w:tc>
          <w:tcPr>
            <w:tcW w:w="9237" w:type="dxa"/>
            <w:gridSpan w:val="2"/>
          </w:tcPr>
          <w:p w:rsidR="008269D0" w:rsidRDefault="00BE670B">
            <w:pPr>
              <w:pStyle w:val="TableParagraph"/>
              <w:spacing w:before="49"/>
              <w:ind w:left="38"/>
              <w:rPr>
                <w:b/>
                <w:sz w:val="24"/>
              </w:rPr>
            </w:pPr>
            <w:r>
              <w:rPr>
                <w:b/>
                <w:sz w:val="24"/>
              </w:rPr>
              <w:t>Gastrointestinal</w:t>
            </w:r>
            <w:r>
              <w:rPr>
                <w:b/>
                <w:spacing w:val="-2"/>
                <w:sz w:val="24"/>
              </w:rPr>
              <w:t xml:space="preserve"> </w:t>
            </w:r>
            <w:r>
              <w:rPr>
                <w:b/>
                <w:sz w:val="24"/>
              </w:rPr>
              <w:t>disorders</w:t>
            </w:r>
          </w:p>
        </w:tc>
      </w:tr>
      <w:tr w:rsidR="008269D0">
        <w:trPr>
          <w:trHeight w:val="372"/>
        </w:trPr>
        <w:tc>
          <w:tcPr>
            <w:tcW w:w="3397" w:type="dxa"/>
          </w:tcPr>
          <w:p w:rsidR="008269D0" w:rsidRDefault="00BE670B">
            <w:pPr>
              <w:pStyle w:val="TableParagraph"/>
              <w:spacing w:before="47"/>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spacing w:before="47"/>
              <w:ind w:left="143"/>
              <w:rPr>
                <w:sz w:val="24"/>
              </w:rPr>
            </w:pPr>
            <w:r>
              <w:rPr>
                <w:sz w:val="24"/>
              </w:rPr>
              <w:t>Constipation,</w:t>
            </w:r>
            <w:r>
              <w:rPr>
                <w:spacing w:val="-2"/>
                <w:sz w:val="24"/>
              </w:rPr>
              <w:t xml:space="preserve"> </w:t>
            </w:r>
            <w:r>
              <w:rPr>
                <w:sz w:val="24"/>
              </w:rPr>
              <w:t>diarrhoea,</w:t>
            </w:r>
            <w:r>
              <w:rPr>
                <w:spacing w:val="-3"/>
                <w:sz w:val="24"/>
              </w:rPr>
              <w:t xml:space="preserve"> </w:t>
            </w:r>
            <w:r>
              <w:rPr>
                <w:sz w:val="24"/>
              </w:rPr>
              <w:t>nausea,</w:t>
            </w:r>
            <w:r>
              <w:rPr>
                <w:spacing w:val="-2"/>
                <w:sz w:val="24"/>
              </w:rPr>
              <w:t xml:space="preserve"> </w:t>
            </w:r>
            <w:r>
              <w:rPr>
                <w:sz w:val="24"/>
              </w:rPr>
              <w:t>stomatitis</w:t>
            </w:r>
          </w:p>
        </w:tc>
      </w:tr>
      <w:tr w:rsidR="008269D0">
        <w:trPr>
          <w:trHeight w:val="371"/>
        </w:trPr>
        <w:tc>
          <w:tcPr>
            <w:tcW w:w="3397" w:type="dxa"/>
          </w:tcPr>
          <w:p w:rsidR="008269D0" w:rsidRDefault="00BE670B">
            <w:pPr>
              <w:pStyle w:val="TableParagraph"/>
              <w:ind w:left="38"/>
              <w:rPr>
                <w:sz w:val="24"/>
              </w:rPr>
            </w:pPr>
            <w:r>
              <w:rPr>
                <w:sz w:val="24"/>
              </w:rPr>
              <w:t>Common:</w:t>
            </w:r>
          </w:p>
        </w:tc>
        <w:tc>
          <w:tcPr>
            <w:tcW w:w="5840" w:type="dxa"/>
          </w:tcPr>
          <w:p w:rsidR="008269D0" w:rsidRDefault="00BE670B">
            <w:pPr>
              <w:pStyle w:val="TableParagraph"/>
              <w:ind w:left="143"/>
              <w:rPr>
                <w:sz w:val="24"/>
              </w:rPr>
            </w:pPr>
            <w:r>
              <w:rPr>
                <w:sz w:val="24"/>
              </w:rPr>
              <w:t>Vomiting</w:t>
            </w:r>
          </w:p>
        </w:tc>
      </w:tr>
      <w:tr w:rsidR="008269D0">
        <w:trPr>
          <w:trHeight w:val="371"/>
        </w:trPr>
        <w:tc>
          <w:tcPr>
            <w:tcW w:w="9237" w:type="dxa"/>
            <w:gridSpan w:val="2"/>
          </w:tcPr>
          <w:p w:rsidR="008269D0" w:rsidRDefault="00BE670B">
            <w:pPr>
              <w:pStyle w:val="TableParagraph"/>
              <w:spacing w:before="48"/>
              <w:ind w:left="38"/>
              <w:rPr>
                <w:b/>
                <w:sz w:val="24"/>
              </w:rPr>
            </w:pPr>
            <w:r>
              <w:rPr>
                <w:b/>
                <w:sz w:val="24"/>
              </w:rPr>
              <w:t>General</w:t>
            </w:r>
            <w:r>
              <w:rPr>
                <w:b/>
                <w:spacing w:val="-2"/>
                <w:sz w:val="24"/>
              </w:rPr>
              <w:t xml:space="preserve"> </w:t>
            </w:r>
            <w:r>
              <w:rPr>
                <w:b/>
                <w:sz w:val="24"/>
              </w:rPr>
              <w:t>disorders</w:t>
            </w:r>
            <w:r>
              <w:rPr>
                <w:b/>
                <w:spacing w:val="-1"/>
                <w:sz w:val="24"/>
              </w:rPr>
              <w:t xml:space="preserve"> </w:t>
            </w:r>
            <w:r>
              <w:rPr>
                <w:b/>
                <w:sz w:val="24"/>
              </w:rPr>
              <w:t>and</w:t>
            </w:r>
            <w:r>
              <w:rPr>
                <w:b/>
                <w:spacing w:val="-3"/>
                <w:sz w:val="24"/>
              </w:rPr>
              <w:t xml:space="preserve"> </w:t>
            </w:r>
            <w:r>
              <w:rPr>
                <w:b/>
                <w:sz w:val="24"/>
              </w:rPr>
              <w:t>administration</w:t>
            </w:r>
            <w:r>
              <w:rPr>
                <w:b/>
                <w:spacing w:val="-2"/>
                <w:sz w:val="24"/>
              </w:rPr>
              <w:t xml:space="preserve"> </w:t>
            </w:r>
            <w:r>
              <w:rPr>
                <w:b/>
                <w:sz w:val="24"/>
              </w:rPr>
              <w:t>site</w:t>
            </w:r>
            <w:r>
              <w:rPr>
                <w:b/>
                <w:spacing w:val="-3"/>
                <w:sz w:val="24"/>
              </w:rPr>
              <w:t xml:space="preserve"> </w:t>
            </w:r>
            <w:r>
              <w:rPr>
                <w:b/>
                <w:sz w:val="24"/>
              </w:rPr>
              <w:t>conditions</w:t>
            </w:r>
          </w:p>
        </w:tc>
      </w:tr>
      <w:tr w:rsidR="008269D0">
        <w:trPr>
          <w:trHeight w:val="372"/>
        </w:trPr>
        <w:tc>
          <w:tcPr>
            <w:tcW w:w="3397" w:type="dxa"/>
          </w:tcPr>
          <w:p w:rsidR="008269D0" w:rsidRDefault="00BE670B">
            <w:pPr>
              <w:pStyle w:val="TableParagraph"/>
              <w:spacing w:before="47"/>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spacing w:before="47"/>
              <w:ind w:left="143"/>
              <w:rPr>
                <w:sz w:val="24"/>
              </w:rPr>
            </w:pPr>
            <w:r>
              <w:rPr>
                <w:sz w:val="24"/>
              </w:rPr>
              <w:t>Fatigue,</w:t>
            </w:r>
            <w:r>
              <w:rPr>
                <w:spacing w:val="-1"/>
                <w:sz w:val="24"/>
              </w:rPr>
              <w:t xml:space="preserve"> </w:t>
            </w:r>
            <w:r>
              <w:rPr>
                <w:sz w:val="24"/>
              </w:rPr>
              <w:t>oedema</w:t>
            </w:r>
            <w:r>
              <w:rPr>
                <w:spacing w:val="-1"/>
                <w:sz w:val="24"/>
              </w:rPr>
              <w:t xml:space="preserve"> </w:t>
            </w:r>
            <w:r>
              <w:rPr>
                <w:sz w:val="24"/>
              </w:rPr>
              <w:t>peripheral,</w:t>
            </w:r>
            <w:r>
              <w:rPr>
                <w:spacing w:val="-1"/>
                <w:sz w:val="24"/>
              </w:rPr>
              <w:t xml:space="preserve"> </w:t>
            </w:r>
            <w:r>
              <w:rPr>
                <w:sz w:val="24"/>
              </w:rPr>
              <w:t>pyrexia</w:t>
            </w:r>
          </w:p>
        </w:tc>
      </w:tr>
      <w:tr w:rsidR="008269D0">
        <w:trPr>
          <w:trHeight w:val="371"/>
        </w:trPr>
        <w:tc>
          <w:tcPr>
            <w:tcW w:w="9237" w:type="dxa"/>
            <w:gridSpan w:val="2"/>
          </w:tcPr>
          <w:p w:rsidR="008269D0" w:rsidRDefault="00BE670B">
            <w:pPr>
              <w:pStyle w:val="TableParagraph"/>
              <w:spacing w:before="48"/>
              <w:ind w:left="38"/>
              <w:rPr>
                <w:b/>
                <w:sz w:val="24"/>
              </w:rPr>
            </w:pPr>
            <w:r>
              <w:rPr>
                <w:b/>
                <w:sz w:val="24"/>
              </w:rPr>
              <w:t>Hepatobiliary</w:t>
            </w:r>
            <w:r>
              <w:rPr>
                <w:b/>
                <w:spacing w:val="-2"/>
                <w:sz w:val="24"/>
              </w:rPr>
              <w:t xml:space="preserve"> </w:t>
            </w:r>
            <w:r>
              <w:rPr>
                <w:b/>
                <w:sz w:val="24"/>
              </w:rPr>
              <w:t>disorders</w:t>
            </w:r>
          </w:p>
        </w:tc>
      </w:tr>
      <w:tr w:rsidR="008269D0">
        <w:trPr>
          <w:trHeight w:val="371"/>
        </w:trPr>
        <w:tc>
          <w:tcPr>
            <w:tcW w:w="3397" w:type="dxa"/>
          </w:tcPr>
          <w:p w:rsidR="008269D0" w:rsidRDefault="00BE670B">
            <w:pPr>
              <w:pStyle w:val="TableParagraph"/>
              <w:ind w:left="38"/>
              <w:rPr>
                <w:sz w:val="24"/>
              </w:rPr>
            </w:pPr>
            <w:r>
              <w:rPr>
                <w:sz w:val="24"/>
              </w:rPr>
              <w:t>Uncommon:</w:t>
            </w:r>
          </w:p>
        </w:tc>
        <w:tc>
          <w:tcPr>
            <w:tcW w:w="5840" w:type="dxa"/>
          </w:tcPr>
          <w:p w:rsidR="008269D0" w:rsidRDefault="00BE670B">
            <w:pPr>
              <w:pStyle w:val="TableParagraph"/>
              <w:ind w:left="143"/>
              <w:rPr>
                <w:sz w:val="24"/>
              </w:rPr>
            </w:pPr>
            <w:r>
              <w:rPr>
                <w:sz w:val="24"/>
              </w:rPr>
              <w:t>Hepatitis</w:t>
            </w:r>
            <w:r>
              <w:rPr>
                <w:spacing w:val="-1"/>
                <w:sz w:val="24"/>
              </w:rPr>
              <w:t xml:space="preserve"> </w:t>
            </w:r>
            <w:r>
              <w:rPr>
                <w:sz w:val="24"/>
              </w:rPr>
              <w:t>acute,</w:t>
            </w:r>
            <w:r>
              <w:rPr>
                <w:spacing w:val="-1"/>
                <w:sz w:val="24"/>
              </w:rPr>
              <w:t xml:space="preserve"> </w:t>
            </w:r>
            <w:r>
              <w:rPr>
                <w:sz w:val="24"/>
              </w:rPr>
              <w:t>hepatitis</w:t>
            </w:r>
          </w:p>
        </w:tc>
      </w:tr>
      <w:tr w:rsidR="008269D0">
        <w:trPr>
          <w:trHeight w:val="372"/>
        </w:trPr>
        <w:tc>
          <w:tcPr>
            <w:tcW w:w="9237" w:type="dxa"/>
            <w:gridSpan w:val="2"/>
          </w:tcPr>
          <w:p w:rsidR="008269D0" w:rsidRDefault="00BE670B">
            <w:pPr>
              <w:pStyle w:val="TableParagraph"/>
              <w:spacing w:before="49"/>
              <w:ind w:left="38"/>
              <w:rPr>
                <w:b/>
                <w:sz w:val="24"/>
              </w:rPr>
            </w:pPr>
            <w:r>
              <w:rPr>
                <w:b/>
                <w:sz w:val="24"/>
              </w:rPr>
              <w:t>Infections</w:t>
            </w:r>
            <w:r>
              <w:rPr>
                <w:b/>
                <w:spacing w:val="-2"/>
                <w:sz w:val="24"/>
              </w:rPr>
              <w:t xml:space="preserve"> </w:t>
            </w:r>
            <w:r>
              <w:rPr>
                <w:b/>
                <w:sz w:val="24"/>
              </w:rPr>
              <w:t>and</w:t>
            </w:r>
            <w:r>
              <w:rPr>
                <w:b/>
                <w:spacing w:val="-3"/>
                <w:sz w:val="24"/>
              </w:rPr>
              <w:t xml:space="preserve"> </w:t>
            </w:r>
            <w:r>
              <w:rPr>
                <w:b/>
                <w:sz w:val="24"/>
              </w:rPr>
              <w:t>infestations</w:t>
            </w:r>
          </w:p>
        </w:tc>
      </w:tr>
      <w:tr w:rsidR="008269D0">
        <w:trPr>
          <w:trHeight w:val="371"/>
        </w:trPr>
        <w:tc>
          <w:tcPr>
            <w:tcW w:w="3397" w:type="dxa"/>
          </w:tcPr>
          <w:p w:rsidR="008269D0" w:rsidRDefault="00BE670B">
            <w:pPr>
              <w:pStyle w:val="TableParagraph"/>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ind w:left="143"/>
              <w:rPr>
                <w:sz w:val="24"/>
              </w:rPr>
            </w:pPr>
            <w:r>
              <w:rPr>
                <w:sz w:val="24"/>
              </w:rPr>
              <w:t>Infections</w:t>
            </w:r>
            <w:r>
              <w:rPr>
                <w:sz w:val="24"/>
                <w:vertAlign w:val="superscript"/>
              </w:rPr>
              <w:t>a</w:t>
            </w:r>
          </w:p>
        </w:tc>
      </w:tr>
      <w:tr w:rsidR="008269D0">
        <w:trPr>
          <w:trHeight w:val="371"/>
        </w:trPr>
        <w:tc>
          <w:tcPr>
            <w:tcW w:w="3397" w:type="dxa"/>
          </w:tcPr>
          <w:p w:rsidR="008269D0" w:rsidRDefault="00BE670B">
            <w:pPr>
              <w:pStyle w:val="TableParagraph"/>
              <w:ind w:left="38"/>
              <w:rPr>
                <w:sz w:val="24"/>
              </w:rPr>
            </w:pPr>
            <w:r>
              <w:rPr>
                <w:sz w:val="24"/>
              </w:rPr>
              <w:t>Common:</w:t>
            </w:r>
          </w:p>
        </w:tc>
        <w:tc>
          <w:tcPr>
            <w:tcW w:w="5840" w:type="dxa"/>
          </w:tcPr>
          <w:p w:rsidR="008269D0" w:rsidRDefault="00BE670B">
            <w:pPr>
              <w:pStyle w:val="TableParagraph"/>
              <w:ind w:left="143"/>
              <w:rPr>
                <w:sz w:val="24"/>
              </w:rPr>
            </w:pPr>
            <w:r>
              <w:rPr>
                <w:sz w:val="24"/>
              </w:rPr>
              <w:t>Upper</w:t>
            </w:r>
            <w:r>
              <w:rPr>
                <w:spacing w:val="-1"/>
                <w:sz w:val="24"/>
              </w:rPr>
              <w:t xml:space="preserve"> </w:t>
            </w:r>
            <w:r>
              <w:rPr>
                <w:sz w:val="24"/>
              </w:rPr>
              <w:t>respiratory</w:t>
            </w:r>
            <w:r>
              <w:rPr>
                <w:spacing w:val="-3"/>
                <w:sz w:val="24"/>
              </w:rPr>
              <w:t xml:space="preserve"> </w:t>
            </w:r>
            <w:r>
              <w:rPr>
                <w:sz w:val="24"/>
              </w:rPr>
              <w:t>tract</w:t>
            </w:r>
            <w:r>
              <w:rPr>
                <w:spacing w:val="-1"/>
                <w:sz w:val="24"/>
              </w:rPr>
              <w:t xml:space="preserve"> </w:t>
            </w:r>
            <w:r>
              <w:rPr>
                <w:sz w:val="24"/>
              </w:rPr>
              <w:t>infection</w:t>
            </w:r>
          </w:p>
        </w:tc>
      </w:tr>
      <w:tr w:rsidR="008269D0">
        <w:trPr>
          <w:trHeight w:val="372"/>
        </w:trPr>
        <w:tc>
          <w:tcPr>
            <w:tcW w:w="9237" w:type="dxa"/>
            <w:gridSpan w:val="2"/>
          </w:tcPr>
          <w:p w:rsidR="008269D0" w:rsidRDefault="00BE670B">
            <w:pPr>
              <w:pStyle w:val="TableParagraph"/>
              <w:spacing w:before="49"/>
              <w:ind w:left="38"/>
              <w:rPr>
                <w:b/>
                <w:sz w:val="24"/>
              </w:rPr>
            </w:pPr>
            <w:r>
              <w:rPr>
                <w:b/>
                <w:sz w:val="24"/>
              </w:rPr>
              <w:t>Injury,</w:t>
            </w:r>
            <w:r>
              <w:rPr>
                <w:b/>
                <w:spacing w:val="-2"/>
                <w:sz w:val="24"/>
              </w:rPr>
              <w:t xml:space="preserve"> </w:t>
            </w:r>
            <w:r>
              <w:rPr>
                <w:b/>
                <w:sz w:val="24"/>
              </w:rPr>
              <w:t>poisoning</w:t>
            </w:r>
            <w:r>
              <w:rPr>
                <w:b/>
                <w:spacing w:val="-3"/>
                <w:sz w:val="24"/>
              </w:rPr>
              <w:t xml:space="preserve"> </w:t>
            </w:r>
            <w:r>
              <w:rPr>
                <w:b/>
                <w:sz w:val="24"/>
              </w:rPr>
              <w:t>and</w:t>
            </w:r>
            <w:r>
              <w:rPr>
                <w:b/>
                <w:spacing w:val="-3"/>
                <w:sz w:val="24"/>
              </w:rPr>
              <w:t xml:space="preserve"> </w:t>
            </w:r>
            <w:r>
              <w:rPr>
                <w:b/>
                <w:sz w:val="24"/>
              </w:rPr>
              <w:t>procedural</w:t>
            </w:r>
            <w:r>
              <w:rPr>
                <w:b/>
                <w:spacing w:val="-2"/>
                <w:sz w:val="24"/>
              </w:rPr>
              <w:t xml:space="preserve"> </w:t>
            </w:r>
            <w:r>
              <w:rPr>
                <w:b/>
                <w:sz w:val="24"/>
              </w:rPr>
              <w:t>complications</w:t>
            </w:r>
          </w:p>
        </w:tc>
      </w:tr>
      <w:tr w:rsidR="008269D0">
        <w:trPr>
          <w:trHeight w:val="371"/>
        </w:trPr>
        <w:tc>
          <w:tcPr>
            <w:tcW w:w="3397" w:type="dxa"/>
          </w:tcPr>
          <w:p w:rsidR="008269D0" w:rsidRDefault="00BE670B">
            <w:pPr>
              <w:pStyle w:val="TableParagraph"/>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ind w:left="143"/>
              <w:rPr>
                <w:sz w:val="24"/>
              </w:rPr>
            </w:pPr>
            <w:r>
              <w:rPr>
                <w:sz w:val="24"/>
              </w:rPr>
              <w:t>Infusion</w:t>
            </w:r>
            <w:r>
              <w:rPr>
                <w:spacing w:val="-1"/>
                <w:sz w:val="24"/>
              </w:rPr>
              <w:t xml:space="preserve"> </w:t>
            </w:r>
            <w:r>
              <w:rPr>
                <w:sz w:val="24"/>
              </w:rPr>
              <w:t>related</w:t>
            </w:r>
            <w:r>
              <w:rPr>
                <w:spacing w:val="-1"/>
                <w:sz w:val="24"/>
              </w:rPr>
              <w:t xml:space="preserve"> </w:t>
            </w:r>
            <w:r>
              <w:rPr>
                <w:sz w:val="24"/>
              </w:rPr>
              <w:t>reaction</w:t>
            </w:r>
          </w:p>
        </w:tc>
      </w:tr>
      <w:tr w:rsidR="008269D0">
        <w:trPr>
          <w:trHeight w:val="371"/>
        </w:trPr>
        <w:tc>
          <w:tcPr>
            <w:tcW w:w="9237" w:type="dxa"/>
            <w:gridSpan w:val="2"/>
          </w:tcPr>
          <w:p w:rsidR="008269D0" w:rsidRDefault="00BE670B">
            <w:pPr>
              <w:pStyle w:val="TableParagraph"/>
              <w:spacing w:before="48"/>
              <w:ind w:left="38"/>
              <w:rPr>
                <w:b/>
                <w:sz w:val="24"/>
              </w:rPr>
            </w:pPr>
            <w:r>
              <w:rPr>
                <w:b/>
                <w:sz w:val="24"/>
              </w:rPr>
              <w:t>Investigations</w:t>
            </w:r>
          </w:p>
        </w:tc>
      </w:tr>
      <w:tr w:rsidR="008269D0">
        <w:trPr>
          <w:trHeight w:val="1021"/>
        </w:trPr>
        <w:tc>
          <w:tcPr>
            <w:tcW w:w="3397" w:type="dxa"/>
          </w:tcPr>
          <w:p w:rsidR="008269D0" w:rsidRDefault="00BE670B">
            <w:pPr>
              <w:pStyle w:val="TableParagraph"/>
              <w:spacing w:before="1"/>
              <w:ind w:left="38"/>
              <w:rPr>
                <w:sz w:val="24"/>
              </w:rPr>
            </w:pPr>
            <w:r>
              <w:rPr>
                <w:sz w:val="24"/>
              </w:rPr>
              <w:t>Common:</w:t>
            </w:r>
          </w:p>
        </w:tc>
        <w:tc>
          <w:tcPr>
            <w:tcW w:w="5840" w:type="dxa"/>
          </w:tcPr>
          <w:p w:rsidR="008269D0" w:rsidRDefault="00BE670B">
            <w:pPr>
              <w:pStyle w:val="TableParagraph"/>
              <w:spacing w:before="95"/>
              <w:ind w:left="143" w:right="342"/>
              <w:rPr>
                <w:sz w:val="24"/>
              </w:rPr>
            </w:pPr>
            <w:r>
              <w:rPr>
                <w:sz w:val="24"/>
              </w:rPr>
              <w:t>Alanine aminotransferase increased, aspartate</w:t>
            </w:r>
            <w:r>
              <w:rPr>
                <w:spacing w:val="1"/>
                <w:sz w:val="24"/>
              </w:rPr>
              <w:t xml:space="preserve"> </w:t>
            </w:r>
            <w:r>
              <w:rPr>
                <w:sz w:val="24"/>
              </w:rPr>
              <w:t>aminotransferase increased, blood alkaline phosphatase</w:t>
            </w:r>
            <w:r>
              <w:rPr>
                <w:spacing w:val="-57"/>
                <w:sz w:val="24"/>
              </w:rPr>
              <w:t xml:space="preserve"> </w:t>
            </w:r>
            <w:r>
              <w:rPr>
                <w:sz w:val="24"/>
              </w:rPr>
              <w:t>increased,</w:t>
            </w:r>
            <w:r>
              <w:rPr>
                <w:spacing w:val="-1"/>
                <w:sz w:val="24"/>
              </w:rPr>
              <w:t xml:space="preserve"> </w:t>
            </w:r>
            <w:r>
              <w:rPr>
                <w:sz w:val="24"/>
              </w:rPr>
              <w:t>lymphocyte count decreased</w:t>
            </w:r>
          </w:p>
        </w:tc>
      </w:tr>
    </w:tbl>
    <w:p w:rsidR="008269D0" w:rsidRDefault="008269D0">
      <w:pPr>
        <w:rPr>
          <w:sz w:val="24"/>
        </w:rPr>
        <w:sectPr w:rsidR="008269D0" w:rsidSect="003F0986">
          <w:pgSz w:w="11910" w:h="16840"/>
          <w:pgMar w:top="900" w:right="1120" w:bottom="600" w:left="1180" w:header="113" w:footer="404" w:gutter="0"/>
          <w:cols w:space="720"/>
          <w:docGrid w:linePitch="299"/>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840"/>
      </w:tblGrid>
      <w:tr w:rsidR="008269D0">
        <w:trPr>
          <w:trHeight w:val="371"/>
        </w:trPr>
        <w:tc>
          <w:tcPr>
            <w:tcW w:w="3397" w:type="dxa"/>
          </w:tcPr>
          <w:p w:rsidR="008269D0" w:rsidRDefault="00BE670B">
            <w:pPr>
              <w:pStyle w:val="TableParagraph"/>
              <w:spacing w:before="38"/>
              <w:ind w:left="38"/>
              <w:rPr>
                <w:b/>
                <w:sz w:val="24"/>
              </w:rPr>
            </w:pPr>
            <w:r>
              <w:rPr>
                <w:b/>
                <w:sz w:val="24"/>
              </w:rPr>
              <w:t>System</w:t>
            </w:r>
            <w:r>
              <w:rPr>
                <w:b/>
                <w:spacing w:val="-1"/>
                <w:sz w:val="24"/>
              </w:rPr>
              <w:t xml:space="preserve"> </w:t>
            </w:r>
            <w:r>
              <w:rPr>
                <w:b/>
                <w:sz w:val="24"/>
              </w:rPr>
              <w:t>organ</w:t>
            </w:r>
            <w:r>
              <w:rPr>
                <w:b/>
                <w:spacing w:val="-2"/>
                <w:sz w:val="24"/>
              </w:rPr>
              <w:t xml:space="preserve"> </w:t>
            </w:r>
            <w:r>
              <w:rPr>
                <w:b/>
                <w:sz w:val="24"/>
              </w:rPr>
              <w:t>class</w:t>
            </w:r>
            <w:r>
              <w:rPr>
                <w:b/>
                <w:spacing w:val="-1"/>
                <w:sz w:val="24"/>
              </w:rPr>
              <w:t xml:space="preserve"> </w:t>
            </w:r>
            <w:r>
              <w:rPr>
                <w:b/>
                <w:sz w:val="24"/>
              </w:rPr>
              <w:t>(SOC)</w:t>
            </w:r>
          </w:p>
        </w:tc>
        <w:tc>
          <w:tcPr>
            <w:tcW w:w="5840" w:type="dxa"/>
          </w:tcPr>
          <w:p w:rsidR="008269D0" w:rsidRDefault="00BE670B">
            <w:pPr>
              <w:pStyle w:val="TableParagraph"/>
              <w:spacing w:before="38"/>
              <w:ind w:left="143"/>
              <w:rPr>
                <w:b/>
                <w:sz w:val="24"/>
              </w:rPr>
            </w:pPr>
            <w:r>
              <w:rPr>
                <w:b/>
                <w:sz w:val="24"/>
              </w:rPr>
              <w:t>Adverse</w:t>
            </w:r>
            <w:r>
              <w:rPr>
                <w:b/>
                <w:spacing w:val="-1"/>
                <w:sz w:val="24"/>
              </w:rPr>
              <w:t xml:space="preserve"> </w:t>
            </w:r>
            <w:r>
              <w:rPr>
                <w:b/>
                <w:sz w:val="24"/>
              </w:rPr>
              <w:t>reaction</w:t>
            </w:r>
          </w:p>
        </w:tc>
      </w:tr>
      <w:tr w:rsidR="008269D0">
        <w:trPr>
          <w:trHeight w:val="372"/>
        </w:trPr>
        <w:tc>
          <w:tcPr>
            <w:tcW w:w="9237" w:type="dxa"/>
            <w:gridSpan w:val="2"/>
          </w:tcPr>
          <w:p w:rsidR="008269D0" w:rsidRDefault="00BE670B">
            <w:pPr>
              <w:pStyle w:val="TableParagraph"/>
              <w:spacing w:before="39"/>
              <w:ind w:left="38"/>
              <w:rPr>
                <w:b/>
                <w:sz w:val="24"/>
              </w:rPr>
            </w:pPr>
            <w:r>
              <w:rPr>
                <w:b/>
                <w:sz w:val="24"/>
              </w:rPr>
              <w:t>Metabolism</w:t>
            </w:r>
            <w:r>
              <w:rPr>
                <w:b/>
                <w:spacing w:val="-3"/>
                <w:sz w:val="24"/>
              </w:rPr>
              <w:t xml:space="preserve"> </w:t>
            </w:r>
            <w:r>
              <w:rPr>
                <w:b/>
                <w:sz w:val="24"/>
              </w:rPr>
              <w:t>and</w:t>
            </w:r>
            <w:r>
              <w:rPr>
                <w:b/>
                <w:spacing w:val="-2"/>
                <w:sz w:val="24"/>
              </w:rPr>
              <w:t xml:space="preserve"> </w:t>
            </w:r>
            <w:r>
              <w:rPr>
                <w:b/>
                <w:sz w:val="24"/>
              </w:rPr>
              <w:t>nutrition</w:t>
            </w:r>
            <w:r>
              <w:rPr>
                <w:b/>
                <w:spacing w:val="-3"/>
                <w:sz w:val="24"/>
              </w:rPr>
              <w:t xml:space="preserve"> </w:t>
            </w:r>
            <w:r>
              <w:rPr>
                <w:b/>
                <w:sz w:val="24"/>
              </w:rPr>
              <w:t>disorders</w:t>
            </w:r>
          </w:p>
        </w:tc>
      </w:tr>
      <w:tr w:rsidR="008269D0">
        <w:trPr>
          <w:trHeight w:val="371"/>
        </w:trPr>
        <w:tc>
          <w:tcPr>
            <w:tcW w:w="3397" w:type="dxa"/>
          </w:tcPr>
          <w:p w:rsidR="008269D0" w:rsidRDefault="00BE670B">
            <w:pPr>
              <w:pStyle w:val="TableParagraph"/>
              <w:spacing w:before="36"/>
              <w:ind w:left="38"/>
              <w:rPr>
                <w:sz w:val="24"/>
              </w:rPr>
            </w:pPr>
            <w:r>
              <w:rPr>
                <w:sz w:val="24"/>
              </w:rPr>
              <w:t>Uncommon:</w:t>
            </w:r>
          </w:p>
        </w:tc>
        <w:tc>
          <w:tcPr>
            <w:tcW w:w="5840" w:type="dxa"/>
          </w:tcPr>
          <w:p w:rsidR="008269D0" w:rsidRDefault="00BE670B">
            <w:pPr>
              <w:pStyle w:val="TableParagraph"/>
              <w:spacing w:before="36"/>
              <w:ind w:left="143"/>
              <w:rPr>
                <w:sz w:val="24"/>
              </w:rPr>
            </w:pPr>
            <w:r>
              <w:rPr>
                <w:sz w:val="24"/>
              </w:rPr>
              <w:t>Tumour</w:t>
            </w:r>
            <w:r>
              <w:rPr>
                <w:spacing w:val="-1"/>
                <w:sz w:val="24"/>
              </w:rPr>
              <w:t xml:space="preserve"> </w:t>
            </w:r>
            <w:r>
              <w:rPr>
                <w:sz w:val="24"/>
              </w:rPr>
              <w:t>lysis</w:t>
            </w:r>
            <w:r>
              <w:rPr>
                <w:spacing w:val="-1"/>
                <w:sz w:val="24"/>
              </w:rPr>
              <w:t xml:space="preserve"> </w:t>
            </w:r>
            <w:r>
              <w:rPr>
                <w:sz w:val="24"/>
              </w:rPr>
              <w:t>syndrome</w:t>
            </w:r>
          </w:p>
        </w:tc>
      </w:tr>
      <w:tr w:rsidR="008269D0">
        <w:trPr>
          <w:trHeight w:val="371"/>
        </w:trPr>
        <w:tc>
          <w:tcPr>
            <w:tcW w:w="9237" w:type="dxa"/>
            <w:gridSpan w:val="2"/>
          </w:tcPr>
          <w:p w:rsidR="008269D0" w:rsidRDefault="00BE670B">
            <w:pPr>
              <w:pStyle w:val="TableParagraph"/>
              <w:spacing w:before="38"/>
              <w:ind w:left="38"/>
              <w:rPr>
                <w:b/>
                <w:sz w:val="24"/>
              </w:rPr>
            </w:pPr>
            <w:r>
              <w:rPr>
                <w:b/>
                <w:sz w:val="24"/>
              </w:rPr>
              <w:t>Nervous</w:t>
            </w:r>
            <w:r>
              <w:rPr>
                <w:b/>
                <w:spacing w:val="-2"/>
                <w:sz w:val="24"/>
              </w:rPr>
              <w:t xml:space="preserve"> </w:t>
            </w:r>
            <w:r>
              <w:rPr>
                <w:b/>
                <w:sz w:val="24"/>
              </w:rPr>
              <w:t>system</w:t>
            </w:r>
            <w:r>
              <w:rPr>
                <w:b/>
                <w:spacing w:val="-1"/>
                <w:sz w:val="24"/>
              </w:rPr>
              <w:t xml:space="preserve"> </w:t>
            </w:r>
            <w:r>
              <w:rPr>
                <w:b/>
                <w:sz w:val="24"/>
              </w:rPr>
              <w:t>disorders</w:t>
            </w:r>
          </w:p>
        </w:tc>
      </w:tr>
      <w:tr w:rsidR="008269D0">
        <w:trPr>
          <w:trHeight w:val="372"/>
        </w:trPr>
        <w:tc>
          <w:tcPr>
            <w:tcW w:w="3397" w:type="dxa"/>
          </w:tcPr>
          <w:p w:rsidR="008269D0" w:rsidRDefault="00BE670B">
            <w:pPr>
              <w:pStyle w:val="TableParagraph"/>
              <w:spacing w:before="37"/>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spacing w:before="37"/>
              <w:ind w:left="143"/>
              <w:rPr>
                <w:sz w:val="24"/>
              </w:rPr>
            </w:pPr>
            <w:r>
              <w:rPr>
                <w:sz w:val="24"/>
              </w:rPr>
              <w:t>Headache</w:t>
            </w:r>
          </w:p>
        </w:tc>
      </w:tr>
      <w:tr w:rsidR="008269D0">
        <w:trPr>
          <w:trHeight w:val="371"/>
        </w:trPr>
        <w:tc>
          <w:tcPr>
            <w:tcW w:w="9237" w:type="dxa"/>
            <w:gridSpan w:val="2"/>
          </w:tcPr>
          <w:p w:rsidR="008269D0" w:rsidRDefault="00BE670B">
            <w:pPr>
              <w:pStyle w:val="TableParagraph"/>
              <w:spacing w:before="38"/>
              <w:ind w:left="38"/>
              <w:rPr>
                <w:b/>
                <w:sz w:val="24"/>
              </w:rPr>
            </w:pPr>
            <w:r>
              <w:rPr>
                <w:b/>
                <w:sz w:val="24"/>
              </w:rPr>
              <w:t>Skin</w:t>
            </w:r>
            <w:r>
              <w:rPr>
                <w:b/>
                <w:spacing w:val="-3"/>
                <w:sz w:val="24"/>
              </w:rPr>
              <w:t xml:space="preserve"> </w:t>
            </w:r>
            <w:r>
              <w:rPr>
                <w:b/>
                <w:sz w:val="24"/>
              </w:rPr>
              <w:t>and</w:t>
            </w:r>
            <w:r>
              <w:rPr>
                <w:b/>
                <w:spacing w:val="-2"/>
                <w:sz w:val="24"/>
              </w:rPr>
              <w:t xml:space="preserve"> </w:t>
            </w:r>
            <w:r>
              <w:rPr>
                <w:b/>
                <w:sz w:val="24"/>
              </w:rPr>
              <w:t>subcutaneous</w:t>
            </w:r>
            <w:r>
              <w:rPr>
                <w:b/>
                <w:spacing w:val="-2"/>
                <w:sz w:val="24"/>
              </w:rPr>
              <w:t xml:space="preserve"> </w:t>
            </w:r>
            <w:r>
              <w:rPr>
                <w:b/>
                <w:sz w:val="24"/>
              </w:rPr>
              <w:t>tissue</w:t>
            </w:r>
            <w:r>
              <w:rPr>
                <w:b/>
                <w:spacing w:val="-1"/>
                <w:sz w:val="24"/>
              </w:rPr>
              <w:t xml:space="preserve"> </w:t>
            </w:r>
            <w:r>
              <w:rPr>
                <w:b/>
                <w:sz w:val="24"/>
              </w:rPr>
              <w:t>disorders</w:t>
            </w:r>
          </w:p>
        </w:tc>
      </w:tr>
      <w:tr w:rsidR="008269D0">
        <w:trPr>
          <w:trHeight w:val="372"/>
        </w:trPr>
        <w:tc>
          <w:tcPr>
            <w:tcW w:w="3397" w:type="dxa"/>
          </w:tcPr>
          <w:p w:rsidR="008269D0" w:rsidRDefault="00BE670B">
            <w:pPr>
              <w:pStyle w:val="TableParagraph"/>
              <w:spacing w:before="36"/>
              <w:ind w:left="38"/>
              <w:rPr>
                <w:sz w:val="24"/>
              </w:rPr>
            </w:pPr>
            <w:r>
              <w:rPr>
                <w:sz w:val="24"/>
              </w:rPr>
              <w:t>Very</w:t>
            </w:r>
            <w:r>
              <w:rPr>
                <w:spacing w:val="-1"/>
                <w:sz w:val="24"/>
              </w:rPr>
              <w:t xml:space="preserve"> </w:t>
            </w:r>
            <w:r>
              <w:rPr>
                <w:sz w:val="24"/>
              </w:rPr>
              <w:t>common:</w:t>
            </w:r>
          </w:p>
        </w:tc>
        <w:tc>
          <w:tcPr>
            <w:tcW w:w="5840" w:type="dxa"/>
          </w:tcPr>
          <w:p w:rsidR="008269D0" w:rsidRDefault="00BE670B">
            <w:pPr>
              <w:pStyle w:val="TableParagraph"/>
              <w:spacing w:before="36"/>
              <w:ind w:left="143"/>
              <w:rPr>
                <w:sz w:val="24"/>
              </w:rPr>
            </w:pPr>
            <w:r>
              <w:rPr>
                <w:sz w:val="24"/>
              </w:rPr>
              <w:t>Drug</w:t>
            </w:r>
            <w:r>
              <w:rPr>
                <w:spacing w:val="-1"/>
                <w:sz w:val="24"/>
              </w:rPr>
              <w:t xml:space="preserve"> </w:t>
            </w:r>
            <w:r>
              <w:rPr>
                <w:sz w:val="24"/>
              </w:rPr>
              <w:t>eruption</w:t>
            </w:r>
            <w:r>
              <w:rPr>
                <w:spacing w:val="-1"/>
                <w:sz w:val="24"/>
              </w:rPr>
              <w:t xml:space="preserve"> </w:t>
            </w:r>
            <w:r>
              <w:rPr>
                <w:sz w:val="24"/>
              </w:rPr>
              <w:t>(including</w:t>
            </w:r>
            <w:r>
              <w:rPr>
                <w:spacing w:val="-1"/>
                <w:sz w:val="24"/>
              </w:rPr>
              <w:t xml:space="preserve"> </w:t>
            </w:r>
            <w:r>
              <w:rPr>
                <w:sz w:val="24"/>
              </w:rPr>
              <w:t>skin</w:t>
            </w:r>
            <w:r>
              <w:rPr>
                <w:spacing w:val="-1"/>
                <w:sz w:val="24"/>
              </w:rPr>
              <w:t xml:space="preserve"> </w:t>
            </w:r>
            <w:r>
              <w:rPr>
                <w:sz w:val="24"/>
              </w:rPr>
              <w:t>rash)</w:t>
            </w:r>
          </w:p>
        </w:tc>
      </w:tr>
    </w:tbl>
    <w:p w:rsidR="008269D0" w:rsidRDefault="00BE670B" w:rsidP="006C11DB">
      <w:pPr>
        <w:spacing w:before="101" w:after="240"/>
        <w:ind w:left="118" w:right="341"/>
        <w:rPr>
          <w:sz w:val="18"/>
        </w:rPr>
      </w:pPr>
      <w:r>
        <w:rPr>
          <w:position w:val="6"/>
          <w:sz w:val="12"/>
        </w:rPr>
        <w:t xml:space="preserve">a </w:t>
      </w:r>
      <w:r>
        <w:rPr>
          <w:sz w:val="18"/>
        </w:rPr>
        <w:t>Folliculitis, Cellulitis, Candidiasis, Pneumonia, Sepsis, Skin infection, Otitis externa, Herpes zoster, Staphylococcal skin</w:t>
      </w:r>
      <w:r>
        <w:rPr>
          <w:spacing w:val="-42"/>
          <w:sz w:val="18"/>
        </w:rPr>
        <w:t xml:space="preserve"> </w:t>
      </w:r>
      <w:r>
        <w:rPr>
          <w:sz w:val="18"/>
        </w:rPr>
        <w:t>infection,</w:t>
      </w:r>
      <w:r>
        <w:rPr>
          <w:spacing w:val="-2"/>
          <w:sz w:val="18"/>
        </w:rPr>
        <w:t xml:space="preserve"> </w:t>
      </w:r>
      <w:r>
        <w:rPr>
          <w:sz w:val="18"/>
        </w:rPr>
        <w:t>Urinary tract</w:t>
      </w:r>
      <w:r>
        <w:rPr>
          <w:spacing w:val="-1"/>
          <w:sz w:val="18"/>
        </w:rPr>
        <w:t xml:space="preserve"> </w:t>
      </w:r>
      <w:r>
        <w:rPr>
          <w:sz w:val="18"/>
        </w:rPr>
        <w:t>infection,</w:t>
      </w:r>
      <w:r>
        <w:rPr>
          <w:spacing w:val="-1"/>
          <w:sz w:val="18"/>
        </w:rPr>
        <w:t xml:space="preserve"> </w:t>
      </w:r>
      <w:r>
        <w:rPr>
          <w:sz w:val="18"/>
        </w:rPr>
        <w:t>Herpes simplex</w:t>
      </w:r>
      <w:r>
        <w:rPr>
          <w:spacing w:val="-2"/>
          <w:sz w:val="18"/>
        </w:rPr>
        <w:t xml:space="preserve"> </w:t>
      </w:r>
      <w:r>
        <w:rPr>
          <w:sz w:val="18"/>
        </w:rPr>
        <w:t>and</w:t>
      </w:r>
      <w:r>
        <w:rPr>
          <w:spacing w:val="-1"/>
          <w:sz w:val="18"/>
        </w:rPr>
        <w:t xml:space="preserve"> </w:t>
      </w:r>
      <w:r>
        <w:rPr>
          <w:sz w:val="18"/>
        </w:rPr>
        <w:t>cytomegalovirus</w:t>
      </w:r>
    </w:p>
    <w:p w:rsidR="008269D0" w:rsidRDefault="00BE670B" w:rsidP="006C11DB">
      <w:pPr>
        <w:pStyle w:val="BodyText"/>
        <w:spacing w:before="150" w:after="240"/>
        <w:ind w:right="198"/>
      </w:pPr>
      <w:r>
        <w:t>The most common adverse reactions (reported in ≥10% and having a ≥2% higher incidence with</w:t>
      </w:r>
      <w:r>
        <w:rPr>
          <w:spacing w:val="-57"/>
        </w:rPr>
        <w:t xml:space="preserve"> </w:t>
      </w:r>
      <w:r>
        <w:t>POTELIGEO</w:t>
      </w:r>
      <w:r>
        <w:rPr>
          <w:spacing w:val="-2"/>
        </w:rPr>
        <w:t xml:space="preserve"> </w:t>
      </w:r>
      <w:r>
        <w:t>than with</w:t>
      </w:r>
      <w:r>
        <w:rPr>
          <w:spacing w:val="-2"/>
        </w:rPr>
        <w:t xml:space="preserve"> </w:t>
      </w:r>
      <w:r>
        <w:t>vorinostat</w:t>
      </w:r>
      <w:r>
        <w:rPr>
          <w:spacing w:val="-2"/>
        </w:rPr>
        <w:t xml:space="preserve"> </w:t>
      </w:r>
      <w:r>
        <w:t>in</w:t>
      </w:r>
      <w:r>
        <w:rPr>
          <w:spacing w:val="-2"/>
        </w:rPr>
        <w:t xml:space="preserve"> </w:t>
      </w:r>
      <w:r>
        <w:t>Study 0761-010) are</w:t>
      </w:r>
      <w:r>
        <w:rPr>
          <w:spacing w:val="-1"/>
        </w:rPr>
        <w:t xml:space="preserve"> </w:t>
      </w:r>
      <w:r>
        <w:t>listed in Table</w:t>
      </w:r>
      <w:r>
        <w:rPr>
          <w:spacing w:val="-1"/>
        </w:rPr>
        <w:t xml:space="preserve"> </w:t>
      </w:r>
      <w:r>
        <w:t>2.</w:t>
      </w:r>
    </w:p>
    <w:p w:rsidR="008269D0" w:rsidRDefault="00BE670B">
      <w:pPr>
        <w:pStyle w:val="Heading2"/>
        <w:ind w:left="1110" w:hanging="993"/>
      </w:pPr>
      <w:r>
        <w:t>Table</w:t>
      </w:r>
      <w:r>
        <w:rPr>
          <w:spacing w:val="-2"/>
        </w:rPr>
        <w:t xml:space="preserve"> </w:t>
      </w:r>
      <w:r>
        <w:t>2:</w:t>
      </w:r>
      <w:r>
        <w:rPr>
          <w:spacing w:val="22"/>
        </w:rPr>
        <w:t xml:space="preserve"> </w:t>
      </w:r>
      <w:r>
        <w:t>Common</w:t>
      </w:r>
      <w:r>
        <w:rPr>
          <w:spacing w:val="-2"/>
        </w:rPr>
        <w:t xml:space="preserve"> </w:t>
      </w:r>
      <w:r>
        <w:t>Adverse</w:t>
      </w:r>
      <w:r>
        <w:rPr>
          <w:spacing w:val="-2"/>
        </w:rPr>
        <w:t xml:space="preserve"> </w:t>
      </w:r>
      <w:r>
        <w:t>Reactions</w:t>
      </w:r>
      <w:r>
        <w:rPr>
          <w:spacing w:val="-1"/>
        </w:rPr>
        <w:t xml:space="preserve"> </w:t>
      </w:r>
      <w:r>
        <w:t>(≥10%)</w:t>
      </w:r>
      <w:r>
        <w:rPr>
          <w:spacing w:val="-1"/>
        </w:rPr>
        <w:t xml:space="preserve"> </w:t>
      </w:r>
      <w:r>
        <w:t>with</w:t>
      </w:r>
      <w:r>
        <w:rPr>
          <w:spacing w:val="-2"/>
        </w:rPr>
        <w:t xml:space="preserve"> </w:t>
      </w:r>
      <w:r>
        <w:t>≥2%</w:t>
      </w:r>
      <w:r>
        <w:rPr>
          <w:spacing w:val="-4"/>
        </w:rPr>
        <w:t xml:space="preserve"> </w:t>
      </w:r>
      <w:r>
        <w:t>Higher</w:t>
      </w:r>
      <w:r>
        <w:rPr>
          <w:spacing w:val="-1"/>
        </w:rPr>
        <w:t xml:space="preserve"> </w:t>
      </w:r>
      <w:r>
        <w:t>Incidence</w:t>
      </w:r>
      <w:r>
        <w:rPr>
          <w:spacing w:val="-2"/>
        </w:rPr>
        <w:t xml:space="preserve"> </w:t>
      </w:r>
      <w:r>
        <w:t>in</w:t>
      </w:r>
      <w:r>
        <w:rPr>
          <w:spacing w:val="-3"/>
        </w:rPr>
        <w:t xml:space="preserve"> </w:t>
      </w:r>
      <w:r>
        <w:t>the</w:t>
      </w:r>
      <w:r>
        <w:rPr>
          <w:spacing w:val="-57"/>
        </w:rPr>
        <w:t xml:space="preserve"> </w:t>
      </w:r>
      <w:r>
        <w:t>POTELIGEO</w:t>
      </w:r>
      <w:r>
        <w:rPr>
          <w:spacing w:val="-1"/>
        </w:rPr>
        <w:t xml:space="preserve"> </w:t>
      </w:r>
      <w:r>
        <w:t>Arm (Study 0761-010)</w:t>
      </w:r>
    </w:p>
    <w:p w:rsidR="008269D0" w:rsidRDefault="008269D0">
      <w:pPr>
        <w:pStyle w:val="BodyText"/>
        <w:spacing w:before="4" w:after="1"/>
        <w:ind w:left="0"/>
        <w:rPr>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1521"/>
        <w:gridCol w:w="1448"/>
        <w:gridCol w:w="1573"/>
        <w:gridCol w:w="1496"/>
      </w:tblGrid>
      <w:tr w:rsidR="008269D0">
        <w:trPr>
          <w:trHeight w:val="648"/>
        </w:trPr>
        <w:tc>
          <w:tcPr>
            <w:tcW w:w="3341" w:type="dxa"/>
            <w:vMerge w:val="restart"/>
          </w:tcPr>
          <w:p w:rsidR="008269D0" w:rsidRDefault="00BE670B">
            <w:pPr>
              <w:pStyle w:val="TableParagraph"/>
              <w:spacing w:before="49" w:line="280" w:lineRule="auto"/>
              <w:ind w:left="694" w:right="676" w:firstLine="24"/>
              <w:rPr>
                <w:b/>
                <w:sz w:val="24"/>
              </w:rPr>
            </w:pPr>
            <w:r>
              <w:rPr>
                <w:b/>
                <w:sz w:val="24"/>
              </w:rPr>
              <w:t>Adverse Reactions</w:t>
            </w:r>
            <w:r>
              <w:rPr>
                <w:b/>
                <w:spacing w:val="-57"/>
                <w:sz w:val="24"/>
              </w:rPr>
              <w:t xml:space="preserve"> </w:t>
            </w:r>
            <w:r>
              <w:rPr>
                <w:b/>
                <w:spacing w:val="-1"/>
                <w:sz w:val="24"/>
              </w:rPr>
              <w:t>by Body</w:t>
            </w:r>
            <w:r>
              <w:rPr>
                <w:b/>
                <w:sz w:val="24"/>
              </w:rPr>
              <w:t xml:space="preserve"> System</w:t>
            </w:r>
            <w:r>
              <w:rPr>
                <w:b/>
                <w:spacing w:val="-1"/>
                <w:sz w:val="24"/>
              </w:rPr>
              <w:t xml:space="preserve"> </w:t>
            </w:r>
            <w:r>
              <w:rPr>
                <w:b/>
                <w:sz w:val="24"/>
                <w:vertAlign w:val="superscript"/>
              </w:rPr>
              <w:t>a,</w:t>
            </w:r>
            <w:r>
              <w:rPr>
                <w:b/>
                <w:spacing w:val="-21"/>
                <w:sz w:val="24"/>
              </w:rPr>
              <w:t xml:space="preserve"> </w:t>
            </w:r>
            <w:r>
              <w:rPr>
                <w:b/>
                <w:sz w:val="24"/>
                <w:vertAlign w:val="superscript"/>
              </w:rPr>
              <w:t>b</w:t>
            </w:r>
          </w:p>
        </w:tc>
        <w:tc>
          <w:tcPr>
            <w:tcW w:w="2969" w:type="dxa"/>
            <w:gridSpan w:val="2"/>
          </w:tcPr>
          <w:p w:rsidR="008269D0" w:rsidRDefault="00BE670B">
            <w:pPr>
              <w:pStyle w:val="TableParagraph"/>
              <w:spacing w:before="49"/>
              <w:ind w:left="1065" w:right="747" w:hanging="305"/>
              <w:rPr>
                <w:b/>
                <w:sz w:val="24"/>
              </w:rPr>
            </w:pPr>
            <w:r>
              <w:rPr>
                <w:b/>
                <w:spacing w:val="-1"/>
                <w:sz w:val="24"/>
              </w:rPr>
              <w:t>POTELIGEO</w:t>
            </w:r>
            <w:r>
              <w:rPr>
                <w:b/>
                <w:spacing w:val="-57"/>
                <w:sz w:val="24"/>
              </w:rPr>
              <w:t xml:space="preserve"> </w:t>
            </w:r>
            <w:r>
              <w:rPr>
                <w:b/>
                <w:sz w:val="24"/>
              </w:rPr>
              <w:t>(N=184)</w:t>
            </w:r>
          </w:p>
        </w:tc>
        <w:tc>
          <w:tcPr>
            <w:tcW w:w="3069" w:type="dxa"/>
            <w:gridSpan w:val="2"/>
          </w:tcPr>
          <w:p w:rsidR="008269D0" w:rsidRDefault="00BE670B">
            <w:pPr>
              <w:pStyle w:val="TableParagraph"/>
              <w:spacing w:before="49"/>
              <w:ind w:left="1115" w:right="962" w:hanging="132"/>
              <w:rPr>
                <w:b/>
                <w:sz w:val="24"/>
              </w:rPr>
            </w:pPr>
            <w:r>
              <w:rPr>
                <w:b/>
                <w:sz w:val="24"/>
              </w:rPr>
              <w:t>Vorinostat</w:t>
            </w:r>
            <w:r>
              <w:rPr>
                <w:b/>
                <w:spacing w:val="-57"/>
                <w:sz w:val="24"/>
              </w:rPr>
              <w:t xml:space="preserve"> </w:t>
            </w:r>
            <w:r>
              <w:rPr>
                <w:b/>
                <w:sz w:val="24"/>
              </w:rPr>
              <w:t>(N=186)</w:t>
            </w:r>
          </w:p>
        </w:tc>
      </w:tr>
      <w:tr w:rsidR="008269D0">
        <w:trPr>
          <w:trHeight w:val="695"/>
        </w:trPr>
        <w:tc>
          <w:tcPr>
            <w:tcW w:w="3341" w:type="dxa"/>
            <w:vMerge/>
            <w:tcBorders>
              <w:top w:val="nil"/>
            </w:tcBorders>
          </w:tcPr>
          <w:p w:rsidR="008269D0" w:rsidRDefault="008269D0">
            <w:pPr>
              <w:rPr>
                <w:sz w:val="2"/>
                <w:szCs w:val="2"/>
              </w:rPr>
            </w:pPr>
          </w:p>
        </w:tc>
        <w:tc>
          <w:tcPr>
            <w:tcW w:w="1521" w:type="dxa"/>
          </w:tcPr>
          <w:p w:rsidR="008269D0" w:rsidRDefault="00BE670B">
            <w:pPr>
              <w:pStyle w:val="TableParagraph"/>
              <w:spacing w:before="4" w:line="320" w:lineRule="atLeast"/>
              <w:ind w:left="557" w:right="178" w:hanging="358"/>
              <w:rPr>
                <w:b/>
                <w:sz w:val="24"/>
              </w:rPr>
            </w:pPr>
            <w:r>
              <w:rPr>
                <w:b/>
                <w:sz w:val="24"/>
              </w:rPr>
              <w:t>All Grades</w:t>
            </w:r>
            <w:r>
              <w:rPr>
                <w:b/>
                <w:spacing w:val="-57"/>
                <w:sz w:val="24"/>
              </w:rPr>
              <w:t xml:space="preserve"> </w:t>
            </w:r>
            <w:r>
              <w:rPr>
                <w:b/>
                <w:sz w:val="24"/>
              </w:rPr>
              <w:t>(%)</w:t>
            </w:r>
          </w:p>
        </w:tc>
        <w:tc>
          <w:tcPr>
            <w:tcW w:w="1448" w:type="dxa"/>
          </w:tcPr>
          <w:p w:rsidR="008269D0" w:rsidRDefault="00BE670B">
            <w:pPr>
              <w:pStyle w:val="TableParagraph"/>
              <w:spacing w:before="4" w:line="320" w:lineRule="atLeast"/>
              <w:ind w:left="522" w:right="213" w:hanging="282"/>
              <w:rPr>
                <w:b/>
                <w:sz w:val="24"/>
              </w:rPr>
            </w:pPr>
            <w:r>
              <w:rPr>
                <w:b/>
                <w:sz w:val="24"/>
              </w:rPr>
              <w:t>≥Grade 3</w:t>
            </w:r>
            <w:r>
              <w:rPr>
                <w:b/>
                <w:spacing w:val="-57"/>
                <w:sz w:val="24"/>
              </w:rPr>
              <w:t xml:space="preserve"> </w:t>
            </w:r>
            <w:r>
              <w:rPr>
                <w:b/>
                <w:sz w:val="24"/>
              </w:rPr>
              <w:t>(%)</w:t>
            </w:r>
          </w:p>
        </w:tc>
        <w:tc>
          <w:tcPr>
            <w:tcW w:w="1573" w:type="dxa"/>
          </w:tcPr>
          <w:p w:rsidR="008269D0" w:rsidRDefault="00BE670B">
            <w:pPr>
              <w:pStyle w:val="TableParagraph"/>
              <w:spacing w:before="4" w:line="320" w:lineRule="atLeast"/>
              <w:ind w:left="582" w:right="204" w:hanging="357"/>
              <w:rPr>
                <w:b/>
                <w:sz w:val="24"/>
              </w:rPr>
            </w:pPr>
            <w:r>
              <w:rPr>
                <w:b/>
                <w:sz w:val="24"/>
              </w:rPr>
              <w:t>All Grades</w:t>
            </w:r>
            <w:r>
              <w:rPr>
                <w:b/>
                <w:spacing w:val="-57"/>
                <w:sz w:val="24"/>
              </w:rPr>
              <w:t xml:space="preserve"> </w:t>
            </w:r>
            <w:r>
              <w:rPr>
                <w:b/>
                <w:sz w:val="24"/>
              </w:rPr>
              <w:t>(%)</w:t>
            </w:r>
          </w:p>
        </w:tc>
        <w:tc>
          <w:tcPr>
            <w:tcW w:w="1496" w:type="dxa"/>
          </w:tcPr>
          <w:p w:rsidR="008269D0" w:rsidRDefault="00BE670B">
            <w:pPr>
              <w:pStyle w:val="TableParagraph"/>
              <w:spacing w:before="4" w:line="320" w:lineRule="atLeast"/>
              <w:ind w:left="543" w:right="240" w:hanging="282"/>
              <w:rPr>
                <w:b/>
                <w:sz w:val="24"/>
              </w:rPr>
            </w:pPr>
            <w:r>
              <w:rPr>
                <w:b/>
                <w:sz w:val="24"/>
              </w:rPr>
              <w:t>≥Grade 3</w:t>
            </w:r>
            <w:r>
              <w:rPr>
                <w:b/>
                <w:spacing w:val="-57"/>
                <w:sz w:val="24"/>
              </w:rPr>
              <w:t xml:space="preserve"> </w:t>
            </w:r>
            <w:r>
              <w:rPr>
                <w:b/>
                <w:sz w:val="24"/>
              </w:rPr>
              <w:t>(%)</w:t>
            </w:r>
          </w:p>
        </w:tc>
      </w:tr>
      <w:tr w:rsidR="008269D0">
        <w:trPr>
          <w:trHeight w:val="371"/>
        </w:trPr>
        <w:tc>
          <w:tcPr>
            <w:tcW w:w="9379" w:type="dxa"/>
            <w:gridSpan w:val="5"/>
          </w:tcPr>
          <w:p w:rsidR="008269D0" w:rsidRDefault="00BE670B">
            <w:pPr>
              <w:pStyle w:val="TableParagraph"/>
              <w:spacing w:before="48"/>
              <w:ind w:left="71"/>
              <w:rPr>
                <w:b/>
                <w:sz w:val="24"/>
              </w:rPr>
            </w:pPr>
            <w:r>
              <w:rPr>
                <w:b/>
                <w:sz w:val="24"/>
              </w:rPr>
              <w:t>Skin</w:t>
            </w:r>
            <w:r>
              <w:rPr>
                <w:b/>
                <w:spacing w:val="-3"/>
                <w:sz w:val="24"/>
              </w:rPr>
              <w:t xml:space="preserve"> </w:t>
            </w:r>
            <w:r>
              <w:rPr>
                <w:b/>
                <w:sz w:val="24"/>
              </w:rPr>
              <w:t>and</w:t>
            </w:r>
            <w:r>
              <w:rPr>
                <w:b/>
                <w:spacing w:val="-3"/>
                <w:sz w:val="24"/>
              </w:rPr>
              <w:t xml:space="preserve"> </w:t>
            </w:r>
            <w:r>
              <w:rPr>
                <w:b/>
                <w:sz w:val="24"/>
              </w:rPr>
              <w:t>Subcutaneous</w:t>
            </w:r>
            <w:r>
              <w:rPr>
                <w:b/>
                <w:spacing w:val="-2"/>
                <w:sz w:val="24"/>
              </w:rPr>
              <w:t xml:space="preserve"> </w:t>
            </w:r>
            <w:r>
              <w:rPr>
                <w:b/>
                <w:sz w:val="24"/>
              </w:rPr>
              <w:t>Tissue</w:t>
            </w:r>
            <w:r>
              <w:rPr>
                <w:b/>
                <w:spacing w:val="-1"/>
                <w:sz w:val="24"/>
              </w:rPr>
              <w:t xml:space="preserve"> </w:t>
            </w:r>
            <w:r>
              <w:rPr>
                <w:b/>
                <w:sz w:val="24"/>
              </w:rPr>
              <w:t>Disorders</w:t>
            </w:r>
          </w:p>
        </w:tc>
      </w:tr>
      <w:tr w:rsidR="008269D0">
        <w:trPr>
          <w:trHeight w:val="372"/>
        </w:trPr>
        <w:tc>
          <w:tcPr>
            <w:tcW w:w="3341" w:type="dxa"/>
          </w:tcPr>
          <w:p w:rsidR="008269D0" w:rsidRDefault="00BE670B">
            <w:pPr>
              <w:pStyle w:val="TableParagraph"/>
              <w:spacing w:before="47"/>
              <w:ind w:left="71"/>
              <w:rPr>
                <w:sz w:val="24"/>
              </w:rPr>
            </w:pPr>
            <w:r>
              <w:rPr>
                <w:sz w:val="24"/>
              </w:rPr>
              <w:t>Rash,</w:t>
            </w:r>
            <w:r>
              <w:rPr>
                <w:spacing w:val="-1"/>
                <w:sz w:val="24"/>
              </w:rPr>
              <w:t xml:space="preserve"> </w:t>
            </w:r>
            <w:r>
              <w:rPr>
                <w:sz w:val="24"/>
              </w:rPr>
              <w:t>Including</w:t>
            </w:r>
            <w:r>
              <w:rPr>
                <w:spacing w:val="-1"/>
                <w:sz w:val="24"/>
              </w:rPr>
              <w:t xml:space="preserve"> </w:t>
            </w:r>
            <w:r>
              <w:rPr>
                <w:sz w:val="24"/>
              </w:rPr>
              <w:t>Drug</w:t>
            </w:r>
            <w:r>
              <w:rPr>
                <w:spacing w:val="-1"/>
                <w:sz w:val="24"/>
              </w:rPr>
              <w:t xml:space="preserve"> </w:t>
            </w:r>
            <w:r>
              <w:rPr>
                <w:sz w:val="24"/>
              </w:rPr>
              <w:t>Eruption</w:t>
            </w:r>
          </w:p>
        </w:tc>
        <w:tc>
          <w:tcPr>
            <w:tcW w:w="1521" w:type="dxa"/>
          </w:tcPr>
          <w:p w:rsidR="008269D0" w:rsidRDefault="00BE670B">
            <w:pPr>
              <w:pStyle w:val="TableParagraph"/>
              <w:spacing w:before="47"/>
              <w:ind w:left="103"/>
              <w:rPr>
                <w:sz w:val="24"/>
              </w:rPr>
            </w:pPr>
            <w:r>
              <w:rPr>
                <w:sz w:val="24"/>
              </w:rPr>
              <w:t>35</w:t>
            </w:r>
          </w:p>
        </w:tc>
        <w:tc>
          <w:tcPr>
            <w:tcW w:w="1448" w:type="dxa"/>
          </w:tcPr>
          <w:p w:rsidR="008269D0" w:rsidRDefault="00BE670B">
            <w:pPr>
              <w:pStyle w:val="TableParagraph"/>
              <w:spacing w:before="47"/>
              <w:ind w:left="106"/>
              <w:rPr>
                <w:sz w:val="24"/>
              </w:rPr>
            </w:pPr>
            <w:r>
              <w:rPr>
                <w:sz w:val="24"/>
              </w:rPr>
              <w:t>5</w:t>
            </w:r>
          </w:p>
        </w:tc>
        <w:tc>
          <w:tcPr>
            <w:tcW w:w="1573" w:type="dxa"/>
          </w:tcPr>
          <w:p w:rsidR="008269D0" w:rsidRDefault="00BE670B">
            <w:pPr>
              <w:pStyle w:val="TableParagraph"/>
              <w:spacing w:before="47"/>
              <w:ind w:left="104"/>
              <w:rPr>
                <w:sz w:val="24"/>
              </w:rPr>
            </w:pPr>
            <w:r>
              <w:rPr>
                <w:sz w:val="24"/>
              </w:rPr>
              <w:t>11</w:t>
            </w:r>
          </w:p>
        </w:tc>
        <w:tc>
          <w:tcPr>
            <w:tcW w:w="1496" w:type="dxa"/>
          </w:tcPr>
          <w:p w:rsidR="008269D0" w:rsidRDefault="00BE670B">
            <w:pPr>
              <w:pStyle w:val="TableParagraph"/>
              <w:spacing w:before="47"/>
              <w:ind w:left="103"/>
              <w:rPr>
                <w:sz w:val="24"/>
              </w:rPr>
            </w:pPr>
            <w:r>
              <w:rPr>
                <w:sz w:val="24"/>
              </w:rPr>
              <w:t>2</w:t>
            </w:r>
          </w:p>
        </w:tc>
      </w:tr>
      <w:tr w:rsidR="008269D0">
        <w:trPr>
          <w:trHeight w:val="371"/>
        </w:trPr>
        <w:tc>
          <w:tcPr>
            <w:tcW w:w="3341" w:type="dxa"/>
          </w:tcPr>
          <w:p w:rsidR="008269D0" w:rsidRDefault="00BE670B">
            <w:pPr>
              <w:pStyle w:val="TableParagraph"/>
              <w:ind w:left="71"/>
              <w:rPr>
                <w:sz w:val="24"/>
              </w:rPr>
            </w:pPr>
            <w:r>
              <w:rPr>
                <w:sz w:val="24"/>
              </w:rPr>
              <w:t>Drug</w:t>
            </w:r>
            <w:r>
              <w:rPr>
                <w:spacing w:val="-1"/>
                <w:sz w:val="24"/>
              </w:rPr>
              <w:t xml:space="preserve"> </w:t>
            </w:r>
            <w:r>
              <w:rPr>
                <w:sz w:val="24"/>
              </w:rPr>
              <w:t>Eruption</w:t>
            </w:r>
          </w:p>
        </w:tc>
        <w:tc>
          <w:tcPr>
            <w:tcW w:w="1521" w:type="dxa"/>
          </w:tcPr>
          <w:p w:rsidR="008269D0" w:rsidRDefault="00BE670B">
            <w:pPr>
              <w:pStyle w:val="TableParagraph"/>
              <w:ind w:left="103"/>
              <w:rPr>
                <w:sz w:val="24"/>
              </w:rPr>
            </w:pPr>
            <w:r>
              <w:rPr>
                <w:sz w:val="24"/>
              </w:rPr>
              <w:t>24</w:t>
            </w:r>
          </w:p>
        </w:tc>
        <w:tc>
          <w:tcPr>
            <w:tcW w:w="1448" w:type="dxa"/>
          </w:tcPr>
          <w:p w:rsidR="008269D0" w:rsidRDefault="00BE670B">
            <w:pPr>
              <w:pStyle w:val="TableParagraph"/>
              <w:ind w:left="106"/>
              <w:rPr>
                <w:sz w:val="24"/>
              </w:rPr>
            </w:pPr>
            <w:r>
              <w:rPr>
                <w:sz w:val="24"/>
              </w:rPr>
              <w:t>5</w:t>
            </w:r>
          </w:p>
        </w:tc>
        <w:tc>
          <w:tcPr>
            <w:tcW w:w="1573" w:type="dxa"/>
          </w:tcPr>
          <w:p w:rsidR="008269D0" w:rsidRDefault="00BE670B">
            <w:pPr>
              <w:pStyle w:val="TableParagraph"/>
              <w:ind w:left="104"/>
              <w:rPr>
                <w:sz w:val="24"/>
              </w:rPr>
            </w:pPr>
            <w:r>
              <w:rPr>
                <w:sz w:val="24"/>
              </w:rPr>
              <w:t>&lt;1</w:t>
            </w:r>
          </w:p>
        </w:tc>
        <w:tc>
          <w:tcPr>
            <w:tcW w:w="1496" w:type="dxa"/>
          </w:tcPr>
          <w:p w:rsidR="008269D0" w:rsidRDefault="00BE670B">
            <w:pPr>
              <w:pStyle w:val="TableParagraph"/>
              <w:ind w:left="103"/>
              <w:rPr>
                <w:sz w:val="24"/>
              </w:rPr>
            </w:pPr>
            <w:r>
              <w:rPr>
                <w:sz w:val="24"/>
              </w:rPr>
              <w:t>0</w:t>
            </w:r>
          </w:p>
        </w:tc>
      </w:tr>
      <w:tr w:rsidR="008269D0">
        <w:trPr>
          <w:trHeight w:val="371"/>
        </w:trPr>
        <w:tc>
          <w:tcPr>
            <w:tcW w:w="9379" w:type="dxa"/>
            <w:gridSpan w:val="5"/>
          </w:tcPr>
          <w:p w:rsidR="008269D0" w:rsidRDefault="00BE670B">
            <w:pPr>
              <w:pStyle w:val="TableParagraph"/>
              <w:spacing w:before="48"/>
              <w:ind w:left="71"/>
              <w:rPr>
                <w:b/>
                <w:sz w:val="24"/>
              </w:rPr>
            </w:pPr>
            <w:r>
              <w:rPr>
                <w:b/>
                <w:sz w:val="24"/>
              </w:rPr>
              <w:t>Procedural</w:t>
            </w:r>
            <w:r>
              <w:rPr>
                <w:b/>
                <w:spacing w:val="-3"/>
                <w:sz w:val="24"/>
              </w:rPr>
              <w:t xml:space="preserve"> </w:t>
            </w:r>
            <w:r>
              <w:rPr>
                <w:b/>
                <w:sz w:val="24"/>
              </w:rPr>
              <w:t>Complications</w:t>
            </w:r>
          </w:p>
        </w:tc>
      </w:tr>
      <w:tr w:rsidR="008269D0">
        <w:trPr>
          <w:trHeight w:val="372"/>
        </w:trPr>
        <w:tc>
          <w:tcPr>
            <w:tcW w:w="3341" w:type="dxa"/>
          </w:tcPr>
          <w:p w:rsidR="008269D0" w:rsidRDefault="00BE670B">
            <w:pPr>
              <w:pStyle w:val="TableParagraph"/>
              <w:spacing w:before="47"/>
              <w:ind w:left="71"/>
              <w:rPr>
                <w:sz w:val="24"/>
              </w:rPr>
            </w:pPr>
            <w:r>
              <w:rPr>
                <w:sz w:val="24"/>
              </w:rPr>
              <w:t>Infusion</w:t>
            </w:r>
            <w:r>
              <w:rPr>
                <w:spacing w:val="-2"/>
                <w:sz w:val="24"/>
              </w:rPr>
              <w:t xml:space="preserve"> </w:t>
            </w:r>
            <w:r>
              <w:rPr>
                <w:sz w:val="24"/>
              </w:rPr>
              <w:t>Related</w:t>
            </w:r>
            <w:r>
              <w:rPr>
                <w:spacing w:val="-1"/>
                <w:sz w:val="24"/>
              </w:rPr>
              <w:t xml:space="preserve"> </w:t>
            </w:r>
            <w:r>
              <w:rPr>
                <w:sz w:val="24"/>
              </w:rPr>
              <w:t>Reaction</w:t>
            </w:r>
          </w:p>
        </w:tc>
        <w:tc>
          <w:tcPr>
            <w:tcW w:w="1521" w:type="dxa"/>
          </w:tcPr>
          <w:p w:rsidR="008269D0" w:rsidRDefault="00BE670B">
            <w:pPr>
              <w:pStyle w:val="TableParagraph"/>
              <w:spacing w:before="47"/>
              <w:ind w:left="103"/>
              <w:rPr>
                <w:sz w:val="24"/>
              </w:rPr>
            </w:pPr>
            <w:r>
              <w:rPr>
                <w:sz w:val="24"/>
              </w:rPr>
              <w:t>33</w:t>
            </w:r>
          </w:p>
        </w:tc>
        <w:tc>
          <w:tcPr>
            <w:tcW w:w="1448" w:type="dxa"/>
          </w:tcPr>
          <w:p w:rsidR="008269D0" w:rsidRDefault="00BE670B">
            <w:pPr>
              <w:pStyle w:val="TableParagraph"/>
              <w:spacing w:before="47"/>
              <w:ind w:left="106"/>
              <w:rPr>
                <w:sz w:val="24"/>
              </w:rPr>
            </w:pPr>
            <w:r>
              <w:rPr>
                <w:sz w:val="24"/>
              </w:rPr>
              <w:t>2</w:t>
            </w:r>
          </w:p>
        </w:tc>
        <w:tc>
          <w:tcPr>
            <w:tcW w:w="1573" w:type="dxa"/>
          </w:tcPr>
          <w:p w:rsidR="008269D0" w:rsidRDefault="00BE670B">
            <w:pPr>
              <w:pStyle w:val="TableParagraph"/>
              <w:spacing w:before="47"/>
              <w:ind w:left="104"/>
              <w:rPr>
                <w:sz w:val="24"/>
              </w:rPr>
            </w:pPr>
            <w:r>
              <w:rPr>
                <w:sz w:val="24"/>
              </w:rPr>
              <w:t>0</w:t>
            </w:r>
          </w:p>
        </w:tc>
        <w:tc>
          <w:tcPr>
            <w:tcW w:w="1496" w:type="dxa"/>
          </w:tcPr>
          <w:p w:rsidR="008269D0" w:rsidRDefault="00BE670B">
            <w:pPr>
              <w:pStyle w:val="TableParagraph"/>
              <w:spacing w:before="47"/>
              <w:ind w:left="103"/>
              <w:rPr>
                <w:sz w:val="24"/>
              </w:rPr>
            </w:pPr>
            <w:r>
              <w:rPr>
                <w:sz w:val="24"/>
              </w:rPr>
              <w:t>0</w:t>
            </w:r>
          </w:p>
        </w:tc>
      </w:tr>
      <w:tr w:rsidR="008269D0">
        <w:trPr>
          <w:trHeight w:val="371"/>
        </w:trPr>
        <w:tc>
          <w:tcPr>
            <w:tcW w:w="9379" w:type="dxa"/>
            <w:gridSpan w:val="5"/>
          </w:tcPr>
          <w:p w:rsidR="008269D0" w:rsidRDefault="00BE670B">
            <w:pPr>
              <w:pStyle w:val="TableParagraph"/>
              <w:spacing w:before="48"/>
              <w:ind w:left="71"/>
              <w:rPr>
                <w:b/>
                <w:sz w:val="24"/>
              </w:rPr>
            </w:pPr>
            <w:r>
              <w:rPr>
                <w:b/>
                <w:sz w:val="24"/>
              </w:rPr>
              <w:t>Infections</w:t>
            </w:r>
          </w:p>
        </w:tc>
      </w:tr>
      <w:tr w:rsidR="008269D0">
        <w:trPr>
          <w:trHeight w:val="647"/>
        </w:trPr>
        <w:tc>
          <w:tcPr>
            <w:tcW w:w="3341" w:type="dxa"/>
          </w:tcPr>
          <w:p w:rsidR="008269D0" w:rsidRDefault="00BE670B">
            <w:pPr>
              <w:pStyle w:val="TableParagraph"/>
              <w:ind w:left="71" w:right="894"/>
              <w:rPr>
                <w:sz w:val="24"/>
              </w:rPr>
            </w:pPr>
            <w:r>
              <w:rPr>
                <w:sz w:val="24"/>
              </w:rPr>
              <w:t>Upper Respiratory Tract</w:t>
            </w:r>
            <w:r>
              <w:rPr>
                <w:spacing w:val="-57"/>
                <w:sz w:val="24"/>
              </w:rPr>
              <w:t xml:space="preserve"> </w:t>
            </w:r>
            <w:r>
              <w:rPr>
                <w:sz w:val="24"/>
              </w:rPr>
              <w:t>Infection</w:t>
            </w:r>
          </w:p>
        </w:tc>
        <w:tc>
          <w:tcPr>
            <w:tcW w:w="1521" w:type="dxa"/>
          </w:tcPr>
          <w:p w:rsidR="008269D0" w:rsidRDefault="00BE670B">
            <w:pPr>
              <w:pStyle w:val="TableParagraph"/>
              <w:ind w:left="104"/>
              <w:rPr>
                <w:sz w:val="24"/>
              </w:rPr>
            </w:pPr>
            <w:r>
              <w:rPr>
                <w:sz w:val="24"/>
              </w:rPr>
              <w:t>22</w:t>
            </w:r>
          </w:p>
        </w:tc>
        <w:tc>
          <w:tcPr>
            <w:tcW w:w="1448" w:type="dxa"/>
          </w:tcPr>
          <w:p w:rsidR="008269D0" w:rsidRDefault="00BE670B">
            <w:pPr>
              <w:pStyle w:val="TableParagraph"/>
              <w:ind w:left="106"/>
              <w:rPr>
                <w:sz w:val="24"/>
              </w:rPr>
            </w:pPr>
            <w:r>
              <w:rPr>
                <w:sz w:val="24"/>
              </w:rPr>
              <w:t>0</w:t>
            </w:r>
          </w:p>
        </w:tc>
        <w:tc>
          <w:tcPr>
            <w:tcW w:w="1573" w:type="dxa"/>
          </w:tcPr>
          <w:p w:rsidR="008269D0" w:rsidRDefault="00BE670B">
            <w:pPr>
              <w:pStyle w:val="TableParagraph"/>
              <w:ind w:left="104"/>
              <w:rPr>
                <w:sz w:val="24"/>
              </w:rPr>
            </w:pPr>
            <w:r>
              <w:rPr>
                <w:sz w:val="24"/>
              </w:rPr>
              <w:t>16</w:t>
            </w:r>
          </w:p>
        </w:tc>
        <w:tc>
          <w:tcPr>
            <w:tcW w:w="1496" w:type="dxa"/>
          </w:tcPr>
          <w:p w:rsidR="008269D0" w:rsidRDefault="00BE670B">
            <w:pPr>
              <w:pStyle w:val="TableParagraph"/>
              <w:ind w:left="103"/>
              <w:rPr>
                <w:sz w:val="24"/>
              </w:rPr>
            </w:pPr>
            <w:r>
              <w:rPr>
                <w:sz w:val="24"/>
              </w:rPr>
              <w:t>1</w:t>
            </w:r>
          </w:p>
        </w:tc>
      </w:tr>
      <w:tr w:rsidR="008269D0">
        <w:trPr>
          <w:trHeight w:val="371"/>
        </w:trPr>
        <w:tc>
          <w:tcPr>
            <w:tcW w:w="3341" w:type="dxa"/>
          </w:tcPr>
          <w:p w:rsidR="008269D0" w:rsidRDefault="00BE670B">
            <w:pPr>
              <w:pStyle w:val="TableParagraph"/>
              <w:ind w:left="71"/>
              <w:rPr>
                <w:sz w:val="24"/>
              </w:rPr>
            </w:pPr>
            <w:r>
              <w:rPr>
                <w:sz w:val="24"/>
              </w:rPr>
              <w:t>Skin</w:t>
            </w:r>
            <w:r>
              <w:rPr>
                <w:spacing w:val="-1"/>
                <w:sz w:val="24"/>
              </w:rPr>
              <w:t xml:space="preserve"> </w:t>
            </w:r>
            <w:r>
              <w:rPr>
                <w:sz w:val="24"/>
              </w:rPr>
              <w:t>Infection</w:t>
            </w:r>
          </w:p>
        </w:tc>
        <w:tc>
          <w:tcPr>
            <w:tcW w:w="1521" w:type="dxa"/>
          </w:tcPr>
          <w:p w:rsidR="008269D0" w:rsidRDefault="00BE670B">
            <w:pPr>
              <w:pStyle w:val="TableParagraph"/>
              <w:ind w:left="103"/>
              <w:rPr>
                <w:sz w:val="24"/>
              </w:rPr>
            </w:pPr>
            <w:r>
              <w:rPr>
                <w:sz w:val="24"/>
              </w:rPr>
              <w:t>19</w:t>
            </w:r>
          </w:p>
        </w:tc>
        <w:tc>
          <w:tcPr>
            <w:tcW w:w="1448" w:type="dxa"/>
          </w:tcPr>
          <w:p w:rsidR="008269D0" w:rsidRDefault="00BE670B">
            <w:pPr>
              <w:pStyle w:val="TableParagraph"/>
              <w:ind w:left="106"/>
              <w:rPr>
                <w:sz w:val="24"/>
              </w:rPr>
            </w:pPr>
            <w:r>
              <w:rPr>
                <w:sz w:val="24"/>
              </w:rPr>
              <w:t>3</w:t>
            </w:r>
          </w:p>
        </w:tc>
        <w:tc>
          <w:tcPr>
            <w:tcW w:w="1573" w:type="dxa"/>
          </w:tcPr>
          <w:p w:rsidR="008269D0" w:rsidRDefault="00BE670B">
            <w:pPr>
              <w:pStyle w:val="TableParagraph"/>
              <w:ind w:left="104"/>
              <w:rPr>
                <w:sz w:val="24"/>
              </w:rPr>
            </w:pPr>
            <w:r>
              <w:rPr>
                <w:sz w:val="24"/>
              </w:rPr>
              <w:t>13</w:t>
            </w:r>
          </w:p>
        </w:tc>
        <w:tc>
          <w:tcPr>
            <w:tcW w:w="1496" w:type="dxa"/>
          </w:tcPr>
          <w:p w:rsidR="008269D0" w:rsidRDefault="00BE670B">
            <w:pPr>
              <w:pStyle w:val="TableParagraph"/>
              <w:ind w:left="103"/>
              <w:rPr>
                <w:sz w:val="24"/>
              </w:rPr>
            </w:pPr>
            <w:r>
              <w:rPr>
                <w:sz w:val="24"/>
              </w:rPr>
              <w:t>4</w:t>
            </w:r>
          </w:p>
        </w:tc>
      </w:tr>
      <w:tr w:rsidR="008269D0">
        <w:trPr>
          <w:trHeight w:val="372"/>
        </w:trPr>
        <w:tc>
          <w:tcPr>
            <w:tcW w:w="9379" w:type="dxa"/>
            <w:gridSpan w:val="5"/>
          </w:tcPr>
          <w:p w:rsidR="008269D0" w:rsidRDefault="00BE670B">
            <w:pPr>
              <w:pStyle w:val="TableParagraph"/>
              <w:spacing w:before="49"/>
              <w:ind w:left="71"/>
              <w:rPr>
                <w:b/>
                <w:sz w:val="24"/>
              </w:rPr>
            </w:pPr>
            <w:r>
              <w:rPr>
                <w:b/>
                <w:sz w:val="24"/>
              </w:rPr>
              <w:t>Musculoskeletal</w:t>
            </w:r>
            <w:r>
              <w:rPr>
                <w:b/>
                <w:spacing w:val="-3"/>
                <w:sz w:val="24"/>
              </w:rPr>
              <w:t xml:space="preserve"> </w:t>
            </w:r>
            <w:r>
              <w:rPr>
                <w:b/>
                <w:sz w:val="24"/>
              </w:rPr>
              <w:t>and</w:t>
            </w:r>
            <w:r>
              <w:rPr>
                <w:b/>
                <w:spacing w:val="-3"/>
                <w:sz w:val="24"/>
              </w:rPr>
              <w:t xml:space="preserve"> </w:t>
            </w:r>
            <w:r>
              <w:rPr>
                <w:b/>
                <w:sz w:val="24"/>
              </w:rPr>
              <w:t>Connective</w:t>
            </w:r>
            <w:r>
              <w:rPr>
                <w:b/>
                <w:spacing w:val="-2"/>
                <w:sz w:val="24"/>
              </w:rPr>
              <w:t xml:space="preserve"> </w:t>
            </w:r>
            <w:r>
              <w:rPr>
                <w:b/>
                <w:sz w:val="24"/>
              </w:rPr>
              <w:t>Tissue</w:t>
            </w:r>
            <w:r>
              <w:rPr>
                <w:b/>
                <w:spacing w:val="-2"/>
                <w:sz w:val="24"/>
              </w:rPr>
              <w:t xml:space="preserve"> </w:t>
            </w:r>
            <w:r>
              <w:rPr>
                <w:b/>
                <w:sz w:val="24"/>
              </w:rPr>
              <w:t>Disorders</w:t>
            </w:r>
          </w:p>
        </w:tc>
      </w:tr>
      <w:tr w:rsidR="008269D0">
        <w:trPr>
          <w:trHeight w:val="371"/>
        </w:trPr>
        <w:tc>
          <w:tcPr>
            <w:tcW w:w="3341" w:type="dxa"/>
          </w:tcPr>
          <w:p w:rsidR="008269D0" w:rsidRDefault="00BE670B">
            <w:pPr>
              <w:pStyle w:val="TableParagraph"/>
              <w:ind w:left="71"/>
              <w:rPr>
                <w:sz w:val="24"/>
              </w:rPr>
            </w:pPr>
            <w:r>
              <w:rPr>
                <w:sz w:val="24"/>
              </w:rPr>
              <w:t>Musculoskeletal</w:t>
            </w:r>
            <w:r>
              <w:rPr>
                <w:spacing w:val="-2"/>
                <w:sz w:val="24"/>
              </w:rPr>
              <w:t xml:space="preserve"> </w:t>
            </w:r>
            <w:r>
              <w:rPr>
                <w:sz w:val="24"/>
              </w:rPr>
              <w:t>Pain</w:t>
            </w:r>
          </w:p>
        </w:tc>
        <w:tc>
          <w:tcPr>
            <w:tcW w:w="1521" w:type="dxa"/>
          </w:tcPr>
          <w:p w:rsidR="008269D0" w:rsidRDefault="00BE670B">
            <w:pPr>
              <w:pStyle w:val="TableParagraph"/>
              <w:ind w:left="103"/>
              <w:rPr>
                <w:sz w:val="24"/>
              </w:rPr>
            </w:pPr>
            <w:r>
              <w:rPr>
                <w:sz w:val="24"/>
              </w:rPr>
              <w:t>22</w:t>
            </w:r>
          </w:p>
        </w:tc>
        <w:tc>
          <w:tcPr>
            <w:tcW w:w="1448" w:type="dxa"/>
          </w:tcPr>
          <w:p w:rsidR="008269D0" w:rsidRDefault="00BE670B">
            <w:pPr>
              <w:pStyle w:val="TableParagraph"/>
              <w:ind w:left="106"/>
              <w:rPr>
                <w:sz w:val="24"/>
              </w:rPr>
            </w:pPr>
            <w:r>
              <w:rPr>
                <w:sz w:val="24"/>
              </w:rPr>
              <w:t>&lt;1</w:t>
            </w:r>
          </w:p>
        </w:tc>
        <w:tc>
          <w:tcPr>
            <w:tcW w:w="1573" w:type="dxa"/>
          </w:tcPr>
          <w:p w:rsidR="008269D0" w:rsidRDefault="00BE670B">
            <w:pPr>
              <w:pStyle w:val="TableParagraph"/>
              <w:ind w:left="104"/>
              <w:rPr>
                <w:sz w:val="24"/>
              </w:rPr>
            </w:pPr>
            <w:r>
              <w:rPr>
                <w:sz w:val="24"/>
              </w:rPr>
              <w:t>17</w:t>
            </w:r>
          </w:p>
        </w:tc>
        <w:tc>
          <w:tcPr>
            <w:tcW w:w="1496" w:type="dxa"/>
          </w:tcPr>
          <w:p w:rsidR="008269D0" w:rsidRDefault="00BE670B">
            <w:pPr>
              <w:pStyle w:val="TableParagraph"/>
              <w:ind w:left="103"/>
              <w:rPr>
                <w:sz w:val="24"/>
              </w:rPr>
            </w:pPr>
            <w:r>
              <w:rPr>
                <w:sz w:val="24"/>
              </w:rPr>
              <w:t>3</w:t>
            </w:r>
          </w:p>
        </w:tc>
      </w:tr>
      <w:tr w:rsidR="008269D0">
        <w:trPr>
          <w:trHeight w:val="371"/>
        </w:trPr>
        <w:tc>
          <w:tcPr>
            <w:tcW w:w="9379" w:type="dxa"/>
            <w:gridSpan w:val="5"/>
          </w:tcPr>
          <w:p w:rsidR="008269D0" w:rsidRDefault="00BE670B">
            <w:pPr>
              <w:pStyle w:val="TableParagraph"/>
              <w:spacing w:before="48"/>
              <w:ind w:left="71"/>
              <w:rPr>
                <w:b/>
                <w:sz w:val="24"/>
              </w:rPr>
            </w:pPr>
            <w:r>
              <w:rPr>
                <w:b/>
                <w:sz w:val="24"/>
              </w:rPr>
              <w:t>General</w:t>
            </w:r>
            <w:r>
              <w:rPr>
                <w:b/>
                <w:spacing w:val="-1"/>
                <w:sz w:val="24"/>
              </w:rPr>
              <w:t xml:space="preserve"> </w:t>
            </w:r>
            <w:r>
              <w:rPr>
                <w:b/>
                <w:sz w:val="24"/>
              </w:rPr>
              <w:t>Disorders</w:t>
            </w:r>
          </w:p>
        </w:tc>
      </w:tr>
      <w:tr w:rsidR="008269D0">
        <w:trPr>
          <w:trHeight w:val="372"/>
        </w:trPr>
        <w:tc>
          <w:tcPr>
            <w:tcW w:w="3341" w:type="dxa"/>
          </w:tcPr>
          <w:p w:rsidR="008269D0" w:rsidRDefault="00BE670B">
            <w:pPr>
              <w:pStyle w:val="TableParagraph"/>
              <w:spacing w:before="47"/>
              <w:ind w:left="71"/>
              <w:rPr>
                <w:sz w:val="24"/>
              </w:rPr>
            </w:pPr>
            <w:r>
              <w:rPr>
                <w:sz w:val="24"/>
              </w:rPr>
              <w:t>Pyrexia</w:t>
            </w:r>
          </w:p>
        </w:tc>
        <w:tc>
          <w:tcPr>
            <w:tcW w:w="1521" w:type="dxa"/>
          </w:tcPr>
          <w:p w:rsidR="008269D0" w:rsidRDefault="00BE670B">
            <w:pPr>
              <w:pStyle w:val="TableParagraph"/>
              <w:spacing w:before="47"/>
              <w:ind w:left="103"/>
              <w:rPr>
                <w:sz w:val="24"/>
              </w:rPr>
            </w:pPr>
            <w:r>
              <w:rPr>
                <w:sz w:val="24"/>
              </w:rPr>
              <w:t>17</w:t>
            </w:r>
          </w:p>
        </w:tc>
        <w:tc>
          <w:tcPr>
            <w:tcW w:w="1448" w:type="dxa"/>
          </w:tcPr>
          <w:p w:rsidR="008269D0" w:rsidRDefault="00BE670B">
            <w:pPr>
              <w:pStyle w:val="TableParagraph"/>
              <w:spacing w:before="47"/>
              <w:ind w:left="106"/>
              <w:rPr>
                <w:sz w:val="24"/>
              </w:rPr>
            </w:pPr>
            <w:r>
              <w:rPr>
                <w:sz w:val="24"/>
              </w:rPr>
              <w:t>&lt;1</w:t>
            </w:r>
          </w:p>
        </w:tc>
        <w:tc>
          <w:tcPr>
            <w:tcW w:w="1573" w:type="dxa"/>
          </w:tcPr>
          <w:p w:rsidR="008269D0" w:rsidRDefault="00BE670B">
            <w:pPr>
              <w:pStyle w:val="TableParagraph"/>
              <w:spacing w:before="47"/>
              <w:ind w:left="104"/>
              <w:rPr>
                <w:sz w:val="24"/>
              </w:rPr>
            </w:pPr>
            <w:r>
              <w:rPr>
                <w:sz w:val="24"/>
              </w:rPr>
              <w:t>7</w:t>
            </w:r>
          </w:p>
        </w:tc>
        <w:tc>
          <w:tcPr>
            <w:tcW w:w="1496" w:type="dxa"/>
          </w:tcPr>
          <w:p w:rsidR="008269D0" w:rsidRDefault="00BE670B">
            <w:pPr>
              <w:pStyle w:val="TableParagraph"/>
              <w:spacing w:before="47"/>
              <w:ind w:left="103"/>
              <w:rPr>
                <w:sz w:val="24"/>
              </w:rPr>
            </w:pPr>
            <w:r>
              <w:rPr>
                <w:sz w:val="24"/>
              </w:rPr>
              <w:t>0</w:t>
            </w:r>
          </w:p>
        </w:tc>
      </w:tr>
      <w:tr w:rsidR="008269D0">
        <w:trPr>
          <w:trHeight w:val="371"/>
        </w:trPr>
        <w:tc>
          <w:tcPr>
            <w:tcW w:w="3341" w:type="dxa"/>
          </w:tcPr>
          <w:p w:rsidR="008269D0" w:rsidRDefault="00BE670B">
            <w:pPr>
              <w:pStyle w:val="TableParagraph"/>
              <w:ind w:left="71"/>
              <w:rPr>
                <w:sz w:val="24"/>
              </w:rPr>
            </w:pPr>
            <w:r>
              <w:rPr>
                <w:sz w:val="24"/>
              </w:rPr>
              <w:t>Gastrointestinal</w:t>
            </w:r>
          </w:p>
        </w:tc>
        <w:tc>
          <w:tcPr>
            <w:tcW w:w="1521" w:type="dxa"/>
          </w:tcPr>
          <w:p w:rsidR="008269D0" w:rsidRDefault="008269D0">
            <w:pPr>
              <w:pStyle w:val="TableParagraph"/>
              <w:spacing w:before="0"/>
              <w:rPr>
                <w:sz w:val="20"/>
              </w:rPr>
            </w:pPr>
          </w:p>
        </w:tc>
        <w:tc>
          <w:tcPr>
            <w:tcW w:w="1448" w:type="dxa"/>
          </w:tcPr>
          <w:p w:rsidR="008269D0" w:rsidRDefault="008269D0">
            <w:pPr>
              <w:pStyle w:val="TableParagraph"/>
              <w:spacing w:before="0"/>
              <w:rPr>
                <w:sz w:val="20"/>
              </w:rPr>
            </w:pPr>
          </w:p>
        </w:tc>
        <w:tc>
          <w:tcPr>
            <w:tcW w:w="1573" w:type="dxa"/>
          </w:tcPr>
          <w:p w:rsidR="008269D0" w:rsidRDefault="008269D0">
            <w:pPr>
              <w:pStyle w:val="TableParagraph"/>
              <w:spacing w:before="0"/>
              <w:rPr>
                <w:sz w:val="20"/>
              </w:rPr>
            </w:pPr>
          </w:p>
        </w:tc>
        <w:tc>
          <w:tcPr>
            <w:tcW w:w="1496" w:type="dxa"/>
          </w:tcPr>
          <w:p w:rsidR="008269D0" w:rsidRDefault="008269D0">
            <w:pPr>
              <w:pStyle w:val="TableParagraph"/>
              <w:spacing w:before="0"/>
              <w:rPr>
                <w:sz w:val="20"/>
              </w:rPr>
            </w:pPr>
          </w:p>
        </w:tc>
      </w:tr>
      <w:tr w:rsidR="008269D0">
        <w:trPr>
          <w:trHeight w:val="371"/>
        </w:trPr>
        <w:tc>
          <w:tcPr>
            <w:tcW w:w="3341" w:type="dxa"/>
          </w:tcPr>
          <w:p w:rsidR="008269D0" w:rsidRDefault="00BE670B">
            <w:pPr>
              <w:pStyle w:val="TableParagraph"/>
              <w:ind w:left="71"/>
              <w:rPr>
                <w:sz w:val="24"/>
              </w:rPr>
            </w:pPr>
            <w:r>
              <w:rPr>
                <w:sz w:val="24"/>
              </w:rPr>
              <w:t>Mucositis</w:t>
            </w:r>
          </w:p>
        </w:tc>
        <w:tc>
          <w:tcPr>
            <w:tcW w:w="1521" w:type="dxa"/>
          </w:tcPr>
          <w:p w:rsidR="008269D0" w:rsidRDefault="00BE670B">
            <w:pPr>
              <w:pStyle w:val="TableParagraph"/>
              <w:ind w:left="103"/>
              <w:rPr>
                <w:sz w:val="24"/>
              </w:rPr>
            </w:pPr>
            <w:r>
              <w:rPr>
                <w:sz w:val="24"/>
              </w:rPr>
              <w:t>12</w:t>
            </w:r>
          </w:p>
        </w:tc>
        <w:tc>
          <w:tcPr>
            <w:tcW w:w="1448" w:type="dxa"/>
          </w:tcPr>
          <w:p w:rsidR="008269D0" w:rsidRDefault="00BE670B">
            <w:pPr>
              <w:pStyle w:val="TableParagraph"/>
              <w:ind w:left="106"/>
              <w:rPr>
                <w:sz w:val="24"/>
              </w:rPr>
            </w:pPr>
            <w:r>
              <w:rPr>
                <w:sz w:val="24"/>
              </w:rPr>
              <w:t>1</w:t>
            </w:r>
          </w:p>
        </w:tc>
        <w:tc>
          <w:tcPr>
            <w:tcW w:w="1573" w:type="dxa"/>
          </w:tcPr>
          <w:p w:rsidR="008269D0" w:rsidRDefault="00BE670B">
            <w:pPr>
              <w:pStyle w:val="TableParagraph"/>
              <w:ind w:left="104"/>
              <w:rPr>
                <w:sz w:val="24"/>
              </w:rPr>
            </w:pPr>
            <w:r>
              <w:rPr>
                <w:sz w:val="24"/>
              </w:rPr>
              <w:t>6</w:t>
            </w:r>
          </w:p>
        </w:tc>
        <w:tc>
          <w:tcPr>
            <w:tcW w:w="1496" w:type="dxa"/>
          </w:tcPr>
          <w:p w:rsidR="008269D0" w:rsidRDefault="00BE670B">
            <w:pPr>
              <w:pStyle w:val="TableParagraph"/>
              <w:ind w:left="103"/>
              <w:rPr>
                <w:sz w:val="24"/>
              </w:rPr>
            </w:pPr>
            <w:r>
              <w:rPr>
                <w:sz w:val="24"/>
              </w:rPr>
              <w:t>0</w:t>
            </w:r>
          </w:p>
        </w:tc>
      </w:tr>
    </w:tbl>
    <w:p w:rsidR="008269D0" w:rsidRDefault="00BE670B">
      <w:pPr>
        <w:spacing w:before="40"/>
        <w:ind w:left="180"/>
        <w:rPr>
          <w:sz w:val="18"/>
        </w:rPr>
      </w:pPr>
      <w:r>
        <w:rPr>
          <w:position w:val="6"/>
          <w:sz w:val="12"/>
        </w:rPr>
        <w:t>a</w:t>
      </w:r>
      <w:r>
        <w:rPr>
          <w:spacing w:val="13"/>
          <w:position w:val="6"/>
          <w:sz w:val="12"/>
        </w:rPr>
        <w:t xml:space="preserve"> </w:t>
      </w:r>
      <w:r>
        <w:rPr>
          <w:sz w:val="18"/>
        </w:rPr>
        <w:t>Adverse</w:t>
      </w:r>
      <w:r>
        <w:rPr>
          <w:spacing w:val="-1"/>
          <w:sz w:val="18"/>
        </w:rPr>
        <w:t xml:space="preserve"> </w:t>
      </w:r>
      <w:r>
        <w:rPr>
          <w:sz w:val="18"/>
        </w:rPr>
        <w:t>reactions</w:t>
      </w:r>
      <w:r>
        <w:rPr>
          <w:spacing w:val="-2"/>
          <w:sz w:val="18"/>
        </w:rPr>
        <w:t xml:space="preserve"> </w:t>
      </w:r>
      <w:r>
        <w:rPr>
          <w:sz w:val="18"/>
        </w:rPr>
        <w:t>include</w:t>
      </w:r>
      <w:r>
        <w:rPr>
          <w:spacing w:val="-1"/>
          <w:sz w:val="18"/>
        </w:rPr>
        <w:t xml:space="preserve"> </w:t>
      </w:r>
      <w:r>
        <w:rPr>
          <w:sz w:val="18"/>
        </w:rPr>
        <w:t>groupings</w:t>
      </w:r>
      <w:r>
        <w:rPr>
          <w:spacing w:val="-2"/>
          <w:sz w:val="18"/>
        </w:rPr>
        <w:t xml:space="preserve"> </w:t>
      </w:r>
      <w:r>
        <w:rPr>
          <w:sz w:val="18"/>
        </w:rPr>
        <w:t>of</w:t>
      </w:r>
      <w:r>
        <w:rPr>
          <w:spacing w:val="-2"/>
          <w:sz w:val="18"/>
        </w:rPr>
        <w:t xml:space="preserve"> </w:t>
      </w:r>
      <w:r>
        <w:rPr>
          <w:sz w:val="18"/>
        </w:rPr>
        <w:t>individual</w:t>
      </w:r>
      <w:r>
        <w:rPr>
          <w:spacing w:val="-2"/>
          <w:sz w:val="18"/>
        </w:rPr>
        <w:t xml:space="preserve"> </w:t>
      </w:r>
      <w:r>
        <w:rPr>
          <w:sz w:val="18"/>
        </w:rPr>
        <w:t>preferred</w:t>
      </w:r>
      <w:r>
        <w:rPr>
          <w:spacing w:val="-3"/>
          <w:sz w:val="18"/>
        </w:rPr>
        <w:t xml:space="preserve"> </w:t>
      </w:r>
      <w:r>
        <w:rPr>
          <w:sz w:val="18"/>
        </w:rPr>
        <w:t>terms.</w:t>
      </w:r>
    </w:p>
    <w:p w:rsidR="008269D0" w:rsidRDefault="00BE670B">
      <w:pPr>
        <w:spacing w:before="44"/>
        <w:ind w:left="180"/>
        <w:rPr>
          <w:sz w:val="18"/>
        </w:rPr>
      </w:pPr>
      <w:r>
        <w:rPr>
          <w:position w:val="6"/>
          <w:sz w:val="12"/>
        </w:rPr>
        <w:t>b</w:t>
      </w:r>
      <w:r>
        <w:rPr>
          <w:spacing w:val="13"/>
          <w:position w:val="6"/>
          <w:sz w:val="12"/>
        </w:rPr>
        <w:t xml:space="preserve"> </w:t>
      </w:r>
      <w:r>
        <w:rPr>
          <w:sz w:val="18"/>
        </w:rPr>
        <w:t>Includes</w:t>
      </w:r>
      <w:r>
        <w:rPr>
          <w:spacing w:val="-2"/>
          <w:sz w:val="18"/>
        </w:rPr>
        <w:t xml:space="preserve"> </w:t>
      </w:r>
      <w:r>
        <w:rPr>
          <w:sz w:val="18"/>
        </w:rPr>
        <w:t>adverse reactions</w:t>
      </w:r>
      <w:r>
        <w:rPr>
          <w:spacing w:val="-2"/>
          <w:sz w:val="18"/>
        </w:rPr>
        <w:t xml:space="preserve"> </w:t>
      </w:r>
      <w:r>
        <w:rPr>
          <w:sz w:val="18"/>
        </w:rPr>
        <w:t>reported</w:t>
      </w:r>
      <w:r>
        <w:rPr>
          <w:spacing w:val="-1"/>
          <w:sz w:val="18"/>
        </w:rPr>
        <w:t xml:space="preserve"> </w:t>
      </w:r>
      <w:r>
        <w:rPr>
          <w:sz w:val="18"/>
        </w:rPr>
        <w:t>up</w:t>
      </w:r>
      <w:r>
        <w:rPr>
          <w:spacing w:val="-3"/>
          <w:sz w:val="18"/>
        </w:rPr>
        <w:t xml:space="preserve"> </w:t>
      </w:r>
      <w:r>
        <w:rPr>
          <w:sz w:val="18"/>
        </w:rPr>
        <w:t>to</w:t>
      </w:r>
      <w:r>
        <w:rPr>
          <w:spacing w:val="-2"/>
          <w:sz w:val="18"/>
        </w:rPr>
        <w:t xml:space="preserve"> </w:t>
      </w:r>
      <w:r>
        <w:rPr>
          <w:sz w:val="18"/>
        </w:rPr>
        <w:t>90</w:t>
      </w:r>
      <w:r>
        <w:rPr>
          <w:spacing w:val="-2"/>
          <w:sz w:val="18"/>
        </w:rPr>
        <w:t xml:space="preserve"> </w:t>
      </w:r>
      <w:r>
        <w:rPr>
          <w:sz w:val="18"/>
        </w:rPr>
        <w:t>days</w:t>
      </w:r>
      <w:r>
        <w:rPr>
          <w:spacing w:val="-1"/>
          <w:sz w:val="18"/>
        </w:rPr>
        <w:t xml:space="preserve"> </w:t>
      </w:r>
      <w:r>
        <w:rPr>
          <w:sz w:val="18"/>
        </w:rPr>
        <w:t>after</w:t>
      </w:r>
      <w:r>
        <w:rPr>
          <w:spacing w:val="-3"/>
          <w:sz w:val="18"/>
        </w:rPr>
        <w:t xml:space="preserve"> </w:t>
      </w:r>
      <w:r>
        <w:rPr>
          <w:sz w:val="18"/>
        </w:rPr>
        <w:t>randomised</w:t>
      </w:r>
      <w:r>
        <w:rPr>
          <w:spacing w:val="-1"/>
          <w:sz w:val="18"/>
        </w:rPr>
        <w:t xml:space="preserve"> </w:t>
      </w:r>
      <w:r>
        <w:rPr>
          <w:sz w:val="18"/>
        </w:rPr>
        <w:t>treatment.</w:t>
      </w:r>
    </w:p>
    <w:p w:rsidR="008269D0" w:rsidRDefault="00BE670B">
      <w:pPr>
        <w:spacing w:before="48"/>
        <w:ind w:left="180" w:right="397"/>
        <w:rPr>
          <w:sz w:val="18"/>
        </w:rPr>
      </w:pPr>
      <w:r>
        <w:rPr>
          <w:sz w:val="18"/>
        </w:rPr>
        <w:t>Rash/Drug Eruption includes: dermatitis (allergic, atopic, bullous, contact, exfoliative, infected), drug eruption, palmoplantar</w:t>
      </w:r>
      <w:r>
        <w:rPr>
          <w:spacing w:val="-42"/>
          <w:sz w:val="18"/>
        </w:rPr>
        <w:t xml:space="preserve"> </w:t>
      </w:r>
      <w:r>
        <w:rPr>
          <w:sz w:val="18"/>
        </w:rPr>
        <w:t>keratoderma,</w:t>
      </w:r>
      <w:r>
        <w:rPr>
          <w:spacing w:val="-2"/>
          <w:sz w:val="18"/>
        </w:rPr>
        <w:t xml:space="preserve"> </w:t>
      </w:r>
      <w:r>
        <w:rPr>
          <w:sz w:val="18"/>
        </w:rPr>
        <w:t>rash</w:t>
      </w:r>
      <w:r>
        <w:rPr>
          <w:spacing w:val="-1"/>
          <w:sz w:val="18"/>
        </w:rPr>
        <w:t xml:space="preserve"> </w:t>
      </w:r>
      <w:r>
        <w:rPr>
          <w:sz w:val="18"/>
        </w:rPr>
        <w:t>(generalized,</w:t>
      </w:r>
      <w:r>
        <w:rPr>
          <w:spacing w:val="-1"/>
          <w:sz w:val="18"/>
        </w:rPr>
        <w:t xml:space="preserve"> </w:t>
      </w:r>
      <w:r>
        <w:rPr>
          <w:sz w:val="18"/>
        </w:rPr>
        <w:t>macular,</w:t>
      </w:r>
      <w:r>
        <w:rPr>
          <w:spacing w:val="-3"/>
          <w:sz w:val="18"/>
        </w:rPr>
        <w:t xml:space="preserve"> </w:t>
      </w:r>
      <w:r>
        <w:rPr>
          <w:sz w:val="18"/>
        </w:rPr>
        <w:t>maculopapular, papular,</w:t>
      </w:r>
      <w:r>
        <w:rPr>
          <w:spacing w:val="-2"/>
          <w:sz w:val="18"/>
        </w:rPr>
        <w:t xml:space="preserve"> </w:t>
      </w:r>
      <w:r>
        <w:rPr>
          <w:sz w:val="18"/>
        </w:rPr>
        <w:t>pruritic,</w:t>
      </w:r>
      <w:r>
        <w:rPr>
          <w:spacing w:val="-1"/>
          <w:sz w:val="18"/>
        </w:rPr>
        <w:t xml:space="preserve"> </w:t>
      </w:r>
      <w:r>
        <w:rPr>
          <w:sz w:val="18"/>
        </w:rPr>
        <w:t>pustular), skin</w:t>
      </w:r>
      <w:r>
        <w:rPr>
          <w:spacing w:val="-2"/>
          <w:sz w:val="18"/>
        </w:rPr>
        <w:t xml:space="preserve"> </w:t>
      </w:r>
      <w:r>
        <w:rPr>
          <w:sz w:val="18"/>
        </w:rPr>
        <w:t>reaction,</w:t>
      </w:r>
      <w:r>
        <w:rPr>
          <w:spacing w:val="-3"/>
          <w:sz w:val="18"/>
        </w:rPr>
        <w:t xml:space="preserve"> </w:t>
      </w:r>
      <w:r>
        <w:rPr>
          <w:sz w:val="18"/>
        </w:rPr>
        <w:t>toxic</w:t>
      </w:r>
      <w:r>
        <w:rPr>
          <w:spacing w:val="-3"/>
          <w:sz w:val="18"/>
        </w:rPr>
        <w:t xml:space="preserve"> </w:t>
      </w:r>
      <w:r>
        <w:rPr>
          <w:sz w:val="18"/>
        </w:rPr>
        <w:t>skin</w:t>
      </w:r>
      <w:r>
        <w:rPr>
          <w:spacing w:val="-1"/>
          <w:sz w:val="18"/>
        </w:rPr>
        <w:t xml:space="preserve"> </w:t>
      </w:r>
      <w:r>
        <w:rPr>
          <w:sz w:val="18"/>
        </w:rPr>
        <w:t>eruption</w:t>
      </w:r>
    </w:p>
    <w:p w:rsidR="008269D0" w:rsidRDefault="00BE670B">
      <w:pPr>
        <w:spacing w:before="48"/>
        <w:ind w:left="180" w:right="426"/>
        <w:rPr>
          <w:sz w:val="18"/>
        </w:rPr>
      </w:pPr>
      <w:r>
        <w:rPr>
          <w:sz w:val="18"/>
        </w:rPr>
        <w:t>Upper Respiratory Tract Infection includes: laryngitis viral, nasopharyngitis, pharyngitis, rhinitis, sinusitis, upper respiratory</w:t>
      </w:r>
      <w:r>
        <w:rPr>
          <w:spacing w:val="-42"/>
          <w:sz w:val="18"/>
        </w:rPr>
        <w:t xml:space="preserve"> </w:t>
      </w:r>
      <w:r>
        <w:rPr>
          <w:sz w:val="18"/>
        </w:rPr>
        <w:t>tract</w:t>
      </w:r>
      <w:r>
        <w:rPr>
          <w:spacing w:val="-1"/>
          <w:sz w:val="18"/>
        </w:rPr>
        <w:t xml:space="preserve"> </w:t>
      </w:r>
      <w:r>
        <w:rPr>
          <w:sz w:val="18"/>
        </w:rPr>
        <w:t>infection,</w:t>
      </w:r>
      <w:r>
        <w:rPr>
          <w:spacing w:val="-1"/>
          <w:sz w:val="18"/>
        </w:rPr>
        <w:t xml:space="preserve"> </w:t>
      </w:r>
      <w:r>
        <w:rPr>
          <w:sz w:val="18"/>
        </w:rPr>
        <w:t>viral</w:t>
      </w:r>
      <w:r>
        <w:rPr>
          <w:spacing w:val="-1"/>
          <w:sz w:val="18"/>
        </w:rPr>
        <w:t xml:space="preserve"> </w:t>
      </w:r>
      <w:r>
        <w:rPr>
          <w:sz w:val="18"/>
        </w:rPr>
        <w:t>upper</w:t>
      </w:r>
      <w:r>
        <w:rPr>
          <w:spacing w:val="-1"/>
          <w:sz w:val="18"/>
        </w:rPr>
        <w:t xml:space="preserve"> </w:t>
      </w:r>
      <w:r>
        <w:rPr>
          <w:sz w:val="18"/>
        </w:rPr>
        <w:t>respiratory tract</w:t>
      </w:r>
      <w:r>
        <w:rPr>
          <w:spacing w:val="-1"/>
          <w:sz w:val="18"/>
        </w:rPr>
        <w:t xml:space="preserve"> </w:t>
      </w:r>
      <w:r>
        <w:rPr>
          <w:sz w:val="18"/>
        </w:rPr>
        <w:t>infection</w:t>
      </w:r>
    </w:p>
    <w:p w:rsidR="008269D0" w:rsidRDefault="00BE670B">
      <w:pPr>
        <w:spacing w:before="48"/>
        <w:ind w:left="180" w:right="737"/>
        <w:rPr>
          <w:sz w:val="18"/>
        </w:rPr>
      </w:pPr>
      <w:r>
        <w:rPr>
          <w:sz w:val="18"/>
        </w:rPr>
        <w:t>Skin Infection includes: cellulitis, dermatitis infected, erysipelas, impetigo, infected skin ulcer, periorbital cellulitis, skin</w:t>
      </w:r>
      <w:r>
        <w:rPr>
          <w:spacing w:val="-42"/>
          <w:sz w:val="18"/>
        </w:rPr>
        <w:t xml:space="preserve"> </w:t>
      </w:r>
      <w:r>
        <w:rPr>
          <w:sz w:val="18"/>
        </w:rPr>
        <w:t>bacterial</w:t>
      </w:r>
      <w:r>
        <w:rPr>
          <w:spacing w:val="-2"/>
          <w:sz w:val="18"/>
        </w:rPr>
        <w:t xml:space="preserve"> </w:t>
      </w:r>
      <w:r>
        <w:rPr>
          <w:sz w:val="18"/>
        </w:rPr>
        <w:t>infection,</w:t>
      </w:r>
      <w:r>
        <w:rPr>
          <w:spacing w:val="1"/>
          <w:sz w:val="18"/>
        </w:rPr>
        <w:t xml:space="preserve"> </w:t>
      </w:r>
      <w:r>
        <w:rPr>
          <w:sz w:val="18"/>
        </w:rPr>
        <w:t>skin</w:t>
      </w:r>
      <w:r>
        <w:rPr>
          <w:spacing w:val="-1"/>
          <w:sz w:val="18"/>
        </w:rPr>
        <w:t xml:space="preserve"> </w:t>
      </w:r>
      <w:r>
        <w:rPr>
          <w:sz w:val="18"/>
        </w:rPr>
        <w:t>infection, staphylococcal</w:t>
      </w:r>
      <w:r>
        <w:rPr>
          <w:spacing w:val="-2"/>
          <w:sz w:val="18"/>
        </w:rPr>
        <w:t xml:space="preserve"> </w:t>
      </w:r>
      <w:r>
        <w:rPr>
          <w:sz w:val="18"/>
        </w:rPr>
        <w:t>skin infection</w:t>
      </w:r>
    </w:p>
    <w:p w:rsidR="008269D0" w:rsidRDefault="00BE670B">
      <w:pPr>
        <w:spacing w:before="47"/>
        <w:ind w:left="180" w:right="512"/>
        <w:rPr>
          <w:sz w:val="18"/>
        </w:rPr>
      </w:pPr>
      <w:r>
        <w:rPr>
          <w:sz w:val="18"/>
        </w:rPr>
        <w:t>Musculoskeletal Pain includes: back pain, bone pain, musculoskeletal chest pain, musculoskeletal pain, myalgia, neck pain,</w:t>
      </w:r>
      <w:r>
        <w:rPr>
          <w:spacing w:val="-42"/>
          <w:sz w:val="18"/>
        </w:rPr>
        <w:t xml:space="preserve"> </w:t>
      </w:r>
      <w:r>
        <w:rPr>
          <w:sz w:val="18"/>
        </w:rPr>
        <w:t>pain</w:t>
      </w:r>
      <w:r>
        <w:rPr>
          <w:spacing w:val="-2"/>
          <w:sz w:val="18"/>
        </w:rPr>
        <w:t xml:space="preserve"> </w:t>
      </w:r>
      <w:r>
        <w:rPr>
          <w:sz w:val="18"/>
        </w:rPr>
        <w:t>in</w:t>
      </w:r>
      <w:r>
        <w:rPr>
          <w:spacing w:val="-1"/>
          <w:sz w:val="18"/>
        </w:rPr>
        <w:t xml:space="preserve"> </w:t>
      </w:r>
      <w:r>
        <w:rPr>
          <w:sz w:val="18"/>
        </w:rPr>
        <w:t>extremity</w:t>
      </w:r>
    </w:p>
    <w:p w:rsidR="008269D0" w:rsidRDefault="00BE670B">
      <w:pPr>
        <w:spacing w:before="48"/>
        <w:ind w:left="180" w:right="496"/>
        <w:rPr>
          <w:sz w:val="18"/>
        </w:rPr>
      </w:pPr>
      <w:r>
        <w:rPr>
          <w:sz w:val="18"/>
        </w:rPr>
        <w:t>Mucositis includes: aphthous stomatitis, mouth ulceration, mucosal inflammation, oral discomfort, oral pain, oropharyngeal</w:t>
      </w:r>
      <w:r>
        <w:rPr>
          <w:spacing w:val="-42"/>
          <w:sz w:val="18"/>
        </w:rPr>
        <w:t xml:space="preserve"> </w:t>
      </w:r>
      <w:r>
        <w:rPr>
          <w:sz w:val="18"/>
        </w:rPr>
        <w:t>pain,</w:t>
      </w:r>
      <w:r>
        <w:rPr>
          <w:spacing w:val="-2"/>
          <w:sz w:val="18"/>
        </w:rPr>
        <w:t xml:space="preserve"> </w:t>
      </w:r>
      <w:r>
        <w:rPr>
          <w:sz w:val="18"/>
        </w:rPr>
        <w:t>stomatitis</w:t>
      </w:r>
    </w:p>
    <w:p w:rsidR="008269D0" w:rsidRDefault="008269D0">
      <w:pPr>
        <w:rPr>
          <w:sz w:val="18"/>
        </w:rPr>
        <w:sectPr w:rsidR="008269D0" w:rsidSect="003F0986">
          <w:pgSz w:w="11910" w:h="16840"/>
          <w:pgMar w:top="980" w:right="1120" w:bottom="600" w:left="1180" w:header="113" w:footer="404" w:gutter="0"/>
          <w:cols w:space="720"/>
          <w:docGrid w:linePitch="299"/>
        </w:sectPr>
      </w:pPr>
    </w:p>
    <w:p w:rsidR="008269D0" w:rsidRDefault="00BE670B" w:rsidP="00BE670B">
      <w:pPr>
        <w:pStyle w:val="BodyText"/>
        <w:spacing w:before="68" w:after="240"/>
        <w:ind w:right="236"/>
      </w:pPr>
      <w:bookmarkStart w:id="38" w:name="_bookmark2"/>
      <w:bookmarkEnd w:id="38"/>
      <w:r>
        <w:t>Table 3 summarises common treatment-emergent laboratory abnormalities having a ≥2% higher</w:t>
      </w:r>
      <w:r>
        <w:rPr>
          <w:spacing w:val="-57"/>
        </w:rPr>
        <w:t xml:space="preserve"> </w:t>
      </w:r>
      <w:r>
        <w:t>incidence</w:t>
      </w:r>
      <w:r>
        <w:rPr>
          <w:spacing w:val="-1"/>
        </w:rPr>
        <w:t xml:space="preserve"> </w:t>
      </w:r>
      <w:r>
        <w:t>with POTELIGEO</w:t>
      </w:r>
      <w:r>
        <w:rPr>
          <w:spacing w:val="-1"/>
        </w:rPr>
        <w:t xml:space="preserve"> </w:t>
      </w:r>
      <w:r>
        <w:t>than</w:t>
      </w:r>
      <w:r>
        <w:rPr>
          <w:spacing w:val="-1"/>
        </w:rPr>
        <w:t xml:space="preserve"> </w:t>
      </w:r>
      <w:r>
        <w:t>with vorinostat in</w:t>
      </w:r>
      <w:r>
        <w:rPr>
          <w:spacing w:val="-1"/>
        </w:rPr>
        <w:t xml:space="preserve"> </w:t>
      </w:r>
      <w:r>
        <w:t>Study 0761-010.</w:t>
      </w:r>
    </w:p>
    <w:p w:rsidR="008269D0" w:rsidRDefault="00BE670B">
      <w:pPr>
        <w:pStyle w:val="Heading2"/>
        <w:spacing w:after="48"/>
        <w:ind w:left="1240" w:right="726" w:hanging="879"/>
      </w:pPr>
      <w:r>
        <w:t>Table 3: Common New or Worsening Laboratory Abnormalities (≥10%) with ≥2%</w:t>
      </w:r>
      <w:r>
        <w:rPr>
          <w:spacing w:val="-57"/>
        </w:rPr>
        <w:t xml:space="preserve"> </w:t>
      </w:r>
      <w:r>
        <w:t>Higher</w:t>
      </w:r>
      <w:r>
        <w:rPr>
          <w:spacing w:val="-1"/>
        </w:rPr>
        <w:t xml:space="preserve"> </w:t>
      </w:r>
      <w:r>
        <w:t>Incidence</w:t>
      </w:r>
      <w:r>
        <w:rPr>
          <w:spacing w:val="-1"/>
        </w:rPr>
        <w:t xml:space="preserve"> </w:t>
      </w:r>
      <w:r>
        <w:t>in</w:t>
      </w:r>
      <w:r>
        <w:rPr>
          <w:spacing w:val="-1"/>
        </w:rPr>
        <w:t xml:space="preserve"> </w:t>
      </w:r>
      <w:r>
        <w:t>the</w:t>
      </w:r>
      <w:r>
        <w:rPr>
          <w:spacing w:val="-2"/>
        </w:rPr>
        <w:t xml:space="preserve"> </w:t>
      </w:r>
      <w:r>
        <w:t>POTELIGEO Arm</w:t>
      </w:r>
      <w:r>
        <w:rPr>
          <w:spacing w:val="-1"/>
        </w:rPr>
        <w:t xml:space="preserve"> </w:t>
      </w:r>
      <w:r>
        <w:t>(Study 0761-010)</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3"/>
        <w:gridCol w:w="1404"/>
        <w:gridCol w:w="1329"/>
        <w:gridCol w:w="1413"/>
        <w:gridCol w:w="1338"/>
      </w:tblGrid>
      <w:tr w:rsidR="008269D0">
        <w:trPr>
          <w:trHeight w:val="647"/>
        </w:trPr>
        <w:tc>
          <w:tcPr>
            <w:tcW w:w="3613" w:type="dxa"/>
            <w:vMerge w:val="restart"/>
          </w:tcPr>
          <w:p w:rsidR="008269D0" w:rsidRDefault="008269D0">
            <w:pPr>
              <w:pStyle w:val="TableParagraph"/>
              <w:spacing w:before="0"/>
              <w:rPr>
                <w:b/>
                <w:sz w:val="26"/>
              </w:rPr>
            </w:pPr>
          </w:p>
          <w:p w:rsidR="008269D0" w:rsidRDefault="008269D0">
            <w:pPr>
              <w:pStyle w:val="TableParagraph"/>
              <w:spacing w:before="10"/>
              <w:rPr>
                <w:b/>
                <w:sz w:val="20"/>
              </w:rPr>
            </w:pPr>
          </w:p>
          <w:p w:rsidR="008269D0" w:rsidRDefault="00BE670B">
            <w:pPr>
              <w:pStyle w:val="TableParagraph"/>
              <w:spacing w:before="0"/>
              <w:ind w:left="901"/>
              <w:rPr>
                <w:b/>
                <w:sz w:val="24"/>
              </w:rPr>
            </w:pPr>
            <w:r>
              <w:rPr>
                <w:b/>
                <w:spacing w:val="-1"/>
                <w:sz w:val="24"/>
              </w:rPr>
              <w:t>Laboratory</w:t>
            </w:r>
            <w:r>
              <w:rPr>
                <w:b/>
                <w:spacing w:val="1"/>
                <w:sz w:val="24"/>
              </w:rPr>
              <w:t xml:space="preserve"> </w:t>
            </w:r>
            <w:r>
              <w:rPr>
                <w:b/>
                <w:sz w:val="24"/>
              </w:rPr>
              <w:t>Test</w:t>
            </w:r>
            <w:r>
              <w:rPr>
                <w:b/>
                <w:spacing w:val="-20"/>
                <w:sz w:val="24"/>
              </w:rPr>
              <w:t xml:space="preserve"> </w:t>
            </w:r>
            <w:r>
              <w:rPr>
                <w:b/>
                <w:sz w:val="24"/>
                <w:vertAlign w:val="superscript"/>
              </w:rPr>
              <w:t>a</w:t>
            </w:r>
          </w:p>
        </w:tc>
        <w:tc>
          <w:tcPr>
            <w:tcW w:w="2733" w:type="dxa"/>
            <w:gridSpan w:val="2"/>
          </w:tcPr>
          <w:p w:rsidR="008269D0" w:rsidRDefault="00BE670B">
            <w:pPr>
              <w:pStyle w:val="TableParagraph"/>
              <w:spacing w:before="48"/>
              <w:ind w:left="953" w:right="623" w:hanging="305"/>
              <w:rPr>
                <w:b/>
                <w:sz w:val="24"/>
              </w:rPr>
            </w:pPr>
            <w:r>
              <w:rPr>
                <w:b/>
                <w:spacing w:val="-1"/>
                <w:sz w:val="24"/>
              </w:rPr>
              <w:t>POTELIGEO</w:t>
            </w:r>
            <w:r>
              <w:rPr>
                <w:b/>
                <w:spacing w:val="-57"/>
                <w:sz w:val="24"/>
              </w:rPr>
              <w:t xml:space="preserve"> </w:t>
            </w:r>
            <w:r>
              <w:rPr>
                <w:b/>
                <w:sz w:val="24"/>
              </w:rPr>
              <w:t>(N=184)</w:t>
            </w:r>
          </w:p>
        </w:tc>
        <w:tc>
          <w:tcPr>
            <w:tcW w:w="2751" w:type="dxa"/>
            <w:gridSpan w:val="2"/>
          </w:tcPr>
          <w:p w:rsidR="008269D0" w:rsidRDefault="00BE670B">
            <w:pPr>
              <w:pStyle w:val="TableParagraph"/>
              <w:spacing w:before="48"/>
              <w:ind w:left="963" w:right="796" w:hanging="132"/>
              <w:rPr>
                <w:b/>
                <w:sz w:val="24"/>
              </w:rPr>
            </w:pPr>
            <w:r>
              <w:rPr>
                <w:b/>
                <w:sz w:val="24"/>
              </w:rPr>
              <w:t>Vorinostat</w:t>
            </w:r>
            <w:r>
              <w:rPr>
                <w:b/>
                <w:spacing w:val="-58"/>
                <w:sz w:val="24"/>
              </w:rPr>
              <w:t xml:space="preserve"> </w:t>
            </w:r>
            <w:r>
              <w:rPr>
                <w:b/>
                <w:sz w:val="24"/>
              </w:rPr>
              <w:t>(N=186)</w:t>
            </w:r>
          </w:p>
        </w:tc>
      </w:tr>
      <w:tr w:rsidR="008269D0">
        <w:trPr>
          <w:trHeight w:val="695"/>
        </w:trPr>
        <w:tc>
          <w:tcPr>
            <w:tcW w:w="3613" w:type="dxa"/>
            <w:vMerge/>
            <w:tcBorders>
              <w:top w:val="nil"/>
            </w:tcBorders>
          </w:tcPr>
          <w:p w:rsidR="008269D0" w:rsidRDefault="008269D0">
            <w:pPr>
              <w:rPr>
                <w:sz w:val="2"/>
                <w:szCs w:val="2"/>
              </w:rPr>
            </w:pPr>
          </w:p>
        </w:tc>
        <w:tc>
          <w:tcPr>
            <w:tcW w:w="1404" w:type="dxa"/>
          </w:tcPr>
          <w:p w:rsidR="008269D0" w:rsidRDefault="00BE670B">
            <w:pPr>
              <w:pStyle w:val="TableParagraph"/>
              <w:spacing w:before="5" w:line="320" w:lineRule="atLeast"/>
              <w:ind w:left="500" w:right="117" w:hanging="357"/>
              <w:rPr>
                <w:b/>
                <w:sz w:val="24"/>
              </w:rPr>
            </w:pPr>
            <w:r>
              <w:rPr>
                <w:b/>
                <w:sz w:val="24"/>
              </w:rPr>
              <w:t>All Grades</w:t>
            </w:r>
            <w:r>
              <w:rPr>
                <w:b/>
                <w:spacing w:val="-57"/>
                <w:sz w:val="24"/>
              </w:rPr>
              <w:t xml:space="preserve"> </w:t>
            </w:r>
            <w:r>
              <w:rPr>
                <w:b/>
                <w:sz w:val="24"/>
              </w:rPr>
              <w:t>(%)</w:t>
            </w:r>
          </w:p>
        </w:tc>
        <w:tc>
          <w:tcPr>
            <w:tcW w:w="1329" w:type="dxa"/>
          </w:tcPr>
          <w:p w:rsidR="008269D0" w:rsidRDefault="00BE670B">
            <w:pPr>
              <w:pStyle w:val="TableParagraph"/>
              <w:spacing w:before="5" w:line="320" w:lineRule="atLeast"/>
              <w:ind w:left="462" w:right="154" w:hanging="282"/>
              <w:rPr>
                <w:b/>
                <w:sz w:val="24"/>
              </w:rPr>
            </w:pPr>
            <w:r>
              <w:rPr>
                <w:b/>
                <w:sz w:val="24"/>
              </w:rPr>
              <w:t>≥Grade 3</w:t>
            </w:r>
            <w:r>
              <w:rPr>
                <w:b/>
                <w:spacing w:val="-57"/>
                <w:sz w:val="24"/>
              </w:rPr>
              <w:t xml:space="preserve"> </w:t>
            </w:r>
            <w:r>
              <w:rPr>
                <w:b/>
                <w:sz w:val="24"/>
              </w:rPr>
              <w:t>(%)</w:t>
            </w:r>
          </w:p>
        </w:tc>
        <w:tc>
          <w:tcPr>
            <w:tcW w:w="1413" w:type="dxa"/>
          </w:tcPr>
          <w:p w:rsidR="008269D0" w:rsidRDefault="00BE670B">
            <w:pPr>
              <w:pStyle w:val="TableParagraph"/>
              <w:spacing w:before="5" w:line="320" w:lineRule="atLeast"/>
              <w:ind w:left="504" w:right="122" w:hanging="357"/>
              <w:rPr>
                <w:b/>
                <w:sz w:val="24"/>
              </w:rPr>
            </w:pPr>
            <w:r>
              <w:rPr>
                <w:b/>
                <w:sz w:val="24"/>
              </w:rPr>
              <w:t>All Grades</w:t>
            </w:r>
            <w:r>
              <w:rPr>
                <w:b/>
                <w:spacing w:val="-57"/>
                <w:sz w:val="24"/>
              </w:rPr>
              <w:t xml:space="preserve"> </w:t>
            </w:r>
            <w:r>
              <w:rPr>
                <w:b/>
                <w:sz w:val="24"/>
              </w:rPr>
              <w:t>(%)</w:t>
            </w:r>
          </w:p>
        </w:tc>
        <w:tc>
          <w:tcPr>
            <w:tcW w:w="1338" w:type="dxa"/>
          </w:tcPr>
          <w:p w:rsidR="008269D0" w:rsidRDefault="00BE670B">
            <w:pPr>
              <w:pStyle w:val="TableParagraph"/>
              <w:spacing w:before="5" w:line="320" w:lineRule="atLeast"/>
              <w:ind w:left="468" w:right="159" w:hanging="284"/>
              <w:rPr>
                <w:b/>
                <w:sz w:val="24"/>
              </w:rPr>
            </w:pPr>
            <w:r>
              <w:rPr>
                <w:b/>
                <w:sz w:val="24"/>
              </w:rPr>
              <w:t>≥Grade 3</w:t>
            </w:r>
            <w:r>
              <w:rPr>
                <w:b/>
                <w:spacing w:val="-57"/>
                <w:sz w:val="24"/>
              </w:rPr>
              <w:t xml:space="preserve"> </w:t>
            </w:r>
            <w:r>
              <w:rPr>
                <w:b/>
                <w:sz w:val="24"/>
              </w:rPr>
              <w:t>(%)</w:t>
            </w:r>
          </w:p>
        </w:tc>
      </w:tr>
      <w:tr w:rsidR="008269D0">
        <w:trPr>
          <w:trHeight w:val="372"/>
        </w:trPr>
        <w:tc>
          <w:tcPr>
            <w:tcW w:w="9097" w:type="dxa"/>
            <w:gridSpan w:val="5"/>
          </w:tcPr>
          <w:p w:rsidR="008269D0" w:rsidRDefault="00BE670B">
            <w:pPr>
              <w:pStyle w:val="TableParagraph"/>
              <w:spacing w:before="49"/>
              <w:ind w:left="113"/>
              <w:rPr>
                <w:b/>
                <w:sz w:val="24"/>
              </w:rPr>
            </w:pPr>
            <w:r>
              <w:rPr>
                <w:b/>
                <w:sz w:val="24"/>
              </w:rPr>
              <w:t>Chemistry</w:t>
            </w:r>
          </w:p>
        </w:tc>
      </w:tr>
      <w:tr w:rsidR="008269D0">
        <w:trPr>
          <w:trHeight w:val="371"/>
        </w:trPr>
        <w:tc>
          <w:tcPr>
            <w:tcW w:w="3613" w:type="dxa"/>
          </w:tcPr>
          <w:p w:rsidR="008269D0" w:rsidRDefault="00BE670B">
            <w:pPr>
              <w:pStyle w:val="TableParagraph"/>
              <w:ind w:left="284"/>
              <w:rPr>
                <w:sz w:val="24"/>
              </w:rPr>
            </w:pPr>
            <w:r>
              <w:rPr>
                <w:sz w:val="24"/>
              </w:rPr>
              <w:t>Albumin</w:t>
            </w:r>
            <w:r>
              <w:rPr>
                <w:spacing w:val="-1"/>
                <w:sz w:val="24"/>
              </w:rPr>
              <w:t xml:space="preserve"> </w:t>
            </w:r>
            <w:r>
              <w:rPr>
                <w:sz w:val="24"/>
              </w:rPr>
              <w:t>Decreased</w:t>
            </w:r>
          </w:p>
        </w:tc>
        <w:tc>
          <w:tcPr>
            <w:tcW w:w="1404" w:type="dxa"/>
          </w:tcPr>
          <w:p w:rsidR="008269D0" w:rsidRDefault="00BE670B">
            <w:pPr>
              <w:pStyle w:val="TableParagraph"/>
              <w:ind w:left="112"/>
              <w:rPr>
                <w:sz w:val="24"/>
              </w:rPr>
            </w:pPr>
            <w:r>
              <w:rPr>
                <w:sz w:val="24"/>
              </w:rPr>
              <w:t>34</w:t>
            </w:r>
          </w:p>
        </w:tc>
        <w:tc>
          <w:tcPr>
            <w:tcW w:w="1329" w:type="dxa"/>
          </w:tcPr>
          <w:p w:rsidR="008269D0" w:rsidRDefault="00BE670B">
            <w:pPr>
              <w:pStyle w:val="TableParagraph"/>
              <w:ind w:left="113"/>
              <w:rPr>
                <w:sz w:val="24"/>
              </w:rPr>
            </w:pPr>
            <w:r>
              <w:rPr>
                <w:sz w:val="24"/>
              </w:rPr>
              <w:t>2</w:t>
            </w:r>
          </w:p>
        </w:tc>
        <w:tc>
          <w:tcPr>
            <w:tcW w:w="1413" w:type="dxa"/>
          </w:tcPr>
          <w:p w:rsidR="008269D0" w:rsidRDefault="00BE670B">
            <w:pPr>
              <w:pStyle w:val="TableParagraph"/>
              <w:ind w:left="112"/>
              <w:rPr>
                <w:sz w:val="24"/>
              </w:rPr>
            </w:pPr>
            <w:r>
              <w:rPr>
                <w:sz w:val="24"/>
              </w:rPr>
              <w:t>27</w:t>
            </w:r>
          </w:p>
        </w:tc>
        <w:tc>
          <w:tcPr>
            <w:tcW w:w="1338" w:type="dxa"/>
          </w:tcPr>
          <w:p w:rsidR="008269D0" w:rsidRDefault="00BE670B">
            <w:pPr>
              <w:pStyle w:val="TableParagraph"/>
              <w:ind w:left="113"/>
              <w:rPr>
                <w:sz w:val="24"/>
              </w:rPr>
            </w:pPr>
            <w:r>
              <w:rPr>
                <w:sz w:val="24"/>
              </w:rPr>
              <w:t>3</w:t>
            </w:r>
          </w:p>
        </w:tc>
      </w:tr>
      <w:tr w:rsidR="008269D0">
        <w:trPr>
          <w:trHeight w:val="371"/>
        </w:trPr>
        <w:tc>
          <w:tcPr>
            <w:tcW w:w="3613" w:type="dxa"/>
          </w:tcPr>
          <w:p w:rsidR="008269D0" w:rsidRDefault="00BE670B">
            <w:pPr>
              <w:pStyle w:val="TableParagraph"/>
              <w:ind w:left="284"/>
              <w:rPr>
                <w:sz w:val="24"/>
              </w:rPr>
            </w:pPr>
            <w:r>
              <w:rPr>
                <w:sz w:val="24"/>
              </w:rPr>
              <w:t>Calcium</w:t>
            </w:r>
            <w:r>
              <w:rPr>
                <w:spacing w:val="-3"/>
                <w:sz w:val="24"/>
              </w:rPr>
              <w:t xml:space="preserve"> </w:t>
            </w:r>
            <w:r>
              <w:rPr>
                <w:sz w:val="24"/>
              </w:rPr>
              <w:t>Decreased</w:t>
            </w:r>
          </w:p>
        </w:tc>
        <w:tc>
          <w:tcPr>
            <w:tcW w:w="1404" w:type="dxa"/>
          </w:tcPr>
          <w:p w:rsidR="008269D0" w:rsidRDefault="00BE670B">
            <w:pPr>
              <w:pStyle w:val="TableParagraph"/>
              <w:ind w:left="112"/>
              <w:rPr>
                <w:sz w:val="24"/>
              </w:rPr>
            </w:pPr>
            <w:r>
              <w:rPr>
                <w:sz w:val="24"/>
              </w:rPr>
              <w:t>30</w:t>
            </w:r>
          </w:p>
        </w:tc>
        <w:tc>
          <w:tcPr>
            <w:tcW w:w="1329" w:type="dxa"/>
          </w:tcPr>
          <w:p w:rsidR="008269D0" w:rsidRDefault="00BE670B">
            <w:pPr>
              <w:pStyle w:val="TableParagraph"/>
              <w:ind w:left="113"/>
              <w:rPr>
                <w:sz w:val="24"/>
              </w:rPr>
            </w:pPr>
            <w:r>
              <w:rPr>
                <w:sz w:val="24"/>
              </w:rPr>
              <w:t>3</w:t>
            </w:r>
          </w:p>
        </w:tc>
        <w:tc>
          <w:tcPr>
            <w:tcW w:w="1413" w:type="dxa"/>
          </w:tcPr>
          <w:p w:rsidR="008269D0" w:rsidRDefault="00BE670B">
            <w:pPr>
              <w:pStyle w:val="TableParagraph"/>
              <w:ind w:left="112"/>
              <w:rPr>
                <w:sz w:val="24"/>
              </w:rPr>
            </w:pPr>
            <w:r>
              <w:rPr>
                <w:sz w:val="24"/>
              </w:rPr>
              <w:t>20</w:t>
            </w:r>
          </w:p>
        </w:tc>
        <w:tc>
          <w:tcPr>
            <w:tcW w:w="1338" w:type="dxa"/>
          </w:tcPr>
          <w:p w:rsidR="008269D0" w:rsidRDefault="00BE670B">
            <w:pPr>
              <w:pStyle w:val="TableParagraph"/>
              <w:ind w:left="113"/>
              <w:rPr>
                <w:sz w:val="24"/>
              </w:rPr>
            </w:pPr>
            <w:r>
              <w:rPr>
                <w:sz w:val="24"/>
              </w:rPr>
              <w:t>2</w:t>
            </w:r>
          </w:p>
        </w:tc>
      </w:tr>
      <w:tr w:rsidR="008269D0">
        <w:trPr>
          <w:trHeight w:val="372"/>
        </w:trPr>
        <w:tc>
          <w:tcPr>
            <w:tcW w:w="3613" w:type="dxa"/>
          </w:tcPr>
          <w:p w:rsidR="008269D0" w:rsidRDefault="00BE670B">
            <w:pPr>
              <w:pStyle w:val="TableParagraph"/>
              <w:spacing w:before="47"/>
              <w:ind w:left="284"/>
              <w:rPr>
                <w:sz w:val="24"/>
              </w:rPr>
            </w:pPr>
            <w:r>
              <w:rPr>
                <w:sz w:val="24"/>
              </w:rPr>
              <w:t>Uric</w:t>
            </w:r>
            <w:r>
              <w:rPr>
                <w:spacing w:val="-1"/>
                <w:sz w:val="24"/>
              </w:rPr>
              <w:t xml:space="preserve"> </w:t>
            </w:r>
            <w:r>
              <w:rPr>
                <w:sz w:val="24"/>
              </w:rPr>
              <w:t>Acid</w:t>
            </w:r>
            <w:r>
              <w:rPr>
                <w:spacing w:val="-2"/>
                <w:sz w:val="24"/>
              </w:rPr>
              <w:t xml:space="preserve"> </w:t>
            </w:r>
            <w:r>
              <w:rPr>
                <w:sz w:val="24"/>
              </w:rPr>
              <w:t>Increased</w:t>
            </w:r>
          </w:p>
        </w:tc>
        <w:tc>
          <w:tcPr>
            <w:tcW w:w="1404" w:type="dxa"/>
          </w:tcPr>
          <w:p w:rsidR="008269D0" w:rsidRDefault="00BE670B">
            <w:pPr>
              <w:pStyle w:val="TableParagraph"/>
              <w:spacing w:before="47"/>
              <w:ind w:left="112"/>
              <w:rPr>
                <w:sz w:val="24"/>
              </w:rPr>
            </w:pPr>
            <w:r>
              <w:rPr>
                <w:sz w:val="24"/>
              </w:rPr>
              <w:t>29</w:t>
            </w:r>
          </w:p>
        </w:tc>
        <w:tc>
          <w:tcPr>
            <w:tcW w:w="1329" w:type="dxa"/>
          </w:tcPr>
          <w:p w:rsidR="008269D0" w:rsidRDefault="00BE670B">
            <w:pPr>
              <w:pStyle w:val="TableParagraph"/>
              <w:spacing w:before="47"/>
              <w:ind w:left="113"/>
              <w:rPr>
                <w:sz w:val="24"/>
              </w:rPr>
            </w:pPr>
            <w:r>
              <w:rPr>
                <w:sz w:val="24"/>
              </w:rPr>
              <w:t>29</w:t>
            </w:r>
          </w:p>
        </w:tc>
        <w:tc>
          <w:tcPr>
            <w:tcW w:w="1413" w:type="dxa"/>
          </w:tcPr>
          <w:p w:rsidR="008269D0" w:rsidRDefault="00BE670B">
            <w:pPr>
              <w:pStyle w:val="TableParagraph"/>
              <w:spacing w:before="47"/>
              <w:ind w:left="112"/>
              <w:rPr>
                <w:sz w:val="24"/>
              </w:rPr>
            </w:pPr>
            <w:r>
              <w:rPr>
                <w:sz w:val="24"/>
              </w:rPr>
              <w:t>11</w:t>
            </w:r>
          </w:p>
        </w:tc>
        <w:tc>
          <w:tcPr>
            <w:tcW w:w="1338" w:type="dxa"/>
          </w:tcPr>
          <w:p w:rsidR="008269D0" w:rsidRDefault="00BE670B">
            <w:pPr>
              <w:pStyle w:val="TableParagraph"/>
              <w:spacing w:before="47"/>
              <w:ind w:left="113"/>
              <w:rPr>
                <w:sz w:val="24"/>
              </w:rPr>
            </w:pPr>
            <w:r>
              <w:rPr>
                <w:sz w:val="24"/>
              </w:rPr>
              <w:t>11</w:t>
            </w:r>
          </w:p>
        </w:tc>
      </w:tr>
      <w:tr w:rsidR="008269D0">
        <w:trPr>
          <w:trHeight w:val="371"/>
        </w:trPr>
        <w:tc>
          <w:tcPr>
            <w:tcW w:w="3613" w:type="dxa"/>
          </w:tcPr>
          <w:p w:rsidR="008269D0" w:rsidRDefault="00BE670B">
            <w:pPr>
              <w:pStyle w:val="TableParagraph"/>
              <w:ind w:left="284"/>
              <w:rPr>
                <w:sz w:val="24"/>
              </w:rPr>
            </w:pPr>
            <w:r>
              <w:rPr>
                <w:sz w:val="24"/>
              </w:rPr>
              <w:t>Phosphate</w:t>
            </w:r>
            <w:r>
              <w:rPr>
                <w:spacing w:val="-1"/>
                <w:sz w:val="24"/>
              </w:rPr>
              <w:t xml:space="preserve"> </w:t>
            </w:r>
            <w:r>
              <w:rPr>
                <w:sz w:val="24"/>
              </w:rPr>
              <w:t>Decreased</w:t>
            </w:r>
          </w:p>
        </w:tc>
        <w:tc>
          <w:tcPr>
            <w:tcW w:w="1404" w:type="dxa"/>
          </w:tcPr>
          <w:p w:rsidR="008269D0" w:rsidRDefault="00BE670B">
            <w:pPr>
              <w:pStyle w:val="TableParagraph"/>
              <w:ind w:left="112"/>
              <w:rPr>
                <w:sz w:val="24"/>
              </w:rPr>
            </w:pPr>
            <w:r>
              <w:rPr>
                <w:sz w:val="24"/>
              </w:rPr>
              <w:t>27</w:t>
            </w:r>
          </w:p>
        </w:tc>
        <w:tc>
          <w:tcPr>
            <w:tcW w:w="1329" w:type="dxa"/>
          </w:tcPr>
          <w:p w:rsidR="008269D0" w:rsidRDefault="00BE670B">
            <w:pPr>
              <w:pStyle w:val="TableParagraph"/>
              <w:ind w:left="114"/>
              <w:rPr>
                <w:sz w:val="24"/>
              </w:rPr>
            </w:pPr>
            <w:r>
              <w:rPr>
                <w:sz w:val="24"/>
              </w:rPr>
              <w:t>5</w:t>
            </w:r>
          </w:p>
        </w:tc>
        <w:tc>
          <w:tcPr>
            <w:tcW w:w="1413" w:type="dxa"/>
          </w:tcPr>
          <w:p w:rsidR="008269D0" w:rsidRDefault="00BE670B">
            <w:pPr>
              <w:pStyle w:val="TableParagraph"/>
              <w:ind w:left="112"/>
              <w:rPr>
                <w:sz w:val="24"/>
              </w:rPr>
            </w:pPr>
            <w:r>
              <w:rPr>
                <w:sz w:val="24"/>
              </w:rPr>
              <w:t>26</w:t>
            </w:r>
          </w:p>
        </w:tc>
        <w:tc>
          <w:tcPr>
            <w:tcW w:w="1338" w:type="dxa"/>
          </w:tcPr>
          <w:p w:rsidR="008269D0" w:rsidRDefault="00BE670B">
            <w:pPr>
              <w:pStyle w:val="TableParagraph"/>
              <w:ind w:left="114"/>
              <w:rPr>
                <w:sz w:val="24"/>
              </w:rPr>
            </w:pPr>
            <w:r>
              <w:rPr>
                <w:sz w:val="24"/>
              </w:rPr>
              <w:t>5</w:t>
            </w:r>
          </w:p>
        </w:tc>
      </w:tr>
      <w:tr w:rsidR="008269D0">
        <w:trPr>
          <w:trHeight w:val="371"/>
        </w:trPr>
        <w:tc>
          <w:tcPr>
            <w:tcW w:w="3613" w:type="dxa"/>
          </w:tcPr>
          <w:p w:rsidR="008269D0" w:rsidRDefault="00BE670B">
            <w:pPr>
              <w:pStyle w:val="TableParagraph"/>
              <w:ind w:left="284"/>
              <w:rPr>
                <w:sz w:val="24"/>
              </w:rPr>
            </w:pPr>
            <w:r>
              <w:rPr>
                <w:sz w:val="24"/>
              </w:rPr>
              <w:t>Magnesium</w:t>
            </w:r>
            <w:r>
              <w:rPr>
                <w:spacing w:val="-3"/>
                <w:sz w:val="24"/>
              </w:rPr>
              <w:t xml:space="preserve"> </w:t>
            </w:r>
            <w:r>
              <w:rPr>
                <w:sz w:val="24"/>
              </w:rPr>
              <w:t>Decreased</w:t>
            </w:r>
          </w:p>
        </w:tc>
        <w:tc>
          <w:tcPr>
            <w:tcW w:w="1404" w:type="dxa"/>
          </w:tcPr>
          <w:p w:rsidR="008269D0" w:rsidRDefault="00BE670B">
            <w:pPr>
              <w:pStyle w:val="TableParagraph"/>
              <w:ind w:left="112"/>
              <w:rPr>
                <w:sz w:val="24"/>
              </w:rPr>
            </w:pPr>
            <w:r>
              <w:rPr>
                <w:sz w:val="24"/>
              </w:rPr>
              <w:t>17</w:t>
            </w:r>
          </w:p>
        </w:tc>
        <w:tc>
          <w:tcPr>
            <w:tcW w:w="1329" w:type="dxa"/>
          </w:tcPr>
          <w:p w:rsidR="008269D0" w:rsidRDefault="00BE670B">
            <w:pPr>
              <w:pStyle w:val="TableParagraph"/>
              <w:ind w:left="113"/>
              <w:rPr>
                <w:sz w:val="24"/>
              </w:rPr>
            </w:pPr>
            <w:r>
              <w:rPr>
                <w:sz w:val="24"/>
              </w:rPr>
              <w:t>&lt;1</w:t>
            </w:r>
          </w:p>
        </w:tc>
        <w:tc>
          <w:tcPr>
            <w:tcW w:w="1413" w:type="dxa"/>
          </w:tcPr>
          <w:p w:rsidR="008269D0" w:rsidRDefault="00BE670B">
            <w:pPr>
              <w:pStyle w:val="TableParagraph"/>
              <w:ind w:left="112"/>
              <w:rPr>
                <w:sz w:val="24"/>
              </w:rPr>
            </w:pPr>
            <w:r>
              <w:rPr>
                <w:sz w:val="24"/>
              </w:rPr>
              <w:t>8</w:t>
            </w:r>
          </w:p>
        </w:tc>
        <w:tc>
          <w:tcPr>
            <w:tcW w:w="1338" w:type="dxa"/>
          </w:tcPr>
          <w:p w:rsidR="008269D0" w:rsidRDefault="00BE670B">
            <w:pPr>
              <w:pStyle w:val="TableParagraph"/>
              <w:ind w:left="113"/>
              <w:rPr>
                <w:sz w:val="24"/>
              </w:rPr>
            </w:pPr>
            <w:r>
              <w:rPr>
                <w:sz w:val="24"/>
              </w:rPr>
              <w:t>&lt;1</w:t>
            </w:r>
          </w:p>
        </w:tc>
      </w:tr>
      <w:tr w:rsidR="008269D0">
        <w:trPr>
          <w:trHeight w:val="372"/>
        </w:trPr>
        <w:tc>
          <w:tcPr>
            <w:tcW w:w="3613" w:type="dxa"/>
          </w:tcPr>
          <w:p w:rsidR="008269D0" w:rsidRDefault="00BE670B">
            <w:pPr>
              <w:pStyle w:val="TableParagraph"/>
              <w:spacing w:before="47"/>
              <w:ind w:left="284"/>
              <w:rPr>
                <w:sz w:val="24"/>
              </w:rPr>
            </w:pPr>
            <w:r>
              <w:rPr>
                <w:sz w:val="24"/>
              </w:rPr>
              <w:t>Glucose</w:t>
            </w:r>
            <w:r>
              <w:rPr>
                <w:spacing w:val="-1"/>
                <w:sz w:val="24"/>
              </w:rPr>
              <w:t xml:space="preserve"> </w:t>
            </w:r>
            <w:r>
              <w:rPr>
                <w:sz w:val="24"/>
              </w:rPr>
              <w:t>Decreased</w:t>
            </w:r>
          </w:p>
        </w:tc>
        <w:tc>
          <w:tcPr>
            <w:tcW w:w="1404" w:type="dxa"/>
          </w:tcPr>
          <w:p w:rsidR="008269D0" w:rsidRDefault="00BE670B">
            <w:pPr>
              <w:pStyle w:val="TableParagraph"/>
              <w:spacing w:before="47"/>
              <w:ind w:left="112"/>
              <w:rPr>
                <w:sz w:val="24"/>
              </w:rPr>
            </w:pPr>
            <w:r>
              <w:rPr>
                <w:sz w:val="24"/>
              </w:rPr>
              <w:t>14</w:t>
            </w:r>
          </w:p>
        </w:tc>
        <w:tc>
          <w:tcPr>
            <w:tcW w:w="1329" w:type="dxa"/>
          </w:tcPr>
          <w:p w:rsidR="008269D0" w:rsidRDefault="00BE670B">
            <w:pPr>
              <w:pStyle w:val="TableParagraph"/>
              <w:spacing w:before="47"/>
              <w:ind w:left="113"/>
              <w:rPr>
                <w:sz w:val="24"/>
              </w:rPr>
            </w:pPr>
            <w:r>
              <w:rPr>
                <w:sz w:val="24"/>
              </w:rPr>
              <w:t>0</w:t>
            </w:r>
          </w:p>
        </w:tc>
        <w:tc>
          <w:tcPr>
            <w:tcW w:w="1413" w:type="dxa"/>
          </w:tcPr>
          <w:p w:rsidR="008269D0" w:rsidRDefault="00BE670B">
            <w:pPr>
              <w:pStyle w:val="TableParagraph"/>
              <w:spacing w:before="47"/>
              <w:ind w:left="112"/>
              <w:rPr>
                <w:sz w:val="24"/>
              </w:rPr>
            </w:pPr>
            <w:r>
              <w:rPr>
                <w:sz w:val="24"/>
              </w:rPr>
              <w:t>8</w:t>
            </w:r>
          </w:p>
        </w:tc>
        <w:tc>
          <w:tcPr>
            <w:tcW w:w="1338" w:type="dxa"/>
          </w:tcPr>
          <w:p w:rsidR="008269D0" w:rsidRDefault="00BE670B">
            <w:pPr>
              <w:pStyle w:val="TableParagraph"/>
              <w:spacing w:before="47"/>
              <w:ind w:left="113"/>
              <w:rPr>
                <w:sz w:val="24"/>
              </w:rPr>
            </w:pPr>
            <w:r>
              <w:rPr>
                <w:sz w:val="24"/>
              </w:rPr>
              <w:t>&lt;1</w:t>
            </w:r>
          </w:p>
        </w:tc>
      </w:tr>
      <w:tr w:rsidR="008269D0">
        <w:trPr>
          <w:trHeight w:val="371"/>
        </w:trPr>
        <w:tc>
          <w:tcPr>
            <w:tcW w:w="3613" w:type="dxa"/>
          </w:tcPr>
          <w:p w:rsidR="008269D0" w:rsidRDefault="00BE670B">
            <w:pPr>
              <w:pStyle w:val="TableParagraph"/>
              <w:ind w:left="284"/>
              <w:rPr>
                <w:sz w:val="24"/>
              </w:rPr>
            </w:pPr>
            <w:r>
              <w:rPr>
                <w:sz w:val="24"/>
              </w:rPr>
              <w:t>Calcium</w:t>
            </w:r>
            <w:r>
              <w:rPr>
                <w:spacing w:val="-3"/>
                <w:sz w:val="24"/>
              </w:rPr>
              <w:t xml:space="preserve"> </w:t>
            </w:r>
            <w:r>
              <w:rPr>
                <w:sz w:val="24"/>
              </w:rPr>
              <w:t>Increased</w:t>
            </w:r>
          </w:p>
        </w:tc>
        <w:tc>
          <w:tcPr>
            <w:tcW w:w="1404" w:type="dxa"/>
          </w:tcPr>
          <w:p w:rsidR="008269D0" w:rsidRDefault="00BE670B">
            <w:pPr>
              <w:pStyle w:val="TableParagraph"/>
              <w:ind w:left="112"/>
              <w:rPr>
                <w:sz w:val="24"/>
              </w:rPr>
            </w:pPr>
            <w:r>
              <w:rPr>
                <w:sz w:val="24"/>
              </w:rPr>
              <w:t>12</w:t>
            </w:r>
          </w:p>
        </w:tc>
        <w:tc>
          <w:tcPr>
            <w:tcW w:w="1329" w:type="dxa"/>
          </w:tcPr>
          <w:p w:rsidR="008269D0" w:rsidRDefault="00BE670B">
            <w:pPr>
              <w:pStyle w:val="TableParagraph"/>
              <w:ind w:left="113"/>
              <w:rPr>
                <w:sz w:val="24"/>
              </w:rPr>
            </w:pPr>
            <w:r>
              <w:rPr>
                <w:sz w:val="24"/>
              </w:rPr>
              <w:t>&lt;1</w:t>
            </w:r>
          </w:p>
        </w:tc>
        <w:tc>
          <w:tcPr>
            <w:tcW w:w="1413" w:type="dxa"/>
          </w:tcPr>
          <w:p w:rsidR="008269D0" w:rsidRDefault="00BE670B">
            <w:pPr>
              <w:pStyle w:val="TableParagraph"/>
              <w:ind w:left="112"/>
              <w:rPr>
                <w:sz w:val="24"/>
              </w:rPr>
            </w:pPr>
            <w:r>
              <w:rPr>
                <w:sz w:val="24"/>
              </w:rPr>
              <w:t>8</w:t>
            </w:r>
          </w:p>
        </w:tc>
        <w:tc>
          <w:tcPr>
            <w:tcW w:w="1338" w:type="dxa"/>
          </w:tcPr>
          <w:p w:rsidR="008269D0" w:rsidRDefault="00BE670B">
            <w:pPr>
              <w:pStyle w:val="TableParagraph"/>
              <w:ind w:left="113"/>
              <w:rPr>
                <w:sz w:val="24"/>
              </w:rPr>
            </w:pPr>
            <w:r>
              <w:rPr>
                <w:sz w:val="24"/>
              </w:rPr>
              <w:t>&lt;1</w:t>
            </w:r>
          </w:p>
        </w:tc>
      </w:tr>
      <w:tr w:rsidR="008269D0">
        <w:trPr>
          <w:trHeight w:val="371"/>
        </w:trPr>
        <w:tc>
          <w:tcPr>
            <w:tcW w:w="9097" w:type="dxa"/>
            <w:gridSpan w:val="5"/>
          </w:tcPr>
          <w:p w:rsidR="008269D0" w:rsidRDefault="00BE670B">
            <w:pPr>
              <w:pStyle w:val="TableParagraph"/>
              <w:spacing w:before="48"/>
              <w:ind w:left="113"/>
              <w:rPr>
                <w:b/>
                <w:sz w:val="24"/>
              </w:rPr>
            </w:pPr>
            <w:r>
              <w:rPr>
                <w:b/>
                <w:sz w:val="24"/>
              </w:rPr>
              <w:t>Haematology</w:t>
            </w:r>
          </w:p>
        </w:tc>
      </w:tr>
      <w:tr w:rsidR="008269D0">
        <w:trPr>
          <w:trHeight w:val="372"/>
        </w:trPr>
        <w:tc>
          <w:tcPr>
            <w:tcW w:w="3613" w:type="dxa"/>
          </w:tcPr>
          <w:p w:rsidR="008269D0" w:rsidRDefault="00BE670B">
            <w:pPr>
              <w:pStyle w:val="TableParagraph"/>
              <w:spacing w:before="47"/>
              <w:ind w:left="284"/>
              <w:rPr>
                <w:sz w:val="24"/>
              </w:rPr>
            </w:pPr>
            <w:r>
              <w:rPr>
                <w:sz w:val="24"/>
              </w:rPr>
              <w:t>CD4</w:t>
            </w:r>
            <w:r>
              <w:rPr>
                <w:spacing w:val="-1"/>
                <w:sz w:val="24"/>
              </w:rPr>
              <w:t xml:space="preserve"> </w:t>
            </w:r>
            <w:r>
              <w:rPr>
                <w:sz w:val="24"/>
              </w:rPr>
              <w:t>Lymphocytes</w:t>
            </w:r>
            <w:r>
              <w:rPr>
                <w:spacing w:val="-1"/>
                <w:sz w:val="24"/>
              </w:rPr>
              <w:t xml:space="preserve"> </w:t>
            </w:r>
            <w:r>
              <w:rPr>
                <w:sz w:val="24"/>
              </w:rPr>
              <w:t>Decreased</w:t>
            </w:r>
            <w:r>
              <w:rPr>
                <w:spacing w:val="-2"/>
                <w:sz w:val="24"/>
              </w:rPr>
              <w:t xml:space="preserve"> </w:t>
            </w:r>
            <w:r>
              <w:rPr>
                <w:sz w:val="24"/>
                <w:vertAlign w:val="superscript"/>
              </w:rPr>
              <w:t>b</w:t>
            </w:r>
          </w:p>
        </w:tc>
        <w:tc>
          <w:tcPr>
            <w:tcW w:w="1404" w:type="dxa"/>
          </w:tcPr>
          <w:p w:rsidR="008269D0" w:rsidRDefault="00BE670B">
            <w:pPr>
              <w:pStyle w:val="TableParagraph"/>
              <w:spacing w:before="47"/>
              <w:ind w:left="112"/>
              <w:rPr>
                <w:sz w:val="24"/>
              </w:rPr>
            </w:pPr>
            <w:r>
              <w:rPr>
                <w:sz w:val="24"/>
              </w:rPr>
              <w:t>63</w:t>
            </w:r>
          </w:p>
        </w:tc>
        <w:tc>
          <w:tcPr>
            <w:tcW w:w="1329" w:type="dxa"/>
          </w:tcPr>
          <w:p w:rsidR="008269D0" w:rsidRDefault="00BE670B">
            <w:pPr>
              <w:pStyle w:val="TableParagraph"/>
              <w:spacing w:before="47"/>
              <w:ind w:left="113"/>
              <w:rPr>
                <w:sz w:val="24"/>
              </w:rPr>
            </w:pPr>
            <w:r>
              <w:rPr>
                <w:sz w:val="24"/>
              </w:rPr>
              <w:t>43</w:t>
            </w:r>
          </w:p>
        </w:tc>
        <w:tc>
          <w:tcPr>
            <w:tcW w:w="1413" w:type="dxa"/>
          </w:tcPr>
          <w:p w:rsidR="008269D0" w:rsidRDefault="00BE670B">
            <w:pPr>
              <w:pStyle w:val="TableParagraph"/>
              <w:spacing w:before="47"/>
              <w:ind w:left="112"/>
              <w:rPr>
                <w:sz w:val="24"/>
              </w:rPr>
            </w:pPr>
            <w:r>
              <w:rPr>
                <w:sz w:val="24"/>
              </w:rPr>
              <w:t>17</w:t>
            </w:r>
          </w:p>
        </w:tc>
        <w:tc>
          <w:tcPr>
            <w:tcW w:w="1338" w:type="dxa"/>
          </w:tcPr>
          <w:p w:rsidR="008269D0" w:rsidRDefault="00BE670B">
            <w:pPr>
              <w:pStyle w:val="TableParagraph"/>
              <w:spacing w:before="47"/>
              <w:ind w:left="113"/>
              <w:rPr>
                <w:sz w:val="24"/>
              </w:rPr>
            </w:pPr>
            <w:r>
              <w:rPr>
                <w:sz w:val="24"/>
              </w:rPr>
              <w:t>8</w:t>
            </w:r>
          </w:p>
        </w:tc>
      </w:tr>
      <w:tr w:rsidR="008269D0">
        <w:trPr>
          <w:trHeight w:val="371"/>
        </w:trPr>
        <w:tc>
          <w:tcPr>
            <w:tcW w:w="3613" w:type="dxa"/>
          </w:tcPr>
          <w:p w:rsidR="008269D0" w:rsidRDefault="00BE670B">
            <w:pPr>
              <w:pStyle w:val="TableParagraph"/>
              <w:ind w:left="284"/>
              <w:rPr>
                <w:sz w:val="24"/>
              </w:rPr>
            </w:pPr>
            <w:r>
              <w:rPr>
                <w:sz w:val="24"/>
              </w:rPr>
              <w:t>Lymphocytes</w:t>
            </w:r>
            <w:r>
              <w:rPr>
                <w:spacing w:val="-1"/>
                <w:sz w:val="24"/>
              </w:rPr>
              <w:t xml:space="preserve"> </w:t>
            </w:r>
            <w:r>
              <w:rPr>
                <w:sz w:val="24"/>
              </w:rPr>
              <w:t>Decreased</w:t>
            </w:r>
          </w:p>
        </w:tc>
        <w:tc>
          <w:tcPr>
            <w:tcW w:w="1404" w:type="dxa"/>
          </w:tcPr>
          <w:p w:rsidR="008269D0" w:rsidRDefault="00BE670B">
            <w:pPr>
              <w:pStyle w:val="TableParagraph"/>
              <w:ind w:left="112"/>
              <w:rPr>
                <w:sz w:val="24"/>
              </w:rPr>
            </w:pPr>
            <w:r>
              <w:rPr>
                <w:sz w:val="24"/>
              </w:rPr>
              <w:t>31</w:t>
            </w:r>
          </w:p>
        </w:tc>
        <w:tc>
          <w:tcPr>
            <w:tcW w:w="1329" w:type="dxa"/>
          </w:tcPr>
          <w:p w:rsidR="008269D0" w:rsidRDefault="00BE670B">
            <w:pPr>
              <w:pStyle w:val="TableParagraph"/>
              <w:ind w:left="113"/>
              <w:rPr>
                <w:sz w:val="24"/>
              </w:rPr>
            </w:pPr>
            <w:r>
              <w:rPr>
                <w:sz w:val="24"/>
              </w:rPr>
              <w:t>16</w:t>
            </w:r>
          </w:p>
        </w:tc>
        <w:tc>
          <w:tcPr>
            <w:tcW w:w="1413" w:type="dxa"/>
          </w:tcPr>
          <w:p w:rsidR="008269D0" w:rsidRDefault="00BE670B">
            <w:pPr>
              <w:pStyle w:val="TableParagraph"/>
              <w:ind w:left="112"/>
              <w:rPr>
                <w:sz w:val="24"/>
              </w:rPr>
            </w:pPr>
            <w:r>
              <w:rPr>
                <w:sz w:val="24"/>
              </w:rPr>
              <w:t>12</w:t>
            </w:r>
          </w:p>
        </w:tc>
        <w:tc>
          <w:tcPr>
            <w:tcW w:w="1338" w:type="dxa"/>
          </w:tcPr>
          <w:p w:rsidR="008269D0" w:rsidRDefault="00BE670B">
            <w:pPr>
              <w:pStyle w:val="TableParagraph"/>
              <w:ind w:left="113"/>
              <w:rPr>
                <w:sz w:val="24"/>
              </w:rPr>
            </w:pPr>
            <w:r>
              <w:rPr>
                <w:sz w:val="24"/>
              </w:rPr>
              <w:t>4</w:t>
            </w:r>
          </w:p>
        </w:tc>
      </w:tr>
      <w:tr w:rsidR="008269D0">
        <w:trPr>
          <w:trHeight w:val="371"/>
        </w:trPr>
        <w:tc>
          <w:tcPr>
            <w:tcW w:w="3613" w:type="dxa"/>
          </w:tcPr>
          <w:p w:rsidR="008269D0" w:rsidRDefault="00BE670B">
            <w:pPr>
              <w:pStyle w:val="TableParagraph"/>
              <w:ind w:left="284"/>
              <w:rPr>
                <w:sz w:val="24"/>
              </w:rPr>
            </w:pPr>
            <w:r>
              <w:rPr>
                <w:sz w:val="24"/>
              </w:rPr>
              <w:t>White</w:t>
            </w:r>
            <w:r>
              <w:rPr>
                <w:spacing w:val="-1"/>
                <w:sz w:val="24"/>
              </w:rPr>
              <w:t xml:space="preserve"> </w:t>
            </w:r>
            <w:r>
              <w:rPr>
                <w:sz w:val="24"/>
              </w:rPr>
              <w:t>Blood</w:t>
            </w:r>
            <w:r>
              <w:rPr>
                <w:spacing w:val="-1"/>
                <w:sz w:val="24"/>
              </w:rPr>
              <w:t xml:space="preserve"> </w:t>
            </w:r>
            <w:r>
              <w:rPr>
                <w:sz w:val="24"/>
              </w:rPr>
              <w:t>Cells</w:t>
            </w:r>
            <w:r>
              <w:rPr>
                <w:spacing w:val="-1"/>
                <w:sz w:val="24"/>
              </w:rPr>
              <w:t xml:space="preserve"> </w:t>
            </w:r>
            <w:r>
              <w:rPr>
                <w:sz w:val="24"/>
              </w:rPr>
              <w:t>Decreased</w:t>
            </w:r>
          </w:p>
        </w:tc>
        <w:tc>
          <w:tcPr>
            <w:tcW w:w="1404" w:type="dxa"/>
          </w:tcPr>
          <w:p w:rsidR="008269D0" w:rsidRDefault="00BE670B">
            <w:pPr>
              <w:pStyle w:val="TableParagraph"/>
              <w:ind w:left="112"/>
              <w:rPr>
                <w:sz w:val="24"/>
              </w:rPr>
            </w:pPr>
            <w:r>
              <w:rPr>
                <w:sz w:val="24"/>
              </w:rPr>
              <w:t>33</w:t>
            </w:r>
          </w:p>
        </w:tc>
        <w:tc>
          <w:tcPr>
            <w:tcW w:w="1329" w:type="dxa"/>
          </w:tcPr>
          <w:p w:rsidR="008269D0" w:rsidRDefault="00BE670B">
            <w:pPr>
              <w:pStyle w:val="TableParagraph"/>
              <w:ind w:left="113"/>
              <w:rPr>
                <w:sz w:val="24"/>
              </w:rPr>
            </w:pPr>
            <w:r>
              <w:rPr>
                <w:sz w:val="24"/>
              </w:rPr>
              <w:t>2</w:t>
            </w:r>
          </w:p>
        </w:tc>
        <w:tc>
          <w:tcPr>
            <w:tcW w:w="1413" w:type="dxa"/>
          </w:tcPr>
          <w:p w:rsidR="008269D0" w:rsidRDefault="00BE670B">
            <w:pPr>
              <w:pStyle w:val="TableParagraph"/>
              <w:ind w:left="112"/>
              <w:rPr>
                <w:sz w:val="24"/>
              </w:rPr>
            </w:pPr>
            <w:r>
              <w:rPr>
                <w:sz w:val="24"/>
              </w:rPr>
              <w:t>18</w:t>
            </w:r>
          </w:p>
        </w:tc>
        <w:tc>
          <w:tcPr>
            <w:tcW w:w="1338" w:type="dxa"/>
          </w:tcPr>
          <w:p w:rsidR="008269D0" w:rsidRDefault="00BE670B">
            <w:pPr>
              <w:pStyle w:val="TableParagraph"/>
              <w:ind w:left="113"/>
              <w:rPr>
                <w:sz w:val="24"/>
              </w:rPr>
            </w:pPr>
            <w:r>
              <w:rPr>
                <w:sz w:val="24"/>
              </w:rPr>
              <w:t>2</w:t>
            </w:r>
          </w:p>
        </w:tc>
      </w:tr>
    </w:tbl>
    <w:p w:rsidR="008269D0" w:rsidRDefault="00BE670B">
      <w:pPr>
        <w:spacing w:before="46"/>
        <w:ind w:left="362" w:right="446" w:hanging="1"/>
        <w:rPr>
          <w:sz w:val="20"/>
        </w:rPr>
      </w:pPr>
      <w:r>
        <w:rPr>
          <w:sz w:val="20"/>
          <w:vertAlign w:val="superscript"/>
        </w:rPr>
        <w:t>a</w:t>
      </w:r>
      <w:r>
        <w:rPr>
          <w:sz w:val="20"/>
        </w:rPr>
        <w:t xml:space="preserve"> Includes laboratory abnormalities, reported up to 90 days after treatment, that are new or worsening in grade</w:t>
      </w:r>
      <w:r>
        <w:rPr>
          <w:spacing w:val="-47"/>
          <w:sz w:val="20"/>
        </w:rPr>
        <w:t xml:space="preserve"> </w:t>
      </w:r>
      <w:r>
        <w:rPr>
          <w:sz w:val="20"/>
        </w:rPr>
        <w:t>or</w:t>
      </w:r>
      <w:r>
        <w:rPr>
          <w:spacing w:val="-2"/>
          <w:sz w:val="20"/>
        </w:rPr>
        <w:t xml:space="preserve"> </w:t>
      </w:r>
      <w:r>
        <w:rPr>
          <w:sz w:val="20"/>
        </w:rPr>
        <w:t>with</w:t>
      </w:r>
      <w:r>
        <w:rPr>
          <w:spacing w:val="-1"/>
          <w:sz w:val="20"/>
        </w:rPr>
        <w:t xml:space="preserve"> </w:t>
      </w:r>
      <w:r>
        <w:rPr>
          <w:sz w:val="20"/>
        </w:rPr>
        <w:t>worsening</w:t>
      </w:r>
      <w:r>
        <w:rPr>
          <w:spacing w:val="-1"/>
          <w:sz w:val="20"/>
        </w:rPr>
        <w:t xml:space="preserve"> </w:t>
      </w:r>
      <w:r>
        <w:rPr>
          <w:sz w:val="20"/>
        </w:rPr>
        <w:t>from</w:t>
      </w:r>
      <w:r>
        <w:rPr>
          <w:spacing w:val="-2"/>
          <w:sz w:val="20"/>
        </w:rPr>
        <w:t xml:space="preserve"> </w:t>
      </w:r>
      <w:r>
        <w:rPr>
          <w:sz w:val="20"/>
        </w:rPr>
        <w:t>baseline</w:t>
      </w:r>
      <w:r>
        <w:rPr>
          <w:spacing w:val="-1"/>
          <w:sz w:val="20"/>
        </w:rPr>
        <w:t xml:space="preserve"> </w:t>
      </w:r>
      <w:r>
        <w:rPr>
          <w:sz w:val="20"/>
        </w:rPr>
        <w:t>unknown.</w:t>
      </w:r>
    </w:p>
    <w:p w:rsidR="008269D0" w:rsidRDefault="00BE670B" w:rsidP="00BE670B">
      <w:pPr>
        <w:spacing w:before="49" w:after="240"/>
        <w:ind w:left="361"/>
        <w:rPr>
          <w:sz w:val="20"/>
        </w:rPr>
      </w:pPr>
      <w:r>
        <w:rPr>
          <w:sz w:val="20"/>
          <w:vertAlign w:val="superscript"/>
        </w:rPr>
        <w:t>b</w:t>
      </w:r>
      <w:r>
        <w:rPr>
          <w:spacing w:val="-2"/>
          <w:sz w:val="20"/>
        </w:rPr>
        <w:t xml:space="preserve"> </w:t>
      </w:r>
      <w:r>
        <w:rPr>
          <w:sz w:val="20"/>
        </w:rPr>
        <w:t>Out</w:t>
      </w:r>
      <w:r>
        <w:rPr>
          <w:spacing w:val="-4"/>
          <w:sz w:val="20"/>
        </w:rPr>
        <w:t xml:space="preserve"> </w:t>
      </w:r>
      <w:r>
        <w:rPr>
          <w:sz w:val="20"/>
        </w:rPr>
        <w:t>of</w:t>
      </w:r>
      <w:r>
        <w:rPr>
          <w:spacing w:val="-3"/>
          <w:sz w:val="20"/>
        </w:rPr>
        <w:t xml:space="preserve"> </w:t>
      </w:r>
      <w:r>
        <w:rPr>
          <w:sz w:val="20"/>
        </w:rPr>
        <w:t>99</w:t>
      </w:r>
      <w:r>
        <w:rPr>
          <w:spacing w:val="-3"/>
          <w:sz w:val="20"/>
        </w:rPr>
        <w:t xml:space="preserve"> </w:t>
      </w:r>
      <w:r>
        <w:rPr>
          <w:sz w:val="20"/>
        </w:rPr>
        <w:t>evaluable</w:t>
      </w:r>
      <w:r>
        <w:rPr>
          <w:spacing w:val="-3"/>
          <w:sz w:val="20"/>
        </w:rPr>
        <w:t xml:space="preserve"> </w:t>
      </w:r>
      <w:r>
        <w:rPr>
          <w:sz w:val="20"/>
        </w:rPr>
        <w:t>recipients</w:t>
      </w:r>
      <w:r>
        <w:rPr>
          <w:spacing w:val="-1"/>
          <w:sz w:val="20"/>
        </w:rPr>
        <w:t xml:space="preserve"> </w:t>
      </w:r>
      <w:r>
        <w:rPr>
          <w:sz w:val="20"/>
        </w:rPr>
        <w:t>of</w:t>
      </w:r>
      <w:r>
        <w:rPr>
          <w:spacing w:val="-3"/>
          <w:sz w:val="20"/>
        </w:rPr>
        <w:t xml:space="preserve"> </w:t>
      </w:r>
      <w:r>
        <w:rPr>
          <w:sz w:val="20"/>
        </w:rPr>
        <w:t>POTELIGEO</w:t>
      </w:r>
      <w:r>
        <w:rPr>
          <w:spacing w:val="-3"/>
          <w:sz w:val="20"/>
        </w:rPr>
        <w:t xml:space="preserve"> </w:t>
      </w:r>
      <w:r>
        <w:rPr>
          <w:sz w:val="20"/>
        </w:rPr>
        <w:t>and</w:t>
      </w:r>
      <w:r>
        <w:rPr>
          <w:spacing w:val="-3"/>
          <w:sz w:val="20"/>
        </w:rPr>
        <w:t xml:space="preserve"> </w:t>
      </w:r>
      <w:r>
        <w:rPr>
          <w:sz w:val="20"/>
        </w:rPr>
        <w:t>36</w:t>
      </w:r>
      <w:r>
        <w:rPr>
          <w:spacing w:val="-1"/>
          <w:sz w:val="20"/>
        </w:rPr>
        <w:t xml:space="preserve"> </w:t>
      </w:r>
      <w:r>
        <w:rPr>
          <w:sz w:val="20"/>
        </w:rPr>
        <w:t>evaluable</w:t>
      </w:r>
      <w:r>
        <w:rPr>
          <w:spacing w:val="-2"/>
          <w:sz w:val="20"/>
        </w:rPr>
        <w:t xml:space="preserve"> </w:t>
      </w:r>
      <w:r>
        <w:rPr>
          <w:sz w:val="20"/>
        </w:rPr>
        <w:t>recipients</w:t>
      </w:r>
      <w:r>
        <w:rPr>
          <w:spacing w:val="-3"/>
          <w:sz w:val="20"/>
        </w:rPr>
        <w:t xml:space="preserve"> </w:t>
      </w:r>
      <w:r>
        <w:rPr>
          <w:sz w:val="20"/>
        </w:rPr>
        <w:t>of</w:t>
      </w:r>
      <w:r>
        <w:rPr>
          <w:spacing w:val="-2"/>
          <w:sz w:val="20"/>
        </w:rPr>
        <w:t xml:space="preserve"> </w:t>
      </w:r>
      <w:r>
        <w:rPr>
          <w:sz w:val="20"/>
        </w:rPr>
        <w:t>vorinostat.</w:t>
      </w:r>
    </w:p>
    <w:p w:rsidR="008269D0" w:rsidRDefault="00BE670B">
      <w:pPr>
        <w:pStyle w:val="Heading2"/>
        <w:spacing w:before="90"/>
      </w:pPr>
      <w:bookmarkStart w:id="39" w:name="Description_of_selected_adverse_events"/>
      <w:bookmarkEnd w:id="39"/>
      <w:r>
        <w:t>Description</w:t>
      </w:r>
      <w:r>
        <w:rPr>
          <w:spacing w:val="-4"/>
        </w:rPr>
        <w:t xml:space="preserve"> </w:t>
      </w:r>
      <w:r>
        <w:t>of</w:t>
      </w:r>
      <w:r>
        <w:rPr>
          <w:spacing w:val="-1"/>
        </w:rPr>
        <w:t xml:space="preserve"> </w:t>
      </w:r>
      <w:r>
        <w:t>selected</w:t>
      </w:r>
      <w:r>
        <w:rPr>
          <w:spacing w:val="-4"/>
        </w:rPr>
        <w:t xml:space="preserve"> </w:t>
      </w:r>
      <w:r>
        <w:t>adverse</w:t>
      </w:r>
      <w:r>
        <w:rPr>
          <w:spacing w:val="-1"/>
        </w:rPr>
        <w:t xml:space="preserve"> </w:t>
      </w:r>
      <w:r>
        <w:t>events</w:t>
      </w:r>
    </w:p>
    <w:p w:rsidR="008269D0" w:rsidRDefault="00BE670B">
      <w:pPr>
        <w:spacing w:before="118"/>
        <w:ind w:left="118"/>
        <w:rPr>
          <w:i/>
          <w:sz w:val="24"/>
        </w:rPr>
      </w:pPr>
      <w:r>
        <w:rPr>
          <w:i/>
          <w:sz w:val="24"/>
          <w:u w:val="single"/>
        </w:rPr>
        <w:t>Dermatologic</w:t>
      </w:r>
      <w:r>
        <w:rPr>
          <w:i/>
          <w:spacing w:val="-1"/>
          <w:sz w:val="24"/>
          <w:u w:val="single"/>
        </w:rPr>
        <w:t xml:space="preserve"> </w:t>
      </w:r>
      <w:r>
        <w:rPr>
          <w:i/>
          <w:sz w:val="24"/>
          <w:u w:val="single"/>
        </w:rPr>
        <w:t>reactions</w:t>
      </w:r>
    </w:p>
    <w:p w:rsidR="008269D0" w:rsidRDefault="00BE670B">
      <w:pPr>
        <w:pStyle w:val="BodyText"/>
        <w:spacing w:before="119"/>
        <w:ind w:right="634"/>
      </w:pPr>
      <w:r>
        <w:t>Patients receiving POTELIGEO have experienced drug rash (drug eruption), some of which</w:t>
      </w:r>
      <w:r>
        <w:rPr>
          <w:spacing w:val="-57"/>
        </w:rPr>
        <w:t xml:space="preserve"> </w:t>
      </w:r>
      <w:r>
        <w:t>were</w:t>
      </w:r>
      <w:r>
        <w:rPr>
          <w:spacing w:val="-2"/>
        </w:rPr>
        <w:t xml:space="preserve"> </w:t>
      </w:r>
      <w:r>
        <w:t>severe</w:t>
      </w:r>
      <w:r>
        <w:rPr>
          <w:spacing w:val="-2"/>
        </w:rPr>
        <w:t xml:space="preserve"> </w:t>
      </w:r>
      <w:r>
        <w:t>and/or</w:t>
      </w:r>
      <w:r>
        <w:rPr>
          <w:spacing w:val="-1"/>
        </w:rPr>
        <w:t xml:space="preserve"> </w:t>
      </w:r>
      <w:r>
        <w:t>serious.</w:t>
      </w:r>
      <w:r>
        <w:rPr>
          <w:spacing w:val="-2"/>
        </w:rPr>
        <w:t xml:space="preserve"> </w:t>
      </w:r>
      <w:r>
        <w:t>The</w:t>
      </w:r>
      <w:r>
        <w:rPr>
          <w:spacing w:val="-2"/>
        </w:rPr>
        <w:t xml:space="preserve"> </w:t>
      </w:r>
      <w:r>
        <w:t>majority</w:t>
      </w:r>
      <w:r>
        <w:rPr>
          <w:spacing w:val="-1"/>
        </w:rPr>
        <w:t xml:space="preserve"> </w:t>
      </w:r>
      <w:r>
        <w:t>of</w:t>
      </w:r>
      <w:r>
        <w:rPr>
          <w:spacing w:val="-2"/>
        </w:rPr>
        <w:t xml:space="preserve"> </w:t>
      </w:r>
      <w:r>
        <w:t>treatment-related</w:t>
      </w:r>
      <w:r>
        <w:rPr>
          <w:spacing w:val="-3"/>
        </w:rPr>
        <w:t xml:space="preserve"> </w:t>
      </w:r>
      <w:r>
        <w:t>dermatologic</w:t>
      </w:r>
      <w:r>
        <w:rPr>
          <w:spacing w:val="-2"/>
        </w:rPr>
        <w:t xml:space="preserve"> </w:t>
      </w:r>
      <w:r>
        <w:t>reactions</w:t>
      </w:r>
      <w:r>
        <w:rPr>
          <w:spacing w:val="-3"/>
        </w:rPr>
        <w:t xml:space="preserve"> </w:t>
      </w:r>
      <w:r>
        <w:t>were</w:t>
      </w:r>
    </w:p>
    <w:p w:rsidR="008269D0" w:rsidRDefault="00BE670B">
      <w:pPr>
        <w:pStyle w:val="BodyText"/>
        <w:ind w:right="156"/>
      </w:pPr>
      <w:r>
        <w:t>Grade 1 or 2, with Grade ≥3 drug rash occurring in 4.3% of patients. No trend in latency to event</w:t>
      </w:r>
      <w:r>
        <w:rPr>
          <w:spacing w:val="-57"/>
        </w:rPr>
        <w:t xml:space="preserve"> </w:t>
      </w:r>
      <w:r>
        <w:t>onset</w:t>
      </w:r>
      <w:r>
        <w:rPr>
          <w:spacing w:val="-1"/>
        </w:rPr>
        <w:t xml:space="preserve"> </w:t>
      </w:r>
      <w:r>
        <w:t>was</w:t>
      </w:r>
      <w:r>
        <w:rPr>
          <w:spacing w:val="-1"/>
        </w:rPr>
        <w:t xml:space="preserve"> </w:t>
      </w:r>
      <w:r>
        <w:t>identified</w:t>
      </w:r>
      <w:r>
        <w:rPr>
          <w:spacing w:val="-1"/>
        </w:rPr>
        <w:t xml:space="preserve"> </w:t>
      </w:r>
      <w:r>
        <w:t>for</w:t>
      </w:r>
      <w:r>
        <w:rPr>
          <w:spacing w:val="-1"/>
        </w:rPr>
        <w:t xml:space="preserve"> </w:t>
      </w:r>
      <w:r>
        <w:t>drug</w:t>
      </w:r>
      <w:r>
        <w:rPr>
          <w:spacing w:val="-1"/>
        </w:rPr>
        <w:t xml:space="preserve"> </w:t>
      </w:r>
      <w:r>
        <w:t>eruptions</w:t>
      </w:r>
      <w:r>
        <w:rPr>
          <w:spacing w:val="-1"/>
        </w:rPr>
        <w:t xml:space="preserve"> </w:t>
      </w:r>
      <w:r>
        <w:t>and</w:t>
      </w:r>
      <w:r>
        <w:rPr>
          <w:spacing w:val="-1"/>
        </w:rPr>
        <w:t xml:space="preserve"> </w:t>
      </w:r>
      <w:r>
        <w:t>rashes; both</w:t>
      </w:r>
      <w:r>
        <w:rPr>
          <w:spacing w:val="-1"/>
        </w:rPr>
        <w:t xml:space="preserve"> </w:t>
      </w:r>
      <w:r>
        <w:t>early</w:t>
      </w:r>
      <w:r>
        <w:rPr>
          <w:spacing w:val="-3"/>
        </w:rPr>
        <w:t xml:space="preserve"> </w:t>
      </w:r>
      <w:r>
        <w:t>and</w:t>
      </w:r>
      <w:r>
        <w:rPr>
          <w:spacing w:val="-1"/>
        </w:rPr>
        <w:t xml:space="preserve"> </w:t>
      </w:r>
      <w:r>
        <w:t>late-onset events</w:t>
      </w:r>
      <w:r>
        <w:rPr>
          <w:spacing w:val="-1"/>
        </w:rPr>
        <w:t xml:space="preserve"> </w:t>
      </w:r>
      <w:r>
        <w:t>occurred.</w:t>
      </w:r>
    </w:p>
    <w:p w:rsidR="008269D0" w:rsidRDefault="00BE670B">
      <w:pPr>
        <w:spacing w:before="122"/>
        <w:ind w:left="118"/>
        <w:rPr>
          <w:i/>
          <w:sz w:val="24"/>
        </w:rPr>
      </w:pPr>
      <w:r>
        <w:rPr>
          <w:i/>
          <w:sz w:val="24"/>
          <w:u w:val="single"/>
        </w:rPr>
        <w:t>Infusion-related</w:t>
      </w:r>
      <w:r>
        <w:rPr>
          <w:i/>
          <w:spacing w:val="-2"/>
          <w:sz w:val="24"/>
          <w:u w:val="single"/>
        </w:rPr>
        <w:t xml:space="preserve"> </w:t>
      </w:r>
      <w:r>
        <w:rPr>
          <w:i/>
          <w:sz w:val="24"/>
          <w:u w:val="single"/>
        </w:rPr>
        <w:t>reactions</w:t>
      </w:r>
    </w:p>
    <w:p w:rsidR="008269D0" w:rsidRDefault="00BE670B">
      <w:pPr>
        <w:pStyle w:val="BodyText"/>
        <w:spacing w:before="118"/>
        <w:ind w:right="149"/>
      </w:pPr>
      <w:r>
        <w:t>Infusion-related reactions have been observed in 33% of patients treated with POTELIGEO. The</w:t>
      </w:r>
      <w:r>
        <w:rPr>
          <w:spacing w:val="-57"/>
        </w:rPr>
        <w:t xml:space="preserve"> </w:t>
      </w:r>
      <w:r>
        <w:t>majority of treatment-related infusion-related reactions were Grade 1 or 2 and occurred during or</w:t>
      </w:r>
      <w:r>
        <w:rPr>
          <w:spacing w:val="-57"/>
        </w:rPr>
        <w:t xml:space="preserve"> </w:t>
      </w:r>
      <w:r>
        <w:t>shortly after the first infusion. Severe reactions (Grade 3) were experienced by 1.6% of the</w:t>
      </w:r>
      <w:r>
        <w:rPr>
          <w:spacing w:val="1"/>
        </w:rPr>
        <w:t xml:space="preserve"> </w:t>
      </w:r>
      <w:r>
        <w:t>patients in the randomised phase of the study and 4.4% of patients in the crossover phase of the</w:t>
      </w:r>
      <w:r>
        <w:rPr>
          <w:spacing w:val="1"/>
        </w:rPr>
        <w:t xml:space="preserve"> </w:t>
      </w:r>
      <w:r>
        <w:t>study.</w:t>
      </w:r>
    </w:p>
    <w:p w:rsidR="008269D0" w:rsidRDefault="00BE670B">
      <w:pPr>
        <w:pStyle w:val="BodyText"/>
        <w:spacing w:before="121"/>
        <w:ind w:right="1021"/>
      </w:pPr>
      <w:r>
        <w:t>The incidence of infusion related reactions was highest after the first infusion (28.8% of</w:t>
      </w:r>
      <w:r>
        <w:rPr>
          <w:spacing w:val="-57"/>
        </w:rPr>
        <w:t xml:space="preserve"> </w:t>
      </w:r>
      <w:r>
        <w:t>patients),</w:t>
      </w:r>
      <w:r>
        <w:rPr>
          <w:spacing w:val="-3"/>
        </w:rPr>
        <w:t xml:space="preserve"> </w:t>
      </w:r>
      <w:r>
        <w:t>reducing to ≤</w:t>
      </w:r>
      <w:r>
        <w:rPr>
          <w:spacing w:val="-2"/>
        </w:rPr>
        <w:t xml:space="preserve"> </w:t>
      </w:r>
      <w:r>
        <w:t>3.8% of</w:t>
      </w:r>
      <w:r>
        <w:rPr>
          <w:spacing w:val="-1"/>
        </w:rPr>
        <w:t xml:space="preserve"> </w:t>
      </w:r>
      <w:r>
        <w:t>patients after</w:t>
      </w:r>
      <w:r>
        <w:rPr>
          <w:spacing w:val="-1"/>
        </w:rPr>
        <w:t xml:space="preserve"> </w:t>
      </w:r>
      <w:r>
        <w:t>two or more infusions.</w:t>
      </w:r>
    </w:p>
    <w:p w:rsidR="008269D0" w:rsidRDefault="00BE670B">
      <w:pPr>
        <w:pStyle w:val="BodyText"/>
        <w:spacing w:before="120"/>
        <w:ind w:right="327"/>
      </w:pPr>
      <w:r>
        <w:t>Infusion interruptions occurred in approximately 6% of patients, most of which (approximately</w:t>
      </w:r>
      <w:r>
        <w:rPr>
          <w:spacing w:val="-57"/>
        </w:rPr>
        <w:t xml:space="preserve"> </w:t>
      </w:r>
      <w:r>
        <w:t>90%)</w:t>
      </w:r>
      <w:r>
        <w:rPr>
          <w:spacing w:val="-1"/>
        </w:rPr>
        <w:t xml:space="preserve"> </w:t>
      </w:r>
      <w:r>
        <w:t>occurred within</w:t>
      </w:r>
      <w:r>
        <w:rPr>
          <w:spacing w:val="-3"/>
        </w:rPr>
        <w:t xml:space="preserve"> </w:t>
      </w:r>
      <w:r>
        <w:t>the first cycle</w:t>
      </w:r>
      <w:r>
        <w:rPr>
          <w:spacing w:val="-2"/>
        </w:rPr>
        <w:t xml:space="preserve"> </w:t>
      </w:r>
      <w:r>
        <w:t>of</w:t>
      </w:r>
      <w:r>
        <w:rPr>
          <w:spacing w:val="-1"/>
        </w:rPr>
        <w:t xml:space="preserve"> </w:t>
      </w:r>
      <w:r>
        <w:t>treatment with</w:t>
      </w:r>
      <w:r>
        <w:rPr>
          <w:spacing w:val="-1"/>
        </w:rPr>
        <w:t xml:space="preserve"> </w:t>
      </w:r>
      <w:r>
        <w:t>mogamulizumab.</w:t>
      </w:r>
    </w:p>
    <w:p w:rsidR="008269D0" w:rsidRDefault="00BE670B">
      <w:pPr>
        <w:pStyle w:val="BodyText"/>
        <w:spacing w:before="120"/>
        <w:ind w:right="720"/>
      </w:pPr>
      <w:r>
        <w:t>Less than 1% of patients treated in Study 0761-010 discontinued treatment due to infusion-</w:t>
      </w:r>
      <w:r>
        <w:rPr>
          <w:spacing w:val="-57"/>
        </w:rPr>
        <w:t xml:space="preserve"> </w:t>
      </w:r>
      <w:r>
        <w:t>related</w:t>
      </w:r>
      <w:r>
        <w:rPr>
          <w:spacing w:val="-1"/>
        </w:rPr>
        <w:t xml:space="preserve"> </w:t>
      </w:r>
      <w:r>
        <w:t>reactions.</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pPr>
        <w:spacing w:before="69"/>
        <w:ind w:left="118"/>
        <w:rPr>
          <w:i/>
          <w:sz w:val="24"/>
        </w:rPr>
      </w:pPr>
      <w:r>
        <w:rPr>
          <w:i/>
          <w:sz w:val="24"/>
          <w:u w:val="single"/>
        </w:rPr>
        <w:t>Serious</w:t>
      </w:r>
      <w:r>
        <w:rPr>
          <w:i/>
          <w:spacing w:val="-1"/>
          <w:sz w:val="24"/>
          <w:u w:val="single"/>
        </w:rPr>
        <w:t xml:space="preserve"> </w:t>
      </w:r>
      <w:r>
        <w:rPr>
          <w:i/>
          <w:sz w:val="24"/>
          <w:u w:val="single"/>
        </w:rPr>
        <w:t>infections</w:t>
      </w:r>
    </w:p>
    <w:p w:rsidR="008269D0" w:rsidRDefault="00BE670B">
      <w:pPr>
        <w:pStyle w:val="BodyText"/>
        <w:spacing w:before="119"/>
        <w:ind w:right="281"/>
      </w:pPr>
      <w:r>
        <w:t>Patients with MF or SS are at increased risk of serious infection due to the disruption of dermal</w:t>
      </w:r>
      <w:r>
        <w:rPr>
          <w:spacing w:val="-57"/>
        </w:rPr>
        <w:t xml:space="preserve"> </w:t>
      </w:r>
      <w:r>
        <w:t>integrity caused by cutaneous disease, as well as the immunosuppressive effects of</w:t>
      </w:r>
      <w:r>
        <w:rPr>
          <w:spacing w:val="1"/>
        </w:rPr>
        <w:t xml:space="preserve"> </w:t>
      </w:r>
      <w:r>
        <w:t>extracutaneous disease, and treatment with mogamulizumab may increase that risk. Serious</w:t>
      </w:r>
      <w:r>
        <w:rPr>
          <w:spacing w:val="1"/>
        </w:rPr>
        <w:t xml:space="preserve"> </w:t>
      </w:r>
      <w:r>
        <w:t>infections, including sepsis, pneumonia and skin infections, were experienced by 14.3% of</w:t>
      </w:r>
      <w:r>
        <w:rPr>
          <w:spacing w:val="1"/>
        </w:rPr>
        <w:t xml:space="preserve"> </w:t>
      </w:r>
      <w:r>
        <w:t>subjects receiving mogamulizumab. The latency to event onset following the first dose varied</w:t>
      </w:r>
      <w:r>
        <w:rPr>
          <w:spacing w:val="1"/>
        </w:rPr>
        <w:t xml:space="preserve"> </w:t>
      </w:r>
      <w:r>
        <w:t>considerably. The majority of patients recovered from infection. In the clinical trial (0761-010),</w:t>
      </w:r>
      <w:r>
        <w:rPr>
          <w:spacing w:val="-57"/>
        </w:rPr>
        <w:t xml:space="preserve"> </w:t>
      </w:r>
      <w:r>
        <w:t>there were 2 reports of respiratory failure with fatal outcome in patients with severe pneumonia</w:t>
      </w:r>
      <w:r>
        <w:rPr>
          <w:spacing w:val="-57"/>
        </w:rPr>
        <w:t xml:space="preserve"> </w:t>
      </w:r>
      <w:r>
        <w:t>occurring</w:t>
      </w:r>
      <w:r>
        <w:rPr>
          <w:spacing w:val="-1"/>
        </w:rPr>
        <w:t xml:space="preserve"> </w:t>
      </w:r>
      <w:r>
        <w:t>more than</w:t>
      </w:r>
      <w:r>
        <w:rPr>
          <w:spacing w:val="-1"/>
        </w:rPr>
        <w:t xml:space="preserve"> </w:t>
      </w:r>
      <w:r>
        <w:t>9 months after</w:t>
      </w:r>
      <w:r>
        <w:rPr>
          <w:spacing w:val="-1"/>
        </w:rPr>
        <w:t xml:space="preserve"> </w:t>
      </w:r>
      <w:r>
        <w:t>starting treatment</w:t>
      </w:r>
      <w:r>
        <w:rPr>
          <w:spacing w:val="-1"/>
        </w:rPr>
        <w:t xml:space="preserve"> </w:t>
      </w:r>
      <w:r>
        <w:t>with</w:t>
      </w:r>
      <w:r>
        <w:rPr>
          <w:spacing w:val="1"/>
        </w:rPr>
        <w:t xml:space="preserve"> </w:t>
      </w:r>
      <w:r>
        <w:t>mogamulizumab.</w:t>
      </w:r>
    </w:p>
    <w:p w:rsidR="008269D0" w:rsidRDefault="00BE670B">
      <w:pPr>
        <w:spacing w:before="121"/>
        <w:ind w:left="118"/>
        <w:rPr>
          <w:i/>
          <w:sz w:val="24"/>
        </w:rPr>
      </w:pPr>
      <w:r>
        <w:rPr>
          <w:i/>
          <w:sz w:val="24"/>
          <w:u w:val="single"/>
        </w:rPr>
        <w:t>Immune-mediated</w:t>
      </w:r>
      <w:r>
        <w:rPr>
          <w:i/>
          <w:spacing w:val="-2"/>
          <w:sz w:val="24"/>
          <w:u w:val="single"/>
        </w:rPr>
        <w:t xml:space="preserve"> </w:t>
      </w:r>
      <w:r>
        <w:rPr>
          <w:i/>
          <w:sz w:val="24"/>
          <w:u w:val="single"/>
        </w:rPr>
        <w:t>events</w:t>
      </w:r>
    </w:p>
    <w:p w:rsidR="008269D0" w:rsidRDefault="00BE670B">
      <w:pPr>
        <w:pStyle w:val="BodyText"/>
        <w:spacing w:before="119"/>
        <w:ind w:right="274"/>
      </w:pPr>
      <w:r>
        <w:t>Fatal and life-threatening immune-mediated complications have been reported in recipients of</w:t>
      </w:r>
      <w:r>
        <w:rPr>
          <w:spacing w:val="1"/>
        </w:rPr>
        <w:t xml:space="preserve"> </w:t>
      </w:r>
      <w:r>
        <w:t>mogamulizumab. Grade 3 or higher immune-mediated or possibly immune-mediated reactions</w:t>
      </w:r>
      <w:r>
        <w:rPr>
          <w:spacing w:val="1"/>
        </w:rPr>
        <w:t xml:space="preserve"> </w:t>
      </w:r>
      <w:r>
        <w:t>have included myositis, myocarditis, polymyositis, hepatitis, pneumonitis, and a variant of</w:t>
      </w:r>
      <w:r>
        <w:rPr>
          <w:spacing w:val="1"/>
        </w:rPr>
        <w:t xml:space="preserve"> </w:t>
      </w:r>
      <w:r>
        <w:t>Guillain-Barré syndrome. Use of systemic immunosuppressants for immune-mediated reactions</w:t>
      </w:r>
      <w:r>
        <w:rPr>
          <w:spacing w:val="-57"/>
        </w:rPr>
        <w:t xml:space="preserve"> </w:t>
      </w:r>
      <w:r>
        <w:t>was reported in 1.9% (6/319) of recipients of mogamulizumab in Study 0761-010, including for</w:t>
      </w:r>
      <w:r>
        <w:rPr>
          <w:spacing w:val="-57"/>
        </w:rPr>
        <w:t xml:space="preserve"> </w:t>
      </w:r>
      <w:r>
        <w:t>a case of Grade 2 polymyalgia rheumatica. New-onset hypothyroidism (Grade 1 or 2) was</w:t>
      </w:r>
      <w:r>
        <w:rPr>
          <w:spacing w:val="1"/>
        </w:rPr>
        <w:t xml:space="preserve"> </w:t>
      </w:r>
      <w:r>
        <w:t>reported in 1.3% of patients and managed with observation or levothyroxine. Interrupt or</w:t>
      </w:r>
      <w:r>
        <w:rPr>
          <w:spacing w:val="1"/>
        </w:rPr>
        <w:t xml:space="preserve"> </w:t>
      </w:r>
      <w:r>
        <w:t>permanently discontinue mogamulizumab as appropriate for suspected immune-mediated</w:t>
      </w:r>
      <w:r>
        <w:rPr>
          <w:spacing w:val="1"/>
        </w:rPr>
        <w:t xml:space="preserve"> </w:t>
      </w:r>
      <w:r>
        <w:t>adverse reactions. Consider the benefit/risk of mogamulizumab in patients with a history of</w:t>
      </w:r>
      <w:r>
        <w:rPr>
          <w:spacing w:val="1"/>
        </w:rPr>
        <w:t xml:space="preserve"> </w:t>
      </w:r>
      <w:r>
        <w:t>autoimmune disease.</w:t>
      </w:r>
    </w:p>
    <w:p w:rsidR="008269D0" w:rsidRDefault="00BE670B">
      <w:pPr>
        <w:spacing w:before="122"/>
        <w:ind w:left="118"/>
        <w:rPr>
          <w:i/>
          <w:sz w:val="24"/>
        </w:rPr>
      </w:pPr>
      <w:r>
        <w:rPr>
          <w:i/>
          <w:sz w:val="24"/>
          <w:u w:val="single"/>
        </w:rPr>
        <w:t>Immunogenicity</w:t>
      </w:r>
    </w:p>
    <w:p w:rsidR="008269D0" w:rsidRDefault="00BE670B">
      <w:pPr>
        <w:pStyle w:val="BodyText"/>
        <w:spacing w:before="119"/>
        <w:ind w:right="121"/>
      </w:pPr>
      <w:r>
        <w:t>As with all therapeutic proteins, there is a potential for immunogenicity. A small percentage of</w:t>
      </w:r>
      <w:r>
        <w:rPr>
          <w:spacing w:val="1"/>
        </w:rPr>
        <w:t xml:space="preserve"> </w:t>
      </w:r>
      <w:r>
        <w:t>patients receiving POTELIGEO tested positive for treatment emergent (treatment induced or</w:t>
      </w:r>
      <w:r>
        <w:rPr>
          <w:spacing w:val="1"/>
        </w:rPr>
        <w:t xml:space="preserve"> </w:t>
      </w:r>
      <w:r>
        <w:t>treatment boosted) anti mogamulizumab antibodies. There were no positive neutralising antibody</w:t>
      </w:r>
      <w:r>
        <w:rPr>
          <w:spacing w:val="-57"/>
        </w:rPr>
        <w:t xml:space="preserve"> </w:t>
      </w:r>
      <w:r>
        <w:t>responses.</w:t>
      </w:r>
    </w:p>
    <w:p w:rsidR="008269D0" w:rsidRDefault="00BE670B">
      <w:pPr>
        <w:spacing w:before="121"/>
        <w:ind w:left="118"/>
        <w:rPr>
          <w:i/>
          <w:sz w:val="24"/>
        </w:rPr>
      </w:pPr>
      <w:r>
        <w:rPr>
          <w:i/>
          <w:sz w:val="24"/>
          <w:u w:val="single"/>
        </w:rPr>
        <w:t>Safety</w:t>
      </w:r>
      <w:r>
        <w:rPr>
          <w:i/>
          <w:spacing w:val="-1"/>
          <w:sz w:val="24"/>
          <w:u w:val="single"/>
        </w:rPr>
        <w:t xml:space="preserve"> </w:t>
      </w:r>
      <w:r>
        <w:rPr>
          <w:i/>
          <w:sz w:val="24"/>
          <w:u w:val="single"/>
        </w:rPr>
        <w:t>post last</w:t>
      </w:r>
      <w:r>
        <w:rPr>
          <w:i/>
          <w:spacing w:val="-1"/>
          <w:sz w:val="24"/>
          <w:u w:val="single"/>
        </w:rPr>
        <w:t xml:space="preserve"> </w:t>
      </w:r>
      <w:r>
        <w:rPr>
          <w:i/>
          <w:sz w:val="24"/>
          <w:u w:val="single"/>
        </w:rPr>
        <w:t>dose</w:t>
      </w:r>
    </w:p>
    <w:p w:rsidR="008269D0" w:rsidRDefault="00BE670B">
      <w:pPr>
        <w:pStyle w:val="BodyText"/>
        <w:spacing w:before="117"/>
        <w:ind w:right="407"/>
      </w:pPr>
      <w:r>
        <w:t>Of the 320 subjects exposed to mogamulizumab in Study 0761-010, 21 (6.6%), experienced at</w:t>
      </w:r>
      <w:r>
        <w:rPr>
          <w:spacing w:val="-57"/>
        </w:rPr>
        <w:t xml:space="preserve"> </w:t>
      </w:r>
      <w:r>
        <w:t>least one serious adverse drug reaction (SADR) that occurred within 90 days from the date of</w:t>
      </w:r>
      <w:r>
        <w:rPr>
          <w:spacing w:val="1"/>
        </w:rPr>
        <w:t xml:space="preserve"> </w:t>
      </w:r>
      <w:r>
        <w:t>last</w:t>
      </w:r>
      <w:r>
        <w:rPr>
          <w:spacing w:val="-1"/>
        </w:rPr>
        <w:t xml:space="preserve"> </w:t>
      </w:r>
      <w:r>
        <w:t>study drug administration.</w:t>
      </w:r>
    </w:p>
    <w:p w:rsidR="008269D0" w:rsidRDefault="00BE670B">
      <w:pPr>
        <w:pStyle w:val="BodyText"/>
        <w:spacing w:before="121"/>
        <w:ind w:right="594"/>
      </w:pPr>
      <w:r>
        <w:t>Of these, SADRs that were reported in more than one patient were coded under the SOCs</w:t>
      </w:r>
      <w:r>
        <w:rPr>
          <w:spacing w:val="1"/>
        </w:rPr>
        <w:t xml:space="preserve"> </w:t>
      </w:r>
      <w:r>
        <w:t>Infections and infestations (7 [2.2%] patients), General disorders and administration site</w:t>
      </w:r>
      <w:r>
        <w:rPr>
          <w:spacing w:val="1"/>
        </w:rPr>
        <w:t xml:space="preserve"> </w:t>
      </w:r>
      <w:r>
        <w:t>conditions (5 [1.6%] patients), Respiratory, thoracic and mediastinal disorders (4 [1.3%]</w:t>
      </w:r>
      <w:r>
        <w:rPr>
          <w:spacing w:val="1"/>
        </w:rPr>
        <w:t xml:space="preserve"> </w:t>
      </w:r>
      <w:r>
        <w:t>patients), Musculoskeletal and connective tissue disorders (3 [0.9%] patients), Hepatobiliary</w:t>
      </w:r>
      <w:r>
        <w:rPr>
          <w:spacing w:val="-57"/>
        </w:rPr>
        <w:t xml:space="preserve"> </w:t>
      </w:r>
      <w:r>
        <w:t>disorders (2 [0.6%] patients), and Injury, poisoning and procedural complications (2 [0.6%]</w:t>
      </w:r>
      <w:r>
        <w:rPr>
          <w:spacing w:val="1"/>
        </w:rPr>
        <w:t xml:space="preserve"> </w:t>
      </w:r>
      <w:r>
        <w:t>patients).</w:t>
      </w:r>
      <w:r>
        <w:rPr>
          <w:spacing w:val="-1"/>
        </w:rPr>
        <w:t xml:space="preserve"> </w:t>
      </w:r>
      <w:r>
        <w:t>All remaining</w:t>
      </w:r>
      <w:r>
        <w:rPr>
          <w:spacing w:val="-3"/>
        </w:rPr>
        <w:t xml:space="preserve"> </w:t>
      </w:r>
      <w:r>
        <w:t>SOCs reported SADRs</w:t>
      </w:r>
      <w:r>
        <w:rPr>
          <w:spacing w:val="-1"/>
        </w:rPr>
        <w:t xml:space="preserve"> </w:t>
      </w:r>
      <w:r>
        <w:t>in one patient</w:t>
      </w:r>
      <w:r>
        <w:rPr>
          <w:spacing w:val="-1"/>
        </w:rPr>
        <w:t xml:space="preserve"> </w:t>
      </w:r>
      <w:r>
        <w:t>(0.3%).</w:t>
      </w:r>
    </w:p>
    <w:p w:rsidR="008269D0" w:rsidRDefault="00BE670B">
      <w:pPr>
        <w:pStyle w:val="BodyText"/>
        <w:spacing w:before="120"/>
        <w:ind w:right="1047"/>
      </w:pPr>
      <w:r>
        <w:t>The safety profile observed in the 90 days following the last dose of mogamulizumab is</w:t>
      </w:r>
      <w:r>
        <w:rPr>
          <w:spacing w:val="-57"/>
        </w:rPr>
        <w:t xml:space="preserve"> </w:t>
      </w:r>
      <w:r>
        <w:t>consistent</w:t>
      </w:r>
      <w:r>
        <w:rPr>
          <w:spacing w:val="-1"/>
        </w:rPr>
        <w:t xml:space="preserve"> </w:t>
      </w:r>
      <w:r>
        <w:t>with the</w:t>
      </w:r>
      <w:r>
        <w:rPr>
          <w:spacing w:val="-1"/>
        </w:rPr>
        <w:t xml:space="preserve"> </w:t>
      </w:r>
      <w:r>
        <w:t>safety profile</w:t>
      </w:r>
      <w:r>
        <w:rPr>
          <w:spacing w:val="-1"/>
        </w:rPr>
        <w:t xml:space="preserve"> </w:t>
      </w:r>
      <w:r>
        <w:t>observed</w:t>
      </w:r>
      <w:r>
        <w:rPr>
          <w:spacing w:val="-1"/>
        </w:rPr>
        <w:t xml:space="preserve"> </w:t>
      </w:r>
      <w:r>
        <w:t>during</w:t>
      </w:r>
      <w:r>
        <w:rPr>
          <w:spacing w:val="-2"/>
        </w:rPr>
        <w:t xml:space="preserve"> </w:t>
      </w:r>
      <w:r>
        <w:t>the study</w:t>
      </w:r>
      <w:r>
        <w:rPr>
          <w:spacing w:val="-3"/>
        </w:rPr>
        <w:t xml:space="preserve"> </w:t>
      </w:r>
      <w:r>
        <w:t>treatment period.</w:t>
      </w:r>
    </w:p>
    <w:p w:rsidR="008269D0" w:rsidRDefault="00BE670B">
      <w:pPr>
        <w:spacing w:before="121"/>
        <w:ind w:left="118"/>
        <w:rPr>
          <w:i/>
          <w:sz w:val="24"/>
        </w:rPr>
      </w:pPr>
      <w:r>
        <w:rPr>
          <w:i/>
          <w:sz w:val="24"/>
          <w:u w:val="single"/>
        </w:rPr>
        <w:t>Elderly</w:t>
      </w:r>
      <w:r>
        <w:rPr>
          <w:i/>
          <w:spacing w:val="-1"/>
          <w:sz w:val="24"/>
          <w:u w:val="single"/>
        </w:rPr>
        <w:t xml:space="preserve"> </w:t>
      </w:r>
      <w:r>
        <w:rPr>
          <w:i/>
          <w:sz w:val="24"/>
          <w:u w:val="single"/>
        </w:rPr>
        <w:t>population</w:t>
      </w:r>
    </w:p>
    <w:p w:rsidR="008269D0" w:rsidRDefault="00BE670B" w:rsidP="00BE670B">
      <w:pPr>
        <w:pStyle w:val="BodyText"/>
        <w:spacing w:before="119" w:after="240"/>
        <w:ind w:right="282"/>
      </w:pPr>
      <w:r>
        <w:t>The safety profile in elderly patients (≥ 65 years) was generally consistent with that of adult</w:t>
      </w:r>
      <w:r>
        <w:rPr>
          <w:spacing w:val="1"/>
        </w:rPr>
        <w:t xml:space="preserve"> </w:t>
      </w:r>
      <w:r>
        <w:t>patients, except for dermatologic reactions and infusion related reactions which were seen more</w:t>
      </w:r>
      <w:r>
        <w:rPr>
          <w:spacing w:val="-57"/>
        </w:rPr>
        <w:t xml:space="preserve"> </w:t>
      </w:r>
      <w:r>
        <w:t>often</w:t>
      </w:r>
      <w:r>
        <w:rPr>
          <w:spacing w:val="-1"/>
        </w:rPr>
        <w:t xml:space="preserve"> </w:t>
      </w:r>
      <w:r>
        <w:t>in older subjects.</w:t>
      </w:r>
    </w:p>
    <w:p w:rsidR="008269D0" w:rsidRDefault="00BE670B">
      <w:pPr>
        <w:pStyle w:val="Heading2"/>
      </w:pPr>
      <w:bookmarkStart w:id="40" w:name="Reporting_suspected_adverse_effects"/>
      <w:bookmarkEnd w:id="40"/>
      <w:r>
        <w:t>Reporting</w:t>
      </w:r>
      <w:r>
        <w:rPr>
          <w:spacing w:val="-4"/>
        </w:rPr>
        <w:t xml:space="preserve"> </w:t>
      </w:r>
      <w:r>
        <w:t>suspected</w:t>
      </w:r>
      <w:r>
        <w:rPr>
          <w:spacing w:val="-4"/>
        </w:rPr>
        <w:t xml:space="preserve"> </w:t>
      </w:r>
      <w:r>
        <w:t>adverse</w:t>
      </w:r>
      <w:r>
        <w:rPr>
          <w:spacing w:val="-4"/>
        </w:rPr>
        <w:t xml:space="preserve"> </w:t>
      </w:r>
      <w:r>
        <w:t>effects</w:t>
      </w:r>
    </w:p>
    <w:p w:rsidR="008269D0" w:rsidRDefault="00BE670B">
      <w:pPr>
        <w:spacing w:before="119"/>
        <w:ind w:left="118" w:right="192"/>
        <w:rPr>
          <w:i/>
          <w:sz w:val="24"/>
        </w:rPr>
      </w:pPr>
      <w:r>
        <w:rPr>
          <w:i/>
          <w:sz w:val="24"/>
        </w:rPr>
        <w:t>Reporting suspected adverse reactions after authorisation of the medicinal product is important.</w:t>
      </w:r>
      <w:r>
        <w:rPr>
          <w:i/>
          <w:spacing w:val="-57"/>
          <w:sz w:val="24"/>
        </w:rPr>
        <w:t xml:space="preserve"> </w:t>
      </w:r>
      <w:r>
        <w:rPr>
          <w:i/>
          <w:sz w:val="24"/>
        </w:rPr>
        <w:t>It allows continued monitoring of the benefit-risk balance of the medicinal product. Healthcare</w:t>
      </w:r>
      <w:r>
        <w:rPr>
          <w:i/>
          <w:spacing w:val="1"/>
          <w:sz w:val="24"/>
        </w:rPr>
        <w:t xml:space="preserve"> </w:t>
      </w:r>
      <w:r>
        <w:rPr>
          <w:i/>
          <w:sz w:val="24"/>
        </w:rPr>
        <w:t xml:space="preserve">professionals are asked to report any suspected adverse reactions </w:t>
      </w:r>
      <w:hyperlink r:id="rId15">
        <w:r>
          <w:rPr>
            <w:i/>
            <w:sz w:val="24"/>
          </w:rPr>
          <w:t>www.tga.gov.au/reporting-</w:t>
        </w:r>
      </w:hyperlink>
      <w:r>
        <w:rPr>
          <w:i/>
          <w:spacing w:val="1"/>
          <w:sz w:val="24"/>
        </w:rPr>
        <w:t xml:space="preserve"> </w:t>
      </w:r>
      <w:r>
        <w:rPr>
          <w:i/>
          <w:sz w:val="24"/>
        </w:rPr>
        <w:t>problems.</w:t>
      </w:r>
    </w:p>
    <w:p w:rsidR="008269D0" w:rsidRDefault="008269D0">
      <w:pPr>
        <w:rPr>
          <w:sz w:val="24"/>
        </w:rPr>
        <w:sectPr w:rsidR="008269D0" w:rsidSect="003F0986">
          <w:pgSz w:w="11910" w:h="16840"/>
          <w:pgMar w:top="900" w:right="1120" w:bottom="600" w:left="1180" w:header="113" w:footer="404" w:gutter="0"/>
          <w:cols w:space="720"/>
          <w:docGrid w:linePitch="299"/>
        </w:sectPr>
      </w:pPr>
    </w:p>
    <w:p w:rsidR="008269D0" w:rsidRDefault="009555EC" w:rsidP="009555EC">
      <w:pPr>
        <w:pStyle w:val="Heading2"/>
        <w:spacing w:before="70" w:after="240"/>
      </w:pPr>
      <w:bookmarkStart w:id="41" w:name="4.9_OVERDOSE"/>
      <w:bookmarkEnd w:id="41"/>
      <w:r>
        <w:rPr>
          <w:noProof/>
          <w:lang w:val="en-AU" w:eastAsia="en-AU"/>
        </w:rPr>
        <w:t>4.9</w:t>
      </w:r>
      <w:r>
        <w:rPr>
          <w:noProof/>
          <w:lang w:val="en-AU" w:eastAsia="en-AU"/>
        </w:rPr>
        <w:tab/>
      </w:r>
      <w:r w:rsidR="00BE670B">
        <w:t>OVERDOSE</w:t>
      </w:r>
    </w:p>
    <w:p w:rsidR="008269D0" w:rsidRDefault="00BE670B" w:rsidP="00BE670B">
      <w:pPr>
        <w:pStyle w:val="BodyText"/>
        <w:spacing w:after="240"/>
        <w:ind w:right="647"/>
      </w:pPr>
      <w:r>
        <w:t>There is no information on overdose with mogamulizumab. In case of overdose, the patient,</w:t>
      </w:r>
      <w:r>
        <w:rPr>
          <w:spacing w:val="-57"/>
        </w:rPr>
        <w:t xml:space="preserve"> </w:t>
      </w:r>
      <w:r>
        <w:t>including their vital signs, should be closely monitored (for at least 1 hour) and supportive</w:t>
      </w:r>
      <w:r>
        <w:rPr>
          <w:spacing w:val="1"/>
        </w:rPr>
        <w:t xml:space="preserve"> </w:t>
      </w:r>
      <w:r>
        <w:t>treatment</w:t>
      </w:r>
      <w:r>
        <w:rPr>
          <w:spacing w:val="-1"/>
        </w:rPr>
        <w:t xml:space="preserve"> </w:t>
      </w:r>
      <w:r>
        <w:t>should be administered</w:t>
      </w:r>
      <w:r>
        <w:rPr>
          <w:spacing w:val="-2"/>
        </w:rPr>
        <w:t xml:space="preserve"> </w:t>
      </w:r>
      <w:r>
        <w:t>if</w:t>
      </w:r>
      <w:r>
        <w:rPr>
          <w:spacing w:val="-1"/>
        </w:rPr>
        <w:t xml:space="preserve"> </w:t>
      </w:r>
      <w:r>
        <w:t>required.</w:t>
      </w:r>
    </w:p>
    <w:p w:rsidR="008269D0" w:rsidRDefault="00BE670B" w:rsidP="00BE670B">
      <w:pPr>
        <w:pStyle w:val="BodyText"/>
        <w:spacing w:after="240"/>
        <w:ind w:right="340"/>
      </w:pPr>
      <w:r>
        <w:t>For information on the management of overdose, contact the Poisons Information Centre on 13</w:t>
      </w:r>
      <w:r>
        <w:rPr>
          <w:spacing w:val="-57"/>
        </w:rPr>
        <w:t xml:space="preserve"> </w:t>
      </w:r>
      <w:r>
        <w:t>11</w:t>
      </w:r>
      <w:r>
        <w:rPr>
          <w:spacing w:val="-1"/>
        </w:rPr>
        <w:t xml:space="preserve"> </w:t>
      </w:r>
      <w:r>
        <w:t>26 (Australia).</w:t>
      </w:r>
    </w:p>
    <w:p w:rsidR="008269D0" w:rsidRDefault="00BE670B">
      <w:pPr>
        <w:pStyle w:val="Heading1"/>
        <w:numPr>
          <w:ilvl w:val="0"/>
          <w:numId w:val="2"/>
        </w:numPr>
        <w:tabs>
          <w:tab w:val="left" w:pos="685"/>
          <w:tab w:val="left" w:pos="686"/>
        </w:tabs>
      </w:pPr>
      <w:bookmarkStart w:id="42" w:name="5._PHARMACOLOGICAL_PROPERTIES"/>
      <w:bookmarkEnd w:id="42"/>
      <w:r>
        <w:t>PHARMACOLOGICAL</w:t>
      </w:r>
      <w:r>
        <w:rPr>
          <w:spacing w:val="-17"/>
        </w:rPr>
        <w:t xml:space="preserve"> </w:t>
      </w:r>
      <w:r>
        <w:t>PROPERTIES</w:t>
      </w:r>
    </w:p>
    <w:p w:rsidR="008269D0" w:rsidRDefault="003F0986" w:rsidP="003F0986">
      <w:pPr>
        <w:pStyle w:val="Heading2"/>
        <w:spacing w:before="90" w:after="240"/>
      </w:pPr>
      <w:bookmarkStart w:id="43" w:name="5.1_PHARMACODYNAMIC_PROPERTIES"/>
      <w:bookmarkEnd w:id="43"/>
      <w:r>
        <w:rPr>
          <w:noProof/>
          <w:lang w:val="en-AU" w:eastAsia="en-AU"/>
        </w:rPr>
        <w:t>5.1</w:t>
      </w:r>
      <w:r>
        <w:rPr>
          <w:noProof/>
          <w:lang w:val="en-AU" w:eastAsia="en-AU"/>
        </w:rPr>
        <w:tab/>
      </w:r>
      <w:r w:rsidR="00BE670B">
        <w:t>PHARMACODYNAMIC</w:t>
      </w:r>
      <w:r w:rsidR="00BE670B">
        <w:rPr>
          <w:spacing w:val="-13"/>
        </w:rPr>
        <w:t xml:space="preserve"> </w:t>
      </w:r>
      <w:r w:rsidR="00BE670B">
        <w:t>PROPERTIES</w:t>
      </w:r>
    </w:p>
    <w:p w:rsidR="008269D0" w:rsidRDefault="00BE670B" w:rsidP="007B47F5">
      <w:pPr>
        <w:ind w:left="118"/>
        <w:rPr>
          <w:b/>
          <w:sz w:val="24"/>
        </w:rPr>
      </w:pPr>
      <w:bookmarkStart w:id="44" w:name="Mechanism_of_action"/>
      <w:bookmarkEnd w:id="44"/>
      <w:r>
        <w:rPr>
          <w:b/>
          <w:sz w:val="24"/>
        </w:rPr>
        <w:t>Mechanism</w:t>
      </w:r>
      <w:r>
        <w:rPr>
          <w:b/>
          <w:spacing w:val="-2"/>
          <w:sz w:val="24"/>
        </w:rPr>
        <w:t xml:space="preserve"> </w:t>
      </w:r>
      <w:r>
        <w:rPr>
          <w:b/>
          <w:sz w:val="24"/>
        </w:rPr>
        <w:t>of</w:t>
      </w:r>
      <w:r>
        <w:rPr>
          <w:b/>
          <w:spacing w:val="-1"/>
          <w:sz w:val="24"/>
        </w:rPr>
        <w:t xml:space="preserve"> </w:t>
      </w:r>
      <w:r>
        <w:rPr>
          <w:b/>
          <w:sz w:val="24"/>
        </w:rPr>
        <w:t>action</w:t>
      </w:r>
    </w:p>
    <w:p w:rsidR="008269D0" w:rsidRDefault="00BE670B" w:rsidP="007B47F5">
      <w:pPr>
        <w:pStyle w:val="BodyText"/>
        <w:spacing w:before="117" w:after="240"/>
        <w:ind w:right="156"/>
      </w:pPr>
      <w:r>
        <w:t>Mogamulizumab</w:t>
      </w:r>
      <w:r>
        <w:rPr>
          <w:spacing w:val="3"/>
        </w:rPr>
        <w:t xml:space="preserve"> </w:t>
      </w:r>
      <w:r>
        <w:t>is</w:t>
      </w:r>
      <w:r>
        <w:rPr>
          <w:spacing w:val="4"/>
        </w:rPr>
        <w:t xml:space="preserve"> </w:t>
      </w:r>
      <w:r>
        <w:t>a</w:t>
      </w:r>
      <w:r>
        <w:rPr>
          <w:spacing w:val="4"/>
        </w:rPr>
        <w:t xml:space="preserve"> </w:t>
      </w:r>
      <w:r>
        <w:t>defucosylated,</w:t>
      </w:r>
      <w:r>
        <w:rPr>
          <w:spacing w:val="2"/>
        </w:rPr>
        <w:t xml:space="preserve"> </w:t>
      </w:r>
      <w:r>
        <w:t>humanised</w:t>
      </w:r>
      <w:r>
        <w:rPr>
          <w:spacing w:val="4"/>
        </w:rPr>
        <w:t xml:space="preserve"> </w:t>
      </w:r>
      <w:r>
        <w:t>IgG1</w:t>
      </w:r>
      <w:r>
        <w:rPr>
          <w:spacing w:val="4"/>
        </w:rPr>
        <w:t xml:space="preserve"> </w:t>
      </w:r>
      <w:r>
        <w:t>kappa</w:t>
      </w:r>
      <w:r>
        <w:rPr>
          <w:spacing w:val="4"/>
        </w:rPr>
        <w:t xml:space="preserve"> </w:t>
      </w:r>
      <w:r>
        <w:t>monoclonal</w:t>
      </w:r>
      <w:r>
        <w:rPr>
          <w:spacing w:val="3"/>
        </w:rPr>
        <w:t xml:space="preserve"> </w:t>
      </w:r>
      <w:r>
        <w:t>antibody</w:t>
      </w:r>
      <w:r>
        <w:rPr>
          <w:spacing w:val="3"/>
        </w:rPr>
        <w:t xml:space="preserve"> </w:t>
      </w:r>
      <w:r>
        <w:t>that</w:t>
      </w:r>
      <w:r>
        <w:rPr>
          <w:spacing w:val="1"/>
        </w:rPr>
        <w:t xml:space="preserve"> </w:t>
      </w:r>
      <w:r>
        <w:t>selectively binds to CCR4, a G protein-coupled receptor for CC chemokines that is involved in</w:t>
      </w:r>
      <w:r>
        <w:rPr>
          <w:spacing w:val="1"/>
        </w:rPr>
        <w:t xml:space="preserve"> </w:t>
      </w:r>
      <w:r>
        <w:t>the trafficking of lymphocytes to various organs including the skin. CCR4 is expressed on the</w:t>
      </w:r>
      <w:r>
        <w:rPr>
          <w:spacing w:val="1"/>
        </w:rPr>
        <w:t xml:space="preserve"> </w:t>
      </w:r>
      <w:r>
        <w:t>surface of some T cell malignancies, such as MF and SS as well as Type 2 T helper (Th2) T cells</w:t>
      </w:r>
      <w:r>
        <w:rPr>
          <w:spacing w:val="-57"/>
        </w:rPr>
        <w:t xml:space="preserve"> </w:t>
      </w:r>
      <w:r>
        <w:rPr>
          <w:position w:val="1"/>
        </w:rPr>
        <w:t>and regulatory T cells (T</w:t>
      </w:r>
      <w:r>
        <w:rPr>
          <w:sz w:val="16"/>
        </w:rPr>
        <w:t>regs</w:t>
      </w:r>
      <w:r>
        <w:rPr>
          <w:position w:val="1"/>
        </w:rPr>
        <w:t>). Binding of mogamulizumab to CCR4 induces antibody-dependent</w:t>
      </w:r>
      <w:r>
        <w:rPr>
          <w:spacing w:val="1"/>
          <w:position w:val="1"/>
        </w:rPr>
        <w:t xml:space="preserve"> </w:t>
      </w:r>
      <w:r>
        <w:t>cellular</w:t>
      </w:r>
      <w:r>
        <w:rPr>
          <w:spacing w:val="-2"/>
        </w:rPr>
        <w:t xml:space="preserve"> </w:t>
      </w:r>
      <w:r>
        <w:t>cytotoxicity (ADCC),</w:t>
      </w:r>
      <w:r>
        <w:rPr>
          <w:spacing w:val="-1"/>
        </w:rPr>
        <w:t xml:space="preserve"> </w:t>
      </w:r>
      <w:r>
        <w:t>resulting in the</w:t>
      </w:r>
      <w:r>
        <w:rPr>
          <w:spacing w:val="-1"/>
        </w:rPr>
        <w:t xml:space="preserve"> </w:t>
      </w:r>
      <w:r>
        <w:t>depletion of</w:t>
      </w:r>
      <w:r>
        <w:rPr>
          <w:spacing w:val="-1"/>
        </w:rPr>
        <w:t xml:space="preserve"> </w:t>
      </w:r>
      <w:r>
        <w:t>target</w:t>
      </w:r>
      <w:r>
        <w:rPr>
          <w:spacing w:val="-1"/>
        </w:rPr>
        <w:t xml:space="preserve"> </w:t>
      </w:r>
      <w:r>
        <w:t>cells.</w:t>
      </w:r>
    </w:p>
    <w:p w:rsidR="008269D0" w:rsidRDefault="00BE670B" w:rsidP="007B47F5">
      <w:pPr>
        <w:pStyle w:val="Heading2"/>
        <w:spacing w:before="1" w:after="240"/>
      </w:pPr>
      <w:bookmarkStart w:id="45" w:name="Clinical_trials"/>
      <w:bookmarkEnd w:id="45"/>
      <w:r>
        <w:t>Clinical</w:t>
      </w:r>
      <w:r>
        <w:rPr>
          <w:spacing w:val="-4"/>
        </w:rPr>
        <w:t xml:space="preserve"> </w:t>
      </w:r>
      <w:r>
        <w:t>trials</w:t>
      </w:r>
    </w:p>
    <w:p w:rsidR="008269D0" w:rsidRDefault="00BE670B" w:rsidP="007B47F5">
      <w:pPr>
        <w:pStyle w:val="BodyText"/>
        <w:spacing w:before="117" w:after="240"/>
        <w:ind w:right="168"/>
      </w:pPr>
      <w:r>
        <w:t>The efficacy of mogamulizumab in the treatment of patients with mycosis fungoides (MF) or</w:t>
      </w:r>
      <w:r>
        <w:rPr>
          <w:spacing w:val="1"/>
        </w:rPr>
        <w:t xml:space="preserve"> </w:t>
      </w:r>
      <w:r>
        <w:t>Sézary syndrome (SS) was established in a Phase 3, multicentre, open-label, study (0761-010) of</w:t>
      </w:r>
      <w:r>
        <w:rPr>
          <w:spacing w:val="-57"/>
        </w:rPr>
        <w:t xml:space="preserve"> </w:t>
      </w:r>
      <w:r>
        <w:t>372 adult patients randomised 1:1 to treatment with either mogamulizumab or vorinostat. Each</w:t>
      </w:r>
      <w:r>
        <w:rPr>
          <w:spacing w:val="1"/>
        </w:rPr>
        <w:t xml:space="preserve"> </w:t>
      </w:r>
      <w:r>
        <w:t>arm enrolled 186 patients. Mogamulizumab infusion was administered at a dose of 1 mg/kg once</w:t>
      </w:r>
      <w:r>
        <w:rPr>
          <w:spacing w:val="-57"/>
        </w:rPr>
        <w:t xml:space="preserve"> </w:t>
      </w:r>
      <w:r>
        <w:t>weekly for the first 28-day cycle (on Days 1, 8, 15 and 22), and on days 1 and 15 of subsequent</w:t>
      </w:r>
      <w:r>
        <w:rPr>
          <w:spacing w:val="1"/>
        </w:rPr>
        <w:t xml:space="preserve"> </w:t>
      </w:r>
      <w:r>
        <w:t>28-day cycles. Vorinostat was administered at a starting dose of 400 mg orally, once daily</w:t>
      </w:r>
      <w:r>
        <w:rPr>
          <w:spacing w:val="1"/>
        </w:rPr>
        <w:t xml:space="preserve"> </w:t>
      </w:r>
      <w:r>
        <w:t>beginning on day 1 for 28-day cycles. Vorinostat patients with disease progression or</w:t>
      </w:r>
      <w:r>
        <w:rPr>
          <w:spacing w:val="1"/>
        </w:rPr>
        <w:t xml:space="preserve"> </w:t>
      </w:r>
      <w:r>
        <w:t>unacceptable toxicities were permitted to cross over to mogamulizumab therapy. Crossover</w:t>
      </w:r>
      <w:r>
        <w:rPr>
          <w:spacing w:val="1"/>
        </w:rPr>
        <w:t xml:space="preserve"> </w:t>
      </w:r>
      <w:r>
        <w:t>patients</w:t>
      </w:r>
      <w:r>
        <w:rPr>
          <w:spacing w:val="-1"/>
        </w:rPr>
        <w:t xml:space="preserve"> </w:t>
      </w:r>
      <w:r>
        <w:t>received</w:t>
      </w:r>
      <w:r>
        <w:rPr>
          <w:spacing w:val="-1"/>
        </w:rPr>
        <w:t xml:space="preserve"> </w:t>
      </w:r>
      <w:r>
        <w:t>up</w:t>
      </w:r>
      <w:r>
        <w:rPr>
          <w:spacing w:val="-1"/>
        </w:rPr>
        <w:t xml:space="preserve"> </w:t>
      </w:r>
      <w:r>
        <w:t>to</w:t>
      </w:r>
      <w:r>
        <w:rPr>
          <w:spacing w:val="-1"/>
        </w:rPr>
        <w:t xml:space="preserve"> </w:t>
      </w:r>
      <w:r>
        <w:t>46 months of</w:t>
      </w:r>
      <w:r>
        <w:rPr>
          <w:spacing w:val="-1"/>
        </w:rPr>
        <w:t xml:space="preserve"> </w:t>
      </w:r>
      <w:r>
        <w:t>mogamulizumab</w:t>
      </w:r>
      <w:r>
        <w:rPr>
          <w:spacing w:val="-1"/>
        </w:rPr>
        <w:t xml:space="preserve"> </w:t>
      </w:r>
      <w:r>
        <w:t>therapy,</w:t>
      </w:r>
      <w:r>
        <w:rPr>
          <w:spacing w:val="-1"/>
        </w:rPr>
        <w:t xml:space="preserve"> </w:t>
      </w:r>
      <w:r>
        <w:t>as</w:t>
      </w:r>
      <w:r>
        <w:rPr>
          <w:spacing w:val="-1"/>
        </w:rPr>
        <w:t xml:space="preserve"> </w:t>
      </w:r>
      <w:r>
        <w:t>of</w:t>
      </w:r>
      <w:r>
        <w:rPr>
          <w:spacing w:val="-1"/>
        </w:rPr>
        <w:t xml:space="preserve"> </w:t>
      </w:r>
      <w:r>
        <w:t>December</w:t>
      </w:r>
      <w:r>
        <w:rPr>
          <w:spacing w:val="-1"/>
        </w:rPr>
        <w:t xml:space="preserve"> </w:t>
      </w:r>
      <w:r>
        <w:t>2016</w:t>
      </w:r>
      <w:r>
        <w:rPr>
          <w:spacing w:val="-1"/>
        </w:rPr>
        <w:t xml:space="preserve"> </w:t>
      </w:r>
      <w:r>
        <w:t>data</w:t>
      </w:r>
      <w:r>
        <w:rPr>
          <w:spacing w:val="-1"/>
        </w:rPr>
        <w:t xml:space="preserve"> </w:t>
      </w:r>
      <w:r>
        <w:t>cut.</w:t>
      </w:r>
    </w:p>
    <w:p w:rsidR="008269D0" w:rsidRDefault="00BE670B">
      <w:pPr>
        <w:pStyle w:val="BodyText"/>
        <w:ind w:right="234"/>
      </w:pPr>
      <w:r>
        <w:t>Treatment with mogamulizumab continued until disease progression or unacceptable toxicity.</w:t>
      </w:r>
      <w:r>
        <w:rPr>
          <w:spacing w:val="1"/>
        </w:rPr>
        <w:t xml:space="preserve"> </w:t>
      </w:r>
      <w:r>
        <w:t>The trial excluded patients with active autoimmune diseases, central nervous system metastasis,</w:t>
      </w:r>
      <w:r>
        <w:rPr>
          <w:spacing w:val="-57"/>
        </w:rPr>
        <w:t xml:space="preserve"> </w:t>
      </w:r>
      <w:r>
        <w:t>and medical conditions that required systemic corticosteroids or other immunosuppressive</w:t>
      </w:r>
      <w:r>
        <w:rPr>
          <w:spacing w:val="1"/>
        </w:rPr>
        <w:t xml:space="preserve"> </w:t>
      </w:r>
      <w:r>
        <w:t>medicinal products, or an active infection requiring therapy, including HIV, or hepatitis B or C.</w:t>
      </w:r>
      <w:r>
        <w:rPr>
          <w:spacing w:val="1"/>
        </w:rPr>
        <w:t xml:space="preserve"> </w:t>
      </w:r>
      <w:r>
        <w:t>Patients with ECOG performance status ≥2 were also excluded. At study baseline, 38% had</w:t>
      </w:r>
      <w:r>
        <w:rPr>
          <w:spacing w:val="1"/>
        </w:rPr>
        <w:t xml:space="preserve"> </w:t>
      </w:r>
      <w:r>
        <w:t>stage IB-II disease, 10% stage III, 52% stage IV. This study included patients regardless of their</w:t>
      </w:r>
      <w:r>
        <w:rPr>
          <w:spacing w:val="-57"/>
        </w:rPr>
        <w:t xml:space="preserve"> </w:t>
      </w:r>
      <w:r>
        <w:t>baseline</w:t>
      </w:r>
      <w:r>
        <w:rPr>
          <w:spacing w:val="-1"/>
        </w:rPr>
        <w:t xml:space="preserve"> </w:t>
      </w:r>
      <w:r>
        <w:t>level of</w:t>
      </w:r>
      <w:r>
        <w:rPr>
          <w:spacing w:val="-1"/>
        </w:rPr>
        <w:t xml:space="preserve"> </w:t>
      </w:r>
      <w:r>
        <w:t>CCR4</w:t>
      </w:r>
      <w:r>
        <w:rPr>
          <w:spacing w:val="1"/>
        </w:rPr>
        <w:t xml:space="preserve"> </w:t>
      </w:r>
      <w:r>
        <w:t>expression in skin biopsy.</w:t>
      </w:r>
    </w:p>
    <w:p w:rsidR="008269D0" w:rsidRDefault="00BE670B">
      <w:pPr>
        <w:pStyle w:val="BodyText"/>
        <w:spacing w:before="121"/>
        <w:ind w:right="528"/>
      </w:pPr>
      <w:r>
        <w:t>The primary efficacy endpoint was progression-free survival (PFS) based on investigator</w:t>
      </w:r>
      <w:r>
        <w:rPr>
          <w:spacing w:val="1"/>
        </w:rPr>
        <w:t xml:space="preserve"> </w:t>
      </w:r>
      <w:r>
        <w:t>assessment using a global composite response criteria that took into account all potentially</w:t>
      </w:r>
      <w:r>
        <w:rPr>
          <w:spacing w:val="1"/>
        </w:rPr>
        <w:t xml:space="preserve"> </w:t>
      </w:r>
      <w:r>
        <w:t>affected disease compartments (skin, blood, lymph nodes and viscera). Response in skin and</w:t>
      </w:r>
      <w:r>
        <w:rPr>
          <w:spacing w:val="1"/>
        </w:rPr>
        <w:t xml:space="preserve"> </w:t>
      </w:r>
      <w:r>
        <w:t>blood was evaluated every 4 weeks. Response in lymph nodes and viscera was evaluated at 4</w:t>
      </w:r>
      <w:r>
        <w:rPr>
          <w:spacing w:val="-57"/>
        </w:rPr>
        <w:t xml:space="preserve"> </w:t>
      </w:r>
      <w:r>
        <w:t>weeks,</w:t>
      </w:r>
      <w:r>
        <w:rPr>
          <w:spacing w:val="-1"/>
        </w:rPr>
        <w:t xml:space="preserve"> </w:t>
      </w:r>
      <w:r>
        <w:t>then</w:t>
      </w:r>
      <w:r>
        <w:rPr>
          <w:spacing w:val="-2"/>
        </w:rPr>
        <w:t xml:space="preserve"> </w:t>
      </w:r>
      <w:r>
        <w:t>every 8</w:t>
      </w:r>
      <w:r>
        <w:rPr>
          <w:spacing w:val="-1"/>
        </w:rPr>
        <w:t xml:space="preserve"> </w:t>
      </w:r>
      <w:r>
        <w:t>weeks in the</w:t>
      </w:r>
      <w:r>
        <w:rPr>
          <w:spacing w:val="-1"/>
        </w:rPr>
        <w:t xml:space="preserve"> </w:t>
      </w:r>
      <w:r>
        <w:t>first year,</w:t>
      </w:r>
      <w:r>
        <w:rPr>
          <w:spacing w:val="-2"/>
        </w:rPr>
        <w:t xml:space="preserve"> </w:t>
      </w:r>
      <w:r>
        <w:t>and</w:t>
      </w:r>
      <w:r>
        <w:rPr>
          <w:spacing w:val="-1"/>
        </w:rPr>
        <w:t xml:space="preserve"> </w:t>
      </w:r>
      <w:r>
        <w:t>then every 16</w:t>
      </w:r>
      <w:r>
        <w:rPr>
          <w:spacing w:val="-1"/>
        </w:rPr>
        <w:t xml:space="preserve"> </w:t>
      </w:r>
      <w:r>
        <w:t>weeks thereafter.</w:t>
      </w:r>
    </w:p>
    <w:p w:rsidR="008269D0" w:rsidRDefault="00BE670B">
      <w:pPr>
        <w:pStyle w:val="BodyText"/>
        <w:spacing w:before="120"/>
        <w:ind w:right="186"/>
      </w:pPr>
      <w:r>
        <w:t>All patients had a histologically confirmed diagnosis of mycosis fungoides (MF), 56.5%, 53.2%,</w:t>
      </w:r>
      <w:r>
        <w:rPr>
          <w:spacing w:val="-57"/>
        </w:rPr>
        <w:t xml:space="preserve"> </w:t>
      </w:r>
      <w:r>
        <w:t>or Sézary Syndrome (SS), 43.5%, 46.8%, in the mogamulizumab and vorinostat groups,</w:t>
      </w:r>
      <w:r>
        <w:rPr>
          <w:spacing w:val="1"/>
        </w:rPr>
        <w:t xml:space="preserve"> </w:t>
      </w:r>
      <w:r>
        <w:t>respectively, and had received at least one prior systemic therapy. The most common prior</w:t>
      </w:r>
      <w:r>
        <w:rPr>
          <w:spacing w:val="1"/>
        </w:rPr>
        <w:t xml:space="preserve"> </w:t>
      </w:r>
      <w:r>
        <w:t>systemic therapies used by subjects in Europe were bexarotene (70%), interferon (59%),</w:t>
      </w:r>
      <w:r>
        <w:rPr>
          <w:spacing w:val="1"/>
        </w:rPr>
        <w:t xml:space="preserve"> </w:t>
      </w:r>
      <w:r>
        <w:t>methotrexate (49%), extracorporeal photopheresis (ECP) (31%) and gemcitabine/gemcitabine</w:t>
      </w:r>
      <w:r>
        <w:rPr>
          <w:spacing w:val="1"/>
        </w:rPr>
        <w:t xml:space="preserve"> </w:t>
      </w:r>
      <w:r>
        <w:t>regimens</w:t>
      </w:r>
      <w:r>
        <w:rPr>
          <w:spacing w:val="-1"/>
        </w:rPr>
        <w:t xml:space="preserve"> </w:t>
      </w:r>
      <w:r>
        <w:t>(28%).</w:t>
      </w:r>
    </w:p>
    <w:p w:rsidR="008269D0" w:rsidRDefault="00BE670B">
      <w:pPr>
        <w:pStyle w:val="BodyText"/>
        <w:spacing w:before="120"/>
      </w:pPr>
      <w:r>
        <w:t>The median duration of exposure with mogamulizumab was 5.6 months (range: &lt;1 to 45.3</w:t>
      </w:r>
      <w:r>
        <w:rPr>
          <w:spacing w:val="1"/>
        </w:rPr>
        <w:t xml:space="preserve"> </w:t>
      </w:r>
      <w:r>
        <w:t>months).</w:t>
      </w:r>
      <w:r>
        <w:rPr>
          <w:spacing w:val="-2"/>
        </w:rPr>
        <w:t xml:space="preserve"> </w:t>
      </w:r>
      <w:r>
        <w:t>56%</w:t>
      </w:r>
      <w:r>
        <w:rPr>
          <w:spacing w:val="-1"/>
        </w:rPr>
        <w:t xml:space="preserve"> </w:t>
      </w:r>
      <w:r>
        <w:t>of</w:t>
      </w:r>
      <w:r>
        <w:rPr>
          <w:spacing w:val="-2"/>
        </w:rPr>
        <w:t xml:space="preserve"> </w:t>
      </w:r>
      <w:r>
        <w:t>patients</w:t>
      </w:r>
      <w:r>
        <w:rPr>
          <w:spacing w:val="-1"/>
        </w:rPr>
        <w:t xml:space="preserve"> </w:t>
      </w:r>
      <w:r>
        <w:t>received</w:t>
      </w:r>
      <w:r>
        <w:rPr>
          <w:spacing w:val="-1"/>
        </w:rPr>
        <w:t xml:space="preserve"> </w:t>
      </w:r>
      <w:r>
        <w:t>mogamulizumab</w:t>
      </w:r>
      <w:r>
        <w:rPr>
          <w:spacing w:val="-1"/>
        </w:rPr>
        <w:t xml:space="preserve"> </w:t>
      </w:r>
      <w:r>
        <w:t>for</w:t>
      </w:r>
      <w:r>
        <w:rPr>
          <w:spacing w:val="-1"/>
        </w:rPr>
        <w:t xml:space="preserve"> </w:t>
      </w:r>
      <w:r>
        <w:t>at</w:t>
      </w:r>
      <w:r>
        <w:rPr>
          <w:spacing w:val="-1"/>
        </w:rPr>
        <w:t xml:space="preserve"> </w:t>
      </w:r>
      <w:r>
        <w:t>least</w:t>
      </w:r>
      <w:r>
        <w:rPr>
          <w:spacing w:val="-1"/>
        </w:rPr>
        <w:t xml:space="preserve"> </w:t>
      </w:r>
      <w:r>
        <w:t>6</w:t>
      </w:r>
      <w:r>
        <w:rPr>
          <w:spacing w:val="-1"/>
        </w:rPr>
        <w:t xml:space="preserve"> </w:t>
      </w:r>
      <w:r>
        <w:t>cycles,</w:t>
      </w:r>
      <w:r>
        <w:rPr>
          <w:spacing w:val="-1"/>
        </w:rPr>
        <w:t xml:space="preserve"> </w:t>
      </w:r>
      <w:r>
        <w:t>and</w:t>
      </w:r>
      <w:r>
        <w:rPr>
          <w:spacing w:val="-1"/>
        </w:rPr>
        <w:t xml:space="preserve"> </w:t>
      </w:r>
      <w:r>
        <w:t>25%</w:t>
      </w:r>
      <w:r>
        <w:rPr>
          <w:spacing w:val="-1"/>
        </w:rPr>
        <w:t xml:space="preserve"> </w:t>
      </w:r>
      <w:r>
        <w:t>of</w:t>
      </w:r>
      <w:r>
        <w:rPr>
          <w:spacing w:val="-2"/>
        </w:rPr>
        <w:t xml:space="preserve"> </w:t>
      </w:r>
      <w:r>
        <w:t>patients</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pPr>
        <w:pStyle w:val="BodyText"/>
        <w:spacing w:before="68"/>
      </w:pPr>
      <w:r>
        <w:t>received</w:t>
      </w:r>
      <w:r>
        <w:rPr>
          <w:spacing w:val="-1"/>
        </w:rPr>
        <w:t xml:space="preserve"> </w:t>
      </w:r>
      <w:r>
        <w:t>mogamulizumab</w:t>
      </w:r>
      <w:r>
        <w:rPr>
          <w:spacing w:val="-2"/>
        </w:rPr>
        <w:t xml:space="preserve"> </w:t>
      </w:r>
      <w:r>
        <w:t>for at</w:t>
      </w:r>
      <w:r>
        <w:rPr>
          <w:spacing w:val="-1"/>
        </w:rPr>
        <w:t xml:space="preserve"> </w:t>
      </w:r>
      <w:r>
        <w:t>least</w:t>
      </w:r>
      <w:r>
        <w:rPr>
          <w:spacing w:val="-1"/>
        </w:rPr>
        <w:t xml:space="preserve"> </w:t>
      </w:r>
      <w:r>
        <w:t>12</w:t>
      </w:r>
      <w:r>
        <w:rPr>
          <w:spacing w:val="-1"/>
        </w:rPr>
        <w:t xml:space="preserve"> </w:t>
      </w:r>
      <w:r>
        <w:t>cycles.</w:t>
      </w:r>
    </w:p>
    <w:p w:rsidR="008269D0" w:rsidRDefault="00BE670B">
      <w:pPr>
        <w:pStyle w:val="BodyText"/>
        <w:spacing w:before="120"/>
        <w:ind w:right="395"/>
      </w:pPr>
      <w:r>
        <w:t>Patients were a median age of 64 years at the time of screening (range 25 to 101 years), 49.5%</w:t>
      </w:r>
      <w:r>
        <w:rPr>
          <w:spacing w:val="-57"/>
        </w:rPr>
        <w:t xml:space="preserve"> </w:t>
      </w:r>
      <w:r>
        <w:t>were</w:t>
      </w:r>
      <w:r>
        <w:rPr>
          <w:spacing w:val="-1"/>
        </w:rPr>
        <w:t xml:space="preserve"> </w:t>
      </w:r>
      <w:r>
        <w:t>65 years or older, and 58.1% were male.</w:t>
      </w:r>
    </w:p>
    <w:p w:rsidR="008269D0" w:rsidRDefault="00BE670B">
      <w:pPr>
        <w:pStyle w:val="BodyText"/>
        <w:spacing w:before="120"/>
        <w:ind w:right="387"/>
      </w:pPr>
      <w:r>
        <w:t>CCR4 expression was assessed retrospectively on pre-treatment skin biopsies (formalin fixed</w:t>
      </w:r>
      <w:r>
        <w:rPr>
          <w:spacing w:val="1"/>
        </w:rPr>
        <w:t xml:space="preserve"> </w:t>
      </w:r>
      <w:r>
        <w:t>paraffin embedded) using immunohistochemistry. In the mogamulizumab arm, baseline CCR4</w:t>
      </w:r>
      <w:r>
        <w:rPr>
          <w:spacing w:val="-57"/>
        </w:rPr>
        <w:t xml:space="preserve"> </w:t>
      </w:r>
      <w:r>
        <w:t>expression levels were available in 75% of patients (N=140). CCR4 was detected on ≥1% of</w:t>
      </w:r>
      <w:r>
        <w:rPr>
          <w:spacing w:val="1"/>
        </w:rPr>
        <w:t xml:space="preserve"> </w:t>
      </w:r>
      <w:r>
        <w:t>lymphocytes in 100% of patients, and 96% (134/140) had CCR4 detected on ≥10% of skin</w:t>
      </w:r>
      <w:r>
        <w:rPr>
          <w:spacing w:val="1"/>
        </w:rPr>
        <w:t xml:space="preserve"> </w:t>
      </w:r>
      <w:r>
        <w:t>lymphocytes.</w:t>
      </w:r>
    </w:p>
    <w:p w:rsidR="008269D0" w:rsidRDefault="00BE670B">
      <w:pPr>
        <w:pStyle w:val="BodyText"/>
        <w:spacing w:before="120"/>
        <w:ind w:right="300"/>
      </w:pPr>
      <w:r>
        <w:t>Of the patients randomised to vorinostat, 136 patients (73.1%) crossed over to mogamulizumab</w:t>
      </w:r>
      <w:r>
        <w:rPr>
          <w:spacing w:val="-57"/>
        </w:rPr>
        <w:t xml:space="preserve"> </w:t>
      </w:r>
      <w:r>
        <w:t>during the study. Reasons for crossover to mogamulizumab were disease progression (109</w:t>
      </w:r>
      <w:r>
        <w:rPr>
          <w:spacing w:val="1"/>
        </w:rPr>
        <w:t xml:space="preserve"> </w:t>
      </w:r>
      <w:r>
        <w:t>patients) and treatment intolerance (27 patients). The number of infusions of mogamulizumab</w:t>
      </w:r>
      <w:r>
        <w:rPr>
          <w:spacing w:val="1"/>
        </w:rPr>
        <w:t xml:space="preserve"> </w:t>
      </w:r>
      <w:r>
        <w:t>administered to crossover patients ranged from 1 to 94 (up to 46 months of treatment) as of the</w:t>
      </w:r>
      <w:r>
        <w:rPr>
          <w:spacing w:val="1"/>
        </w:rPr>
        <w:t xml:space="preserve"> </w:t>
      </w:r>
      <w:r>
        <w:t>December</w:t>
      </w:r>
      <w:r>
        <w:rPr>
          <w:spacing w:val="-1"/>
        </w:rPr>
        <w:t xml:space="preserve"> </w:t>
      </w:r>
      <w:r>
        <w:t>2016 data cut.</w:t>
      </w:r>
    </w:p>
    <w:p w:rsidR="008269D0" w:rsidRDefault="00BE670B">
      <w:pPr>
        <w:pStyle w:val="BodyText"/>
        <w:spacing w:before="120"/>
      </w:pPr>
      <w:r>
        <w:t>At 6, 12, 18 and 24 months after the start of randomised treatment, the percent of subjects alive</w:t>
      </w:r>
      <w:r>
        <w:rPr>
          <w:spacing w:val="1"/>
        </w:rPr>
        <w:t xml:space="preserve"> </w:t>
      </w:r>
      <w:r>
        <w:t>without</w:t>
      </w:r>
      <w:r>
        <w:rPr>
          <w:spacing w:val="-2"/>
        </w:rPr>
        <w:t xml:space="preserve"> </w:t>
      </w:r>
      <w:r>
        <w:t>disease</w:t>
      </w:r>
      <w:r>
        <w:rPr>
          <w:spacing w:val="-1"/>
        </w:rPr>
        <w:t xml:space="preserve"> </w:t>
      </w:r>
      <w:r>
        <w:t>progression</w:t>
      </w:r>
      <w:r>
        <w:rPr>
          <w:spacing w:val="-1"/>
        </w:rPr>
        <w:t xml:space="preserve"> </w:t>
      </w:r>
      <w:r>
        <w:t>was</w:t>
      </w:r>
      <w:r>
        <w:rPr>
          <w:spacing w:val="-1"/>
        </w:rPr>
        <w:t xml:space="preserve"> </w:t>
      </w:r>
      <w:r>
        <w:t>higher</w:t>
      </w:r>
      <w:r>
        <w:rPr>
          <w:spacing w:val="-2"/>
        </w:rPr>
        <w:t xml:space="preserve"> </w:t>
      </w:r>
      <w:r>
        <w:t>for</w:t>
      </w:r>
      <w:r>
        <w:rPr>
          <w:spacing w:val="-1"/>
        </w:rPr>
        <w:t xml:space="preserve"> </w:t>
      </w:r>
      <w:r>
        <w:t>mogamulizumab</w:t>
      </w:r>
      <w:r>
        <w:rPr>
          <w:spacing w:val="-1"/>
        </w:rPr>
        <w:t xml:space="preserve"> </w:t>
      </w:r>
      <w:r>
        <w:t>(55.3%,</w:t>
      </w:r>
      <w:r>
        <w:rPr>
          <w:spacing w:val="-1"/>
        </w:rPr>
        <w:t xml:space="preserve"> </w:t>
      </w:r>
      <w:r>
        <w:t>38.3%,</w:t>
      </w:r>
      <w:r>
        <w:rPr>
          <w:spacing w:val="-2"/>
        </w:rPr>
        <w:t xml:space="preserve"> </w:t>
      </w:r>
      <w:r>
        <w:t>28.0%,</w:t>
      </w:r>
      <w:r>
        <w:rPr>
          <w:spacing w:val="-1"/>
        </w:rPr>
        <w:t xml:space="preserve"> </w:t>
      </w:r>
      <w:r>
        <w:t>and</w:t>
      </w:r>
      <w:r>
        <w:rPr>
          <w:spacing w:val="-1"/>
        </w:rPr>
        <w:t xml:space="preserve"> </w:t>
      </w:r>
      <w:r>
        <w:t>14.1%,</w:t>
      </w:r>
    </w:p>
    <w:p w:rsidR="008269D0" w:rsidRDefault="00BE670B">
      <w:pPr>
        <w:pStyle w:val="BodyText"/>
      </w:pPr>
      <w:r>
        <w:t>respectively)</w:t>
      </w:r>
      <w:r>
        <w:rPr>
          <w:spacing w:val="-2"/>
        </w:rPr>
        <w:t xml:space="preserve"> </w:t>
      </w:r>
      <w:r>
        <w:t>compared</w:t>
      </w:r>
      <w:r>
        <w:rPr>
          <w:spacing w:val="-1"/>
        </w:rPr>
        <w:t xml:space="preserve"> </w:t>
      </w:r>
      <w:r>
        <w:t>to</w:t>
      </w:r>
      <w:r>
        <w:rPr>
          <w:spacing w:val="-1"/>
        </w:rPr>
        <w:t xml:space="preserve"> </w:t>
      </w:r>
      <w:r>
        <w:t>vorinostat</w:t>
      </w:r>
      <w:r>
        <w:rPr>
          <w:spacing w:val="-2"/>
        </w:rPr>
        <w:t xml:space="preserve"> </w:t>
      </w:r>
      <w:r>
        <w:t>(28.8%,</w:t>
      </w:r>
      <w:r>
        <w:rPr>
          <w:spacing w:val="-1"/>
        </w:rPr>
        <w:t xml:space="preserve"> </w:t>
      </w:r>
      <w:r>
        <w:t>15.3%,</w:t>
      </w:r>
      <w:r>
        <w:rPr>
          <w:spacing w:val="-1"/>
        </w:rPr>
        <w:t xml:space="preserve"> </w:t>
      </w:r>
      <w:r>
        <w:t>7.2%,</w:t>
      </w:r>
      <w:r>
        <w:rPr>
          <w:spacing w:val="-1"/>
        </w:rPr>
        <w:t xml:space="preserve"> </w:t>
      </w:r>
      <w:r>
        <w:t>and</w:t>
      </w:r>
      <w:r>
        <w:rPr>
          <w:spacing w:val="-1"/>
        </w:rPr>
        <w:t xml:space="preserve"> </w:t>
      </w:r>
      <w:r>
        <w:t>7.2%,</w:t>
      </w:r>
      <w:r>
        <w:rPr>
          <w:spacing w:val="-1"/>
        </w:rPr>
        <w:t xml:space="preserve"> </w:t>
      </w:r>
      <w:r>
        <w:t>respectively).</w:t>
      </w:r>
      <w:r>
        <w:rPr>
          <w:spacing w:val="-3"/>
        </w:rPr>
        <w:t xml:space="preserve"> </w:t>
      </w:r>
      <w:r>
        <w:t>Median</w:t>
      </w:r>
      <w:r>
        <w:rPr>
          <w:spacing w:val="-1"/>
        </w:rPr>
        <w:t xml:space="preserve"> </w:t>
      </w:r>
      <w:r>
        <w:t>PFS</w:t>
      </w:r>
    </w:p>
    <w:p w:rsidR="008269D0" w:rsidRDefault="00BE670B">
      <w:pPr>
        <w:pStyle w:val="BodyText"/>
      </w:pPr>
      <w:r>
        <w:t>for</w:t>
      </w:r>
      <w:r>
        <w:rPr>
          <w:spacing w:val="-1"/>
        </w:rPr>
        <w:t xml:space="preserve"> </w:t>
      </w:r>
      <w:r>
        <w:t>the</w:t>
      </w:r>
      <w:r>
        <w:rPr>
          <w:spacing w:val="-1"/>
        </w:rPr>
        <w:t xml:space="preserve"> </w:t>
      </w:r>
      <w:r>
        <w:t>mogamulizumab group</w:t>
      </w:r>
      <w:r>
        <w:rPr>
          <w:spacing w:val="-1"/>
        </w:rPr>
        <w:t xml:space="preserve"> </w:t>
      </w:r>
      <w:r>
        <w:t>was</w:t>
      </w:r>
      <w:r>
        <w:rPr>
          <w:spacing w:val="-1"/>
        </w:rPr>
        <w:t xml:space="preserve"> </w:t>
      </w:r>
      <w:r>
        <w:t>7.70 months (95%</w:t>
      </w:r>
      <w:r>
        <w:rPr>
          <w:spacing w:val="-1"/>
        </w:rPr>
        <w:t xml:space="preserve"> </w:t>
      </w:r>
      <w:r>
        <w:t>CI:</w:t>
      </w:r>
      <w:r>
        <w:rPr>
          <w:spacing w:val="-1"/>
        </w:rPr>
        <w:t xml:space="preserve"> </w:t>
      </w:r>
      <w:r>
        <w:t>5.67,</w:t>
      </w:r>
      <w:r>
        <w:rPr>
          <w:spacing w:val="-1"/>
        </w:rPr>
        <w:t xml:space="preserve"> </w:t>
      </w:r>
      <w:r>
        <w:t>10.33)</w:t>
      </w:r>
      <w:r>
        <w:rPr>
          <w:spacing w:val="-1"/>
        </w:rPr>
        <w:t xml:space="preserve"> </w:t>
      </w:r>
      <w:r>
        <w:t>and 3.10 months</w:t>
      </w:r>
      <w:r>
        <w:rPr>
          <w:spacing w:val="-1"/>
        </w:rPr>
        <w:t xml:space="preserve"> </w:t>
      </w:r>
      <w:r>
        <w:t>(95%</w:t>
      </w:r>
    </w:p>
    <w:p w:rsidR="008269D0" w:rsidRDefault="00BE670B" w:rsidP="00B903F0">
      <w:pPr>
        <w:pStyle w:val="BodyText"/>
        <w:spacing w:after="240"/>
        <w:ind w:right="193"/>
      </w:pPr>
      <w:r>
        <w:t>CI: 2.87, 4.07) for the vorinostat group with resultant hazard ration of 0.53 (95% CI: 0.41, 0.69),</w:t>
      </w:r>
      <w:r>
        <w:rPr>
          <w:spacing w:val="-57"/>
        </w:rPr>
        <w:t xml:space="preserve"> </w:t>
      </w:r>
      <w:r>
        <w:t>p&lt;0.0001</w:t>
      </w:r>
      <w:r>
        <w:rPr>
          <w:spacing w:val="-1"/>
        </w:rPr>
        <w:t xml:space="preserve"> </w:t>
      </w:r>
      <w:r>
        <w:t>(2-sided, stratified log rank</w:t>
      </w:r>
      <w:r>
        <w:rPr>
          <w:spacing w:val="-2"/>
        </w:rPr>
        <w:t xml:space="preserve"> </w:t>
      </w:r>
      <w:r>
        <w:t>test).</w:t>
      </w:r>
    </w:p>
    <w:p w:rsidR="008269D0" w:rsidRDefault="00BE670B" w:rsidP="00B903F0">
      <w:pPr>
        <w:pStyle w:val="BodyText"/>
        <w:spacing w:before="218" w:after="240"/>
      </w:pPr>
      <w:r>
        <w:t>The</w:t>
      </w:r>
      <w:r>
        <w:rPr>
          <w:spacing w:val="-1"/>
        </w:rPr>
        <w:t xml:space="preserve"> </w:t>
      </w:r>
      <w:r>
        <w:t>Kaplan-Meier</w:t>
      </w:r>
      <w:r>
        <w:rPr>
          <w:spacing w:val="-2"/>
        </w:rPr>
        <w:t xml:space="preserve"> </w:t>
      </w:r>
      <w:r>
        <w:t>curve</w:t>
      </w:r>
      <w:r>
        <w:rPr>
          <w:spacing w:val="-2"/>
        </w:rPr>
        <w:t xml:space="preserve"> </w:t>
      </w:r>
      <w:r>
        <w:t>for</w:t>
      </w:r>
      <w:r>
        <w:rPr>
          <w:spacing w:val="-1"/>
        </w:rPr>
        <w:t xml:space="preserve"> </w:t>
      </w:r>
      <w:r>
        <w:t>PFS</w:t>
      </w:r>
      <w:r>
        <w:rPr>
          <w:spacing w:val="-2"/>
        </w:rPr>
        <w:t xml:space="preserve"> </w:t>
      </w:r>
      <w:r>
        <w:t>is shown</w:t>
      </w:r>
      <w:r>
        <w:rPr>
          <w:spacing w:val="-1"/>
        </w:rPr>
        <w:t xml:space="preserve"> </w:t>
      </w:r>
      <w:r>
        <w:t>Figure</w:t>
      </w:r>
      <w:r>
        <w:rPr>
          <w:spacing w:val="-1"/>
        </w:rPr>
        <w:t xml:space="preserve"> </w:t>
      </w:r>
      <w:r>
        <w:t>1.</w:t>
      </w:r>
    </w:p>
    <w:p w:rsidR="008269D0" w:rsidRDefault="00BE670B">
      <w:pPr>
        <w:pStyle w:val="Heading2"/>
        <w:spacing w:before="219" w:after="9"/>
        <w:ind w:left="1110" w:right="1008" w:hanging="993"/>
      </w:pPr>
      <w:r>
        <w:t>Figure 1: Plot of Kaplan-Meier curve of progression-free survival by investigator’s</w:t>
      </w:r>
      <w:r>
        <w:rPr>
          <w:spacing w:val="-57"/>
        </w:rPr>
        <w:t xml:space="preserve"> </w:t>
      </w:r>
      <w:r>
        <w:t>assessment</w:t>
      </w:r>
      <w:r>
        <w:rPr>
          <w:spacing w:val="-2"/>
        </w:rPr>
        <w:t xml:space="preserve"> </w:t>
      </w:r>
      <w:r>
        <w:t>(ITT) population</w:t>
      </w:r>
    </w:p>
    <w:p w:rsidR="008269D0" w:rsidRDefault="00BE670B">
      <w:pPr>
        <w:pStyle w:val="BodyText"/>
        <w:ind w:left="147"/>
        <w:rPr>
          <w:sz w:val="20"/>
        </w:rPr>
      </w:pPr>
      <w:r>
        <w:rPr>
          <w:noProof/>
          <w:sz w:val="20"/>
          <w:lang w:val="en-AU" w:eastAsia="en-AU"/>
        </w:rPr>
        <w:drawing>
          <wp:inline distT="0" distB="0" distL="0" distR="0">
            <wp:extent cx="5333179" cy="3426142"/>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5333179" cy="3426142"/>
                    </a:xfrm>
                    <a:prstGeom prst="rect">
                      <a:avLst/>
                    </a:prstGeom>
                  </pic:spPr>
                </pic:pic>
              </a:graphicData>
            </a:graphic>
          </wp:inline>
        </w:drawing>
      </w:r>
    </w:p>
    <w:p w:rsidR="008269D0" w:rsidRDefault="00BE670B">
      <w:pPr>
        <w:pStyle w:val="BodyText"/>
        <w:spacing w:before="208"/>
        <w:ind w:right="140"/>
      </w:pPr>
      <w:r>
        <w:t>Key secondary endpoints were overall response rate (ORR), ORR after crossover, duration of</w:t>
      </w:r>
      <w:r>
        <w:rPr>
          <w:spacing w:val="1"/>
        </w:rPr>
        <w:t xml:space="preserve"> </w:t>
      </w:r>
      <w:r>
        <w:t>response (DOR), and changes from baseline of the Skindex-29 Symptoms and Functional Scales,</w:t>
      </w:r>
      <w:r>
        <w:rPr>
          <w:spacing w:val="-57"/>
        </w:rPr>
        <w:t xml:space="preserve"> </w:t>
      </w:r>
      <w:r>
        <w:t>and</w:t>
      </w:r>
      <w:r>
        <w:rPr>
          <w:spacing w:val="-2"/>
        </w:rPr>
        <w:t xml:space="preserve"> </w:t>
      </w:r>
      <w:r>
        <w:t>Functional</w:t>
      </w:r>
      <w:r>
        <w:rPr>
          <w:spacing w:val="-1"/>
        </w:rPr>
        <w:t xml:space="preserve"> </w:t>
      </w:r>
      <w:r>
        <w:t>Assessment</w:t>
      </w:r>
      <w:r>
        <w:rPr>
          <w:spacing w:val="-1"/>
        </w:rPr>
        <w:t xml:space="preserve"> </w:t>
      </w:r>
      <w:r>
        <w:t>of</w:t>
      </w:r>
      <w:r>
        <w:rPr>
          <w:spacing w:val="-2"/>
        </w:rPr>
        <w:t xml:space="preserve"> </w:t>
      </w:r>
      <w:r>
        <w:t>Cancer</w:t>
      </w:r>
      <w:r>
        <w:rPr>
          <w:spacing w:val="-1"/>
        </w:rPr>
        <w:t xml:space="preserve"> </w:t>
      </w:r>
      <w:r>
        <w:t>Therapy-General</w:t>
      </w:r>
      <w:r>
        <w:rPr>
          <w:spacing w:val="-1"/>
        </w:rPr>
        <w:t xml:space="preserve"> </w:t>
      </w:r>
      <w:r>
        <w:t>(FACT-G)</w:t>
      </w:r>
      <w:r>
        <w:rPr>
          <w:spacing w:val="-1"/>
        </w:rPr>
        <w:t xml:space="preserve"> </w:t>
      </w:r>
      <w:r>
        <w:t>Physical</w:t>
      </w:r>
      <w:r>
        <w:rPr>
          <w:spacing w:val="-1"/>
        </w:rPr>
        <w:t xml:space="preserve"> </w:t>
      </w:r>
      <w:r>
        <w:t>and</w:t>
      </w:r>
      <w:r>
        <w:rPr>
          <w:spacing w:val="-2"/>
        </w:rPr>
        <w:t xml:space="preserve"> </w:t>
      </w:r>
      <w:r>
        <w:t>Functional</w:t>
      </w:r>
    </w:p>
    <w:p w:rsidR="008269D0" w:rsidRDefault="00BE670B">
      <w:pPr>
        <w:pStyle w:val="BodyText"/>
      </w:pPr>
      <w:r>
        <w:t>Well-being</w:t>
      </w:r>
      <w:r>
        <w:rPr>
          <w:spacing w:val="-3"/>
        </w:rPr>
        <w:t xml:space="preserve"> </w:t>
      </w:r>
      <w:r>
        <w:t>domains.</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pPr>
        <w:pStyle w:val="BodyText"/>
        <w:spacing w:before="68"/>
        <w:ind w:right="261"/>
      </w:pPr>
      <w:r>
        <w:t>Overall response was reported as a composite score from measures in each compartment, and a</w:t>
      </w:r>
      <w:r>
        <w:rPr>
          <w:spacing w:val="1"/>
        </w:rPr>
        <w:t xml:space="preserve"> </w:t>
      </w:r>
      <w:r>
        <w:t>response had to be demonstrated at two successive overall disease assessments (at least 8 weeks</w:t>
      </w:r>
      <w:r>
        <w:rPr>
          <w:spacing w:val="-57"/>
        </w:rPr>
        <w:t xml:space="preserve"> </w:t>
      </w:r>
      <w:r>
        <w:t>apart during the first year and 16 weeks apart thereafter) in order to be confirmed. Patients were</w:t>
      </w:r>
      <w:r>
        <w:rPr>
          <w:spacing w:val="-57"/>
        </w:rPr>
        <w:t xml:space="preserve"> </w:t>
      </w:r>
      <w:r>
        <w:t>included in the analysis for a specific compartment if they had presence of disease in that</w:t>
      </w:r>
      <w:r>
        <w:rPr>
          <w:spacing w:val="1"/>
        </w:rPr>
        <w:t xml:space="preserve"> </w:t>
      </w:r>
      <w:r>
        <w:t>compartment</w:t>
      </w:r>
      <w:r>
        <w:rPr>
          <w:spacing w:val="-1"/>
        </w:rPr>
        <w:t xml:space="preserve"> </w:t>
      </w:r>
      <w:r>
        <w:t>at</w:t>
      </w:r>
      <w:r>
        <w:rPr>
          <w:spacing w:val="-1"/>
        </w:rPr>
        <w:t xml:space="preserve"> </w:t>
      </w:r>
      <w:r>
        <w:t>baseline,</w:t>
      </w:r>
      <w:r>
        <w:rPr>
          <w:spacing w:val="-3"/>
        </w:rPr>
        <w:t xml:space="preserve"> </w:t>
      </w:r>
      <w:r>
        <w:t>or</w:t>
      </w:r>
      <w:r>
        <w:rPr>
          <w:spacing w:val="-1"/>
        </w:rPr>
        <w:t xml:space="preserve"> </w:t>
      </w:r>
      <w:r>
        <w:t>had</w:t>
      </w:r>
      <w:r>
        <w:rPr>
          <w:spacing w:val="-1"/>
        </w:rPr>
        <w:t xml:space="preserve"> </w:t>
      </w:r>
      <w:r>
        <w:t>any</w:t>
      </w:r>
      <w:r>
        <w:rPr>
          <w:spacing w:val="-3"/>
        </w:rPr>
        <w:t xml:space="preserve"> </w:t>
      </w:r>
      <w:r>
        <w:t>post-baseline</w:t>
      </w:r>
      <w:r>
        <w:rPr>
          <w:spacing w:val="-1"/>
        </w:rPr>
        <w:t xml:space="preserve"> </w:t>
      </w:r>
      <w:r>
        <w:t>response</w:t>
      </w:r>
      <w:r>
        <w:rPr>
          <w:spacing w:val="-3"/>
        </w:rPr>
        <w:t xml:space="preserve"> </w:t>
      </w:r>
      <w:r>
        <w:t>assessment</w:t>
      </w:r>
      <w:r>
        <w:rPr>
          <w:spacing w:val="-1"/>
        </w:rPr>
        <w:t xml:space="preserve"> </w:t>
      </w:r>
      <w:r>
        <w:t>for</w:t>
      </w:r>
      <w:r>
        <w:rPr>
          <w:spacing w:val="-1"/>
        </w:rPr>
        <w:t xml:space="preserve"> </w:t>
      </w:r>
      <w:r>
        <w:t>that</w:t>
      </w:r>
      <w:r>
        <w:rPr>
          <w:spacing w:val="-1"/>
        </w:rPr>
        <w:t xml:space="preserve"> </w:t>
      </w:r>
      <w:r>
        <w:t>compartment.</w:t>
      </w:r>
    </w:p>
    <w:p w:rsidR="008269D0" w:rsidRDefault="00BE670B" w:rsidP="00B903F0">
      <w:pPr>
        <w:pStyle w:val="BodyText"/>
        <w:spacing w:before="120" w:after="240"/>
        <w:ind w:right="287"/>
      </w:pPr>
      <w:r>
        <w:t>Table 4 summarises ORR and DOR, and response by compartment. The study demonstrated</w:t>
      </w:r>
      <w:r>
        <w:rPr>
          <w:spacing w:val="1"/>
        </w:rPr>
        <w:t xml:space="preserve"> </w:t>
      </w:r>
      <w:r>
        <w:t>statistically significant improvements in ORR and response by compartment in the blood, skin,</w:t>
      </w:r>
      <w:r>
        <w:rPr>
          <w:spacing w:val="1"/>
        </w:rPr>
        <w:t xml:space="preserve"> </w:t>
      </w:r>
      <w:r>
        <w:t>and lymph nodes as compared to vorinostat. Response in the viscera could not be evaluated due</w:t>
      </w:r>
      <w:r>
        <w:rPr>
          <w:spacing w:val="-57"/>
        </w:rPr>
        <w:t xml:space="preserve"> </w:t>
      </w:r>
      <w:r>
        <w:t>to limited efficacy data in subjects with visceral involvement; the benefit-risk of</w:t>
      </w:r>
      <w:r>
        <w:rPr>
          <w:spacing w:val="1"/>
        </w:rPr>
        <w:t xml:space="preserve"> </w:t>
      </w:r>
      <w:r>
        <w:t>mogamulizumab in subjects with visceral involvement is currently undetermined due to lack of</w:t>
      </w:r>
      <w:r>
        <w:rPr>
          <w:spacing w:val="-57"/>
        </w:rPr>
        <w:t xml:space="preserve"> </w:t>
      </w:r>
      <w:r>
        <w:t>data.</w:t>
      </w:r>
    </w:p>
    <w:p w:rsidR="008269D0" w:rsidRDefault="00BE670B">
      <w:pPr>
        <w:pStyle w:val="Heading2"/>
        <w:spacing w:before="220"/>
      </w:pPr>
      <w:r>
        <w:t>Table</w:t>
      </w:r>
      <w:r>
        <w:rPr>
          <w:spacing w:val="-2"/>
        </w:rPr>
        <w:t xml:space="preserve"> </w:t>
      </w:r>
      <w:r>
        <w:t>4:</w:t>
      </w:r>
      <w:r>
        <w:rPr>
          <w:spacing w:val="-2"/>
        </w:rPr>
        <w:t xml:space="preserve"> </w:t>
      </w:r>
      <w:r>
        <w:t>Response</w:t>
      </w:r>
      <w:r>
        <w:rPr>
          <w:spacing w:val="-2"/>
        </w:rPr>
        <w:t xml:space="preserve"> </w:t>
      </w:r>
      <w:r>
        <w:t>during</w:t>
      </w:r>
      <w:r>
        <w:rPr>
          <w:spacing w:val="-2"/>
        </w:rPr>
        <w:t xml:space="preserve"> </w:t>
      </w:r>
      <w:r>
        <w:t>randomised</w:t>
      </w:r>
      <w:r>
        <w:rPr>
          <w:spacing w:val="-3"/>
        </w:rPr>
        <w:t xml:space="preserve"> </w:t>
      </w:r>
      <w:r>
        <w:t>treatment</w:t>
      </w:r>
      <w:r>
        <w:rPr>
          <w:spacing w:val="-2"/>
        </w:rPr>
        <w:t xml:space="preserve"> </w:t>
      </w:r>
      <w:r>
        <w:t>period</w:t>
      </w:r>
      <w:r>
        <w:rPr>
          <w:spacing w:val="-2"/>
        </w:rPr>
        <w:t xml:space="preserve"> </w:t>
      </w:r>
      <w:r>
        <w:t>in</w:t>
      </w:r>
      <w:r>
        <w:rPr>
          <w:spacing w:val="-4"/>
        </w:rPr>
        <w:t xml:space="preserve"> </w:t>
      </w:r>
      <w:r>
        <w:t>study</w:t>
      </w:r>
      <w:r>
        <w:rPr>
          <w:spacing w:val="-3"/>
        </w:rPr>
        <w:t xml:space="preserve"> </w:t>
      </w:r>
      <w:r>
        <w:t>0761-010</w:t>
      </w:r>
      <w:r>
        <w:rPr>
          <w:spacing w:val="-2"/>
        </w:rPr>
        <w:t xml:space="preserve"> </w:t>
      </w:r>
      <w:r>
        <w:t>(intent-to-treat)</w:t>
      </w:r>
    </w:p>
    <w:p w:rsidR="008269D0" w:rsidRDefault="008269D0">
      <w:pPr>
        <w:pStyle w:val="BodyText"/>
        <w:spacing w:before="4"/>
        <w:ind w:left="0"/>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2126"/>
        <w:gridCol w:w="2125"/>
      </w:tblGrid>
      <w:tr w:rsidR="008269D0">
        <w:trPr>
          <w:trHeight w:val="695"/>
        </w:trPr>
        <w:tc>
          <w:tcPr>
            <w:tcW w:w="4957" w:type="dxa"/>
          </w:tcPr>
          <w:p w:rsidR="008269D0" w:rsidRDefault="008269D0">
            <w:pPr>
              <w:pStyle w:val="TableParagraph"/>
              <w:spacing w:before="0"/>
            </w:pPr>
          </w:p>
        </w:tc>
        <w:tc>
          <w:tcPr>
            <w:tcW w:w="2126" w:type="dxa"/>
          </w:tcPr>
          <w:p w:rsidR="008269D0" w:rsidRDefault="00BE670B">
            <w:pPr>
              <w:pStyle w:val="TableParagraph"/>
              <w:spacing w:before="4" w:line="320" w:lineRule="atLeast"/>
              <w:ind w:left="727" w:right="173" w:hanging="538"/>
              <w:rPr>
                <w:b/>
                <w:sz w:val="24"/>
              </w:rPr>
            </w:pPr>
            <w:r>
              <w:rPr>
                <w:b/>
                <w:spacing w:val="-1"/>
                <w:sz w:val="24"/>
              </w:rPr>
              <w:t>Mogamulizumab</w:t>
            </w:r>
            <w:r>
              <w:rPr>
                <w:b/>
                <w:spacing w:val="-57"/>
                <w:sz w:val="24"/>
              </w:rPr>
              <w:t xml:space="preserve"> </w:t>
            </w:r>
            <w:r>
              <w:rPr>
                <w:b/>
                <w:sz w:val="24"/>
              </w:rPr>
              <w:t>N=186</w:t>
            </w:r>
          </w:p>
        </w:tc>
        <w:tc>
          <w:tcPr>
            <w:tcW w:w="2125" w:type="dxa"/>
          </w:tcPr>
          <w:p w:rsidR="008269D0" w:rsidRDefault="00BE670B">
            <w:pPr>
              <w:pStyle w:val="TableParagraph"/>
              <w:spacing w:before="4" w:line="320" w:lineRule="atLeast"/>
              <w:ind w:left="727" w:right="486" w:hanging="212"/>
              <w:rPr>
                <w:b/>
                <w:sz w:val="24"/>
              </w:rPr>
            </w:pPr>
            <w:r>
              <w:rPr>
                <w:b/>
                <w:sz w:val="24"/>
              </w:rPr>
              <w:t>Vorinostat</w:t>
            </w:r>
            <w:r>
              <w:rPr>
                <w:b/>
                <w:spacing w:val="-57"/>
                <w:sz w:val="24"/>
              </w:rPr>
              <w:t xml:space="preserve"> </w:t>
            </w:r>
            <w:r>
              <w:rPr>
                <w:b/>
                <w:sz w:val="24"/>
              </w:rPr>
              <w:t>N=186</w:t>
            </w:r>
          </w:p>
        </w:tc>
      </w:tr>
      <w:tr w:rsidR="008269D0">
        <w:trPr>
          <w:trHeight w:val="695"/>
        </w:trPr>
        <w:tc>
          <w:tcPr>
            <w:tcW w:w="4957" w:type="dxa"/>
          </w:tcPr>
          <w:p w:rsidR="008269D0" w:rsidRDefault="00BE670B">
            <w:pPr>
              <w:pStyle w:val="TableParagraph"/>
              <w:spacing w:before="4" w:line="320" w:lineRule="atLeast"/>
              <w:ind w:left="140" w:right="2248"/>
              <w:rPr>
                <w:b/>
                <w:sz w:val="24"/>
              </w:rPr>
            </w:pPr>
            <w:r>
              <w:rPr>
                <w:b/>
                <w:sz w:val="24"/>
              </w:rPr>
              <w:t>Overall response rate</w:t>
            </w:r>
            <w:r>
              <w:rPr>
                <w:b/>
                <w:spacing w:val="1"/>
                <w:sz w:val="24"/>
              </w:rPr>
              <w:t xml:space="preserve"> </w:t>
            </w:r>
            <w:r>
              <w:rPr>
                <w:b/>
                <w:sz w:val="24"/>
              </w:rPr>
              <w:t>(confirmed</w:t>
            </w:r>
            <w:r>
              <w:rPr>
                <w:b/>
                <w:spacing w:val="-6"/>
                <w:sz w:val="24"/>
              </w:rPr>
              <w:t xml:space="preserve"> </w:t>
            </w:r>
            <w:r>
              <w:rPr>
                <w:b/>
                <w:sz w:val="24"/>
              </w:rPr>
              <w:t>CR</w:t>
            </w:r>
            <w:r>
              <w:rPr>
                <w:b/>
                <w:spacing w:val="-5"/>
                <w:sz w:val="24"/>
              </w:rPr>
              <w:t xml:space="preserve"> </w:t>
            </w:r>
            <w:r>
              <w:rPr>
                <w:b/>
                <w:sz w:val="24"/>
              </w:rPr>
              <w:t>+</w:t>
            </w:r>
            <w:r>
              <w:rPr>
                <w:b/>
                <w:spacing w:val="-4"/>
                <w:sz w:val="24"/>
              </w:rPr>
              <w:t xml:space="preserve"> </w:t>
            </w:r>
            <w:r>
              <w:rPr>
                <w:b/>
                <w:sz w:val="24"/>
              </w:rPr>
              <w:t>PR,</w:t>
            </w:r>
            <w:r>
              <w:rPr>
                <w:b/>
                <w:spacing w:val="-3"/>
                <w:sz w:val="24"/>
              </w:rPr>
              <w:t xml:space="preserve"> </w:t>
            </w:r>
            <w:r>
              <w:rPr>
                <w:b/>
                <w:sz w:val="24"/>
              </w:rPr>
              <w:t>%)</w:t>
            </w:r>
          </w:p>
        </w:tc>
        <w:tc>
          <w:tcPr>
            <w:tcW w:w="2126" w:type="dxa"/>
          </w:tcPr>
          <w:p w:rsidR="008269D0" w:rsidRDefault="00BE670B">
            <w:pPr>
              <w:pStyle w:val="TableParagraph"/>
              <w:ind w:left="301" w:right="293"/>
              <w:jc w:val="center"/>
              <w:rPr>
                <w:sz w:val="24"/>
              </w:rPr>
            </w:pPr>
            <w:r>
              <w:rPr>
                <w:sz w:val="24"/>
              </w:rPr>
              <w:t>28.0</w:t>
            </w:r>
          </w:p>
        </w:tc>
        <w:tc>
          <w:tcPr>
            <w:tcW w:w="2125" w:type="dxa"/>
          </w:tcPr>
          <w:p w:rsidR="008269D0" w:rsidRDefault="00BE670B">
            <w:pPr>
              <w:pStyle w:val="TableParagraph"/>
              <w:ind w:left="471" w:right="462"/>
              <w:jc w:val="center"/>
              <w:rPr>
                <w:sz w:val="24"/>
              </w:rPr>
            </w:pPr>
            <w:r>
              <w:rPr>
                <w:sz w:val="24"/>
              </w:rPr>
              <w:t>4.8</w:t>
            </w:r>
          </w:p>
        </w:tc>
      </w:tr>
      <w:tr w:rsidR="008269D0">
        <w:trPr>
          <w:trHeight w:val="372"/>
        </w:trPr>
        <w:tc>
          <w:tcPr>
            <w:tcW w:w="4957" w:type="dxa"/>
          </w:tcPr>
          <w:p w:rsidR="008269D0" w:rsidRDefault="00BE670B">
            <w:pPr>
              <w:pStyle w:val="TableParagraph"/>
              <w:spacing w:before="47"/>
              <w:ind w:left="707"/>
              <w:rPr>
                <w:sz w:val="24"/>
              </w:rPr>
            </w:pPr>
            <w:r>
              <w:rPr>
                <w:sz w:val="24"/>
              </w:rPr>
              <w:t>95%</w:t>
            </w:r>
            <w:r>
              <w:rPr>
                <w:spacing w:val="-1"/>
                <w:sz w:val="24"/>
              </w:rPr>
              <w:t xml:space="preserve"> </w:t>
            </w:r>
            <w:r>
              <w:rPr>
                <w:sz w:val="24"/>
              </w:rPr>
              <w:t>CI</w:t>
            </w:r>
          </w:p>
        </w:tc>
        <w:tc>
          <w:tcPr>
            <w:tcW w:w="2126" w:type="dxa"/>
          </w:tcPr>
          <w:p w:rsidR="008269D0" w:rsidRDefault="00BE670B">
            <w:pPr>
              <w:pStyle w:val="TableParagraph"/>
              <w:spacing w:before="47"/>
              <w:ind w:left="301" w:right="292"/>
              <w:jc w:val="center"/>
              <w:rPr>
                <w:sz w:val="24"/>
              </w:rPr>
            </w:pPr>
            <w:r>
              <w:rPr>
                <w:sz w:val="24"/>
              </w:rPr>
              <w:t>(21.6, 35.0)</w:t>
            </w:r>
          </w:p>
        </w:tc>
        <w:tc>
          <w:tcPr>
            <w:tcW w:w="2125" w:type="dxa"/>
          </w:tcPr>
          <w:p w:rsidR="008269D0" w:rsidRDefault="00BE670B">
            <w:pPr>
              <w:pStyle w:val="TableParagraph"/>
              <w:spacing w:before="47"/>
              <w:ind w:left="472" w:right="461"/>
              <w:jc w:val="center"/>
              <w:rPr>
                <w:sz w:val="24"/>
              </w:rPr>
            </w:pPr>
            <w:r>
              <w:rPr>
                <w:sz w:val="24"/>
              </w:rPr>
              <w:t>(2.2, 9.0)</w:t>
            </w:r>
          </w:p>
        </w:tc>
      </w:tr>
      <w:tr w:rsidR="008269D0">
        <w:trPr>
          <w:trHeight w:val="452"/>
        </w:trPr>
        <w:tc>
          <w:tcPr>
            <w:tcW w:w="4957" w:type="dxa"/>
          </w:tcPr>
          <w:p w:rsidR="008269D0" w:rsidRDefault="00BE670B">
            <w:pPr>
              <w:pStyle w:val="TableParagraph"/>
              <w:spacing w:before="46"/>
              <w:ind w:left="424"/>
              <w:rPr>
                <w:sz w:val="24"/>
              </w:rPr>
            </w:pPr>
            <w:r>
              <w:rPr>
                <w:sz w:val="24"/>
              </w:rPr>
              <w:t>P-value</w:t>
            </w:r>
            <w:r>
              <w:rPr>
                <w:position w:val="8"/>
                <w:sz w:val="24"/>
              </w:rPr>
              <w:t>a</w:t>
            </w:r>
          </w:p>
        </w:tc>
        <w:tc>
          <w:tcPr>
            <w:tcW w:w="4251" w:type="dxa"/>
            <w:gridSpan w:val="2"/>
          </w:tcPr>
          <w:p w:rsidR="008269D0" w:rsidRDefault="00BE670B">
            <w:pPr>
              <w:pStyle w:val="TableParagraph"/>
              <w:ind w:left="1707" w:right="1697"/>
              <w:jc w:val="center"/>
              <w:rPr>
                <w:sz w:val="24"/>
              </w:rPr>
            </w:pPr>
            <w:r>
              <w:rPr>
                <w:sz w:val="24"/>
              </w:rPr>
              <w:t>&lt;.0001</w:t>
            </w:r>
          </w:p>
        </w:tc>
      </w:tr>
      <w:tr w:rsidR="008269D0">
        <w:trPr>
          <w:trHeight w:val="371"/>
        </w:trPr>
        <w:tc>
          <w:tcPr>
            <w:tcW w:w="4957" w:type="dxa"/>
          </w:tcPr>
          <w:p w:rsidR="008269D0" w:rsidRDefault="00BE670B">
            <w:pPr>
              <w:pStyle w:val="TableParagraph"/>
              <w:spacing w:before="48"/>
              <w:ind w:left="140"/>
              <w:rPr>
                <w:b/>
                <w:sz w:val="24"/>
              </w:rPr>
            </w:pPr>
            <w:r>
              <w:rPr>
                <w:b/>
                <w:sz w:val="24"/>
              </w:rPr>
              <w:t>Duration</w:t>
            </w:r>
            <w:r>
              <w:rPr>
                <w:b/>
                <w:spacing w:val="-3"/>
                <w:sz w:val="24"/>
              </w:rPr>
              <w:t xml:space="preserve"> </w:t>
            </w:r>
            <w:r>
              <w:rPr>
                <w:b/>
                <w:sz w:val="24"/>
              </w:rPr>
              <w:t>of</w:t>
            </w:r>
            <w:r>
              <w:rPr>
                <w:b/>
                <w:spacing w:val="-2"/>
                <w:sz w:val="24"/>
              </w:rPr>
              <w:t xml:space="preserve"> </w:t>
            </w:r>
            <w:r>
              <w:rPr>
                <w:b/>
                <w:sz w:val="24"/>
              </w:rPr>
              <w:t>response</w:t>
            </w:r>
            <w:r>
              <w:rPr>
                <w:b/>
                <w:spacing w:val="-1"/>
                <w:sz w:val="24"/>
              </w:rPr>
              <w:t xml:space="preserve"> </w:t>
            </w:r>
            <w:r>
              <w:rPr>
                <w:b/>
                <w:sz w:val="24"/>
              </w:rPr>
              <w:t>(months)</w:t>
            </w:r>
          </w:p>
        </w:tc>
        <w:tc>
          <w:tcPr>
            <w:tcW w:w="2126" w:type="dxa"/>
          </w:tcPr>
          <w:p w:rsidR="008269D0" w:rsidRDefault="008269D0">
            <w:pPr>
              <w:pStyle w:val="TableParagraph"/>
              <w:spacing w:before="0"/>
            </w:pPr>
          </w:p>
        </w:tc>
        <w:tc>
          <w:tcPr>
            <w:tcW w:w="2125" w:type="dxa"/>
          </w:tcPr>
          <w:p w:rsidR="008269D0" w:rsidRDefault="008269D0">
            <w:pPr>
              <w:pStyle w:val="TableParagraph"/>
              <w:spacing w:before="0"/>
            </w:pPr>
          </w:p>
        </w:tc>
      </w:tr>
      <w:tr w:rsidR="008269D0">
        <w:trPr>
          <w:trHeight w:val="371"/>
        </w:trPr>
        <w:tc>
          <w:tcPr>
            <w:tcW w:w="4957" w:type="dxa"/>
          </w:tcPr>
          <w:p w:rsidR="008269D0" w:rsidRDefault="00BE670B">
            <w:pPr>
              <w:pStyle w:val="TableParagraph"/>
              <w:ind w:left="140"/>
              <w:rPr>
                <w:sz w:val="24"/>
              </w:rPr>
            </w:pPr>
            <w:r>
              <w:rPr>
                <w:sz w:val="24"/>
              </w:rPr>
              <w:t>Median</w:t>
            </w:r>
            <w:r>
              <w:rPr>
                <w:spacing w:val="-1"/>
                <w:sz w:val="24"/>
              </w:rPr>
              <w:t xml:space="preserve"> </w:t>
            </w:r>
            <w:r>
              <w:rPr>
                <w:sz w:val="24"/>
              </w:rPr>
              <w:t>(95% CI)</w:t>
            </w:r>
          </w:p>
        </w:tc>
        <w:tc>
          <w:tcPr>
            <w:tcW w:w="2126" w:type="dxa"/>
          </w:tcPr>
          <w:p w:rsidR="008269D0" w:rsidRDefault="00BE670B">
            <w:pPr>
              <w:pStyle w:val="TableParagraph"/>
              <w:ind w:left="301" w:right="294"/>
              <w:jc w:val="center"/>
              <w:rPr>
                <w:sz w:val="24"/>
              </w:rPr>
            </w:pPr>
            <w:r>
              <w:rPr>
                <w:sz w:val="24"/>
              </w:rPr>
              <w:t>14.1 (9.4, 19.2)</w:t>
            </w:r>
          </w:p>
        </w:tc>
        <w:tc>
          <w:tcPr>
            <w:tcW w:w="2125" w:type="dxa"/>
          </w:tcPr>
          <w:p w:rsidR="008269D0" w:rsidRDefault="00BE670B">
            <w:pPr>
              <w:pStyle w:val="TableParagraph"/>
              <w:ind w:left="472" w:right="462"/>
              <w:jc w:val="center"/>
              <w:rPr>
                <w:sz w:val="24"/>
              </w:rPr>
            </w:pPr>
            <w:r>
              <w:rPr>
                <w:sz w:val="24"/>
              </w:rPr>
              <w:t>9.13 (4.7, -)</w:t>
            </w:r>
          </w:p>
        </w:tc>
      </w:tr>
      <w:tr w:rsidR="008269D0">
        <w:trPr>
          <w:trHeight w:val="372"/>
        </w:trPr>
        <w:tc>
          <w:tcPr>
            <w:tcW w:w="4957" w:type="dxa"/>
          </w:tcPr>
          <w:p w:rsidR="008269D0" w:rsidRDefault="00BE670B">
            <w:pPr>
              <w:pStyle w:val="TableParagraph"/>
              <w:spacing w:before="49"/>
              <w:ind w:left="140"/>
              <w:rPr>
                <w:b/>
                <w:sz w:val="24"/>
              </w:rPr>
            </w:pPr>
            <w:r>
              <w:rPr>
                <w:b/>
                <w:sz w:val="24"/>
              </w:rPr>
              <w:t>Response</w:t>
            </w:r>
            <w:r>
              <w:rPr>
                <w:b/>
                <w:spacing w:val="-2"/>
                <w:sz w:val="24"/>
              </w:rPr>
              <w:t xml:space="preserve"> </w:t>
            </w:r>
            <w:r>
              <w:rPr>
                <w:b/>
                <w:sz w:val="24"/>
              </w:rPr>
              <w:t>by</w:t>
            </w:r>
            <w:r>
              <w:rPr>
                <w:b/>
                <w:spacing w:val="-1"/>
                <w:sz w:val="24"/>
              </w:rPr>
              <w:t xml:space="preserve"> </w:t>
            </w:r>
            <w:r>
              <w:rPr>
                <w:b/>
                <w:sz w:val="24"/>
              </w:rPr>
              <w:t>compartment</w:t>
            </w:r>
          </w:p>
        </w:tc>
        <w:tc>
          <w:tcPr>
            <w:tcW w:w="4251" w:type="dxa"/>
            <w:gridSpan w:val="2"/>
          </w:tcPr>
          <w:p w:rsidR="008269D0" w:rsidRDefault="008269D0">
            <w:pPr>
              <w:pStyle w:val="TableParagraph"/>
              <w:spacing w:before="0"/>
            </w:pPr>
          </w:p>
        </w:tc>
      </w:tr>
      <w:tr w:rsidR="008269D0">
        <w:trPr>
          <w:trHeight w:val="371"/>
        </w:trPr>
        <w:tc>
          <w:tcPr>
            <w:tcW w:w="4957" w:type="dxa"/>
          </w:tcPr>
          <w:p w:rsidR="008269D0" w:rsidRDefault="00BE670B">
            <w:pPr>
              <w:pStyle w:val="TableParagraph"/>
              <w:spacing w:before="48"/>
              <w:ind w:left="140"/>
              <w:rPr>
                <w:b/>
                <w:sz w:val="24"/>
              </w:rPr>
            </w:pPr>
            <w:r>
              <w:rPr>
                <w:b/>
                <w:sz w:val="24"/>
              </w:rPr>
              <w:t>Blood</w:t>
            </w:r>
          </w:p>
        </w:tc>
        <w:tc>
          <w:tcPr>
            <w:tcW w:w="2126" w:type="dxa"/>
          </w:tcPr>
          <w:p w:rsidR="008269D0" w:rsidRDefault="00BE670B">
            <w:pPr>
              <w:pStyle w:val="TableParagraph"/>
              <w:ind w:left="301" w:right="292"/>
              <w:jc w:val="center"/>
              <w:rPr>
                <w:sz w:val="24"/>
              </w:rPr>
            </w:pPr>
            <w:r>
              <w:rPr>
                <w:sz w:val="24"/>
              </w:rPr>
              <w:t>n=124</w:t>
            </w:r>
          </w:p>
        </w:tc>
        <w:tc>
          <w:tcPr>
            <w:tcW w:w="2125" w:type="dxa"/>
          </w:tcPr>
          <w:p w:rsidR="008269D0" w:rsidRDefault="00BE670B">
            <w:pPr>
              <w:pStyle w:val="TableParagraph"/>
              <w:ind w:left="472" w:right="462"/>
              <w:jc w:val="center"/>
              <w:rPr>
                <w:sz w:val="24"/>
              </w:rPr>
            </w:pPr>
            <w:r>
              <w:rPr>
                <w:sz w:val="24"/>
              </w:rPr>
              <w:t>n=125</w:t>
            </w:r>
          </w:p>
        </w:tc>
      </w:tr>
      <w:tr w:rsidR="008269D0">
        <w:trPr>
          <w:trHeight w:val="371"/>
        </w:trPr>
        <w:tc>
          <w:tcPr>
            <w:tcW w:w="4957" w:type="dxa"/>
          </w:tcPr>
          <w:p w:rsidR="008269D0" w:rsidRDefault="00BE670B">
            <w:pPr>
              <w:pStyle w:val="TableParagraph"/>
              <w:ind w:left="424"/>
              <w:rPr>
                <w:sz w:val="24"/>
              </w:rPr>
            </w:pPr>
            <w:r>
              <w:rPr>
                <w:sz w:val="24"/>
              </w:rPr>
              <w:t>Response</w:t>
            </w:r>
            <w:r>
              <w:rPr>
                <w:spacing w:val="-1"/>
                <w:sz w:val="24"/>
              </w:rPr>
              <w:t xml:space="preserve"> </w:t>
            </w:r>
            <w:r>
              <w:rPr>
                <w:sz w:val="24"/>
              </w:rPr>
              <w:t>rate</w:t>
            </w:r>
            <w:r>
              <w:rPr>
                <w:spacing w:val="-1"/>
                <w:sz w:val="24"/>
              </w:rPr>
              <w:t xml:space="preserve"> </w:t>
            </w:r>
            <w:r>
              <w:rPr>
                <w:sz w:val="24"/>
              </w:rPr>
              <w:t>(confirmed</w:t>
            </w:r>
            <w:r>
              <w:rPr>
                <w:spacing w:val="-1"/>
                <w:sz w:val="24"/>
              </w:rPr>
              <w:t xml:space="preserve"> </w:t>
            </w:r>
            <w:r>
              <w:rPr>
                <w:sz w:val="24"/>
              </w:rPr>
              <w:t>CR</w:t>
            </w:r>
            <w:r>
              <w:rPr>
                <w:spacing w:val="-2"/>
                <w:sz w:val="24"/>
              </w:rPr>
              <w:t xml:space="preserve"> </w:t>
            </w:r>
            <w:r>
              <w:rPr>
                <w:sz w:val="24"/>
              </w:rPr>
              <w:t>+ PR, %)</w:t>
            </w:r>
          </w:p>
        </w:tc>
        <w:tc>
          <w:tcPr>
            <w:tcW w:w="2126" w:type="dxa"/>
          </w:tcPr>
          <w:p w:rsidR="008269D0" w:rsidRDefault="00BE670B">
            <w:pPr>
              <w:pStyle w:val="TableParagraph"/>
              <w:ind w:left="301" w:right="293"/>
              <w:jc w:val="center"/>
              <w:rPr>
                <w:sz w:val="24"/>
              </w:rPr>
            </w:pPr>
            <w:r>
              <w:rPr>
                <w:sz w:val="24"/>
              </w:rPr>
              <w:t>66.9</w:t>
            </w:r>
          </w:p>
        </w:tc>
        <w:tc>
          <w:tcPr>
            <w:tcW w:w="2125" w:type="dxa"/>
          </w:tcPr>
          <w:p w:rsidR="008269D0" w:rsidRDefault="00BE670B">
            <w:pPr>
              <w:pStyle w:val="TableParagraph"/>
              <w:ind w:left="471" w:right="462"/>
              <w:jc w:val="center"/>
              <w:rPr>
                <w:sz w:val="24"/>
              </w:rPr>
            </w:pPr>
            <w:r>
              <w:rPr>
                <w:sz w:val="24"/>
              </w:rPr>
              <w:t>18.4</w:t>
            </w:r>
          </w:p>
        </w:tc>
      </w:tr>
      <w:tr w:rsidR="008269D0">
        <w:trPr>
          <w:trHeight w:val="371"/>
        </w:trPr>
        <w:tc>
          <w:tcPr>
            <w:tcW w:w="4957" w:type="dxa"/>
          </w:tcPr>
          <w:p w:rsidR="008269D0" w:rsidRDefault="00BE670B">
            <w:pPr>
              <w:pStyle w:val="TableParagraph"/>
              <w:ind w:left="707"/>
              <w:rPr>
                <w:sz w:val="24"/>
              </w:rPr>
            </w:pPr>
            <w:r>
              <w:rPr>
                <w:sz w:val="24"/>
              </w:rPr>
              <w:t>95%</w:t>
            </w:r>
            <w:r>
              <w:rPr>
                <w:spacing w:val="-1"/>
                <w:sz w:val="24"/>
              </w:rPr>
              <w:t xml:space="preserve"> </w:t>
            </w:r>
            <w:r>
              <w:rPr>
                <w:sz w:val="24"/>
              </w:rPr>
              <w:t>CI</w:t>
            </w:r>
          </w:p>
        </w:tc>
        <w:tc>
          <w:tcPr>
            <w:tcW w:w="2126" w:type="dxa"/>
          </w:tcPr>
          <w:p w:rsidR="008269D0" w:rsidRDefault="00BE670B">
            <w:pPr>
              <w:pStyle w:val="TableParagraph"/>
              <w:ind w:left="301" w:right="292"/>
              <w:jc w:val="center"/>
              <w:rPr>
                <w:sz w:val="24"/>
              </w:rPr>
            </w:pPr>
            <w:r>
              <w:rPr>
                <w:sz w:val="24"/>
              </w:rPr>
              <w:t>(57.9, 75.1)</w:t>
            </w:r>
          </w:p>
        </w:tc>
        <w:tc>
          <w:tcPr>
            <w:tcW w:w="2125" w:type="dxa"/>
          </w:tcPr>
          <w:p w:rsidR="008269D0" w:rsidRDefault="00BE670B">
            <w:pPr>
              <w:pStyle w:val="TableParagraph"/>
              <w:ind w:left="472" w:right="461"/>
              <w:jc w:val="center"/>
              <w:rPr>
                <w:sz w:val="24"/>
              </w:rPr>
            </w:pPr>
            <w:r>
              <w:rPr>
                <w:sz w:val="24"/>
              </w:rPr>
              <w:t>(12.0, 26.3)</w:t>
            </w:r>
          </w:p>
        </w:tc>
      </w:tr>
      <w:tr w:rsidR="008269D0">
        <w:trPr>
          <w:trHeight w:val="372"/>
        </w:trPr>
        <w:tc>
          <w:tcPr>
            <w:tcW w:w="4957" w:type="dxa"/>
          </w:tcPr>
          <w:p w:rsidR="008269D0" w:rsidRDefault="00BE670B">
            <w:pPr>
              <w:pStyle w:val="TableParagraph"/>
              <w:spacing w:before="47"/>
              <w:ind w:left="424"/>
              <w:rPr>
                <w:sz w:val="24"/>
              </w:rPr>
            </w:pPr>
            <w:r>
              <w:rPr>
                <w:sz w:val="24"/>
              </w:rPr>
              <w:t>P-value</w:t>
            </w:r>
            <w:r>
              <w:rPr>
                <w:sz w:val="24"/>
                <w:vertAlign w:val="superscript"/>
              </w:rPr>
              <w:t>a</w:t>
            </w:r>
          </w:p>
        </w:tc>
        <w:tc>
          <w:tcPr>
            <w:tcW w:w="4251" w:type="dxa"/>
            <w:gridSpan w:val="2"/>
          </w:tcPr>
          <w:p w:rsidR="008269D0" w:rsidRDefault="00BE670B">
            <w:pPr>
              <w:pStyle w:val="TableParagraph"/>
              <w:spacing w:before="47"/>
              <w:ind w:left="1707" w:right="1697"/>
              <w:jc w:val="center"/>
              <w:rPr>
                <w:sz w:val="24"/>
              </w:rPr>
            </w:pPr>
            <w:r>
              <w:rPr>
                <w:sz w:val="24"/>
              </w:rPr>
              <w:t>&lt;0.0001</w:t>
            </w:r>
          </w:p>
        </w:tc>
      </w:tr>
      <w:tr w:rsidR="008269D0">
        <w:trPr>
          <w:trHeight w:val="371"/>
        </w:trPr>
        <w:tc>
          <w:tcPr>
            <w:tcW w:w="4957" w:type="dxa"/>
          </w:tcPr>
          <w:p w:rsidR="008269D0" w:rsidRDefault="00BE670B">
            <w:pPr>
              <w:pStyle w:val="TableParagraph"/>
              <w:spacing w:before="48"/>
              <w:ind w:left="140"/>
              <w:rPr>
                <w:b/>
                <w:sz w:val="24"/>
              </w:rPr>
            </w:pPr>
            <w:r>
              <w:rPr>
                <w:b/>
                <w:sz w:val="24"/>
              </w:rPr>
              <w:t>Skin</w:t>
            </w:r>
          </w:p>
        </w:tc>
        <w:tc>
          <w:tcPr>
            <w:tcW w:w="2126" w:type="dxa"/>
          </w:tcPr>
          <w:p w:rsidR="008269D0" w:rsidRDefault="00BE670B">
            <w:pPr>
              <w:pStyle w:val="TableParagraph"/>
              <w:ind w:left="301" w:right="292"/>
              <w:jc w:val="center"/>
              <w:rPr>
                <w:sz w:val="24"/>
              </w:rPr>
            </w:pPr>
            <w:r>
              <w:rPr>
                <w:sz w:val="24"/>
              </w:rPr>
              <w:t>n=186</w:t>
            </w:r>
          </w:p>
        </w:tc>
        <w:tc>
          <w:tcPr>
            <w:tcW w:w="2125" w:type="dxa"/>
          </w:tcPr>
          <w:p w:rsidR="008269D0" w:rsidRDefault="00BE670B">
            <w:pPr>
              <w:pStyle w:val="TableParagraph"/>
              <w:ind w:left="472" w:right="462"/>
              <w:jc w:val="center"/>
              <w:rPr>
                <w:sz w:val="24"/>
              </w:rPr>
            </w:pPr>
            <w:r>
              <w:rPr>
                <w:sz w:val="24"/>
              </w:rPr>
              <w:t>n=186</w:t>
            </w:r>
          </w:p>
        </w:tc>
      </w:tr>
      <w:tr w:rsidR="008269D0">
        <w:trPr>
          <w:trHeight w:val="371"/>
        </w:trPr>
        <w:tc>
          <w:tcPr>
            <w:tcW w:w="4957" w:type="dxa"/>
          </w:tcPr>
          <w:p w:rsidR="008269D0" w:rsidRDefault="00BE670B">
            <w:pPr>
              <w:pStyle w:val="TableParagraph"/>
              <w:ind w:right="25"/>
              <w:jc w:val="right"/>
              <w:rPr>
                <w:sz w:val="24"/>
              </w:rPr>
            </w:pPr>
            <w:r>
              <w:rPr>
                <w:sz w:val="24"/>
              </w:rPr>
              <w:t>Overall</w:t>
            </w:r>
            <w:r>
              <w:rPr>
                <w:spacing w:val="-2"/>
                <w:sz w:val="24"/>
              </w:rPr>
              <w:t xml:space="preserve"> </w:t>
            </w:r>
            <w:r>
              <w:rPr>
                <w:sz w:val="24"/>
              </w:rPr>
              <w:t>response</w:t>
            </w:r>
            <w:r>
              <w:rPr>
                <w:spacing w:val="-1"/>
                <w:sz w:val="24"/>
              </w:rPr>
              <w:t xml:space="preserve"> </w:t>
            </w:r>
            <w:r>
              <w:rPr>
                <w:sz w:val="24"/>
              </w:rPr>
              <w:t>rate</w:t>
            </w:r>
            <w:r>
              <w:rPr>
                <w:spacing w:val="-1"/>
                <w:sz w:val="24"/>
              </w:rPr>
              <w:t xml:space="preserve"> </w:t>
            </w:r>
            <w:r>
              <w:rPr>
                <w:sz w:val="24"/>
              </w:rPr>
              <w:t>(confirmed</w:t>
            </w:r>
            <w:r>
              <w:rPr>
                <w:spacing w:val="-1"/>
                <w:sz w:val="24"/>
              </w:rPr>
              <w:t xml:space="preserve"> </w:t>
            </w:r>
            <w:r>
              <w:rPr>
                <w:sz w:val="24"/>
              </w:rPr>
              <w:t>CR</w:t>
            </w:r>
            <w:r>
              <w:rPr>
                <w:spacing w:val="-1"/>
                <w:sz w:val="24"/>
              </w:rPr>
              <w:t xml:space="preserve"> </w:t>
            </w:r>
            <w:r>
              <w:rPr>
                <w:sz w:val="24"/>
              </w:rPr>
              <w:t>+</w:t>
            </w:r>
            <w:r>
              <w:rPr>
                <w:spacing w:val="-1"/>
                <w:sz w:val="24"/>
              </w:rPr>
              <w:t xml:space="preserve"> </w:t>
            </w:r>
            <w:r>
              <w:rPr>
                <w:sz w:val="24"/>
              </w:rPr>
              <w:t>PR,</w:t>
            </w:r>
            <w:r>
              <w:rPr>
                <w:spacing w:val="-2"/>
                <w:sz w:val="24"/>
              </w:rPr>
              <w:t xml:space="preserve"> </w:t>
            </w:r>
            <w:r>
              <w:rPr>
                <w:sz w:val="24"/>
              </w:rPr>
              <w:t>%)</w:t>
            </w:r>
          </w:p>
        </w:tc>
        <w:tc>
          <w:tcPr>
            <w:tcW w:w="2126" w:type="dxa"/>
          </w:tcPr>
          <w:p w:rsidR="008269D0" w:rsidRDefault="00BE670B">
            <w:pPr>
              <w:pStyle w:val="TableParagraph"/>
              <w:ind w:left="301" w:right="293"/>
              <w:jc w:val="center"/>
              <w:rPr>
                <w:sz w:val="24"/>
              </w:rPr>
            </w:pPr>
            <w:r>
              <w:rPr>
                <w:sz w:val="24"/>
              </w:rPr>
              <w:t>41.9</w:t>
            </w:r>
          </w:p>
        </w:tc>
        <w:tc>
          <w:tcPr>
            <w:tcW w:w="2125" w:type="dxa"/>
          </w:tcPr>
          <w:p w:rsidR="008269D0" w:rsidRDefault="00BE670B">
            <w:pPr>
              <w:pStyle w:val="TableParagraph"/>
              <w:ind w:left="471" w:right="462"/>
              <w:jc w:val="center"/>
              <w:rPr>
                <w:sz w:val="24"/>
              </w:rPr>
            </w:pPr>
            <w:r>
              <w:rPr>
                <w:sz w:val="24"/>
              </w:rPr>
              <w:t>15.6</w:t>
            </w:r>
          </w:p>
        </w:tc>
      </w:tr>
      <w:tr w:rsidR="008269D0">
        <w:trPr>
          <w:trHeight w:val="372"/>
        </w:trPr>
        <w:tc>
          <w:tcPr>
            <w:tcW w:w="4957" w:type="dxa"/>
          </w:tcPr>
          <w:p w:rsidR="008269D0" w:rsidRDefault="00BE670B">
            <w:pPr>
              <w:pStyle w:val="TableParagraph"/>
              <w:spacing w:before="47"/>
              <w:ind w:left="707"/>
              <w:rPr>
                <w:sz w:val="24"/>
              </w:rPr>
            </w:pPr>
            <w:r>
              <w:rPr>
                <w:sz w:val="24"/>
              </w:rPr>
              <w:t>95%</w:t>
            </w:r>
            <w:r>
              <w:rPr>
                <w:spacing w:val="-1"/>
                <w:sz w:val="24"/>
              </w:rPr>
              <w:t xml:space="preserve"> </w:t>
            </w:r>
            <w:r>
              <w:rPr>
                <w:sz w:val="24"/>
              </w:rPr>
              <w:t>CI</w:t>
            </w:r>
          </w:p>
        </w:tc>
        <w:tc>
          <w:tcPr>
            <w:tcW w:w="2126" w:type="dxa"/>
          </w:tcPr>
          <w:p w:rsidR="008269D0" w:rsidRDefault="00BE670B">
            <w:pPr>
              <w:pStyle w:val="TableParagraph"/>
              <w:spacing w:before="47"/>
              <w:ind w:left="301" w:right="292"/>
              <w:jc w:val="center"/>
              <w:rPr>
                <w:sz w:val="24"/>
              </w:rPr>
            </w:pPr>
            <w:r>
              <w:rPr>
                <w:sz w:val="24"/>
              </w:rPr>
              <w:t>(34.8, 49.4)</w:t>
            </w:r>
          </w:p>
        </w:tc>
        <w:tc>
          <w:tcPr>
            <w:tcW w:w="2125" w:type="dxa"/>
          </w:tcPr>
          <w:p w:rsidR="008269D0" w:rsidRDefault="00BE670B">
            <w:pPr>
              <w:pStyle w:val="TableParagraph"/>
              <w:spacing w:before="47"/>
              <w:ind w:left="472" w:right="461"/>
              <w:jc w:val="center"/>
              <w:rPr>
                <w:sz w:val="24"/>
              </w:rPr>
            </w:pPr>
            <w:r>
              <w:rPr>
                <w:sz w:val="24"/>
              </w:rPr>
              <w:t>(10.7, 21.6)</w:t>
            </w:r>
          </w:p>
        </w:tc>
      </w:tr>
      <w:tr w:rsidR="008269D0">
        <w:trPr>
          <w:trHeight w:val="451"/>
        </w:trPr>
        <w:tc>
          <w:tcPr>
            <w:tcW w:w="4957" w:type="dxa"/>
          </w:tcPr>
          <w:p w:rsidR="008269D0" w:rsidRDefault="00BE670B">
            <w:pPr>
              <w:pStyle w:val="TableParagraph"/>
              <w:spacing w:before="46"/>
              <w:ind w:left="424"/>
              <w:rPr>
                <w:sz w:val="24"/>
              </w:rPr>
            </w:pPr>
            <w:r>
              <w:rPr>
                <w:sz w:val="24"/>
              </w:rPr>
              <w:t>P-value</w:t>
            </w:r>
            <w:r>
              <w:rPr>
                <w:position w:val="8"/>
                <w:sz w:val="24"/>
              </w:rPr>
              <w:t>a</w:t>
            </w:r>
          </w:p>
        </w:tc>
        <w:tc>
          <w:tcPr>
            <w:tcW w:w="4251" w:type="dxa"/>
            <w:gridSpan w:val="2"/>
          </w:tcPr>
          <w:p w:rsidR="008269D0" w:rsidRDefault="00BE670B">
            <w:pPr>
              <w:pStyle w:val="TableParagraph"/>
              <w:ind w:left="1707" w:right="1697"/>
              <w:jc w:val="center"/>
              <w:rPr>
                <w:sz w:val="24"/>
              </w:rPr>
            </w:pPr>
            <w:r>
              <w:rPr>
                <w:sz w:val="24"/>
              </w:rPr>
              <w:t>&lt;.0001</w:t>
            </w:r>
          </w:p>
        </w:tc>
      </w:tr>
      <w:tr w:rsidR="008269D0">
        <w:trPr>
          <w:trHeight w:val="371"/>
        </w:trPr>
        <w:tc>
          <w:tcPr>
            <w:tcW w:w="4957" w:type="dxa"/>
          </w:tcPr>
          <w:p w:rsidR="008269D0" w:rsidRDefault="00BE670B">
            <w:pPr>
              <w:pStyle w:val="TableParagraph"/>
              <w:spacing w:before="48"/>
              <w:ind w:left="140"/>
              <w:rPr>
                <w:b/>
                <w:sz w:val="24"/>
              </w:rPr>
            </w:pPr>
            <w:r>
              <w:rPr>
                <w:b/>
                <w:sz w:val="24"/>
              </w:rPr>
              <w:t>Lymph</w:t>
            </w:r>
            <w:r>
              <w:rPr>
                <w:b/>
                <w:spacing w:val="-2"/>
                <w:sz w:val="24"/>
              </w:rPr>
              <w:t xml:space="preserve"> </w:t>
            </w:r>
            <w:r>
              <w:rPr>
                <w:b/>
                <w:sz w:val="24"/>
              </w:rPr>
              <w:t>nodes</w:t>
            </w:r>
          </w:p>
        </w:tc>
        <w:tc>
          <w:tcPr>
            <w:tcW w:w="2126" w:type="dxa"/>
          </w:tcPr>
          <w:p w:rsidR="008269D0" w:rsidRDefault="00BE670B">
            <w:pPr>
              <w:pStyle w:val="TableParagraph"/>
              <w:ind w:left="301" w:right="292"/>
              <w:jc w:val="center"/>
              <w:rPr>
                <w:sz w:val="24"/>
              </w:rPr>
            </w:pPr>
            <w:r>
              <w:rPr>
                <w:sz w:val="24"/>
              </w:rPr>
              <w:t>n=136</w:t>
            </w:r>
          </w:p>
        </w:tc>
        <w:tc>
          <w:tcPr>
            <w:tcW w:w="2125" w:type="dxa"/>
          </w:tcPr>
          <w:p w:rsidR="008269D0" w:rsidRDefault="00BE670B">
            <w:pPr>
              <w:pStyle w:val="TableParagraph"/>
              <w:ind w:left="472" w:right="462"/>
              <w:jc w:val="center"/>
              <w:rPr>
                <w:sz w:val="24"/>
              </w:rPr>
            </w:pPr>
            <w:r>
              <w:rPr>
                <w:sz w:val="24"/>
              </w:rPr>
              <w:t>n=133</w:t>
            </w:r>
          </w:p>
        </w:tc>
      </w:tr>
      <w:tr w:rsidR="008269D0">
        <w:trPr>
          <w:trHeight w:val="371"/>
        </w:trPr>
        <w:tc>
          <w:tcPr>
            <w:tcW w:w="4957" w:type="dxa"/>
          </w:tcPr>
          <w:p w:rsidR="008269D0" w:rsidRDefault="00BE670B">
            <w:pPr>
              <w:pStyle w:val="TableParagraph"/>
              <w:ind w:right="25"/>
              <w:jc w:val="right"/>
              <w:rPr>
                <w:sz w:val="24"/>
              </w:rPr>
            </w:pPr>
            <w:r>
              <w:rPr>
                <w:sz w:val="24"/>
              </w:rPr>
              <w:t>Overall</w:t>
            </w:r>
            <w:r>
              <w:rPr>
                <w:spacing w:val="-2"/>
                <w:sz w:val="24"/>
              </w:rPr>
              <w:t xml:space="preserve"> </w:t>
            </w:r>
            <w:r>
              <w:rPr>
                <w:sz w:val="24"/>
              </w:rPr>
              <w:t>response</w:t>
            </w:r>
            <w:r>
              <w:rPr>
                <w:spacing w:val="-1"/>
                <w:sz w:val="24"/>
              </w:rPr>
              <w:t xml:space="preserve"> </w:t>
            </w:r>
            <w:r>
              <w:rPr>
                <w:sz w:val="24"/>
              </w:rPr>
              <w:t>rate</w:t>
            </w:r>
            <w:r>
              <w:rPr>
                <w:spacing w:val="-1"/>
                <w:sz w:val="24"/>
              </w:rPr>
              <w:t xml:space="preserve"> </w:t>
            </w:r>
            <w:r>
              <w:rPr>
                <w:sz w:val="24"/>
              </w:rPr>
              <w:t>(confirmed</w:t>
            </w:r>
            <w:r>
              <w:rPr>
                <w:spacing w:val="-1"/>
                <w:sz w:val="24"/>
              </w:rPr>
              <w:t xml:space="preserve"> </w:t>
            </w:r>
            <w:r>
              <w:rPr>
                <w:sz w:val="24"/>
              </w:rPr>
              <w:t>CR</w:t>
            </w:r>
            <w:r>
              <w:rPr>
                <w:spacing w:val="-1"/>
                <w:sz w:val="24"/>
              </w:rPr>
              <w:t xml:space="preserve"> </w:t>
            </w:r>
            <w:r>
              <w:rPr>
                <w:sz w:val="24"/>
              </w:rPr>
              <w:t>+</w:t>
            </w:r>
            <w:r>
              <w:rPr>
                <w:spacing w:val="-1"/>
                <w:sz w:val="24"/>
              </w:rPr>
              <w:t xml:space="preserve"> </w:t>
            </w:r>
            <w:r>
              <w:rPr>
                <w:sz w:val="24"/>
              </w:rPr>
              <w:t>PR,</w:t>
            </w:r>
            <w:r>
              <w:rPr>
                <w:spacing w:val="-2"/>
                <w:sz w:val="24"/>
              </w:rPr>
              <w:t xml:space="preserve"> </w:t>
            </w:r>
            <w:r>
              <w:rPr>
                <w:sz w:val="24"/>
              </w:rPr>
              <w:t>%)</w:t>
            </w:r>
          </w:p>
        </w:tc>
        <w:tc>
          <w:tcPr>
            <w:tcW w:w="2126" w:type="dxa"/>
          </w:tcPr>
          <w:p w:rsidR="008269D0" w:rsidRDefault="00BE670B">
            <w:pPr>
              <w:pStyle w:val="TableParagraph"/>
              <w:ind w:left="301" w:right="293"/>
              <w:jc w:val="center"/>
              <w:rPr>
                <w:sz w:val="24"/>
              </w:rPr>
            </w:pPr>
            <w:r>
              <w:rPr>
                <w:sz w:val="24"/>
              </w:rPr>
              <w:t>15.4</w:t>
            </w:r>
          </w:p>
        </w:tc>
        <w:tc>
          <w:tcPr>
            <w:tcW w:w="2125" w:type="dxa"/>
          </w:tcPr>
          <w:p w:rsidR="008269D0" w:rsidRDefault="00BE670B">
            <w:pPr>
              <w:pStyle w:val="TableParagraph"/>
              <w:ind w:left="471" w:right="462"/>
              <w:jc w:val="center"/>
              <w:rPr>
                <w:sz w:val="24"/>
              </w:rPr>
            </w:pPr>
            <w:r>
              <w:rPr>
                <w:sz w:val="24"/>
              </w:rPr>
              <w:t>3.8</w:t>
            </w:r>
          </w:p>
        </w:tc>
      </w:tr>
      <w:tr w:rsidR="008269D0">
        <w:trPr>
          <w:trHeight w:val="372"/>
        </w:trPr>
        <w:tc>
          <w:tcPr>
            <w:tcW w:w="4957" w:type="dxa"/>
          </w:tcPr>
          <w:p w:rsidR="008269D0" w:rsidRDefault="00BE670B">
            <w:pPr>
              <w:pStyle w:val="TableParagraph"/>
              <w:spacing w:before="47"/>
              <w:ind w:left="707"/>
              <w:rPr>
                <w:sz w:val="24"/>
              </w:rPr>
            </w:pPr>
            <w:r>
              <w:rPr>
                <w:sz w:val="24"/>
              </w:rPr>
              <w:t>95%</w:t>
            </w:r>
            <w:r>
              <w:rPr>
                <w:spacing w:val="-1"/>
                <w:sz w:val="24"/>
              </w:rPr>
              <w:t xml:space="preserve"> </w:t>
            </w:r>
            <w:r>
              <w:rPr>
                <w:sz w:val="24"/>
              </w:rPr>
              <w:t>CI</w:t>
            </w:r>
          </w:p>
        </w:tc>
        <w:tc>
          <w:tcPr>
            <w:tcW w:w="2126" w:type="dxa"/>
          </w:tcPr>
          <w:p w:rsidR="008269D0" w:rsidRDefault="00BE670B">
            <w:pPr>
              <w:pStyle w:val="TableParagraph"/>
              <w:spacing w:before="47"/>
              <w:ind w:left="301" w:right="292"/>
              <w:jc w:val="center"/>
              <w:rPr>
                <w:sz w:val="24"/>
              </w:rPr>
            </w:pPr>
            <w:r>
              <w:rPr>
                <w:sz w:val="24"/>
              </w:rPr>
              <w:t>(9.8, 22.6)</w:t>
            </w:r>
          </w:p>
        </w:tc>
        <w:tc>
          <w:tcPr>
            <w:tcW w:w="2125" w:type="dxa"/>
          </w:tcPr>
          <w:p w:rsidR="008269D0" w:rsidRDefault="00BE670B">
            <w:pPr>
              <w:pStyle w:val="TableParagraph"/>
              <w:spacing w:before="47"/>
              <w:ind w:left="472" w:right="461"/>
              <w:jc w:val="center"/>
              <w:rPr>
                <w:sz w:val="24"/>
              </w:rPr>
            </w:pPr>
            <w:r>
              <w:rPr>
                <w:sz w:val="24"/>
              </w:rPr>
              <w:t>(1.2, 8.6)</w:t>
            </w:r>
          </w:p>
        </w:tc>
      </w:tr>
      <w:tr w:rsidR="008269D0">
        <w:trPr>
          <w:trHeight w:val="452"/>
        </w:trPr>
        <w:tc>
          <w:tcPr>
            <w:tcW w:w="4957" w:type="dxa"/>
          </w:tcPr>
          <w:p w:rsidR="008269D0" w:rsidRDefault="00BE670B">
            <w:pPr>
              <w:pStyle w:val="TableParagraph"/>
              <w:spacing w:before="46"/>
              <w:ind w:left="424"/>
              <w:rPr>
                <w:sz w:val="24"/>
              </w:rPr>
            </w:pPr>
            <w:r>
              <w:rPr>
                <w:sz w:val="24"/>
              </w:rPr>
              <w:t>P-value</w:t>
            </w:r>
            <w:r>
              <w:rPr>
                <w:position w:val="8"/>
                <w:sz w:val="24"/>
              </w:rPr>
              <w:t>a</w:t>
            </w:r>
          </w:p>
        </w:tc>
        <w:tc>
          <w:tcPr>
            <w:tcW w:w="4251" w:type="dxa"/>
            <w:gridSpan w:val="2"/>
          </w:tcPr>
          <w:p w:rsidR="008269D0" w:rsidRDefault="00BE670B">
            <w:pPr>
              <w:pStyle w:val="TableParagraph"/>
              <w:ind w:left="1706" w:right="1697"/>
              <w:jc w:val="center"/>
              <w:rPr>
                <w:sz w:val="24"/>
              </w:rPr>
            </w:pPr>
            <w:r>
              <w:rPr>
                <w:sz w:val="24"/>
              </w:rPr>
              <w:t>0.0008</w:t>
            </w:r>
          </w:p>
        </w:tc>
      </w:tr>
      <w:tr w:rsidR="008269D0">
        <w:trPr>
          <w:trHeight w:val="371"/>
        </w:trPr>
        <w:tc>
          <w:tcPr>
            <w:tcW w:w="4957" w:type="dxa"/>
          </w:tcPr>
          <w:p w:rsidR="008269D0" w:rsidRDefault="00BE670B">
            <w:pPr>
              <w:pStyle w:val="TableParagraph"/>
              <w:spacing w:before="48"/>
              <w:ind w:left="140"/>
              <w:rPr>
                <w:b/>
                <w:sz w:val="24"/>
              </w:rPr>
            </w:pPr>
            <w:r>
              <w:rPr>
                <w:b/>
                <w:sz w:val="24"/>
              </w:rPr>
              <w:t>Viscera</w:t>
            </w:r>
          </w:p>
        </w:tc>
        <w:tc>
          <w:tcPr>
            <w:tcW w:w="2126" w:type="dxa"/>
          </w:tcPr>
          <w:p w:rsidR="008269D0" w:rsidRDefault="00BE670B">
            <w:pPr>
              <w:pStyle w:val="TableParagraph"/>
              <w:ind w:left="301" w:right="292"/>
              <w:jc w:val="center"/>
              <w:rPr>
                <w:sz w:val="24"/>
              </w:rPr>
            </w:pPr>
            <w:r>
              <w:rPr>
                <w:sz w:val="24"/>
              </w:rPr>
              <w:t>n=6</w:t>
            </w:r>
          </w:p>
        </w:tc>
        <w:tc>
          <w:tcPr>
            <w:tcW w:w="2125" w:type="dxa"/>
          </w:tcPr>
          <w:p w:rsidR="008269D0" w:rsidRDefault="00BE670B">
            <w:pPr>
              <w:pStyle w:val="TableParagraph"/>
              <w:ind w:left="472" w:right="462"/>
              <w:jc w:val="center"/>
              <w:rPr>
                <w:sz w:val="24"/>
              </w:rPr>
            </w:pPr>
            <w:r>
              <w:rPr>
                <w:sz w:val="24"/>
              </w:rPr>
              <w:t>n=4</w:t>
            </w:r>
          </w:p>
        </w:tc>
      </w:tr>
      <w:tr w:rsidR="008269D0">
        <w:trPr>
          <w:trHeight w:val="371"/>
        </w:trPr>
        <w:tc>
          <w:tcPr>
            <w:tcW w:w="4957" w:type="dxa"/>
          </w:tcPr>
          <w:p w:rsidR="008269D0" w:rsidRDefault="00BE670B">
            <w:pPr>
              <w:pStyle w:val="TableParagraph"/>
              <w:ind w:right="25"/>
              <w:jc w:val="right"/>
              <w:rPr>
                <w:sz w:val="24"/>
              </w:rPr>
            </w:pPr>
            <w:r>
              <w:rPr>
                <w:sz w:val="24"/>
              </w:rPr>
              <w:t>Overall</w:t>
            </w:r>
            <w:r>
              <w:rPr>
                <w:spacing w:val="-2"/>
                <w:sz w:val="24"/>
              </w:rPr>
              <w:t xml:space="preserve"> </w:t>
            </w:r>
            <w:r>
              <w:rPr>
                <w:sz w:val="24"/>
              </w:rPr>
              <w:t>response</w:t>
            </w:r>
            <w:r>
              <w:rPr>
                <w:spacing w:val="-1"/>
                <w:sz w:val="24"/>
              </w:rPr>
              <w:t xml:space="preserve"> </w:t>
            </w:r>
            <w:r>
              <w:rPr>
                <w:sz w:val="24"/>
              </w:rPr>
              <w:t>rate</w:t>
            </w:r>
            <w:r>
              <w:rPr>
                <w:spacing w:val="-1"/>
                <w:sz w:val="24"/>
              </w:rPr>
              <w:t xml:space="preserve"> </w:t>
            </w:r>
            <w:r>
              <w:rPr>
                <w:sz w:val="24"/>
              </w:rPr>
              <w:t>(confirmed</w:t>
            </w:r>
            <w:r>
              <w:rPr>
                <w:spacing w:val="-1"/>
                <w:sz w:val="24"/>
              </w:rPr>
              <w:t xml:space="preserve"> </w:t>
            </w:r>
            <w:r>
              <w:rPr>
                <w:sz w:val="24"/>
              </w:rPr>
              <w:t>CR</w:t>
            </w:r>
            <w:r>
              <w:rPr>
                <w:spacing w:val="-1"/>
                <w:sz w:val="24"/>
              </w:rPr>
              <w:t xml:space="preserve"> </w:t>
            </w:r>
            <w:r>
              <w:rPr>
                <w:sz w:val="24"/>
              </w:rPr>
              <w:t>+</w:t>
            </w:r>
            <w:r>
              <w:rPr>
                <w:spacing w:val="-1"/>
                <w:sz w:val="24"/>
              </w:rPr>
              <w:t xml:space="preserve"> </w:t>
            </w:r>
            <w:r>
              <w:rPr>
                <w:sz w:val="24"/>
              </w:rPr>
              <w:t>PR,</w:t>
            </w:r>
            <w:r>
              <w:rPr>
                <w:spacing w:val="-2"/>
                <w:sz w:val="24"/>
              </w:rPr>
              <w:t xml:space="preserve"> </w:t>
            </w:r>
            <w:r>
              <w:rPr>
                <w:sz w:val="24"/>
              </w:rPr>
              <w:t>%)</w:t>
            </w:r>
          </w:p>
        </w:tc>
        <w:tc>
          <w:tcPr>
            <w:tcW w:w="2126" w:type="dxa"/>
          </w:tcPr>
          <w:p w:rsidR="008269D0" w:rsidRDefault="00BE670B">
            <w:pPr>
              <w:pStyle w:val="TableParagraph"/>
              <w:ind w:left="8"/>
              <w:jc w:val="center"/>
              <w:rPr>
                <w:sz w:val="24"/>
              </w:rPr>
            </w:pPr>
            <w:r>
              <w:rPr>
                <w:sz w:val="24"/>
              </w:rPr>
              <w:t>0</w:t>
            </w:r>
          </w:p>
        </w:tc>
        <w:tc>
          <w:tcPr>
            <w:tcW w:w="2125" w:type="dxa"/>
          </w:tcPr>
          <w:p w:rsidR="008269D0" w:rsidRDefault="00BE670B">
            <w:pPr>
              <w:pStyle w:val="TableParagraph"/>
              <w:ind w:left="9"/>
              <w:jc w:val="center"/>
              <w:rPr>
                <w:sz w:val="24"/>
              </w:rPr>
            </w:pPr>
            <w:r>
              <w:rPr>
                <w:sz w:val="24"/>
              </w:rPr>
              <w:t>0</w:t>
            </w:r>
          </w:p>
        </w:tc>
      </w:tr>
      <w:tr w:rsidR="008269D0">
        <w:trPr>
          <w:trHeight w:val="372"/>
        </w:trPr>
        <w:tc>
          <w:tcPr>
            <w:tcW w:w="4957" w:type="dxa"/>
          </w:tcPr>
          <w:p w:rsidR="008269D0" w:rsidRDefault="00BE670B">
            <w:pPr>
              <w:pStyle w:val="TableParagraph"/>
              <w:spacing w:before="47"/>
              <w:ind w:left="707"/>
              <w:rPr>
                <w:sz w:val="24"/>
              </w:rPr>
            </w:pPr>
            <w:r>
              <w:rPr>
                <w:sz w:val="24"/>
              </w:rPr>
              <w:t>95%</w:t>
            </w:r>
            <w:r>
              <w:rPr>
                <w:spacing w:val="-1"/>
                <w:sz w:val="24"/>
              </w:rPr>
              <w:t xml:space="preserve"> </w:t>
            </w:r>
            <w:r>
              <w:rPr>
                <w:sz w:val="24"/>
              </w:rPr>
              <w:t>CI</w:t>
            </w:r>
          </w:p>
        </w:tc>
        <w:tc>
          <w:tcPr>
            <w:tcW w:w="2126" w:type="dxa"/>
          </w:tcPr>
          <w:p w:rsidR="008269D0" w:rsidRDefault="00BE670B">
            <w:pPr>
              <w:pStyle w:val="TableParagraph"/>
              <w:spacing w:before="47"/>
              <w:ind w:left="301" w:right="292"/>
              <w:jc w:val="center"/>
              <w:rPr>
                <w:sz w:val="24"/>
              </w:rPr>
            </w:pPr>
            <w:r>
              <w:rPr>
                <w:sz w:val="24"/>
              </w:rPr>
              <w:t>(0.0, 45.9)</w:t>
            </w:r>
          </w:p>
        </w:tc>
        <w:tc>
          <w:tcPr>
            <w:tcW w:w="2125" w:type="dxa"/>
          </w:tcPr>
          <w:p w:rsidR="008269D0" w:rsidRDefault="00BE670B">
            <w:pPr>
              <w:pStyle w:val="TableParagraph"/>
              <w:spacing w:before="47"/>
              <w:ind w:left="472" w:right="461"/>
              <w:jc w:val="center"/>
              <w:rPr>
                <w:sz w:val="24"/>
              </w:rPr>
            </w:pPr>
            <w:r>
              <w:rPr>
                <w:sz w:val="24"/>
              </w:rPr>
              <w:t>(0.0, 60.2)</w:t>
            </w:r>
          </w:p>
        </w:tc>
      </w:tr>
    </w:tbl>
    <w:p w:rsidR="008269D0" w:rsidRDefault="00BE670B">
      <w:pPr>
        <w:spacing w:before="115"/>
        <w:ind w:left="118"/>
        <w:rPr>
          <w:sz w:val="18"/>
        </w:rPr>
      </w:pPr>
      <w:r>
        <w:rPr>
          <w:sz w:val="18"/>
        </w:rPr>
        <w:t>Note:</w:t>
      </w:r>
      <w:r>
        <w:rPr>
          <w:spacing w:val="-2"/>
          <w:sz w:val="18"/>
        </w:rPr>
        <w:t xml:space="preserve"> </w:t>
      </w:r>
      <w:r>
        <w:rPr>
          <w:sz w:val="18"/>
        </w:rPr>
        <w:t>Overall</w:t>
      </w:r>
      <w:r>
        <w:rPr>
          <w:spacing w:val="-3"/>
          <w:sz w:val="18"/>
        </w:rPr>
        <w:t xml:space="preserve"> </w:t>
      </w:r>
      <w:r>
        <w:rPr>
          <w:sz w:val="18"/>
        </w:rPr>
        <w:t>response</w:t>
      </w:r>
      <w:r>
        <w:rPr>
          <w:spacing w:val="-1"/>
          <w:sz w:val="18"/>
        </w:rPr>
        <w:t xml:space="preserve"> </w:t>
      </w:r>
      <w:r>
        <w:rPr>
          <w:sz w:val="18"/>
        </w:rPr>
        <w:t>rate</w:t>
      </w:r>
      <w:r>
        <w:rPr>
          <w:spacing w:val="-2"/>
          <w:sz w:val="18"/>
        </w:rPr>
        <w:t xml:space="preserve"> </w:t>
      </w:r>
      <w:r>
        <w:rPr>
          <w:sz w:val="18"/>
        </w:rPr>
        <w:t>is</w:t>
      </w:r>
      <w:r>
        <w:rPr>
          <w:spacing w:val="-2"/>
          <w:sz w:val="18"/>
        </w:rPr>
        <w:t xml:space="preserve"> </w:t>
      </w:r>
      <w:r>
        <w:rPr>
          <w:sz w:val="18"/>
        </w:rPr>
        <w:t>based</w:t>
      </w:r>
      <w:r>
        <w:rPr>
          <w:spacing w:val="-2"/>
          <w:sz w:val="18"/>
        </w:rPr>
        <w:t xml:space="preserve"> </w:t>
      </w:r>
      <w:r>
        <w:rPr>
          <w:sz w:val="18"/>
        </w:rPr>
        <w:t>on</w:t>
      </w:r>
      <w:r>
        <w:rPr>
          <w:spacing w:val="-1"/>
          <w:sz w:val="18"/>
        </w:rPr>
        <w:t xml:space="preserve"> </w:t>
      </w:r>
      <w:r>
        <w:rPr>
          <w:sz w:val="18"/>
        </w:rPr>
        <w:t>Global</w:t>
      </w:r>
      <w:r>
        <w:rPr>
          <w:spacing w:val="-2"/>
          <w:sz w:val="18"/>
        </w:rPr>
        <w:t xml:space="preserve"> </w:t>
      </w:r>
      <w:r>
        <w:rPr>
          <w:sz w:val="18"/>
        </w:rPr>
        <w:t>Composite</w:t>
      </w:r>
      <w:r>
        <w:rPr>
          <w:spacing w:val="-1"/>
          <w:sz w:val="18"/>
        </w:rPr>
        <w:t xml:space="preserve"> </w:t>
      </w:r>
      <w:r>
        <w:rPr>
          <w:sz w:val="18"/>
        </w:rPr>
        <w:t>Response</w:t>
      </w:r>
      <w:r>
        <w:rPr>
          <w:spacing w:val="-1"/>
          <w:sz w:val="18"/>
        </w:rPr>
        <w:t xml:space="preserve"> </w:t>
      </w:r>
      <w:r>
        <w:rPr>
          <w:sz w:val="18"/>
        </w:rPr>
        <w:t>score.</w:t>
      </w:r>
    </w:p>
    <w:p w:rsidR="008269D0" w:rsidRDefault="00BE670B">
      <w:pPr>
        <w:spacing w:before="115" w:line="379" w:lineRule="auto"/>
        <w:ind w:left="118" w:right="1347" w:hanging="1"/>
        <w:rPr>
          <w:sz w:val="18"/>
        </w:rPr>
      </w:pPr>
      <w:r>
        <w:rPr>
          <w:position w:val="6"/>
          <w:sz w:val="12"/>
        </w:rPr>
        <w:t>a</w:t>
      </w:r>
      <w:r>
        <w:rPr>
          <w:sz w:val="18"/>
        </w:rPr>
        <w:t>: P-value was obtained from Cochran-Mantel-Haenszel test adjusting for disease type, disease stage, and region.</w:t>
      </w:r>
      <w:r>
        <w:rPr>
          <w:spacing w:val="-42"/>
          <w:sz w:val="18"/>
        </w:rPr>
        <w:t xml:space="preserve"> </w:t>
      </w:r>
      <w:r>
        <w:rPr>
          <w:sz w:val="18"/>
        </w:rPr>
        <w:t>CI=confidence interval; CR=complete</w:t>
      </w:r>
      <w:r>
        <w:rPr>
          <w:spacing w:val="1"/>
          <w:sz w:val="18"/>
        </w:rPr>
        <w:t xml:space="preserve"> </w:t>
      </w:r>
      <w:r>
        <w:rPr>
          <w:sz w:val="18"/>
        </w:rPr>
        <w:t>response;</w:t>
      </w:r>
      <w:r>
        <w:rPr>
          <w:spacing w:val="-2"/>
          <w:sz w:val="18"/>
        </w:rPr>
        <w:t xml:space="preserve"> </w:t>
      </w:r>
      <w:r>
        <w:rPr>
          <w:sz w:val="18"/>
        </w:rPr>
        <w:t>PR=partial</w:t>
      </w:r>
      <w:r>
        <w:rPr>
          <w:spacing w:val="-1"/>
          <w:sz w:val="18"/>
        </w:rPr>
        <w:t xml:space="preserve"> </w:t>
      </w:r>
      <w:r>
        <w:rPr>
          <w:sz w:val="18"/>
        </w:rPr>
        <w:t>response</w:t>
      </w:r>
    </w:p>
    <w:p w:rsidR="008269D0" w:rsidRDefault="008269D0">
      <w:pPr>
        <w:spacing w:line="379" w:lineRule="auto"/>
        <w:rPr>
          <w:sz w:val="18"/>
        </w:rPr>
        <w:sectPr w:rsidR="008269D0" w:rsidSect="003F0986">
          <w:pgSz w:w="11910" w:h="16840"/>
          <w:pgMar w:top="900" w:right="1120" w:bottom="600" w:left="1180" w:header="113" w:footer="404" w:gutter="0"/>
          <w:cols w:space="720"/>
          <w:docGrid w:linePitch="299"/>
        </w:sectPr>
      </w:pPr>
    </w:p>
    <w:p w:rsidR="008269D0" w:rsidRDefault="00BE670B">
      <w:pPr>
        <w:pStyle w:val="BodyText"/>
        <w:spacing w:before="64"/>
        <w:ind w:right="134"/>
      </w:pPr>
      <w:r>
        <w:t>Treatment with mogamulizumab resulted in 8 confirmed complete responses (complete clearing</w:t>
      </w:r>
      <w:r>
        <w:rPr>
          <w:spacing w:val="1"/>
        </w:rPr>
        <w:t xml:space="preserve"> </w:t>
      </w:r>
      <w:r>
        <w:t>of all affected compartments) compared with 0 patients on vorinostat: 4 of these 8 patients were</w:t>
      </w:r>
      <w:r>
        <w:rPr>
          <w:spacing w:val="1"/>
        </w:rPr>
        <w:t xml:space="preserve"> </w:t>
      </w:r>
      <w:r>
        <w:t>initially randomised to mogamulizumab and 4 had crossed over to mogamulizumab during the</w:t>
      </w:r>
      <w:r>
        <w:rPr>
          <w:spacing w:val="1"/>
        </w:rPr>
        <w:t xml:space="preserve"> </w:t>
      </w:r>
      <w:r>
        <w:t>study. Forty-one of the 136 cross-over patients (30.1%) responded with either partial or complete</w:t>
      </w:r>
      <w:r>
        <w:rPr>
          <w:spacing w:val="-57"/>
        </w:rPr>
        <w:t xml:space="preserve"> </w:t>
      </w:r>
      <w:r>
        <w:t>response</w:t>
      </w:r>
      <w:r>
        <w:rPr>
          <w:spacing w:val="-1"/>
        </w:rPr>
        <w:t xml:space="preserve"> </w:t>
      </w:r>
      <w:r>
        <w:t>with</w:t>
      </w:r>
      <w:r>
        <w:rPr>
          <w:spacing w:val="1"/>
        </w:rPr>
        <w:t xml:space="preserve"> </w:t>
      </w:r>
      <w:r>
        <w:t>mogamulizumab.</w:t>
      </w:r>
    </w:p>
    <w:p w:rsidR="008269D0" w:rsidRDefault="00BE670B">
      <w:pPr>
        <w:pStyle w:val="BodyText"/>
        <w:spacing w:before="120"/>
        <w:ind w:right="338"/>
      </w:pPr>
      <w:r>
        <w:t>There are limited efficacy data in patients with low (&lt;10%) CCR4 expression in the skin. In</w:t>
      </w:r>
      <w:r>
        <w:rPr>
          <w:spacing w:val="1"/>
        </w:rPr>
        <w:t xml:space="preserve"> </w:t>
      </w:r>
      <w:r>
        <w:t>Study 0761-010 there were 10/290 evaluable patients with CCR4 expression &lt;10%, of which 6</w:t>
      </w:r>
      <w:r>
        <w:rPr>
          <w:spacing w:val="-57"/>
        </w:rPr>
        <w:t xml:space="preserve"> </w:t>
      </w:r>
      <w:r>
        <w:t>were randomised to mogamulizumab, and 4 were randomised to vorinostat and subsequently</w:t>
      </w:r>
      <w:r>
        <w:rPr>
          <w:spacing w:val="1"/>
        </w:rPr>
        <w:t xml:space="preserve"> </w:t>
      </w:r>
      <w:r>
        <w:t>crossed over to mogamulizumab. No confirmed responses were observed in these 10 subjects</w:t>
      </w:r>
      <w:r>
        <w:rPr>
          <w:spacing w:val="1"/>
        </w:rPr>
        <w:t xml:space="preserve"> </w:t>
      </w:r>
      <w:r>
        <w:t>with low (&lt;10%) CCR4 expression. Compartmental responses were seen in 3 of 10 evaluable</w:t>
      </w:r>
      <w:r>
        <w:rPr>
          <w:spacing w:val="1"/>
        </w:rPr>
        <w:t xml:space="preserve"> </w:t>
      </w:r>
      <w:r>
        <w:t>subjects</w:t>
      </w:r>
      <w:r>
        <w:rPr>
          <w:spacing w:val="-1"/>
        </w:rPr>
        <w:t xml:space="preserve"> </w:t>
      </w:r>
      <w:r>
        <w:t>treated with mogamulizumab</w:t>
      </w:r>
      <w:r>
        <w:rPr>
          <w:spacing w:val="-1"/>
        </w:rPr>
        <w:t xml:space="preserve"> </w:t>
      </w:r>
      <w:r>
        <w:t>in the</w:t>
      </w:r>
      <w:r>
        <w:rPr>
          <w:spacing w:val="-1"/>
        </w:rPr>
        <w:t xml:space="preserve"> </w:t>
      </w:r>
      <w:r>
        <w:t>randomised</w:t>
      </w:r>
      <w:r>
        <w:rPr>
          <w:spacing w:val="-1"/>
        </w:rPr>
        <w:t xml:space="preserve"> </w:t>
      </w:r>
      <w:r>
        <w:t>or cross over</w:t>
      </w:r>
      <w:r>
        <w:rPr>
          <w:spacing w:val="-1"/>
        </w:rPr>
        <w:t xml:space="preserve"> </w:t>
      </w:r>
      <w:r>
        <w:t>phase.</w:t>
      </w:r>
    </w:p>
    <w:p w:rsidR="008269D0" w:rsidRDefault="00BE670B">
      <w:pPr>
        <w:pStyle w:val="BodyText"/>
        <w:spacing w:before="120"/>
        <w:ind w:right="234"/>
      </w:pPr>
      <w:r>
        <w:t>Patients with stage IB/II disease treated with mogamulizumab had confirmed ORR of 17.6%</w:t>
      </w:r>
      <w:r>
        <w:rPr>
          <w:spacing w:val="1"/>
        </w:rPr>
        <w:t xml:space="preserve"> </w:t>
      </w:r>
      <w:r>
        <w:t>compared to 8.3% for vorinostat, and compartment level (blood, skin, lymph node) response</w:t>
      </w:r>
      <w:r>
        <w:rPr>
          <w:spacing w:val="1"/>
        </w:rPr>
        <w:t xml:space="preserve"> </w:t>
      </w:r>
      <w:r>
        <w:t>rates that were higher than those for vorinostat treated patients (Table 5). Overall, the median</w:t>
      </w:r>
      <w:r>
        <w:rPr>
          <w:spacing w:val="1"/>
        </w:rPr>
        <w:t xml:space="preserve"> </w:t>
      </w:r>
      <w:r>
        <w:t>period of progression free survival for stage IB/II subjects treated with mogamulizumab was 4.7</w:t>
      </w:r>
      <w:r>
        <w:rPr>
          <w:spacing w:val="-57"/>
        </w:rPr>
        <w:t xml:space="preserve"> </w:t>
      </w:r>
      <w:r>
        <w:t>months compared to 3.9 months for vorinostat-treated patients (</w:t>
      </w:r>
      <w:hyperlink w:anchor="_bookmark3" w:history="1">
        <w:r>
          <w:rPr>
            <w:color w:val="0000FF"/>
          </w:rPr>
          <w:t>Table 6</w:t>
        </w:r>
      </w:hyperlink>
      <w:r>
        <w:t>).</w:t>
      </w:r>
      <w:r>
        <w:rPr>
          <w:spacing w:val="1"/>
        </w:rPr>
        <w:t xml:space="preserve"> </w:t>
      </w:r>
      <w:r>
        <w:t>In patients with stage</w:t>
      </w:r>
      <w:r>
        <w:rPr>
          <w:spacing w:val="1"/>
        </w:rPr>
        <w:t xml:space="preserve"> </w:t>
      </w:r>
      <w:r>
        <w:t>IB/II disease, given the limited number of subjects with a response and immaturity of the data,</w:t>
      </w:r>
      <w:r>
        <w:rPr>
          <w:spacing w:val="1"/>
        </w:rPr>
        <w:t xml:space="preserve"> </w:t>
      </w:r>
      <w:r>
        <w:t>no</w:t>
      </w:r>
      <w:r>
        <w:rPr>
          <w:spacing w:val="-1"/>
        </w:rPr>
        <w:t xml:space="preserve"> </w:t>
      </w:r>
      <w:r>
        <w:t>conclusion on duration of</w:t>
      </w:r>
      <w:r>
        <w:rPr>
          <w:spacing w:val="-1"/>
        </w:rPr>
        <w:t xml:space="preserve"> </w:t>
      </w:r>
      <w:r>
        <w:t>response can be made.</w:t>
      </w:r>
    </w:p>
    <w:p w:rsidR="008269D0" w:rsidRDefault="00BE670B" w:rsidP="00B903F0">
      <w:pPr>
        <w:pStyle w:val="BodyText"/>
        <w:spacing w:before="120" w:after="240"/>
        <w:ind w:right="234"/>
      </w:pPr>
      <w:r>
        <w:t>Time to compartment level response in Stage IB/II patients was approximately 3 months, which</w:t>
      </w:r>
      <w:r>
        <w:rPr>
          <w:spacing w:val="-57"/>
        </w:rPr>
        <w:t xml:space="preserve"> </w:t>
      </w:r>
      <w:r>
        <w:t>is consistent with time to response for the ITT population overall (approximately 3 months). If a</w:t>
      </w:r>
      <w:r>
        <w:rPr>
          <w:spacing w:val="-57"/>
        </w:rPr>
        <w:t xml:space="preserve"> </w:t>
      </w:r>
      <w:r>
        <w:t>compartment level response or overall response is not observed after 3 months of treatment,</w:t>
      </w:r>
      <w:r>
        <w:rPr>
          <w:spacing w:val="1"/>
        </w:rPr>
        <w:t xml:space="preserve"> </w:t>
      </w:r>
      <w:r>
        <w:t>discontinuation</w:t>
      </w:r>
      <w:r>
        <w:rPr>
          <w:spacing w:val="-1"/>
        </w:rPr>
        <w:t xml:space="preserve"> </w:t>
      </w:r>
      <w:r>
        <w:t>of</w:t>
      </w:r>
      <w:r>
        <w:rPr>
          <w:spacing w:val="-1"/>
        </w:rPr>
        <w:t xml:space="preserve"> </w:t>
      </w:r>
      <w:r>
        <w:t>treatment should be considered.</w:t>
      </w:r>
    </w:p>
    <w:p w:rsidR="008269D0" w:rsidRDefault="00BE670B">
      <w:pPr>
        <w:pStyle w:val="Heading2"/>
        <w:spacing w:before="220"/>
      </w:pPr>
      <w:r>
        <w:t>Table</w:t>
      </w:r>
      <w:r>
        <w:rPr>
          <w:spacing w:val="-2"/>
        </w:rPr>
        <w:t xml:space="preserve"> </w:t>
      </w:r>
      <w:r>
        <w:t>5:</w:t>
      </w:r>
      <w:r>
        <w:rPr>
          <w:spacing w:val="-1"/>
        </w:rPr>
        <w:t xml:space="preserve"> </w:t>
      </w:r>
      <w:r>
        <w:t>Overall</w:t>
      </w:r>
      <w:r>
        <w:rPr>
          <w:spacing w:val="-2"/>
        </w:rPr>
        <w:t xml:space="preserve"> </w:t>
      </w:r>
      <w:r>
        <w:t>and</w:t>
      </w:r>
      <w:r>
        <w:rPr>
          <w:spacing w:val="-2"/>
        </w:rPr>
        <w:t xml:space="preserve"> </w:t>
      </w:r>
      <w:r>
        <w:t>Compartmental</w:t>
      </w:r>
      <w:r>
        <w:rPr>
          <w:spacing w:val="-1"/>
        </w:rPr>
        <w:t xml:space="preserve"> </w:t>
      </w:r>
      <w:r>
        <w:t>Response</w:t>
      </w:r>
      <w:r>
        <w:rPr>
          <w:spacing w:val="-2"/>
        </w:rPr>
        <w:t xml:space="preserve"> </w:t>
      </w:r>
      <w:r>
        <w:t>Rate</w:t>
      </w:r>
      <w:r>
        <w:rPr>
          <w:spacing w:val="-1"/>
        </w:rPr>
        <w:t xml:space="preserve"> </w:t>
      </w:r>
      <w:r>
        <w:t>in</w:t>
      </w:r>
      <w:r>
        <w:rPr>
          <w:spacing w:val="-2"/>
        </w:rPr>
        <w:t xml:space="preserve"> </w:t>
      </w:r>
      <w:r>
        <w:t>Early</w:t>
      </w:r>
      <w:r>
        <w:rPr>
          <w:spacing w:val="-2"/>
        </w:rPr>
        <w:t xml:space="preserve"> </w:t>
      </w:r>
      <w:r>
        <w:t>Disease</w:t>
      </w:r>
      <w:r>
        <w:rPr>
          <w:spacing w:val="-1"/>
        </w:rPr>
        <w:t xml:space="preserve"> </w:t>
      </w:r>
      <w:r>
        <w:t>Stages</w:t>
      </w:r>
    </w:p>
    <w:p w:rsidR="008269D0" w:rsidRDefault="008269D0">
      <w:pPr>
        <w:pStyle w:val="BodyText"/>
        <w:spacing w:before="4" w:after="1"/>
        <w:ind w:left="0"/>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2036"/>
        <w:gridCol w:w="1468"/>
        <w:gridCol w:w="2334"/>
      </w:tblGrid>
      <w:tr w:rsidR="008269D0">
        <w:trPr>
          <w:trHeight w:val="371"/>
        </w:trPr>
        <w:tc>
          <w:tcPr>
            <w:tcW w:w="3506" w:type="dxa"/>
          </w:tcPr>
          <w:p w:rsidR="008269D0" w:rsidRDefault="008269D0">
            <w:pPr>
              <w:pStyle w:val="TableParagraph"/>
              <w:spacing w:before="0"/>
            </w:pPr>
          </w:p>
        </w:tc>
        <w:tc>
          <w:tcPr>
            <w:tcW w:w="2036" w:type="dxa"/>
          </w:tcPr>
          <w:p w:rsidR="008269D0" w:rsidRDefault="00BE670B">
            <w:pPr>
              <w:pStyle w:val="TableParagraph"/>
              <w:spacing w:before="48"/>
              <w:ind w:left="123" w:right="115"/>
              <w:jc w:val="center"/>
              <w:rPr>
                <w:b/>
                <w:sz w:val="24"/>
              </w:rPr>
            </w:pPr>
            <w:r>
              <w:rPr>
                <w:b/>
                <w:sz w:val="24"/>
              </w:rPr>
              <w:t>Mogamulizumab</w:t>
            </w:r>
          </w:p>
        </w:tc>
        <w:tc>
          <w:tcPr>
            <w:tcW w:w="1468" w:type="dxa"/>
          </w:tcPr>
          <w:p w:rsidR="008269D0" w:rsidRDefault="00BE670B">
            <w:pPr>
              <w:pStyle w:val="TableParagraph"/>
              <w:spacing w:before="48"/>
              <w:ind w:left="166" w:right="157"/>
              <w:jc w:val="center"/>
              <w:rPr>
                <w:b/>
                <w:sz w:val="24"/>
              </w:rPr>
            </w:pPr>
            <w:r>
              <w:rPr>
                <w:b/>
                <w:sz w:val="24"/>
              </w:rPr>
              <w:t>Vorinostat</w:t>
            </w:r>
          </w:p>
        </w:tc>
        <w:tc>
          <w:tcPr>
            <w:tcW w:w="2334" w:type="dxa"/>
          </w:tcPr>
          <w:p w:rsidR="008269D0" w:rsidRDefault="00BE670B">
            <w:pPr>
              <w:pStyle w:val="TableParagraph"/>
              <w:spacing w:before="48"/>
              <w:ind w:left="178" w:right="169"/>
              <w:jc w:val="center"/>
              <w:rPr>
                <w:b/>
                <w:sz w:val="24"/>
              </w:rPr>
            </w:pPr>
            <w:r>
              <w:rPr>
                <w:b/>
                <w:sz w:val="24"/>
              </w:rPr>
              <w:t>Risk</w:t>
            </w:r>
            <w:r>
              <w:rPr>
                <w:b/>
                <w:spacing w:val="-1"/>
                <w:sz w:val="24"/>
              </w:rPr>
              <w:t xml:space="preserve"> </w:t>
            </w:r>
            <w:r>
              <w:rPr>
                <w:b/>
                <w:sz w:val="24"/>
              </w:rPr>
              <w:t>Diff</w:t>
            </w:r>
            <w:r>
              <w:rPr>
                <w:b/>
                <w:spacing w:val="-1"/>
                <w:sz w:val="24"/>
              </w:rPr>
              <w:t xml:space="preserve"> </w:t>
            </w:r>
            <w:r>
              <w:rPr>
                <w:b/>
                <w:sz w:val="24"/>
              </w:rPr>
              <w:t>(M</w:t>
            </w:r>
            <w:r>
              <w:rPr>
                <w:b/>
                <w:spacing w:val="-1"/>
                <w:sz w:val="24"/>
              </w:rPr>
              <w:t xml:space="preserve"> </w:t>
            </w:r>
            <w:r>
              <w:rPr>
                <w:b/>
                <w:sz w:val="24"/>
              </w:rPr>
              <w:t>vs. V)</w:t>
            </w:r>
          </w:p>
        </w:tc>
      </w:tr>
      <w:tr w:rsidR="008269D0">
        <w:trPr>
          <w:trHeight w:val="371"/>
        </w:trPr>
        <w:tc>
          <w:tcPr>
            <w:tcW w:w="3506" w:type="dxa"/>
          </w:tcPr>
          <w:p w:rsidR="008269D0" w:rsidRDefault="00BE670B">
            <w:pPr>
              <w:pStyle w:val="TableParagraph"/>
              <w:spacing w:before="48"/>
              <w:ind w:left="107"/>
              <w:rPr>
                <w:b/>
                <w:sz w:val="24"/>
              </w:rPr>
            </w:pPr>
            <w:r>
              <w:rPr>
                <w:b/>
                <w:sz w:val="24"/>
              </w:rPr>
              <w:t>Disease</w:t>
            </w:r>
            <w:r>
              <w:rPr>
                <w:b/>
                <w:spacing w:val="-1"/>
                <w:sz w:val="24"/>
              </w:rPr>
              <w:t xml:space="preserve"> </w:t>
            </w:r>
            <w:r>
              <w:rPr>
                <w:b/>
                <w:sz w:val="24"/>
              </w:rPr>
              <w:t>stage</w:t>
            </w:r>
            <w:r>
              <w:rPr>
                <w:b/>
                <w:spacing w:val="-1"/>
                <w:sz w:val="24"/>
              </w:rPr>
              <w:t xml:space="preserve"> </w:t>
            </w:r>
            <w:r>
              <w:rPr>
                <w:b/>
                <w:sz w:val="24"/>
              </w:rPr>
              <w:t>IB/II</w:t>
            </w:r>
          </w:p>
        </w:tc>
        <w:tc>
          <w:tcPr>
            <w:tcW w:w="2036" w:type="dxa"/>
          </w:tcPr>
          <w:p w:rsidR="008269D0" w:rsidRDefault="00BE670B">
            <w:pPr>
              <w:pStyle w:val="TableParagraph"/>
              <w:spacing w:before="48"/>
              <w:ind w:left="122" w:right="115"/>
              <w:jc w:val="center"/>
              <w:rPr>
                <w:b/>
                <w:sz w:val="24"/>
              </w:rPr>
            </w:pPr>
            <w:r>
              <w:rPr>
                <w:b/>
                <w:sz w:val="24"/>
              </w:rPr>
              <w:t>N=68</w:t>
            </w:r>
          </w:p>
        </w:tc>
        <w:tc>
          <w:tcPr>
            <w:tcW w:w="1468" w:type="dxa"/>
          </w:tcPr>
          <w:p w:rsidR="008269D0" w:rsidRDefault="00BE670B">
            <w:pPr>
              <w:pStyle w:val="TableParagraph"/>
              <w:spacing w:before="48"/>
              <w:ind w:left="166" w:right="157"/>
              <w:jc w:val="center"/>
              <w:rPr>
                <w:b/>
                <w:sz w:val="24"/>
              </w:rPr>
            </w:pPr>
            <w:r>
              <w:rPr>
                <w:b/>
                <w:sz w:val="24"/>
              </w:rPr>
              <w:t>N=72</w:t>
            </w:r>
          </w:p>
        </w:tc>
        <w:tc>
          <w:tcPr>
            <w:tcW w:w="2334" w:type="dxa"/>
          </w:tcPr>
          <w:p w:rsidR="008269D0" w:rsidRDefault="008269D0">
            <w:pPr>
              <w:pStyle w:val="TableParagraph"/>
              <w:spacing w:before="0"/>
            </w:pPr>
          </w:p>
        </w:tc>
      </w:tr>
      <w:tr w:rsidR="008269D0">
        <w:trPr>
          <w:trHeight w:val="647"/>
        </w:trPr>
        <w:tc>
          <w:tcPr>
            <w:tcW w:w="3506" w:type="dxa"/>
          </w:tcPr>
          <w:p w:rsidR="008269D0" w:rsidRDefault="00BE670B">
            <w:pPr>
              <w:pStyle w:val="TableParagraph"/>
              <w:spacing w:before="48"/>
              <w:ind w:left="107" w:right="162"/>
              <w:rPr>
                <w:b/>
                <w:sz w:val="24"/>
              </w:rPr>
            </w:pPr>
            <w:r>
              <w:rPr>
                <w:b/>
                <w:sz w:val="24"/>
              </w:rPr>
              <w:t>Overall response rate (ORR), n</w:t>
            </w:r>
            <w:r>
              <w:rPr>
                <w:b/>
                <w:spacing w:val="-57"/>
                <w:sz w:val="24"/>
              </w:rPr>
              <w:t xml:space="preserve"> </w:t>
            </w:r>
            <w:r>
              <w:rPr>
                <w:b/>
                <w:sz w:val="24"/>
              </w:rPr>
              <w:t>(%)</w:t>
            </w:r>
          </w:p>
        </w:tc>
        <w:tc>
          <w:tcPr>
            <w:tcW w:w="2036" w:type="dxa"/>
          </w:tcPr>
          <w:p w:rsidR="008269D0" w:rsidRDefault="00BE670B">
            <w:pPr>
              <w:pStyle w:val="TableParagraph"/>
              <w:ind w:left="123" w:right="114"/>
              <w:jc w:val="center"/>
              <w:rPr>
                <w:sz w:val="24"/>
              </w:rPr>
            </w:pPr>
            <w:r>
              <w:rPr>
                <w:sz w:val="24"/>
              </w:rPr>
              <w:t>12 (17.6)</w:t>
            </w:r>
          </w:p>
        </w:tc>
        <w:tc>
          <w:tcPr>
            <w:tcW w:w="1468" w:type="dxa"/>
          </w:tcPr>
          <w:p w:rsidR="008269D0" w:rsidRDefault="00BE670B">
            <w:pPr>
              <w:pStyle w:val="TableParagraph"/>
              <w:ind w:left="166" w:right="157"/>
              <w:jc w:val="center"/>
              <w:rPr>
                <w:sz w:val="24"/>
              </w:rPr>
            </w:pPr>
            <w:r>
              <w:rPr>
                <w:sz w:val="24"/>
              </w:rPr>
              <w:t>6 (8.3)</w:t>
            </w:r>
          </w:p>
        </w:tc>
        <w:tc>
          <w:tcPr>
            <w:tcW w:w="2334" w:type="dxa"/>
          </w:tcPr>
          <w:p w:rsidR="008269D0" w:rsidRDefault="00BE670B">
            <w:pPr>
              <w:pStyle w:val="TableParagraph"/>
              <w:ind w:left="178" w:right="167"/>
              <w:jc w:val="center"/>
              <w:rPr>
                <w:sz w:val="24"/>
              </w:rPr>
            </w:pPr>
            <w:r>
              <w:rPr>
                <w:sz w:val="24"/>
              </w:rPr>
              <w:t>9.3</w:t>
            </w:r>
          </w:p>
        </w:tc>
      </w:tr>
      <w:tr w:rsidR="008269D0">
        <w:trPr>
          <w:trHeight w:val="372"/>
        </w:trPr>
        <w:tc>
          <w:tcPr>
            <w:tcW w:w="3506" w:type="dxa"/>
          </w:tcPr>
          <w:p w:rsidR="008269D0" w:rsidRDefault="00BE670B">
            <w:pPr>
              <w:pStyle w:val="TableParagraph"/>
              <w:spacing w:before="49"/>
              <w:ind w:left="107"/>
              <w:rPr>
                <w:b/>
                <w:sz w:val="24"/>
              </w:rPr>
            </w:pPr>
            <w:r>
              <w:rPr>
                <w:b/>
                <w:sz w:val="24"/>
              </w:rPr>
              <w:t>Compartment:</w:t>
            </w:r>
          </w:p>
        </w:tc>
        <w:tc>
          <w:tcPr>
            <w:tcW w:w="2036" w:type="dxa"/>
          </w:tcPr>
          <w:p w:rsidR="008269D0" w:rsidRDefault="008269D0">
            <w:pPr>
              <w:pStyle w:val="TableParagraph"/>
              <w:spacing w:before="0"/>
            </w:pPr>
          </w:p>
        </w:tc>
        <w:tc>
          <w:tcPr>
            <w:tcW w:w="1468" w:type="dxa"/>
          </w:tcPr>
          <w:p w:rsidR="008269D0" w:rsidRDefault="008269D0">
            <w:pPr>
              <w:pStyle w:val="TableParagraph"/>
              <w:spacing w:before="0"/>
            </w:pPr>
          </w:p>
        </w:tc>
        <w:tc>
          <w:tcPr>
            <w:tcW w:w="2334" w:type="dxa"/>
          </w:tcPr>
          <w:p w:rsidR="008269D0" w:rsidRDefault="008269D0">
            <w:pPr>
              <w:pStyle w:val="TableParagraph"/>
              <w:spacing w:before="0"/>
            </w:pPr>
          </w:p>
        </w:tc>
      </w:tr>
      <w:tr w:rsidR="008269D0">
        <w:trPr>
          <w:trHeight w:val="328"/>
        </w:trPr>
        <w:tc>
          <w:tcPr>
            <w:tcW w:w="3506" w:type="dxa"/>
            <w:tcBorders>
              <w:bottom w:val="nil"/>
            </w:tcBorders>
          </w:tcPr>
          <w:p w:rsidR="008269D0" w:rsidRDefault="00BE670B">
            <w:pPr>
              <w:pStyle w:val="TableParagraph"/>
              <w:spacing w:before="46"/>
              <w:ind w:left="107"/>
              <w:rPr>
                <w:sz w:val="20"/>
              </w:rPr>
            </w:pPr>
            <w:r>
              <w:rPr>
                <w:b/>
                <w:sz w:val="20"/>
              </w:rPr>
              <w:t>Blood</w:t>
            </w:r>
            <w:r>
              <w:rPr>
                <w:b/>
                <w:spacing w:val="-2"/>
                <w:sz w:val="20"/>
              </w:rPr>
              <w:t xml:space="preserve"> </w:t>
            </w:r>
            <w:r>
              <w:rPr>
                <w:sz w:val="20"/>
              </w:rPr>
              <w:t>(n)</w:t>
            </w:r>
          </w:p>
        </w:tc>
        <w:tc>
          <w:tcPr>
            <w:tcW w:w="2036" w:type="dxa"/>
            <w:tcBorders>
              <w:bottom w:val="nil"/>
            </w:tcBorders>
          </w:tcPr>
          <w:p w:rsidR="008269D0" w:rsidRDefault="00BE670B">
            <w:pPr>
              <w:pStyle w:val="TableParagraph"/>
              <w:spacing w:before="46"/>
              <w:ind w:left="123" w:right="114"/>
              <w:jc w:val="center"/>
              <w:rPr>
                <w:sz w:val="20"/>
              </w:rPr>
            </w:pPr>
            <w:r>
              <w:rPr>
                <w:sz w:val="20"/>
              </w:rPr>
              <w:t>17</w:t>
            </w:r>
          </w:p>
        </w:tc>
        <w:tc>
          <w:tcPr>
            <w:tcW w:w="1468" w:type="dxa"/>
            <w:tcBorders>
              <w:bottom w:val="nil"/>
            </w:tcBorders>
          </w:tcPr>
          <w:p w:rsidR="008269D0" w:rsidRDefault="00BE670B">
            <w:pPr>
              <w:pStyle w:val="TableParagraph"/>
              <w:spacing w:before="46"/>
              <w:ind w:left="166" w:right="157"/>
              <w:jc w:val="center"/>
              <w:rPr>
                <w:sz w:val="20"/>
              </w:rPr>
            </w:pPr>
            <w:r>
              <w:rPr>
                <w:sz w:val="20"/>
              </w:rPr>
              <w:t>23</w:t>
            </w:r>
          </w:p>
        </w:tc>
        <w:tc>
          <w:tcPr>
            <w:tcW w:w="2334" w:type="dxa"/>
            <w:tcBorders>
              <w:bottom w:val="nil"/>
            </w:tcBorders>
          </w:tcPr>
          <w:p w:rsidR="008269D0" w:rsidRDefault="008269D0">
            <w:pPr>
              <w:pStyle w:val="TableParagraph"/>
              <w:spacing w:before="0"/>
            </w:pPr>
          </w:p>
        </w:tc>
      </w:tr>
      <w:tr w:rsidR="008269D0">
        <w:trPr>
          <w:trHeight w:val="322"/>
        </w:trPr>
        <w:tc>
          <w:tcPr>
            <w:tcW w:w="3506" w:type="dxa"/>
            <w:tcBorders>
              <w:top w:val="nil"/>
              <w:bottom w:val="nil"/>
            </w:tcBorders>
          </w:tcPr>
          <w:p w:rsidR="008269D0" w:rsidRDefault="00BE670B">
            <w:pPr>
              <w:pStyle w:val="TableParagraph"/>
              <w:spacing w:before="44"/>
              <w:ind w:right="932"/>
              <w:jc w:val="right"/>
              <w:rPr>
                <w:sz w:val="20"/>
              </w:rPr>
            </w:pPr>
            <w:r>
              <w:rPr>
                <w:sz w:val="20"/>
              </w:rPr>
              <w:t>Response</w:t>
            </w:r>
            <w:r>
              <w:rPr>
                <w:spacing w:val="-2"/>
                <w:sz w:val="20"/>
              </w:rPr>
              <w:t xml:space="preserve"> </w:t>
            </w:r>
            <w:r>
              <w:rPr>
                <w:sz w:val="20"/>
              </w:rPr>
              <w:t>Rate</w:t>
            </w:r>
            <w:r>
              <w:rPr>
                <w:spacing w:val="-1"/>
                <w:sz w:val="20"/>
              </w:rPr>
              <w:t xml:space="preserve"> </w:t>
            </w:r>
            <w:r>
              <w:rPr>
                <w:sz w:val="20"/>
              </w:rPr>
              <w:t>(n,</w:t>
            </w:r>
            <w:r>
              <w:rPr>
                <w:spacing w:val="-1"/>
                <w:sz w:val="20"/>
              </w:rPr>
              <w:t xml:space="preserve"> </w:t>
            </w:r>
            <w:r>
              <w:rPr>
                <w:sz w:val="20"/>
              </w:rPr>
              <w:t>%)</w:t>
            </w:r>
          </w:p>
        </w:tc>
        <w:tc>
          <w:tcPr>
            <w:tcW w:w="2036" w:type="dxa"/>
            <w:tcBorders>
              <w:top w:val="nil"/>
              <w:bottom w:val="nil"/>
            </w:tcBorders>
          </w:tcPr>
          <w:p w:rsidR="008269D0" w:rsidRDefault="00BE670B">
            <w:pPr>
              <w:pStyle w:val="TableParagraph"/>
              <w:spacing w:before="44"/>
              <w:ind w:left="123" w:right="115"/>
              <w:jc w:val="center"/>
              <w:rPr>
                <w:sz w:val="20"/>
              </w:rPr>
            </w:pPr>
            <w:r>
              <w:rPr>
                <w:sz w:val="20"/>
              </w:rPr>
              <w:t>8</w:t>
            </w:r>
            <w:r>
              <w:rPr>
                <w:spacing w:val="-2"/>
                <w:sz w:val="20"/>
              </w:rPr>
              <w:t xml:space="preserve"> </w:t>
            </w:r>
            <w:r>
              <w:rPr>
                <w:sz w:val="20"/>
              </w:rPr>
              <w:t>(47.1)</w:t>
            </w:r>
          </w:p>
        </w:tc>
        <w:tc>
          <w:tcPr>
            <w:tcW w:w="1468" w:type="dxa"/>
            <w:tcBorders>
              <w:top w:val="nil"/>
              <w:bottom w:val="nil"/>
            </w:tcBorders>
          </w:tcPr>
          <w:p w:rsidR="008269D0" w:rsidRDefault="00BE670B">
            <w:pPr>
              <w:pStyle w:val="TableParagraph"/>
              <w:spacing w:before="44"/>
              <w:ind w:left="166" w:right="155"/>
              <w:jc w:val="center"/>
              <w:rPr>
                <w:sz w:val="20"/>
              </w:rPr>
            </w:pPr>
            <w:r>
              <w:rPr>
                <w:sz w:val="20"/>
              </w:rPr>
              <w:t>4</w:t>
            </w:r>
            <w:r>
              <w:rPr>
                <w:spacing w:val="-2"/>
                <w:sz w:val="20"/>
              </w:rPr>
              <w:t xml:space="preserve"> </w:t>
            </w:r>
            <w:r>
              <w:rPr>
                <w:sz w:val="20"/>
              </w:rPr>
              <w:t>(17.4)</w:t>
            </w:r>
          </w:p>
        </w:tc>
        <w:tc>
          <w:tcPr>
            <w:tcW w:w="2334" w:type="dxa"/>
            <w:tcBorders>
              <w:top w:val="nil"/>
              <w:bottom w:val="nil"/>
            </w:tcBorders>
          </w:tcPr>
          <w:p w:rsidR="008269D0" w:rsidRDefault="00BE670B">
            <w:pPr>
              <w:pStyle w:val="TableParagraph"/>
              <w:spacing w:before="44"/>
              <w:ind w:left="178" w:right="166"/>
              <w:jc w:val="center"/>
              <w:rPr>
                <w:sz w:val="20"/>
              </w:rPr>
            </w:pPr>
            <w:r>
              <w:rPr>
                <w:sz w:val="20"/>
              </w:rPr>
              <w:t>29.7</w:t>
            </w:r>
          </w:p>
        </w:tc>
      </w:tr>
      <w:tr w:rsidR="008269D0">
        <w:trPr>
          <w:trHeight w:val="326"/>
        </w:trPr>
        <w:tc>
          <w:tcPr>
            <w:tcW w:w="3506" w:type="dxa"/>
            <w:tcBorders>
              <w:top w:val="nil"/>
            </w:tcBorders>
          </w:tcPr>
          <w:p w:rsidR="008269D0" w:rsidRDefault="00BE670B">
            <w:pPr>
              <w:pStyle w:val="TableParagraph"/>
              <w:spacing w:before="46"/>
              <w:ind w:left="1528" w:right="1253"/>
              <w:jc w:val="center"/>
              <w:rPr>
                <w:sz w:val="20"/>
              </w:rPr>
            </w:pPr>
            <w:r>
              <w:rPr>
                <w:sz w:val="20"/>
              </w:rPr>
              <w:t>95%</w:t>
            </w:r>
            <w:r>
              <w:rPr>
                <w:spacing w:val="-1"/>
                <w:sz w:val="20"/>
              </w:rPr>
              <w:t xml:space="preserve"> </w:t>
            </w:r>
            <w:r>
              <w:rPr>
                <w:sz w:val="20"/>
              </w:rPr>
              <w:t>CI</w:t>
            </w:r>
            <w:r>
              <w:rPr>
                <w:sz w:val="20"/>
                <w:vertAlign w:val="superscript"/>
              </w:rPr>
              <w:t>a</w:t>
            </w:r>
          </w:p>
        </w:tc>
        <w:tc>
          <w:tcPr>
            <w:tcW w:w="2036" w:type="dxa"/>
            <w:tcBorders>
              <w:top w:val="nil"/>
            </w:tcBorders>
          </w:tcPr>
          <w:p w:rsidR="008269D0" w:rsidRDefault="00BE670B">
            <w:pPr>
              <w:pStyle w:val="TableParagraph"/>
              <w:spacing w:before="46"/>
              <w:ind w:left="123" w:right="115"/>
              <w:jc w:val="center"/>
              <w:rPr>
                <w:sz w:val="20"/>
              </w:rPr>
            </w:pPr>
            <w:r>
              <w:rPr>
                <w:sz w:val="20"/>
              </w:rPr>
              <w:t>(23.0,</w:t>
            </w:r>
            <w:r>
              <w:rPr>
                <w:spacing w:val="-2"/>
                <w:sz w:val="20"/>
              </w:rPr>
              <w:t xml:space="preserve"> </w:t>
            </w:r>
            <w:r>
              <w:rPr>
                <w:sz w:val="20"/>
              </w:rPr>
              <w:t>72.2)</w:t>
            </w:r>
          </w:p>
        </w:tc>
        <w:tc>
          <w:tcPr>
            <w:tcW w:w="1468" w:type="dxa"/>
            <w:tcBorders>
              <w:top w:val="nil"/>
            </w:tcBorders>
          </w:tcPr>
          <w:p w:rsidR="008269D0" w:rsidRDefault="00BE670B">
            <w:pPr>
              <w:pStyle w:val="TableParagraph"/>
              <w:spacing w:before="46"/>
              <w:ind w:left="166" w:right="157"/>
              <w:jc w:val="center"/>
              <w:rPr>
                <w:sz w:val="20"/>
              </w:rPr>
            </w:pPr>
            <w:r>
              <w:rPr>
                <w:sz w:val="20"/>
              </w:rPr>
              <w:t>(5.0,</w:t>
            </w:r>
            <w:r>
              <w:rPr>
                <w:spacing w:val="-2"/>
                <w:sz w:val="20"/>
              </w:rPr>
              <w:t xml:space="preserve"> </w:t>
            </w:r>
            <w:r>
              <w:rPr>
                <w:sz w:val="20"/>
              </w:rPr>
              <w:t>38.8)</w:t>
            </w:r>
          </w:p>
        </w:tc>
        <w:tc>
          <w:tcPr>
            <w:tcW w:w="2334" w:type="dxa"/>
            <w:tcBorders>
              <w:top w:val="nil"/>
            </w:tcBorders>
          </w:tcPr>
          <w:p w:rsidR="008269D0" w:rsidRDefault="00BE670B">
            <w:pPr>
              <w:pStyle w:val="TableParagraph"/>
              <w:spacing w:before="46"/>
              <w:ind w:left="178" w:right="165"/>
              <w:jc w:val="center"/>
              <w:rPr>
                <w:sz w:val="20"/>
              </w:rPr>
            </w:pPr>
            <w:r>
              <w:rPr>
                <w:sz w:val="20"/>
              </w:rPr>
              <w:t>(-2.2,</w:t>
            </w:r>
            <w:r>
              <w:rPr>
                <w:spacing w:val="-2"/>
                <w:sz w:val="20"/>
              </w:rPr>
              <w:t xml:space="preserve"> </w:t>
            </w:r>
            <w:r>
              <w:rPr>
                <w:sz w:val="20"/>
              </w:rPr>
              <w:t>57.1)</w:t>
            </w:r>
          </w:p>
        </w:tc>
      </w:tr>
      <w:tr w:rsidR="008269D0">
        <w:trPr>
          <w:trHeight w:val="328"/>
        </w:trPr>
        <w:tc>
          <w:tcPr>
            <w:tcW w:w="3506" w:type="dxa"/>
            <w:tcBorders>
              <w:bottom w:val="nil"/>
            </w:tcBorders>
          </w:tcPr>
          <w:p w:rsidR="008269D0" w:rsidRDefault="00BE670B">
            <w:pPr>
              <w:pStyle w:val="TableParagraph"/>
              <w:spacing w:before="46"/>
              <w:ind w:left="107"/>
              <w:rPr>
                <w:sz w:val="20"/>
              </w:rPr>
            </w:pPr>
            <w:r>
              <w:rPr>
                <w:b/>
                <w:sz w:val="20"/>
              </w:rPr>
              <w:t>Skin</w:t>
            </w:r>
            <w:r>
              <w:rPr>
                <w:b/>
                <w:spacing w:val="-1"/>
                <w:sz w:val="20"/>
              </w:rPr>
              <w:t xml:space="preserve"> </w:t>
            </w:r>
            <w:r>
              <w:rPr>
                <w:sz w:val="20"/>
              </w:rPr>
              <w:t>(n)</w:t>
            </w:r>
          </w:p>
        </w:tc>
        <w:tc>
          <w:tcPr>
            <w:tcW w:w="2036" w:type="dxa"/>
            <w:tcBorders>
              <w:bottom w:val="nil"/>
            </w:tcBorders>
          </w:tcPr>
          <w:p w:rsidR="008269D0" w:rsidRDefault="00BE670B">
            <w:pPr>
              <w:pStyle w:val="TableParagraph"/>
              <w:spacing w:before="46"/>
              <w:ind w:left="123" w:right="114"/>
              <w:jc w:val="center"/>
              <w:rPr>
                <w:sz w:val="20"/>
              </w:rPr>
            </w:pPr>
            <w:r>
              <w:rPr>
                <w:sz w:val="20"/>
              </w:rPr>
              <w:t>68</w:t>
            </w:r>
          </w:p>
        </w:tc>
        <w:tc>
          <w:tcPr>
            <w:tcW w:w="1468" w:type="dxa"/>
            <w:tcBorders>
              <w:bottom w:val="nil"/>
            </w:tcBorders>
          </w:tcPr>
          <w:p w:rsidR="008269D0" w:rsidRDefault="00BE670B">
            <w:pPr>
              <w:pStyle w:val="TableParagraph"/>
              <w:spacing w:before="46"/>
              <w:ind w:left="166" w:right="157"/>
              <w:jc w:val="center"/>
              <w:rPr>
                <w:sz w:val="20"/>
              </w:rPr>
            </w:pPr>
            <w:r>
              <w:rPr>
                <w:sz w:val="20"/>
              </w:rPr>
              <w:t>72</w:t>
            </w:r>
          </w:p>
        </w:tc>
        <w:tc>
          <w:tcPr>
            <w:tcW w:w="2334" w:type="dxa"/>
            <w:tcBorders>
              <w:bottom w:val="nil"/>
            </w:tcBorders>
          </w:tcPr>
          <w:p w:rsidR="008269D0" w:rsidRDefault="008269D0">
            <w:pPr>
              <w:pStyle w:val="TableParagraph"/>
              <w:spacing w:before="0"/>
            </w:pPr>
          </w:p>
        </w:tc>
      </w:tr>
      <w:tr w:rsidR="008269D0">
        <w:trPr>
          <w:trHeight w:val="323"/>
        </w:trPr>
        <w:tc>
          <w:tcPr>
            <w:tcW w:w="3506" w:type="dxa"/>
            <w:tcBorders>
              <w:top w:val="nil"/>
              <w:bottom w:val="nil"/>
            </w:tcBorders>
          </w:tcPr>
          <w:p w:rsidR="008269D0" w:rsidRDefault="00BE670B">
            <w:pPr>
              <w:pStyle w:val="TableParagraph"/>
              <w:spacing w:before="44"/>
              <w:ind w:right="932"/>
              <w:jc w:val="right"/>
              <w:rPr>
                <w:sz w:val="20"/>
              </w:rPr>
            </w:pPr>
            <w:r>
              <w:rPr>
                <w:sz w:val="20"/>
              </w:rPr>
              <w:t>Response</w:t>
            </w:r>
            <w:r>
              <w:rPr>
                <w:spacing w:val="-2"/>
                <w:sz w:val="20"/>
              </w:rPr>
              <w:t xml:space="preserve"> </w:t>
            </w:r>
            <w:r>
              <w:rPr>
                <w:sz w:val="20"/>
              </w:rPr>
              <w:t>Rate</w:t>
            </w:r>
            <w:r>
              <w:rPr>
                <w:spacing w:val="-1"/>
                <w:sz w:val="20"/>
              </w:rPr>
              <w:t xml:space="preserve"> </w:t>
            </w:r>
            <w:r>
              <w:rPr>
                <w:sz w:val="20"/>
              </w:rPr>
              <w:t>(n,</w:t>
            </w:r>
            <w:r>
              <w:rPr>
                <w:spacing w:val="-1"/>
                <w:sz w:val="20"/>
              </w:rPr>
              <w:t xml:space="preserve"> </w:t>
            </w:r>
            <w:r>
              <w:rPr>
                <w:sz w:val="20"/>
              </w:rPr>
              <w:t>%)</w:t>
            </w:r>
          </w:p>
        </w:tc>
        <w:tc>
          <w:tcPr>
            <w:tcW w:w="2036" w:type="dxa"/>
            <w:tcBorders>
              <w:top w:val="nil"/>
              <w:bottom w:val="nil"/>
            </w:tcBorders>
          </w:tcPr>
          <w:p w:rsidR="008269D0" w:rsidRDefault="00BE670B">
            <w:pPr>
              <w:pStyle w:val="TableParagraph"/>
              <w:spacing w:before="44"/>
              <w:ind w:left="123" w:right="114"/>
              <w:jc w:val="center"/>
              <w:rPr>
                <w:sz w:val="20"/>
              </w:rPr>
            </w:pPr>
            <w:r>
              <w:rPr>
                <w:sz w:val="20"/>
              </w:rPr>
              <w:t>19</w:t>
            </w:r>
            <w:r>
              <w:rPr>
                <w:spacing w:val="-2"/>
                <w:sz w:val="20"/>
              </w:rPr>
              <w:t xml:space="preserve"> </w:t>
            </w:r>
            <w:r>
              <w:rPr>
                <w:sz w:val="20"/>
              </w:rPr>
              <w:t>(27.9)</w:t>
            </w:r>
          </w:p>
        </w:tc>
        <w:tc>
          <w:tcPr>
            <w:tcW w:w="1468" w:type="dxa"/>
            <w:tcBorders>
              <w:top w:val="nil"/>
              <w:bottom w:val="nil"/>
            </w:tcBorders>
          </w:tcPr>
          <w:p w:rsidR="008269D0" w:rsidRDefault="00BE670B">
            <w:pPr>
              <w:pStyle w:val="TableParagraph"/>
              <w:spacing w:before="44"/>
              <w:ind w:left="166" w:right="156"/>
              <w:jc w:val="center"/>
              <w:rPr>
                <w:sz w:val="20"/>
              </w:rPr>
            </w:pPr>
            <w:r>
              <w:rPr>
                <w:sz w:val="20"/>
              </w:rPr>
              <w:t>14</w:t>
            </w:r>
            <w:r>
              <w:rPr>
                <w:spacing w:val="-2"/>
                <w:sz w:val="20"/>
              </w:rPr>
              <w:t xml:space="preserve"> </w:t>
            </w:r>
            <w:r>
              <w:rPr>
                <w:sz w:val="20"/>
              </w:rPr>
              <w:t>(19.4)</w:t>
            </w:r>
          </w:p>
        </w:tc>
        <w:tc>
          <w:tcPr>
            <w:tcW w:w="2334" w:type="dxa"/>
            <w:tcBorders>
              <w:top w:val="nil"/>
              <w:bottom w:val="nil"/>
            </w:tcBorders>
          </w:tcPr>
          <w:p w:rsidR="008269D0" w:rsidRDefault="00BE670B">
            <w:pPr>
              <w:pStyle w:val="TableParagraph"/>
              <w:spacing w:before="44"/>
              <w:ind w:left="178" w:right="166"/>
              <w:jc w:val="center"/>
              <w:rPr>
                <w:sz w:val="20"/>
              </w:rPr>
            </w:pPr>
            <w:r>
              <w:rPr>
                <w:sz w:val="20"/>
              </w:rPr>
              <w:t>8.5</w:t>
            </w:r>
          </w:p>
        </w:tc>
      </w:tr>
      <w:tr w:rsidR="008269D0">
        <w:trPr>
          <w:trHeight w:val="326"/>
        </w:trPr>
        <w:tc>
          <w:tcPr>
            <w:tcW w:w="3506" w:type="dxa"/>
            <w:tcBorders>
              <w:top w:val="nil"/>
            </w:tcBorders>
          </w:tcPr>
          <w:p w:rsidR="008269D0" w:rsidRDefault="00BE670B">
            <w:pPr>
              <w:pStyle w:val="TableParagraph"/>
              <w:spacing w:before="47"/>
              <w:ind w:left="1528" w:right="1253"/>
              <w:jc w:val="center"/>
              <w:rPr>
                <w:sz w:val="20"/>
              </w:rPr>
            </w:pPr>
            <w:r>
              <w:rPr>
                <w:sz w:val="20"/>
              </w:rPr>
              <w:t>95%</w:t>
            </w:r>
            <w:r>
              <w:rPr>
                <w:spacing w:val="-1"/>
                <w:sz w:val="20"/>
              </w:rPr>
              <w:t xml:space="preserve"> </w:t>
            </w:r>
            <w:r>
              <w:rPr>
                <w:sz w:val="20"/>
              </w:rPr>
              <w:t>CI</w:t>
            </w:r>
            <w:r>
              <w:rPr>
                <w:sz w:val="20"/>
                <w:vertAlign w:val="superscript"/>
              </w:rPr>
              <w:t>a</w:t>
            </w:r>
          </w:p>
        </w:tc>
        <w:tc>
          <w:tcPr>
            <w:tcW w:w="2036" w:type="dxa"/>
            <w:tcBorders>
              <w:top w:val="nil"/>
            </w:tcBorders>
          </w:tcPr>
          <w:p w:rsidR="008269D0" w:rsidRDefault="00BE670B">
            <w:pPr>
              <w:pStyle w:val="TableParagraph"/>
              <w:spacing w:before="47"/>
              <w:ind w:left="123" w:right="115"/>
              <w:jc w:val="center"/>
              <w:rPr>
                <w:sz w:val="20"/>
              </w:rPr>
            </w:pPr>
            <w:r>
              <w:rPr>
                <w:sz w:val="20"/>
              </w:rPr>
              <w:t>(17.7,</w:t>
            </w:r>
            <w:r>
              <w:rPr>
                <w:spacing w:val="-2"/>
                <w:sz w:val="20"/>
              </w:rPr>
              <w:t xml:space="preserve"> </w:t>
            </w:r>
            <w:r>
              <w:rPr>
                <w:sz w:val="20"/>
              </w:rPr>
              <w:t>40.1)</w:t>
            </w:r>
          </w:p>
        </w:tc>
        <w:tc>
          <w:tcPr>
            <w:tcW w:w="1468" w:type="dxa"/>
            <w:tcBorders>
              <w:top w:val="nil"/>
            </w:tcBorders>
          </w:tcPr>
          <w:p w:rsidR="008269D0" w:rsidRDefault="00BE670B">
            <w:pPr>
              <w:pStyle w:val="TableParagraph"/>
              <w:spacing w:before="47"/>
              <w:ind w:left="166" w:right="155"/>
              <w:jc w:val="center"/>
              <w:rPr>
                <w:sz w:val="20"/>
              </w:rPr>
            </w:pPr>
            <w:r>
              <w:rPr>
                <w:sz w:val="20"/>
              </w:rPr>
              <w:t>(11.1,</w:t>
            </w:r>
            <w:r>
              <w:rPr>
                <w:spacing w:val="-2"/>
                <w:sz w:val="20"/>
              </w:rPr>
              <w:t xml:space="preserve"> </w:t>
            </w:r>
            <w:r>
              <w:rPr>
                <w:sz w:val="20"/>
              </w:rPr>
              <w:t>38.8)</w:t>
            </w:r>
          </w:p>
        </w:tc>
        <w:tc>
          <w:tcPr>
            <w:tcW w:w="2334" w:type="dxa"/>
            <w:tcBorders>
              <w:top w:val="nil"/>
            </w:tcBorders>
          </w:tcPr>
          <w:p w:rsidR="008269D0" w:rsidRDefault="00BE670B">
            <w:pPr>
              <w:pStyle w:val="TableParagraph"/>
              <w:spacing w:before="47"/>
              <w:ind w:left="178" w:right="165"/>
              <w:jc w:val="center"/>
              <w:rPr>
                <w:sz w:val="20"/>
              </w:rPr>
            </w:pPr>
            <w:r>
              <w:rPr>
                <w:sz w:val="20"/>
              </w:rPr>
              <w:t>(-8.3,</w:t>
            </w:r>
            <w:r>
              <w:rPr>
                <w:spacing w:val="-2"/>
                <w:sz w:val="20"/>
              </w:rPr>
              <w:t xml:space="preserve"> </w:t>
            </w:r>
            <w:r>
              <w:rPr>
                <w:sz w:val="20"/>
              </w:rPr>
              <w:t>24.9)</w:t>
            </w:r>
          </w:p>
        </w:tc>
      </w:tr>
      <w:tr w:rsidR="008269D0">
        <w:trPr>
          <w:trHeight w:val="328"/>
        </w:trPr>
        <w:tc>
          <w:tcPr>
            <w:tcW w:w="3506" w:type="dxa"/>
            <w:tcBorders>
              <w:bottom w:val="nil"/>
            </w:tcBorders>
          </w:tcPr>
          <w:p w:rsidR="008269D0" w:rsidRDefault="00BE670B">
            <w:pPr>
              <w:pStyle w:val="TableParagraph"/>
              <w:spacing w:before="47"/>
              <w:ind w:left="107"/>
              <w:rPr>
                <w:sz w:val="20"/>
              </w:rPr>
            </w:pPr>
            <w:r>
              <w:rPr>
                <w:b/>
                <w:sz w:val="20"/>
              </w:rPr>
              <w:t>Nodal</w:t>
            </w:r>
            <w:r>
              <w:rPr>
                <w:b/>
                <w:spacing w:val="-3"/>
                <w:sz w:val="20"/>
              </w:rPr>
              <w:t xml:space="preserve"> </w:t>
            </w:r>
            <w:r>
              <w:rPr>
                <w:sz w:val="20"/>
              </w:rPr>
              <w:t>(n)</w:t>
            </w:r>
          </w:p>
        </w:tc>
        <w:tc>
          <w:tcPr>
            <w:tcW w:w="2036" w:type="dxa"/>
            <w:tcBorders>
              <w:bottom w:val="nil"/>
            </w:tcBorders>
          </w:tcPr>
          <w:p w:rsidR="008269D0" w:rsidRDefault="00BE670B">
            <w:pPr>
              <w:pStyle w:val="TableParagraph"/>
              <w:spacing w:before="47"/>
              <w:ind w:left="123" w:right="114"/>
              <w:jc w:val="center"/>
              <w:rPr>
                <w:sz w:val="20"/>
              </w:rPr>
            </w:pPr>
            <w:r>
              <w:rPr>
                <w:sz w:val="20"/>
              </w:rPr>
              <w:t>41</w:t>
            </w:r>
          </w:p>
        </w:tc>
        <w:tc>
          <w:tcPr>
            <w:tcW w:w="1468" w:type="dxa"/>
            <w:tcBorders>
              <w:bottom w:val="nil"/>
            </w:tcBorders>
          </w:tcPr>
          <w:p w:rsidR="008269D0" w:rsidRDefault="00BE670B">
            <w:pPr>
              <w:pStyle w:val="TableParagraph"/>
              <w:spacing w:before="47"/>
              <w:ind w:left="166" w:right="157"/>
              <w:jc w:val="center"/>
              <w:rPr>
                <w:sz w:val="20"/>
              </w:rPr>
            </w:pPr>
            <w:r>
              <w:rPr>
                <w:sz w:val="20"/>
              </w:rPr>
              <w:t>40</w:t>
            </w:r>
          </w:p>
        </w:tc>
        <w:tc>
          <w:tcPr>
            <w:tcW w:w="2334" w:type="dxa"/>
            <w:tcBorders>
              <w:bottom w:val="nil"/>
            </w:tcBorders>
          </w:tcPr>
          <w:p w:rsidR="008269D0" w:rsidRDefault="008269D0">
            <w:pPr>
              <w:pStyle w:val="TableParagraph"/>
              <w:spacing w:before="0"/>
            </w:pPr>
          </w:p>
        </w:tc>
      </w:tr>
      <w:tr w:rsidR="008269D0">
        <w:trPr>
          <w:trHeight w:val="322"/>
        </w:trPr>
        <w:tc>
          <w:tcPr>
            <w:tcW w:w="3506" w:type="dxa"/>
            <w:tcBorders>
              <w:top w:val="nil"/>
              <w:bottom w:val="nil"/>
            </w:tcBorders>
          </w:tcPr>
          <w:p w:rsidR="008269D0" w:rsidRDefault="00BE670B">
            <w:pPr>
              <w:pStyle w:val="TableParagraph"/>
              <w:spacing w:before="43"/>
              <w:ind w:right="932"/>
              <w:jc w:val="right"/>
              <w:rPr>
                <w:sz w:val="20"/>
              </w:rPr>
            </w:pPr>
            <w:r>
              <w:rPr>
                <w:sz w:val="20"/>
              </w:rPr>
              <w:t>Response</w:t>
            </w:r>
            <w:r>
              <w:rPr>
                <w:spacing w:val="-2"/>
                <w:sz w:val="20"/>
              </w:rPr>
              <w:t xml:space="preserve"> </w:t>
            </w:r>
            <w:r>
              <w:rPr>
                <w:sz w:val="20"/>
              </w:rPr>
              <w:t>Rate</w:t>
            </w:r>
            <w:r>
              <w:rPr>
                <w:spacing w:val="-1"/>
                <w:sz w:val="20"/>
              </w:rPr>
              <w:t xml:space="preserve"> </w:t>
            </w:r>
            <w:r>
              <w:rPr>
                <w:sz w:val="20"/>
              </w:rPr>
              <w:t>(n,</w:t>
            </w:r>
            <w:r>
              <w:rPr>
                <w:spacing w:val="-1"/>
                <w:sz w:val="20"/>
              </w:rPr>
              <w:t xml:space="preserve"> </w:t>
            </w:r>
            <w:r>
              <w:rPr>
                <w:sz w:val="20"/>
              </w:rPr>
              <w:t>%)</w:t>
            </w:r>
          </w:p>
        </w:tc>
        <w:tc>
          <w:tcPr>
            <w:tcW w:w="2036" w:type="dxa"/>
            <w:tcBorders>
              <w:top w:val="nil"/>
              <w:bottom w:val="nil"/>
            </w:tcBorders>
          </w:tcPr>
          <w:p w:rsidR="008269D0" w:rsidRDefault="00BE670B">
            <w:pPr>
              <w:pStyle w:val="TableParagraph"/>
              <w:spacing w:before="43"/>
              <w:ind w:left="122" w:right="115"/>
              <w:jc w:val="center"/>
              <w:rPr>
                <w:sz w:val="20"/>
              </w:rPr>
            </w:pPr>
            <w:r>
              <w:rPr>
                <w:sz w:val="20"/>
              </w:rPr>
              <w:t>4</w:t>
            </w:r>
            <w:r>
              <w:rPr>
                <w:spacing w:val="-2"/>
                <w:sz w:val="20"/>
              </w:rPr>
              <w:t xml:space="preserve"> </w:t>
            </w:r>
            <w:r>
              <w:rPr>
                <w:sz w:val="20"/>
              </w:rPr>
              <w:t>(9.8)</w:t>
            </w:r>
          </w:p>
        </w:tc>
        <w:tc>
          <w:tcPr>
            <w:tcW w:w="1468" w:type="dxa"/>
            <w:tcBorders>
              <w:top w:val="nil"/>
              <w:bottom w:val="nil"/>
            </w:tcBorders>
          </w:tcPr>
          <w:p w:rsidR="008269D0" w:rsidRDefault="00BE670B">
            <w:pPr>
              <w:pStyle w:val="TableParagraph"/>
              <w:spacing w:before="43"/>
              <w:ind w:left="166" w:right="156"/>
              <w:jc w:val="center"/>
              <w:rPr>
                <w:sz w:val="20"/>
              </w:rPr>
            </w:pPr>
            <w:r>
              <w:rPr>
                <w:sz w:val="20"/>
              </w:rPr>
              <w:t>1</w:t>
            </w:r>
            <w:r>
              <w:rPr>
                <w:spacing w:val="-2"/>
                <w:sz w:val="20"/>
              </w:rPr>
              <w:t xml:space="preserve"> </w:t>
            </w:r>
            <w:r>
              <w:rPr>
                <w:sz w:val="20"/>
              </w:rPr>
              <w:t>(2.5)</w:t>
            </w:r>
          </w:p>
        </w:tc>
        <w:tc>
          <w:tcPr>
            <w:tcW w:w="2334" w:type="dxa"/>
            <w:tcBorders>
              <w:top w:val="nil"/>
              <w:bottom w:val="nil"/>
            </w:tcBorders>
          </w:tcPr>
          <w:p w:rsidR="008269D0" w:rsidRDefault="00BE670B">
            <w:pPr>
              <w:pStyle w:val="TableParagraph"/>
              <w:spacing w:before="43"/>
              <w:ind w:left="178" w:right="166"/>
              <w:jc w:val="center"/>
              <w:rPr>
                <w:sz w:val="20"/>
              </w:rPr>
            </w:pPr>
            <w:r>
              <w:rPr>
                <w:sz w:val="20"/>
              </w:rPr>
              <w:t>7.3</w:t>
            </w:r>
          </w:p>
        </w:tc>
      </w:tr>
      <w:tr w:rsidR="008269D0">
        <w:trPr>
          <w:trHeight w:val="327"/>
        </w:trPr>
        <w:tc>
          <w:tcPr>
            <w:tcW w:w="3506" w:type="dxa"/>
            <w:tcBorders>
              <w:top w:val="nil"/>
            </w:tcBorders>
          </w:tcPr>
          <w:p w:rsidR="008269D0" w:rsidRDefault="00BE670B">
            <w:pPr>
              <w:pStyle w:val="TableParagraph"/>
              <w:spacing w:before="47"/>
              <w:ind w:left="1528" w:right="1253"/>
              <w:jc w:val="center"/>
              <w:rPr>
                <w:sz w:val="20"/>
              </w:rPr>
            </w:pPr>
            <w:r>
              <w:rPr>
                <w:sz w:val="20"/>
              </w:rPr>
              <w:t>95%</w:t>
            </w:r>
            <w:r>
              <w:rPr>
                <w:spacing w:val="-1"/>
                <w:sz w:val="20"/>
              </w:rPr>
              <w:t xml:space="preserve"> </w:t>
            </w:r>
            <w:r>
              <w:rPr>
                <w:sz w:val="20"/>
              </w:rPr>
              <w:t>CI</w:t>
            </w:r>
            <w:r>
              <w:rPr>
                <w:sz w:val="20"/>
                <w:vertAlign w:val="superscript"/>
              </w:rPr>
              <w:t>a</w:t>
            </w:r>
          </w:p>
        </w:tc>
        <w:tc>
          <w:tcPr>
            <w:tcW w:w="2036" w:type="dxa"/>
            <w:tcBorders>
              <w:top w:val="nil"/>
            </w:tcBorders>
          </w:tcPr>
          <w:p w:rsidR="008269D0" w:rsidRDefault="00BE670B">
            <w:pPr>
              <w:pStyle w:val="TableParagraph"/>
              <w:spacing w:before="47"/>
              <w:ind w:left="122" w:right="115"/>
              <w:jc w:val="center"/>
              <w:rPr>
                <w:sz w:val="20"/>
              </w:rPr>
            </w:pPr>
            <w:r>
              <w:rPr>
                <w:sz w:val="20"/>
              </w:rPr>
              <w:t>(2.7,</w:t>
            </w:r>
            <w:r>
              <w:rPr>
                <w:spacing w:val="-2"/>
                <w:sz w:val="20"/>
              </w:rPr>
              <w:t xml:space="preserve"> </w:t>
            </w:r>
            <w:r>
              <w:rPr>
                <w:sz w:val="20"/>
              </w:rPr>
              <w:t>23.1)</w:t>
            </w:r>
          </w:p>
        </w:tc>
        <w:tc>
          <w:tcPr>
            <w:tcW w:w="1468" w:type="dxa"/>
            <w:tcBorders>
              <w:top w:val="nil"/>
            </w:tcBorders>
          </w:tcPr>
          <w:p w:rsidR="008269D0" w:rsidRDefault="00BE670B">
            <w:pPr>
              <w:pStyle w:val="TableParagraph"/>
              <w:spacing w:before="47"/>
              <w:ind w:left="166" w:right="157"/>
              <w:jc w:val="center"/>
              <w:rPr>
                <w:sz w:val="20"/>
              </w:rPr>
            </w:pPr>
            <w:r>
              <w:rPr>
                <w:sz w:val="20"/>
              </w:rPr>
              <w:t>(0.1,</w:t>
            </w:r>
            <w:r>
              <w:rPr>
                <w:spacing w:val="-2"/>
                <w:sz w:val="20"/>
              </w:rPr>
              <w:t xml:space="preserve"> </w:t>
            </w:r>
            <w:r>
              <w:rPr>
                <w:sz w:val="20"/>
              </w:rPr>
              <w:t>13.2)</w:t>
            </w:r>
          </w:p>
        </w:tc>
        <w:tc>
          <w:tcPr>
            <w:tcW w:w="2334" w:type="dxa"/>
            <w:tcBorders>
              <w:top w:val="nil"/>
            </w:tcBorders>
          </w:tcPr>
          <w:p w:rsidR="008269D0" w:rsidRDefault="00BE670B">
            <w:pPr>
              <w:pStyle w:val="TableParagraph"/>
              <w:spacing w:before="47"/>
              <w:ind w:left="178" w:right="168"/>
              <w:jc w:val="center"/>
              <w:rPr>
                <w:sz w:val="20"/>
              </w:rPr>
            </w:pPr>
            <w:r>
              <w:rPr>
                <w:sz w:val="20"/>
              </w:rPr>
              <w:t>(-14.3,</w:t>
            </w:r>
            <w:r>
              <w:rPr>
                <w:spacing w:val="-2"/>
                <w:sz w:val="20"/>
              </w:rPr>
              <w:t xml:space="preserve"> </w:t>
            </w:r>
            <w:r>
              <w:rPr>
                <w:sz w:val="20"/>
              </w:rPr>
              <w:t>28.6)</w:t>
            </w:r>
          </w:p>
        </w:tc>
      </w:tr>
    </w:tbl>
    <w:p w:rsidR="008269D0" w:rsidRDefault="00BE670B">
      <w:pPr>
        <w:spacing w:before="118"/>
        <w:ind w:left="118"/>
        <w:rPr>
          <w:sz w:val="20"/>
        </w:rPr>
      </w:pPr>
      <w:r>
        <w:rPr>
          <w:sz w:val="20"/>
        </w:rPr>
        <w:t>M=mogamulizumab.</w:t>
      </w:r>
      <w:r>
        <w:rPr>
          <w:spacing w:val="-3"/>
          <w:sz w:val="20"/>
        </w:rPr>
        <w:t xml:space="preserve"> </w:t>
      </w:r>
      <w:r>
        <w:rPr>
          <w:sz w:val="20"/>
        </w:rPr>
        <w:t>V=</w:t>
      </w:r>
      <w:r>
        <w:rPr>
          <w:spacing w:val="-4"/>
          <w:sz w:val="20"/>
        </w:rPr>
        <w:t xml:space="preserve"> </w:t>
      </w:r>
      <w:r>
        <w:rPr>
          <w:sz w:val="20"/>
        </w:rPr>
        <w:t>vorinostat</w:t>
      </w:r>
    </w:p>
    <w:p w:rsidR="008269D0" w:rsidRDefault="008269D0">
      <w:pPr>
        <w:rPr>
          <w:sz w:val="20"/>
        </w:rPr>
        <w:sectPr w:rsidR="008269D0" w:rsidSect="003F0986">
          <w:pgSz w:w="11910" w:h="16840"/>
          <w:pgMar w:top="1300" w:right="1120" w:bottom="600" w:left="1180" w:header="113" w:footer="404" w:gutter="0"/>
          <w:cols w:space="720"/>
          <w:docGrid w:linePitch="299"/>
        </w:sectPr>
      </w:pPr>
    </w:p>
    <w:p w:rsidR="008269D0" w:rsidRDefault="00BE670B">
      <w:pPr>
        <w:pStyle w:val="Heading2"/>
        <w:spacing w:before="61"/>
        <w:ind w:right="1159"/>
      </w:pPr>
      <w:bookmarkStart w:id="46" w:name="_bookmark3"/>
      <w:bookmarkEnd w:id="46"/>
      <w:r>
        <w:t>Table 6: Progression Free Survival (PFS) by Treatment Group and Disease Stage</w:t>
      </w:r>
      <w:r>
        <w:rPr>
          <w:spacing w:val="-57"/>
        </w:rPr>
        <w:t xml:space="preserve"> </w:t>
      </w:r>
      <w:r>
        <w:t>(Randomised</w:t>
      </w:r>
      <w:r>
        <w:rPr>
          <w:spacing w:val="-2"/>
        </w:rPr>
        <w:t xml:space="preserve"> </w:t>
      </w:r>
      <w:r>
        <w:t>Treatment Period)</w:t>
      </w:r>
    </w:p>
    <w:p w:rsidR="008269D0" w:rsidRDefault="008269D0">
      <w:pPr>
        <w:pStyle w:val="BodyText"/>
        <w:spacing w:before="4" w:after="1"/>
        <w:ind w:left="0"/>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1794"/>
        <w:gridCol w:w="1700"/>
        <w:gridCol w:w="1560"/>
      </w:tblGrid>
      <w:tr w:rsidR="008269D0">
        <w:trPr>
          <w:trHeight w:val="469"/>
        </w:trPr>
        <w:tc>
          <w:tcPr>
            <w:tcW w:w="2312" w:type="dxa"/>
          </w:tcPr>
          <w:p w:rsidR="008269D0" w:rsidRDefault="008269D0">
            <w:pPr>
              <w:pStyle w:val="TableParagraph"/>
              <w:spacing w:before="0"/>
            </w:pPr>
          </w:p>
        </w:tc>
        <w:tc>
          <w:tcPr>
            <w:tcW w:w="1794" w:type="dxa"/>
          </w:tcPr>
          <w:p w:rsidR="008269D0" w:rsidRDefault="00BE670B">
            <w:pPr>
              <w:pStyle w:val="TableParagraph"/>
              <w:spacing w:before="120"/>
              <w:ind w:left="148" w:right="140"/>
              <w:jc w:val="center"/>
              <w:rPr>
                <w:b/>
                <w:sz w:val="20"/>
              </w:rPr>
            </w:pPr>
            <w:r>
              <w:rPr>
                <w:b/>
                <w:sz w:val="20"/>
              </w:rPr>
              <w:t>Mogamulizumab</w:t>
            </w:r>
          </w:p>
        </w:tc>
        <w:tc>
          <w:tcPr>
            <w:tcW w:w="1700" w:type="dxa"/>
          </w:tcPr>
          <w:p w:rsidR="008269D0" w:rsidRDefault="00BE670B">
            <w:pPr>
              <w:pStyle w:val="TableParagraph"/>
              <w:spacing w:before="120"/>
              <w:ind w:left="163" w:right="155"/>
              <w:jc w:val="center"/>
              <w:rPr>
                <w:b/>
                <w:sz w:val="20"/>
              </w:rPr>
            </w:pPr>
            <w:r>
              <w:rPr>
                <w:b/>
                <w:sz w:val="20"/>
              </w:rPr>
              <w:t>Vorinostat</w:t>
            </w:r>
          </w:p>
        </w:tc>
        <w:tc>
          <w:tcPr>
            <w:tcW w:w="1560" w:type="dxa"/>
          </w:tcPr>
          <w:p w:rsidR="008269D0" w:rsidRDefault="00BE670B">
            <w:pPr>
              <w:pStyle w:val="TableParagraph"/>
              <w:spacing w:before="120"/>
              <w:ind w:right="453"/>
              <w:jc w:val="right"/>
              <w:rPr>
                <w:b/>
                <w:sz w:val="20"/>
              </w:rPr>
            </w:pPr>
            <w:r>
              <w:rPr>
                <w:b/>
                <w:sz w:val="20"/>
              </w:rPr>
              <w:t>P</w:t>
            </w:r>
            <w:r>
              <w:rPr>
                <w:b/>
                <w:spacing w:val="-1"/>
                <w:sz w:val="20"/>
              </w:rPr>
              <w:t xml:space="preserve"> </w:t>
            </w:r>
            <w:r>
              <w:rPr>
                <w:b/>
                <w:sz w:val="20"/>
              </w:rPr>
              <w:t>value</w:t>
            </w:r>
          </w:p>
        </w:tc>
      </w:tr>
      <w:tr w:rsidR="008269D0">
        <w:trPr>
          <w:trHeight w:val="470"/>
        </w:trPr>
        <w:tc>
          <w:tcPr>
            <w:tcW w:w="7366" w:type="dxa"/>
            <w:gridSpan w:val="4"/>
          </w:tcPr>
          <w:p w:rsidR="008269D0" w:rsidRDefault="00BE670B">
            <w:pPr>
              <w:pStyle w:val="TableParagraph"/>
              <w:spacing w:before="120"/>
              <w:ind w:left="107"/>
              <w:rPr>
                <w:b/>
                <w:sz w:val="20"/>
              </w:rPr>
            </w:pPr>
            <w:r>
              <w:rPr>
                <w:b/>
                <w:sz w:val="20"/>
              </w:rPr>
              <w:t>PFS,</w:t>
            </w:r>
            <w:r>
              <w:rPr>
                <w:b/>
                <w:spacing w:val="-1"/>
                <w:sz w:val="20"/>
              </w:rPr>
              <w:t xml:space="preserve"> </w:t>
            </w:r>
            <w:r>
              <w:rPr>
                <w:b/>
                <w:sz w:val="20"/>
              </w:rPr>
              <w:t>months</w:t>
            </w:r>
          </w:p>
        </w:tc>
      </w:tr>
      <w:tr w:rsidR="008269D0">
        <w:trPr>
          <w:trHeight w:val="470"/>
        </w:trPr>
        <w:tc>
          <w:tcPr>
            <w:tcW w:w="2312" w:type="dxa"/>
          </w:tcPr>
          <w:p w:rsidR="008269D0" w:rsidRDefault="00BE670B">
            <w:pPr>
              <w:pStyle w:val="TableParagraph"/>
              <w:spacing w:before="118"/>
              <w:ind w:left="107"/>
              <w:rPr>
                <w:sz w:val="20"/>
              </w:rPr>
            </w:pPr>
            <w:r>
              <w:rPr>
                <w:sz w:val="20"/>
              </w:rPr>
              <w:t>ITT</w:t>
            </w:r>
            <w:r>
              <w:rPr>
                <w:spacing w:val="-2"/>
                <w:sz w:val="20"/>
              </w:rPr>
              <w:t xml:space="preserve"> </w:t>
            </w:r>
            <w:r>
              <w:rPr>
                <w:sz w:val="20"/>
              </w:rPr>
              <w:t>Population</w:t>
            </w:r>
          </w:p>
        </w:tc>
        <w:tc>
          <w:tcPr>
            <w:tcW w:w="1794" w:type="dxa"/>
          </w:tcPr>
          <w:p w:rsidR="008269D0" w:rsidRDefault="00BE670B">
            <w:pPr>
              <w:pStyle w:val="TableParagraph"/>
              <w:spacing w:before="118"/>
              <w:ind w:left="147" w:right="140"/>
              <w:jc w:val="center"/>
              <w:rPr>
                <w:sz w:val="20"/>
              </w:rPr>
            </w:pPr>
            <w:r>
              <w:rPr>
                <w:sz w:val="20"/>
              </w:rPr>
              <w:t>7.70</w:t>
            </w:r>
            <w:r>
              <w:rPr>
                <w:spacing w:val="-2"/>
                <w:sz w:val="20"/>
              </w:rPr>
              <w:t xml:space="preserve"> </w:t>
            </w:r>
            <w:r>
              <w:rPr>
                <w:sz w:val="20"/>
              </w:rPr>
              <w:t>(5.67,</w:t>
            </w:r>
            <w:r>
              <w:rPr>
                <w:spacing w:val="-2"/>
                <w:sz w:val="20"/>
              </w:rPr>
              <w:t xml:space="preserve"> </w:t>
            </w:r>
            <w:r>
              <w:rPr>
                <w:sz w:val="20"/>
              </w:rPr>
              <w:t>10.33)</w:t>
            </w:r>
          </w:p>
        </w:tc>
        <w:tc>
          <w:tcPr>
            <w:tcW w:w="1700" w:type="dxa"/>
          </w:tcPr>
          <w:p w:rsidR="008269D0" w:rsidRDefault="00BE670B">
            <w:pPr>
              <w:pStyle w:val="TableParagraph"/>
              <w:spacing w:before="118"/>
              <w:ind w:left="164" w:right="155"/>
              <w:jc w:val="center"/>
              <w:rPr>
                <w:sz w:val="20"/>
              </w:rPr>
            </w:pPr>
            <w:r>
              <w:rPr>
                <w:sz w:val="20"/>
              </w:rPr>
              <w:t>3.10</w:t>
            </w:r>
            <w:r>
              <w:rPr>
                <w:spacing w:val="-2"/>
                <w:sz w:val="20"/>
              </w:rPr>
              <w:t xml:space="preserve"> </w:t>
            </w:r>
            <w:r>
              <w:rPr>
                <w:sz w:val="20"/>
              </w:rPr>
              <w:t>(2.87,</w:t>
            </w:r>
            <w:r>
              <w:rPr>
                <w:spacing w:val="-2"/>
                <w:sz w:val="20"/>
              </w:rPr>
              <w:t xml:space="preserve"> </w:t>
            </w:r>
            <w:r>
              <w:rPr>
                <w:sz w:val="20"/>
              </w:rPr>
              <w:t>4.07)</w:t>
            </w:r>
          </w:p>
        </w:tc>
        <w:tc>
          <w:tcPr>
            <w:tcW w:w="1560" w:type="dxa"/>
          </w:tcPr>
          <w:p w:rsidR="008269D0" w:rsidRDefault="00BE670B">
            <w:pPr>
              <w:pStyle w:val="TableParagraph"/>
              <w:spacing w:before="118"/>
              <w:ind w:right="437"/>
              <w:jc w:val="right"/>
              <w:rPr>
                <w:sz w:val="20"/>
              </w:rPr>
            </w:pPr>
            <w:r>
              <w:rPr>
                <w:sz w:val="20"/>
              </w:rPr>
              <w:t>&lt;0.0001</w:t>
            </w:r>
          </w:p>
        </w:tc>
      </w:tr>
      <w:tr w:rsidR="008269D0">
        <w:trPr>
          <w:trHeight w:val="469"/>
        </w:trPr>
        <w:tc>
          <w:tcPr>
            <w:tcW w:w="2312" w:type="dxa"/>
          </w:tcPr>
          <w:p w:rsidR="008269D0" w:rsidRDefault="00BE670B">
            <w:pPr>
              <w:pStyle w:val="TableParagraph"/>
              <w:spacing w:before="118"/>
              <w:ind w:left="107"/>
              <w:rPr>
                <w:sz w:val="20"/>
              </w:rPr>
            </w:pPr>
            <w:r>
              <w:rPr>
                <w:sz w:val="20"/>
              </w:rPr>
              <w:t>IB/II</w:t>
            </w:r>
          </w:p>
        </w:tc>
        <w:tc>
          <w:tcPr>
            <w:tcW w:w="1794" w:type="dxa"/>
          </w:tcPr>
          <w:p w:rsidR="008269D0" w:rsidRDefault="00BE670B">
            <w:pPr>
              <w:pStyle w:val="TableParagraph"/>
              <w:spacing w:before="118"/>
              <w:ind w:left="147" w:right="140"/>
              <w:jc w:val="center"/>
              <w:rPr>
                <w:sz w:val="20"/>
              </w:rPr>
            </w:pPr>
            <w:r>
              <w:rPr>
                <w:sz w:val="20"/>
              </w:rPr>
              <w:t>4.7</w:t>
            </w:r>
            <w:r>
              <w:rPr>
                <w:spacing w:val="-2"/>
                <w:sz w:val="20"/>
              </w:rPr>
              <w:t xml:space="preserve"> </w:t>
            </w:r>
            <w:r>
              <w:rPr>
                <w:sz w:val="20"/>
              </w:rPr>
              <w:t>(2.9</w:t>
            </w:r>
            <w:r>
              <w:rPr>
                <w:spacing w:val="-1"/>
                <w:sz w:val="20"/>
              </w:rPr>
              <w:t xml:space="preserve"> </w:t>
            </w:r>
            <w:r>
              <w:rPr>
                <w:sz w:val="20"/>
              </w:rPr>
              <w:t>-7.47)</w:t>
            </w:r>
          </w:p>
        </w:tc>
        <w:tc>
          <w:tcPr>
            <w:tcW w:w="1700" w:type="dxa"/>
          </w:tcPr>
          <w:p w:rsidR="008269D0" w:rsidRDefault="00BE670B">
            <w:pPr>
              <w:pStyle w:val="TableParagraph"/>
              <w:spacing w:before="118"/>
              <w:ind w:left="164" w:right="154"/>
              <w:jc w:val="center"/>
              <w:rPr>
                <w:sz w:val="20"/>
              </w:rPr>
            </w:pPr>
            <w:r>
              <w:rPr>
                <w:sz w:val="20"/>
              </w:rPr>
              <w:t>3.9</w:t>
            </w:r>
            <w:r>
              <w:rPr>
                <w:spacing w:val="-2"/>
                <w:sz w:val="20"/>
              </w:rPr>
              <w:t xml:space="preserve"> </w:t>
            </w:r>
            <w:r>
              <w:rPr>
                <w:sz w:val="20"/>
              </w:rPr>
              <w:t>(2.87-4.73)</w:t>
            </w:r>
          </w:p>
        </w:tc>
        <w:tc>
          <w:tcPr>
            <w:tcW w:w="1560" w:type="dxa"/>
          </w:tcPr>
          <w:p w:rsidR="008269D0" w:rsidRDefault="00BE670B">
            <w:pPr>
              <w:pStyle w:val="TableParagraph"/>
              <w:spacing w:before="118"/>
              <w:ind w:right="494"/>
              <w:jc w:val="right"/>
              <w:rPr>
                <w:sz w:val="20"/>
              </w:rPr>
            </w:pPr>
            <w:r>
              <w:rPr>
                <w:sz w:val="20"/>
              </w:rPr>
              <w:t>0.6790</w:t>
            </w:r>
          </w:p>
        </w:tc>
      </w:tr>
      <w:tr w:rsidR="008269D0">
        <w:trPr>
          <w:trHeight w:val="470"/>
        </w:trPr>
        <w:tc>
          <w:tcPr>
            <w:tcW w:w="2312" w:type="dxa"/>
          </w:tcPr>
          <w:p w:rsidR="008269D0" w:rsidRDefault="00BE670B">
            <w:pPr>
              <w:pStyle w:val="TableParagraph"/>
              <w:spacing w:before="118"/>
              <w:ind w:left="107"/>
              <w:rPr>
                <w:sz w:val="20"/>
              </w:rPr>
            </w:pPr>
            <w:r>
              <w:rPr>
                <w:sz w:val="20"/>
              </w:rPr>
              <w:t>III/IV</w:t>
            </w:r>
          </w:p>
        </w:tc>
        <w:tc>
          <w:tcPr>
            <w:tcW w:w="1794" w:type="dxa"/>
          </w:tcPr>
          <w:p w:rsidR="008269D0" w:rsidRDefault="00BE670B">
            <w:pPr>
              <w:pStyle w:val="TableParagraph"/>
              <w:spacing w:before="118"/>
              <w:ind w:left="146" w:right="140"/>
              <w:jc w:val="center"/>
              <w:rPr>
                <w:sz w:val="20"/>
              </w:rPr>
            </w:pPr>
            <w:r>
              <w:rPr>
                <w:sz w:val="20"/>
              </w:rPr>
              <w:t>10.9</w:t>
            </w:r>
            <w:r>
              <w:rPr>
                <w:spacing w:val="-3"/>
                <w:sz w:val="20"/>
              </w:rPr>
              <w:t xml:space="preserve"> </w:t>
            </w:r>
            <w:r>
              <w:rPr>
                <w:sz w:val="20"/>
              </w:rPr>
              <w:t>(7.03-15.03)</w:t>
            </w:r>
          </w:p>
        </w:tc>
        <w:tc>
          <w:tcPr>
            <w:tcW w:w="1700" w:type="dxa"/>
          </w:tcPr>
          <w:p w:rsidR="008269D0" w:rsidRDefault="00BE670B">
            <w:pPr>
              <w:pStyle w:val="TableParagraph"/>
              <w:spacing w:before="118"/>
              <w:ind w:left="164" w:right="153"/>
              <w:jc w:val="center"/>
              <w:rPr>
                <w:sz w:val="20"/>
              </w:rPr>
            </w:pPr>
            <w:r>
              <w:rPr>
                <w:sz w:val="20"/>
              </w:rPr>
              <w:t>3.0</w:t>
            </w:r>
            <w:r>
              <w:rPr>
                <w:spacing w:val="-2"/>
                <w:sz w:val="20"/>
              </w:rPr>
              <w:t xml:space="preserve"> </w:t>
            </w:r>
            <w:r>
              <w:rPr>
                <w:sz w:val="20"/>
              </w:rPr>
              <w:t>(2.83-3.87)</w:t>
            </w:r>
          </w:p>
        </w:tc>
        <w:tc>
          <w:tcPr>
            <w:tcW w:w="1560" w:type="dxa"/>
          </w:tcPr>
          <w:p w:rsidR="008269D0" w:rsidRDefault="00BE670B">
            <w:pPr>
              <w:pStyle w:val="TableParagraph"/>
              <w:spacing w:before="118"/>
              <w:ind w:right="437"/>
              <w:jc w:val="right"/>
              <w:rPr>
                <w:sz w:val="20"/>
              </w:rPr>
            </w:pPr>
            <w:r>
              <w:rPr>
                <w:sz w:val="20"/>
              </w:rPr>
              <w:t>&lt;0.0001</w:t>
            </w:r>
          </w:p>
        </w:tc>
      </w:tr>
    </w:tbl>
    <w:p w:rsidR="008269D0" w:rsidRDefault="00BE670B" w:rsidP="00825688">
      <w:pPr>
        <w:spacing w:before="118" w:after="240"/>
        <w:ind w:left="118"/>
        <w:rPr>
          <w:sz w:val="20"/>
        </w:rPr>
      </w:pPr>
      <w:r>
        <w:rPr>
          <w:sz w:val="20"/>
        </w:rPr>
        <w:t>ITT=intent</w:t>
      </w:r>
      <w:r>
        <w:rPr>
          <w:spacing w:val="-3"/>
          <w:sz w:val="20"/>
        </w:rPr>
        <w:t xml:space="preserve"> </w:t>
      </w:r>
      <w:r>
        <w:rPr>
          <w:sz w:val="20"/>
        </w:rPr>
        <w:t>to</w:t>
      </w:r>
      <w:r>
        <w:rPr>
          <w:spacing w:val="-1"/>
          <w:sz w:val="20"/>
        </w:rPr>
        <w:t xml:space="preserve"> </w:t>
      </w:r>
      <w:r>
        <w:rPr>
          <w:sz w:val="20"/>
        </w:rPr>
        <w:t>treat</w:t>
      </w:r>
    </w:p>
    <w:p w:rsidR="008269D0" w:rsidRDefault="003F0986" w:rsidP="003F0986">
      <w:pPr>
        <w:pStyle w:val="Heading2"/>
        <w:spacing w:before="90" w:after="240"/>
      </w:pPr>
      <w:bookmarkStart w:id="47" w:name="5.2_PHARMACOKINETIC_PROPERTIES"/>
      <w:bookmarkEnd w:id="47"/>
      <w:r>
        <w:rPr>
          <w:noProof/>
          <w:lang w:val="en-AU" w:eastAsia="en-AU"/>
        </w:rPr>
        <w:t>5.2</w:t>
      </w:r>
      <w:r>
        <w:rPr>
          <w:noProof/>
          <w:lang w:val="en-AU" w:eastAsia="en-AU"/>
        </w:rPr>
        <w:tab/>
      </w:r>
      <w:r w:rsidR="00BE670B">
        <w:t>PHARMACOKINETIC</w:t>
      </w:r>
      <w:r w:rsidR="00BE670B">
        <w:rPr>
          <w:spacing w:val="-14"/>
        </w:rPr>
        <w:t xml:space="preserve"> </w:t>
      </w:r>
      <w:r w:rsidR="00BE670B">
        <w:t>PROPERTIES</w:t>
      </w:r>
    </w:p>
    <w:p w:rsidR="008269D0" w:rsidRDefault="00BE670B">
      <w:pPr>
        <w:pStyle w:val="BodyText"/>
        <w:ind w:right="176"/>
      </w:pPr>
      <w:r>
        <w:t>The pharmacokinetics (PK) of mogamulizumab was evaluated in adult patients with T-cell</w:t>
      </w:r>
      <w:r>
        <w:rPr>
          <w:spacing w:val="1"/>
        </w:rPr>
        <w:t xml:space="preserve"> </w:t>
      </w:r>
      <w:r>
        <w:t>leukaemia-lymphoma (ATL) and CTCL over a dose range of 0.01 to 1 mg/kg administered as</w:t>
      </w:r>
      <w:r>
        <w:rPr>
          <w:spacing w:val="1"/>
        </w:rPr>
        <w:t xml:space="preserve"> </w:t>
      </w:r>
      <w:r>
        <w:t>multiple</w:t>
      </w:r>
      <w:r>
        <w:rPr>
          <w:spacing w:val="-2"/>
        </w:rPr>
        <w:t xml:space="preserve"> </w:t>
      </w:r>
      <w:r>
        <w:t>doses</w:t>
      </w:r>
      <w:r>
        <w:rPr>
          <w:spacing w:val="-1"/>
        </w:rPr>
        <w:t xml:space="preserve"> </w:t>
      </w:r>
      <w:r>
        <w:t>of</w:t>
      </w:r>
      <w:r>
        <w:rPr>
          <w:spacing w:val="-1"/>
        </w:rPr>
        <w:t xml:space="preserve"> </w:t>
      </w:r>
      <w:r>
        <w:t>mogamulizumab</w:t>
      </w:r>
      <w:r>
        <w:rPr>
          <w:spacing w:val="-1"/>
        </w:rPr>
        <w:t xml:space="preserve"> </w:t>
      </w:r>
      <w:r>
        <w:t>every</w:t>
      </w:r>
      <w:r>
        <w:rPr>
          <w:spacing w:val="-1"/>
        </w:rPr>
        <w:t xml:space="preserve"> </w:t>
      </w:r>
      <w:r>
        <w:t>week</w:t>
      </w:r>
      <w:r>
        <w:rPr>
          <w:spacing w:val="-3"/>
        </w:rPr>
        <w:t xml:space="preserve"> </w:t>
      </w:r>
      <w:r>
        <w:t>or</w:t>
      </w:r>
      <w:r>
        <w:rPr>
          <w:spacing w:val="-2"/>
        </w:rPr>
        <w:t xml:space="preserve"> </w:t>
      </w:r>
      <w:r>
        <w:t>every</w:t>
      </w:r>
      <w:r>
        <w:rPr>
          <w:spacing w:val="-1"/>
        </w:rPr>
        <w:t xml:space="preserve"> </w:t>
      </w:r>
      <w:r>
        <w:t>2</w:t>
      </w:r>
      <w:r>
        <w:rPr>
          <w:spacing w:val="-1"/>
        </w:rPr>
        <w:t xml:space="preserve"> </w:t>
      </w:r>
      <w:r>
        <w:t>weeks,</w:t>
      </w:r>
      <w:r>
        <w:rPr>
          <w:spacing w:val="-2"/>
        </w:rPr>
        <w:t xml:space="preserve"> </w:t>
      </w:r>
      <w:r>
        <w:t>and</w:t>
      </w:r>
      <w:r>
        <w:rPr>
          <w:spacing w:val="-1"/>
        </w:rPr>
        <w:t xml:space="preserve"> </w:t>
      </w:r>
      <w:r>
        <w:t>included</w:t>
      </w:r>
      <w:r>
        <w:rPr>
          <w:spacing w:val="-1"/>
        </w:rPr>
        <w:t xml:space="preserve"> </w:t>
      </w:r>
      <w:r>
        <w:t>the</w:t>
      </w:r>
      <w:r>
        <w:rPr>
          <w:spacing w:val="-2"/>
        </w:rPr>
        <w:t xml:space="preserve"> </w:t>
      </w:r>
      <w:r>
        <w:t>recommended</w:t>
      </w:r>
    </w:p>
    <w:p w:rsidR="008269D0" w:rsidRDefault="00BE670B" w:rsidP="00825688">
      <w:pPr>
        <w:pStyle w:val="BodyText"/>
        <w:spacing w:after="240"/>
        <w:ind w:right="227"/>
      </w:pPr>
      <w:r>
        <w:t>1.0 mg/kg dose and regimen (days 1, 8, 15 and 22 for the first 28-day cycle and on Days 1 and</w:t>
      </w:r>
      <w:r>
        <w:rPr>
          <w:spacing w:val="1"/>
        </w:rPr>
        <w:t xml:space="preserve"> </w:t>
      </w:r>
      <w:r>
        <w:t>15 for subsequent 28-day cycles). The population PK analysis included 444 patients receiving</w:t>
      </w:r>
      <w:r>
        <w:rPr>
          <w:spacing w:val="1"/>
        </w:rPr>
        <w:t xml:space="preserve"> </w:t>
      </w:r>
      <w:r>
        <w:t>mogamulizumab in six clinical trials. The exposure to mogamulizumab increased proportionally</w:t>
      </w:r>
      <w:r>
        <w:rPr>
          <w:spacing w:val="-57"/>
        </w:rPr>
        <w:t xml:space="preserve"> </w:t>
      </w:r>
      <w:r>
        <w:t>with</w:t>
      </w:r>
      <w:r>
        <w:rPr>
          <w:spacing w:val="-1"/>
        </w:rPr>
        <w:t xml:space="preserve"> </w:t>
      </w:r>
      <w:r>
        <w:t>dose over the dose range of</w:t>
      </w:r>
      <w:r>
        <w:rPr>
          <w:spacing w:val="-1"/>
        </w:rPr>
        <w:t xml:space="preserve"> </w:t>
      </w:r>
      <w:r>
        <w:t>0.1 to 1.0</w:t>
      </w:r>
      <w:r>
        <w:rPr>
          <w:spacing w:val="1"/>
        </w:rPr>
        <w:t xml:space="preserve"> </w:t>
      </w:r>
      <w:r>
        <w:t>mg/kg.</w:t>
      </w:r>
    </w:p>
    <w:p w:rsidR="008269D0" w:rsidRDefault="00BE670B">
      <w:pPr>
        <w:pStyle w:val="Heading2"/>
        <w:spacing w:before="1"/>
      </w:pPr>
      <w:bookmarkStart w:id="48" w:name="Absorption"/>
      <w:bookmarkEnd w:id="48"/>
      <w:r>
        <w:t>Absorption</w:t>
      </w:r>
    </w:p>
    <w:p w:rsidR="008269D0" w:rsidRDefault="00BE670B" w:rsidP="00825688">
      <w:pPr>
        <w:pStyle w:val="BodyText"/>
        <w:spacing w:before="117" w:after="240"/>
        <w:ind w:right="561"/>
      </w:pPr>
      <w:r>
        <w:t>Mogamulizumab is dosed via intravenous route and therefore is immediately and completely</w:t>
      </w:r>
      <w:r>
        <w:rPr>
          <w:spacing w:val="-57"/>
        </w:rPr>
        <w:t xml:space="preserve"> </w:t>
      </w:r>
      <w:r>
        <w:t>bioavailable.</w:t>
      </w:r>
    </w:p>
    <w:p w:rsidR="008269D0" w:rsidRDefault="00BE670B">
      <w:pPr>
        <w:pStyle w:val="Heading2"/>
      </w:pPr>
      <w:bookmarkStart w:id="49" w:name="Distribution"/>
      <w:bookmarkEnd w:id="49"/>
      <w:r>
        <w:t>Distribution</w:t>
      </w:r>
    </w:p>
    <w:p w:rsidR="008269D0" w:rsidRDefault="00BE670B" w:rsidP="00825688">
      <w:pPr>
        <w:pStyle w:val="BodyText"/>
        <w:spacing w:before="118" w:after="240"/>
        <w:ind w:right="688"/>
      </w:pPr>
      <w:r>
        <w:t>Based on a population PK analysis, the geometric mean [% coefficient of variation (CV%)]</w:t>
      </w:r>
      <w:r>
        <w:rPr>
          <w:spacing w:val="-57"/>
        </w:rPr>
        <w:t xml:space="preserve"> </w:t>
      </w:r>
      <w:r>
        <w:t>central</w:t>
      </w:r>
      <w:r>
        <w:rPr>
          <w:spacing w:val="-1"/>
        </w:rPr>
        <w:t xml:space="preserve"> </w:t>
      </w:r>
      <w:r>
        <w:t>volume of</w:t>
      </w:r>
      <w:r>
        <w:rPr>
          <w:spacing w:val="-1"/>
        </w:rPr>
        <w:t xml:space="preserve"> </w:t>
      </w:r>
      <w:r>
        <w:t>distribution (Vc) was</w:t>
      </w:r>
      <w:r>
        <w:rPr>
          <w:spacing w:val="-1"/>
        </w:rPr>
        <w:t xml:space="preserve"> </w:t>
      </w:r>
      <w:r>
        <w:t>3.57</w:t>
      </w:r>
      <w:r>
        <w:rPr>
          <w:spacing w:val="-1"/>
        </w:rPr>
        <w:t xml:space="preserve"> </w:t>
      </w:r>
      <w:r>
        <w:t>L</w:t>
      </w:r>
      <w:r>
        <w:rPr>
          <w:spacing w:val="-1"/>
        </w:rPr>
        <w:t xml:space="preserve"> </w:t>
      </w:r>
      <w:r>
        <w:t>(20.1%).</w:t>
      </w:r>
    </w:p>
    <w:p w:rsidR="008269D0" w:rsidRDefault="00BE670B">
      <w:pPr>
        <w:pStyle w:val="Heading2"/>
      </w:pPr>
      <w:bookmarkStart w:id="50" w:name="Metabolism"/>
      <w:bookmarkEnd w:id="50"/>
      <w:r>
        <w:t>Metabolism</w:t>
      </w:r>
    </w:p>
    <w:p w:rsidR="008269D0" w:rsidRDefault="00BE670B" w:rsidP="00825688">
      <w:pPr>
        <w:pStyle w:val="BodyText"/>
        <w:spacing w:before="117" w:after="240"/>
        <w:ind w:right="255"/>
      </w:pPr>
      <w:r>
        <w:t>The metabolic pathway of mogamulizumab has not been characterised. Mogamulizumab is</w:t>
      </w:r>
      <w:r>
        <w:rPr>
          <w:spacing w:val="1"/>
        </w:rPr>
        <w:t xml:space="preserve"> </w:t>
      </w:r>
      <w:r>
        <w:t>expected to be degraded into small peptides and amino acids via catabolic pathways in the same</w:t>
      </w:r>
      <w:r>
        <w:rPr>
          <w:spacing w:val="-57"/>
        </w:rPr>
        <w:t xml:space="preserve"> </w:t>
      </w:r>
      <w:r>
        <w:t>manner</w:t>
      </w:r>
      <w:r>
        <w:rPr>
          <w:spacing w:val="-1"/>
        </w:rPr>
        <w:t xml:space="preserve"> </w:t>
      </w:r>
      <w:r>
        <w:t>as endogenous IgG.</w:t>
      </w:r>
    </w:p>
    <w:p w:rsidR="008269D0" w:rsidRDefault="00BE670B">
      <w:pPr>
        <w:pStyle w:val="Heading2"/>
      </w:pPr>
      <w:bookmarkStart w:id="51" w:name="Excretion"/>
      <w:bookmarkEnd w:id="51"/>
      <w:r>
        <w:t>Excretion</w:t>
      </w:r>
    </w:p>
    <w:p w:rsidR="008269D0" w:rsidRDefault="00BE670B" w:rsidP="0047554E">
      <w:pPr>
        <w:pStyle w:val="BodyText"/>
        <w:spacing w:before="118" w:after="240"/>
        <w:ind w:right="314"/>
      </w:pPr>
      <w:r>
        <w:t>Based on a population PK analysis, the geometric mean (% coefficient of variation [CV%])</w:t>
      </w:r>
      <w:r>
        <w:rPr>
          <w:spacing w:val="1"/>
        </w:rPr>
        <w:t xml:space="preserve"> </w:t>
      </w:r>
      <w:r>
        <w:t>clearance (CL) is 12.0 mL/h (83.7%) and geometric mean elimination half-life (t1/2) is 17 days</w:t>
      </w:r>
      <w:r>
        <w:rPr>
          <w:spacing w:val="-57"/>
        </w:rPr>
        <w:t xml:space="preserve"> </w:t>
      </w:r>
      <w:r>
        <w:t>(65.5%).</w:t>
      </w:r>
    </w:p>
    <w:p w:rsidR="008269D0" w:rsidRDefault="00BE670B">
      <w:pPr>
        <w:pStyle w:val="Heading2"/>
      </w:pPr>
      <w:bookmarkStart w:id="52" w:name="Linearity_and_accumulation"/>
      <w:bookmarkEnd w:id="52"/>
      <w:r>
        <w:t>Linearity</w:t>
      </w:r>
      <w:r>
        <w:rPr>
          <w:spacing w:val="-4"/>
        </w:rPr>
        <w:t xml:space="preserve"> </w:t>
      </w:r>
      <w:r>
        <w:t>and</w:t>
      </w:r>
      <w:r>
        <w:rPr>
          <w:spacing w:val="-4"/>
        </w:rPr>
        <w:t xml:space="preserve"> </w:t>
      </w:r>
      <w:r>
        <w:t>accumulation</w:t>
      </w:r>
    </w:p>
    <w:p w:rsidR="008269D0" w:rsidRDefault="00BE670B">
      <w:pPr>
        <w:pStyle w:val="BodyText"/>
        <w:spacing w:before="118"/>
        <w:ind w:right="295"/>
      </w:pPr>
      <w:r>
        <w:t>Mogamulizumab exhibits linear PK from the dose in a dose range of 0.01 mg/kg to 1 mg/kg.</w:t>
      </w:r>
      <w:r>
        <w:rPr>
          <w:spacing w:val="1"/>
        </w:rPr>
        <w:t xml:space="preserve"> </w:t>
      </w:r>
      <w:r>
        <w:t>Based on a population PK analysis, the steady-state concentrations of mogamulizumab were</w:t>
      </w:r>
      <w:r>
        <w:rPr>
          <w:spacing w:val="1"/>
        </w:rPr>
        <w:t xml:space="preserve"> </w:t>
      </w:r>
      <w:r>
        <w:t>reached after 12 weeks of repeated dosing when administered using the recommended regimen,</w:t>
      </w:r>
      <w:r>
        <w:rPr>
          <w:spacing w:val="-57"/>
        </w:rPr>
        <w:t xml:space="preserve"> </w:t>
      </w:r>
      <w:r>
        <w:t>and systemic accumulation was 1.7-fold. On a power model analysis, no deviation from dose</w:t>
      </w:r>
      <w:r>
        <w:rPr>
          <w:spacing w:val="1"/>
        </w:rPr>
        <w:t xml:space="preserve"> </w:t>
      </w:r>
      <w:r>
        <w:t>proportionality</w:t>
      </w:r>
      <w:r>
        <w:rPr>
          <w:spacing w:val="-1"/>
        </w:rPr>
        <w:t xml:space="preserve"> </w:t>
      </w:r>
      <w:r>
        <w:t>was evident.</w:t>
      </w:r>
    </w:p>
    <w:p w:rsidR="008269D0" w:rsidRDefault="008269D0">
      <w:pPr>
        <w:sectPr w:rsidR="008269D0" w:rsidSect="003F0986">
          <w:pgSz w:w="11910" w:h="16840"/>
          <w:pgMar w:top="1260" w:right="1120" w:bottom="600" w:left="1180" w:header="113" w:footer="404" w:gutter="0"/>
          <w:cols w:space="720"/>
          <w:docGrid w:linePitch="299"/>
        </w:sectPr>
      </w:pPr>
    </w:p>
    <w:p w:rsidR="008269D0" w:rsidRDefault="00BE670B">
      <w:pPr>
        <w:pStyle w:val="Heading2"/>
        <w:spacing w:before="70"/>
      </w:pPr>
      <w:bookmarkStart w:id="53" w:name="Renal_impairment"/>
      <w:bookmarkEnd w:id="53"/>
      <w:r>
        <w:t>Renal</w:t>
      </w:r>
      <w:r>
        <w:rPr>
          <w:spacing w:val="-6"/>
        </w:rPr>
        <w:t xml:space="preserve"> </w:t>
      </w:r>
      <w:r>
        <w:t>impairment</w:t>
      </w:r>
    </w:p>
    <w:p w:rsidR="008269D0" w:rsidRDefault="00BE670B" w:rsidP="0047554E">
      <w:pPr>
        <w:pStyle w:val="BodyText"/>
        <w:spacing w:before="118" w:after="240"/>
        <w:ind w:right="125"/>
      </w:pPr>
      <w:r>
        <w:t>The effect of renal impairment on the clearance of mogamulizumab was evaluated by a</w:t>
      </w:r>
      <w:r>
        <w:rPr>
          <w:spacing w:val="1"/>
        </w:rPr>
        <w:t xml:space="preserve"> </w:t>
      </w:r>
      <w:r>
        <w:t>population PK analysis in patients with mild (creatinine clearance [CrCL] between 60 and 89; n=</w:t>
      </w:r>
      <w:r>
        <w:rPr>
          <w:spacing w:val="-57"/>
        </w:rPr>
        <w:t xml:space="preserve"> </w:t>
      </w:r>
      <w:r>
        <w:t>157), moderate (CrCL between 59 and 30; n= 80), or severe renal impairment (CrCL less than 30</w:t>
      </w:r>
      <w:r>
        <w:rPr>
          <w:spacing w:val="-57"/>
        </w:rPr>
        <w:t xml:space="preserve"> </w:t>
      </w:r>
      <w:r>
        <w:t>mL/min; n= 2). No clinically important differences in the clearance of mogamulizumab were</w:t>
      </w:r>
      <w:r>
        <w:rPr>
          <w:spacing w:val="1"/>
        </w:rPr>
        <w:t xml:space="preserve"> </w:t>
      </w:r>
      <w:r>
        <w:t>found between patients with mild to severe renal impairment and patients with normal renal</w:t>
      </w:r>
      <w:r>
        <w:rPr>
          <w:spacing w:val="1"/>
        </w:rPr>
        <w:t xml:space="preserve"> </w:t>
      </w:r>
      <w:r>
        <w:t>function.</w:t>
      </w:r>
    </w:p>
    <w:p w:rsidR="008269D0" w:rsidRDefault="00BE670B">
      <w:pPr>
        <w:pStyle w:val="Heading2"/>
      </w:pPr>
      <w:bookmarkStart w:id="54" w:name="Hepatic_impairment"/>
      <w:bookmarkEnd w:id="54"/>
      <w:r>
        <w:t>Hepatic</w:t>
      </w:r>
      <w:r>
        <w:rPr>
          <w:spacing w:val="-5"/>
        </w:rPr>
        <w:t xml:space="preserve"> </w:t>
      </w:r>
      <w:r>
        <w:t>impairment</w:t>
      </w:r>
    </w:p>
    <w:p w:rsidR="008269D0" w:rsidRDefault="00BE670B" w:rsidP="0047554E">
      <w:pPr>
        <w:pStyle w:val="BodyText"/>
        <w:spacing w:before="118" w:after="240"/>
        <w:ind w:right="148"/>
      </w:pPr>
      <w:r>
        <w:t>The effect of hepatic impairment on the clearance of mogamulizumab was evaluated by a</w:t>
      </w:r>
      <w:r>
        <w:rPr>
          <w:spacing w:val="1"/>
        </w:rPr>
        <w:t xml:space="preserve"> </w:t>
      </w:r>
      <w:r>
        <w:t>population PK analysis in patients with mild hepatic impairment (total bilirubin [TB] less than or</w:t>
      </w:r>
      <w:r>
        <w:rPr>
          <w:spacing w:val="-57"/>
        </w:rPr>
        <w:t xml:space="preserve"> </w:t>
      </w:r>
      <w:r>
        <w:t>equal to the upper limit of normal [ULN] and AST greater than ULN or TB less than 1 to 1.5</w:t>
      </w:r>
      <w:r>
        <w:rPr>
          <w:spacing w:val="1"/>
        </w:rPr>
        <w:t xml:space="preserve"> </w:t>
      </w:r>
      <w:r>
        <w:t>times ULN and any AST; n= 80) or moderate (TB greater than 1.5 to 3 times ULN and any AST;</w:t>
      </w:r>
      <w:r>
        <w:rPr>
          <w:spacing w:val="-57"/>
        </w:rPr>
        <w:t xml:space="preserve"> </w:t>
      </w:r>
      <w:r>
        <w:t>n=3)</w:t>
      </w:r>
      <w:r>
        <w:rPr>
          <w:spacing w:val="4"/>
        </w:rPr>
        <w:t xml:space="preserve"> </w:t>
      </w:r>
      <w:r>
        <w:t>hepatic</w:t>
      </w:r>
      <w:r>
        <w:rPr>
          <w:spacing w:val="4"/>
        </w:rPr>
        <w:t xml:space="preserve"> </w:t>
      </w:r>
      <w:r>
        <w:t>impairment.</w:t>
      </w:r>
      <w:r>
        <w:rPr>
          <w:spacing w:val="4"/>
        </w:rPr>
        <w:t xml:space="preserve"> </w:t>
      </w:r>
      <w:r>
        <w:t>No</w:t>
      </w:r>
      <w:r>
        <w:rPr>
          <w:spacing w:val="5"/>
        </w:rPr>
        <w:t xml:space="preserve"> </w:t>
      </w:r>
      <w:r>
        <w:t>clinically</w:t>
      </w:r>
      <w:r>
        <w:rPr>
          <w:spacing w:val="5"/>
        </w:rPr>
        <w:t xml:space="preserve"> </w:t>
      </w:r>
      <w:r>
        <w:t>important</w:t>
      </w:r>
      <w:r>
        <w:rPr>
          <w:spacing w:val="4"/>
        </w:rPr>
        <w:t xml:space="preserve"> </w:t>
      </w:r>
      <w:r>
        <w:t>differences</w:t>
      </w:r>
      <w:r>
        <w:rPr>
          <w:spacing w:val="5"/>
        </w:rPr>
        <w:t xml:space="preserve"> </w:t>
      </w:r>
      <w:r>
        <w:t>in</w:t>
      </w:r>
      <w:r>
        <w:rPr>
          <w:spacing w:val="5"/>
        </w:rPr>
        <w:t xml:space="preserve"> </w:t>
      </w:r>
      <w:r>
        <w:t>the</w:t>
      </w:r>
      <w:r>
        <w:rPr>
          <w:spacing w:val="4"/>
        </w:rPr>
        <w:t xml:space="preserve"> </w:t>
      </w:r>
      <w:r>
        <w:t>clearance</w:t>
      </w:r>
      <w:r>
        <w:rPr>
          <w:spacing w:val="5"/>
        </w:rPr>
        <w:t xml:space="preserve"> </w:t>
      </w:r>
      <w:r>
        <w:t>of</w:t>
      </w:r>
      <w:r>
        <w:rPr>
          <w:spacing w:val="1"/>
        </w:rPr>
        <w:t xml:space="preserve"> </w:t>
      </w:r>
      <w:r>
        <w:t>mogamulizumab were found between patients with mild to moderate hepatic impairment and</w:t>
      </w:r>
      <w:r>
        <w:rPr>
          <w:spacing w:val="1"/>
        </w:rPr>
        <w:t xml:space="preserve"> </w:t>
      </w:r>
      <w:r>
        <w:t>patients with normal hepatic function. Mogamulizumab has not been studied in patients with</w:t>
      </w:r>
      <w:r>
        <w:rPr>
          <w:spacing w:val="1"/>
        </w:rPr>
        <w:t xml:space="preserve"> </w:t>
      </w:r>
      <w:r>
        <w:t>severe</w:t>
      </w:r>
      <w:r>
        <w:rPr>
          <w:spacing w:val="-1"/>
        </w:rPr>
        <w:t xml:space="preserve"> </w:t>
      </w:r>
      <w:r>
        <w:t>hepatic impairment</w:t>
      </w:r>
      <w:r>
        <w:rPr>
          <w:spacing w:val="-1"/>
        </w:rPr>
        <w:t xml:space="preserve"> </w:t>
      </w:r>
      <w:r>
        <w:t>(TB</w:t>
      </w:r>
      <w:r>
        <w:rPr>
          <w:spacing w:val="-1"/>
        </w:rPr>
        <w:t xml:space="preserve"> </w:t>
      </w:r>
      <w:r>
        <w:t>greater than</w:t>
      </w:r>
      <w:r>
        <w:rPr>
          <w:spacing w:val="-1"/>
        </w:rPr>
        <w:t xml:space="preserve"> </w:t>
      </w:r>
      <w:r>
        <w:t>3</w:t>
      </w:r>
      <w:r>
        <w:rPr>
          <w:spacing w:val="-2"/>
        </w:rPr>
        <w:t xml:space="preserve"> </w:t>
      </w:r>
      <w:r>
        <w:t>times ULN</w:t>
      </w:r>
      <w:r>
        <w:rPr>
          <w:spacing w:val="-2"/>
        </w:rPr>
        <w:t xml:space="preserve"> </w:t>
      </w:r>
      <w:r>
        <w:t>and any</w:t>
      </w:r>
      <w:r>
        <w:rPr>
          <w:spacing w:val="-1"/>
        </w:rPr>
        <w:t xml:space="preserve"> </w:t>
      </w:r>
      <w:r>
        <w:t>AST).</w:t>
      </w:r>
    </w:p>
    <w:p w:rsidR="008269D0" w:rsidRDefault="00BE670B">
      <w:pPr>
        <w:pStyle w:val="Heading2"/>
      </w:pPr>
      <w:bookmarkStart w:id="55" w:name="Other_special_populations"/>
      <w:bookmarkEnd w:id="55"/>
      <w:r>
        <w:t>Other</w:t>
      </w:r>
      <w:r>
        <w:rPr>
          <w:spacing w:val="-6"/>
        </w:rPr>
        <w:t xml:space="preserve"> </w:t>
      </w:r>
      <w:r>
        <w:t>special</w:t>
      </w:r>
      <w:r>
        <w:rPr>
          <w:spacing w:val="-6"/>
        </w:rPr>
        <w:t xml:space="preserve"> </w:t>
      </w:r>
      <w:r>
        <w:t>populations</w:t>
      </w:r>
    </w:p>
    <w:p w:rsidR="008269D0" w:rsidRDefault="00BE670B" w:rsidP="0047554E">
      <w:pPr>
        <w:pStyle w:val="BodyText"/>
        <w:spacing w:before="118" w:after="240"/>
        <w:ind w:right="142"/>
      </w:pPr>
      <w:r>
        <w:t>The effects of various covariates on the PK s of mogamulizumab were assessed in population PK</w:t>
      </w:r>
      <w:r>
        <w:rPr>
          <w:spacing w:val="-57"/>
        </w:rPr>
        <w:t xml:space="preserve"> </w:t>
      </w:r>
      <w:r>
        <w:t>analyses. The following factors had no clinically important effect on the CL of mogamulizumab:</w:t>
      </w:r>
      <w:r>
        <w:rPr>
          <w:spacing w:val="-57"/>
        </w:rPr>
        <w:t xml:space="preserve"> </w:t>
      </w:r>
      <w:r>
        <w:t>age (range: 22 to 101 years), sex, ethnicity (other than Japanese, limited data are available in</w:t>
      </w:r>
      <w:r>
        <w:rPr>
          <w:spacing w:val="1"/>
        </w:rPr>
        <w:t xml:space="preserve"> </w:t>
      </w:r>
      <w:r>
        <w:t>other ethnic populations), renal impairment, mild or moderate hepatic impairment, disease</w:t>
      </w:r>
      <w:r>
        <w:rPr>
          <w:spacing w:val="1"/>
        </w:rPr>
        <w:t xml:space="preserve"> </w:t>
      </w:r>
      <w:r>
        <w:t>subtype (mycosis fungoides (MF) or Sézary Syndrome (SS)), degree of CCR4 expression or</w:t>
      </w:r>
      <w:r>
        <w:rPr>
          <w:spacing w:val="1"/>
        </w:rPr>
        <w:t xml:space="preserve"> </w:t>
      </w:r>
      <w:r>
        <w:t>ECOG status,</w:t>
      </w:r>
      <w:r>
        <w:rPr>
          <w:spacing w:val="2"/>
        </w:rPr>
        <w:t xml:space="preserve"> </w:t>
      </w:r>
      <w:r>
        <w:t>although it</w:t>
      </w:r>
      <w:r>
        <w:rPr>
          <w:spacing w:val="2"/>
        </w:rPr>
        <w:t xml:space="preserve"> </w:t>
      </w:r>
      <w:r>
        <w:t>should</w:t>
      </w:r>
      <w:r>
        <w:rPr>
          <w:spacing w:val="1"/>
        </w:rPr>
        <w:t xml:space="preserve"> </w:t>
      </w:r>
      <w:r>
        <w:t>be</w:t>
      </w:r>
      <w:r>
        <w:rPr>
          <w:spacing w:val="1"/>
        </w:rPr>
        <w:t xml:space="preserve"> </w:t>
      </w:r>
      <w:r>
        <w:t>noted</w:t>
      </w:r>
      <w:r>
        <w:rPr>
          <w:spacing w:val="2"/>
        </w:rPr>
        <w:t xml:space="preserve"> </w:t>
      </w:r>
      <w:r>
        <w:t>that</w:t>
      </w:r>
      <w:r>
        <w:rPr>
          <w:spacing w:val="2"/>
        </w:rPr>
        <w:t xml:space="preserve"> </w:t>
      </w:r>
      <w:r>
        <w:t>patients</w:t>
      </w:r>
      <w:r>
        <w:rPr>
          <w:spacing w:val="1"/>
        </w:rPr>
        <w:t xml:space="preserve"> </w:t>
      </w:r>
      <w:r>
        <w:t>with ECOG</w:t>
      </w:r>
      <w:r>
        <w:rPr>
          <w:spacing w:val="2"/>
        </w:rPr>
        <w:t xml:space="preserve"> </w:t>
      </w:r>
      <w:r>
        <w:t>PS</w:t>
      </w:r>
      <w:r>
        <w:rPr>
          <w:spacing w:val="1"/>
        </w:rPr>
        <w:t xml:space="preserve"> </w:t>
      </w:r>
      <w:r>
        <w:t>≥2</w:t>
      </w:r>
      <w:r>
        <w:rPr>
          <w:spacing w:val="2"/>
        </w:rPr>
        <w:t xml:space="preserve"> </w:t>
      </w:r>
      <w:r>
        <w:t>were</w:t>
      </w:r>
      <w:r>
        <w:rPr>
          <w:spacing w:val="1"/>
        </w:rPr>
        <w:t xml:space="preserve"> </w:t>
      </w:r>
      <w:r>
        <w:t>excluded</w:t>
      </w:r>
      <w:r>
        <w:rPr>
          <w:spacing w:val="2"/>
        </w:rPr>
        <w:t xml:space="preserve"> </w:t>
      </w:r>
      <w:r>
        <w:t>from</w:t>
      </w:r>
      <w:r>
        <w:rPr>
          <w:spacing w:val="1"/>
        </w:rPr>
        <w:t xml:space="preserve"> </w:t>
      </w:r>
      <w:r>
        <w:t>the</w:t>
      </w:r>
      <w:r>
        <w:rPr>
          <w:spacing w:val="-1"/>
        </w:rPr>
        <w:t xml:space="preserve"> </w:t>
      </w:r>
      <w:r>
        <w:t>clinical</w:t>
      </w:r>
      <w:r>
        <w:rPr>
          <w:spacing w:val="-1"/>
        </w:rPr>
        <w:t xml:space="preserve"> </w:t>
      </w:r>
      <w:r>
        <w:t>trials.</w:t>
      </w:r>
    </w:p>
    <w:p w:rsidR="008269D0" w:rsidRDefault="00BE670B">
      <w:pPr>
        <w:pStyle w:val="Heading2"/>
        <w:spacing w:before="1"/>
      </w:pPr>
      <w:bookmarkStart w:id="56" w:name="Pharmacokinetic/pharmacodynamic_relation"/>
      <w:bookmarkEnd w:id="56"/>
      <w:r>
        <w:rPr>
          <w:spacing w:val="-1"/>
        </w:rPr>
        <w:t>Pharmacokinetic/pharmacodynamic</w:t>
      </w:r>
      <w:r>
        <w:rPr>
          <w:spacing w:val="10"/>
        </w:rPr>
        <w:t xml:space="preserve"> </w:t>
      </w:r>
      <w:r>
        <w:t>relationship(s)</w:t>
      </w:r>
    </w:p>
    <w:p w:rsidR="008269D0" w:rsidRDefault="00BE670B">
      <w:pPr>
        <w:spacing w:before="117"/>
        <w:ind w:left="118"/>
        <w:rPr>
          <w:i/>
          <w:sz w:val="24"/>
        </w:rPr>
      </w:pPr>
      <w:r>
        <w:rPr>
          <w:i/>
          <w:sz w:val="24"/>
          <w:u w:val="single"/>
        </w:rPr>
        <w:t>Efficacy</w:t>
      </w:r>
    </w:p>
    <w:p w:rsidR="008269D0" w:rsidRDefault="00BE670B" w:rsidP="0047554E">
      <w:pPr>
        <w:pStyle w:val="BodyText"/>
        <w:spacing w:before="119" w:after="240"/>
        <w:ind w:right="561"/>
      </w:pPr>
      <w:r>
        <w:t>Exposure-Response analysis indicated that efficacy was not correlated with mogamulizumab</w:t>
      </w:r>
      <w:r>
        <w:rPr>
          <w:spacing w:val="-57"/>
        </w:rPr>
        <w:t xml:space="preserve"> </w:t>
      </w:r>
      <w:r>
        <w:t>exposure in the pivotal study. Efficacy, as measured by improvement in PFS based on</w:t>
      </w:r>
      <w:r>
        <w:rPr>
          <w:spacing w:val="1"/>
        </w:rPr>
        <w:t xml:space="preserve"> </w:t>
      </w:r>
      <w:r>
        <w:t>investigator</w:t>
      </w:r>
      <w:r>
        <w:rPr>
          <w:spacing w:val="-2"/>
        </w:rPr>
        <w:t xml:space="preserve"> </w:t>
      </w:r>
      <w:r>
        <w:t>assessment,</w:t>
      </w:r>
      <w:r>
        <w:rPr>
          <w:spacing w:val="-1"/>
        </w:rPr>
        <w:t xml:space="preserve"> </w:t>
      </w:r>
      <w:r>
        <w:t>was</w:t>
      </w:r>
      <w:r>
        <w:rPr>
          <w:spacing w:val="-1"/>
        </w:rPr>
        <w:t xml:space="preserve"> </w:t>
      </w:r>
      <w:r>
        <w:t>not</w:t>
      </w:r>
      <w:r>
        <w:rPr>
          <w:spacing w:val="-1"/>
        </w:rPr>
        <w:t xml:space="preserve"> </w:t>
      </w:r>
      <w:r>
        <w:t>associated</w:t>
      </w:r>
      <w:r>
        <w:rPr>
          <w:spacing w:val="-1"/>
        </w:rPr>
        <w:t xml:space="preserve"> </w:t>
      </w:r>
      <w:r>
        <w:t>with</w:t>
      </w:r>
      <w:r>
        <w:rPr>
          <w:spacing w:val="-1"/>
        </w:rPr>
        <w:t xml:space="preserve"> </w:t>
      </w:r>
      <w:r>
        <w:t>increasing</w:t>
      </w:r>
      <w:r>
        <w:rPr>
          <w:spacing w:val="-1"/>
        </w:rPr>
        <w:t xml:space="preserve"> </w:t>
      </w:r>
      <w:r>
        <w:t>mogamulizumab</w:t>
      </w:r>
      <w:r>
        <w:rPr>
          <w:spacing w:val="-1"/>
        </w:rPr>
        <w:t xml:space="preserve"> </w:t>
      </w:r>
      <w:r>
        <w:t>exposure.</w:t>
      </w:r>
    </w:p>
    <w:p w:rsidR="008269D0" w:rsidRDefault="003F0986" w:rsidP="003F0986">
      <w:pPr>
        <w:pStyle w:val="Heading2"/>
        <w:spacing w:before="90" w:after="240"/>
      </w:pPr>
      <w:bookmarkStart w:id="57" w:name="5.3_PRECLINICAL_SAFETY_DATA"/>
      <w:bookmarkEnd w:id="57"/>
      <w:r>
        <w:rPr>
          <w:noProof/>
          <w:lang w:val="en-AU" w:eastAsia="en-AU"/>
        </w:rPr>
        <w:t>5.3</w:t>
      </w:r>
      <w:r>
        <w:rPr>
          <w:noProof/>
          <w:lang w:val="en-AU" w:eastAsia="en-AU"/>
        </w:rPr>
        <w:tab/>
      </w:r>
      <w:r w:rsidR="00BE670B">
        <w:t>PRECLINICAL</w:t>
      </w:r>
      <w:r w:rsidR="00BE670B">
        <w:rPr>
          <w:spacing w:val="-7"/>
        </w:rPr>
        <w:t xml:space="preserve"> </w:t>
      </w:r>
      <w:r w:rsidR="00BE670B">
        <w:t>SAFETY</w:t>
      </w:r>
      <w:r w:rsidR="00BE670B">
        <w:rPr>
          <w:spacing w:val="-7"/>
        </w:rPr>
        <w:t xml:space="preserve"> </w:t>
      </w:r>
      <w:r w:rsidR="00BE670B">
        <w:t>DATA</w:t>
      </w:r>
    </w:p>
    <w:p w:rsidR="008269D0" w:rsidRDefault="00BE670B" w:rsidP="0047554E">
      <w:pPr>
        <w:spacing w:after="240"/>
        <w:ind w:left="118"/>
        <w:rPr>
          <w:b/>
          <w:sz w:val="24"/>
        </w:rPr>
      </w:pPr>
      <w:bookmarkStart w:id="58" w:name="Genotoxicity"/>
      <w:bookmarkEnd w:id="58"/>
      <w:r>
        <w:rPr>
          <w:b/>
          <w:sz w:val="24"/>
        </w:rPr>
        <w:t>Genotoxicity</w:t>
      </w:r>
    </w:p>
    <w:p w:rsidR="008269D0" w:rsidRDefault="00BE670B" w:rsidP="0047554E">
      <w:pPr>
        <w:pStyle w:val="BodyText"/>
        <w:spacing w:before="118" w:after="240"/>
      </w:pPr>
      <w:r>
        <w:t>No</w:t>
      </w:r>
      <w:r>
        <w:rPr>
          <w:spacing w:val="-2"/>
        </w:rPr>
        <w:t xml:space="preserve"> </w:t>
      </w:r>
      <w:r>
        <w:t>studies</w:t>
      </w:r>
      <w:r>
        <w:rPr>
          <w:spacing w:val="-1"/>
        </w:rPr>
        <w:t xml:space="preserve"> </w:t>
      </w:r>
      <w:r>
        <w:t>have</w:t>
      </w:r>
      <w:r>
        <w:rPr>
          <w:spacing w:val="-1"/>
        </w:rPr>
        <w:t xml:space="preserve"> </w:t>
      </w:r>
      <w:r>
        <w:t>been</w:t>
      </w:r>
      <w:r>
        <w:rPr>
          <w:spacing w:val="-1"/>
        </w:rPr>
        <w:t xml:space="preserve"> </w:t>
      </w:r>
      <w:r>
        <w:t>conducted</w:t>
      </w:r>
      <w:r>
        <w:rPr>
          <w:spacing w:val="-1"/>
        </w:rPr>
        <w:t xml:space="preserve"> </w:t>
      </w:r>
      <w:r>
        <w:t>to</w:t>
      </w:r>
      <w:r>
        <w:rPr>
          <w:spacing w:val="-3"/>
        </w:rPr>
        <w:t xml:space="preserve"> </w:t>
      </w:r>
      <w:r>
        <w:t>assess</w:t>
      </w:r>
      <w:r>
        <w:rPr>
          <w:spacing w:val="-1"/>
        </w:rPr>
        <w:t xml:space="preserve"> </w:t>
      </w:r>
      <w:r>
        <w:t>the</w:t>
      </w:r>
      <w:r>
        <w:rPr>
          <w:spacing w:val="-1"/>
        </w:rPr>
        <w:t xml:space="preserve"> </w:t>
      </w:r>
      <w:r>
        <w:t>genotoxic</w:t>
      </w:r>
      <w:r>
        <w:rPr>
          <w:spacing w:val="-1"/>
        </w:rPr>
        <w:t xml:space="preserve"> </w:t>
      </w:r>
      <w:r>
        <w:t>potential</w:t>
      </w:r>
      <w:r>
        <w:rPr>
          <w:spacing w:val="-1"/>
        </w:rPr>
        <w:t xml:space="preserve"> </w:t>
      </w:r>
      <w:r>
        <w:t>of</w:t>
      </w:r>
      <w:r>
        <w:rPr>
          <w:spacing w:val="-1"/>
        </w:rPr>
        <w:t xml:space="preserve"> </w:t>
      </w:r>
      <w:r>
        <w:t>mogamulizumab.</w:t>
      </w:r>
    </w:p>
    <w:p w:rsidR="008269D0" w:rsidRDefault="00BE670B" w:rsidP="0047554E">
      <w:pPr>
        <w:pStyle w:val="BodyText"/>
        <w:spacing w:before="120" w:after="240"/>
        <w:ind w:right="681"/>
      </w:pPr>
      <w:r>
        <w:t>As a large protein molecule, mogamulizumab is not expected to interact with DNA or other</w:t>
      </w:r>
      <w:r>
        <w:rPr>
          <w:spacing w:val="-57"/>
        </w:rPr>
        <w:t xml:space="preserve"> </w:t>
      </w:r>
      <w:r>
        <w:t>chromosomal</w:t>
      </w:r>
      <w:r>
        <w:rPr>
          <w:spacing w:val="-1"/>
        </w:rPr>
        <w:t xml:space="preserve"> </w:t>
      </w:r>
      <w:r>
        <w:t>material.</w:t>
      </w:r>
    </w:p>
    <w:p w:rsidR="008269D0" w:rsidRDefault="00BE670B" w:rsidP="0047554E">
      <w:pPr>
        <w:pStyle w:val="Heading2"/>
        <w:spacing w:after="240"/>
      </w:pPr>
      <w:bookmarkStart w:id="59" w:name="Carcinogenicity"/>
      <w:bookmarkEnd w:id="59"/>
      <w:r>
        <w:t>Carcinogenicity</w:t>
      </w:r>
    </w:p>
    <w:p w:rsidR="008269D0" w:rsidRDefault="00BE670B" w:rsidP="0047554E">
      <w:pPr>
        <w:pStyle w:val="BodyText"/>
        <w:spacing w:after="240"/>
      </w:pPr>
      <w:r>
        <w:t>No</w:t>
      </w:r>
      <w:r>
        <w:rPr>
          <w:spacing w:val="-2"/>
        </w:rPr>
        <w:t xml:space="preserve"> </w:t>
      </w:r>
      <w:r>
        <w:t>studies</w:t>
      </w:r>
      <w:r>
        <w:rPr>
          <w:spacing w:val="-1"/>
        </w:rPr>
        <w:t xml:space="preserve"> </w:t>
      </w:r>
      <w:r>
        <w:t>have</w:t>
      </w:r>
      <w:r>
        <w:rPr>
          <w:spacing w:val="-1"/>
        </w:rPr>
        <w:t xml:space="preserve"> </w:t>
      </w:r>
      <w:r>
        <w:t>been</w:t>
      </w:r>
      <w:r>
        <w:rPr>
          <w:spacing w:val="-1"/>
        </w:rPr>
        <w:t xml:space="preserve"> </w:t>
      </w:r>
      <w:r>
        <w:t>conducted</w:t>
      </w:r>
      <w:r>
        <w:rPr>
          <w:spacing w:val="-1"/>
        </w:rPr>
        <w:t xml:space="preserve"> </w:t>
      </w:r>
      <w:r>
        <w:t>to</w:t>
      </w:r>
      <w:r>
        <w:rPr>
          <w:spacing w:val="-3"/>
        </w:rPr>
        <w:t xml:space="preserve"> </w:t>
      </w:r>
      <w:r>
        <w:t>assess</w:t>
      </w:r>
      <w:r>
        <w:rPr>
          <w:spacing w:val="-1"/>
        </w:rPr>
        <w:t xml:space="preserve"> </w:t>
      </w:r>
      <w:r>
        <w:t>the</w:t>
      </w:r>
      <w:r>
        <w:rPr>
          <w:spacing w:val="-2"/>
        </w:rPr>
        <w:t xml:space="preserve"> </w:t>
      </w:r>
      <w:r>
        <w:t>carcinogenic</w:t>
      </w:r>
      <w:r>
        <w:rPr>
          <w:spacing w:val="-1"/>
        </w:rPr>
        <w:t xml:space="preserve"> </w:t>
      </w:r>
      <w:r>
        <w:t>potential</w:t>
      </w:r>
      <w:r>
        <w:rPr>
          <w:spacing w:val="-1"/>
        </w:rPr>
        <w:t xml:space="preserve"> </w:t>
      </w:r>
      <w:r>
        <w:t>of</w:t>
      </w:r>
      <w:r>
        <w:rPr>
          <w:spacing w:val="-2"/>
        </w:rPr>
        <w:t xml:space="preserve"> </w:t>
      </w:r>
      <w:r>
        <w:t>mogamulizumab.</w:t>
      </w:r>
    </w:p>
    <w:p w:rsidR="008269D0" w:rsidRDefault="008269D0">
      <w:pPr>
        <w:sectPr w:rsidR="008269D0" w:rsidSect="003F0986">
          <w:pgSz w:w="11910" w:h="16840"/>
          <w:pgMar w:top="900" w:right="1120" w:bottom="600" w:left="1180" w:header="113" w:footer="404" w:gutter="0"/>
          <w:cols w:space="720"/>
          <w:docGrid w:linePitch="299"/>
        </w:sectPr>
      </w:pPr>
    </w:p>
    <w:p w:rsidR="008269D0" w:rsidRDefault="00BE670B" w:rsidP="00556E9E">
      <w:pPr>
        <w:pStyle w:val="Heading1"/>
        <w:numPr>
          <w:ilvl w:val="0"/>
          <w:numId w:val="2"/>
        </w:numPr>
        <w:tabs>
          <w:tab w:val="left" w:pos="685"/>
          <w:tab w:val="left" w:pos="686"/>
        </w:tabs>
        <w:spacing w:before="70" w:after="240"/>
      </w:pPr>
      <w:bookmarkStart w:id="60" w:name="6._PHARMACEUTICAL_PARTICULARS"/>
      <w:bookmarkStart w:id="61" w:name="_bookmark4"/>
      <w:bookmarkStart w:id="62" w:name="_bookmark5"/>
      <w:bookmarkEnd w:id="60"/>
      <w:bookmarkEnd w:id="61"/>
      <w:bookmarkEnd w:id="62"/>
      <w:r>
        <w:t>PHARMACEUTICAL</w:t>
      </w:r>
      <w:r>
        <w:rPr>
          <w:spacing w:val="-17"/>
        </w:rPr>
        <w:t xml:space="preserve"> </w:t>
      </w:r>
      <w:r>
        <w:t>PARTICULARS</w:t>
      </w:r>
    </w:p>
    <w:p w:rsidR="008269D0" w:rsidRDefault="003F0986" w:rsidP="003F0986">
      <w:pPr>
        <w:pStyle w:val="Heading2"/>
        <w:spacing w:before="90" w:after="240"/>
      </w:pPr>
      <w:bookmarkStart w:id="63" w:name="6.1_LIST_OF_EXCIPIENTS"/>
      <w:bookmarkEnd w:id="63"/>
      <w:r>
        <w:rPr>
          <w:noProof/>
          <w:lang w:val="en-AU" w:eastAsia="en-AU"/>
        </w:rPr>
        <w:t>6.1</w:t>
      </w:r>
      <w:r>
        <w:rPr>
          <w:noProof/>
          <w:lang w:val="en-AU" w:eastAsia="en-AU"/>
        </w:rPr>
        <w:tab/>
      </w:r>
      <w:r w:rsidR="00BE670B">
        <w:t>LIST</w:t>
      </w:r>
      <w:r w:rsidR="00BE670B">
        <w:rPr>
          <w:spacing w:val="-4"/>
        </w:rPr>
        <w:t xml:space="preserve"> </w:t>
      </w:r>
      <w:r w:rsidR="00BE670B">
        <w:t>OF</w:t>
      </w:r>
      <w:r w:rsidR="00BE670B">
        <w:rPr>
          <w:spacing w:val="-4"/>
        </w:rPr>
        <w:t xml:space="preserve"> </w:t>
      </w:r>
      <w:r w:rsidR="00BE670B">
        <w:t>EXCIPIENTS</w:t>
      </w:r>
    </w:p>
    <w:p w:rsidR="008269D0" w:rsidRDefault="00BE670B">
      <w:pPr>
        <w:pStyle w:val="BodyText"/>
        <w:spacing w:line="343" w:lineRule="auto"/>
        <w:ind w:right="7147"/>
        <w:jc w:val="both"/>
      </w:pPr>
      <w:r>
        <w:t>Citric acid monohydrate</w:t>
      </w:r>
      <w:r>
        <w:rPr>
          <w:spacing w:val="-57"/>
        </w:rPr>
        <w:t xml:space="preserve"> </w:t>
      </w:r>
      <w:r>
        <w:t>Glycine</w:t>
      </w:r>
    </w:p>
    <w:p w:rsidR="008269D0" w:rsidRDefault="00BE670B">
      <w:pPr>
        <w:pStyle w:val="BodyText"/>
        <w:spacing w:before="3"/>
        <w:jc w:val="both"/>
      </w:pPr>
      <w:r>
        <w:t>Polysorbate</w:t>
      </w:r>
      <w:r>
        <w:rPr>
          <w:spacing w:val="-2"/>
        </w:rPr>
        <w:t xml:space="preserve"> </w:t>
      </w:r>
      <w:r>
        <w:t>80</w:t>
      </w:r>
    </w:p>
    <w:p w:rsidR="008269D0" w:rsidRDefault="00BE670B">
      <w:pPr>
        <w:pStyle w:val="BodyText"/>
        <w:spacing w:before="120" w:line="343" w:lineRule="auto"/>
        <w:ind w:right="5734"/>
        <w:jc w:val="both"/>
      </w:pPr>
      <w:r>
        <w:t>Sodium hydroxide (for pH adjustment)</w:t>
      </w:r>
      <w:r>
        <w:rPr>
          <w:spacing w:val="-57"/>
        </w:rPr>
        <w:t xml:space="preserve"> </w:t>
      </w:r>
      <w:r>
        <w:t>Hydrochloric acid (for pH adjustment)</w:t>
      </w:r>
      <w:r>
        <w:rPr>
          <w:spacing w:val="-57"/>
        </w:rPr>
        <w:t xml:space="preserve"> </w:t>
      </w:r>
      <w:r>
        <w:t>Water</w:t>
      </w:r>
      <w:r>
        <w:rPr>
          <w:spacing w:val="-1"/>
        </w:rPr>
        <w:t xml:space="preserve"> </w:t>
      </w:r>
      <w:r>
        <w:t>for injections</w:t>
      </w:r>
    </w:p>
    <w:p w:rsidR="008269D0" w:rsidRDefault="00BE670B" w:rsidP="00464764">
      <w:pPr>
        <w:pStyle w:val="BodyText"/>
        <w:spacing w:before="4" w:after="240"/>
        <w:ind w:right="667"/>
        <w:jc w:val="both"/>
      </w:pPr>
      <w:r>
        <w:t>This medicinal product contains less than 1 mmol sodium per dose, that is to say essentially</w:t>
      </w:r>
      <w:r>
        <w:rPr>
          <w:spacing w:val="-57"/>
        </w:rPr>
        <w:t xml:space="preserve"> </w:t>
      </w:r>
      <w:r>
        <w:t>‘sodium</w:t>
      </w:r>
      <w:r>
        <w:rPr>
          <w:spacing w:val="-2"/>
        </w:rPr>
        <w:t xml:space="preserve"> </w:t>
      </w:r>
      <w:r>
        <w:t>free’.</w:t>
      </w:r>
    </w:p>
    <w:p w:rsidR="008269D0" w:rsidRDefault="003F0986" w:rsidP="003F0986">
      <w:pPr>
        <w:pStyle w:val="Heading2"/>
        <w:spacing w:before="90" w:after="240"/>
      </w:pPr>
      <w:bookmarkStart w:id="64" w:name="6.2_INCOMPATIBILITIES"/>
      <w:bookmarkEnd w:id="64"/>
      <w:r>
        <w:rPr>
          <w:noProof/>
          <w:lang w:val="en-AU" w:eastAsia="en-AU"/>
        </w:rPr>
        <w:t>6.2</w:t>
      </w:r>
      <w:r>
        <w:rPr>
          <w:noProof/>
          <w:lang w:val="en-AU" w:eastAsia="en-AU"/>
        </w:rPr>
        <w:tab/>
      </w:r>
      <w:r w:rsidR="00BE670B">
        <w:t>INCOMPATIBILITIES</w:t>
      </w:r>
    </w:p>
    <w:p w:rsidR="008269D0" w:rsidRDefault="00BE670B" w:rsidP="00464764">
      <w:pPr>
        <w:pStyle w:val="BodyText"/>
        <w:spacing w:before="1" w:after="240"/>
        <w:ind w:right="627"/>
      </w:pPr>
      <w:r>
        <w:t>In the absence of compatibility studies, this medicinal product must not be mixed with other</w:t>
      </w:r>
      <w:r>
        <w:rPr>
          <w:spacing w:val="-57"/>
        </w:rPr>
        <w:t xml:space="preserve"> </w:t>
      </w:r>
      <w:r>
        <w:t>medicinal products. Mogamulizumab should not be infused concomitantly in the same</w:t>
      </w:r>
      <w:r>
        <w:rPr>
          <w:spacing w:val="1"/>
        </w:rPr>
        <w:t xml:space="preserve"> </w:t>
      </w:r>
      <w:r>
        <w:t>intravenous</w:t>
      </w:r>
      <w:r>
        <w:rPr>
          <w:spacing w:val="-2"/>
        </w:rPr>
        <w:t xml:space="preserve"> </w:t>
      </w:r>
      <w:r>
        <w:t>line with other medicinal</w:t>
      </w:r>
      <w:r>
        <w:rPr>
          <w:spacing w:val="-1"/>
        </w:rPr>
        <w:t xml:space="preserve"> </w:t>
      </w:r>
      <w:r>
        <w:t>products.</w:t>
      </w:r>
    </w:p>
    <w:p w:rsidR="008269D0" w:rsidRDefault="003F0986" w:rsidP="003F0986">
      <w:pPr>
        <w:pStyle w:val="Heading2"/>
        <w:spacing w:before="90" w:after="240"/>
      </w:pPr>
      <w:bookmarkStart w:id="65" w:name="6.3_SHELF_LIFE"/>
      <w:bookmarkEnd w:id="65"/>
      <w:r>
        <w:rPr>
          <w:noProof/>
          <w:lang w:val="en-AU" w:eastAsia="en-AU"/>
        </w:rPr>
        <w:t>6.3</w:t>
      </w:r>
      <w:r>
        <w:rPr>
          <w:noProof/>
          <w:lang w:val="en-AU" w:eastAsia="en-AU"/>
        </w:rPr>
        <w:tab/>
      </w:r>
      <w:r w:rsidR="00BE670B">
        <w:t>SHELF</w:t>
      </w:r>
      <w:r w:rsidR="00BE670B">
        <w:rPr>
          <w:spacing w:val="-5"/>
        </w:rPr>
        <w:t xml:space="preserve"> </w:t>
      </w:r>
      <w:r w:rsidR="00BE670B">
        <w:t>LIFE</w:t>
      </w:r>
    </w:p>
    <w:p w:rsidR="008269D0" w:rsidRDefault="00BE670B" w:rsidP="00464764">
      <w:pPr>
        <w:spacing w:before="1" w:after="240"/>
        <w:ind w:left="118"/>
        <w:rPr>
          <w:b/>
          <w:sz w:val="24"/>
        </w:rPr>
      </w:pPr>
      <w:bookmarkStart w:id="66" w:name="Unopened_vial"/>
      <w:bookmarkEnd w:id="66"/>
      <w:r>
        <w:rPr>
          <w:b/>
          <w:sz w:val="24"/>
        </w:rPr>
        <w:t>Unopened</w:t>
      </w:r>
      <w:r>
        <w:rPr>
          <w:b/>
          <w:spacing w:val="-5"/>
          <w:sz w:val="24"/>
        </w:rPr>
        <w:t xml:space="preserve"> </w:t>
      </w:r>
      <w:r>
        <w:rPr>
          <w:b/>
          <w:sz w:val="24"/>
        </w:rPr>
        <w:t>vial</w:t>
      </w:r>
    </w:p>
    <w:p w:rsidR="008269D0" w:rsidRDefault="00BE670B" w:rsidP="00464764">
      <w:pPr>
        <w:pStyle w:val="BodyText"/>
        <w:spacing w:before="117" w:after="240"/>
      </w:pPr>
      <w:r>
        <w:t>3 years</w:t>
      </w:r>
    </w:p>
    <w:p w:rsidR="008269D0" w:rsidRDefault="00BE670B" w:rsidP="00464764">
      <w:pPr>
        <w:pStyle w:val="Heading2"/>
        <w:spacing w:after="240"/>
      </w:pPr>
      <w:bookmarkStart w:id="67" w:name="After_opening"/>
      <w:bookmarkEnd w:id="67"/>
      <w:r>
        <w:t>After</w:t>
      </w:r>
      <w:r>
        <w:rPr>
          <w:spacing w:val="-6"/>
        </w:rPr>
        <w:t xml:space="preserve"> </w:t>
      </w:r>
      <w:r>
        <w:t>opening</w:t>
      </w:r>
    </w:p>
    <w:p w:rsidR="008269D0" w:rsidRDefault="00BE670B" w:rsidP="00464764">
      <w:pPr>
        <w:pStyle w:val="BodyText"/>
        <w:spacing w:before="118" w:after="240"/>
        <w:ind w:right="541"/>
      </w:pPr>
      <w:r>
        <w:t>POTELIGEO does not contain a preservative. Once opened, the medicinal product should be</w:t>
      </w:r>
      <w:r>
        <w:rPr>
          <w:spacing w:val="-57"/>
        </w:rPr>
        <w:t xml:space="preserve"> </w:t>
      </w:r>
      <w:r>
        <w:t>diluted</w:t>
      </w:r>
      <w:r>
        <w:rPr>
          <w:spacing w:val="-1"/>
        </w:rPr>
        <w:t xml:space="preserve"> </w:t>
      </w:r>
      <w:r>
        <w:t>and infused immediately (see</w:t>
      </w:r>
      <w:r>
        <w:rPr>
          <w:spacing w:val="-1"/>
        </w:rPr>
        <w:t xml:space="preserve"> </w:t>
      </w:r>
      <w:hyperlink w:anchor="_bookmark0" w:history="1">
        <w:r>
          <w:rPr>
            <w:color w:val="0000FF"/>
          </w:rPr>
          <w:t>section 4.2</w:t>
        </w:r>
      </w:hyperlink>
      <w:r>
        <w:t>).</w:t>
      </w:r>
    </w:p>
    <w:p w:rsidR="008269D0" w:rsidRDefault="00BE670B">
      <w:pPr>
        <w:pStyle w:val="Heading2"/>
      </w:pPr>
      <w:bookmarkStart w:id="68" w:name="After_preparation_of_infusion"/>
      <w:bookmarkEnd w:id="68"/>
      <w:r>
        <w:t>After</w:t>
      </w:r>
      <w:r>
        <w:rPr>
          <w:spacing w:val="-3"/>
        </w:rPr>
        <w:t xml:space="preserve"> </w:t>
      </w:r>
      <w:r>
        <w:t>preparation</w:t>
      </w:r>
      <w:r>
        <w:rPr>
          <w:spacing w:val="-4"/>
        </w:rPr>
        <w:t xml:space="preserve"> </w:t>
      </w:r>
      <w:r>
        <w:t>of</w:t>
      </w:r>
      <w:r>
        <w:rPr>
          <w:spacing w:val="-3"/>
        </w:rPr>
        <w:t xml:space="preserve"> </w:t>
      </w:r>
      <w:r>
        <w:t>infusion</w:t>
      </w:r>
    </w:p>
    <w:p w:rsidR="008269D0" w:rsidRDefault="00BE670B">
      <w:pPr>
        <w:pStyle w:val="BodyText"/>
        <w:spacing w:before="117"/>
        <w:ind w:right="134"/>
      </w:pPr>
      <w:r>
        <w:t>Chemical and physical in-use stability has been demonstrated for 24 hours at room temperature</w:t>
      </w:r>
      <w:r>
        <w:rPr>
          <w:spacing w:val="1"/>
        </w:rPr>
        <w:t xml:space="preserve"> </w:t>
      </w:r>
      <w:r>
        <w:t>(at 25°C) under ambient room light. These time limits include storage of the infusion solution in</w:t>
      </w:r>
      <w:r>
        <w:rPr>
          <w:spacing w:val="1"/>
        </w:rPr>
        <w:t xml:space="preserve"> </w:t>
      </w:r>
      <w:r>
        <w:t>the infusion bag through the duration of infusion. From a microbiological point of view, the</w:t>
      </w:r>
      <w:r>
        <w:rPr>
          <w:spacing w:val="1"/>
        </w:rPr>
        <w:t xml:space="preserve"> </w:t>
      </w:r>
      <w:r>
        <w:t>product must be used immediately. If not used immediately, in-use storage times and conditions</w:t>
      </w:r>
      <w:r>
        <w:rPr>
          <w:spacing w:val="1"/>
        </w:rPr>
        <w:t xml:space="preserve"> </w:t>
      </w:r>
      <w:r>
        <w:t>prior</w:t>
      </w:r>
      <w:r>
        <w:rPr>
          <w:spacing w:val="-2"/>
        </w:rPr>
        <w:t xml:space="preserve"> </w:t>
      </w:r>
      <w:r>
        <w:t>to use</w:t>
      </w:r>
      <w:r>
        <w:rPr>
          <w:spacing w:val="-2"/>
        </w:rPr>
        <w:t xml:space="preserve"> </w:t>
      </w:r>
      <w:r>
        <w:t>are the responsibility</w:t>
      </w:r>
      <w:r>
        <w:rPr>
          <w:spacing w:val="-1"/>
        </w:rPr>
        <w:t xml:space="preserve"> </w:t>
      </w:r>
      <w:r>
        <w:t>of</w:t>
      </w:r>
      <w:r>
        <w:rPr>
          <w:spacing w:val="-1"/>
        </w:rPr>
        <w:t xml:space="preserve"> </w:t>
      </w:r>
      <w:r>
        <w:t>the user</w:t>
      </w:r>
      <w:r>
        <w:rPr>
          <w:spacing w:val="-1"/>
        </w:rPr>
        <w:t xml:space="preserve"> </w:t>
      </w:r>
      <w:r>
        <w:t>and</w:t>
      </w:r>
      <w:r>
        <w:rPr>
          <w:spacing w:val="-2"/>
        </w:rPr>
        <w:t xml:space="preserve"> </w:t>
      </w:r>
      <w:r>
        <w:t>must</w:t>
      </w:r>
      <w:r>
        <w:rPr>
          <w:spacing w:val="-1"/>
        </w:rPr>
        <w:t xml:space="preserve"> </w:t>
      </w:r>
      <w:r>
        <w:t>not be</w:t>
      </w:r>
      <w:r>
        <w:rPr>
          <w:spacing w:val="-1"/>
        </w:rPr>
        <w:t xml:space="preserve"> </w:t>
      </w:r>
      <w:r>
        <w:t>longer</w:t>
      </w:r>
      <w:r>
        <w:rPr>
          <w:spacing w:val="-2"/>
        </w:rPr>
        <w:t xml:space="preserve"> </w:t>
      </w:r>
      <w:r>
        <w:t>than</w:t>
      </w:r>
      <w:r>
        <w:rPr>
          <w:spacing w:val="-2"/>
        </w:rPr>
        <w:t xml:space="preserve"> </w:t>
      </w:r>
      <w:r>
        <w:t>a total</w:t>
      </w:r>
      <w:r>
        <w:rPr>
          <w:spacing w:val="-1"/>
        </w:rPr>
        <w:t xml:space="preserve"> </w:t>
      </w:r>
      <w:r>
        <w:t>of</w:t>
      </w:r>
      <w:r>
        <w:rPr>
          <w:spacing w:val="-1"/>
        </w:rPr>
        <w:t xml:space="preserve"> </w:t>
      </w:r>
      <w:r>
        <w:t>4</w:t>
      </w:r>
      <w:r>
        <w:rPr>
          <w:spacing w:val="-1"/>
        </w:rPr>
        <w:t xml:space="preserve"> </w:t>
      </w:r>
      <w:r>
        <w:t>hours at 2°C</w:t>
      </w:r>
    </w:p>
    <w:p w:rsidR="008269D0" w:rsidRDefault="00BE670B" w:rsidP="00464764">
      <w:pPr>
        <w:pStyle w:val="BodyText"/>
        <w:spacing w:before="1" w:after="240"/>
      </w:pPr>
      <w:r>
        <w:t>-</w:t>
      </w:r>
      <w:r>
        <w:rPr>
          <w:spacing w:val="-1"/>
        </w:rPr>
        <w:t xml:space="preserve"> </w:t>
      </w:r>
      <w:r>
        <w:t>8°C</w:t>
      </w:r>
      <w:r>
        <w:rPr>
          <w:spacing w:val="-2"/>
        </w:rPr>
        <w:t xml:space="preserve"> </w:t>
      </w:r>
      <w:r>
        <w:t>provided</w:t>
      </w:r>
      <w:r>
        <w:rPr>
          <w:spacing w:val="-1"/>
        </w:rPr>
        <w:t xml:space="preserve"> </w:t>
      </w:r>
      <w:r>
        <w:t>that</w:t>
      </w:r>
      <w:r>
        <w:rPr>
          <w:spacing w:val="-1"/>
        </w:rPr>
        <w:t xml:space="preserve"> </w:t>
      </w:r>
      <w:r>
        <w:t>dilution</w:t>
      </w:r>
      <w:r>
        <w:rPr>
          <w:spacing w:val="-1"/>
        </w:rPr>
        <w:t xml:space="preserve"> </w:t>
      </w:r>
      <w:r>
        <w:t>has</w:t>
      </w:r>
      <w:r>
        <w:rPr>
          <w:spacing w:val="-1"/>
        </w:rPr>
        <w:t xml:space="preserve"> </w:t>
      </w:r>
      <w:r>
        <w:t>taken</w:t>
      </w:r>
      <w:r>
        <w:rPr>
          <w:spacing w:val="-3"/>
        </w:rPr>
        <w:t xml:space="preserve"> </w:t>
      </w:r>
      <w:r>
        <w:t>place</w:t>
      </w:r>
      <w:r>
        <w:rPr>
          <w:spacing w:val="-1"/>
        </w:rPr>
        <w:t xml:space="preserve"> </w:t>
      </w:r>
      <w:r>
        <w:t>under</w:t>
      </w:r>
      <w:r>
        <w:rPr>
          <w:spacing w:val="-1"/>
        </w:rPr>
        <w:t xml:space="preserve"> </w:t>
      </w:r>
      <w:r>
        <w:t>controlled</w:t>
      </w:r>
      <w:r>
        <w:rPr>
          <w:spacing w:val="-1"/>
        </w:rPr>
        <w:t xml:space="preserve"> </w:t>
      </w:r>
      <w:r>
        <w:t>and</w:t>
      </w:r>
      <w:r>
        <w:rPr>
          <w:spacing w:val="-1"/>
        </w:rPr>
        <w:t xml:space="preserve"> </w:t>
      </w:r>
      <w:r>
        <w:t>validated</w:t>
      </w:r>
      <w:r>
        <w:rPr>
          <w:spacing w:val="-3"/>
        </w:rPr>
        <w:t xml:space="preserve"> </w:t>
      </w:r>
      <w:r>
        <w:t>aseptic</w:t>
      </w:r>
      <w:r>
        <w:rPr>
          <w:spacing w:val="-1"/>
        </w:rPr>
        <w:t xml:space="preserve"> </w:t>
      </w:r>
      <w:r>
        <w:t>conditions.</w:t>
      </w:r>
    </w:p>
    <w:p w:rsidR="008269D0" w:rsidRDefault="003F0986" w:rsidP="003F0986">
      <w:pPr>
        <w:pStyle w:val="Heading2"/>
        <w:spacing w:before="90" w:after="240"/>
      </w:pPr>
      <w:bookmarkStart w:id="69" w:name="6.4_SPECIAL_PRECAUTIONS_FOR_STORAGE"/>
      <w:bookmarkEnd w:id="69"/>
      <w:r>
        <w:rPr>
          <w:noProof/>
          <w:lang w:val="en-AU" w:eastAsia="en-AU"/>
        </w:rPr>
        <w:t>6.4</w:t>
      </w:r>
      <w:r>
        <w:rPr>
          <w:noProof/>
          <w:lang w:val="en-AU" w:eastAsia="en-AU"/>
        </w:rPr>
        <w:tab/>
      </w:r>
      <w:r w:rsidR="00BE670B">
        <w:t>SPECIAL</w:t>
      </w:r>
      <w:r w:rsidR="00BE670B">
        <w:rPr>
          <w:spacing w:val="-5"/>
        </w:rPr>
        <w:t xml:space="preserve"> </w:t>
      </w:r>
      <w:r w:rsidR="00BE670B">
        <w:t>PRECAUTIONS</w:t>
      </w:r>
      <w:r w:rsidR="00BE670B">
        <w:rPr>
          <w:spacing w:val="-6"/>
        </w:rPr>
        <w:t xml:space="preserve"> </w:t>
      </w:r>
      <w:r w:rsidR="00BE670B">
        <w:t>FOR</w:t>
      </w:r>
      <w:r w:rsidR="00BE670B">
        <w:rPr>
          <w:spacing w:val="-5"/>
        </w:rPr>
        <w:t xml:space="preserve"> </w:t>
      </w:r>
      <w:r w:rsidR="00BE670B">
        <w:t>STORAGE</w:t>
      </w:r>
    </w:p>
    <w:p w:rsidR="008269D0" w:rsidRDefault="00BE670B">
      <w:pPr>
        <w:pStyle w:val="BodyText"/>
        <w:spacing w:line="343" w:lineRule="auto"/>
        <w:ind w:right="5184"/>
      </w:pPr>
      <w:r>
        <w:t>Must be stored in a refrigerator (2ºC to 8ºC).</w:t>
      </w:r>
      <w:r>
        <w:rPr>
          <w:spacing w:val="-57"/>
        </w:rPr>
        <w:t xml:space="preserve"> </w:t>
      </w:r>
      <w:r>
        <w:t>Do</w:t>
      </w:r>
      <w:r>
        <w:rPr>
          <w:spacing w:val="-1"/>
        </w:rPr>
        <w:t xml:space="preserve"> </w:t>
      </w:r>
      <w:r>
        <w:t>not freeze.</w:t>
      </w:r>
    </w:p>
    <w:p w:rsidR="008269D0" w:rsidRDefault="00BE670B">
      <w:pPr>
        <w:pStyle w:val="BodyText"/>
        <w:spacing w:before="3"/>
      </w:pPr>
      <w:r>
        <w:t>Do</w:t>
      </w:r>
      <w:r>
        <w:rPr>
          <w:spacing w:val="-1"/>
        </w:rPr>
        <w:t xml:space="preserve"> </w:t>
      </w:r>
      <w:r>
        <w:t>not shake.</w:t>
      </w:r>
    </w:p>
    <w:p w:rsidR="008269D0" w:rsidRDefault="00BE670B">
      <w:pPr>
        <w:pStyle w:val="BodyText"/>
        <w:spacing w:before="120"/>
      </w:pPr>
      <w:r>
        <w:t>Keep</w:t>
      </w:r>
      <w:r>
        <w:rPr>
          <w:spacing w:val="-1"/>
        </w:rPr>
        <w:t xml:space="preserve"> </w:t>
      </w:r>
      <w:r>
        <w:t>the</w:t>
      </w:r>
      <w:r>
        <w:rPr>
          <w:spacing w:val="-1"/>
        </w:rPr>
        <w:t xml:space="preserve"> </w:t>
      </w:r>
      <w:r>
        <w:t>vial</w:t>
      </w:r>
      <w:r>
        <w:rPr>
          <w:spacing w:val="-1"/>
        </w:rPr>
        <w:t xml:space="preserve"> </w:t>
      </w:r>
      <w:r>
        <w:t>in the</w:t>
      </w:r>
      <w:r>
        <w:rPr>
          <w:spacing w:val="-1"/>
        </w:rPr>
        <w:t xml:space="preserve"> </w:t>
      </w:r>
      <w:r>
        <w:t>outer</w:t>
      </w:r>
      <w:r>
        <w:rPr>
          <w:spacing w:val="-2"/>
        </w:rPr>
        <w:t xml:space="preserve"> </w:t>
      </w:r>
      <w:r>
        <w:t>carton</w:t>
      </w:r>
      <w:r>
        <w:rPr>
          <w:spacing w:val="-2"/>
        </w:rPr>
        <w:t xml:space="preserve"> </w:t>
      </w:r>
      <w:r>
        <w:t>in</w:t>
      </w:r>
      <w:r>
        <w:rPr>
          <w:spacing w:val="-1"/>
        </w:rPr>
        <w:t xml:space="preserve"> </w:t>
      </w:r>
      <w:r>
        <w:t>order</w:t>
      </w:r>
      <w:r>
        <w:rPr>
          <w:spacing w:val="-1"/>
        </w:rPr>
        <w:t xml:space="preserve"> </w:t>
      </w:r>
      <w:r>
        <w:t>to protect</w:t>
      </w:r>
      <w:r>
        <w:rPr>
          <w:spacing w:val="-1"/>
        </w:rPr>
        <w:t xml:space="preserve"> </w:t>
      </w:r>
      <w:r>
        <w:t>from</w:t>
      </w:r>
      <w:r>
        <w:rPr>
          <w:spacing w:val="-3"/>
        </w:rPr>
        <w:t xml:space="preserve"> </w:t>
      </w:r>
      <w:r>
        <w:t>light.</w:t>
      </w:r>
    </w:p>
    <w:p w:rsidR="008269D0" w:rsidRDefault="00BE670B">
      <w:pPr>
        <w:pStyle w:val="BodyText"/>
        <w:spacing w:before="120"/>
      </w:pPr>
      <w:r>
        <w:t>For</w:t>
      </w:r>
      <w:r>
        <w:rPr>
          <w:spacing w:val="-1"/>
        </w:rPr>
        <w:t xml:space="preserve"> </w:t>
      </w:r>
      <w:r>
        <w:t>storage</w:t>
      </w:r>
      <w:r>
        <w:rPr>
          <w:spacing w:val="-2"/>
        </w:rPr>
        <w:t xml:space="preserve"> </w:t>
      </w:r>
      <w:r>
        <w:t>conditions</w:t>
      </w:r>
      <w:r>
        <w:rPr>
          <w:spacing w:val="-1"/>
        </w:rPr>
        <w:t xml:space="preserve"> </w:t>
      </w:r>
      <w:r>
        <w:t>after</w:t>
      </w:r>
      <w:r>
        <w:rPr>
          <w:spacing w:val="-1"/>
        </w:rPr>
        <w:t xml:space="preserve"> </w:t>
      </w:r>
      <w:r>
        <w:t>dilution</w:t>
      </w:r>
      <w:r>
        <w:rPr>
          <w:spacing w:val="-2"/>
        </w:rPr>
        <w:t xml:space="preserve"> </w:t>
      </w:r>
      <w:r>
        <w:t>of</w:t>
      </w:r>
      <w:r>
        <w:rPr>
          <w:spacing w:val="-2"/>
        </w:rPr>
        <w:t xml:space="preserve"> </w:t>
      </w:r>
      <w:r>
        <w:t>the</w:t>
      </w:r>
      <w:r>
        <w:rPr>
          <w:spacing w:val="-1"/>
        </w:rPr>
        <w:t xml:space="preserve"> </w:t>
      </w:r>
      <w:r>
        <w:t>medicinal</w:t>
      </w:r>
      <w:r>
        <w:rPr>
          <w:spacing w:val="-1"/>
        </w:rPr>
        <w:t xml:space="preserve"> </w:t>
      </w:r>
      <w:r>
        <w:t>product,</w:t>
      </w:r>
      <w:r>
        <w:rPr>
          <w:spacing w:val="-3"/>
        </w:rPr>
        <w:t xml:space="preserve"> </w:t>
      </w:r>
      <w:r>
        <w:t>see section</w:t>
      </w:r>
      <w:r>
        <w:rPr>
          <w:spacing w:val="-3"/>
        </w:rPr>
        <w:t xml:space="preserve"> </w:t>
      </w:r>
      <w:r>
        <w:t>6.3</w:t>
      </w:r>
    </w:p>
    <w:p w:rsidR="008269D0" w:rsidRDefault="003F0986" w:rsidP="003F0986">
      <w:pPr>
        <w:pStyle w:val="Heading2"/>
        <w:spacing w:before="70" w:after="240"/>
      </w:pPr>
      <w:bookmarkStart w:id="70" w:name="6.5_NATURE_AND_CONTENTS_OF_CONTAINER"/>
      <w:bookmarkEnd w:id="70"/>
      <w:r>
        <w:rPr>
          <w:noProof/>
          <w:lang w:val="en-AU" w:eastAsia="en-AU"/>
        </w:rPr>
        <w:t>6.5</w:t>
      </w:r>
      <w:r>
        <w:rPr>
          <w:noProof/>
          <w:lang w:val="en-AU" w:eastAsia="en-AU"/>
        </w:rPr>
        <w:tab/>
      </w:r>
      <w:r w:rsidR="00BE670B">
        <w:t>NATURE</w:t>
      </w:r>
      <w:r w:rsidR="00BE670B">
        <w:rPr>
          <w:spacing w:val="-4"/>
        </w:rPr>
        <w:t xml:space="preserve"> </w:t>
      </w:r>
      <w:r w:rsidR="00BE670B">
        <w:t>AND</w:t>
      </w:r>
      <w:r w:rsidR="00BE670B">
        <w:rPr>
          <w:spacing w:val="-4"/>
        </w:rPr>
        <w:t xml:space="preserve"> </w:t>
      </w:r>
      <w:r w:rsidR="00BE670B">
        <w:t>CONTENTS</w:t>
      </w:r>
      <w:r w:rsidR="00BE670B">
        <w:rPr>
          <w:spacing w:val="-5"/>
        </w:rPr>
        <w:t xml:space="preserve"> </w:t>
      </w:r>
      <w:r w:rsidR="00BE670B">
        <w:t>OF</w:t>
      </w:r>
      <w:r w:rsidR="00BE670B">
        <w:rPr>
          <w:spacing w:val="-3"/>
        </w:rPr>
        <w:t xml:space="preserve"> </w:t>
      </w:r>
      <w:r w:rsidR="00BE670B">
        <w:t>CONTAINER</w:t>
      </w:r>
    </w:p>
    <w:p w:rsidR="008269D0" w:rsidRDefault="00BE670B" w:rsidP="00464764">
      <w:pPr>
        <w:pStyle w:val="BodyText"/>
        <w:spacing w:after="240"/>
        <w:ind w:right="187"/>
      </w:pPr>
      <w:r>
        <w:t>5 mL solution in a 10 mL glass vial (type I glass) with a rubber stopper, an aluminium seal and a</w:t>
      </w:r>
      <w:r>
        <w:rPr>
          <w:spacing w:val="-57"/>
        </w:rPr>
        <w:t xml:space="preserve"> </w:t>
      </w:r>
      <w:r>
        <w:t>polypropylene</w:t>
      </w:r>
      <w:r>
        <w:rPr>
          <w:spacing w:val="-1"/>
        </w:rPr>
        <w:t xml:space="preserve"> </w:t>
      </w:r>
      <w:r>
        <w:t>flip-off</w:t>
      </w:r>
      <w:r>
        <w:rPr>
          <w:spacing w:val="-1"/>
        </w:rPr>
        <w:t xml:space="preserve"> </w:t>
      </w:r>
      <w:r>
        <w:t>cap.</w:t>
      </w:r>
    </w:p>
    <w:p w:rsidR="008269D0" w:rsidRDefault="00BE670B" w:rsidP="00464764">
      <w:pPr>
        <w:pStyle w:val="BodyText"/>
        <w:spacing w:before="120" w:after="240"/>
      </w:pPr>
      <w:r>
        <w:t>Pack</w:t>
      </w:r>
      <w:r>
        <w:rPr>
          <w:spacing w:val="-1"/>
        </w:rPr>
        <w:t xml:space="preserve"> </w:t>
      </w:r>
      <w:r>
        <w:t>of</w:t>
      </w:r>
      <w:r>
        <w:rPr>
          <w:spacing w:val="-1"/>
        </w:rPr>
        <w:t xml:space="preserve"> </w:t>
      </w:r>
      <w:r>
        <w:t>one vial.</w:t>
      </w:r>
    </w:p>
    <w:p w:rsidR="008269D0" w:rsidRDefault="003F0986" w:rsidP="003F0986">
      <w:pPr>
        <w:pStyle w:val="Heading2"/>
        <w:spacing w:before="90" w:after="240"/>
      </w:pPr>
      <w:bookmarkStart w:id="71" w:name="6.6_SPECIAL_PRECAUTIONS_FOR_DISPOSAL"/>
      <w:bookmarkEnd w:id="71"/>
      <w:r>
        <w:rPr>
          <w:noProof/>
          <w:lang w:val="en-AU" w:eastAsia="en-AU"/>
        </w:rPr>
        <w:t>6.6</w:t>
      </w:r>
      <w:r>
        <w:rPr>
          <w:noProof/>
          <w:lang w:val="en-AU" w:eastAsia="en-AU"/>
        </w:rPr>
        <w:tab/>
      </w:r>
      <w:r w:rsidR="00BE670B">
        <w:t>SPECIAL</w:t>
      </w:r>
      <w:r w:rsidR="00BE670B">
        <w:rPr>
          <w:spacing w:val="-6"/>
        </w:rPr>
        <w:t xml:space="preserve"> </w:t>
      </w:r>
      <w:r w:rsidR="00BE670B">
        <w:t>PRECAUTIONS</w:t>
      </w:r>
      <w:r w:rsidR="00BE670B">
        <w:rPr>
          <w:spacing w:val="-6"/>
        </w:rPr>
        <w:t xml:space="preserve"> </w:t>
      </w:r>
      <w:r w:rsidR="00BE670B">
        <w:t>FOR</w:t>
      </w:r>
      <w:r w:rsidR="00BE670B">
        <w:rPr>
          <w:spacing w:val="-6"/>
        </w:rPr>
        <w:t xml:space="preserve"> </w:t>
      </w:r>
      <w:r w:rsidR="00BE670B">
        <w:t>DISPOSAL</w:t>
      </w:r>
    </w:p>
    <w:p w:rsidR="008269D0" w:rsidRDefault="00BE670B" w:rsidP="00464764">
      <w:pPr>
        <w:pStyle w:val="BodyText"/>
        <w:spacing w:after="240"/>
      </w:pPr>
      <w:r>
        <w:t>Product</w:t>
      </w:r>
      <w:r>
        <w:rPr>
          <w:spacing w:val="-1"/>
        </w:rPr>
        <w:t xml:space="preserve"> </w:t>
      </w:r>
      <w:r>
        <w:t>is</w:t>
      </w:r>
      <w:r>
        <w:rPr>
          <w:spacing w:val="-1"/>
        </w:rPr>
        <w:t xml:space="preserve"> </w:t>
      </w:r>
      <w:r>
        <w:t>for</w:t>
      </w:r>
      <w:r>
        <w:rPr>
          <w:spacing w:val="-1"/>
        </w:rPr>
        <w:t xml:space="preserve"> </w:t>
      </w:r>
      <w:r>
        <w:t>single use</w:t>
      </w:r>
      <w:r>
        <w:rPr>
          <w:spacing w:val="-2"/>
        </w:rPr>
        <w:t xml:space="preserve"> </w:t>
      </w:r>
      <w:r>
        <w:t>only.</w:t>
      </w:r>
      <w:r>
        <w:rPr>
          <w:spacing w:val="-1"/>
        </w:rPr>
        <w:t xml:space="preserve"> </w:t>
      </w:r>
      <w:r>
        <w:t>Discard</w:t>
      </w:r>
      <w:r>
        <w:rPr>
          <w:spacing w:val="-1"/>
        </w:rPr>
        <w:t xml:space="preserve"> </w:t>
      </w:r>
      <w:r>
        <w:t>any residue.</w:t>
      </w:r>
    </w:p>
    <w:p w:rsidR="008269D0" w:rsidRDefault="00BE670B" w:rsidP="00464764">
      <w:pPr>
        <w:pStyle w:val="BodyText"/>
        <w:spacing w:before="120" w:after="240"/>
        <w:ind w:right="454"/>
      </w:pPr>
      <w:r>
        <w:t>In Australia, any unused medicine or waste material should be disposed of in accordance with</w:t>
      </w:r>
      <w:r>
        <w:rPr>
          <w:spacing w:val="-57"/>
        </w:rPr>
        <w:t xml:space="preserve"> </w:t>
      </w:r>
      <w:r>
        <w:t>local</w:t>
      </w:r>
      <w:r>
        <w:rPr>
          <w:spacing w:val="-2"/>
        </w:rPr>
        <w:t xml:space="preserve"> </w:t>
      </w:r>
      <w:r>
        <w:t>requirements.</w:t>
      </w:r>
    </w:p>
    <w:p w:rsidR="008269D0" w:rsidRDefault="003F0986" w:rsidP="003F0986">
      <w:pPr>
        <w:pStyle w:val="Heading2"/>
        <w:spacing w:before="90" w:after="240"/>
      </w:pPr>
      <w:bookmarkStart w:id="72" w:name="6.7_PHYSIOCHEMICAL_PROPERTIES"/>
      <w:bookmarkEnd w:id="72"/>
      <w:r>
        <w:rPr>
          <w:noProof/>
          <w:lang w:val="en-AU" w:eastAsia="en-AU"/>
        </w:rPr>
        <w:t>6.7</w:t>
      </w:r>
      <w:r>
        <w:rPr>
          <w:noProof/>
          <w:lang w:val="en-AU" w:eastAsia="en-AU"/>
        </w:rPr>
        <w:tab/>
      </w:r>
      <w:r w:rsidR="00BE670B">
        <w:t>PHYSIOCHEMICAL</w:t>
      </w:r>
      <w:r w:rsidR="00BE670B">
        <w:rPr>
          <w:spacing w:val="-13"/>
        </w:rPr>
        <w:t xml:space="preserve"> </w:t>
      </w:r>
      <w:r w:rsidR="00BE670B">
        <w:t>PROPERTIES</w:t>
      </w:r>
    </w:p>
    <w:p w:rsidR="008269D0" w:rsidRDefault="00BE670B" w:rsidP="00464764">
      <w:pPr>
        <w:spacing w:after="240"/>
        <w:ind w:left="118"/>
        <w:rPr>
          <w:b/>
          <w:sz w:val="24"/>
        </w:rPr>
      </w:pPr>
      <w:bookmarkStart w:id="73" w:name="Chemical_structure"/>
      <w:bookmarkEnd w:id="73"/>
      <w:r>
        <w:rPr>
          <w:b/>
          <w:sz w:val="24"/>
        </w:rPr>
        <w:t>Chemical</w:t>
      </w:r>
      <w:r>
        <w:rPr>
          <w:b/>
          <w:spacing w:val="-6"/>
          <w:sz w:val="24"/>
        </w:rPr>
        <w:t xml:space="preserve"> </w:t>
      </w:r>
      <w:r>
        <w:rPr>
          <w:b/>
          <w:sz w:val="24"/>
        </w:rPr>
        <w:t>structure</w:t>
      </w:r>
    </w:p>
    <w:p w:rsidR="008269D0" w:rsidRDefault="00BE670B" w:rsidP="003F0986">
      <w:pPr>
        <w:pStyle w:val="BodyText"/>
        <w:spacing w:before="10"/>
        <w:ind w:left="142"/>
      </w:pPr>
      <w:r>
        <w:rPr>
          <w:noProof/>
          <w:lang w:val="en-AU" w:eastAsia="en-AU"/>
        </w:rPr>
        <w:drawing>
          <wp:anchor distT="0" distB="0" distL="0" distR="0" simplePos="0" relativeHeight="251648512" behindDoc="0" locked="0" layoutInCell="1" allowOverlap="1">
            <wp:simplePos x="0" y="0"/>
            <wp:positionH relativeFrom="page">
              <wp:posOffset>824230</wp:posOffset>
            </wp:positionH>
            <wp:positionV relativeFrom="paragraph">
              <wp:posOffset>140840</wp:posOffset>
            </wp:positionV>
            <wp:extent cx="4594169" cy="3224783"/>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17" cstate="print"/>
                    <a:stretch>
                      <a:fillRect/>
                    </a:stretch>
                  </pic:blipFill>
                  <pic:spPr>
                    <a:xfrm>
                      <a:off x="0" y="0"/>
                      <a:ext cx="4594169" cy="3224783"/>
                    </a:xfrm>
                    <a:prstGeom prst="rect">
                      <a:avLst/>
                    </a:prstGeom>
                  </pic:spPr>
                </pic:pic>
              </a:graphicData>
            </a:graphic>
          </wp:anchor>
        </w:drawing>
      </w:r>
      <w:bookmarkStart w:id="74" w:name="CAS_Number"/>
      <w:bookmarkEnd w:id="74"/>
      <w:r>
        <w:t>CAS</w:t>
      </w:r>
      <w:r>
        <w:rPr>
          <w:spacing w:val="-4"/>
        </w:rPr>
        <w:t xml:space="preserve"> </w:t>
      </w:r>
      <w:r>
        <w:t>Number</w:t>
      </w:r>
    </w:p>
    <w:p w:rsidR="008269D0" w:rsidRDefault="00BE670B" w:rsidP="00464764">
      <w:pPr>
        <w:pStyle w:val="BodyText"/>
        <w:spacing w:before="117" w:after="240"/>
      </w:pPr>
      <w:r>
        <w:t>CAS</w:t>
      </w:r>
      <w:r>
        <w:rPr>
          <w:spacing w:val="-2"/>
        </w:rPr>
        <w:t xml:space="preserve"> </w:t>
      </w:r>
      <w:r>
        <w:t>registry</w:t>
      </w:r>
      <w:r>
        <w:rPr>
          <w:spacing w:val="-1"/>
        </w:rPr>
        <w:t xml:space="preserve"> </w:t>
      </w:r>
      <w:r>
        <w:t>number:</w:t>
      </w:r>
      <w:r>
        <w:rPr>
          <w:spacing w:val="-1"/>
        </w:rPr>
        <w:t xml:space="preserve"> </w:t>
      </w:r>
      <w:r>
        <w:t>1159266-37-1</w:t>
      </w:r>
    </w:p>
    <w:p w:rsidR="008269D0" w:rsidRDefault="00BE670B">
      <w:pPr>
        <w:pStyle w:val="Heading1"/>
        <w:numPr>
          <w:ilvl w:val="0"/>
          <w:numId w:val="2"/>
        </w:numPr>
        <w:tabs>
          <w:tab w:val="left" w:pos="685"/>
          <w:tab w:val="left" w:pos="686"/>
        </w:tabs>
      </w:pPr>
      <w:bookmarkStart w:id="75" w:name="7._MEDICINE_SCHEDULE_(POISONS_STANDARD)"/>
      <w:bookmarkEnd w:id="75"/>
      <w:r>
        <w:t>MEDICINE</w:t>
      </w:r>
      <w:r>
        <w:rPr>
          <w:spacing w:val="-9"/>
        </w:rPr>
        <w:t xml:space="preserve"> </w:t>
      </w:r>
      <w:r>
        <w:t>SCHEDULE</w:t>
      </w:r>
      <w:r>
        <w:rPr>
          <w:spacing w:val="-7"/>
        </w:rPr>
        <w:t xml:space="preserve"> </w:t>
      </w:r>
      <w:r>
        <w:t>(POISONS</w:t>
      </w:r>
      <w:r>
        <w:rPr>
          <w:spacing w:val="-7"/>
        </w:rPr>
        <w:t xml:space="preserve"> </w:t>
      </w:r>
      <w:r>
        <w:t>STANDARD)</w:t>
      </w:r>
    </w:p>
    <w:p w:rsidR="008269D0" w:rsidRDefault="00BE670B">
      <w:pPr>
        <w:pStyle w:val="BodyText"/>
        <w:spacing w:before="239"/>
      </w:pPr>
      <w:r>
        <w:t>Schedule</w:t>
      </w:r>
      <w:r>
        <w:rPr>
          <w:spacing w:val="-1"/>
        </w:rPr>
        <w:t xml:space="preserve"> </w:t>
      </w:r>
      <w:r>
        <w:t>4</w:t>
      </w:r>
      <w:r>
        <w:rPr>
          <w:spacing w:val="-3"/>
        </w:rPr>
        <w:t xml:space="preserve"> </w:t>
      </w:r>
      <w:r>
        <w:t>–</w:t>
      </w:r>
      <w:r>
        <w:rPr>
          <w:spacing w:val="-1"/>
        </w:rPr>
        <w:t xml:space="preserve"> </w:t>
      </w:r>
      <w:r>
        <w:t>Prescription</w:t>
      </w:r>
      <w:r>
        <w:rPr>
          <w:spacing w:val="-1"/>
        </w:rPr>
        <w:t xml:space="preserve"> </w:t>
      </w:r>
      <w:r>
        <w:t>Only</w:t>
      </w:r>
      <w:r>
        <w:rPr>
          <w:spacing w:val="-1"/>
        </w:rPr>
        <w:t xml:space="preserve"> </w:t>
      </w:r>
      <w:r>
        <w:t>Medicine</w:t>
      </w:r>
    </w:p>
    <w:p w:rsidR="008269D0" w:rsidRDefault="00BE670B">
      <w:pPr>
        <w:pStyle w:val="Heading1"/>
        <w:numPr>
          <w:ilvl w:val="0"/>
          <w:numId w:val="2"/>
        </w:numPr>
        <w:tabs>
          <w:tab w:val="left" w:pos="685"/>
          <w:tab w:val="left" w:pos="686"/>
        </w:tabs>
        <w:spacing w:before="70"/>
      </w:pPr>
      <w:bookmarkStart w:id="76" w:name="8._SPONSOR"/>
      <w:bookmarkEnd w:id="76"/>
      <w:r>
        <w:t>SPONSOR</w:t>
      </w:r>
    </w:p>
    <w:p w:rsidR="008269D0" w:rsidRDefault="00BE670B">
      <w:pPr>
        <w:pStyle w:val="BodyText"/>
        <w:spacing w:before="238" w:line="343" w:lineRule="auto"/>
        <w:ind w:right="6499"/>
      </w:pPr>
      <w:r>
        <w:t>Kyowa Kirin Australia Pty Ltd</w:t>
      </w:r>
      <w:r>
        <w:rPr>
          <w:spacing w:val="-57"/>
        </w:rPr>
        <w:t xml:space="preserve"> </w:t>
      </w:r>
      <w:r>
        <w:t>Level</w:t>
      </w:r>
      <w:r>
        <w:rPr>
          <w:spacing w:val="-1"/>
        </w:rPr>
        <w:t xml:space="preserve"> </w:t>
      </w:r>
      <w:r>
        <w:t>7</w:t>
      </w:r>
    </w:p>
    <w:p w:rsidR="008269D0" w:rsidRDefault="00BE670B">
      <w:pPr>
        <w:pStyle w:val="BodyText"/>
        <w:spacing w:before="2"/>
      </w:pPr>
      <w:r>
        <w:t>68</w:t>
      </w:r>
      <w:r>
        <w:rPr>
          <w:spacing w:val="-1"/>
        </w:rPr>
        <w:t xml:space="preserve"> </w:t>
      </w:r>
      <w:r>
        <w:t>York Street</w:t>
      </w:r>
    </w:p>
    <w:p w:rsidR="008269D0" w:rsidRDefault="00BE670B" w:rsidP="00BB020A">
      <w:pPr>
        <w:pStyle w:val="BodyText"/>
        <w:spacing w:before="120" w:line="480" w:lineRule="auto"/>
        <w:ind w:left="119" w:right="6424"/>
      </w:pPr>
      <w:r>
        <w:t>Sydney, NSW 2000</w:t>
      </w:r>
      <w:r w:rsidR="00BB020A">
        <w:rPr>
          <w:spacing w:val="1"/>
        </w:rPr>
        <w:br/>
      </w:r>
      <w:hyperlink r:id="rId18">
        <w:r>
          <w:rPr>
            <w:color w:val="0000FF"/>
            <w:u w:val="single" w:color="0000FF"/>
          </w:rPr>
          <w:t>enquiry.kkau@kyowakirin.com</w:t>
        </w:r>
      </w:hyperlink>
    </w:p>
    <w:p w:rsidR="008269D0" w:rsidRDefault="00BE670B" w:rsidP="00464764">
      <w:pPr>
        <w:pStyle w:val="BodyText"/>
        <w:spacing w:after="240"/>
      </w:pPr>
      <w:r>
        <w:t>Medical</w:t>
      </w:r>
      <w:r>
        <w:rPr>
          <w:spacing w:val="-1"/>
        </w:rPr>
        <w:t xml:space="preserve"> </w:t>
      </w:r>
      <w:r>
        <w:t>enquiries:</w:t>
      </w:r>
      <w:r>
        <w:rPr>
          <w:spacing w:val="-1"/>
        </w:rPr>
        <w:t xml:space="preserve"> </w:t>
      </w:r>
      <w:r>
        <w:t>02</w:t>
      </w:r>
      <w:r>
        <w:rPr>
          <w:spacing w:val="-1"/>
        </w:rPr>
        <w:t xml:space="preserve"> </w:t>
      </w:r>
      <w:r>
        <w:t>9320</w:t>
      </w:r>
      <w:r>
        <w:rPr>
          <w:spacing w:val="-1"/>
        </w:rPr>
        <w:t xml:space="preserve"> </w:t>
      </w:r>
      <w:r>
        <w:t>2200</w:t>
      </w:r>
    </w:p>
    <w:p w:rsidR="008269D0" w:rsidRDefault="00BE670B">
      <w:pPr>
        <w:pStyle w:val="Heading1"/>
        <w:numPr>
          <w:ilvl w:val="0"/>
          <w:numId w:val="2"/>
        </w:numPr>
        <w:tabs>
          <w:tab w:val="left" w:pos="685"/>
          <w:tab w:val="left" w:pos="686"/>
        </w:tabs>
      </w:pPr>
      <w:bookmarkStart w:id="77" w:name="9._DATE_OF_FIRST_APPROVAL"/>
      <w:bookmarkEnd w:id="77"/>
      <w:r>
        <w:t>DATE</w:t>
      </w:r>
      <w:r>
        <w:rPr>
          <w:spacing w:val="-5"/>
        </w:rPr>
        <w:t xml:space="preserve"> </w:t>
      </w:r>
      <w:r>
        <w:t>OF</w:t>
      </w:r>
      <w:r>
        <w:rPr>
          <w:spacing w:val="-5"/>
        </w:rPr>
        <w:t xml:space="preserve"> </w:t>
      </w:r>
      <w:r>
        <w:t>FIRST</w:t>
      </w:r>
      <w:r>
        <w:rPr>
          <w:spacing w:val="-4"/>
        </w:rPr>
        <w:t xml:space="preserve"> </w:t>
      </w:r>
      <w:r>
        <w:t>APPROVAL</w:t>
      </w:r>
    </w:p>
    <w:p w:rsidR="008269D0" w:rsidRDefault="00BE670B">
      <w:pPr>
        <w:pStyle w:val="BodyText"/>
        <w:spacing w:before="237"/>
      </w:pPr>
      <w:r>
        <w:t>6</w:t>
      </w:r>
      <w:r>
        <w:rPr>
          <w:spacing w:val="-1"/>
        </w:rPr>
        <w:t xml:space="preserve"> </w:t>
      </w:r>
      <w:r>
        <w:t>January 2021</w:t>
      </w:r>
    </w:p>
    <w:sectPr w:rsidR="008269D0" w:rsidSect="003F0986">
      <w:pgSz w:w="11910" w:h="16840"/>
      <w:pgMar w:top="900" w:right="1120" w:bottom="600" w:left="1180" w:header="113" w:footer="4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0B" w:rsidRDefault="00BE670B">
      <w:r>
        <w:separator/>
      </w:r>
    </w:p>
  </w:endnote>
  <w:endnote w:type="continuationSeparator" w:id="0">
    <w:p w:rsidR="00BE670B" w:rsidRDefault="00BE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72" w:rsidRDefault="003D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0B" w:rsidRDefault="003D5A72">
    <w:pPr>
      <w:pStyle w:val="BodyText"/>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61.9pt;margin-top:810.8pt;width:14.9pt;height:10.95pt;z-index:-251658752;mso-position-horizontal-relative:page;mso-position-vertical-relative:page" filled="f" stroked="f">
          <v:textbox inset="0,0,0,0">
            <w:txbxContent>
              <w:p w:rsidR="00BE670B" w:rsidRDefault="00BE670B">
                <w:pPr>
                  <w:spacing w:before="14"/>
                  <w:ind w:left="60"/>
                  <w:rPr>
                    <w:rFonts w:ascii="Arial"/>
                    <w:sz w:val="16"/>
                  </w:rPr>
                </w:pPr>
                <w:r>
                  <w:fldChar w:fldCharType="begin"/>
                </w:r>
                <w:r>
                  <w:rPr>
                    <w:rFonts w:ascii="Arial"/>
                    <w:sz w:val="16"/>
                  </w:rPr>
                  <w:instrText xml:space="preserve"> PAGE </w:instrText>
                </w:r>
                <w:r>
                  <w:fldChar w:fldCharType="separate"/>
                </w:r>
                <w:r w:rsidR="003D5A72">
                  <w:rPr>
                    <w:rFonts w:ascii="Arial"/>
                    <w:noProof/>
                    <w:sz w:val="16"/>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72" w:rsidRDefault="003D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0B" w:rsidRDefault="00BE670B">
      <w:r>
        <w:separator/>
      </w:r>
    </w:p>
  </w:footnote>
  <w:footnote w:type="continuationSeparator" w:id="0">
    <w:p w:rsidR="00BE670B" w:rsidRDefault="00BE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72" w:rsidRDefault="003D5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9464"/>
    </w:tblGrid>
    <w:tr w:rsidR="0032147C" w:rsidRPr="003D5A72" w:rsidTr="003D5A72">
      <w:tc>
        <w:tcPr>
          <w:tcW w:w="9464" w:type="dxa"/>
          <w:shd w:val="clear" w:color="auto" w:fill="E4F2E0"/>
        </w:tcPr>
        <w:p w:rsidR="0032147C" w:rsidRPr="003D5A72" w:rsidRDefault="0032147C" w:rsidP="0032147C">
          <w:pPr>
            <w:rPr>
              <w:b/>
              <w:sz w:val="20"/>
              <w:szCs w:val="20"/>
            </w:rPr>
          </w:pPr>
          <w:r w:rsidRPr="003D5A72">
            <w:rPr>
              <w:b/>
              <w:sz w:val="20"/>
              <w:szCs w:val="20"/>
            </w:rPr>
            <w:t>Attachment 1: Product information for AusPAR - Poteligeo – mogamulizumab – Kyowa Kirin</w:t>
          </w:r>
          <w:r w:rsidR="003D5A72">
            <w:rPr>
              <w:b/>
              <w:sz w:val="20"/>
              <w:szCs w:val="20"/>
            </w:rPr>
            <w:t xml:space="preserve"> Australia - PM-2020-00700-1-6 f</w:t>
          </w:r>
          <w:bookmarkStart w:id="9" w:name="_GoBack"/>
          <w:bookmarkEnd w:id="9"/>
          <w:r w:rsidRPr="003D5A72">
            <w:rPr>
              <w:b/>
              <w:sz w:val="20"/>
              <w:szCs w:val="20"/>
            </w:rPr>
            <w:t>inal – 27 April 2021. This is the Product Information that was approved with the submission described in this AusPAR. It may have been superseded. For the most recent PI, please refer to the TGA website at &lt;</w:t>
          </w:r>
          <w:hyperlink r:id="rId1" w:history="1">
            <w:r w:rsidRPr="003D5A72">
              <w:rPr>
                <w:rStyle w:val="Hyperlink"/>
                <w:b/>
                <w:sz w:val="20"/>
                <w:szCs w:val="20"/>
              </w:rPr>
              <w:t>https://www.tga.gov.au/product-information-pi</w:t>
            </w:r>
          </w:hyperlink>
          <w:r w:rsidRPr="003D5A72">
            <w:rPr>
              <w:rStyle w:val="Hyperlink"/>
              <w:b/>
              <w:color w:val="auto"/>
              <w:sz w:val="20"/>
              <w:szCs w:val="20"/>
              <w:u w:val="none"/>
            </w:rPr>
            <w:t>&gt;</w:t>
          </w:r>
        </w:p>
      </w:tc>
    </w:tr>
  </w:tbl>
  <w:p w:rsidR="0032147C" w:rsidRPr="003D5A72" w:rsidRDefault="0032147C" w:rsidP="003F0986">
    <w:pPr>
      <w:pStyle w:val="Head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A72" w:rsidRDefault="003D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2392C"/>
    <w:multiLevelType w:val="hybridMultilevel"/>
    <w:tmpl w:val="0176473A"/>
    <w:lvl w:ilvl="0" w:tplc="CF1AA440">
      <w:numFmt w:val="bullet"/>
      <w:lvlText w:val=""/>
      <w:lvlJc w:val="left"/>
      <w:pPr>
        <w:ind w:left="478" w:hanging="360"/>
      </w:pPr>
      <w:rPr>
        <w:rFonts w:ascii="Symbol" w:eastAsia="Symbol" w:hAnsi="Symbol" w:cs="Symbol" w:hint="default"/>
        <w:w w:val="100"/>
        <w:sz w:val="24"/>
        <w:szCs w:val="24"/>
      </w:rPr>
    </w:lvl>
    <w:lvl w:ilvl="1" w:tplc="9A703B68">
      <w:numFmt w:val="bullet"/>
      <w:lvlText w:val="•"/>
      <w:lvlJc w:val="left"/>
      <w:pPr>
        <w:ind w:left="1392" w:hanging="360"/>
      </w:pPr>
      <w:rPr>
        <w:rFonts w:hint="default"/>
      </w:rPr>
    </w:lvl>
    <w:lvl w:ilvl="2" w:tplc="71764A7A">
      <w:numFmt w:val="bullet"/>
      <w:lvlText w:val="•"/>
      <w:lvlJc w:val="left"/>
      <w:pPr>
        <w:ind w:left="2304" w:hanging="360"/>
      </w:pPr>
      <w:rPr>
        <w:rFonts w:hint="default"/>
      </w:rPr>
    </w:lvl>
    <w:lvl w:ilvl="3" w:tplc="BBFAFBFC">
      <w:numFmt w:val="bullet"/>
      <w:lvlText w:val="•"/>
      <w:lvlJc w:val="left"/>
      <w:pPr>
        <w:ind w:left="3216" w:hanging="360"/>
      </w:pPr>
      <w:rPr>
        <w:rFonts w:hint="default"/>
      </w:rPr>
    </w:lvl>
    <w:lvl w:ilvl="4" w:tplc="A648AA2E">
      <w:numFmt w:val="bullet"/>
      <w:lvlText w:val="•"/>
      <w:lvlJc w:val="left"/>
      <w:pPr>
        <w:ind w:left="4128" w:hanging="360"/>
      </w:pPr>
      <w:rPr>
        <w:rFonts w:hint="default"/>
      </w:rPr>
    </w:lvl>
    <w:lvl w:ilvl="5" w:tplc="11B22B90">
      <w:numFmt w:val="bullet"/>
      <w:lvlText w:val="•"/>
      <w:lvlJc w:val="left"/>
      <w:pPr>
        <w:ind w:left="5040" w:hanging="360"/>
      </w:pPr>
      <w:rPr>
        <w:rFonts w:hint="default"/>
      </w:rPr>
    </w:lvl>
    <w:lvl w:ilvl="6" w:tplc="8448276E">
      <w:numFmt w:val="bullet"/>
      <w:lvlText w:val="•"/>
      <w:lvlJc w:val="left"/>
      <w:pPr>
        <w:ind w:left="5952" w:hanging="360"/>
      </w:pPr>
      <w:rPr>
        <w:rFonts w:hint="default"/>
      </w:rPr>
    </w:lvl>
    <w:lvl w:ilvl="7" w:tplc="346C8CB6">
      <w:numFmt w:val="bullet"/>
      <w:lvlText w:val="•"/>
      <w:lvlJc w:val="left"/>
      <w:pPr>
        <w:ind w:left="6864" w:hanging="360"/>
      </w:pPr>
      <w:rPr>
        <w:rFonts w:hint="default"/>
      </w:rPr>
    </w:lvl>
    <w:lvl w:ilvl="8" w:tplc="AFDE535E">
      <w:numFmt w:val="bullet"/>
      <w:lvlText w:val="•"/>
      <w:lvlJc w:val="left"/>
      <w:pPr>
        <w:ind w:left="7776" w:hanging="360"/>
      </w:pPr>
      <w:rPr>
        <w:rFonts w:hint="default"/>
      </w:rPr>
    </w:lvl>
  </w:abstractNum>
  <w:abstractNum w:abstractNumId="1" w15:restartNumberingAfterBreak="0">
    <w:nsid w:val="5F39653F"/>
    <w:multiLevelType w:val="hybridMultilevel"/>
    <w:tmpl w:val="B82020B0"/>
    <w:lvl w:ilvl="0" w:tplc="68BC6478">
      <w:start w:val="1"/>
      <w:numFmt w:val="decimal"/>
      <w:lvlText w:val="%1."/>
      <w:lvlJc w:val="left"/>
      <w:pPr>
        <w:ind w:left="685" w:hanging="568"/>
        <w:jc w:val="left"/>
      </w:pPr>
      <w:rPr>
        <w:rFonts w:ascii="Times New Roman" w:eastAsia="Times New Roman" w:hAnsi="Times New Roman" w:cs="Times New Roman" w:hint="default"/>
        <w:b/>
        <w:bCs/>
        <w:w w:val="99"/>
        <w:sz w:val="28"/>
        <w:szCs w:val="28"/>
      </w:rPr>
    </w:lvl>
    <w:lvl w:ilvl="1" w:tplc="A80E9200">
      <w:numFmt w:val="bullet"/>
      <w:lvlText w:val="•"/>
      <w:lvlJc w:val="left"/>
      <w:pPr>
        <w:ind w:left="1572" w:hanging="568"/>
      </w:pPr>
      <w:rPr>
        <w:rFonts w:hint="default"/>
      </w:rPr>
    </w:lvl>
    <w:lvl w:ilvl="2" w:tplc="9F063A2C">
      <w:numFmt w:val="bullet"/>
      <w:lvlText w:val="•"/>
      <w:lvlJc w:val="left"/>
      <w:pPr>
        <w:ind w:left="2464" w:hanging="568"/>
      </w:pPr>
      <w:rPr>
        <w:rFonts w:hint="default"/>
      </w:rPr>
    </w:lvl>
    <w:lvl w:ilvl="3" w:tplc="FAF0749A">
      <w:numFmt w:val="bullet"/>
      <w:lvlText w:val="•"/>
      <w:lvlJc w:val="left"/>
      <w:pPr>
        <w:ind w:left="3356" w:hanging="568"/>
      </w:pPr>
      <w:rPr>
        <w:rFonts w:hint="default"/>
      </w:rPr>
    </w:lvl>
    <w:lvl w:ilvl="4" w:tplc="C2A61014">
      <w:numFmt w:val="bullet"/>
      <w:lvlText w:val="•"/>
      <w:lvlJc w:val="left"/>
      <w:pPr>
        <w:ind w:left="4248" w:hanging="568"/>
      </w:pPr>
      <w:rPr>
        <w:rFonts w:hint="default"/>
      </w:rPr>
    </w:lvl>
    <w:lvl w:ilvl="5" w:tplc="4D4A6502">
      <w:numFmt w:val="bullet"/>
      <w:lvlText w:val="•"/>
      <w:lvlJc w:val="left"/>
      <w:pPr>
        <w:ind w:left="5140" w:hanging="568"/>
      </w:pPr>
      <w:rPr>
        <w:rFonts w:hint="default"/>
      </w:rPr>
    </w:lvl>
    <w:lvl w:ilvl="6" w:tplc="8C342F42">
      <w:numFmt w:val="bullet"/>
      <w:lvlText w:val="•"/>
      <w:lvlJc w:val="left"/>
      <w:pPr>
        <w:ind w:left="6032" w:hanging="568"/>
      </w:pPr>
      <w:rPr>
        <w:rFonts w:hint="default"/>
      </w:rPr>
    </w:lvl>
    <w:lvl w:ilvl="7" w:tplc="6AB29468">
      <w:numFmt w:val="bullet"/>
      <w:lvlText w:val="•"/>
      <w:lvlJc w:val="left"/>
      <w:pPr>
        <w:ind w:left="6924" w:hanging="568"/>
      </w:pPr>
      <w:rPr>
        <w:rFonts w:hint="default"/>
      </w:rPr>
    </w:lvl>
    <w:lvl w:ilvl="8" w:tplc="D2520CEE">
      <w:numFmt w:val="bullet"/>
      <w:lvlText w:val="•"/>
      <w:lvlJc w:val="left"/>
      <w:pPr>
        <w:ind w:left="7816" w:hanging="56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69"/>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269D0"/>
    <w:rsid w:val="0007115F"/>
    <w:rsid w:val="00127F27"/>
    <w:rsid w:val="0032147C"/>
    <w:rsid w:val="003D5A72"/>
    <w:rsid w:val="003F0986"/>
    <w:rsid w:val="00464764"/>
    <w:rsid w:val="0047554E"/>
    <w:rsid w:val="00556E9E"/>
    <w:rsid w:val="00667063"/>
    <w:rsid w:val="006C11DB"/>
    <w:rsid w:val="007B47F5"/>
    <w:rsid w:val="007C2DAB"/>
    <w:rsid w:val="00825688"/>
    <w:rsid w:val="008269D0"/>
    <w:rsid w:val="00902EF1"/>
    <w:rsid w:val="009555EC"/>
    <w:rsid w:val="00B903F0"/>
    <w:rsid w:val="00BB020A"/>
    <w:rsid w:val="00BE670B"/>
    <w:rsid w:val="00FB05DF"/>
    <w:rsid w:val="00FC6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A446F"/>
  <w15:docId w15:val="{A5028B14-0D17-4A99-8459-4111BED2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5" w:hanging="568"/>
      <w:outlineLvl w:val="0"/>
    </w:pPr>
    <w:rPr>
      <w:b/>
      <w:bCs/>
      <w:sz w:val="28"/>
      <w:szCs w:val="28"/>
    </w:rPr>
  </w:style>
  <w:style w:type="paragraph" w:styleId="Heading2">
    <w:name w:val="heading 2"/>
    <w:basedOn w:val="Normal"/>
    <w:uiPriority w:val="1"/>
    <w:qFormat/>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sz w:val="24"/>
      <w:szCs w:val="24"/>
    </w:rPr>
  </w:style>
  <w:style w:type="paragraph" w:styleId="ListParagraph">
    <w:name w:val="List Paragraph"/>
    <w:basedOn w:val="Normal"/>
    <w:uiPriority w:val="1"/>
    <w:qFormat/>
    <w:pPr>
      <w:ind w:left="478" w:hanging="568"/>
    </w:pPr>
  </w:style>
  <w:style w:type="paragraph" w:customStyle="1" w:styleId="TableParagraph">
    <w:name w:val="Table Paragraph"/>
    <w:basedOn w:val="Normal"/>
    <w:uiPriority w:val="1"/>
    <w:qFormat/>
    <w:pPr>
      <w:spacing w:before="45"/>
    </w:pPr>
  </w:style>
  <w:style w:type="paragraph" w:styleId="Header">
    <w:name w:val="header"/>
    <w:basedOn w:val="Normal"/>
    <w:link w:val="HeaderChar"/>
    <w:uiPriority w:val="99"/>
    <w:unhideWhenUsed/>
    <w:rsid w:val="0032147C"/>
    <w:pPr>
      <w:tabs>
        <w:tab w:val="center" w:pos="4513"/>
        <w:tab w:val="right" w:pos="9026"/>
      </w:tabs>
    </w:pPr>
  </w:style>
  <w:style w:type="character" w:customStyle="1" w:styleId="HeaderChar">
    <w:name w:val="Header Char"/>
    <w:basedOn w:val="DefaultParagraphFont"/>
    <w:link w:val="Header"/>
    <w:uiPriority w:val="99"/>
    <w:rsid w:val="0032147C"/>
    <w:rPr>
      <w:rFonts w:ascii="Times New Roman" w:eastAsia="Times New Roman" w:hAnsi="Times New Roman" w:cs="Times New Roman"/>
    </w:rPr>
  </w:style>
  <w:style w:type="paragraph" w:styleId="Footer">
    <w:name w:val="footer"/>
    <w:basedOn w:val="Normal"/>
    <w:link w:val="FooterChar"/>
    <w:uiPriority w:val="99"/>
    <w:unhideWhenUsed/>
    <w:rsid w:val="0032147C"/>
    <w:pPr>
      <w:tabs>
        <w:tab w:val="center" w:pos="4513"/>
        <w:tab w:val="right" w:pos="9026"/>
      </w:tabs>
    </w:pPr>
  </w:style>
  <w:style w:type="character" w:customStyle="1" w:styleId="FooterChar">
    <w:name w:val="Footer Char"/>
    <w:basedOn w:val="DefaultParagraphFont"/>
    <w:link w:val="Footer"/>
    <w:uiPriority w:val="99"/>
    <w:rsid w:val="0032147C"/>
    <w:rPr>
      <w:rFonts w:ascii="Times New Roman" w:eastAsia="Times New Roman" w:hAnsi="Times New Roman" w:cs="Times New Roman"/>
    </w:rPr>
  </w:style>
  <w:style w:type="character" w:styleId="Hyperlink">
    <w:name w:val="Hyperlink"/>
    <w:basedOn w:val="DefaultParagraphFont"/>
    <w:uiPriority w:val="99"/>
    <w:unhideWhenUsed/>
    <w:rsid w:val="0032147C"/>
    <w:rPr>
      <w:color w:val="0000FF"/>
      <w:u w:val="single"/>
    </w:rPr>
  </w:style>
  <w:style w:type="table" w:styleId="TableGrid">
    <w:name w:val="Table Grid"/>
    <w:basedOn w:val="TableNormal"/>
    <w:uiPriority w:val="59"/>
    <w:rsid w:val="0032147C"/>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3.xml"/><Relationship Id="rId18" Type="http://schemas.openxmlformats.org/officeDocument/2006/relationships/hyperlink" Target="mailto:enquiry.kkau@kyowakiri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ga.gov.au/reportin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17</Pages>
  <Words>6106</Words>
  <Characters>34807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Attachment: Product Information: Mogamulizumab</vt:lpstr>
    </vt:vector>
  </TitlesOfParts>
  <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Mogamulizumab</dc:title>
  <dc:subject>prescription medicines</dc:subject>
  <dc:creator>Kyowa Kirin Australia Pty Ltd</dc:creator>
  <dcterms:created xsi:type="dcterms:W3CDTF">2021-04-27T04:12:00Z</dcterms:created>
  <dcterms:modified xsi:type="dcterms:W3CDTF">2021-05-10T01:01:00Z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15 for Word</vt:lpwstr>
  </property>
  <property fmtid="{D5CDD505-2E9C-101B-9397-08002B2CF9AE}" pid="4" name="LastSaved">
    <vt:filetime>2021-04-27T00:00:00Z</vt:filetime>
  </property>
</Properties>
</file>