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91" w:rsidRDefault="00CC23B5" w:rsidP="00CC23B5">
      <w:pPr>
        <w:spacing w:after="0"/>
        <w:jc w:val="center"/>
        <w:rPr>
          <w:rFonts w:ascii="Arial" w:hAnsi="Arial" w:cs="Arial"/>
          <w:b/>
          <w:sz w:val="24"/>
          <w:szCs w:val="24"/>
        </w:rPr>
      </w:pPr>
      <w:r w:rsidRPr="00CC23B5">
        <w:rPr>
          <w:rFonts w:ascii="Arial" w:hAnsi="Arial" w:cs="Arial"/>
          <w:b/>
          <w:sz w:val="24"/>
          <w:szCs w:val="24"/>
        </w:rPr>
        <w:t>PRODUCT INFORMATION</w:t>
      </w:r>
    </w:p>
    <w:p w:rsidR="00CC23B5" w:rsidRDefault="00CC23B5" w:rsidP="00CC23B5">
      <w:pPr>
        <w:spacing w:after="0"/>
        <w:jc w:val="center"/>
        <w:rPr>
          <w:rFonts w:ascii="Arial" w:hAnsi="Arial" w:cs="Arial"/>
          <w:b/>
          <w:sz w:val="24"/>
          <w:szCs w:val="24"/>
        </w:rPr>
      </w:pPr>
    </w:p>
    <w:p w:rsidR="001E2C81" w:rsidRDefault="00D05C73" w:rsidP="00CC23B5">
      <w:pPr>
        <w:spacing w:after="0"/>
        <w:jc w:val="center"/>
        <w:rPr>
          <w:rFonts w:ascii="Arial" w:hAnsi="Arial" w:cs="Arial"/>
          <w:b/>
          <w:sz w:val="24"/>
          <w:szCs w:val="24"/>
          <w:u w:val="single"/>
        </w:rPr>
      </w:pPr>
      <w:r>
        <w:rPr>
          <w:rFonts w:ascii="Arial" w:hAnsi="Arial" w:cs="Arial"/>
          <w:b/>
          <w:sz w:val="24"/>
          <w:szCs w:val="24"/>
          <w:u w:val="single"/>
        </w:rPr>
        <w:t>JONCIA</w:t>
      </w:r>
      <w:r w:rsidRPr="00D05C73">
        <w:rPr>
          <w:rFonts w:ascii="Arial" w:hAnsi="Arial" w:cs="Arial"/>
          <w:b/>
          <w:sz w:val="24"/>
          <w:szCs w:val="24"/>
          <w:u w:val="single"/>
          <w:vertAlign w:val="superscript"/>
        </w:rPr>
        <w:t>®</w:t>
      </w:r>
    </w:p>
    <w:p w:rsidR="00CC23B5" w:rsidRDefault="001E2C81" w:rsidP="00CC23B5">
      <w:pPr>
        <w:spacing w:after="0"/>
        <w:jc w:val="center"/>
        <w:rPr>
          <w:rFonts w:ascii="Arial" w:hAnsi="Arial" w:cs="Arial"/>
          <w:b/>
          <w:sz w:val="24"/>
          <w:szCs w:val="24"/>
          <w:u w:val="single"/>
        </w:rPr>
      </w:pPr>
      <w:r>
        <w:rPr>
          <w:rFonts w:ascii="Arial" w:hAnsi="Arial" w:cs="Arial"/>
          <w:b/>
          <w:sz w:val="24"/>
          <w:szCs w:val="24"/>
          <w:u w:val="single"/>
        </w:rPr>
        <w:t>25, 50, 100 mg Capsules</w:t>
      </w:r>
    </w:p>
    <w:p w:rsidR="00CC23B5" w:rsidRDefault="00CC23B5" w:rsidP="00CC23B5">
      <w:pPr>
        <w:spacing w:after="0"/>
        <w:rPr>
          <w:rFonts w:ascii="Arial" w:hAnsi="Arial" w:cs="Arial"/>
          <w:b/>
          <w:sz w:val="24"/>
          <w:szCs w:val="24"/>
        </w:rPr>
      </w:pPr>
    </w:p>
    <w:p w:rsidR="00CC23B5" w:rsidRDefault="00CC23B5" w:rsidP="00CC23B5">
      <w:pPr>
        <w:spacing w:after="0"/>
        <w:rPr>
          <w:rFonts w:ascii="Arial" w:hAnsi="Arial" w:cs="Arial"/>
          <w:b/>
          <w:sz w:val="24"/>
          <w:szCs w:val="24"/>
        </w:rPr>
      </w:pPr>
      <w:r w:rsidRPr="00CC23B5">
        <w:rPr>
          <w:rFonts w:ascii="Arial" w:hAnsi="Arial" w:cs="Arial"/>
          <w:b/>
          <w:sz w:val="24"/>
          <w:szCs w:val="24"/>
        </w:rPr>
        <w:t>NAME OF THE MEDICINE</w:t>
      </w:r>
    </w:p>
    <w:p w:rsidR="007C1ABD" w:rsidRDefault="007C1ABD" w:rsidP="00CC23B5">
      <w:pPr>
        <w:spacing w:after="0"/>
        <w:rPr>
          <w:rFonts w:ascii="Arial" w:hAnsi="Arial" w:cs="Arial"/>
          <w:b/>
          <w:sz w:val="24"/>
          <w:szCs w:val="24"/>
        </w:rPr>
      </w:pPr>
    </w:p>
    <w:p w:rsidR="00CC23B5" w:rsidRDefault="00CC23B5" w:rsidP="00CC23B5">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hydrochloride</w:t>
      </w:r>
    </w:p>
    <w:p w:rsidR="00CC23B5" w:rsidRDefault="001C62CC" w:rsidP="00CC23B5">
      <w:pPr>
        <w:spacing w:after="0"/>
        <w:rPr>
          <w:rFonts w:ascii="Arial" w:hAnsi="Arial" w:cs="Arial"/>
          <w:sz w:val="24"/>
          <w:szCs w:val="24"/>
        </w:rPr>
      </w:pPr>
      <w:r>
        <w:rPr>
          <w:rFonts w:ascii="Arial" w:hAnsi="Arial" w:cs="Arial"/>
          <w:sz w:val="24"/>
          <w:szCs w:val="24"/>
        </w:rPr>
        <w:t>(1RS, 2SR)-2-(aminomethyl)-</w:t>
      </w:r>
      <w:r w:rsidRPr="001C62CC">
        <w:rPr>
          <w:rFonts w:ascii="Arial" w:hAnsi="Arial" w:cs="Arial"/>
          <w:i/>
          <w:sz w:val="24"/>
          <w:szCs w:val="24"/>
        </w:rPr>
        <w:t>N,N</w:t>
      </w:r>
      <w:r>
        <w:rPr>
          <w:rFonts w:ascii="Arial" w:hAnsi="Arial" w:cs="Arial"/>
          <w:sz w:val="24"/>
          <w:szCs w:val="24"/>
        </w:rPr>
        <w:t>-diethyl-1-phenylcyclopropane-1-carboxamide hydrochloride (IUPAC name)</w:t>
      </w:r>
    </w:p>
    <w:p w:rsidR="00CC23B5" w:rsidRDefault="00CC23B5" w:rsidP="00CC23B5">
      <w:pPr>
        <w:spacing w:after="0"/>
        <w:rPr>
          <w:rFonts w:ascii="Arial" w:hAnsi="Arial" w:cs="Arial"/>
          <w:sz w:val="24"/>
          <w:szCs w:val="24"/>
        </w:rPr>
      </w:pPr>
    </w:p>
    <w:p w:rsidR="007C1ABD" w:rsidRDefault="00B40B16" w:rsidP="00FE3545">
      <w:pPr>
        <w:spacing w:after="0"/>
        <w:jc w:val="center"/>
        <w:rPr>
          <w:rFonts w:ascii="Arial" w:hAnsi="Arial" w:cs="Arial"/>
          <w:sz w:val="24"/>
          <w:szCs w:val="24"/>
        </w:rPr>
      </w:pPr>
      <w:r>
        <w:rPr>
          <w:rFonts w:ascii="Arial" w:hAnsi="Arial" w:cs="Arial"/>
          <w:sz w:val="24"/>
          <w:szCs w:val="24"/>
        </w:rPr>
      </w:r>
      <w:r>
        <w:rPr>
          <w:rFonts w:ascii="Arial" w:hAnsi="Arial" w:cs="Arial"/>
          <w:sz w:val="24"/>
          <w:szCs w:val="24"/>
        </w:rPr>
        <w:pict>
          <v:group id="_x0000_s1028" editas="canvas" style="width:347.25pt;height:145.5pt;mso-position-horizontal-relative:char;mso-position-vertical-relative:line" coordsize="6945,29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45;height:2910" o:preferrelative="f">
              <v:fill o:detectmouseclick="t"/>
              <v:path o:extrusionok="t" o:connecttype="none"/>
              <o:lock v:ext="edit" text="t"/>
            </v:shape>
            <v:shape id="_x0000_s1029" type="#_x0000_t75" alt="Drug structure of milnacipran hydrochloride" style="position:absolute;width:6970;height:2935">
              <v:imagedata r:id="rId8" o:title=""/>
            </v:shape>
            <w10:wrap type="none"/>
            <w10:anchorlock/>
          </v:group>
        </w:pict>
      </w:r>
    </w:p>
    <w:p w:rsidR="007C1ABD" w:rsidRDefault="007C1ABD" w:rsidP="00CC23B5">
      <w:pPr>
        <w:spacing w:after="0"/>
        <w:rPr>
          <w:rFonts w:ascii="Arial" w:hAnsi="Arial" w:cs="Arial"/>
          <w:sz w:val="24"/>
          <w:szCs w:val="24"/>
        </w:rPr>
      </w:pPr>
      <w:r>
        <w:rPr>
          <w:rFonts w:ascii="Arial" w:hAnsi="Arial" w:cs="Arial"/>
          <w:sz w:val="24"/>
          <w:szCs w:val="24"/>
        </w:rPr>
        <w:t>CAS number: 101152-94-7</w:t>
      </w:r>
    </w:p>
    <w:p w:rsidR="007C1ABD" w:rsidRDefault="007C1ABD" w:rsidP="00CC23B5">
      <w:pPr>
        <w:spacing w:after="0"/>
        <w:rPr>
          <w:rFonts w:ascii="Arial" w:hAnsi="Arial" w:cs="Arial"/>
          <w:sz w:val="24"/>
          <w:szCs w:val="24"/>
        </w:rPr>
      </w:pPr>
    </w:p>
    <w:p w:rsidR="00122854" w:rsidRDefault="00122854" w:rsidP="00CC23B5">
      <w:pPr>
        <w:spacing w:after="0"/>
        <w:rPr>
          <w:rFonts w:ascii="Arial" w:hAnsi="Arial" w:cs="Arial"/>
          <w:sz w:val="24"/>
          <w:szCs w:val="24"/>
        </w:rPr>
      </w:pPr>
    </w:p>
    <w:p w:rsidR="007C1ABD" w:rsidRPr="0014201F" w:rsidRDefault="007C1ABD" w:rsidP="00CC23B5">
      <w:pPr>
        <w:spacing w:after="0"/>
        <w:rPr>
          <w:rFonts w:ascii="Arial" w:hAnsi="Arial" w:cs="Arial"/>
          <w:b/>
          <w:sz w:val="24"/>
          <w:szCs w:val="24"/>
        </w:rPr>
      </w:pPr>
      <w:r w:rsidRPr="0014201F">
        <w:rPr>
          <w:rFonts w:ascii="Arial" w:hAnsi="Arial" w:cs="Arial"/>
          <w:b/>
          <w:sz w:val="24"/>
          <w:szCs w:val="24"/>
        </w:rPr>
        <w:t>DESCRIPTION</w:t>
      </w:r>
    </w:p>
    <w:p w:rsidR="007C1ABD" w:rsidRDefault="007C1ABD" w:rsidP="00CC23B5">
      <w:pPr>
        <w:spacing w:after="0"/>
        <w:rPr>
          <w:rFonts w:ascii="Arial" w:hAnsi="Arial" w:cs="Arial"/>
          <w:sz w:val="24"/>
          <w:szCs w:val="24"/>
        </w:rPr>
      </w:pPr>
    </w:p>
    <w:p w:rsidR="00633F45" w:rsidRDefault="0074564F" w:rsidP="00633F45">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hydrochloride is a white to almost white </w:t>
      </w:r>
      <w:r w:rsidR="00643C07">
        <w:rPr>
          <w:rFonts w:ascii="Arial" w:hAnsi="Arial" w:cs="Arial"/>
          <w:sz w:val="24"/>
          <w:szCs w:val="24"/>
        </w:rPr>
        <w:t xml:space="preserve">crystalline </w:t>
      </w:r>
      <w:r>
        <w:rPr>
          <w:rFonts w:ascii="Arial" w:hAnsi="Arial" w:cs="Arial"/>
          <w:sz w:val="24"/>
          <w:szCs w:val="24"/>
        </w:rPr>
        <w:t>powder with the molecular formula C</w:t>
      </w:r>
      <w:r w:rsidRPr="0074564F">
        <w:rPr>
          <w:rFonts w:ascii="Arial" w:hAnsi="Arial" w:cs="Arial"/>
          <w:sz w:val="24"/>
          <w:szCs w:val="24"/>
          <w:vertAlign w:val="subscript"/>
        </w:rPr>
        <w:t>15</w:t>
      </w:r>
      <w:r>
        <w:rPr>
          <w:rFonts w:ascii="Arial" w:hAnsi="Arial" w:cs="Arial"/>
          <w:sz w:val="24"/>
          <w:szCs w:val="24"/>
        </w:rPr>
        <w:t>H</w:t>
      </w:r>
      <w:r w:rsidRPr="0074564F">
        <w:rPr>
          <w:rFonts w:ascii="Arial" w:hAnsi="Arial" w:cs="Arial"/>
          <w:sz w:val="24"/>
          <w:szCs w:val="24"/>
          <w:vertAlign w:val="subscript"/>
        </w:rPr>
        <w:t>23</w:t>
      </w:r>
      <w:r>
        <w:rPr>
          <w:rFonts w:ascii="Arial" w:hAnsi="Arial" w:cs="Arial"/>
          <w:sz w:val="24"/>
          <w:szCs w:val="24"/>
        </w:rPr>
        <w:t>ClN</w:t>
      </w:r>
      <w:r w:rsidRPr="0074564F">
        <w:rPr>
          <w:rFonts w:ascii="Arial" w:hAnsi="Arial" w:cs="Arial"/>
          <w:sz w:val="24"/>
          <w:szCs w:val="24"/>
          <w:vertAlign w:val="subscript"/>
        </w:rPr>
        <w:t>2</w:t>
      </w:r>
      <w:r>
        <w:rPr>
          <w:rFonts w:ascii="Arial" w:hAnsi="Arial" w:cs="Arial"/>
          <w:sz w:val="24"/>
          <w:szCs w:val="24"/>
        </w:rPr>
        <w:t xml:space="preserve">O and a molecular weight of 282.8.  </w:t>
      </w:r>
      <w:proofErr w:type="spellStart"/>
      <w:r w:rsidR="00633F45">
        <w:rPr>
          <w:rFonts w:ascii="Arial" w:hAnsi="Arial" w:cs="Arial"/>
          <w:sz w:val="24"/>
          <w:szCs w:val="24"/>
        </w:rPr>
        <w:t>Milnacipran</w:t>
      </w:r>
      <w:proofErr w:type="spellEnd"/>
      <w:r w:rsidR="00633F45">
        <w:rPr>
          <w:rFonts w:ascii="Arial" w:hAnsi="Arial" w:cs="Arial"/>
          <w:sz w:val="24"/>
          <w:szCs w:val="24"/>
        </w:rPr>
        <w:t xml:space="preserve"> hydrochloride is freely soluble in water, methanol, ethanol, </w:t>
      </w:r>
      <w:proofErr w:type="spellStart"/>
      <w:r w:rsidR="00633F45">
        <w:rPr>
          <w:rFonts w:ascii="Arial" w:hAnsi="Arial" w:cs="Arial"/>
          <w:sz w:val="24"/>
          <w:szCs w:val="24"/>
        </w:rPr>
        <w:t>butanol</w:t>
      </w:r>
      <w:proofErr w:type="spellEnd"/>
      <w:r w:rsidR="00633F45">
        <w:rPr>
          <w:rFonts w:ascii="Arial" w:hAnsi="Arial" w:cs="Arial"/>
          <w:sz w:val="24"/>
          <w:szCs w:val="24"/>
        </w:rPr>
        <w:t xml:space="preserve">, chloroform, dichloromethane and very slightly soluble in ethyl ether.  It is non to </w:t>
      </w:r>
      <w:r w:rsidR="00643C07">
        <w:rPr>
          <w:rFonts w:ascii="Arial" w:hAnsi="Arial" w:cs="Arial"/>
          <w:sz w:val="24"/>
          <w:szCs w:val="24"/>
        </w:rPr>
        <w:t xml:space="preserve">slightly hygroscopic with a </w:t>
      </w:r>
      <w:proofErr w:type="spellStart"/>
      <w:r w:rsidR="00643C07">
        <w:rPr>
          <w:rFonts w:ascii="Arial" w:hAnsi="Arial" w:cs="Arial"/>
          <w:sz w:val="24"/>
          <w:szCs w:val="24"/>
        </w:rPr>
        <w:t>pKa</w:t>
      </w:r>
      <w:proofErr w:type="spellEnd"/>
      <w:r w:rsidR="00643C07">
        <w:rPr>
          <w:rFonts w:ascii="Arial" w:hAnsi="Arial" w:cs="Arial"/>
          <w:sz w:val="24"/>
          <w:szCs w:val="24"/>
        </w:rPr>
        <w:t xml:space="preserve"> value of </w:t>
      </w:r>
      <w:r w:rsidR="00633F45">
        <w:rPr>
          <w:rFonts w:ascii="Arial" w:hAnsi="Arial" w:cs="Arial"/>
          <w:sz w:val="24"/>
          <w:szCs w:val="24"/>
        </w:rPr>
        <w:t xml:space="preserve">9.65.  </w:t>
      </w:r>
      <w:proofErr w:type="spellStart"/>
      <w:r w:rsidR="00633F45">
        <w:rPr>
          <w:rFonts w:ascii="Arial" w:hAnsi="Arial" w:cs="Arial"/>
          <w:sz w:val="24"/>
          <w:szCs w:val="24"/>
        </w:rPr>
        <w:t>Milnacipran</w:t>
      </w:r>
      <w:proofErr w:type="spellEnd"/>
      <w:r w:rsidR="00633F45">
        <w:rPr>
          <w:rFonts w:ascii="Arial" w:hAnsi="Arial" w:cs="Arial"/>
          <w:sz w:val="24"/>
          <w:szCs w:val="24"/>
        </w:rPr>
        <w:t xml:space="preserve"> hydrochloride is a </w:t>
      </w:r>
      <w:proofErr w:type="spellStart"/>
      <w:r w:rsidR="00633F45">
        <w:rPr>
          <w:rFonts w:ascii="Arial" w:hAnsi="Arial" w:cs="Arial"/>
          <w:sz w:val="24"/>
          <w:szCs w:val="24"/>
        </w:rPr>
        <w:t>racemic</w:t>
      </w:r>
      <w:proofErr w:type="spellEnd"/>
      <w:r w:rsidR="00633F45">
        <w:rPr>
          <w:rFonts w:ascii="Arial" w:hAnsi="Arial" w:cs="Arial"/>
          <w:sz w:val="24"/>
          <w:szCs w:val="24"/>
        </w:rPr>
        <w:t xml:space="preserve"> mixture of the isomers 1R, 2S and 1S, 2R.</w:t>
      </w:r>
      <w:r w:rsidR="00DB1F81">
        <w:rPr>
          <w:rFonts w:ascii="Arial" w:hAnsi="Arial" w:cs="Arial"/>
          <w:sz w:val="24"/>
          <w:szCs w:val="24"/>
        </w:rPr>
        <w:t xml:space="preserve">  The partition coefficient between </w:t>
      </w:r>
      <w:proofErr w:type="spellStart"/>
      <w:r w:rsidR="00DB1F81">
        <w:rPr>
          <w:rFonts w:ascii="Arial" w:hAnsi="Arial" w:cs="Arial"/>
          <w:sz w:val="24"/>
          <w:szCs w:val="24"/>
        </w:rPr>
        <w:t>octanol</w:t>
      </w:r>
      <w:proofErr w:type="spellEnd"/>
      <w:r w:rsidR="00DB1F81">
        <w:rPr>
          <w:rFonts w:ascii="Arial" w:hAnsi="Arial" w:cs="Arial"/>
          <w:sz w:val="24"/>
          <w:szCs w:val="24"/>
        </w:rPr>
        <w:t xml:space="preserve"> and an aqueous buffer (pH = 7.2), P=0.27 shows the highly hydrophilic character of </w:t>
      </w:r>
      <w:proofErr w:type="spellStart"/>
      <w:r w:rsidR="00DB1F81">
        <w:rPr>
          <w:rFonts w:ascii="Arial" w:hAnsi="Arial" w:cs="Arial"/>
          <w:sz w:val="24"/>
          <w:szCs w:val="24"/>
        </w:rPr>
        <w:t>milnacipran</w:t>
      </w:r>
      <w:proofErr w:type="spellEnd"/>
      <w:r w:rsidR="00DB1F81">
        <w:rPr>
          <w:rFonts w:ascii="Arial" w:hAnsi="Arial" w:cs="Arial"/>
          <w:sz w:val="24"/>
          <w:szCs w:val="24"/>
        </w:rPr>
        <w:t xml:space="preserve"> hydrochloride.</w:t>
      </w:r>
    </w:p>
    <w:p w:rsidR="00643C07" w:rsidRDefault="00643C07" w:rsidP="00633F45">
      <w:pPr>
        <w:spacing w:after="0"/>
        <w:rPr>
          <w:rFonts w:ascii="Arial" w:hAnsi="Arial" w:cs="Arial"/>
          <w:sz w:val="24"/>
          <w:szCs w:val="24"/>
        </w:rPr>
      </w:pPr>
    </w:p>
    <w:p w:rsidR="00497FD9" w:rsidRDefault="00643C07" w:rsidP="00497FD9">
      <w:pPr>
        <w:spacing w:after="0"/>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milnacipran</w:t>
      </w:r>
      <w:proofErr w:type="spellEnd"/>
      <w:r>
        <w:rPr>
          <w:rFonts w:ascii="Arial" w:hAnsi="Arial" w:cs="Arial"/>
          <w:sz w:val="24"/>
          <w:szCs w:val="24"/>
        </w:rPr>
        <w:t xml:space="preserve"> hydrochloride drug product is presented in an immediate-release hard capsule containing 25, 50 and 100 mg of </w:t>
      </w:r>
      <w:proofErr w:type="spellStart"/>
      <w:r>
        <w:rPr>
          <w:rFonts w:ascii="Arial" w:hAnsi="Arial" w:cs="Arial"/>
          <w:sz w:val="24"/>
          <w:szCs w:val="24"/>
        </w:rPr>
        <w:t>milnacipran</w:t>
      </w:r>
      <w:proofErr w:type="spellEnd"/>
      <w:r>
        <w:rPr>
          <w:rFonts w:ascii="Arial" w:hAnsi="Arial" w:cs="Arial"/>
          <w:sz w:val="24"/>
          <w:szCs w:val="24"/>
        </w:rPr>
        <w:t xml:space="preserve"> hydrochloride</w:t>
      </w:r>
      <w:r w:rsidR="003323BD">
        <w:rPr>
          <w:rFonts w:ascii="Arial" w:hAnsi="Arial" w:cs="Arial"/>
          <w:sz w:val="24"/>
          <w:szCs w:val="24"/>
        </w:rPr>
        <w:t xml:space="preserve">.  </w:t>
      </w:r>
      <w:proofErr w:type="spellStart"/>
      <w:r w:rsidR="0095162D">
        <w:rPr>
          <w:rFonts w:ascii="Arial" w:hAnsi="Arial" w:cs="Arial"/>
          <w:sz w:val="24"/>
          <w:szCs w:val="24"/>
        </w:rPr>
        <w:t>Milnacipran</w:t>
      </w:r>
      <w:proofErr w:type="spellEnd"/>
      <w:r w:rsidR="0095162D">
        <w:rPr>
          <w:rFonts w:ascii="Arial" w:hAnsi="Arial" w:cs="Arial"/>
          <w:sz w:val="24"/>
          <w:szCs w:val="24"/>
        </w:rPr>
        <w:t xml:space="preserve"> hydrochloride </w:t>
      </w:r>
      <w:r w:rsidR="00406614">
        <w:rPr>
          <w:rFonts w:ascii="Arial" w:hAnsi="Arial" w:cs="Arial"/>
          <w:sz w:val="24"/>
          <w:szCs w:val="24"/>
        </w:rPr>
        <w:t>capsules also contain</w:t>
      </w:r>
      <w:r w:rsidR="0095162D">
        <w:rPr>
          <w:rFonts w:ascii="Arial" w:hAnsi="Arial" w:cs="Arial"/>
          <w:sz w:val="24"/>
          <w:szCs w:val="24"/>
        </w:rPr>
        <w:t xml:space="preserve"> the </w:t>
      </w:r>
      <w:proofErr w:type="spellStart"/>
      <w:r w:rsidR="0095162D">
        <w:rPr>
          <w:rFonts w:ascii="Arial" w:hAnsi="Arial" w:cs="Arial"/>
          <w:sz w:val="24"/>
          <w:szCs w:val="24"/>
        </w:rPr>
        <w:t>ex</w:t>
      </w:r>
      <w:r w:rsidR="00713243">
        <w:rPr>
          <w:rFonts w:ascii="Arial" w:hAnsi="Arial" w:cs="Arial"/>
          <w:sz w:val="24"/>
          <w:szCs w:val="24"/>
        </w:rPr>
        <w:t>c</w:t>
      </w:r>
      <w:r w:rsidR="0095162D">
        <w:rPr>
          <w:rFonts w:ascii="Arial" w:hAnsi="Arial" w:cs="Arial"/>
          <w:sz w:val="24"/>
          <w:szCs w:val="24"/>
        </w:rPr>
        <w:t>ipients</w:t>
      </w:r>
      <w:proofErr w:type="spellEnd"/>
      <w:r w:rsidR="0095162D">
        <w:rPr>
          <w:rFonts w:ascii="Arial" w:hAnsi="Arial" w:cs="Arial"/>
          <w:sz w:val="24"/>
          <w:szCs w:val="24"/>
        </w:rPr>
        <w:t xml:space="preserve">: calcium hydrogen phosphate, </w:t>
      </w:r>
      <w:proofErr w:type="spellStart"/>
      <w:r w:rsidR="0095162D">
        <w:rPr>
          <w:rFonts w:ascii="Arial" w:hAnsi="Arial" w:cs="Arial"/>
          <w:sz w:val="24"/>
          <w:szCs w:val="24"/>
        </w:rPr>
        <w:t>carmellose</w:t>
      </w:r>
      <w:proofErr w:type="spellEnd"/>
      <w:r w:rsidR="0095162D">
        <w:rPr>
          <w:rFonts w:ascii="Arial" w:hAnsi="Arial" w:cs="Arial"/>
          <w:sz w:val="24"/>
          <w:szCs w:val="24"/>
        </w:rPr>
        <w:t xml:space="preserve"> calcium, </w:t>
      </w:r>
      <w:proofErr w:type="spellStart"/>
      <w:r w:rsidR="0095162D">
        <w:rPr>
          <w:rFonts w:ascii="Arial" w:hAnsi="Arial" w:cs="Arial"/>
          <w:sz w:val="24"/>
          <w:szCs w:val="24"/>
        </w:rPr>
        <w:t>povidone</w:t>
      </w:r>
      <w:proofErr w:type="spellEnd"/>
      <w:r w:rsidR="002A76A0">
        <w:rPr>
          <w:rFonts w:ascii="Arial" w:hAnsi="Arial" w:cs="Arial"/>
          <w:sz w:val="24"/>
          <w:szCs w:val="24"/>
        </w:rPr>
        <w:t xml:space="preserve"> </w:t>
      </w:r>
      <w:r w:rsidR="002A76A0" w:rsidRPr="003323BD">
        <w:rPr>
          <w:rFonts w:ascii="Arial" w:hAnsi="Arial" w:cs="Arial"/>
          <w:sz w:val="24"/>
          <w:szCs w:val="24"/>
        </w:rPr>
        <w:t>K30</w:t>
      </w:r>
      <w:r w:rsidR="0095162D" w:rsidRPr="003323BD">
        <w:rPr>
          <w:rFonts w:ascii="Arial" w:hAnsi="Arial" w:cs="Arial"/>
          <w:sz w:val="24"/>
          <w:szCs w:val="24"/>
        </w:rPr>
        <w:t>, silica</w:t>
      </w:r>
      <w:r w:rsidR="00995E57" w:rsidRPr="003323BD">
        <w:rPr>
          <w:rFonts w:ascii="Arial" w:hAnsi="Arial" w:cs="Arial"/>
          <w:sz w:val="24"/>
          <w:szCs w:val="24"/>
        </w:rPr>
        <w:t xml:space="preserve"> </w:t>
      </w:r>
      <w:r w:rsidR="003455AF" w:rsidRPr="003323BD">
        <w:rPr>
          <w:rFonts w:ascii="Arial" w:hAnsi="Arial" w:cs="Arial"/>
          <w:sz w:val="24"/>
          <w:szCs w:val="24"/>
        </w:rPr>
        <w:t>hydrophobic</w:t>
      </w:r>
      <w:r w:rsidR="003455AF">
        <w:rPr>
          <w:rFonts w:ascii="Arial" w:hAnsi="Arial" w:cs="Arial"/>
          <w:sz w:val="24"/>
          <w:szCs w:val="24"/>
        </w:rPr>
        <w:t xml:space="preserve"> </w:t>
      </w:r>
      <w:r w:rsidR="0095162D">
        <w:rPr>
          <w:rFonts w:ascii="Arial" w:hAnsi="Arial" w:cs="Arial"/>
          <w:sz w:val="24"/>
          <w:szCs w:val="24"/>
        </w:rPr>
        <w:t>colloidal, magne</w:t>
      </w:r>
      <w:r w:rsidR="00406614">
        <w:rPr>
          <w:rFonts w:ascii="Arial" w:hAnsi="Arial" w:cs="Arial"/>
          <w:sz w:val="24"/>
          <w:szCs w:val="24"/>
        </w:rPr>
        <w:t xml:space="preserve">sium </w:t>
      </w:r>
      <w:proofErr w:type="spellStart"/>
      <w:r w:rsidR="00406614">
        <w:rPr>
          <w:rFonts w:ascii="Arial" w:hAnsi="Arial" w:cs="Arial"/>
          <w:sz w:val="24"/>
          <w:szCs w:val="24"/>
        </w:rPr>
        <w:t>stearate</w:t>
      </w:r>
      <w:proofErr w:type="spellEnd"/>
      <w:r w:rsidR="00406614">
        <w:rPr>
          <w:rFonts w:ascii="Arial" w:hAnsi="Arial" w:cs="Arial"/>
          <w:sz w:val="24"/>
          <w:szCs w:val="24"/>
        </w:rPr>
        <w:t xml:space="preserve"> and talc-purified.  The hard capsule shells</w:t>
      </w:r>
      <w:r w:rsidR="00497FD9">
        <w:rPr>
          <w:rFonts w:ascii="Arial" w:hAnsi="Arial" w:cs="Arial"/>
          <w:sz w:val="24"/>
          <w:szCs w:val="24"/>
        </w:rPr>
        <w:t xml:space="preserve"> for the 25 mg and 100 mg strengths contain titanium dioxide (E171), </w:t>
      </w:r>
      <w:proofErr w:type="spellStart"/>
      <w:r w:rsidR="00497FD9">
        <w:rPr>
          <w:rFonts w:ascii="Arial" w:hAnsi="Arial" w:cs="Arial"/>
          <w:sz w:val="24"/>
          <w:szCs w:val="24"/>
        </w:rPr>
        <w:t>quinoline</w:t>
      </w:r>
      <w:proofErr w:type="spellEnd"/>
      <w:r w:rsidR="00497FD9">
        <w:rPr>
          <w:rFonts w:ascii="Arial" w:hAnsi="Arial" w:cs="Arial"/>
          <w:sz w:val="24"/>
          <w:szCs w:val="24"/>
        </w:rPr>
        <w:t xml:space="preserve"> yellow (E104), sunset yellow FCF (E110) and </w:t>
      </w:r>
      <w:proofErr w:type="spellStart"/>
      <w:r w:rsidR="00497FD9">
        <w:rPr>
          <w:rFonts w:ascii="Arial" w:hAnsi="Arial" w:cs="Arial"/>
          <w:sz w:val="24"/>
          <w:szCs w:val="24"/>
        </w:rPr>
        <w:t>gelatin</w:t>
      </w:r>
      <w:proofErr w:type="spellEnd"/>
      <w:r w:rsidR="00497FD9">
        <w:rPr>
          <w:rFonts w:ascii="Arial" w:hAnsi="Arial" w:cs="Arial"/>
          <w:sz w:val="24"/>
          <w:szCs w:val="24"/>
        </w:rPr>
        <w:t xml:space="preserve">.  The hard capsule shell for the 50 mg strength contains titanium dioxide (E171), sunset yellow FCF (E110) and </w:t>
      </w:r>
      <w:proofErr w:type="spellStart"/>
      <w:r w:rsidR="00497FD9">
        <w:rPr>
          <w:rFonts w:ascii="Arial" w:hAnsi="Arial" w:cs="Arial"/>
          <w:sz w:val="24"/>
          <w:szCs w:val="24"/>
        </w:rPr>
        <w:t>gelatin</w:t>
      </w:r>
      <w:proofErr w:type="spellEnd"/>
      <w:r w:rsidR="00497FD9">
        <w:rPr>
          <w:rFonts w:ascii="Arial" w:hAnsi="Arial" w:cs="Arial"/>
          <w:sz w:val="24"/>
          <w:szCs w:val="24"/>
        </w:rPr>
        <w:t>.</w:t>
      </w:r>
      <w:r w:rsidR="003F3B46">
        <w:rPr>
          <w:rFonts w:ascii="Arial" w:hAnsi="Arial" w:cs="Arial"/>
          <w:sz w:val="24"/>
          <w:szCs w:val="24"/>
        </w:rPr>
        <w:t xml:space="preserve">  The capsules are marked with food grade ink.</w:t>
      </w:r>
    </w:p>
    <w:p w:rsidR="003F3B46" w:rsidRDefault="003F3B46" w:rsidP="003F3B46">
      <w:pPr>
        <w:spacing w:after="0"/>
        <w:rPr>
          <w:rFonts w:ascii="Arial" w:hAnsi="Arial" w:cs="Arial"/>
          <w:sz w:val="24"/>
          <w:szCs w:val="24"/>
        </w:rPr>
      </w:pPr>
      <w:r>
        <w:rPr>
          <w:rFonts w:ascii="Arial" w:hAnsi="Arial" w:cs="Arial"/>
          <w:b/>
          <w:sz w:val="24"/>
          <w:szCs w:val="24"/>
        </w:rPr>
        <w:lastRenderedPageBreak/>
        <w:t>PHARMACOLOGY</w:t>
      </w:r>
    </w:p>
    <w:p w:rsidR="003F3B46" w:rsidRDefault="003F3B46" w:rsidP="003F3B46">
      <w:pPr>
        <w:spacing w:after="0"/>
        <w:rPr>
          <w:rFonts w:ascii="Arial" w:hAnsi="Arial" w:cs="Arial"/>
          <w:sz w:val="24"/>
          <w:szCs w:val="24"/>
        </w:rPr>
      </w:pPr>
    </w:p>
    <w:p w:rsidR="003F3B46" w:rsidRDefault="00744CD5" w:rsidP="003F3B46">
      <w:pPr>
        <w:spacing w:after="0"/>
        <w:rPr>
          <w:rFonts w:ascii="Arial" w:hAnsi="Arial" w:cs="Arial"/>
          <w:b/>
          <w:sz w:val="24"/>
          <w:szCs w:val="24"/>
        </w:rPr>
      </w:pPr>
      <w:proofErr w:type="spellStart"/>
      <w:r w:rsidRPr="00744CD5">
        <w:rPr>
          <w:rFonts w:ascii="Arial" w:hAnsi="Arial" w:cs="Arial"/>
          <w:b/>
          <w:sz w:val="24"/>
          <w:szCs w:val="24"/>
        </w:rPr>
        <w:t>Pharmacodynamics</w:t>
      </w:r>
      <w:proofErr w:type="spellEnd"/>
    </w:p>
    <w:p w:rsidR="00122854" w:rsidRPr="00744CD5" w:rsidRDefault="00122854" w:rsidP="003F3B46">
      <w:pPr>
        <w:spacing w:after="0"/>
        <w:rPr>
          <w:rFonts w:ascii="Arial" w:hAnsi="Arial" w:cs="Arial"/>
          <w:b/>
          <w:sz w:val="24"/>
          <w:szCs w:val="24"/>
        </w:rPr>
      </w:pPr>
    </w:p>
    <w:p w:rsidR="00744CD5" w:rsidRPr="003323BD" w:rsidRDefault="00744CD5" w:rsidP="003F3B46">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is a balanced</w:t>
      </w:r>
      <w:r w:rsidR="000D73F7">
        <w:rPr>
          <w:rFonts w:ascii="Arial" w:hAnsi="Arial" w:cs="Arial"/>
          <w:sz w:val="24"/>
          <w:szCs w:val="24"/>
        </w:rPr>
        <w:t>,</w:t>
      </w:r>
      <w:r>
        <w:rPr>
          <w:rFonts w:ascii="Arial" w:hAnsi="Arial" w:cs="Arial"/>
          <w:sz w:val="24"/>
          <w:szCs w:val="24"/>
        </w:rPr>
        <w:t xml:space="preserve"> specific</w:t>
      </w:r>
      <w:r w:rsidR="000D73F7">
        <w:rPr>
          <w:rFonts w:ascii="Arial" w:hAnsi="Arial" w:cs="Arial"/>
          <w:sz w:val="24"/>
          <w:szCs w:val="24"/>
        </w:rPr>
        <w:t>,</w:t>
      </w:r>
      <w:r>
        <w:rPr>
          <w:rFonts w:ascii="Arial" w:hAnsi="Arial" w:cs="Arial"/>
          <w:sz w:val="24"/>
          <w:szCs w:val="24"/>
        </w:rPr>
        <w:t xml:space="preserve"> dual reuptake inhibitor of </w:t>
      </w:r>
      <w:proofErr w:type="spellStart"/>
      <w:r>
        <w:rPr>
          <w:rFonts w:ascii="Arial" w:hAnsi="Arial" w:cs="Arial"/>
          <w:sz w:val="24"/>
          <w:szCs w:val="24"/>
        </w:rPr>
        <w:t>noradrenaline</w:t>
      </w:r>
      <w:proofErr w:type="spellEnd"/>
      <w:r>
        <w:rPr>
          <w:rFonts w:ascii="Arial" w:hAnsi="Arial" w:cs="Arial"/>
          <w:sz w:val="24"/>
          <w:szCs w:val="24"/>
        </w:rPr>
        <w:t xml:space="preserve"> (NA) and serotonin (5-hydroxytryptamine [5 HT])</w:t>
      </w:r>
      <w:r w:rsidR="00242084">
        <w:rPr>
          <w:rFonts w:ascii="Arial" w:hAnsi="Arial" w:cs="Arial"/>
          <w:sz w:val="24"/>
          <w:szCs w:val="24"/>
        </w:rPr>
        <w:t xml:space="preserve">, </w:t>
      </w:r>
      <w:r w:rsidR="000D73F7">
        <w:rPr>
          <w:rFonts w:ascii="Arial" w:hAnsi="Arial" w:cs="Arial"/>
          <w:sz w:val="24"/>
          <w:szCs w:val="24"/>
        </w:rPr>
        <w:t>inhibiting</w:t>
      </w:r>
      <w:r w:rsidR="00C9720D" w:rsidRPr="003323BD">
        <w:rPr>
          <w:rFonts w:ascii="Arial" w:hAnsi="Arial" w:cs="Arial"/>
          <w:sz w:val="24"/>
          <w:szCs w:val="24"/>
        </w:rPr>
        <w:t xml:space="preserve"> </w:t>
      </w:r>
      <w:proofErr w:type="spellStart"/>
      <w:r w:rsidR="00C9720D" w:rsidRPr="003323BD">
        <w:rPr>
          <w:rFonts w:ascii="Arial" w:hAnsi="Arial" w:cs="Arial"/>
          <w:sz w:val="24"/>
          <w:szCs w:val="24"/>
        </w:rPr>
        <w:t>noradrenaline</w:t>
      </w:r>
      <w:proofErr w:type="spellEnd"/>
      <w:r w:rsidR="00C9720D" w:rsidRPr="003323BD">
        <w:rPr>
          <w:rFonts w:ascii="Arial" w:hAnsi="Arial" w:cs="Arial"/>
          <w:sz w:val="24"/>
          <w:szCs w:val="24"/>
        </w:rPr>
        <w:t xml:space="preserve"> uptake with greater potency than serotonin.</w:t>
      </w:r>
    </w:p>
    <w:p w:rsidR="00744CD5" w:rsidRDefault="00744CD5" w:rsidP="003F3B46">
      <w:pPr>
        <w:spacing w:after="0"/>
        <w:rPr>
          <w:rFonts w:ascii="Arial" w:hAnsi="Arial" w:cs="Arial"/>
          <w:sz w:val="24"/>
          <w:szCs w:val="24"/>
        </w:rPr>
      </w:pPr>
    </w:p>
    <w:p w:rsidR="00744CD5" w:rsidRDefault="00744CD5" w:rsidP="003F3B46">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has no</w:t>
      </w:r>
      <w:r w:rsidR="000D73F7">
        <w:rPr>
          <w:rFonts w:ascii="Arial" w:hAnsi="Arial" w:cs="Arial"/>
          <w:sz w:val="24"/>
          <w:szCs w:val="24"/>
        </w:rPr>
        <w:t xml:space="preserve"> appreciable</w:t>
      </w:r>
      <w:r>
        <w:rPr>
          <w:rFonts w:ascii="Arial" w:hAnsi="Arial" w:cs="Arial"/>
          <w:sz w:val="24"/>
          <w:szCs w:val="24"/>
        </w:rPr>
        <w:t xml:space="preserve"> affinity for </w:t>
      </w:r>
      <w:proofErr w:type="spellStart"/>
      <w:r>
        <w:rPr>
          <w:rFonts w:ascii="Arial" w:hAnsi="Arial" w:cs="Arial"/>
          <w:sz w:val="24"/>
          <w:szCs w:val="24"/>
        </w:rPr>
        <w:t>serotoninergic</w:t>
      </w:r>
      <w:proofErr w:type="spellEnd"/>
      <w:r>
        <w:rPr>
          <w:rFonts w:ascii="Arial" w:hAnsi="Arial" w:cs="Arial"/>
          <w:sz w:val="24"/>
          <w:szCs w:val="24"/>
        </w:rPr>
        <w:t xml:space="preserve"> </w:t>
      </w:r>
      <w:r w:rsidRPr="00744CD5">
        <w:rPr>
          <w:rFonts w:ascii="Arial" w:hAnsi="Arial" w:cs="Arial"/>
          <w:sz w:val="24"/>
          <w:szCs w:val="24"/>
        </w:rPr>
        <w:t>(5HT</w:t>
      </w:r>
      <w:r w:rsidRPr="00744CD5">
        <w:rPr>
          <w:rFonts w:ascii="Arial" w:hAnsi="Arial" w:cs="Arial"/>
          <w:sz w:val="24"/>
          <w:szCs w:val="24"/>
          <w:vertAlign w:val="subscript"/>
        </w:rPr>
        <w:t>1-7</w:t>
      </w:r>
      <w:r w:rsidRPr="00744CD5">
        <w:rPr>
          <w:rFonts w:ascii="Arial" w:hAnsi="Arial" w:cs="Arial"/>
          <w:sz w:val="24"/>
          <w:szCs w:val="24"/>
        </w:rPr>
        <w:t>),</w:t>
      </w:r>
      <w:r>
        <w:rPr>
          <w:rFonts w:ascii="Arial" w:hAnsi="Arial" w:cs="Arial"/>
          <w:sz w:val="24"/>
          <w:szCs w:val="24"/>
        </w:rPr>
        <w:t xml:space="preserve"> α- or β-adrenergic, </w:t>
      </w:r>
      <w:proofErr w:type="spellStart"/>
      <w:r>
        <w:rPr>
          <w:rFonts w:ascii="Arial" w:hAnsi="Arial" w:cs="Arial"/>
          <w:sz w:val="24"/>
          <w:szCs w:val="24"/>
        </w:rPr>
        <w:t>muscarinic</w:t>
      </w:r>
      <w:proofErr w:type="spellEnd"/>
      <w:r>
        <w:rPr>
          <w:rFonts w:ascii="Arial" w:hAnsi="Arial" w:cs="Arial"/>
          <w:sz w:val="24"/>
          <w:szCs w:val="24"/>
        </w:rPr>
        <w:t xml:space="preserve"> (M</w:t>
      </w:r>
      <w:r w:rsidRPr="005719DC">
        <w:rPr>
          <w:rFonts w:ascii="Arial" w:hAnsi="Arial" w:cs="Arial"/>
          <w:sz w:val="24"/>
          <w:szCs w:val="24"/>
          <w:vertAlign w:val="subscript"/>
        </w:rPr>
        <w:t>1-5</w:t>
      </w:r>
      <w:r>
        <w:rPr>
          <w:rFonts w:ascii="Arial" w:hAnsi="Arial" w:cs="Arial"/>
          <w:sz w:val="24"/>
          <w:szCs w:val="24"/>
        </w:rPr>
        <w:t>), histamine (H</w:t>
      </w:r>
      <w:r w:rsidRPr="005719DC">
        <w:rPr>
          <w:rFonts w:ascii="Arial" w:hAnsi="Arial" w:cs="Arial"/>
          <w:sz w:val="24"/>
          <w:szCs w:val="24"/>
          <w:vertAlign w:val="subscript"/>
        </w:rPr>
        <w:t>1-4</w:t>
      </w:r>
      <w:r>
        <w:rPr>
          <w:rFonts w:ascii="Arial" w:hAnsi="Arial" w:cs="Arial"/>
          <w:sz w:val="24"/>
          <w:szCs w:val="24"/>
        </w:rPr>
        <w:t>), dopamine (D</w:t>
      </w:r>
      <w:r w:rsidRPr="005719DC">
        <w:rPr>
          <w:rFonts w:ascii="Arial" w:hAnsi="Arial" w:cs="Arial"/>
          <w:sz w:val="24"/>
          <w:szCs w:val="24"/>
          <w:vertAlign w:val="subscript"/>
        </w:rPr>
        <w:t>1-5</w:t>
      </w:r>
      <w:r>
        <w:rPr>
          <w:rFonts w:ascii="Arial" w:hAnsi="Arial" w:cs="Arial"/>
          <w:sz w:val="24"/>
          <w:szCs w:val="24"/>
        </w:rPr>
        <w:t xml:space="preserve">), opiate, benzodiazepine and </w:t>
      </w:r>
      <w:r w:rsidR="005719DC">
        <w:rPr>
          <w:rFonts w:ascii="Arial" w:hAnsi="Arial" w:cs="Arial"/>
          <w:sz w:val="24"/>
          <w:szCs w:val="24"/>
        </w:rPr>
        <w:t>γ</w:t>
      </w:r>
      <w:r>
        <w:rPr>
          <w:rFonts w:ascii="Arial" w:hAnsi="Arial" w:cs="Arial"/>
          <w:sz w:val="24"/>
          <w:szCs w:val="24"/>
        </w:rPr>
        <w:t>-</w:t>
      </w:r>
      <w:proofErr w:type="spellStart"/>
      <w:r>
        <w:rPr>
          <w:rFonts w:ascii="Arial" w:hAnsi="Arial" w:cs="Arial"/>
          <w:sz w:val="24"/>
          <w:szCs w:val="24"/>
        </w:rPr>
        <w:t>aminobutyric</w:t>
      </w:r>
      <w:proofErr w:type="spellEnd"/>
      <w:r>
        <w:rPr>
          <w:rFonts w:ascii="Arial" w:hAnsi="Arial" w:cs="Arial"/>
          <w:sz w:val="24"/>
          <w:szCs w:val="24"/>
        </w:rPr>
        <w:t xml:space="preserve"> acid</w:t>
      </w:r>
      <w:r w:rsidR="00856E3D">
        <w:rPr>
          <w:rFonts w:ascii="Arial" w:hAnsi="Arial" w:cs="Arial"/>
          <w:sz w:val="24"/>
          <w:szCs w:val="24"/>
        </w:rPr>
        <w:t>-A</w:t>
      </w:r>
      <w:r>
        <w:rPr>
          <w:rFonts w:ascii="Arial" w:hAnsi="Arial" w:cs="Arial"/>
          <w:sz w:val="24"/>
          <w:szCs w:val="24"/>
        </w:rPr>
        <w:t xml:space="preserve"> (GABA</w:t>
      </w:r>
      <w:r w:rsidR="00856E3D" w:rsidRPr="00856E3D">
        <w:rPr>
          <w:rFonts w:ascii="Arial" w:hAnsi="Arial" w:cs="Arial"/>
          <w:sz w:val="24"/>
          <w:szCs w:val="24"/>
          <w:vertAlign w:val="subscript"/>
        </w:rPr>
        <w:t>A</w:t>
      </w:r>
      <w:r>
        <w:rPr>
          <w:rFonts w:ascii="Arial" w:hAnsi="Arial" w:cs="Arial"/>
          <w:sz w:val="24"/>
          <w:szCs w:val="24"/>
        </w:rPr>
        <w:t xml:space="preserve">) receptors </w:t>
      </w:r>
      <w:r w:rsidRPr="005719DC">
        <w:rPr>
          <w:rFonts w:ascii="Arial" w:hAnsi="Arial" w:cs="Arial"/>
          <w:i/>
          <w:sz w:val="24"/>
          <w:szCs w:val="24"/>
        </w:rPr>
        <w:t>in vitro</w:t>
      </w:r>
      <w:r>
        <w:rPr>
          <w:rFonts w:ascii="Arial" w:hAnsi="Arial" w:cs="Arial"/>
          <w:sz w:val="24"/>
          <w:szCs w:val="24"/>
        </w:rPr>
        <w:t>.</w:t>
      </w:r>
      <w:r w:rsidR="005719DC">
        <w:rPr>
          <w:rFonts w:ascii="Arial" w:hAnsi="Arial" w:cs="Arial"/>
          <w:sz w:val="24"/>
          <w:szCs w:val="24"/>
        </w:rPr>
        <w:t xml:space="preserve">  </w:t>
      </w:r>
      <w:proofErr w:type="spellStart"/>
      <w:r w:rsidR="00E725DF">
        <w:rPr>
          <w:rFonts w:ascii="Arial" w:hAnsi="Arial" w:cs="Arial"/>
          <w:sz w:val="24"/>
          <w:szCs w:val="24"/>
        </w:rPr>
        <w:t>Milnacipran</w:t>
      </w:r>
      <w:proofErr w:type="spellEnd"/>
      <w:r w:rsidR="00E725DF">
        <w:rPr>
          <w:rFonts w:ascii="Arial" w:hAnsi="Arial" w:cs="Arial"/>
          <w:sz w:val="24"/>
          <w:szCs w:val="24"/>
        </w:rPr>
        <w:t xml:space="preserve"> has no significant activity for Ca</w:t>
      </w:r>
      <w:r w:rsidR="00E725DF" w:rsidRPr="00E725DF">
        <w:rPr>
          <w:rFonts w:ascii="Arial" w:hAnsi="Arial" w:cs="Arial"/>
          <w:sz w:val="24"/>
          <w:szCs w:val="24"/>
          <w:vertAlign w:val="superscript"/>
        </w:rPr>
        <w:t>++</w:t>
      </w:r>
      <w:r w:rsidR="00E725DF">
        <w:rPr>
          <w:rFonts w:ascii="Arial" w:hAnsi="Arial" w:cs="Arial"/>
          <w:sz w:val="24"/>
          <w:szCs w:val="24"/>
        </w:rPr>
        <w:t>, K</w:t>
      </w:r>
      <w:r w:rsidR="00E725DF" w:rsidRPr="00E725DF">
        <w:rPr>
          <w:rFonts w:ascii="Arial" w:hAnsi="Arial" w:cs="Arial"/>
          <w:sz w:val="24"/>
          <w:szCs w:val="24"/>
          <w:vertAlign w:val="superscript"/>
        </w:rPr>
        <w:t>+</w:t>
      </w:r>
      <w:r w:rsidR="00E725DF">
        <w:rPr>
          <w:rFonts w:ascii="Arial" w:hAnsi="Arial" w:cs="Arial"/>
          <w:sz w:val="24"/>
          <w:szCs w:val="24"/>
        </w:rPr>
        <w:t>, Na</w:t>
      </w:r>
      <w:r w:rsidR="00E725DF" w:rsidRPr="00E725DF">
        <w:rPr>
          <w:rFonts w:ascii="Arial" w:hAnsi="Arial" w:cs="Arial"/>
          <w:sz w:val="24"/>
          <w:szCs w:val="24"/>
          <w:vertAlign w:val="superscript"/>
        </w:rPr>
        <w:t>+</w:t>
      </w:r>
      <w:r w:rsidR="00E725DF">
        <w:rPr>
          <w:rFonts w:ascii="Arial" w:hAnsi="Arial" w:cs="Arial"/>
          <w:sz w:val="24"/>
          <w:szCs w:val="24"/>
        </w:rPr>
        <w:t xml:space="preserve">, </w:t>
      </w:r>
      <w:proofErr w:type="spellStart"/>
      <w:r w:rsidR="00E725DF">
        <w:rPr>
          <w:rFonts w:ascii="Arial" w:hAnsi="Arial" w:cs="Arial"/>
          <w:sz w:val="24"/>
          <w:szCs w:val="24"/>
        </w:rPr>
        <w:t>Cl</w:t>
      </w:r>
      <w:proofErr w:type="spellEnd"/>
      <w:r w:rsidR="00E725DF" w:rsidRPr="00E725DF">
        <w:rPr>
          <w:rFonts w:ascii="Arial" w:hAnsi="Arial" w:cs="Arial"/>
          <w:sz w:val="24"/>
          <w:szCs w:val="24"/>
          <w:vertAlign w:val="superscript"/>
        </w:rPr>
        <w:t>-</w:t>
      </w:r>
      <w:r w:rsidR="00E725DF">
        <w:rPr>
          <w:rFonts w:ascii="Arial" w:hAnsi="Arial" w:cs="Arial"/>
          <w:sz w:val="24"/>
          <w:szCs w:val="24"/>
        </w:rPr>
        <w:t xml:space="preserve"> channels and does not inhibit the activity of human monoamine </w:t>
      </w:r>
      <w:proofErr w:type="spellStart"/>
      <w:r w:rsidR="00E725DF">
        <w:rPr>
          <w:rFonts w:ascii="Arial" w:hAnsi="Arial" w:cs="Arial"/>
          <w:sz w:val="24"/>
          <w:szCs w:val="24"/>
        </w:rPr>
        <w:t>oxidases</w:t>
      </w:r>
      <w:proofErr w:type="spellEnd"/>
      <w:r w:rsidR="00E725DF">
        <w:rPr>
          <w:rFonts w:ascii="Arial" w:hAnsi="Arial" w:cs="Arial"/>
          <w:sz w:val="24"/>
          <w:szCs w:val="24"/>
        </w:rPr>
        <w:t xml:space="preserve"> (MAO-A and MAO-B) or of </w:t>
      </w:r>
      <w:proofErr w:type="spellStart"/>
      <w:r w:rsidR="00E725DF">
        <w:rPr>
          <w:rFonts w:ascii="Arial" w:hAnsi="Arial" w:cs="Arial"/>
          <w:sz w:val="24"/>
          <w:szCs w:val="24"/>
        </w:rPr>
        <w:t>acetylcholinesterase</w:t>
      </w:r>
      <w:proofErr w:type="spellEnd"/>
      <w:r w:rsidR="00E725DF">
        <w:rPr>
          <w:rFonts w:ascii="Arial" w:hAnsi="Arial" w:cs="Arial"/>
          <w:sz w:val="24"/>
          <w:szCs w:val="24"/>
        </w:rPr>
        <w:t>.</w:t>
      </w:r>
    </w:p>
    <w:p w:rsidR="00E725DF" w:rsidRDefault="00E725DF" w:rsidP="003F3B46">
      <w:pPr>
        <w:spacing w:after="0"/>
        <w:rPr>
          <w:rFonts w:ascii="Arial" w:hAnsi="Arial" w:cs="Arial"/>
          <w:sz w:val="24"/>
          <w:szCs w:val="24"/>
        </w:rPr>
      </w:pPr>
    </w:p>
    <w:p w:rsidR="007441DF" w:rsidRDefault="007441DF" w:rsidP="003F3B46">
      <w:pPr>
        <w:spacing w:after="0"/>
        <w:rPr>
          <w:rFonts w:ascii="Arial" w:hAnsi="Arial" w:cs="Arial"/>
          <w:sz w:val="24"/>
          <w:szCs w:val="24"/>
        </w:rPr>
      </w:pPr>
      <w:r w:rsidRPr="007441DF">
        <w:rPr>
          <w:rFonts w:ascii="Arial" w:hAnsi="Arial" w:cs="Arial"/>
          <w:i/>
          <w:sz w:val="24"/>
          <w:szCs w:val="24"/>
        </w:rPr>
        <w:t>In vivo</w:t>
      </w:r>
      <w:r>
        <w:rPr>
          <w:rFonts w:ascii="Arial" w:hAnsi="Arial" w:cs="Arial"/>
          <w:sz w:val="24"/>
          <w:szCs w:val="24"/>
        </w:rPr>
        <w:t xml:space="preserve">, </w:t>
      </w:r>
      <w:proofErr w:type="spellStart"/>
      <w:r>
        <w:rPr>
          <w:rFonts w:ascii="Arial" w:hAnsi="Arial" w:cs="Arial"/>
          <w:sz w:val="24"/>
          <w:szCs w:val="24"/>
        </w:rPr>
        <w:t>milnacipran</w:t>
      </w:r>
      <w:proofErr w:type="spellEnd"/>
      <w:r>
        <w:rPr>
          <w:rFonts w:ascii="Arial" w:hAnsi="Arial" w:cs="Arial"/>
          <w:sz w:val="24"/>
          <w:szCs w:val="24"/>
        </w:rPr>
        <w:t xml:space="preserve"> </w:t>
      </w:r>
      <w:r w:rsidR="00856E3D">
        <w:rPr>
          <w:rFonts w:ascii="Arial" w:hAnsi="Arial" w:cs="Arial"/>
          <w:sz w:val="24"/>
          <w:szCs w:val="24"/>
        </w:rPr>
        <w:t xml:space="preserve">shows </w:t>
      </w:r>
      <w:proofErr w:type="spellStart"/>
      <w:r w:rsidR="00856E3D">
        <w:rPr>
          <w:rFonts w:ascii="Arial" w:hAnsi="Arial" w:cs="Arial"/>
          <w:sz w:val="24"/>
          <w:szCs w:val="24"/>
        </w:rPr>
        <w:t>antinociceptive</w:t>
      </w:r>
      <w:proofErr w:type="spellEnd"/>
      <w:r w:rsidR="00856E3D">
        <w:rPr>
          <w:rFonts w:ascii="Arial" w:hAnsi="Arial" w:cs="Arial"/>
          <w:sz w:val="24"/>
          <w:szCs w:val="24"/>
        </w:rPr>
        <w:t xml:space="preserve"> activity</w:t>
      </w:r>
      <w:r>
        <w:rPr>
          <w:rFonts w:ascii="Arial" w:hAnsi="Arial" w:cs="Arial"/>
          <w:sz w:val="24"/>
          <w:szCs w:val="24"/>
        </w:rPr>
        <w:t xml:space="preserve"> in some animal models</w:t>
      </w:r>
      <w:r w:rsidR="00856E3D">
        <w:rPr>
          <w:rFonts w:ascii="Arial" w:hAnsi="Arial" w:cs="Arial"/>
          <w:sz w:val="24"/>
          <w:szCs w:val="24"/>
        </w:rPr>
        <w:t xml:space="preserve"> of chronic pain</w:t>
      </w:r>
      <w:r>
        <w:rPr>
          <w:rFonts w:ascii="Arial" w:hAnsi="Arial" w:cs="Arial"/>
          <w:sz w:val="24"/>
          <w:szCs w:val="24"/>
        </w:rPr>
        <w:t xml:space="preserve"> (neuropathic or arthritic models)</w:t>
      </w:r>
      <w:r w:rsidR="00856E3D">
        <w:rPr>
          <w:rFonts w:ascii="Arial" w:hAnsi="Arial" w:cs="Arial"/>
          <w:sz w:val="24"/>
          <w:szCs w:val="24"/>
        </w:rPr>
        <w:t>,</w:t>
      </w:r>
      <w:r>
        <w:rPr>
          <w:rFonts w:ascii="Arial" w:hAnsi="Arial" w:cs="Arial"/>
          <w:sz w:val="24"/>
          <w:szCs w:val="24"/>
        </w:rPr>
        <w:t xml:space="preserve"> and demonstrates antidepressant-like effects in </w:t>
      </w:r>
      <w:r w:rsidR="00856E3D">
        <w:rPr>
          <w:rFonts w:ascii="Arial" w:hAnsi="Arial" w:cs="Arial"/>
          <w:sz w:val="24"/>
          <w:szCs w:val="24"/>
        </w:rPr>
        <w:t xml:space="preserve">nonclinical </w:t>
      </w:r>
      <w:r>
        <w:rPr>
          <w:rFonts w:ascii="Arial" w:hAnsi="Arial" w:cs="Arial"/>
          <w:sz w:val="24"/>
          <w:szCs w:val="24"/>
        </w:rPr>
        <w:t>models of mood disorders (anxiety, depression, cognition).</w:t>
      </w:r>
    </w:p>
    <w:p w:rsidR="00D72FFF" w:rsidRDefault="00D72FFF" w:rsidP="003F3B46">
      <w:pPr>
        <w:spacing w:after="0"/>
        <w:rPr>
          <w:rFonts w:ascii="Arial" w:hAnsi="Arial" w:cs="Arial"/>
          <w:sz w:val="24"/>
          <w:szCs w:val="24"/>
        </w:rPr>
      </w:pPr>
    </w:p>
    <w:p w:rsidR="007441DF" w:rsidRPr="007441DF" w:rsidRDefault="007441DF" w:rsidP="003F3B46">
      <w:pPr>
        <w:spacing w:after="0"/>
        <w:rPr>
          <w:rFonts w:ascii="Arial" w:hAnsi="Arial" w:cs="Arial"/>
          <w:b/>
          <w:sz w:val="24"/>
          <w:szCs w:val="24"/>
        </w:rPr>
      </w:pPr>
      <w:r w:rsidRPr="007441DF">
        <w:rPr>
          <w:rFonts w:ascii="Arial" w:hAnsi="Arial" w:cs="Arial"/>
          <w:b/>
          <w:sz w:val="24"/>
          <w:szCs w:val="24"/>
        </w:rPr>
        <w:t>Pharmacokinetics</w:t>
      </w:r>
    </w:p>
    <w:p w:rsidR="007441DF" w:rsidRDefault="007441DF" w:rsidP="003F3B46">
      <w:pPr>
        <w:spacing w:after="0"/>
        <w:rPr>
          <w:rFonts w:ascii="Arial" w:hAnsi="Arial" w:cs="Arial"/>
          <w:sz w:val="24"/>
          <w:szCs w:val="24"/>
        </w:rPr>
      </w:pPr>
    </w:p>
    <w:p w:rsidR="007441DF" w:rsidRPr="00EA040E" w:rsidRDefault="007441DF" w:rsidP="003F3B46">
      <w:pPr>
        <w:spacing w:after="0"/>
        <w:rPr>
          <w:rFonts w:ascii="Arial" w:hAnsi="Arial" w:cs="Arial"/>
          <w:sz w:val="24"/>
          <w:szCs w:val="24"/>
          <w:u w:val="single"/>
        </w:rPr>
      </w:pPr>
      <w:r w:rsidRPr="00EA040E">
        <w:rPr>
          <w:rFonts w:ascii="Arial" w:hAnsi="Arial" w:cs="Arial"/>
          <w:sz w:val="24"/>
          <w:szCs w:val="24"/>
          <w:u w:val="single"/>
        </w:rPr>
        <w:t>Absorption</w:t>
      </w:r>
    </w:p>
    <w:p w:rsidR="007441DF" w:rsidRPr="008552E4" w:rsidRDefault="007441DF" w:rsidP="003F3B46">
      <w:pPr>
        <w:spacing w:after="0"/>
        <w:rPr>
          <w:rFonts w:ascii="Arial" w:hAnsi="Arial" w:cs="Arial"/>
          <w:sz w:val="24"/>
          <w:szCs w:val="24"/>
        </w:rPr>
      </w:pPr>
      <w:r>
        <w:rPr>
          <w:rFonts w:ascii="Arial" w:hAnsi="Arial" w:cs="Arial"/>
          <w:sz w:val="24"/>
          <w:szCs w:val="24"/>
        </w:rPr>
        <w:t>After oral administration</w:t>
      </w:r>
      <w:r w:rsidR="000617C3">
        <w:rPr>
          <w:rFonts w:ascii="Arial" w:hAnsi="Arial" w:cs="Arial"/>
          <w:sz w:val="24"/>
          <w:szCs w:val="24"/>
        </w:rPr>
        <w:t xml:space="preserve">, </w:t>
      </w:r>
      <w:proofErr w:type="spellStart"/>
      <w:r w:rsidR="000617C3">
        <w:rPr>
          <w:rFonts w:ascii="Arial" w:hAnsi="Arial" w:cs="Arial"/>
          <w:sz w:val="24"/>
          <w:szCs w:val="24"/>
        </w:rPr>
        <w:t>milnacipran</w:t>
      </w:r>
      <w:proofErr w:type="spellEnd"/>
      <w:r w:rsidR="000617C3">
        <w:rPr>
          <w:rFonts w:ascii="Arial" w:hAnsi="Arial" w:cs="Arial"/>
          <w:sz w:val="24"/>
          <w:szCs w:val="24"/>
        </w:rPr>
        <w:t xml:space="preserve"> is well-absorbed.  Its absolute bioavailability is about 85% and concomitant food intake does not affect the bioavailability.  Peak plasma concentration (</w:t>
      </w:r>
      <w:proofErr w:type="spellStart"/>
      <w:r w:rsidR="000617C3">
        <w:rPr>
          <w:rFonts w:ascii="Arial" w:hAnsi="Arial" w:cs="Arial"/>
          <w:sz w:val="24"/>
          <w:szCs w:val="24"/>
        </w:rPr>
        <w:t>C</w:t>
      </w:r>
      <w:r w:rsidR="000617C3" w:rsidRPr="000617C3">
        <w:rPr>
          <w:rFonts w:ascii="Arial" w:hAnsi="Arial" w:cs="Arial"/>
          <w:sz w:val="24"/>
          <w:szCs w:val="24"/>
          <w:vertAlign w:val="subscript"/>
        </w:rPr>
        <w:t>max</w:t>
      </w:r>
      <w:proofErr w:type="spellEnd"/>
      <w:r w:rsidR="000617C3">
        <w:rPr>
          <w:rFonts w:ascii="Arial" w:hAnsi="Arial" w:cs="Arial"/>
          <w:sz w:val="24"/>
          <w:szCs w:val="24"/>
        </w:rPr>
        <w:t xml:space="preserve">) is reached </w:t>
      </w:r>
      <w:r w:rsidR="00B43408">
        <w:rPr>
          <w:rFonts w:ascii="Arial" w:hAnsi="Arial" w:cs="Arial"/>
          <w:sz w:val="24"/>
          <w:szCs w:val="24"/>
        </w:rPr>
        <w:t xml:space="preserve">2 to 4 hours </w:t>
      </w:r>
      <w:proofErr w:type="spellStart"/>
      <w:r w:rsidR="000617C3">
        <w:rPr>
          <w:rFonts w:ascii="Arial" w:hAnsi="Arial" w:cs="Arial"/>
          <w:sz w:val="24"/>
          <w:szCs w:val="24"/>
        </w:rPr>
        <w:t>hours</w:t>
      </w:r>
      <w:proofErr w:type="spellEnd"/>
      <w:r w:rsidR="000617C3">
        <w:rPr>
          <w:rFonts w:ascii="Arial" w:hAnsi="Arial" w:cs="Arial"/>
          <w:sz w:val="24"/>
          <w:szCs w:val="24"/>
        </w:rPr>
        <w:t xml:space="preserve"> after dosing.  Plasma concentrations are dose-proportional up to 300 mg </w:t>
      </w:r>
      <w:r w:rsidR="00A86975">
        <w:rPr>
          <w:rFonts w:ascii="Arial" w:hAnsi="Arial" w:cs="Arial"/>
          <w:sz w:val="24"/>
          <w:szCs w:val="24"/>
        </w:rPr>
        <w:t>twice daily</w:t>
      </w:r>
      <w:r w:rsidR="000617C3">
        <w:rPr>
          <w:rFonts w:ascii="Arial" w:hAnsi="Arial" w:cs="Arial"/>
          <w:sz w:val="24"/>
          <w:szCs w:val="24"/>
        </w:rPr>
        <w:t>.  After repeated administration, the steady-state is reached within 2 to 3 days.</w:t>
      </w:r>
      <w:r w:rsidR="00EA040E">
        <w:rPr>
          <w:rFonts w:ascii="Arial" w:hAnsi="Arial" w:cs="Arial"/>
          <w:sz w:val="24"/>
          <w:szCs w:val="24"/>
        </w:rPr>
        <w:t xml:space="preserve">  In these conditions, the </w:t>
      </w:r>
      <w:proofErr w:type="spellStart"/>
      <w:r w:rsidR="00EA040E">
        <w:rPr>
          <w:rFonts w:ascii="Arial" w:hAnsi="Arial" w:cs="Arial"/>
          <w:sz w:val="24"/>
          <w:szCs w:val="24"/>
        </w:rPr>
        <w:t>C</w:t>
      </w:r>
      <w:r w:rsidR="00EA040E" w:rsidRPr="00EA040E">
        <w:rPr>
          <w:rFonts w:ascii="Arial" w:hAnsi="Arial" w:cs="Arial"/>
          <w:sz w:val="24"/>
          <w:szCs w:val="24"/>
          <w:vertAlign w:val="subscript"/>
        </w:rPr>
        <w:t>max</w:t>
      </w:r>
      <w:proofErr w:type="spellEnd"/>
      <w:r w:rsidR="00EA040E">
        <w:rPr>
          <w:rFonts w:ascii="Arial" w:hAnsi="Arial" w:cs="Arial"/>
          <w:sz w:val="24"/>
          <w:szCs w:val="24"/>
        </w:rPr>
        <w:t xml:space="preserve"> is about 250 </w:t>
      </w:r>
      <w:proofErr w:type="spellStart"/>
      <w:r w:rsidR="00EA040E">
        <w:rPr>
          <w:rFonts w:ascii="Arial" w:hAnsi="Arial" w:cs="Arial"/>
          <w:sz w:val="24"/>
          <w:szCs w:val="24"/>
        </w:rPr>
        <w:t>ng</w:t>
      </w:r>
      <w:proofErr w:type="spellEnd"/>
      <w:r w:rsidR="00EA040E">
        <w:rPr>
          <w:rFonts w:ascii="Arial" w:hAnsi="Arial" w:cs="Arial"/>
          <w:sz w:val="24"/>
          <w:szCs w:val="24"/>
        </w:rPr>
        <w:t>/</w:t>
      </w:r>
      <w:proofErr w:type="spellStart"/>
      <w:r w:rsidR="00EA040E">
        <w:rPr>
          <w:rFonts w:ascii="Arial" w:hAnsi="Arial" w:cs="Arial"/>
          <w:sz w:val="24"/>
          <w:szCs w:val="24"/>
        </w:rPr>
        <w:t>mL</w:t>
      </w:r>
      <w:proofErr w:type="spellEnd"/>
      <w:r w:rsidR="00EA040E">
        <w:rPr>
          <w:rFonts w:ascii="Arial" w:hAnsi="Arial" w:cs="Arial"/>
          <w:sz w:val="24"/>
          <w:szCs w:val="24"/>
        </w:rPr>
        <w:t xml:space="preserve"> after a 100 mg daily dose given </w:t>
      </w:r>
      <w:r w:rsidR="00A86975">
        <w:rPr>
          <w:rFonts w:ascii="Arial" w:hAnsi="Arial" w:cs="Arial"/>
          <w:sz w:val="24"/>
          <w:szCs w:val="24"/>
        </w:rPr>
        <w:t>in two divided doses</w:t>
      </w:r>
      <w:r w:rsidR="00EA040E">
        <w:rPr>
          <w:rFonts w:ascii="Arial" w:hAnsi="Arial" w:cs="Arial"/>
          <w:sz w:val="24"/>
          <w:szCs w:val="24"/>
        </w:rPr>
        <w:t xml:space="preserve">.  </w:t>
      </w:r>
      <w:r w:rsidR="006948FA">
        <w:rPr>
          <w:rFonts w:ascii="Arial" w:hAnsi="Arial" w:cs="Arial"/>
          <w:sz w:val="24"/>
          <w:szCs w:val="24"/>
        </w:rPr>
        <w:t>Pharmacokinetic</w:t>
      </w:r>
      <w:r w:rsidR="008552E4" w:rsidRPr="008552E4">
        <w:rPr>
          <w:rFonts w:ascii="Arial" w:hAnsi="Arial" w:cs="Arial"/>
          <w:sz w:val="24"/>
          <w:szCs w:val="24"/>
        </w:rPr>
        <w:t xml:space="preserve"> w</w:t>
      </w:r>
      <w:r w:rsidR="00EA040E" w:rsidRPr="008552E4">
        <w:rPr>
          <w:rFonts w:ascii="Arial" w:hAnsi="Arial" w:cs="Arial"/>
          <w:sz w:val="24"/>
          <w:szCs w:val="24"/>
        </w:rPr>
        <w:t>ithin- and between-subject variability is low.</w:t>
      </w:r>
    </w:p>
    <w:p w:rsidR="00EA040E" w:rsidRDefault="00EA040E" w:rsidP="003F3B46">
      <w:pPr>
        <w:spacing w:after="0"/>
        <w:rPr>
          <w:rFonts w:ascii="Arial" w:hAnsi="Arial" w:cs="Arial"/>
          <w:sz w:val="24"/>
          <w:szCs w:val="24"/>
        </w:rPr>
      </w:pPr>
    </w:p>
    <w:p w:rsidR="00EA040E" w:rsidRPr="00EA040E" w:rsidRDefault="00EA040E" w:rsidP="003F3B46">
      <w:pPr>
        <w:spacing w:after="0"/>
        <w:rPr>
          <w:rFonts w:ascii="Arial" w:hAnsi="Arial" w:cs="Arial"/>
          <w:sz w:val="24"/>
          <w:szCs w:val="24"/>
          <w:u w:val="single"/>
        </w:rPr>
      </w:pPr>
      <w:r w:rsidRPr="00EA040E">
        <w:rPr>
          <w:rFonts w:ascii="Arial" w:hAnsi="Arial" w:cs="Arial"/>
          <w:sz w:val="24"/>
          <w:szCs w:val="24"/>
          <w:u w:val="single"/>
        </w:rPr>
        <w:t>Distribution</w:t>
      </w:r>
    </w:p>
    <w:p w:rsidR="00EA040E" w:rsidRDefault="00EA040E" w:rsidP="003F3B46">
      <w:pPr>
        <w:spacing w:after="0"/>
        <w:rPr>
          <w:rFonts w:ascii="Arial" w:hAnsi="Arial" w:cs="Arial"/>
          <w:sz w:val="24"/>
          <w:szCs w:val="24"/>
        </w:rPr>
      </w:pPr>
      <w:r>
        <w:rPr>
          <w:rFonts w:ascii="Arial" w:hAnsi="Arial" w:cs="Arial"/>
          <w:sz w:val="24"/>
          <w:szCs w:val="24"/>
        </w:rPr>
        <w:t xml:space="preserve">The binding to plasma proteins is limited (13%) and not saturable in a very large concentration range.  The volume of distribution of </w:t>
      </w:r>
      <w:proofErr w:type="spellStart"/>
      <w:r>
        <w:rPr>
          <w:rFonts w:ascii="Arial" w:hAnsi="Arial" w:cs="Arial"/>
          <w:sz w:val="24"/>
          <w:szCs w:val="24"/>
        </w:rPr>
        <w:t>milnacipran</w:t>
      </w:r>
      <w:proofErr w:type="spellEnd"/>
      <w:r>
        <w:rPr>
          <w:rFonts w:ascii="Arial" w:hAnsi="Arial" w:cs="Arial"/>
          <w:sz w:val="24"/>
          <w:szCs w:val="24"/>
        </w:rPr>
        <w:t xml:space="preserve"> is around 5 L/kg.</w:t>
      </w:r>
    </w:p>
    <w:p w:rsidR="00EA040E" w:rsidRDefault="00EA040E" w:rsidP="003F3B46">
      <w:pPr>
        <w:spacing w:after="0"/>
        <w:rPr>
          <w:rFonts w:ascii="Arial" w:hAnsi="Arial" w:cs="Arial"/>
          <w:sz w:val="24"/>
          <w:szCs w:val="24"/>
        </w:rPr>
      </w:pPr>
    </w:p>
    <w:p w:rsidR="00EA040E" w:rsidRPr="000C5447" w:rsidRDefault="00EA040E" w:rsidP="003F3B46">
      <w:pPr>
        <w:spacing w:after="0"/>
        <w:rPr>
          <w:rFonts w:ascii="Arial" w:hAnsi="Arial" w:cs="Arial"/>
          <w:sz w:val="24"/>
          <w:szCs w:val="24"/>
          <w:u w:val="single"/>
        </w:rPr>
      </w:pPr>
      <w:r w:rsidRPr="000C5447">
        <w:rPr>
          <w:rFonts w:ascii="Arial" w:hAnsi="Arial" w:cs="Arial"/>
          <w:sz w:val="24"/>
          <w:szCs w:val="24"/>
          <w:u w:val="single"/>
        </w:rPr>
        <w:t>Metabolism and elimination</w:t>
      </w:r>
    </w:p>
    <w:p w:rsidR="00EA040E" w:rsidRDefault="00174D83" w:rsidP="003F3B46">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and its metabolites are eliminated primarily by renal excretion.  Approximately 55% of the dose is excreted as unchanged drug.</w:t>
      </w:r>
      <w:r w:rsidR="00EA040E">
        <w:rPr>
          <w:rFonts w:ascii="Arial" w:hAnsi="Arial" w:cs="Arial"/>
          <w:sz w:val="24"/>
          <w:szCs w:val="24"/>
        </w:rPr>
        <w:t xml:space="preserve">  The remaining fraction is excreted as metabolites, mainly as </w:t>
      </w:r>
      <w:proofErr w:type="spellStart"/>
      <w:r w:rsidR="00EA040E">
        <w:rPr>
          <w:rFonts w:ascii="Arial" w:hAnsi="Arial" w:cs="Arial"/>
          <w:sz w:val="24"/>
          <w:szCs w:val="24"/>
        </w:rPr>
        <w:t>glucuronide</w:t>
      </w:r>
      <w:proofErr w:type="spellEnd"/>
      <w:r w:rsidR="00EA040E">
        <w:rPr>
          <w:rFonts w:ascii="Arial" w:hAnsi="Arial" w:cs="Arial"/>
          <w:sz w:val="24"/>
          <w:szCs w:val="24"/>
        </w:rPr>
        <w:t xml:space="preserve"> derivatives.  Total plasma clearance is 40 L/h.  Plasma elimination half-life is about 8 hours and drug elimination is completed 48 </w:t>
      </w:r>
      <w:r w:rsidR="006948FA" w:rsidRPr="003323BD">
        <w:rPr>
          <w:rFonts w:ascii="Arial" w:hAnsi="Arial" w:cs="Arial"/>
          <w:sz w:val="24"/>
          <w:szCs w:val="24"/>
        </w:rPr>
        <w:t>to 72</w:t>
      </w:r>
      <w:r w:rsidR="006948FA">
        <w:rPr>
          <w:rFonts w:ascii="Arial" w:hAnsi="Arial" w:cs="Arial"/>
          <w:color w:val="00B050"/>
          <w:sz w:val="24"/>
          <w:szCs w:val="24"/>
        </w:rPr>
        <w:t xml:space="preserve"> </w:t>
      </w:r>
      <w:r w:rsidR="00EA040E">
        <w:rPr>
          <w:rFonts w:ascii="Arial" w:hAnsi="Arial" w:cs="Arial"/>
          <w:sz w:val="24"/>
          <w:szCs w:val="24"/>
        </w:rPr>
        <w:t>hours after termination of therapy.</w:t>
      </w:r>
    </w:p>
    <w:p w:rsidR="0006677E" w:rsidRDefault="0006677E" w:rsidP="0006677E">
      <w:pPr>
        <w:spacing w:after="0"/>
        <w:rPr>
          <w:rFonts w:ascii="Arial" w:hAnsi="Arial" w:cs="Arial"/>
          <w:sz w:val="24"/>
          <w:szCs w:val="24"/>
        </w:rPr>
      </w:pPr>
      <w:r>
        <w:rPr>
          <w:rFonts w:ascii="Arial" w:hAnsi="Arial" w:cs="Arial"/>
          <w:sz w:val="24"/>
          <w:szCs w:val="24"/>
        </w:rPr>
        <w:t xml:space="preserve">Limited evidence indicates that </w:t>
      </w:r>
      <w:proofErr w:type="spellStart"/>
      <w:r>
        <w:rPr>
          <w:rFonts w:ascii="Arial" w:hAnsi="Arial" w:cs="Arial"/>
          <w:sz w:val="24"/>
          <w:szCs w:val="24"/>
        </w:rPr>
        <w:t>milnacipran</w:t>
      </w:r>
      <w:proofErr w:type="spellEnd"/>
      <w:r>
        <w:rPr>
          <w:rFonts w:ascii="Arial" w:hAnsi="Arial" w:cs="Arial"/>
          <w:sz w:val="24"/>
          <w:szCs w:val="24"/>
        </w:rPr>
        <w:t xml:space="preserve"> is </w:t>
      </w:r>
      <w:r w:rsidRPr="003323BD">
        <w:rPr>
          <w:rFonts w:ascii="Arial" w:hAnsi="Arial" w:cs="Arial"/>
          <w:sz w:val="24"/>
          <w:szCs w:val="24"/>
        </w:rPr>
        <w:t>neither an inducer nor an</w:t>
      </w:r>
      <w:r>
        <w:rPr>
          <w:rFonts w:ascii="Arial" w:hAnsi="Arial" w:cs="Arial"/>
          <w:sz w:val="24"/>
          <w:szCs w:val="24"/>
        </w:rPr>
        <w:t xml:space="preserve"> inhibitor of human </w:t>
      </w:r>
      <w:proofErr w:type="spellStart"/>
      <w:r>
        <w:rPr>
          <w:rFonts w:ascii="Arial" w:hAnsi="Arial" w:cs="Arial"/>
          <w:sz w:val="24"/>
          <w:szCs w:val="24"/>
        </w:rPr>
        <w:t>cytochrome</w:t>
      </w:r>
      <w:proofErr w:type="spellEnd"/>
      <w:r>
        <w:rPr>
          <w:rFonts w:ascii="Arial" w:hAnsi="Arial" w:cs="Arial"/>
          <w:sz w:val="24"/>
          <w:szCs w:val="24"/>
        </w:rPr>
        <w:t xml:space="preserve"> P450 as demonstrated </w:t>
      </w:r>
      <w:r w:rsidRPr="00E725DF">
        <w:rPr>
          <w:rFonts w:ascii="Arial" w:hAnsi="Arial" w:cs="Arial"/>
          <w:i/>
          <w:sz w:val="24"/>
          <w:szCs w:val="24"/>
        </w:rPr>
        <w:t>in vitro</w:t>
      </w:r>
      <w:r>
        <w:rPr>
          <w:rFonts w:ascii="Arial" w:hAnsi="Arial" w:cs="Arial"/>
          <w:sz w:val="24"/>
          <w:szCs w:val="24"/>
        </w:rPr>
        <w:t xml:space="preserve">.  The absence of inhibitory </w:t>
      </w:r>
      <w:r>
        <w:rPr>
          <w:rFonts w:ascii="Arial" w:hAnsi="Arial" w:cs="Arial"/>
          <w:sz w:val="24"/>
          <w:szCs w:val="24"/>
        </w:rPr>
        <w:lastRenderedPageBreak/>
        <w:t xml:space="preserve">properties on the main </w:t>
      </w:r>
      <w:proofErr w:type="spellStart"/>
      <w:r>
        <w:rPr>
          <w:rFonts w:ascii="Arial" w:hAnsi="Arial" w:cs="Arial"/>
          <w:sz w:val="24"/>
          <w:szCs w:val="24"/>
        </w:rPr>
        <w:t>cytochrome</w:t>
      </w:r>
      <w:proofErr w:type="spellEnd"/>
      <w:r>
        <w:rPr>
          <w:rFonts w:ascii="Arial" w:hAnsi="Arial" w:cs="Arial"/>
          <w:sz w:val="24"/>
          <w:szCs w:val="24"/>
        </w:rPr>
        <w:t xml:space="preserve"> P450 </w:t>
      </w:r>
      <w:proofErr w:type="spellStart"/>
      <w:r>
        <w:rPr>
          <w:rFonts w:ascii="Arial" w:hAnsi="Arial" w:cs="Arial"/>
          <w:sz w:val="24"/>
          <w:szCs w:val="24"/>
        </w:rPr>
        <w:t>isoenzymes</w:t>
      </w:r>
      <w:proofErr w:type="spellEnd"/>
      <w:r>
        <w:rPr>
          <w:rFonts w:ascii="Arial" w:hAnsi="Arial" w:cs="Arial"/>
          <w:sz w:val="24"/>
          <w:szCs w:val="24"/>
        </w:rPr>
        <w:t xml:space="preserve"> (1A2, 2D6, 2C19 and 3A4) is confirmed in humans.</w:t>
      </w:r>
    </w:p>
    <w:p w:rsidR="0006677E" w:rsidRDefault="0006677E" w:rsidP="003F3B46">
      <w:pPr>
        <w:spacing w:after="0"/>
        <w:rPr>
          <w:rFonts w:ascii="Arial" w:hAnsi="Arial" w:cs="Arial"/>
          <w:sz w:val="24"/>
          <w:szCs w:val="24"/>
        </w:rPr>
      </w:pPr>
    </w:p>
    <w:p w:rsidR="00C9469A" w:rsidRPr="00C9469A" w:rsidRDefault="00C9469A" w:rsidP="003F3B46">
      <w:pPr>
        <w:spacing w:after="0"/>
        <w:rPr>
          <w:rFonts w:ascii="Arial" w:hAnsi="Arial" w:cs="Arial"/>
          <w:sz w:val="24"/>
          <w:szCs w:val="24"/>
          <w:u w:val="single"/>
        </w:rPr>
      </w:pPr>
      <w:r w:rsidRPr="00C9469A">
        <w:rPr>
          <w:rFonts w:ascii="Arial" w:hAnsi="Arial" w:cs="Arial"/>
          <w:sz w:val="24"/>
          <w:szCs w:val="24"/>
          <w:u w:val="single"/>
        </w:rPr>
        <w:t>Special populations</w:t>
      </w:r>
    </w:p>
    <w:p w:rsidR="00C9469A" w:rsidRDefault="00C9469A" w:rsidP="003F3B46">
      <w:pPr>
        <w:spacing w:after="0"/>
        <w:rPr>
          <w:rFonts w:ascii="Arial" w:hAnsi="Arial" w:cs="Arial"/>
          <w:sz w:val="24"/>
          <w:szCs w:val="24"/>
        </w:rPr>
      </w:pPr>
    </w:p>
    <w:p w:rsidR="00C9469A" w:rsidRPr="00C9469A" w:rsidRDefault="00C9469A" w:rsidP="003F3B46">
      <w:pPr>
        <w:spacing w:after="0"/>
        <w:rPr>
          <w:rFonts w:ascii="Arial" w:hAnsi="Arial" w:cs="Arial"/>
          <w:i/>
          <w:sz w:val="24"/>
          <w:szCs w:val="24"/>
          <w:u w:val="single"/>
        </w:rPr>
      </w:pPr>
      <w:r w:rsidRPr="00C9469A">
        <w:rPr>
          <w:rFonts w:ascii="Arial" w:hAnsi="Arial" w:cs="Arial"/>
          <w:i/>
          <w:sz w:val="24"/>
          <w:szCs w:val="24"/>
          <w:u w:val="single"/>
        </w:rPr>
        <w:t>Liver impaired patients</w:t>
      </w:r>
    </w:p>
    <w:p w:rsidR="00C9469A" w:rsidRDefault="00C9469A" w:rsidP="003F3B46">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pharmacokinetic parameters are not significantly affected by liver function impairment.  No dosage adjustment is necessary for patients with impaired hepatic function.</w:t>
      </w:r>
    </w:p>
    <w:p w:rsidR="00DB3F24" w:rsidRDefault="00DB3F24" w:rsidP="003F3B46">
      <w:pPr>
        <w:spacing w:after="0"/>
        <w:rPr>
          <w:rFonts w:ascii="Arial" w:hAnsi="Arial" w:cs="Arial"/>
          <w:sz w:val="24"/>
          <w:szCs w:val="24"/>
        </w:rPr>
      </w:pPr>
    </w:p>
    <w:p w:rsidR="00DB3F24" w:rsidRPr="00C9469A" w:rsidRDefault="001A004C" w:rsidP="00DB3F24">
      <w:pPr>
        <w:spacing w:after="0"/>
        <w:rPr>
          <w:rFonts w:ascii="Arial" w:hAnsi="Arial" w:cs="Arial"/>
          <w:i/>
          <w:sz w:val="24"/>
          <w:szCs w:val="24"/>
          <w:u w:val="single"/>
        </w:rPr>
      </w:pPr>
      <w:r>
        <w:rPr>
          <w:rFonts w:ascii="Arial" w:hAnsi="Arial" w:cs="Arial"/>
          <w:i/>
          <w:sz w:val="24"/>
          <w:szCs w:val="24"/>
          <w:u w:val="single"/>
        </w:rPr>
        <w:t>Patients with renal insufficiency</w:t>
      </w:r>
    </w:p>
    <w:p w:rsidR="00DB3F24" w:rsidRDefault="001A004C" w:rsidP="00DB3F24">
      <w:pPr>
        <w:spacing w:after="0"/>
        <w:rPr>
          <w:rFonts w:ascii="Arial" w:hAnsi="Arial" w:cs="Arial"/>
          <w:sz w:val="24"/>
          <w:szCs w:val="24"/>
        </w:rPr>
      </w:pPr>
      <w:r>
        <w:rPr>
          <w:rFonts w:ascii="Arial" w:hAnsi="Arial" w:cs="Arial"/>
          <w:sz w:val="24"/>
          <w:szCs w:val="24"/>
        </w:rPr>
        <w:t xml:space="preserve">Reduction in </w:t>
      </w:r>
      <w:proofErr w:type="spellStart"/>
      <w:r>
        <w:rPr>
          <w:rFonts w:ascii="Arial" w:hAnsi="Arial" w:cs="Arial"/>
          <w:sz w:val="24"/>
          <w:szCs w:val="24"/>
        </w:rPr>
        <w:t>milnacipran</w:t>
      </w:r>
      <w:proofErr w:type="spellEnd"/>
      <w:r>
        <w:rPr>
          <w:rFonts w:ascii="Arial" w:hAnsi="Arial" w:cs="Arial"/>
          <w:sz w:val="24"/>
          <w:szCs w:val="24"/>
        </w:rPr>
        <w:t xml:space="preserve"> clearance leads to a higher plasma exposure, 16%, 52% and 200% in </w:t>
      </w:r>
      <w:r w:rsidR="00957EC2">
        <w:rPr>
          <w:rFonts w:ascii="Arial" w:hAnsi="Arial" w:cs="Arial"/>
          <w:sz w:val="24"/>
          <w:szCs w:val="24"/>
        </w:rPr>
        <w:t xml:space="preserve"> patients with Chronic Kidney Disease (CKD) stages 2, 3 and 4</w:t>
      </w:r>
      <w:r>
        <w:rPr>
          <w:rFonts w:ascii="Arial" w:hAnsi="Arial" w:cs="Arial"/>
          <w:sz w:val="24"/>
          <w:szCs w:val="24"/>
        </w:rPr>
        <w:t xml:space="preserve"> respectively.</w:t>
      </w:r>
      <w:r w:rsidR="00DB3F24">
        <w:rPr>
          <w:rFonts w:ascii="Arial" w:hAnsi="Arial" w:cs="Arial"/>
          <w:sz w:val="24"/>
          <w:szCs w:val="24"/>
        </w:rPr>
        <w:t xml:space="preserve">  </w:t>
      </w:r>
      <w:r>
        <w:rPr>
          <w:rFonts w:ascii="Arial" w:hAnsi="Arial" w:cs="Arial"/>
          <w:sz w:val="24"/>
          <w:szCs w:val="24"/>
        </w:rPr>
        <w:t>Dose</w:t>
      </w:r>
      <w:r w:rsidRPr="001F655E">
        <w:rPr>
          <w:rFonts w:ascii="Arial" w:hAnsi="Arial" w:cs="Arial"/>
          <w:sz w:val="24"/>
          <w:szCs w:val="24"/>
        </w:rPr>
        <w:t xml:space="preserve"> </w:t>
      </w:r>
      <w:r w:rsidR="00DB3F24" w:rsidRPr="001F655E">
        <w:rPr>
          <w:rFonts w:ascii="Arial" w:hAnsi="Arial" w:cs="Arial"/>
          <w:sz w:val="24"/>
          <w:szCs w:val="24"/>
        </w:rPr>
        <w:t xml:space="preserve">adjustment is recommended </w:t>
      </w:r>
      <w:r>
        <w:rPr>
          <w:rFonts w:ascii="Arial" w:hAnsi="Arial" w:cs="Arial"/>
          <w:sz w:val="24"/>
          <w:szCs w:val="24"/>
        </w:rPr>
        <w:t>for</w:t>
      </w:r>
      <w:r w:rsidRPr="001F655E">
        <w:rPr>
          <w:rFonts w:ascii="Arial" w:hAnsi="Arial" w:cs="Arial"/>
          <w:sz w:val="24"/>
          <w:szCs w:val="24"/>
        </w:rPr>
        <w:t xml:space="preserve"> </w:t>
      </w:r>
      <w:r w:rsidR="00DB3F24" w:rsidRPr="001F655E">
        <w:rPr>
          <w:rFonts w:ascii="Arial" w:hAnsi="Arial" w:cs="Arial"/>
          <w:sz w:val="24"/>
          <w:szCs w:val="24"/>
        </w:rPr>
        <w:t xml:space="preserve">patients with </w:t>
      </w:r>
      <w:r w:rsidR="00957EC2">
        <w:rPr>
          <w:rFonts w:ascii="Arial" w:hAnsi="Arial" w:cs="Arial"/>
          <w:sz w:val="24"/>
          <w:szCs w:val="24"/>
        </w:rPr>
        <w:t>CKD stage 4.</w:t>
      </w:r>
      <w:r w:rsidR="00DB3F24" w:rsidRPr="001F655E">
        <w:rPr>
          <w:rFonts w:ascii="Arial" w:hAnsi="Arial" w:cs="Arial"/>
          <w:sz w:val="24"/>
          <w:szCs w:val="24"/>
        </w:rPr>
        <w:t xml:space="preserve"> </w:t>
      </w:r>
      <w:r w:rsidR="00810B2C">
        <w:rPr>
          <w:rFonts w:ascii="Arial" w:hAnsi="Arial" w:cs="Arial"/>
          <w:sz w:val="24"/>
          <w:szCs w:val="24"/>
        </w:rPr>
        <w:t xml:space="preserve"> </w:t>
      </w:r>
      <w:r w:rsidR="00DB3F24" w:rsidRPr="001F655E">
        <w:rPr>
          <w:rFonts w:ascii="Arial" w:hAnsi="Arial" w:cs="Arial"/>
          <w:sz w:val="24"/>
          <w:szCs w:val="24"/>
        </w:rPr>
        <w:t>(</w:t>
      </w:r>
      <w:r w:rsidR="00810B2C">
        <w:rPr>
          <w:rFonts w:ascii="Arial" w:hAnsi="Arial" w:cs="Arial"/>
          <w:sz w:val="24"/>
          <w:szCs w:val="24"/>
        </w:rPr>
        <w:t>S</w:t>
      </w:r>
      <w:r w:rsidR="001F655E" w:rsidRPr="001F655E">
        <w:rPr>
          <w:rFonts w:ascii="Arial" w:hAnsi="Arial" w:cs="Arial"/>
          <w:sz w:val="24"/>
          <w:szCs w:val="24"/>
        </w:rPr>
        <w:t>ee DOSAGE AND ADMINISTRATION</w:t>
      </w:r>
      <w:r w:rsidR="00DD618D" w:rsidRPr="001F655E">
        <w:rPr>
          <w:rFonts w:ascii="Arial" w:hAnsi="Arial" w:cs="Arial"/>
          <w:sz w:val="24"/>
          <w:szCs w:val="24"/>
        </w:rPr>
        <w:t>).</w:t>
      </w:r>
      <w:r w:rsidR="00DD618D">
        <w:rPr>
          <w:rFonts w:ascii="Arial" w:hAnsi="Arial" w:cs="Arial"/>
          <w:sz w:val="24"/>
          <w:szCs w:val="24"/>
        </w:rPr>
        <w:t xml:space="preserve">  </w:t>
      </w:r>
      <w:proofErr w:type="spellStart"/>
      <w:r w:rsidR="00957EC2">
        <w:rPr>
          <w:rFonts w:ascii="Arial" w:hAnsi="Arial" w:cs="Arial"/>
          <w:sz w:val="24"/>
          <w:szCs w:val="24"/>
        </w:rPr>
        <w:t>Milnacipran</w:t>
      </w:r>
      <w:proofErr w:type="spellEnd"/>
      <w:r w:rsidR="00957EC2">
        <w:rPr>
          <w:rFonts w:ascii="Arial" w:hAnsi="Arial" w:cs="Arial"/>
          <w:sz w:val="24"/>
          <w:szCs w:val="24"/>
        </w:rPr>
        <w:t xml:space="preserve"> is not recommended for patients with CKD stage 5.</w:t>
      </w:r>
    </w:p>
    <w:p w:rsidR="00C9469A" w:rsidRDefault="00C9469A" w:rsidP="003F3B46">
      <w:pPr>
        <w:spacing w:after="0"/>
        <w:rPr>
          <w:rFonts w:ascii="Arial" w:hAnsi="Arial" w:cs="Arial"/>
          <w:sz w:val="24"/>
          <w:szCs w:val="24"/>
        </w:rPr>
      </w:pPr>
    </w:p>
    <w:p w:rsidR="007E5D60" w:rsidRPr="00C9469A" w:rsidRDefault="007E5D60" w:rsidP="007E5D60">
      <w:pPr>
        <w:spacing w:after="0"/>
        <w:rPr>
          <w:rFonts w:ascii="Arial" w:hAnsi="Arial" w:cs="Arial"/>
          <w:i/>
          <w:sz w:val="24"/>
          <w:szCs w:val="24"/>
          <w:u w:val="single"/>
        </w:rPr>
      </w:pPr>
      <w:r>
        <w:rPr>
          <w:rFonts w:ascii="Arial" w:hAnsi="Arial" w:cs="Arial"/>
          <w:i/>
          <w:sz w:val="24"/>
          <w:szCs w:val="24"/>
          <w:u w:val="single"/>
        </w:rPr>
        <w:t>Elderly</w:t>
      </w:r>
      <w:r w:rsidRPr="00C9469A">
        <w:rPr>
          <w:rFonts w:ascii="Arial" w:hAnsi="Arial" w:cs="Arial"/>
          <w:i/>
          <w:sz w:val="24"/>
          <w:szCs w:val="24"/>
          <w:u w:val="single"/>
        </w:rPr>
        <w:t xml:space="preserve"> patients</w:t>
      </w:r>
    </w:p>
    <w:p w:rsidR="00C9469A" w:rsidRDefault="007E5D60" w:rsidP="007E5D60">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pharmacokinetic parameters are not significantly modified with age.  No age-related dose adjustment is necessary unless renal function is reduced to values for which dose adjustment is </w:t>
      </w:r>
      <w:r w:rsidRPr="000707E7">
        <w:rPr>
          <w:rFonts w:ascii="Arial" w:hAnsi="Arial" w:cs="Arial"/>
          <w:sz w:val="24"/>
          <w:szCs w:val="24"/>
        </w:rPr>
        <w:t>recommended (see DOSAGE AND ADMINISTRATION).</w:t>
      </w:r>
    </w:p>
    <w:p w:rsidR="000C5447" w:rsidRDefault="000C5447" w:rsidP="003F3B46">
      <w:pPr>
        <w:spacing w:after="0"/>
        <w:rPr>
          <w:rFonts w:ascii="Arial" w:hAnsi="Arial" w:cs="Arial"/>
          <w:sz w:val="24"/>
          <w:szCs w:val="24"/>
        </w:rPr>
      </w:pPr>
    </w:p>
    <w:p w:rsidR="00122854" w:rsidRDefault="00122854" w:rsidP="003F3B46">
      <w:pPr>
        <w:spacing w:after="0"/>
        <w:rPr>
          <w:rFonts w:ascii="Arial" w:hAnsi="Arial" w:cs="Arial"/>
          <w:sz w:val="24"/>
          <w:szCs w:val="24"/>
        </w:rPr>
      </w:pPr>
    </w:p>
    <w:p w:rsidR="000C5447" w:rsidRDefault="000C5447" w:rsidP="003F3B46">
      <w:pPr>
        <w:spacing w:after="0"/>
        <w:rPr>
          <w:rFonts w:ascii="Arial" w:hAnsi="Arial" w:cs="Arial"/>
          <w:b/>
          <w:sz w:val="24"/>
          <w:szCs w:val="24"/>
        </w:rPr>
      </w:pPr>
      <w:r w:rsidRPr="000C5447">
        <w:rPr>
          <w:rFonts w:ascii="Arial" w:hAnsi="Arial" w:cs="Arial"/>
          <w:b/>
          <w:sz w:val="24"/>
          <w:szCs w:val="24"/>
        </w:rPr>
        <w:t>CLINICAL TRIALS</w:t>
      </w:r>
    </w:p>
    <w:p w:rsidR="003A5A5E" w:rsidRDefault="003A5A5E" w:rsidP="003F3B46">
      <w:pPr>
        <w:spacing w:after="0"/>
        <w:rPr>
          <w:rFonts w:ascii="Arial" w:hAnsi="Arial" w:cs="Arial"/>
          <w:b/>
          <w:sz w:val="24"/>
          <w:szCs w:val="24"/>
        </w:rPr>
      </w:pPr>
    </w:p>
    <w:p w:rsidR="009B6FE8" w:rsidRDefault="005253CD" w:rsidP="003F3B46">
      <w:pPr>
        <w:spacing w:after="0"/>
        <w:rPr>
          <w:rFonts w:ascii="Arial" w:hAnsi="Arial" w:cs="Arial"/>
          <w:sz w:val="24"/>
          <w:szCs w:val="24"/>
        </w:rPr>
      </w:pPr>
      <w:r>
        <w:rPr>
          <w:rFonts w:ascii="Arial" w:hAnsi="Arial" w:cs="Arial"/>
          <w:sz w:val="24"/>
          <w:szCs w:val="24"/>
        </w:rPr>
        <w:t xml:space="preserve">The efficacy of </w:t>
      </w:r>
      <w:r w:rsidR="00115CD1">
        <w:rPr>
          <w:rFonts w:ascii="Arial" w:hAnsi="Arial" w:cs="Arial"/>
          <w:sz w:val="24"/>
          <w:szCs w:val="24"/>
        </w:rPr>
        <w:t>JONCIA</w:t>
      </w:r>
      <w:r w:rsidR="00115CD1" w:rsidRPr="006F42F6">
        <w:rPr>
          <w:rFonts w:ascii="Arial" w:hAnsi="Arial" w:cs="Arial"/>
          <w:sz w:val="24"/>
          <w:szCs w:val="24"/>
          <w:vertAlign w:val="superscript"/>
        </w:rPr>
        <w:t>®</w:t>
      </w:r>
      <w:r>
        <w:rPr>
          <w:rFonts w:ascii="Arial" w:hAnsi="Arial" w:cs="Arial"/>
          <w:sz w:val="24"/>
          <w:szCs w:val="24"/>
        </w:rPr>
        <w:t xml:space="preserve"> </w:t>
      </w:r>
      <w:r w:rsidR="00042F13">
        <w:rPr>
          <w:rFonts w:ascii="Arial" w:hAnsi="Arial" w:cs="Arial"/>
          <w:sz w:val="24"/>
          <w:szCs w:val="24"/>
        </w:rPr>
        <w:t>for the management of</w:t>
      </w:r>
      <w:r>
        <w:rPr>
          <w:rFonts w:ascii="Arial" w:hAnsi="Arial" w:cs="Arial"/>
          <w:sz w:val="24"/>
          <w:szCs w:val="24"/>
        </w:rPr>
        <w:t xml:space="preserve"> fibromyalgia was </w:t>
      </w:r>
      <w:r w:rsidR="00042F13">
        <w:rPr>
          <w:rFonts w:ascii="Arial" w:hAnsi="Arial" w:cs="Arial"/>
          <w:sz w:val="24"/>
          <w:szCs w:val="24"/>
        </w:rPr>
        <w:t>established</w:t>
      </w:r>
      <w:r>
        <w:rPr>
          <w:rFonts w:ascii="Arial" w:hAnsi="Arial" w:cs="Arial"/>
          <w:sz w:val="24"/>
          <w:szCs w:val="24"/>
        </w:rPr>
        <w:t xml:space="preserve"> in three double-blind, placebo-controlled, </w:t>
      </w:r>
      <w:r w:rsidR="00042F13">
        <w:rPr>
          <w:rFonts w:ascii="Arial" w:hAnsi="Arial" w:cs="Arial"/>
          <w:sz w:val="24"/>
          <w:szCs w:val="24"/>
        </w:rPr>
        <w:t>multicentre 3-month</w:t>
      </w:r>
      <w:r>
        <w:rPr>
          <w:rFonts w:ascii="Arial" w:hAnsi="Arial" w:cs="Arial"/>
          <w:sz w:val="24"/>
          <w:szCs w:val="24"/>
        </w:rPr>
        <w:t xml:space="preserve"> studies in adult patients</w:t>
      </w:r>
      <w:r w:rsidR="00FC4E3B">
        <w:rPr>
          <w:rFonts w:ascii="Arial" w:hAnsi="Arial" w:cs="Arial"/>
          <w:sz w:val="24"/>
          <w:szCs w:val="24"/>
        </w:rPr>
        <w:t xml:space="preserve"> (18 to 74 years of age)</w:t>
      </w:r>
      <w:r w:rsidR="00042F13">
        <w:rPr>
          <w:rFonts w:ascii="Arial" w:hAnsi="Arial" w:cs="Arial"/>
          <w:sz w:val="24"/>
          <w:szCs w:val="24"/>
        </w:rPr>
        <w:t>.  A total of 3097 patients were randomised in</w:t>
      </w:r>
      <w:r w:rsidR="00FC4E3B">
        <w:rPr>
          <w:rFonts w:ascii="Arial" w:hAnsi="Arial" w:cs="Arial"/>
          <w:sz w:val="24"/>
          <w:szCs w:val="24"/>
        </w:rPr>
        <w:t xml:space="preserve"> </w:t>
      </w:r>
      <w:r>
        <w:rPr>
          <w:rFonts w:ascii="Arial" w:hAnsi="Arial" w:cs="Arial"/>
          <w:sz w:val="24"/>
          <w:szCs w:val="24"/>
        </w:rPr>
        <w:t>studies</w:t>
      </w:r>
      <w:r w:rsidR="00FC4E3B">
        <w:rPr>
          <w:rFonts w:ascii="Arial" w:hAnsi="Arial" w:cs="Arial"/>
          <w:sz w:val="24"/>
          <w:szCs w:val="24"/>
        </w:rPr>
        <w:t>:</w:t>
      </w:r>
      <w:r>
        <w:rPr>
          <w:rFonts w:ascii="Arial" w:hAnsi="Arial" w:cs="Arial"/>
          <w:sz w:val="24"/>
          <w:szCs w:val="24"/>
        </w:rPr>
        <w:t xml:space="preserve"> </w:t>
      </w:r>
      <w:r w:rsidR="00042F13">
        <w:rPr>
          <w:rFonts w:ascii="Arial" w:hAnsi="Arial" w:cs="Arial"/>
          <w:sz w:val="24"/>
          <w:szCs w:val="24"/>
        </w:rPr>
        <w:t>MLN-MD-02, GE 3</w:t>
      </w:r>
      <w:r>
        <w:rPr>
          <w:rFonts w:ascii="Arial" w:hAnsi="Arial" w:cs="Arial"/>
          <w:sz w:val="24"/>
          <w:szCs w:val="24"/>
        </w:rPr>
        <w:t>02</w:t>
      </w:r>
      <w:r w:rsidR="00042F13">
        <w:rPr>
          <w:rFonts w:ascii="Arial" w:hAnsi="Arial" w:cs="Arial"/>
          <w:sz w:val="24"/>
          <w:szCs w:val="24"/>
        </w:rPr>
        <w:t xml:space="preserve"> and MLN-MD-03</w:t>
      </w:r>
      <w:r>
        <w:rPr>
          <w:rFonts w:ascii="Arial" w:hAnsi="Arial" w:cs="Arial"/>
          <w:sz w:val="24"/>
          <w:szCs w:val="24"/>
        </w:rPr>
        <w:t xml:space="preserve">.  </w:t>
      </w:r>
      <w:r w:rsidR="00FC4E3B">
        <w:rPr>
          <w:rFonts w:ascii="Arial" w:hAnsi="Arial" w:cs="Arial"/>
          <w:sz w:val="24"/>
          <w:szCs w:val="24"/>
        </w:rPr>
        <w:t>Enrolled patients met</w:t>
      </w:r>
      <w:r w:rsidR="00FD6A1A">
        <w:rPr>
          <w:rFonts w:ascii="Arial" w:hAnsi="Arial" w:cs="Arial"/>
          <w:sz w:val="24"/>
          <w:szCs w:val="24"/>
        </w:rPr>
        <w:t xml:space="preserve"> the American College of Rheumatology</w:t>
      </w:r>
      <w:r w:rsidR="00FC4E3B">
        <w:rPr>
          <w:rFonts w:ascii="Arial" w:hAnsi="Arial" w:cs="Arial"/>
          <w:sz w:val="24"/>
          <w:szCs w:val="24"/>
        </w:rPr>
        <w:t xml:space="preserve"> (ACR)</w:t>
      </w:r>
      <w:r w:rsidR="00FD6A1A">
        <w:rPr>
          <w:rFonts w:ascii="Arial" w:hAnsi="Arial" w:cs="Arial"/>
          <w:sz w:val="24"/>
          <w:szCs w:val="24"/>
        </w:rPr>
        <w:t xml:space="preserve"> criteria</w:t>
      </w:r>
      <w:r w:rsidR="00FC4E3B">
        <w:rPr>
          <w:rFonts w:ascii="Arial" w:hAnsi="Arial" w:cs="Arial"/>
          <w:sz w:val="24"/>
          <w:szCs w:val="24"/>
        </w:rPr>
        <w:t xml:space="preserve"> for fibromyalgia (a history of widespread pain</w:t>
      </w:r>
      <w:r w:rsidR="00113C83">
        <w:rPr>
          <w:rFonts w:ascii="Arial" w:hAnsi="Arial" w:cs="Arial"/>
          <w:sz w:val="24"/>
          <w:szCs w:val="24"/>
        </w:rPr>
        <w:t xml:space="preserve"> for 3 months and pain present at 11 or more of the 18 specific tender point sites)</w:t>
      </w:r>
      <w:r w:rsidR="00FD6A1A">
        <w:rPr>
          <w:rFonts w:ascii="Arial" w:hAnsi="Arial" w:cs="Arial"/>
          <w:sz w:val="24"/>
          <w:szCs w:val="24"/>
        </w:rPr>
        <w:t>.</w:t>
      </w:r>
      <w:r w:rsidR="00113C83">
        <w:rPr>
          <w:rFonts w:ascii="Arial" w:hAnsi="Arial" w:cs="Arial"/>
          <w:sz w:val="24"/>
          <w:szCs w:val="24"/>
        </w:rPr>
        <w:t xml:space="preserve">  Approximately 30% of patients had a history of depression.  There were no statistically significant differences with respect to demographic or baseline characteristics between the placebo and </w:t>
      </w:r>
      <w:r w:rsidR="006F42F6">
        <w:rPr>
          <w:rFonts w:ascii="Arial" w:hAnsi="Arial" w:cs="Arial"/>
          <w:sz w:val="24"/>
          <w:szCs w:val="24"/>
        </w:rPr>
        <w:t>JONCIA</w:t>
      </w:r>
      <w:r w:rsidR="006F42F6" w:rsidRPr="00A504C7">
        <w:rPr>
          <w:rFonts w:ascii="Arial" w:hAnsi="Arial" w:cs="Arial"/>
          <w:sz w:val="24"/>
          <w:szCs w:val="24"/>
          <w:vertAlign w:val="superscript"/>
        </w:rPr>
        <w:t>®</w:t>
      </w:r>
      <w:r w:rsidR="006B625A">
        <w:rPr>
          <w:rFonts w:ascii="Arial" w:hAnsi="Arial" w:cs="Arial"/>
          <w:sz w:val="24"/>
          <w:szCs w:val="24"/>
          <w:vertAlign w:val="superscript"/>
        </w:rPr>
        <w:t xml:space="preserve"> </w:t>
      </w:r>
      <w:r w:rsidR="00113C83">
        <w:rPr>
          <w:rFonts w:ascii="Arial" w:hAnsi="Arial" w:cs="Arial"/>
          <w:sz w:val="24"/>
          <w:szCs w:val="24"/>
        </w:rPr>
        <w:t xml:space="preserve">treatment groups </w:t>
      </w:r>
      <w:r w:rsidR="003323BD">
        <w:rPr>
          <w:rFonts w:ascii="Arial" w:hAnsi="Arial" w:cs="Arial"/>
          <w:sz w:val="24"/>
          <w:szCs w:val="24"/>
        </w:rPr>
        <w:t>in</w:t>
      </w:r>
      <w:r w:rsidR="00113C83">
        <w:rPr>
          <w:rFonts w:ascii="Arial" w:hAnsi="Arial" w:cs="Arial"/>
          <w:sz w:val="24"/>
          <w:szCs w:val="24"/>
        </w:rPr>
        <w:t xml:space="preserve"> the pivotal studies.</w:t>
      </w:r>
    </w:p>
    <w:p w:rsidR="00152FF2" w:rsidRDefault="00152FF2" w:rsidP="003F3B46">
      <w:pPr>
        <w:spacing w:after="0"/>
        <w:rPr>
          <w:rFonts w:ascii="Arial" w:hAnsi="Arial" w:cs="Arial"/>
          <w:sz w:val="24"/>
          <w:szCs w:val="24"/>
        </w:rPr>
      </w:pPr>
    </w:p>
    <w:p w:rsidR="009B6FE8" w:rsidRDefault="00152FF2" w:rsidP="003F3B46">
      <w:pPr>
        <w:spacing w:after="0"/>
        <w:rPr>
          <w:rFonts w:ascii="Arial" w:hAnsi="Arial" w:cs="Arial"/>
          <w:sz w:val="24"/>
          <w:szCs w:val="24"/>
        </w:rPr>
      </w:pPr>
      <w:r>
        <w:rPr>
          <w:rFonts w:ascii="Arial" w:hAnsi="Arial" w:cs="Arial"/>
          <w:sz w:val="24"/>
          <w:szCs w:val="24"/>
        </w:rPr>
        <w:t xml:space="preserve">A larger proportion of patients treated with </w:t>
      </w:r>
      <w:r w:rsidR="006F42F6">
        <w:rPr>
          <w:rFonts w:ascii="Arial" w:hAnsi="Arial" w:cs="Arial"/>
          <w:sz w:val="24"/>
          <w:szCs w:val="24"/>
        </w:rPr>
        <w:t>JONCIA</w:t>
      </w:r>
      <w:r w:rsidR="006F42F6" w:rsidRPr="00A504C7">
        <w:rPr>
          <w:rFonts w:ascii="Arial" w:hAnsi="Arial" w:cs="Arial"/>
          <w:sz w:val="24"/>
          <w:szCs w:val="24"/>
          <w:vertAlign w:val="superscript"/>
        </w:rPr>
        <w:t>®</w:t>
      </w:r>
      <w:r w:rsidR="006F42F6">
        <w:rPr>
          <w:rFonts w:ascii="Arial" w:hAnsi="Arial" w:cs="Arial"/>
          <w:sz w:val="24"/>
          <w:szCs w:val="24"/>
          <w:vertAlign w:val="superscript"/>
        </w:rPr>
        <w:t xml:space="preserve"> </w:t>
      </w:r>
      <w:r>
        <w:rPr>
          <w:rFonts w:ascii="Arial" w:hAnsi="Arial" w:cs="Arial"/>
          <w:sz w:val="24"/>
          <w:szCs w:val="24"/>
        </w:rPr>
        <w:t>than with placebo experienced a simultaneous reduction in pain from baseline of at least 30% (</w:t>
      </w:r>
      <w:r w:rsidR="00981A3D">
        <w:rPr>
          <w:rFonts w:ascii="Arial" w:hAnsi="Arial" w:cs="Arial"/>
          <w:sz w:val="24"/>
          <w:szCs w:val="24"/>
        </w:rPr>
        <w:t xml:space="preserve">visual </w:t>
      </w:r>
      <w:proofErr w:type="spellStart"/>
      <w:r w:rsidR="00981A3D">
        <w:rPr>
          <w:rFonts w:ascii="Arial" w:hAnsi="Arial" w:cs="Arial"/>
          <w:sz w:val="24"/>
          <w:szCs w:val="24"/>
        </w:rPr>
        <w:t>analog</w:t>
      </w:r>
      <w:proofErr w:type="spellEnd"/>
      <w:r w:rsidR="00981A3D">
        <w:rPr>
          <w:rFonts w:ascii="Arial" w:hAnsi="Arial" w:cs="Arial"/>
          <w:sz w:val="24"/>
          <w:szCs w:val="24"/>
        </w:rPr>
        <w:t xml:space="preserve"> scale (</w:t>
      </w:r>
      <w:r>
        <w:rPr>
          <w:rFonts w:ascii="Arial" w:hAnsi="Arial" w:cs="Arial"/>
          <w:sz w:val="24"/>
          <w:szCs w:val="24"/>
        </w:rPr>
        <w:t>VAS)</w:t>
      </w:r>
      <w:r w:rsidR="00981A3D">
        <w:rPr>
          <w:rFonts w:ascii="Arial" w:hAnsi="Arial" w:cs="Arial"/>
          <w:sz w:val="24"/>
          <w:szCs w:val="24"/>
        </w:rPr>
        <w:t>)</w:t>
      </w:r>
      <w:r w:rsidR="008538CE">
        <w:rPr>
          <w:rFonts w:ascii="Arial" w:hAnsi="Arial" w:cs="Arial"/>
          <w:sz w:val="24"/>
          <w:szCs w:val="24"/>
        </w:rPr>
        <w:t xml:space="preserve"> and also rated themselves as much improved or very much improved based on the patient global assessment (PGIC).</w:t>
      </w:r>
    </w:p>
    <w:p w:rsidR="008538CE" w:rsidRDefault="008538CE" w:rsidP="003F3B46">
      <w:pPr>
        <w:spacing w:after="0"/>
        <w:rPr>
          <w:rFonts w:ascii="Arial" w:hAnsi="Arial" w:cs="Arial"/>
          <w:sz w:val="24"/>
          <w:szCs w:val="24"/>
        </w:rPr>
      </w:pPr>
    </w:p>
    <w:p w:rsidR="00EA56B6" w:rsidRDefault="00B40B16" w:rsidP="003F3B46">
      <w:pPr>
        <w:spacing w:after="0"/>
        <w:rPr>
          <w:rFonts w:ascii="Arial" w:hAnsi="Arial" w:cs="Arial"/>
          <w:sz w:val="24"/>
          <w:szCs w:val="24"/>
        </w:rPr>
      </w:pPr>
      <w:r>
        <w:rPr>
          <w:rFonts w:ascii="Arial" w:hAnsi="Arial" w:cs="Arial"/>
          <w:sz w:val="24"/>
          <w:szCs w:val="24"/>
        </w:rPr>
      </w:r>
      <w:r>
        <w:rPr>
          <w:rFonts w:ascii="Arial" w:hAnsi="Arial" w:cs="Arial"/>
          <w:sz w:val="24"/>
          <w:szCs w:val="24"/>
        </w:rPr>
        <w:pict>
          <v:group id="_x0000_s1032" editas="canvas" alt="Table: Composite criterion (30% responders pain and PGIC 1,2)" style="width:455.05pt;height:227.6pt;mso-position-horizontal-relative:char;mso-position-vertical-relative:line" coordsize="9101,4552">
            <o:lock v:ext="edit" aspectratio="t"/>
            <v:shape id="_x0000_s1031" type="#_x0000_t75" style="position:absolute;width:9101;height:4552" o:preferrelative="f">
              <v:fill o:detectmouseclick="t"/>
              <v:path o:extrusionok="t" o:connecttype="none"/>
              <o:lock v:ext="edit" text="t"/>
            </v:shape>
            <v:group id="_x0000_s1233" style="position:absolute;left:72;width:9016;height:4134" coordorigin="72" coordsize="9016,4134">
              <v:rect id="_x0000_s1033" style="position:absolute;left:2818;width:3394;height:588;mso-wrap-style:none;v-text-anchor:top" filled="f" stroked="f">
                <v:textbox style="mso-fit-shape-to-text:t" inset="0,0,0,0">
                  <w:txbxContent>
                    <w:p w:rsidR="001174B4" w:rsidRDefault="001174B4">
                      <w:r>
                        <w:rPr>
                          <w:rFonts w:ascii="Book Antiqua" w:hAnsi="Book Antiqua" w:cs="Book Antiqua"/>
                          <w:b/>
                          <w:bCs/>
                          <w:i/>
                          <w:iCs/>
                          <w:color w:val="000000"/>
                          <w:sz w:val="28"/>
                          <w:szCs w:val="28"/>
                          <w:lang w:val="en-US"/>
                        </w:rPr>
                        <w:t>COMPOSITE CRITERION</w:t>
                      </w:r>
                    </w:p>
                  </w:txbxContent>
                </v:textbox>
              </v:rect>
              <v:rect id="_x0000_s1034" style="position:absolute;left:6197;width:71;height:509;mso-wrap-style:none;v-text-anchor:top" filled="f" stroked="f">
                <v:textbox style="mso-fit-shape-to-text:t" inset="0,0,0,0">
                  <w:txbxContent>
                    <w:p w:rsidR="001174B4" w:rsidRDefault="001174B4">
                      <w:r>
                        <w:rPr>
                          <w:rFonts w:ascii="Book Antiqua" w:hAnsi="Book Antiqua" w:cs="Book Antiqua"/>
                          <w:b/>
                          <w:bCs/>
                          <w:i/>
                          <w:iCs/>
                          <w:color w:val="000000"/>
                          <w:sz w:val="28"/>
                          <w:szCs w:val="28"/>
                          <w:lang w:val="en-US"/>
                        </w:rPr>
                        <w:t xml:space="preserve"> </w:t>
                      </w:r>
                    </w:p>
                  </w:txbxContent>
                </v:textbox>
              </v:rect>
              <v:rect id="_x0000_s1035" style="position:absolute;left:2243;top:331;width:4557;height:588;mso-wrap-style:none;v-text-anchor:top" filled="f" stroked="f">
                <v:textbox style="mso-fit-shape-to-text:t" inset="0,0,0,0">
                  <w:txbxContent>
                    <w:p w:rsidR="001174B4" w:rsidRDefault="001174B4">
                      <w:r>
                        <w:rPr>
                          <w:rFonts w:ascii="Book Antiqua" w:hAnsi="Book Antiqua" w:cs="Book Antiqua"/>
                          <w:b/>
                          <w:bCs/>
                          <w:i/>
                          <w:iCs/>
                          <w:color w:val="000000"/>
                          <w:sz w:val="28"/>
                          <w:szCs w:val="28"/>
                          <w:lang w:val="en-US"/>
                        </w:rPr>
                        <w:t>(30% responders pain and PGIC 1, 2)</w:t>
                      </w:r>
                    </w:p>
                  </w:txbxContent>
                </v:textbox>
              </v:rect>
              <v:rect id="_x0000_s1036" style="position:absolute;left:6786;top:331;width:71;height:509;mso-wrap-style:none;v-text-anchor:top" filled="f" stroked="f">
                <v:textbox style="mso-fit-shape-to-text:t" inset="0,0,0,0">
                  <w:txbxContent>
                    <w:p w:rsidR="001174B4" w:rsidRDefault="001174B4">
                      <w:r>
                        <w:rPr>
                          <w:rFonts w:ascii="Book Antiqua" w:hAnsi="Book Antiqua" w:cs="Book Antiqua"/>
                          <w:b/>
                          <w:bCs/>
                          <w:i/>
                          <w:iCs/>
                          <w:color w:val="000000"/>
                          <w:sz w:val="28"/>
                          <w:szCs w:val="28"/>
                          <w:lang w:val="en-US"/>
                        </w:rPr>
                        <w:t xml:space="preserve"> </w:t>
                      </w:r>
                    </w:p>
                  </w:txbxContent>
                </v:textbox>
              </v:rect>
              <v:rect id="_x0000_s1037" style="position:absolute;left:72;top:648;width:41;height:509;mso-wrap-style:none;v-text-anchor:top" filled="f" stroked="f">
                <v:textbox style="mso-fit-shape-to-text:t" inset="0,0,0,0">
                  <w:txbxContent>
                    <w:p w:rsidR="001174B4" w:rsidRDefault="001174B4">
                      <w:r>
                        <w:rPr>
                          <w:rFonts w:ascii="Times New Roman" w:hAnsi="Times New Roman"/>
                          <w:color w:val="000000"/>
                          <w:sz w:val="16"/>
                          <w:szCs w:val="16"/>
                          <w:lang w:val="en-US"/>
                        </w:rPr>
                        <w:t xml:space="preserve"> </w:t>
                      </w:r>
                    </w:p>
                  </w:txbxContent>
                </v:textbox>
              </v:rect>
              <v:rect id="_x0000_s1038" style="position:absolute;left:72;top:835;width:41;height:509;mso-wrap-style:none;v-text-anchor:top" filled="f" stroked="f">
                <v:textbox style="mso-fit-shape-to-text:t" inset="0,0,0,0">
                  <w:txbxContent>
                    <w:p w:rsidR="001174B4" w:rsidRDefault="001174B4">
                      <w:r>
                        <w:rPr>
                          <w:rFonts w:ascii="Times New Roman" w:hAnsi="Times New Roman"/>
                          <w:color w:val="000000"/>
                          <w:sz w:val="16"/>
                          <w:szCs w:val="16"/>
                          <w:lang w:val="en-US"/>
                        </w:rPr>
                        <w:t xml:space="preserve"> </w:t>
                      </w:r>
                    </w:p>
                  </w:txbxContent>
                </v:textbox>
              </v:rect>
              <v:rect id="_x0000_s1039" style="position:absolute;left:2013;top:1036;width:72;height:460" fillcolor="#e6e6e6" stroked="f"/>
              <v:rect id="_x0000_s1040" style="position:absolute;left:4112;top:1036;width:58;height:460" fillcolor="#e6e6e6" stroked="f"/>
              <v:rect id="_x0000_s1041" style="position:absolute;left:2085;top:1036;width:2027;height:460" fillcolor="#e6e6e6" stroked="f"/>
              <v:rect id="_x0000_s1042" style="position:absolute;left:2775;top:1123;width:628;height:477;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GE 302</w:t>
                      </w:r>
                    </w:p>
                  </w:txbxContent>
                </v:textbox>
              </v:rect>
              <v:rect id="_x0000_s1043" style="position:absolute;left:3422;top:1123;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044" style="position:absolute;left:4170;top:1036;width:86;height:460" fillcolor="#e6e6e6" stroked="f"/>
              <v:rect id="_x0000_s1045" style="position:absolute;left:7074;top:1036;width:72;height:460" fillcolor="#e6e6e6" stroked="f"/>
              <v:rect id="_x0000_s1046" style="position:absolute;left:4256;top:1036;width:2818;height:460" fillcolor="#e6e6e6" stroked="f"/>
              <v:rect id="_x0000_s1047" style="position:absolute;left:5363;top:1123;width:595;height:477;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MD 02</w:t>
                      </w:r>
                    </w:p>
                  </w:txbxContent>
                </v:textbox>
              </v:rect>
              <v:rect id="_x0000_s1048" style="position:absolute;left:5967;top:1123;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049" style="position:absolute;left:7146;top:1036;width:72;height:460" fillcolor="#e6e6e6" stroked="f"/>
              <v:rect id="_x0000_s1050" style="position:absolute;left:9015;top:1036;width:14;height:460" fillcolor="#e6e6e6" stroked="f"/>
              <v:rect id="_x0000_s1051" style="position:absolute;left:7218;top:1036;width:1797;height:460" fillcolor="#e6e6e6" stroked="f"/>
              <v:rect id="_x0000_s1052" style="position:absolute;left:7822;top:1123;width:595;height:477;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MD 03</w:t>
                      </w:r>
                    </w:p>
                  </w:txbxContent>
                </v:textbox>
              </v:rect>
              <v:rect id="_x0000_s1053" style="position:absolute;left:8426;top:1123;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054" style="position:absolute;left:72;top:1022;width:1;height:14" fillcolor="black" stroked="f"/>
              <v:rect id="_x0000_s1055" style="position:absolute;left:72;top:1022;width:1;height:14" fillcolor="black" stroked="f"/>
              <v:rect id="_x0000_s1056" style="position:absolute;left:72;top:1022;width:1941;height:14" fillcolor="black" stroked="f"/>
              <v:rect id="_x0000_s1057" style="position:absolute;left:2013;top:1022;width:1;height:14" fillcolor="black" stroked="f"/>
              <v:rect id="_x0000_s1058" style="position:absolute;left:2013;top:1022;width:2157;height:14" fillcolor="black" stroked="f"/>
              <v:rect id="_x0000_s1059" style="position:absolute;left:4170;top:1022;width:14;height:14" fillcolor="black" stroked="f"/>
              <v:rect id="_x0000_s1060" style="position:absolute;left:4184;top:1022;width:2962;height:14" fillcolor="black" stroked="f"/>
              <v:rect id="_x0000_s1061" style="position:absolute;left:7146;top:1022;width:1;height:14" fillcolor="black" stroked="f"/>
              <v:rect id="_x0000_s1062" style="position:absolute;left:7146;top:1022;width:1941;height:14" fillcolor="black" stroked="f"/>
              <v:rect id="_x0000_s1063" style="position:absolute;left:9087;top:1022;width:1;height:14" fillcolor="black" stroked="f"/>
              <v:rect id="_x0000_s1064" style="position:absolute;left:9087;top:1022;width:1;height:14" fillcolor="black" stroked="f"/>
              <v:rect id="_x0000_s1065" style="position:absolute;left:72;top:1036;width:1;height:460" fillcolor="black" stroked="f"/>
              <v:rect id="_x0000_s1066" style="position:absolute;left:9087;top:1036;width:1;height:460" fillcolor="black" stroked="f"/>
              <v:rect id="_x0000_s1067" style="position:absolute;left:72;top:1036;width:1941;height:201" fillcolor="#e6e6e6" stroked="f"/>
              <v:rect id="_x0000_s1068" style="position:absolute;left:72;top:1237;width:72;height:475" fillcolor="#e6e6e6" stroked="f"/>
              <v:rect id="_x0000_s1069" style="position:absolute;left:1941;top:1237;width:72;height:475" fillcolor="#e6e6e6" stroked="f"/>
              <v:rect id="_x0000_s1070" style="position:absolute;left:72;top:1712;width:1941;height:216" fillcolor="#e6e6e6" stroked="f"/>
              <v:rect id="_x0000_s1071" style="position:absolute;left:144;top:1237;width:1797;height:475" fillcolor="#e6e6e6" stroked="f"/>
              <v:rect id="_x0000_s1072" style="position:absolute;left:345;top:1338;width:112;height:477;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S</w:t>
                      </w:r>
                    </w:p>
                  </w:txbxContent>
                </v:textbox>
              </v:rect>
              <v:rect id="_x0000_s1073" style="position:absolute;left:460;top:1366;width:451;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TUDY </w:t>
                      </w:r>
                    </w:p>
                  </w:txbxContent>
                </v:textbox>
              </v:rect>
              <v:rect id="_x0000_s1074" style="position:absolute;left:963;top:1338;width:163;height:477;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N</w:t>
                      </w:r>
                    </w:p>
                  </w:txbxContent>
                </v:textbox>
              </v:rect>
              <v:rect id="_x0000_s1075" style="position:absolute;left:1121;top:1366;width:596;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UMBER</w:t>
                      </w:r>
                    </w:p>
                  </w:txbxContent>
                </v:textbox>
              </v:rect>
              <v:rect id="_x0000_s1076" style="position:absolute;left:1725;top:1338;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077" style="position:absolute;left:2013;top:1511;width:72;height:417" fillcolor="#e6e6e6" stroked="f"/>
              <v:rect id="_x0000_s1078" style="position:absolute;left:2976;top:1511;width:58;height:417" fillcolor="#e6e6e6" stroked="f"/>
              <v:rect id="_x0000_s1079" style="position:absolute;left:2013;top:1928;width:1021;height:1" fillcolor="#e6e6e6" stroked="f"/>
              <v:rect id="_x0000_s1080" style="position:absolute;left:2085;top:1511;width:891;height:417" fillcolor="#e6e6e6" stroked="f"/>
              <v:rect id="_x0000_s1081" style="position:absolute;left:2214;top:1583;width:121;height:450;mso-wrap-style:none;v-text-anchor:top" filled="f" stroked="f">
                <v:textbox style="mso-fit-shape-to-text:t" inset="0,0,0,0">
                  <w:txbxContent>
                    <w:p w:rsidR="001174B4" w:rsidRDefault="001174B4">
                      <w:r>
                        <w:rPr>
                          <w:rFonts w:ascii="Book Antiqua" w:hAnsi="Book Antiqua" w:cs="Book Antiqua"/>
                          <w:b/>
                          <w:bCs/>
                          <w:i/>
                          <w:iCs/>
                          <w:color w:val="000000"/>
                          <w:sz w:val="18"/>
                          <w:szCs w:val="18"/>
                          <w:lang w:val="en-US"/>
                        </w:rPr>
                        <w:t>P</w:t>
                      </w:r>
                    </w:p>
                  </w:txbxContent>
                </v:textbox>
              </v:rect>
              <v:rect id="_x0000_s1082" style="position:absolute;left:2329;top:1583;width:517;height:450;mso-wrap-style:none;v-text-anchor:top" filled="f" stroked="f">
                <v:textbox style="mso-fit-shape-to-text:t" inset="0,0,0,0">
                  <w:txbxContent>
                    <w:p w:rsidR="001174B4" w:rsidRDefault="001174B4">
                      <w:proofErr w:type="spellStart"/>
                      <w:r>
                        <w:rPr>
                          <w:rFonts w:ascii="Book Antiqua" w:hAnsi="Book Antiqua" w:cs="Book Antiqua"/>
                          <w:b/>
                          <w:bCs/>
                          <w:i/>
                          <w:iCs/>
                          <w:color w:val="000000"/>
                          <w:sz w:val="18"/>
                          <w:szCs w:val="18"/>
                          <w:lang w:val="en-US"/>
                        </w:rPr>
                        <w:t>lacebo</w:t>
                      </w:r>
                      <w:proofErr w:type="spellEnd"/>
                    </w:p>
                  </w:txbxContent>
                </v:textbox>
              </v:rect>
              <v:rect id="_x0000_s1083" style="position:absolute;left:2847;top:1569;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084" style="position:absolute;left:3034;top:1511;width:72;height:417" fillcolor="#e6e6e6" stroked="f"/>
              <v:rect id="_x0000_s1085" style="position:absolute;left:4112;top:1511;width:58;height:417" fillcolor="#e6e6e6" stroked="f"/>
              <v:rect id="_x0000_s1086" style="position:absolute;left:3034;top:1928;width:1136;height:1" fillcolor="#e6e6e6" stroked="f"/>
              <v:rect id="_x0000_s1087" style="position:absolute;left:3106;top:1511;width:1006;height:417" fillcolor="#e6e6e6" stroked="f"/>
              <v:rect id="_x0000_s1088" style="position:absolute;left:3249;top:1583;width:735;height:450;mso-wrap-style:none;v-text-anchor:top" filled="f" stroked="f">
                <v:textbox style="mso-fit-shape-to-text:t" inset="0,0,0,0">
                  <w:txbxContent>
                    <w:p w:rsidR="001174B4" w:rsidRDefault="001174B4">
                      <w:r>
                        <w:rPr>
                          <w:rFonts w:ascii="Book Antiqua" w:hAnsi="Book Antiqua" w:cs="Book Antiqua"/>
                          <w:b/>
                          <w:bCs/>
                          <w:i/>
                          <w:iCs/>
                          <w:color w:val="000000"/>
                          <w:sz w:val="18"/>
                          <w:szCs w:val="18"/>
                          <w:lang w:val="en-US"/>
                        </w:rPr>
                        <w:t>MLN 200</w:t>
                      </w:r>
                    </w:p>
                  </w:txbxContent>
                </v:textbox>
              </v:rect>
              <v:rect id="_x0000_s1089" style="position:absolute;left:3968;top:1569;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090" style="position:absolute;left:4170;top:1511;width:86;height:417" fillcolor="#e6e6e6" stroked="f"/>
              <v:rect id="_x0000_s1091" style="position:absolute;left:5018;top:1511;width:72;height:417" fillcolor="#e6e6e6" stroked="f"/>
              <v:rect id="_x0000_s1092" style="position:absolute;left:4170;top:1928;width:920;height:1" fillcolor="#e6e6e6" stroked="f"/>
              <v:rect id="_x0000_s1093" style="position:absolute;left:4256;top:1511;width:762;height:417" fillcolor="#e6e6e6" stroked="f"/>
              <v:rect id="_x0000_s1094" style="position:absolute;left:4328;top:1583;width:121;height:450;mso-wrap-style:none;v-text-anchor:top" filled="f" stroked="f">
                <v:textbox style="mso-fit-shape-to-text:t" inset="0,0,0,0">
                  <w:txbxContent>
                    <w:p w:rsidR="001174B4" w:rsidRDefault="001174B4">
                      <w:r>
                        <w:rPr>
                          <w:rFonts w:ascii="Book Antiqua" w:hAnsi="Book Antiqua" w:cs="Book Antiqua"/>
                          <w:b/>
                          <w:bCs/>
                          <w:i/>
                          <w:iCs/>
                          <w:color w:val="000000"/>
                          <w:sz w:val="18"/>
                          <w:szCs w:val="18"/>
                          <w:lang w:val="en-US"/>
                        </w:rPr>
                        <w:t>P</w:t>
                      </w:r>
                    </w:p>
                  </w:txbxContent>
                </v:textbox>
              </v:rect>
              <v:rect id="_x0000_s1095" style="position:absolute;left:4443;top:1583;width:517;height:450;mso-wrap-style:none;v-text-anchor:top" filled="f" stroked="f">
                <v:textbox style="mso-fit-shape-to-text:t" inset="0,0,0,0">
                  <w:txbxContent>
                    <w:p w:rsidR="001174B4" w:rsidRDefault="001174B4">
                      <w:proofErr w:type="spellStart"/>
                      <w:r>
                        <w:rPr>
                          <w:rFonts w:ascii="Book Antiqua" w:hAnsi="Book Antiqua" w:cs="Book Antiqua"/>
                          <w:b/>
                          <w:bCs/>
                          <w:i/>
                          <w:iCs/>
                          <w:color w:val="000000"/>
                          <w:sz w:val="18"/>
                          <w:szCs w:val="18"/>
                          <w:lang w:val="en-US"/>
                        </w:rPr>
                        <w:t>lacebo</w:t>
                      </w:r>
                      <w:proofErr w:type="spellEnd"/>
                    </w:p>
                  </w:txbxContent>
                </v:textbox>
              </v:rect>
              <v:rect id="_x0000_s1096" style="position:absolute;left:4946;top:1569;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097" style="position:absolute;left:5090;top:1511;width:72;height:417" fillcolor="#e6e6e6" stroked="f"/>
              <v:rect id="_x0000_s1098" style="position:absolute;left:6053;top:1511;width:58;height:417" fillcolor="#e6e6e6" stroked="f"/>
              <v:rect id="_x0000_s1099" style="position:absolute;left:5090;top:1928;width:1021;height:1" fillcolor="#e6e6e6" stroked="f"/>
              <v:rect id="_x0000_s1100" style="position:absolute;left:5162;top:1511;width:891;height:417" fillcolor="#e6e6e6" stroked="f"/>
              <v:rect id="_x0000_s1101" style="position:absolute;left:5248;top:1583;width:735;height:450;mso-wrap-style:none;v-text-anchor:top" filled="f" stroked="f">
                <v:textbox style="mso-fit-shape-to-text:t" inset="0,0,0,0">
                  <w:txbxContent>
                    <w:p w:rsidR="001174B4" w:rsidRDefault="001174B4">
                      <w:r>
                        <w:rPr>
                          <w:rFonts w:ascii="Book Antiqua" w:hAnsi="Book Antiqua" w:cs="Book Antiqua"/>
                          <w:b/>
                          <w:bCs/>
                          <w:i/>
                          <w:iCs/>
                          <w:color w:val="000000"/>
                          <w:sz w:val="18"/>
                          <w:szCs w:val="18"/>
                          <w:lang w:val="en-US"/>
                        </w:rPr>
                        <w:t>MLN 100</w:t>
                      </w:r>
                    </w:p>
                  </w:txbxContent>
                </v:textbox>
              </v:rect>
              <v:rect id="_x0000_s1102" style="position:absolute;left:5967;top:1569;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103" style="position:absolute;left:6111;top:1511;width:72;height:417" fillcolor="#e6e6e6" stroked="f"/>
              <v:rect id="_x0000_s1104" style="position:absolute;left:7074;top:1511;width:72;height:417" fillcolor="#e6e6e6" stroked="f"/>
              <v:rect id="_x0000_s1105" style="position:absolute;left:6111;top:1928;width:1035;height:1" fillcolor="#e6e6e6" stroked="f"/>
              <v:rect id="_x0000_s1106" style="position:absolute;left:6183;top:1511;width:891;height:417" fillcolor="#e6e6e6" stroked="f"/>
              <v:rect id="_x0000_s1107" style="position:absolute;left:6269;top:1583;width:735;height:450;mso-wrap-style:none;v-text-anchor:top" filled="f" stroked="f">
                <v:textbox style="mso-fit-shape-to-text:t" inset="0,0,0,0">
                  <w:txbxContent>
                    <w:p w:rsidR="001174B4" w:rsidRDefault="001174B4">
                      <w:r>
                        <w:rPr>
                          <w:rFonts w:ascii="Book Antiqua" w:hAnsi="Book Antiqua" w:cs="Book Antiqua"/>
                          <w:b/>
                          <w:bCs/>
                          <w:i/>
                          <w:iCs/>
                          <w:color w:val="000000"/>
                          <w:sz w:val="18"/>
                          <w:szCs w:val="18"/>
                          <w:lang w:val="en-US"/>
                        </w:rPr>
                        <w:t>MLN 200</w:t>
                      </w:r>
                    </w:p>
                  </w:txbxContent>
                </v:textbox>
              </v:rect>
              <v:rect id="_x0000_s1108" style="position:absolute;left:7002;top:1569;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109" style="position:absolute;left:7146;top:1511;width:72;height:417" fillcolor="#e6e6e6" stroked="f"/>
              <v:rect id="_x0000_s1110" style="position:absolute;left:7994;top:1511;width:58;height:417" fillcolor="#e6e6e6" stroked="f"/>
              <v:rect id="_x0000_s1111" style="position:absolute;left:7146;top:1928;width:906;height:1" fillcolor="#e6e6e6" stroked="f"/>
              <v:rect id="_x0000_s1112" style="position:absolute;left:7218;top:1511;width:776;height:417" fillcolor="#e6e6e6" stroked="f"/>
              <v:rect id="_x0000_s1113" style="position:absolute;left:7290;top:1583;width:121;height:450;mso-wrap-style:none;v-text-anchor:top" filled="f" stroked="f">
                <v:textbox style="mso-fit-shape-to-text:t" inset="0,0,0,0">
                  <w:txbxContent>
                    <w:p w:rsidR="001174B4" w:rsidRDefault="001174B4">
                      <w:r>
                        <w:rPr>
                          <w:rFonts w:ascii="Book Antiqua" w:hAnsi="Book Antiqua" w:cs="Book Antiqua"/>
                          <w:b/>
                          <w:bCs/>
                          <w:i/>
                          <w:iCs/>
                          <w:color w:val="000000"/>
                          <w:sz w:val="18"/>
                          <w:szCs w:val="18"/>
                          <w:lang w:val="en-US"/>
                        </w:rPr>
                        <w:t>P</w:t>
                      </w:r>
                    </w:p>
                  </w:txbxContent>
                </v:textbox>
              </v:rect>
              <v:rect id="_x0000_s1114" style="position:absolute;left:7405;top:1583;width:517;height:450;mso-wrap-style:none;v-text-anchor:top" filled="f" stroked="f">
                <v:textbox style="mso-fit-shape-to-text:t" inset="0,0,0,0">
                  <w:txbxContent>
                    <w:p w:rsidR="001174B4" w:rsidRDefault="001174B4">
                      <w:proofErr w:type="spellStart"/>
                      <w:r>
                        <w:rPr>
                          <w:rFonts w:ascii="Book Antiqua" w:hAnsi="Book Antiqua" w:cs="Book Antiqua"/>
                          <w:b/>
                          <w:bCs/>
                          <w:i/>
                          <w:iCs/>
                          <w:color w:val="000000"/>
                          <w:sz w:val="18"/>
                          <w:szCs w:val="18"/>
                          <w:lang w:val="en-US"/>
                        </w:rPr>
                        <w:t>lacebo</w:t>
                      </w:r>
                      <w:proofErr w:type="spellEnd"/>
                    </w:p>
                  </w:txbxContent>
                </v:textbox>
              </v:rect>
              <v:rect id="_x0000_s1115" style="position:absolute;left:7922;top:1569;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116" style="position:absolute;left:8052;top:1511;width:72;height:417" fillcolor="#e6e6e6" stroked="f"/>
              <v:rect id="_x0000_s1117" style="position:absolute;left:9015;top:1511;width:14;height:417" fillcolor="#e6e6e6" stroked="f"/>
              <v:rect id="_x0000_s1118" style="position:absolute;left:8052;top:1928;width:977;height:1" fillcolor="#e6e6e6" stroked="f"/>
              <v:rect id="_x0000_s1119" style="position:absolute;left:8124;top:1511;width:891;height:417" fillcolor="#e6e6e6" stroked="f"/>
              <v:rect id="_x0000_s1120" style="position:absolute;left:8210;top:1583;width:735;height:450;mso-wrap-style:none;v-text-anchor:top" filled="f" stroked="f">
                <v:textbox style="mso-fit-shape-to-text:t" inset="0,0,0,0">
                  <w:txbxContent>
                    <w:p w:rsidR="001174B4" w:rsidRDefault="001174B4">
                      <w:r>
                        <w:rPr>
                          <w:rFonts w:ascii="Book Antiqua" w:hAnsi="Book Antiqua" w:cs="Book Antiqua"/>
                          <w:b/>
                          <w:bCs/>
                          <w:i/>
                          <w:iCs/>
                          <w:color w:val="000000"/>
                          <w:sz w:val="18"/>
                          <w:szCs w:val="18"/>
                          <w:lang w:val="en-US"/>
                        </w:rPr>
                        <w:t>MLN 100</w:t>
                      </w:r>
                    </w:p>
                  </w:txbxContent>
                </v:textbox>
              </v:rect>
              <v:rect id="_x0000_s1121" style="position:absolute;left:8943;top:1569;width:51;height:509;mso-wrap-style:none;v-text-anchor:top" filled="f" stroked="f">
                <v:textbox style="mso-fit-shape-to-text:t" inset="0,0,0,0">
                  <w:txbxContent>
                    <w:p w:rsidR="001174B4" w:rsidRDefault="001174B4">
                      <w:r>
                        <w:rPr>
                          <w:rFonts w:ascii="Book Antiqua" w:hAnsi="Book Antiqua" w:cs="Book Antiqua"/>
                          <w:b/>
                          <w:bCs/>
                          <w:i/>
                          <w:iCs/>
                          <w:color w:val="000000"/>
                          <w:sz w:val="20"/>
                          <w:szCs w:val="20"/>
                          <w:lang w:val="en-US"/>
                        </w:rPr>
                        <w:t xml:space="preserve"> </w:t>
                      </w:r>
                    </w:p>
                  </w:txbxContent>
                </v:textbox>
              </v:rect>
              <v:rect id="_x0000_s1122" style="position:absolute;left:72;top:1496;width:1;height:15" fillcolor="black" stroked="f"/>
              <v:rect id="_x0000_s1123" style="position:absolute;left:2013;top:1496;width:1021;height:15" fillcolor="#e6e6e6" stroked="f"/>
              <v:rect id="_x0000_s1124" style="position:absolute;left:3034;top:1496;width:1136;height:15" fillcolor="#e6e6e6" stroked="f"/>
              <v:rect id="_x0000_s1125" style="position:absolute;left:4170;top:1496;width:920;height:15" fillcolor="#e6e6e6" stroked="f"/>
              <v:rect id="_x0000_s1126" style="position:absolute;left:5090;top:1496;width:1021;height:15" fillcolor="#e6e6e6" stroked="f"/>
              <v:rect id="_x0000_s1127" style="position:absolute;left:6111;top:1496;width:1035;height:15" fillcolor="#e6e6e6" stroked="f"/>
              <v:rect id="_x0000_s1128" style="position:absolute;left:7146;top:1496;width:906;height:15" fillcolor="#e6e6e6" stroked="f"/>
              <v:rect id="_x0000_s1129" style="position:absolute;left:8052;top:1496;width:1035;height:15" fillcolor="#e6e6e6" stroked="f"/>
              <v:rect id="_x0000_s1130" style="position:absolute;left:9087;top:1496;width:1;height:15" fillcolor="black" stroked="f"/>
              <v:rect id="_x0000_s1131" style="position:absolute;left:72;top:1511;width:1;height:417" fillcolor="black" stroked="f"/>
              <v:rect id="_x0000_s1132" style="position:absolute;left:9087;top:1511;width:1;height:417" fillcolor="black" stroked="f"/>
              <v:rect id="_x0000_s1133" style="position:absolute;left:2329;top:201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14.3%</w:t>
                      </w:r>
                    </w:p>
                  </w:txbxContent>
                </v:textbox>
              </v:rect>
              <v:rect id="_x0000_s1134" style="position:absolute;left:2717;top:2014;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35" style="position:absolute;left:3408;top:201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24.0% </w:t>
                      </w:r>
                    </w:p>
                  </w:txbxContent>
                </v:textbox>
              </v:rect>
              <v:rect id="_x0000_s1136" style="position:absolute;left:3839;top:2014;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37" style="position:absolute;left:3293;top:2287;width:150;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(p</w:t>
                      </w:r>
                    </w:p>
                  </w:txbxContent>
                </v:textbox>
              </v:rect>
              <v:rect id="_x0000_s1138" style="position:absolute;left:3436;top:2287;width:97;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&lt;</w:t>
                      </w:r>
                    </w:p>
                  </w:txbxContent>
                </v:textbox>
              </v:rect>
              <v:rect id="_x0000_s1139" style="position:absolute;left:3537;top:2287;width: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0</w:t>
                      </w:r>
                    </w:p>
                  </w:txbxContent>
                </v:textbox>
              </v:rect>
              <v:rect id="_x0000_s1140" style="position:absolute;left:3609;top:2287;width:2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.001</w:t>
                      </w:r>
                    </w:p>
                  </w:txbxContent>
                </v:textbox>
              </v:rect>
              <v:rect id="_x0000_s1141" style="position:absolute;left:3868;top:2287;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142" style="position:absolute;left:3925;top:2287;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43" style="position:absolute;left:4443;top:201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16.2%</w:t>
                      </w:r>
                    </w:p>
                  </w:txbxContent>
                </v:textbox>
              </v:rect>
              <v:rect id="_x0000_s1144" style="position:absolute;left:4831;top:2014;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45" style="position:absolute;left:5406;top:201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23.2% </w:t>
                      </w:r>
                    </w:p>
                  </w:txbxContent>
                </v:textbox>
              </v:rect>
              <v:rect id="_x0000_s1146" style="position:absolute;left:5291;top:2287;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147" style="position:absolute;left:5349;top:2287;width:5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p=0.014</w:t>
                      </w:r>
                    </w:p>
                  </w:txbxContent>
                </v:textbox>
              </v:rect>
              <v:rect id="_x0000_s1148" style="position:absolute;left:5866;top:2287;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149" style="position:absolute;left:5924;top:2287;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50" style="position:absolute;left:6441;top:2014;width: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2</w:t>
                      </w:r>
                    </w:p>
                  </w:txbxContent>
                </v:textbox>
              </v:rect>
              <v:rect id="_x0000_s1151" style="position:absolute;left:6513;top:2014;width:33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5.4% </w:t>
                      </w:r>
                    </w:p>
                  </w:txbxContent>
                </v:textbox>
              </v:rect>
              <v:rect id="_x0000_s1152" style="position:absolute;left:6326;top:2287;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153" style="position:absolute;left:6369;top:2287;width:5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p=0.002</w:t>
                      </w:r>
                    </w:p>
                  </w:txbxContent>
                </v:textbox>
              </v:rect>
              <v:rect id="_x0000_s1154" style="position:absolute;left:6901;top:2287;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155" style="position:absolute;left:6945;top:2287;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56" style="position:absolute;left:7405;top:201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18.2%</w:t>
                      </w:r>
                    </w:p>
                  </w:txbxContent>
                </v:textbox>
              </v:rect>
              <v:rect id="_x0000_s1157" style="position:absolute;left:7807;top:2014;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58" style="position:absolute;left:8382;top:201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29.5%</w:t>
                      </w:r>
                    </w:p>
                  </w:txbxContent>
                </v:textbox>
              </v:rect>
              <v:rect id="_x0000_s1159" style="position:absolute;left:8771;top:2014;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60" style="position:absolute;left:8267;top:2287;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161" style="position:absolute;left:8310;top:2287;width:19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p&lt;</w:t>
                      </w:r>
                    </w:p>
                  </w:txbxContent>
                </v:textbox>
              </v:rect>
              <v:rect id="_x0000_s1162" style="position:absolute;left:8497;top:2287;width: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0</w:t>
                      </w:r>
                    </w:p>
                  </w:txbxContent>
                </v:textbox>
              </v:rect>
              <v:rect id="_x0000_s1163" style="position:absolute;left:8569;top:2287;width:2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.001</w:t>
                      </w:r>
                    </w:p>
                  </w:txbxContent>
                </v:textbox>
              </v:rect>
              <v:rect id="_x0000_s1164" style="position:absolute;left:8842;top:2287;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165" style="position:absolute;left:8886;top:2287;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66" style="position:absolute;left:72;top:1928;width:1;height:676" fillcolor="black" stroked="f"/>
              <v:rect id="_x0000_s1167" style="position:absolute;left:9087;top:1928;width:1;height:676" fillcolor="black" stroked="f"/>
              <v:rect id="_x0000_s1168" style="position:absolute;left:374;top:2057;width:116;height:422;mso-wrap-style:none;v-text-anchor:top" filled="f" stroked="f">
                <v:textbox style="mso-fit-shape-to-text:t" inset="0,0,0,0">
                  <w:txbxContent>
                    <w:p w:rsidR="001174B4" w:rsidRDefault="001174B4">
                      <w:r>
                        <w:rPr>
                          <w:rFonts w:ascii="Book Antiqua" w:hAnsi="Book Antiqua" w:cs="Book Antiqua"/>
                          <w:b/>
                          <w:bCs/>
                          <w:color w:val="000000"/>
                          <w:sz w:val="16"/>
                          <w:szCs w:val="16"/>
                          <w:lang w:val="en-US"/>
                        </w:rPr>
                        <w:t>R</w:t>
                      </w:r>
                    </w:p>
                  </w:txbxContent>
                </v:textbox>
              </v:rect>
              <v:rect id="_x0000_s1169" style="position:absolute;left:474;top:2101;width:754;height:366;mso-wrap-style:none;v-text-anchor:top" filled="f" stroked="f">
                <v:textbox style="mso-fit-shape-to-text:t" inset="0,0,0,0">
                  <w:txbxContent>
                    <w:p w:rsidR="001174B4" w:rsidRDefault="001174B4">
                      <w:r>
                        <w:rPr>
                          <w:rFonts w:ascii="Book Antiqua" w:hAnsi="Book Antiqua" w:cs="Book Antiqua"/>
                          <w:b/>
                          <w:bCs/>
                          <w:color w:val="000000"/>
                          <w:sz w:val="12"/>
                          <w:szCs w:val="12"/>
                          <w:lang w:val="en-US"/>
                        </w:rPr>
                        <w:t>ESPONDERS</w:t>
                      </w:r>
                    </w:p>
                  </w:txbxContent>
                </v:textbox>
              </v:rect>
              <v:rect id="_x0000_s1170" style="position:absolute;left:1237;top:2101;width:31;height:509;mso-wrap-style:none;v-text-anchor:top" filled="f" stroked="f">
                <v:textbox style="mso-fit-shape-to-text:t" inset="0,0,0,0">
                  <w:txbxContent>
                    <w:p w:rsidR="001174B4" w:rsidRDefault="001174B4">
                      <w:r>
                        <w:rPr>
                          <w:rFonts w:ascii="Book Antiqua" w:hAnsi="Book Antiqua" w:cs="Book Antiqua"/>
                          <w:b/>
                          <w:bCs/>
                          <w:color w:val="000000"/>
                          <w:sz w:val="12"/>
                          <w:szCs w:val="12"/>
                          <w:lang w:val="en-US"/>
                        </w:rPr>
                        <w:t xml:space="preserve"> </w:t>
                      </w:r>
                    </w:p>
                  </w:txbxContent>
                </v:textbox>
              </v:rect>
              <v:rect id="_x0000_s1171" style="position:absolute;left:1265;top:2057;width:543;height:422;mso-wrap-style:none;v-text-anchor:top" filled="f" stroked="f">
                <v:textbox style="mso-fit-shape-to-text:t" inset="0,0,0,0">
                  <w:txbxContent>
                    <w:p w:rsidR="001174B4" w:rsidRDefault="001174B4">
                      <w:r>
                        <w:rPr>
                          <w:rFonts w:ascii="Book Antiqua" w:hAnsi="Book Antiqua" w:cs="Book Antiqua"/>
                          <w:b/>
                          <w:bCs/>
                          <w:color w:val="000000"/>
                          <w:sz w:val="16"/>
                          <w:szCs w:val="16"/>
                          <w:lang w:val="en-US"/>
                        </w:rPr>
                        <w:t>(LOCF)</w:t>
                      </w:r>
                    </w:p>
                  </w:txbxContent>
                </v:textbox>
              </v:rect>
              <v:rect id="_x0000_s1172" style="position:absolute;left:1783;top:2057;width:41;height:509;mso-wrap-style:none;v-text-anchor:top" filled="f" stroked="f">
                <v:textbox style="mso-fit-shape-to-text:t" inset="0,0,0,0">
                  <w:txbxContent>
                    <w:p w:rsidR="001174B4" w:rsidRDefault="001174B4">
                      <w:r>
                        <w:rPr>
                          <w:rFonts w:ascii="Book Antiqua" w:hAnsi="Book Antiqua" w:cs="Book Antiqua"/>
                          <w:b/>
                          <w:bCs/>
                          <w:color w:val="000000"/>
                          <w:sz w:val="16"/>
                          <w:szCs w:val="16"/>
                          <w:lang w:val="en-US"/>
                        </w:rPr>
                        <w:t xml:space="preserve"> </w:t>
                      </w:r>
                    </w:p>
                  </w:txbxContent>
                </v:textbox>
              </v:rect>
              <v:rect id="_x0000_s1173" style="position:absolute;left:374;top:2561;width:41;height:509;mso-wrap-style:none;v-text-anchor:top" filled="f" stroked="f">
                <v:textbox style="mso-fit-shape-to-text:t" inset="0,0,0,0">
                  <w:txbxContent>
                    <w:p w:rsidR="001174B4" w:rsidRDefault="001174B4">
                      <w:r>
                        <w:rPr>
                          <w:rFonts w:ascii="Book Antiqua" w:hAnsi="Book Antiqua" w:cs="Book Antiqua"/>
                          <w:b/>
                          <w:bCs/>
                          <w:color w:val="000000"/>
                          <w:sz w:val="16"/>
                          <w:szCs w:val="16"/>
                          <w:lang w:val="en-US"/>
                        </w:rPr>
                        <w:t xml:space="preserve">                             </w:t>
                      </w:r>
                    </w:p>
                  </w:txbxContent>
                </v:textbox>
              </v:rect>
              <v:rect id="_x0000_s1174" style="position:absolute;left:1467;top:2561;width:347;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NNT</w:t>
                      </w:r>
                    </w:p>
                  </w:txbxContent>
                </v:textbox>
              </v:rect>
              <v:rect id="_x0000_s1175" style="position:absolute;left:1797;top:2561;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176" style="position:absolute;left:2531;top:2690;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77" style="position:absolute;left:3479;top:2676;width:281;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10.3</w:t>
                      </w:r>
                    </w:p>
                  </w:txbxContent>
                </v:textbox>
              </v:rect>
              <v:rect id="_x0000_s1178" style="position:absolute;left:3738;top:2676;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179" style="position:absolute;left:4630;top:2690;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80" style="position:absolute;left:5478;top:2676;width:281;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14.3</w:t>
                      </w:r>
                    </w:p>
                  </w:txbxContent>
                </v:textbox>
              </v:rect>
              <v:rect id="_x0000_s1181" style="position:absolute;left:5737;top:2676;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182" style="position:absolute;left:6499;top:2676;width:281;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10.9</w:t>
                      </w:r>
                    </w:p>
                  </w:txbxContent>
                </v:textbox>
              </v:rect>
              <v:rect id="_x0000_s1183" style="position:absolute;left:6772;top:2676;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184" style="position:absolute;left:7606;top:2676;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185" style="position:absolute;left:8483;top:2676;width:201;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8.8</w:t>
                      </w:r>
                    </w:p>
                  </w:txbxContent>
                </v:textbox>
              </v:rect>
              <v:rect id="_x0000_s1186" style="position:absolute;left:8670;top:2676;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187" style="position:absolute;left:72;top:2604;width:1;height:1" fillcolor="black" stroked="f"/>
              <v:rect id="_x0000_s1188" style="position:absolute;left:9087;top:2604;width:1;height:1" fillcolor="black" stroked="f"/>
              <v:rect id="_x0000_s1189" style="position:absolute;left:72;top:2604;width:1;height:389" fillcolor="black" stroked="f"/>
              <v:rect id="_x0000_s1190" style="position:absolute;left:9087;top:2604;width:1;height:389" fillcolor="black" stroked="f"/>
              <v:rect id="_x0000_s1191" style="position:absolute;left:2329;top:306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15.9%</w:t>
                      </w:r>
                    </w:p>
                  </w:txbxContent>
                </v:textbox>
              </v:rect>
              <v:rect id="_x0000_s1192" style="position:absolute;left:2717;top:3064;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93" style="position:absolute;left:3408;top:306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31.5% </w:t>
                      </w:r>
                    </w:p>
                  </w:txbxContent>
                </v:textbox>
              </v:rect>
              <v:rect id="_x0000_s1194" style="position:absolute;left:3839;top:3064;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195" style="position:absolute;left:3293;top:3352;width:150;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(p</w:t>
                      </w:r>
                    </w:p>
                  </w:txbxContent>
                </v:textbox>
              </v:rect>
              <v:rect id="_x0000_s1196" style="position:absolute;left:3436;top:3352;width:97;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&lt;</w:t>
                      </w:r>
                    </w:p>
                  </w:txbxContent>
                </v:textbox>
              </v:rect>
              <v:rect id="_x0000_s1197" style="position:absolute;left:3537;top:3352;width: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0</w:t>
                      </w:r>
                    </w:p>
                  </w:txbxContent>
                </v:textbox>
              </v:rect>
              <v:rect id="_x0000_s1198" style="position:absolute;left:3609;top:3352;width:2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.001</w:t>
                      </w:r>
                    </w:p>
                  </w:txbxContent>
                </v:textbox>
              </v:rect>
              <v:rect id="_x0000_s1199" style="position:absolute;left:3868;top:3352;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200" style="position:absolute;left:3925;top:3352;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201" style="position:absolute;left:4443;top:306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20.5%</w:t>
                      </w:r>
                    </w:p>
                  </w:txbxContent>
                </v:textbox>
              </v:rect>
              <v:rect id="_x0000_s1202" style="position:absolute;left:4831;top:3064;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203" style="position:absolute;left:5406;top:306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32.4% </w:t>
                      </w:r>
                    </w:p>
                  </w:txbxContent>
                </v:textbox>
              </v:rect>
              <v:rect id="_x0000_s1204" style="position:absolute;left:5291;top:3352;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205" style="position:absolute;left:5349;top:3352;width:5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p=0.002</w:t>
                      </w:r>
                    </w:p>
                  </w:txbxContent>
                </v:textbox>
              </v:rect>
              <v:rect id="_x0000_s1206" style="position:absolute;left:5866;top:3352;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207" style="position:absolute;left:5924;top:3352;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208" style="position:absolute;left:6441;top:306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35.8% </w:t>
                      </w:r>
                    </w:p>
                  </w:txbxContent>
                </v:textbox>
              </v:rect>
              <v:rect id="_x0000_s1209" style="position:absolute;left:6326;top:3352;width:150;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(p</w:t>
                      </w:r>
                    </w:p>
                  </w:txbxContent>
                </v:textbox>
              </v:rect>
              <v:rect id="_x0000_s1210" style="position:absolute;left:6456;top:3352;width:97;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&lt;</w:t>
                      </w:r>
                    </w:p>
                  </w:txbxContent>
                </v:textbox>
              </v:rect>
              <v:rect id="_x0000_s1211" style="position:absolute;left:6556;top:3352;width: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0</w:t>
                      </w:r>
                    </w:p>
                  </w:txbxContent>
                </v:textbox>
              </v:rect>
              <v:rect id="_x0000_s1212" style="position:absolute;left:6628;top:3352;width:2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.001</w:t>
                      </w:r>
                    </w:p>
                  </w:txbxContent>
                </v:textbox>
              </v:rect>
              <v:rect id="_x0000_s1213" style="position:absolute;left:6901;top:3352;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214" style="position:absolute;left:6945;top:3352;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215" style="position:absolute;left:7405;top:306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24.5%</w:t>
                      </w:r>
                    </w:p>
                  </w:txbxContent>
                </v:textbox>
              </v:rect>
              <v:rect id="_x0000_s1216" style="position:absolute;left:7807;top:3064;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217" style="position:absolute;left:8382;top:3064;width:415;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39.4% </w:t>
                      </w:r>
                    </w:p>
                  </w:txbxContent>
                </v:textbox>
              </v:rect>
              <v:rect id="_x0000_s1218" style="position:absolute;left:8267;top:3352;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219" style="position:absolute;left:8310;top:3352;width:19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p&lt;</w:t>
                      </w:r>
                    </w:p>
                  </w:txbxContent>
                </v:textbox>
              </v:rect>
              <v:rect id="_x0000_s1220" style="position:absolute;left:8497;top:3352;width: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0</w:t>
                      </w:r>
                    </w:p>
                  </w:txbxContent>
                </v:textbox>
              </v:rect>
              <v:rect id="_x0000_s1221" style="position:absolute;left:8569;top:3352;width:281;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.001</w:t>
                      </w:r>
                    </w:p>
                  </w:txbxContent>
                </v:textbox>
              </v:rect>
              <v:rect id="_x0000_s1222" style="position:absolute;left:8842;top:3352;width:54;height:429;mso-wrap-style:none;v-text-anchor:top" filled="f" stroked="f">
                <v:textbox style="mso-fit-shape-to-text:t" inset="0,0,0,0">
                  <w:txbxContent>
                    <w:p w:rsidR="001174B4" w:rsidRDefault="001174B4">
                      <w:r>
                        <w:rPr>
                          <w:rFonts w:ascii="Book Antiqua" w:hAnsi="Book Antiqua" w:cs="Book Antiqua"/>
                          <w:color w:val="000000"/>
                          <w:sz w:val="16"/>
                          <w:szCs w:val="16"/>
                          <w:lang w:val="en-US"/>
                        </w:rPr>
                        <w:t>)</w:t>
                      </w:r>
                    </w:p>
                  </w:txbxContent>
                </v:textbox>
              </v:rect>
              <v:rect id="_x0000_s1223" style="position:absolute;left:8886;top:3352;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224" style="position:absolute;left:72;top:2993;width:1;height:676" fillcolor="black" stroked="f"/>
              <v:rect id="_x0000_s1225" style="position:absolute;left:9087;top:2993;width:1;height:676" fillcolor="black" stroked="f"/>
              <v:rect id="_x0000_s1226" style="position:absolute;left:374;top:3122;width:116;height:422;mso-wrap-style:none;v-text-anchor:top" filled="f" stroked="f">
                <v:textbox style="mso-fit-shape-to-text:t" inset="0,0,0,0">
                  <w:txbxContent>
                    <w:p w:rsidR="001174B4" w:rsidRDefault="001174B4">
                      <w:r>
                        <w:rPr>
                          <w:rFonts w:ascii="Book Antiqua" w:hAnsi="Book Antiqua" w:cs="Book Antiqua"/>
                          <w:b/>
                          <w:bCs/>
                          <w:color w:val="000000"/>
                          <w:sz w:val="16"/>
                          <w:szCs w:val="16"/>
                          <w:lang w:val="en-US"/>
                        </w:rPr>
                        <w:t>R</w:t>
                      </w:r>
                    </w:p>
                  </w:txbxContent>
                </v:textbox>
              </v:rect>
              <v:rect id="_x0000_s1227" style="position:absolute;left:474;top:3166;width:754;height:366;mso-wrap-style:none;v-text-anchor:top" filled="f" stroked="f">
                <v:textbox style="mso-fit-shape-to-text:t" inset="0,0,0,0">
                  <w:txbxContent>
                    <w:p w:rsidR="001174B4" w:rsidRDefault="001174B4">
                      <w:r>
                        <w:rPr>
                          <w:rFonts w:ascii="Book Antiqua" w:hAnsi="Book Antiqua" w:cs="Book Antiqua"/>
                          <w:b/>
                          <w:bCs/>
                          <w:color w:val="000000"/>
                          <w:sz w:val="12"/>
                          <w:szCs w:val="12"/>
                          <w:lang w:val="en-US"/>
                        </w:rPr>
                        <w:t>ESPONDERS</w:t>
                      </w:r>
                    </w:p>
                  </w:txbxContent>
                </v:textbox>
              </v:rect>
              <v:rect id="_x0000_s1228" style="position:absolute;left:1237;top:3166;width:31;height:509;mso-wrap-style:none;v-text-anchor:top" filled="f" stroked="f">
                <v:textbox style="mso-fit-shape-to-text:t" inset="0,0,0,0">
                  <w:txbxContent>
                    <w:p w:rsidR="001174B4" w:rsidRDefault="001174B4">
                      <w:r>
                        <w:rPr>
                          <w:rFonts w:ascii="Book Antiqua" w:hAnsi="Book Antiqua" w:cs="Book Antiqua"/>
                          <w:b/>
                          <w:bCs/>
                          <w:color w:val="000000"/>
                          <w:sz w:val="12"/>
                          <w:szCs w:val="12"/>
                          <w:lang w:val="en-US"/>
                        </w:rPr>
                        <w:t xml:space="preserve"> </w:t>
                      </w:r>
                    </w:p>
                  </w:txbxContent>
                </v:textbox>
              </v:rect>
              <v:rect id="_x0000_s1229" style="position:absolute;left:1265;top:3122;width:356;height:422;mso-wrap-style:none;v-text-anchor:top" filled="f" stroked="f">
                <v:textbox style="mso-fit-shape-to-text:t" inset="0,0,0,0">
                  <w:txbxContent>
                    <w:p w:rsidR="001174B4" w:rsidRDefault="001174B4">
                      <w:r>
                        <w:rPr>
                          <w:rFonts w:ascii="Book Antiqua" w:hAnsi="Book Antiqua" w:cs="Book Antiqua"/>
                          <w:b/>
                          <w:bCs/>
                          <w:color w:val="000000"/>
                          <w:sz w:val="16"/>
                          <w:szCs w:val="16"/>
                          <w:lang w:val="en-US"/>
                        </w:rPr>
                        <w:t>(OC)</w:t>
                      </w:r>
                    </w:p>
                  </w:txbxContent>
                </v:textbox>
              </v:rect>
              <v:rect id="_x0000_s1230" style="position:absolute;left:1596;top:3122;width:41;height:509;mso-wrap-style:none;v-text-anchor:top" filled="f" stroked="f">
                <v:textbox style="mso-fit-shape-to-text:t" inset="0,0,0,0">
                  <w:txbxContent>
                    <w:p w:rsidR="001174B4" w:rsidRDefault="001174B4">
                      <w:r>
                        <w:rPr>
                          <w:rFonts w:ascii="Book Antiqua" w:hAnsi="Book Antiqua" w:cs="Book Antiqua"/>
                          <w:b/>
                          <w:bCs/>
                          <w:color w:val="000000"/>
                          <w:sz w:val="16"/>
                          <w:szCs w:val="16"/>
                          <w:lang w:val="en-US"/>
                        </w:rPr>
                        <w:t xml:space="preserve"> </w:t>
                      </w:r>
                    </w:p>
                  </w:txbxContent>
                </v:textbox>
              </v:rect>
              <v:rect id="_x0000_s1231" style="position:absolute;left:374;top:3625;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232" style="position:absolute;left:1438;top:3625;width:347;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NNT</w:t>
                      </w:r>
                    </w:p>
                  </w:txbxContent>
                </v:textbox>
              </v:rect>
            </v:group>
            <v:rect id="_x0000_s1234" style="position:absolute;left:1768;top:3625;width:41;height:509;mso-wrap-style:none;v-text-anchor:top" filled="f" stroked="f">
              <v:textbox style="mso-fit-shape-to-text:t" inset="0,0,0,0">
                <w:txbxContent>
                  <w:p w:rsidR="001174B4" w:rsidRDefault="001174B4">
                    <w:r>
                      <w:rPr>
                        <w:rFonts w:ascii="Book Antiqua" w:hAnsi="Book Antiqua" w:cs="Book Antiqua"/>
                        <w:b/>
                        <w:bCs/>
                        <w:color w:val="000000"/>
                        <w:sz w:val="16"/>
                        <w:szCs w:val="16"/>
                        <w:lang w:val="en-US"/>
                      </w:rPr>
                      <w:t xml:space="preserve"> </w:t>
                    </w:r>
                  </w:p>
                </w:txbxContent>
              </v:textbox>
            </v:rect>
            <v:rect id="_x0000_s1235" style="position:absolute;left:2531;top:3755;width:41;height:509;mso-wrap-style:none;v-text-anchor:top" filled="f" stroked="f">
              <v:textbox style="mso-fit-shape-to-text:t" inset="0,0,0,0">
                <w:txbxContent>
                  <w:p w:rsidR="001174B4" w:rsidRDefault="001174B4">
                    <w:r>
                      <w:rPr>
                        <w:rFonts w:ascii="Book Antiqua" w:hAnsi="Book Antiqua" w:cs="Book Antiqua"/>
                        <w:color w:val="000000"/>
                        <w:sz w:val="16"/>
                        <w:szCs w:val="16"/>
                        <w:lang w:val="en-US"/>
                      </w:rPr>
                      <w:t xml:space="preserve"> </w:t>
                    </w:r>
                  </w:p>
                </w:txbxContent>
              </v:textbox>
            </v:rect>
            <v:rect id="_x0000_s1236" style="position:absolute;left:3508;top:3740;width:201;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6.4</w:t>
                    </w:r>
                  </w:p>
                </w:txbxContent>
              </v:textbox>
            </v:rect>
            <v:rect id="_x0000_s1237" style="position:absolute;left:3710;top:3740;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238" style="position:absolute;left:4630;top:3740;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239" style="position:absolute;left:5507;top:3740;width:201;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8.4</w:t>
                    </w:r>
                  </w:p>
                </w:txbxContent>
              </v:textbox>
            </v:rect>
            <v:rect id="_x0000_s1240" style="position:absolute;left:5708;top:3740;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241" style="position:absolute;left:6542;top:3740;width:201;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6.5</w:t>
                    </w:r>
                  </w:p>
                </w:txbxContent>
              </v:textbox>
            </v:rect>
            <v:rect id="_x0000_s1242" style="position:absolute;left:6729;top:3740;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243" style="position:absolute;left:7606;top:3740;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244" style="position:absolute;left:8483;top:3740;width:201;height:422;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6.7</w:t>
                    </w:r>
                  </w:p>
                </w:txbxContent>
              </v:textbox>
            </v:rect>
            <v:rect id="_x0000_s1245" style="position:absolute;left:8670;top:3740;width:41;height:509;mso-wrap-style:none;v-text-anchor:top" filled="f" stroked="f">
              <v:textbox style="mso-fit-shape-to-text:t" inset="0,0,0,0">
                <w:txbxContent>
                  <w:p w:rsidR="001174B4" w:rsidRDefault="001174B4">
                    <w:r>
                      <w:rPr>
                        <w:rFonts w:ascii="Book Antiqua" w:hAnsi="Book Antiqua" w:cs="Book Antiqua"/>
                        <w:b/>
                        <w:bCs/>
                        <w:i/>
                        <w:iCs/>
                        <w:color w:val="000000"/>
                        <w:sz w:val="16"/>
                        <w:szCs w:val="16"/>
                        <w:lang w:val="en-US"/>
                      </w:rPr>
                      <w:t xml:space="preserve"> </w:t>
                    </w:r>
                  </w:p>
                </w:txbxContent>
              </v:textbox>
            </v:rect>
            <v:rect id="_x0000_s1246" style="position:absolute;left:72;top:3669;width:1;height:1" fillcolor="black" stroked="f"/>
            <v:rect id="_x0000_s1247" style="position:absolute;left:9087;top:3669;width:1;height:1" fillcolor="black" stroked="f"/>
            <v:rect id="_x0000_s1248" style="position:absolute;left:72;top:3669;width:1;height:388" fillcolor="black" stroked="f"/>
            <v:rect id="_x0000_s1249" style="position:absolute;left:72;top:4057;width:1;height:15" fillcolor="black" stroked="f"/>
            <v:rect id="_x0000_s1250" style="position:absolute;left:72;top:4057;width:1;height:15" fillcolor="black" stroked="f"/>
            <v:rect id="_x0000_s1251" style="position:absolute;left:72;top:4057;width:1941;height:15" fillcolor="black" stroked="f"/>
            <v:rect id="_x0000_s1252" style="position:absolute;left:2013;top:4057;width:14;height:15" fillcolor="black" stroked="f"/>
            <v:rect id="_x0000_s1253" style="position:absolute;left:2027;top:4057;width:1007;height:15" fillcolor="black" stroked="f"/>
            <v:rect id="_x0000_s1254" style="position:absolute;left:3048;top:4057;width:1;height:15" fillcolor="black" stroked="f"/>
            <v:rect id="_x0000_s1255" style="position:absolute;left:3048;top:4057;width:1122;height:15" fillcolor="black" stroked="f"/>
            <v:rect id="_x0000_s1256" style="position:absolute;left:4184;top:4057;width:1;height:15" fillcolor="black" stroked="f"/>
            <v:rect id="_x0000_s1257" style="position:absolute;left:4184;top:4057;width:906;height:15" fillcolor="black" stroked="f"/>
            <v:rect id="_x0000_s1258" style="position:absolute;left:5104;top:4057;width:1;height:15" fillcolor="black" stroked="f"/>
            <v:rect id="_x0000_s1259" style="position:absolute;left:5104;top:4057;width:1007;height:15" fillcolor="black" stroked="f"/>
            <v:rect id="_x0000_s1260" style="position:absolute;left:6125;top:4057;width:1;height:15" fillcolor="black" stroked="f"/>
            <v:rect id="_x0000_s1261" style="position:absolute;left:6125;top:4057;width:1021;height:15" fillcolor="black" stroked="f"/>
            <v:rect id="_x0000_s1262" style="position:absolute;left:7146;top:4057;width:14;height:15" fillcolor="black" stroked="f"/>
            <v:rect id="_x0000_s1263" style="position:absolute;left:7160;top:4057;width:892;height:15" fillcolor="black" stroked="f"/>
            <v:rect id="_x0000_s1264" style="position:absolute;left:8066;top:4057;width:1;height:15" fillcolor="black" stroked="f"/>
            <v:rect id="_x0000_s1265" style="position:absolute;left:8066;top:4057;width:1021;height:15" fillcolor="black" stroked="f"/>
            <v:rect id="_x0000_s1266" style="position:absolute;left:9087;top:3669;width:1;height:388" fillcolor="black" stroked="f"/>
            <v:rect id="_x0000_s1267" style="position:absolute;left:9087;top:4057;width:1;height:15" fillcolor="black" stroked="f"/>
            <v:rect id="_x0000_s1268" style="position:absolute;left:9087;top:4057;width:1;height:15" fillcolor="black" stroked="f"/>
            <v:rect id="_x0000_s1269" style="position:absolute;left:72;top:4043;width:41;height:509;mso-wrap-style:none;v-text-anchor:top" filled="f" stroked="f">
              <v:textbox style="mso-fit-shape-to-text:t" inset="0,0,0,0">
                <w:txbxContent>
                  <w:p w:rsidR="001174B4" w:rsidRDefault="001174B4">
                    <w:r>
                      <w:rPr>
                        <w:rFonts w:ascii="Times New Roman" w:hAnsi="Times New Roman"/>
                        <w:color w:val="000000"/>
                        <w:sz w:val="16"/>
                        <w:szCs w:val="16"/>
                        <w:lang w:val="en-US"/>
                      </w:rPr>
                      <w:t xml:space="preserve"> </w:t>
                    </w:r>
                  </w:p>
                </w:txbxContent>
              </v:textbox>
            </v:rect>
            <w10:wrap type="none"/>
            <w10:anchorlock/>
          </v:group>
        </w:pict>
      </w:r>
    </w:p>
    <w:p w:rsidR="00122854" w:rsidRPr="00065199" w:rsidRDefault="00250572" w:rsidP="003F3B46">
      <w:pPr>
        <w:spacing w:after="0"/>
        <w:rPr>
          <w:rFonts w:ascii="Arial" w:hAnsi="Arial" w:cs="Arial"/>
          <w:sz w:val="20"/>
          <w:szCs w:val="20"/>
        </w:rPr>
      </w:pPr>
      <w:r w:rsidRPr="00065199">
        <w:rPr>
          <w:rFonts w:ascii="Arial" w:hAnsi="Arial" w:cs="Arial"/>
          <w:sz w:val="20"/>
          <w:szCs w:val="20"/>
        </w:rPr>
        <w:t>NNT: Number needed to treat</w:t>
      </w:r>
    </w:p>
    <w:p w:rsidR="00250572" w:rsidRDefault="00250572" w:rsidP="003F3B46">
      <w:pPr>
        <w:spacing w:after="0"/>
        <w:rPr>
          <w:rFonts w:ascii="Arial" w:hAnsi="Arial" w:cs="Arial"/>
          <w:sz w:val="24"/>
          <w:szCs w:val="24"/>
        </w:rPr>
      </w:pPr>
    </w:p>
    <w:p w:rsidR="008538CE" w:rsidRPr="008538CE" w:rsidRDefault="008538CE" w:rsidP="003F3B46">
      <w:pPr>
        <w:spacing w:after="0"/>
        <w:rPr>
          <w:rFonts w:ascii="Arial" w:hAnsi="Arial" w:cs="Arial"/>
          <w:sz w:val="24"/>
          <w:szCs w:val="24"/>
          <w:u w:val="single"/>
        </w:rPr>
      </w:pPr>
      <w:r w:rsidRPr="008538CE">
        <w:rPr>
          <w:rFonts w:ascii="Arial" w:hAnsi="Arial" w:cs="Arial"/>
          <w:sz w:val="24"/>
          <w:szCs w:val="24"/>
          <w:u w:val="single"/>
        </w:rPr>
        <w:t>Study MLN-MD-02</w:t>
      </w:r>
    </w:p>
    <w:p w:rsidR="002F08F5" w:rsidRDefault="002F08F5" w:rsidP="003F3B46">
      <w:pPr>
        <w:spacing w:after="0"/>
        <w:rPr>
          <w:rFonts w:ascii="Arial" w:hAnsi="Arial" w:cs="Arial"/>
          <w:sz w:val="24"/>
          <w:szCs w:val="24"/>
        </w:rPr>
      </w:pPr>
    </w:p>
    <w:p w:rsidR="00EE2D2C" w:rsidRDefault="0009603A" w:rsidP="003F3B46">
      <w:pPr>
        <w:spacing w:after="0"/>
        <w:rPr>
          <w:rFonts w:ascii="Arial" w:hAnsi="Arial" w:cs="Arial"/>
          <w:sz w:val="24"/>
          <w:szCs w:val="24"/>
        </w:rPr>
      </w:pPr>
      <w:r>
        <w:rPr>
          <w:rFonts w:ascii="Arial" w:hAnsi="Arial" w:cs="Arial"/>
          <w:sz w:val="24"/>
          <w:szCs w:val="24"/>
        </w:rPr>
        <w:t xml:space="preserve">More patients in the </w:t>
      </w:r>
      <w:r w:rsidR="00EA56B6">
        <w:rPr>
          <w:rFonts w:ascii="Arial" w:hAnsi="Arial" w:cs="Arial"/>
          <w:sz w:val="24"/>
          <w:szCs w:val="24"/>
        </w:rPr>
        <w:t>JONCIA</w:t>
      </w:r>
      <w:r w:rsidR="00EA56B6" w:rsidRPr="00A504C7">
        <w:rPr>
          <w:rFonts w:ascii="Arial" w:hAnsi="Arial" w:cs="Arial"/>
          <w:sz w:val="24"/>
          <w:szCs w:val="24"/>
          <w:vertAlign w:val="superscript"/>
        </w:rPr>
        <w:t>®</w:t>
      </w:r>
      <w:r w:rsidR="00EA56B6">
        <w:rPr>
          <w:rFonts w:ascii="Arial" w:hAnsi="Arial" w:cs="Arial"/>
          <w:sz w:val="24"/>
          <w:szCs w:val="24"/>
          <w:vertAlign w:val="superscript"/>
        </w:rPr>
        <w:t xml:space="preserve"> </w:t>
      </w:r>
      <w:r>
        <w:rPr>
          <w:rFonts w:ascii="Arial" w:hAnsi="Arial" w:cs="Arial"/>
          <w:sz w:val="24"/>
          <w:szCs w:val="24"/>
        </w:rPr>
        <w:t>treatment arms experienced at least a 30% reduction in pain from baseline (VAS) and considered themselves globally improved</w:t>
      </w:r>
      <w:r w:rsidR="00F00381">
        <w:rPr>
          <w:rFonts w:ascii="Arial" w:hAnsi="Arial" w:cs="Arial"/>
          <w:sz w:val="24"/>
          <w:szCs w:val="24"/>
        </w:rPr>
        <w:t xml:space="preserve"> (PGIC)</w:t>
      </w:r>
      <w:r>
        <w:rPr>
          <w:rFonts w:ascii="Arial" w:hAnsi="Arial" w:cs="Arial"/>
          <w:sz w:val="24"/>
          <w:szCs w:val="24"/>
        </w:rPr>
        <w:t xml:space="preserve"> than did patients in the placebo arm.  Treatment with </w:t>
      </w:r>
      <w:r w:rsidR="00EA56B6">
        <w:rPr>
          <w:rFonts w:ascii="Arial" w:hAnsi="Arial" w:cs="Arial"/>
          <w:sz w:val="24"/>
          <w:szCs w:val="24"/>
        </w:rPr>
        <w:t>JONCIA</w:t>
      </w:r>
      <w:r w:rsidR="00EA56B6" w:rsidRPr="00A504C7">
        <w:rPr>
          <w:rFonts w:ascii="Arial" w:hAnsi="Arial" w:cs="Arial"/>
          <w:sz w:val="24"/>
          <w:szCs w:val="24"/>
          <w:vertAlign w:val="superscript"/>
        </w:rPr>
        <w:t>®</w:t>
      </w:r>
      <w:r w:rsidR="00EA56B6">
        <w:rPr>
          <w:rFonts w:ascii="Arial" w:hAnsi="Arial" w:cs="Arial"/>
          <w:sz w:val="24"/>
          <w:szCs w:val="24"/>
          <w:vertAlign w:val="superscript"/>
        </w:rPr>
        <w:t xml:space="preserve"> </w:t>
      </w:r>
      <w:r>
        <w:rPr>
          <w:rFonts w:ascii="Arial" w:hAnsi="Arial" w:cs="Arial"/>
          <w:sz w:val="24"/>
          <w:szCs w:val="24"/>
        </w:rPr>
        <w:t xml:space="preserve">200 mg/day did not confer greater benefit than treatment with </w:t>
      </w:r>
      <w:r w:rsidR="00EA56B6">
        <w:rPr>
          <w:rFonts w:ascii="Arial" w:hAnsi="Arial" w:cs="Arial"/>
          <w:sz w:val="24"/>
          <w:szCs w:val="24"/>
        </w:rPr>
        <w:t>JONCIA</w:t>
      </w:r>
      <w:r w:rsidR="00EA56B6" w:rsidRPr="00A504C7">
        <w:rPr>
          <w:rFonts w:ascii="Arial" w:hAnsi="Arial" w:cs="Arial"/>
          <w:sz w:val="24"/>
          <w:szCs w:val="24"/>
          <w:vertAlign w:val="superscript"/>
        </w:rPr>
        <w:t>®</w:t>
      </w:r>
      <w:r w:rsidR="00EA56B6">
        <w:rPr>
          <w:rFonts w:ascii="Arial" w:hAnsi="Arial" w:cs="Arial"/>
          <w:sz w:val="24"/>
          <w:szCs w:val="24"/>
          <w:vertAlign w:val="superscript"/>
        </w:rPr>
        <w:t xml:space="preserve"> </w:t>
      </w:r>
      <w:r>
        <w:rPr>
          <w:rFonts w:ascii="Arial" w:hAnsi="Arial" w:cs="Arial"/>
          <w:sz w:val="24"/>
          <w:szCs w:val="24"/>
        </w:rPr>
        <w:t xml:space="preserve">100 mg/day.  </w:t>
      </w:r>
      <w:r w:rsidR="002F08F5">
        <w:rPr>
          <w:rFonts w:ascii="Arial" w:hAnsi="Arial" w:cs="Arial"/>
          <w:sz w:val="24"/>
          <w:szCs w:val="24"/>
        </w:rPr>
        <w:t xml:space="preserve"> </w:t>
      </w:r>
    </w:p>
    <w:p w:rsidR="0009603A" w:rsidRDefault="0009603A" w:rsidP="003F3B46">
      <w:pPr>
        <w:spacing w:after="0"/>
        <w:rPr>
          <w:rFonts w:ascii="Arial" w:hAnsi="Arial" w:cs="Arial"/>
          <w:sz w:val="24"/>
          <w:szCs w:val="24"/>
        </w:rPr>
      </w:pPr>
    </w:p>
    <w:p w:rsidR="00F00381" w:rsidRPr="008538CE" w:rsidRDefault="00F00381" w:rsidP="00F00381">
      <w:pPr>
        <w:spacing w:after="0"/>
        <w:rPr>
          <w:rFonts w:ascii="Arial" w:hAnsi="Arial" w:cs="Arial"/>
          <w:sz w:val="24"/>
          <w:szCs w:val="24"/>
          <w:u w:val="single"/>
        </w:rPr>
      </w:pPr>
      <w:r w:rsidRPr="008538CE">
        <w:rPr>
          <w:rFonts w:ascii="Arial" w:hAnsi="Arial" w:cs="Arial"/>
          <w:sz w:val="24"/>
          <w:szCs w:val="24"/>
          <w:u w:val="single"/>
        </w:rPr>
        <w:t xml:space="preserve">Study </w:t>
      </w:r>
      <w:r>
        <w:rPr>
          <w:rFonts w:ascii="Arial" w:hAnsi="Arial" w:cs="Arial"/>
          <w:sz w:val="24"/>
          <w:szCs w:val="24"/>
          <w:u w:val="single"/>
        </w:rPr>
        <w:t>GE 302</w:t>
      </w:r>
    </w:p>
    <w:p w:rsidR="00F00381" w:rsidRDefault="00F00381" w:rsidP="00F00381">
      <w:pPr>
        <w:spacing w:after="0"/>
        <w:rPr>
          <w:rFonts w:ascii="Arial" w:hAnsi="Arial" w:cs="Arial"/>
          <w:sz w:val="24"/>
          <w:szCs w:val="24"/>
        </w:rPr>
      </w:pPr>
    </w:p>
    <w:p w:rsidR="00F00381" w:rsidRDefault="00F00381" w:rsidP="00F00381">
      <w:pPr>
        <w:spacing w:after="0"/>
        <w:rPr>
          <w:rFonts w:ascii="Arial" w:hAnsi="Arial" w:cs="Arial"/>
          <w:sz w:val="24"/>
          <w:szCs w:val="24"/>
        </w:rPr>
      </w:pPr>
      <w:r>
        <w:rPr>
          <w:rFonts w:ascii="Arial" w:hAnsi="Arial" w:cs="Arial"/>
          <w:sz w:val="24"/>
          <w:szCs w:val="24"/>
        </w:rPr>
        <w:t xml:space="preserve">More patients in </w:t>
      </w:r>
      <w:r w:rsidR="007D67DB">
        <w:rPr>
          <w:rFonts w:ascii="Arial" w:hAnsi="Arial" w:cs="Arial"/>
          <w:sz w:val="24"/>
          <w:szCs w:val="24"/>
        </w:rPr>
        <w:t>the JONCIA</w:t>
      </w:r>
      <w:r w:rsidR="007D67DB" w:rsidRPr="00A504C7">
        <w:rPr>
          <w:rFonts w:ascii="Arial" w:hAnsi="Arial" w:cs="Arial"/>
          <w:sz w:val="24"/>
          <w:szCs w:val="24"/>
          <w:vertAlign w:val="superscript"/>
        </w:rPr>
        <w:t>®</w:t>
      </w:r>
      <w:r w:rsidR="007D67DB">
        <w:rPr>
          <w:rFonts w:ascii="Arial" w:hAnsi="Arial" w:cs="Arial"/>
          <w:sz w:val="24"/>
          <w:szCs w:val="24"/>
          <w:vertAlign w:val="superscript"/>
        </w:rPr>
        <w:t xml:space="preserve"> </w:t>
      </w:r>
      <w:r w:rsidR="00C83CAB">
        <w:rPr>
          <w:rFonts w:ascii="Arial" w:hAnsi="Arial" w:cs="Arial"/>
          <w:sz w:val="24"/>
          <w:szCs w:val="24"/>
        </w:rPr>
        <w:t xml:space="preserve">(200 mg/day) </w:t>
      </w:r>
      <w:r>
        <w:rPr>
          <w:rFonts w:ascii="Arial" w:hAnsi="Arial" w:cs="Arial"/>
          <w:sz w:val="24"/>
          <w:szCs w:val="24"/>
        </w:rPr>
        <w:t>treatment arm experienced at least a 30% reduction in pain from baseline (VAS) and considered themselves globally improved</w:t>
      </w:r>
      <w:r w:rsidR="00FF790C">
        <w:rPr>
          <w:rFonts w:ascii="Arial" w:hAnsi="Arial" w:cs="Arial"/>
          <w:sz w:val="24"/>
          <w:szCs w:val="24"/>
        </w:rPr>
        <w:t xml:space="preserve"> (PGIC)</w:t>
      </w:r>
      <w:r>
        <w:rPr>
          <w:rFonts w:ascii="Arial" w:hAnsi="Arial" w:cs="Arial"/>
          <w:sz w:val="24"/>
          <w:szCs w:val="24"/>
        </w:rPr>
        <w:t xml:space="preserve"> than did patients in the placebo arm.  </w:t>
      </w:r>
    </w:p>
    <w:p w:rsidR="00065199" w:rsidRDefault="00065199" w:rsidP="00C83CAB">
      <w:pPr>
        <w:spacing w:after="0"/>
        <w:rPr>
          <w:rFonts w:ascii="Arial" w:hAnsi="Arial" w:cs="Arial"/>
          <w:sz w:val="24"/>
          <w:szCs w:val="24"/>
          <w:u w:val="single"/>
        </w:rPr>
      </w:pPr>
    </w:p>
    <w:p w:rsidR="00C83CAB" w:rsidRPr="008538CE" w:rsidRDefault="00C83CAB" w:rsidP="00C83CAB">
      <w:pPr>
        <w:spacing w:after="0"/>
        <w:rPr>
          <w:rFonts w:ascii="Arial" w:hAnsi="Arial" w:cs="Arial"/>
          <w:sz w:val="24"/>
          <w:szCs w:val="24"/>
          <w:u w:val="single"/>
        </w:rPr>
      </w:pPr>
      <w:r w:rsidRPr="008538CE">
        <w:rPr>
          <w:rFonts w:ascii="Arial" w:hAnsi="Arial" w:cs="Arial"/>
          <w:sz w:val="24"/>
          <w:szCs w:val="24"/>
          <w:u w:val="single"/>
        </w:rPr>
        <w:t>Study MLN-MD-0</w:t>
      </w:r>
      <w:r>
        <w:rPr>
          <w:rFonts w:ascii="Arial" w:hAnsi="Arial" w:cs="Arial"/>
          <w:sz w:val="24"/>
          <w:szCs w:val="24"/>
          <w:u w:val="single"/>
        </w:rPr>
        <w:t>3</w:t>
      </w:r>
    </w:p>
    <w:p w:rsidR="00C83CAB" w:rsidRDefault="00C83CAB" w:rsidP="00C83CAB">
      <w:pPr>
        <w:spacing w:after="0"/>
        <w:rPr>
          <w:rFonts w:ascii="Arial" w:hAnsi="Arial" w:cs="Arial"/>
          <w:sz w:val="24"/>
          <w:szCs w:val="24"/>
        </w:rPr>
      </w:pPr>
    </w:p>
    <w:p w:rsidR="00C83CAB" w:rsidRDefault="00C83CAB" w:rsidP="00C83CAB">
      <w:pPr>
        <w:spacing w:after="0"/>
        <w:rPr>
          <w:rFonts w:ascii="Arial" w:hAnsi="Arial" w:cs="Arial"/>
          <w:sz w:val="24"/>
          <w:szCs w:val="24"/>
        </w:rPr>
      </w:pPr>
      <w:r>
        <w:rPr>
          <w:rFonts w:ascii="Arial" w:hAnsi="Arial" w:cs="Arial"/>
          <w:sz w:val="24"/>
          <w:szCs w:val="24"/>
        </w:rPr>
        <w:t xml:space="preserve">More patients in the </w:t>
      </w:r>
      <w:r w:rsidR="007D67DB">
        <w:rPr>
          <w:rFonts w:ascii="Arial" w:hAnsi="Arial" w:cs="Arial"/>
          <w:sz w:val="24"/>
          <w:szCs w:val="24"/>
        </w:rPr>
        <w:t>JONCIA</w:t>
      </w:r>
      <w:r w:rsidR="007D67DB" w:rsidRPr="00A504C7">
        <w:rPr>
          <w:rFonts w:ascii="Arial" w:hAnsi="Arial" w:cs="Arial"/>
          <w:sz w:val="24"/>
          <w:szCs w:val="24"/>
          <w:vertAlign w:val="superscript"/>
        </w:rPr>
        <w:t>®</w:t>
      </w:r>
      <w:r w:rsidR="007D67DB">
        <w:rPr>
          <w:rFonts w:ascii="Arial" w:hAnsi="Arial" w:cs="Arial"/>
          <w:sz w:val="24"/>
          <w:szCs w:val="24"/>
          <w:vertAlign w:val="superscript"/>
        </w:rPr>
        <w:t xml:space="preserve"> </w:t>
      </w:r>
      <w:r w:rsidR="00C73E30">
        <w:rPr>
          <w:rFonts w:ascii="Arial" w:hAnsi="Arial" w:cs="Arial"/>
          <w:sz w:val="24"/>
          <w:szCs w:val="24"/>
        </w:rPr>
        <w:t>100 mg/day</w:t>
      </w:r>
      <w:r>
        <w:rPr>
          <w:rFonts w:ascii="Arial" w:hAnsi="Arial" w:cs="Arial"/>
          <w:sz w:val="24"/>
          <w:szCs w:val="24"/>
        </w:rPr>
        <w:t xml:space="preserve"> treatment arm experienced at least a 30% reduction in pain from baseline (VAS) and considered themselves globally improved (PGIC) than did patients in the placebo arm.  </w:t>
      </w:r>
    </w:p>
    <w:p w:rsidR="0009603A" w:rsidRDefault="0009603A" w:rsidP="00153446">
      <w:pPr>
        <w:spacing w:after="0"/>
        <w:rPr>
          <w:rFonts w:ascii="Arial" w:hAnsi="Arial" w:cs="Arial"/>
          <w:sz w:val="24"/>
          <w:szCs w:val="24"/>
        </w:rPr>
      </w:pPr>
    </w:p>
    <w:p w:rsidR="0009603A" w:rsidRDefault="00E17FDB" w:rsidP="00153446">
      <w:pPr>
        <w:spacing w:after="0"/>
        <w:rPr>
          <w:rFonts w:ascii="Arial" w:hAnsi="Arial" w:cs="Arial"/>
          <w:sz w:val="24"/>
          <w:szCs w:val="24"/>
        </w:rPr>
      </w:pPr>
      <w:r>
        <w:rPr>
          <w:rFonts w:ascii="Arial" w:hAnsi="Arial" w:cs="Arial"/>
          <w:sz w:val="24"/>
          <w:szCs w:val="24"/>
        </w:rPr>
        <w:t xml:space="preserve">The significant improvement in pain and PGIC was reinforced by the significant changes in fatigue and refreshing sleep in the </w:t>
      </w:r>
      <w:r w:rsidR="002B665A">
        <w:rPr>
          <w:rFonts w:ascii="Arial" w:hAnsi="Arial" w:cs="Arial"/>
          <w:sz w:val="24"/>
          <w:szCs w:val="24"/>
        </w:rPr>
        <w:t>JONCIA</w:t>
      </w:r>
      <w:r w:rsidR="002B665A" w:rsidRPr="00A504C7">
        <w:rPr>
          <w:rFonts w:ascii="Arial" w:hAnsi="Arial" w:cs="Arial"/>
          <w:sz w:val="24"/>
          <w:szCs w:val="24"/>
          <w:vertAlign w:val="superscript"/>
        </w:rPr>
        <w:t>®</w:t>
      </w:r>
      <w:r w:rsidR="002B665A">
        <w:rPr>
          <w:rFonts w:ascii="Arial" w:hAnsi="Arial" w:cs="Arial"/>
          <w:sz w:val="24"/>
          <w:szCs w:val="24"/>
          <w:vertAlign w:val="superscript"/>
        </w:rPr>
        <w:t xml:space="preserve"> </w:t>
      </w:r>
      <w:r>
        <w:rPr>
          <w:rFonts w:ascii="Arial" w:hAnsi="Arial" w:cs="Arial"/>
          <w:sz w:val="24"/>
          <w:szCs w:val="24"/>
        </w:rPr>
        <w:t>treatment groups.</w:t>
      </w:r>
    </w:p>
    <w:p w:rsidR="00C83CAB" w:rsidRDefault="00C83CAB" w:rsidP="00153446">
      <w:pPr>
        <w:spacing w:after="0"/>
        <w:rPr>
          <w:rFonts w:ascii="Arial" w:hAnsi="Arial" w:cs="Arial"/>
          <w:sz w:val="24"/>
          <w:szCs w:val="24"/>
        </w:rPr>
      </w:pPr>
    </w:p>
    <w:p w:rsidR="002B665A" w:rsidRDefault="002B665A" w:rsidP="00153446">
      <w:pPr>
        <w:spacing w:after="0"/>
        <w:rPr>
          <w:rFonts w:ascii="Arial" w:hAnsi="Arial" w:cs="Arial"/>
          <w:sz w:val="24"/>
          <w:szCs w:val="24"/>
        </w:rPr>
      </w:pPr>
      <w:r>
        <w:rPr>
          <w:rFonts w:ascii="Arial" w:hAnsi="Arial" w:cs="Arial"/>
          <w:sz w:val="24"/>
          <w:szCs w:val="24"/>
        </w:rPr>
        <w:t>The results from uncontrolled studies support</w:t>
      </w:r>
      <w:r w:rsidR="00FE43D1">
        <w:rPr>
          <w:rFonts w:ascii="Arial" w:hAnsi="Arial" w:cs="Arial"/>
          <w:sz w:val="24"/>
          <w:szCs w:val="24"/>
        </w:rPr>
        <w:t>ed</w:t>
      </w:r>
      <w:r>
        <w:rPr>
          <w:rFonts w:ascii="Arial" w:hAnsi="Arial" w:cs="Arial"/>
          <w:sz w:val="24"/>
          <w:szCs w:val="24"/>
        </w:rPr>
        <w:t xml:space="preserve"> maintenance of efficacy over 6 months of continuous dosing</w:t>
      </w:r>
      <w:r w:rsidR="00FE43D1">
        <w:rPr>
          <w:rFonts w:ascii="Arial" w:hAnsi="Arial" w:cs="Arial"/>
          <w:sz w:val="24"/>
          <w:szCs w:val="24"/>
        </w:rPr>
        <w:t>.</w:t>
      </w:r>
    </w:p>
    <w:p w:rsidR="00FE43D1" w:rsidRDefault="00FE43D1" w:rsidP="00153446">
      <w:pPr>
        <w:spacing w:after="0"/>
        <w:rPr>
          <w:rFonts w:ascii="Arial" w:hAnsi="Arial" w:cs="Arial"/>
          <w:sz w:val="24"/>
          <w:szCs w:val="24"/>
        </w:rPr>
      </w:pPr>
    </w:p>
    <w:p w:rsidR="00FE43D1" w:rsidRDefault="00FE43D1" w:rsidP="00153446">
      <w:pPr>
        <w:spacing w:after="0"/>
        <w:rPr>
          <w:rFonts w:ascii="Arial" w:hAnsi="Arial" w:cs="Arial"/>
          <w:sz w:val="24"/>
          <w:szCs w:val="24"/>
        </w:rPr>
      </w:pPr>
      <w:r>
        <w:rPr>
          <w:rFonts w:ascii="Arial" w:hAnsi="Arial" w:cs="Arial"/>
          <w:sz w:val="24"/>
          <w:szCs w:val="24"/>
        </w:rPr>
        <w:t xml:space="preserve">The small proportion of male patients in the </w:t>
      </w:r>
      <w:proofErr w:type="spellStart"/>
      <w:r>
        <w:rPr>
          <w:rFonts w:ascii="Arial" w:hAnsi="Arial" w:cs="Arial"/>
          <w:sz w:val="24"/>
          <w:szCs w:val="24"/>
        </w:rPr>
        <w:t>milnacipran</w:t>
      </w:r>
      <w:proofErr w:type="spellEnd"/>
      <w:r>
        <w:rPr>
          <w:rFonts w:ascii="Arial" w:hAnsi="Arial" w:cs="Arial"/>
          <w:sz w:val="24"/>
          <w:szCs w:val="24"/>
        </w:rPr>
        <w:t xml:space="preserve"> clinical studies is consistent with the epidemiology of the population with fibromyalgia, therefore the small number of male patients studied did not provide adequate power to show independent evidence of efficacy in this </w:t>
      </w:r>
      <w:proofErr w:type="spellStart"/>
      <w:r>
        <w:rPr>
          <w:rFonts w:ascii="Arial" w:hAnsi="Arial" w:cs="Arial"/>
          <w:sz w:val="24"/>
          <w:szCs w:val="24"/>
        </w:rPr>
        <w:t>population.Efficacy</w:t>
      </w:r>
      <w:proofErr w:type="spellEnd"/>
      <w:r>
        <w:rPr>
          <w:rFonts w:ascii="Arial" w:hAnsi="Arial" w:cs="Arial"/>
          <w:sz w:val="24"/>
          <w:szCs w:val="24"/>
        </w:rPr>
        <w:t xml:space="preserve"> and tolerability in fibromyalgia male patients should be specifically evaluated and monitored.</w:t>
      </w:r>
    </w:p>
    <w:p w:rsidR="00122854" w:rsidRDefault="00122854" w:rsidP="00153446">
      <w:pPr>
        <w:spacing w:after="0"/>
        <w:rPr>
          <w:rFonts w:ascii="Arial" w:hAnsi="Arial" w:cs="Arial"/>
          <w:sz w:val="24"/>
          <w:szCs w:val="24"/>
        </w:rPr>
      </w:pPr>
    </w:p>
    <w:p w:rsidR="00E24265" w:rsidRDefault="00E24265" w:rsidP="00153446">
      <w:pPr>
        <w:spacing w:after="0"/>
        <w:rPr>
          <w:rFonts w:ascii="Arial" w:hAnsi="Arial" w:cs="Arial"/>
          <w:sz w:val="24"/>
          <w:szCs w:val="24"/>
        </w:rPr>
      </w:pPr>
    </w:p>
    <w:p w:rsidR="000C5447" w:rsidRPr="000C5447" w:rsidRDefault="000C5447" w:rsidP="003F3B46">
      <w:pPr>
        <w:spacing w:after="0"/>
        <w:rPr>
          <w:rFonts w:ascii="Arial" w:hAnsi="Arial" w:cs="Arial"/>
          <w:b/>
          <w:sz w:val="24"/>
          <w:szCs w:val="24"/>
        </w:rPr>
      </w:pPr>
      <w:r w:rsidRPr="000C5447">
        <w:rPr>
          <w:rFonts w:ascii="Arial" w:hAnsi="Arial" w:cs="Arial"/>
          <w:b/>
          <w:sz w:val="24"/>
          <w:szCs w:val="24"/>
        </w:rPr>
        <w:t>INDICATIONS</w:t>
      </w:r>
    </w:p>
    <w:p w:rsidR="000C5447" w:rsidRDefault="000C5447" w:rsidP="003F3B46">
      <w:pPr>
        <w:spacing w:after="0"/>
        <w:rPr>
          <w:rFonts w:ascii="Arial" w:hAnsi="Arial" w:cs="Arial"/>
          <w:sz w:val="24"/>
          <w:szCs w:val="24"/>
        </w:rPr>
      </w:pPr>
    </w:p>
    <w:p w:rsidR="000C5447" w:rsidRPr="0057790C" w:rsidRDefault="000E02C0" w:rsidP="003F3B46">
      <w:pPr>
        <w:spacing w:after="0"/>
        <w:rPr>
          <w:rFonts w:ascii="Arial" w:hAnsi="Arial" w:cs="Arial"/>
          <w:sz w:val="24"/>
          <w:szCs w:val="24"/>
        </w:rPr>
      </w:pPr>
      <w:r w:rsidRPr="0057790C">
        <w:rPr>
          <w:rFonts w:ascii="Arial" w:hAnsi="Arial" w:cs="Arial"/>
          <w:sz w:val="24"/>
          <w:szCs w:val="24"/>
        </w:rPr>
        <w:t xml:space="preserve">Management </w:t>
      </w:r>
      <w:r w:rsidR="000C5447" w:rsidRPr="0057790C">
        <w:rPr>
          <w:rFonts w:ascii="Arial" w:hAnsi="Arial" w:cs="Arial"/>
          <w:sz w:val="24"/>
          <w:szCs w:val="24"/>
        </w:rPr>
        <w:t>of fibromyalgia.</w:t>
      </w:r>
    </w:p>
    <w:p w:rsidR="000C5447" w:rsidRDefault="000C5447" w:rsidP="003F3B46">
      <w:pPr>
        <w:spacing w:after="0"/>
        <w:rPr>
          <w:rFonts w:ascii="Arial" w:hAnsi="Arial" w:cs="Arial"/>
          <w:sz w:val="24"/>
          <w:szCs w:val="24"/>
        </w:rPr>
      </w:pPr>
    </w:p>
    <w:p w:rsidR="00122854" w:rsidRDefault="00122854" w:rsidP="003F3B46">
      <w:pPr>
        <w:spacing w:after="0"/>
        <w:rPr>
          <w:rFonts w:ascii="Arial" w:hAnsi="Arial" w:cs="Arial"/>
          <w:sz w:val="24"/>
          <w:szCs w:val="24"/>
        </w:rPr>
      </w:pPr>
    </w:p>
    <w:p w:rsidR="000C5447" w:rsidRPr="000C5447" w:rsidRDefault="000C5447" w:rsidP="003F3B46">
      <w:pPr>
        <w:spacing w:after="0"/>
        <w:rPr>
          <w:rFonts w:ascii="Arial" w:hAnsi="Arial" w:cs="Arial"/>
          <w:b/>
          <w:sz w:val="24"/>
          <w:szCs w:val="24"/>
        </w:rPr>
      </w:pPr>
      <w:r w:rsidRPr="000C5447">
        <w:rPr>
          <w:rFonts w:ascii="Arial" w:hAnsi="Arial" w:cs="Arial"/>
          <w:b/>
          <w:sz w:val="24"/>
          <w:szCs w:val="24"/>
        </w:rPr>
        <w:t>CONTRAINDICATIONS</w:t>
      </w:r>
    </w:p>
    <w:p w:rsidR="000C5447" w:rsidRDefault="000C5447" w:rsidP="003F3B46">
      <w:pPr>
        <w:spacing w:after="0"/>
        <w:rPr>
          <w:rFonts w:ascii="Arial" w:hAnsi="Arial" w:cs="Arial"/>
          <w:sz w:val="24"/>
          <w:szCs w:val="24"/>
        </w:rPr>
      </w:pPr>
    </w:p>
    <w:p w:rsidR="0094638E" w:rsidRDefault="00B85817" w:rsidP="003F3B46">
      <w:pPr>
        <w:spacing w:after="0"/>
        <w:rPr>
          <w:rFonts w:ascii="Arial" w:hAnsi="Arial" w:cs="Arial"/>
          <w:sz w:val="24"/>
          <w:szCs w:val="24"/>
        </w:rPr>
      </w:pPr>
      <w:proofErr w:type="spellStart"/>
      <w:r>
        <w:rPr>
          <w:rFonts w:ascii="Arial" w:hAnsi="Arial" w:cs="Arial"/>
          <w:sz w:val="24"/>
          <w:szCs w:val="24"/>
        </w:rPr>
        <w:t>JONCIA</w:t>
      </w:r>
      <w:r w:rsidRPr="00A504C7">
        <w:rPr>
          <w:rFonts w:ascii="Arial" w:hAnsi="Arial" w:cs="Arial"/>
          <w:sz w:val="24"/>
          <w:szCs w:val="24"/>
          <w:vertAlign w:val="superscript"/>
        </w:rPr>
        <w:t>®</w:t>
      </w:r>
      <w:r w:rsidR="00FA6A86">
        <w:rPr>
          <w:rFonts w:ascii="Arial" w:hAnsi="Arial" w:cs="Arial"/>
          <w:sz w:val="24"/>
          <w:szCs w:val="24"/>
        </w:rPr>
        <w:t>should</w:t>
      </w:r>
      <w:proofErr w:type="spellEnd"/>
      <w:r w:rsidR="00FA6A86">
        <w:rPr>
          <w:rFonts w:ascii="Arial" w:hAnsi="Arial" w:cs="Arial"/>
          <w:sz w:val="24"/>
          <w:szCs w:val="24"/>
        </w:rPr>
        <w:t xml:space="preserve"> never be given</w:t>
      </w:r>
      <w:r w:rsidR="0094638E">
        <w:rPr>
          <w:rFonts w:ascii="Arial" w:hAnsi="Arial" w:cs="Arial"/>
          <w:sz w:val="24"/>
          <w:szCs w:val="24"/>
        </w:rPr>
        <w:t xml:space="preserve"> in the following cases:</w:t>
      </w:r>
    </w:p>
    <w:p w:rsidR="000C5447" w:rsidRDefault="008A433A" w:rsidP="0094638E">
      <w:pPr>
        <w:pStyle w:val="ListParagraph"/>
        <w:numPr>
          <w:ilvl w:val="0"/>
          <w:numId w:val="1"/>
        </w:numPr>
        <w:spacing w:after="0"/>
        <w:rPr>
          <w:rFonts w:ascii="Arial" w:hAnsi="Arial" w:cs="Arial"/>
          <w:sz w:val="24"/>
          <w:szCs w:val="24"/>
        </w:rPr>
      </w:pPr>
      <w:r>
        <w:rPr>
          <w:rFonts w:ascii="Arial" w:hAnsi="Arial" w:cs="Arial"/>
          <w:sz w:val="24"/>
          <w:szCs w:val="24"/>
        </w:rPr>
        <w:t>H</w:t>
      </w:r>
      <w:r w:rsidR="00056925" w:rsidRPr="0094638E">
        <w:rPr>
          <w:rFonts w:ascii="Arial" w:hAnsi="Arial" w:cs="Arial"/>
          <w:sz w:val="24"/>
          <w:szCs w:val="24"/>
        </w:rPr>
        <w:t xml:space="preserve">ypersensitivity to </w:t>
      </w:r>
      <w:r w:rsidR="00957321">
        <w:rPr>
          <w:rFonts w:ascii="Arial" w:hAnsi="Arial" w:cs="Arial"/>
          <w:sz w:val="24"/>
          <w:szCs w:val="24"/>
        </w:rPr>
        <w:t xml:space="preserve">the </w:t>
      </w:r>
      <w:r w:rsidR="00957321" w:rsidRPr="0057790C">
        <w:rPr>
          <w:rFonts w:ascii="Arial" w:hAnsi="Arial" w:cs="Arial"/>
          <w:sz w:val="24"/>
          <w:szCs w:val="24"/>
        </w:rPr>
        <w:t>active substance</w:t>
      </w:r>
      <w:r w:rsidR="000E02C0">
        <w:rPr>
          <w:rFonts w:ascii="Arial" w:hAnsi="Arial" w:cs="Arial"/>
          <w:sz w:val="24"/>
          <w:szCs w:val="24"/>
        </w:rPr>
        <w:t xml:space="preserve"> </w:t>
      </w:r>
      <w:r w:rsidR="0094638E" w:rsidRPr="0094638E">
        <w:rPr>
          <w:rFonts w:ascii="Arial" w:hAnsi="Arial" w:cs="Arial"/>
          <w:sz w:val="24"/>
          <w:szCs w:val="24"/>
        </w:rPr>
        <w:t xml:space="preserve">or to any of the </w:t>
      </w:r>
      <w:proofErr w:type="spellStart"/>
      <w:r w:rsidR="0094638E" w:rsidRPr="0094638E">
        <w:rPr>
          <w:rFonts w:ascii="Arial" w:hAnsi="Arial" w:cs="Arial"/>
          <w:sz w:val="24"/>
          <w:szCs w:val="24"/>
        </w:rPr>
        <w:t>excipients</w:t>
      </w:r>
      <w:proofErr w:type="spellEnd"/>
      <w:r w:rsidR="0094638E" w:rsidRPr="0094638E">
        <w:rPr>
          <w:rFonts w:ascii="Arial" w:hAnsi="Arial" w:cs="Arial"/>
          <w:sz w:val="24"/>
          <w:szCs w:val="24"/>
        </w:rPr>
        <w:t>;</w:t>
      </w:r>
    </w:p>
    <w:p w:rsidR="00957321" w:rsidRDefault="008A433A" w:rsidP="0094638E">
      <w:pPr>
        <w:pStyle w:val="ListParagraph"/>
        <w:numPr>
          <w:ilvl w:val="0"/>
          <w:numId w:val="1"/>
        </w:numPr>
        <w:spacing w:after="0"/>
        <w:rPr>
          <w:rFonts w:ascii="Arial" w:hAnsi="Arial" w:cs="Arial"/>
          <w:sz w:val="24"/>
          <w:szCs w:val="24"/>
        </w:rPr>
      </w:pPr>
      <w:r w:rsidRPr="0057790C">
        <w:rPr>
          <w:rFonts w:ascii="Arial" w:hAnsi="Arial" w:cs="Arial"/>
          <w:sz w:val="24"/>
          <w:szCs w:val="24"/>
        </w:rPr>
        <w:t>P</w:t>
      </w:r>
      <w:r w:rsidR="00957321" w:rsidRPr="0057790C">
        <w:rPr>
          <w:rFonts w:ascii="Arial" w:hAnsi="Arial" w:cs="Arial"/>
          <w:sz w:val="24"/>
          <w:szCs w:val="24"/>
        </w:rPr>
        <w:t>atients with severe cardiac function impairment or identified very high risk of a serious cardiac arrhythmia (e.g. those with a significant left ventricular dysfunction, NYHA Class III/IV), uncontrolled hypertension</w:t>
      </w:r>
      <w:r w:rsidRPr="0057790C">
        <w:rPr>
          <w:rFonts w:ascii="Arial" w:hAnsi="Arial" w:cs="Arial"/>
          <w:sz w:val="24"/>
          <w:szCs w:val="24"/>
        </w:rPr>
        <w:t>, or severe or unstable coronary heart disease, as these underlying conditions may be compromised by increases in blood pressure and heart rate.</w:t>
      </w:r>
    </w:p>
    <w:p w:rsidR="00B85817" w:rsidRPr="0057790C" w:rsidRDefault="00B85817" w:rsidP="0094638E">
      <w:pPr>
        <w:pStyle w:val="ListParagraph"/>
        <w:numPr>
          <w:ilvl w:val="0"/>
          <w:numId w:val="1"/>
        </w:numPr>
        <w:spacing w:after="0"/>
        <w:rPr>
          <w:rFonts w:ascii="Arial" w:hAnsi="Arial" w:cs="Arial"/>
          <w:sz w:val="24"/>
          <w:szCs w:val="24"/>
        </w:rPr>
      </w:pPr>
      <w:r>
        <w:rPr>
          <w:rFonts w:ascii="Arial" w:hAnsi="Arial" w:cs="Arial"/>
          <w:sz w:val="24"/>
          <w:szCs w:val="24"/>
        </w:rPr>
        <w:t>Patients with uncontrolled narrow angle glaucoma;</w:t>
      </w:r>
    </w:p>
    <w:p w:rsidR="00964158" w:rsidRDefault="008A433A" w:rsidP="0094638E">
      <w:pPr>
        <w:pStyle w:val="ListParagraph"/>
        <w:numPr>
          <w:ilvl w:val="0"/>
          <w:numId w:val="1"/>
        </w:numPr>
        <w:spacing w:after="0"/>
        <w:rPr>
          <w:rFonts w:ascii="Arial" w:hAnsi="Arial" w:cs="Arial"/>
          <w:sz w:val="24"/>
          <w:szCs w:val="24"/>
        </w:rPr>
      </w:pPr>
      <w:r>
        <w:rPr>
          <w:rFonts w:ascii="Arial" w:hAnsi="Arial" w:cs="Arial"/>
          <w:sz w:val="24"/>
          <w:szCs w:val="24"/>
        </w:rPr>
        <w:t>Co-administration</w:t>
      </w:r>
      <w:r w:rsidR="00056925" w:rsidRPr="0094638E">
        <w:rPr>
          <w:rFonts w:ascii="Arial" w:hAnsi="Arial" w:cs="Arial"/>
          <w:sz w:val="24"/>
          <w:szCs w:val="24"/>
        </w:rPr>
        <w:t xml:space="preserve"> with MAO inhibitor</w:t>
      </w:r>
      <w:r w:rsidR="0094638E" w:rsidRPr="0094638E">
        <w:rPr>
          <w:rFonts w:ascii="Arial" w:hAnsi="Arial" w:cs="Arial"/>
          <w:sz w:val="24"/>
          <w:szCs w:val="24"/>
        </w:rPr>
        <w:t>s</w:t>
      </w:r>
      <w:r w:rsidR="00DD6BFD">
        <w:rPr>
          <w:rFonts w:ascii="Arial" w:hAnsi="Arial" w:cs="Arial"/>
          <w:sz w:val="24"/>
          <w:szCs w:val="24"/>
        </w:rPr>
        <w:t xml:space="preserve"> </w:t>
      </w:r>
      <w:r w:rsidR="00D457A2">
        <w:rPr>
          <w:rFonts w:ascii="Arial" w:hAnsi="Arial" w:cs="Arial"/>
          <w:sz w:val="24"/>
          <w:szCs w:val="24"/>
        </w:rPr>
        <w:t>(see PRECAUTIONS - Int</w:t>
      </w:r>
      <w:r w:rsidR="00DD6BFD">
        <w:rPr>
          <w:rFonts w:ascii="Arial" w:hAnsi="Arial" w:cs="Arial"/>
          <w:sz w:val="24"/>
          <w:szCs w:val="24"/>
        </w:rPr>
        <w:t>eractions with other medicines);</w:t>
      </w:r>
    </w:p>
    <w:p w:rsidR="00056925" w:rsidRDefault="007C3B32" w:rsidP="0094638E">
      <w:pPr>
        <w:pStyle w:val="ListParagraph"/>
        <w:numPr>
          <w:ilvl w:val="0"/>
          <w:numId w:val="1"/>
        </w:numPr>
        <w:spacing w:after="0"/>
        <w:rPr>
          <w:rFonts w:ascii="Arial" w:hAnsi="Arial" w:cs="Arial"/>
          <w:sz w:val="24"/>
          <w:szCs w:val="24"/>
        </w:rPr>
      </w:pPr>
      <w:r>
        <w:rPr>
          <w:rFonts w:ascii="Arial" w:hAnsi="Arial" w:cs="Arial"/>
          <w:sz w:val="24"/>
          <w:szCs w:val="24"/>
        </w:rPr>
        <w:t>Co-administration</w:t>
      </w:r>
      <w:r w:rsidRPr="0094638E">
        <w:rPr>
          <w:rFonts w:ascii="Arial" w:hAnsi="Arial" w:cs="Arial"/>
          <w:sz w:val="24"/>
          <w:szCs w:val="24"/>
        </w:rPr>
        <w:t xml:space="preserve"> </w:t>
      </w:r>
      <w:r w:rsidR="00DB2013">
        <w:rPr>
          <w:rFonts w:ascii="Arial" w:hAnsi="Arial" w:cs="Arial"/>
          <w:sz w:val="24"/>
          <w:szCs w:val="24"/>
        </w:rPr>
        <w:t xml:space="preserve">with </w:t>
      </w:r>
      <w:r w:rsidR="00056925" w:rsidRPr="0094638E">
        <w:rPr>
          <w:rFonts w:ascii="Arial" w:hAnsi="Arial" w:cs="Arial"/>
          <w:sz w:val="24"/>
          <w:szCs w:val="24"/>
        </w:rPr>
        <w:t>othe</w:t>
      </w:r>
      <w:r w:rsidR="0094638E" w:rsidRPr="0094638E">
        <w:rPr>
          <w:rFonts w:ascii="Arial" w:hAnsi="Arial" w:cs="Arial"/>
          <w:sz w:val="24"/>
          <w:szCs w:val="24"/>
        </w:rPr>
        <w:t>r serotonin reuptake inhibitors</w:t>
      </w:r>
      <w:r>
        <w:rPr>
          <w:rFonts w:ascii="Arial" w:hAnsi="Arial" w:cs="Arial"/>
          <w:sz w:val="24"/>
          <w:szCs w:val="24"/>
        </w:rPr>
        <w:t xml:space="preserve"> (</w:t>
      </w:r>
      <w:r w:rsidR="000166A9">
        <w:rPr>
          <w:rFonts w:ascii="Arial" w:hAnsi="Arial" w:cs="Arial"/>
          <w:sz w:val="24"/>
          <w:szCs w:val="24"/>
        </w:rPr>
        <w:t>selective serotonin reuptake inhibitors (</w:t>
      </w:r>
      <w:r>
        <w:rPr>
          <w:rFonts w:ascii="Arial" w:hAnsi="Arial" w:cs="Arial"/>
          <w:sz w:val="24"/>
          <w:szCs w:val="24"/>
        </w:rPr>
        <w:t>SSRI</w:t>
      </w:r>
      <w:r w:rsidR="000166A9">
        <w:rPr>
          <w:rFonts w:ascii="Arial" w:hAnsi="Arial" w:cs="Arial"/>
          <w:sz w:val="24"/>
          <w:szCs w:val="24"/>
        </w:rPr>
        <w:t>)</w:t>
      </w:r>
      <w:r>
        <w:rPr>
          <w:rFonts w:ascii="Arial" w:hAnsi="Arial" w:cs="Arial"/>
          <w:sz w:val="24"/>
          <w:szCs w:val="24"/>
        </w:rPr>
        <w:t xml:space="preserve">, </w:t>
      </w:r>
      <w:r w:rsidR="000166A9">
        <w:rPr>
          <w:rFonts w:ascii="Arial" w:hAnsi="Arial" w:cs="Arial"/>
          <w:sz w:val="24"/>
          <w:szCs w:val="24"/>
        </w:rPr>
        <w:t>serotonin-</w:t>
      </w:r>
      <w:proofErr w:type="spellStart"/>
      <w:r w:rsidR="000166A9">
        <w:rPr>
          <w:rFonts w:ascii="Arial" w:hAnsi="Arial" w:cs="Arial"/>
          <w:sz w:val="24"/>
          <w:szCs w:val="24"/>
        </w:rPr>
        <w:t>noradrenaline</w:t>
      </w:r>
      <w:proofErr w:type="spellEnd"/>
      <w:r w:rsidR="000166A9">
        <w:rPr>
          <w:rFonts w:ascii="Arial" w:hAnsi="Arial" w:cs="Arial"/>
          <w:sz w:val="24"/>
          <w:szCs w:val="24"/>
        </w:rPr>
        <w:t xml:space="preserve"> reuptake inhibitors (</w:t>
      </w:r>
      <w:r>
        <w:rPr>
          <w:rFonts w:ascii="Arial" w:hAnsi="Arial" w:cs="Arial"/>
          <w:sz w:val="24"/>
          <w:szCs w:val="24"/>
        </w:rPr>
        <w:t>SNRI</w:t>
      </w:r>
      <w:r w:rsidR="000166A9">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tramadol</w:t>
      </w:r>
      <w:proofErr w:type="spellEnd"/>
      <w:r>
        <w:rPr>
          <w:rFonts w:ascii="Arial" w:hAnsi="Arial" w:cs="Arial"/>
          <w:sz w:val="24"/>
          <w:szCs w:val="24"/>
        </w:rPr>
        <w:t xml:space="preserve"> and St-John’s </w:t>
      </w:r>
      <w:proofErr w:type="spellStart"/>
      <w:r>
        <w:rPr>
          <w:rFonts w:ascii="Arial" w:hAnsi="Arial" w:cs="Arial"/>
          <w:sz w:val="24"/>
          <w:szCs w:val="24"/>
        </w:rPr>
        <w:t>Wort</w:t>
      </w:r>
      <w:proofErr w:type="spellEnd"/>
      <w:r>
        <w:rPr>
          <w:rFonts w:ascii="Arial" w:hAnsi="Arial" w:cs="Arial"/>
          <w:sz w:val="24"/>
          <w:szCs w:val="24"/>
        </w:rPr>
        <w:t xml:space="preserve">, serotonin precursor (tryptophan), or tricyclics (such as </w:t>
      </w:r>
      <w:proofErr w:type="spellStart"/>
      <w:r>
        <w:rPr>
          <w:rFonts w:ascii="Arial" w:hAnsi="Arial" w:cs="Arial"/>
          <w:sz w:val="24"/>
          <w:szCs w:val="24"/>
        </w:rPr>
        <w:t>clomipramine</w:t>
      </w:r>
      <w:proofErr w:type="spellEnd"/>
      <w:r>
        <w:rPr>
          <w:rFonts w:ascii="Arial" w:hAnsi="Arial" w:cs="Arial"/>
          <w:sz w:val="24"/>
          <w:szCs w:val="24"/>
        </w:rPr>
        <w:t xml:space="preserve"> and </w:t>
      </w:r>
      <w:proofErr w:type="spellStart"/>
      <w:r>
        <w:rPr>
          <w:rFonts w:ascii="Arial" w:hAnsi="Arial" w:cs="Arial"/>
          <w:sz w:val="24"/>
          <w:szCs w:val="24"/>
        </w:rPr>
        <w:t>amitriptyline</w:t>
      </w:r>
      <w:proofErr w:type="spellEnd"/>
      <w:r>
        <w:rPr>
          <w:rFonts w:ascii="Arial" w:hAnsi="Arial" w:cs="Arial"/>
          <w:sz w:val="24"/>
          <w:szCs w:val="24"/>
        </w:rPr>
        <w:t>)</w:t>
      </w:r>
      <w:r w:rsidR="0090342C">
        <w:rPr>
          <w:rFonts w:ascii="Arial" w:hAnsi="Arial" w:cs="Arial"/>
          <w:sz w:val="24"/>
          <w:szCs w:val="24"/>
        </w:rPr>
        <w:t xml:space="preserve"> (see PRECAUTIONS - Interactions with other medicines)</w:t>
      </w:r>
      <w:r w:rsidR="0094638E" w:rsidRPr="0094638E">
        <w:rPr>
          <w:rFonts w:ascii="Arial" w:hAnsi="Arial" w:cs="Arial"/>
          <w:sz w:val="24"/>
          <w:szCs w:val="24"/>
        </w:rPr>
        <w:t>;</w:t>
      </w:r>
    </w:p>
    <w:p w:rsidR="0090342C" w:rsidRDefault="0090342C" w:rsidP="0090342C">
      <w:pPr>
        <w:pStyle w:val="ListParagraph"/>
        <w:numPr>
          <w:ilvl w:val="0"/>
          <w:numId w:val="1"/>
        </w:numPr>
        <w:spacing w:after="0"/>
        <w:rPr>
          <w:rFonts w:ascii="Arial" w:hAnsi="Arial" w:cs="Arial"/>
          <w:sz w:val="24"/>
          <w:szCs w:val="24"/>
        </w:rPr>
      </w:pPr>
      <w:r>
        <w:rPr>
          <w:rFonts w:ascii="Arial" w:hAnsi="Arial" w:cs="Arial"/>
          <w:sz w:val="24"/>
          <w:szCs w:val="24"/>
        </w:rPr>
        <w:t xml:space="preserve">Co-administration with adrenaline and </w:t>
      </w:r>
      <w:proofErr w:type="spellStart"/>
      <w:r>
        <w:rPr>
          <w:rFonts w:ascii="Arial" w:hAnsi="Arial" w:cs="Arial"/>
          <w:sz w:val="24"/>
          <w:szCs w:val="24"/>
        </w:rPr>
        <w:t>noradrenaline</w:t>
      </w:r>
      <w:proofErr w:type="spellEnd"/>
      <w:r>
        <w:rPr>
          <w:rFonts w:ascii="Arial" w:hAnsi="Arial" w:cs="Arial"/>
          <w:sz w:val="24"/>
          <w:szCs w:val="24"/>
        </w:rPr>
        <w:t xml:space="preserve"> (alpha and beta </w:t>
      </w:r>
      <w:proofErr w:type="spellStart"/>
      <w:r>
        <w:rPr>
          <w:rFonts w:ascii="Arial" w:hAnsi="Arial" w:cs="Arial"/>
          <w:sz w:val="24"/>
          <w:szCs w:val="24"/>
        </w:rPr>
        <w:t>sympathomimetics</w:t>
      </w:r>
      <w:proofErr w:type="spellEnd"/>
      <w:r>
        <w:rPr>
          <w:rFonts w:ascii="Arial" w:hAnsi="Arial" w:cs="Arial"/>
          <w:sz w:val="24"/>
          <w:szCs w:val="24"/>
        </w:rPr>
        <w:t>) (see PRECAUTIONS - Int</w:t>
      </w:r>
      <w:r w:rsidR="009B4CF2">
        <w:rPr>
          <w:rFonts w:ascii="Arial" w:hAnsi="Arial" w:cs="Arial"/>
          <w:sz w:val="24"/>
          <w:szCs w:val="24"/>
        </w:rPr>
        <w:t>eractions with other medicines);</w:t>
      </w:r>
    </w:p>
    <w:p w:rsidR="00255EB0" w:rsidRDefault="009B4CF2" w:rsidP="0094638E">
      <w:pPr>
        <w:pStyle w:val="ListParagraph"/>
        <w:numPr>
          <w:ilvl w:val="0"/>
          <w:numId w:val="1"/>
        </w:numPr>
        <w:spacing w:after="0"/>
        <w:rPr>
          <w:rFonts w:ascii="Arial" w:hAnsi="Arial" w:cs="Arial"/>
          <w:sz w:val="24"/>
          <w:szCs w:val="24"/>
        </w:rPr>
      </w:pPr>
      <w:r>
        <w:rPr>
          <w:rFonts w:ascii="Arial" w:hAnsi="Arial" w:cs="Arial"/>
          <w:sz w:val="24"/>
          <w:szCs w:val="24"/>
        </w:rPr>
        <w:t>Breastfeeding.</w:t>
      </w:r>
    </w:p>
    <w:p w:rsidR="00BF7A50" w:rsidRDefault="00BF7A50" w:rsidP="00BF7A50">
      <w:pPr>
        <w:spacing w:after="0"/>
        <w:ind w:left="360"/>
        <w:rPr>
          <w:rFonts w:ascii="Arial" w:hAnsi="Arial" w:cs="Arial"/>
          <w:sz w:val="24"/>
          <w:szCs w:val="24"/>
        </w:rPr>
      </w:pPr>
    </w:p>
    <w:p w:rsidR="00122854" w:rsidRDefault="00122854" w:rsidP="00BF7A50">
      <w:pPr>
        <w:spacing w:after="0"/>
        <w:ind w:left="360"/>
        <w:rPr>
          <w:rFonts w:ascii="Arial" w:hAnsi="Arial" w:cs="Arial"/>
          <w:sz w:val="24"/>
          <w:szCs w:val="24"/>
        </w:rPr>
      </w:pPr>
    </w:p>
    <w:p w:rsidR="0094638E" w:rsidRPr="004749B8" w:rsidRDefault="0094638E" w:rsidP="003F3B46">
      <w:pPr>
        <w:spacing w:after="0"/>
        <w:rPr>
          <w:rFonts w:ascii="Arial" w:hAnsi="Arial" w:cs="Arial"/>
          <w:b/>
          <w:sz w:val="24"/>
          <w:szCs w:val="24"/>
        </w:rPr>
      </w:pPr>
      <w:r w:rsidRPr="004749B8">
        <w:rPr>
          <w:rFonts w:ascii="Arial" w:hAnsi="Arial" w:cs="Arial"/>
          <w:b/>
          <w:sz w:val="24"/>
          <w:szCs w:val="24"/>
        </w:rPr>
        <w:t>PRECAUTIONS</w:t>
      </w:r>
    </w:p>
    <w:p w:rsidR="004749B8" w:rsidRDefault="004749B8" w:rsidP="003F3B46">
      <w:pPr>
        <w:spacing w:after="0"/>
        <w:rPr>
          <w:rFonts w:ascii="Arial" w:hAnsi="Arial" w:cs="Arial"/>
          <w:sz w:val="24"/>
          <w:szCs w:val="24"/>
        </w:rPr>
      </w:pPr>
    </w:p>
    <w:p w:rsidR="004749B8" w:rsidRPr="00286A88" w:rsidRDefault="00B85817" w:rsidP="003F3B46">
      <w:pPr>
        <w:spacing w:after="0"/>
        <w:rPr>
          <w:rFonts w:ascii="Arial" w:hAnsi="Arial" w:cs="Arial"/>
          <w:b/>
          <w:sz w:val="24"/>
          <w:szCs w:val="24"/>
        </w:rPr>
      </w:pPr>
      <w:r w:rsidRPr="00B85817">
        <w:rPr>
          <w:rFonts w:ascii="Arial" w:hAnsi="Arial" w:cs="Arial"/>
          <w:b/>
          <w:sz w:val="24"/>
          <w:szCs w:val="24"/>
        </w:rPr>
        <w:t>JONCIA</w:t>
      </w:r>
      <w:r w:rsidRPr="00B85817">
        <w:rPr>
          <w:rFonts w:ascii="Arial" w:hAnsi="Arial" w:cs="Arial"/>
          <w:b/>
          <w:sz w:val="24"/>
          <w:szCs w:val="24"/>
          <w:vertAlign w:val="superscript"/>
        </w:rPr>
        <w:t>®</w:t>
      </w:r>
      <w:r w:rsidR="00E24265">
        <w:rPr>
          <w:rFonts w:ascii="Arial" w:hAnsi="Arial" w:cs="Arial"/>
          <w:b/>
          <w:sz w:val="24"/>
          <w:szCs w:val="24"/>
          <w:vertAlign w:val="superscript"/>
        </w:rPr>
        <w:t xml:space="preserve"> </w:t>
      </w:r>
      <w:r w:rsidR="00286A88" w:rsidRPr="00286A88">
        <w:rPr>
          <w:rFonts w:ascii="Arial" w:hAnsi="Arial" w:cs="Arial"/>
          <w:b/>
          <w:sz w:val="24"/>
          <w:szCs w:val="24"/>
        </w:rPr>
        <w:t>should be pr</w:t>
      </w:r>
      <w:r w:rsidR="00DB02C0" w:rsidRPr="00286A88">
        <w:rPr>
          <w:rFonts w:ascii="Arial" w:hAnsi="Arial" w:cs="Arial"/>
          <w:b/>
          <w:sz w:val="24"/>
          <w:szCs w:val="24"/>
        </w:rPr>
        <w:t>escribed with caution in the following cases:</w:t>
      </w:r>
    </w:p>
    <w:p w:rsidR="00DB02C0" w:rsidRDefault="00DB02C0" w:rsidP="00DB02C0">
      <w:pPr>
        <w:pStyle w:val="ListParagraph"/>
        <w:numPr>
          <w:ilvl w:val="0"/>
          <w:numId w:val="2"/>
        </w:numPr>
        <w:spacing w:after="0"/>
        <w:rPr>
          <w:rFonts w:ascii="Arial" w:hAnsi="Arial" w:cs="Arial"/>
          <w:sz w:val="24"/>
          <w:szCs w:val="24"/>
        </w:rPr>
      </w:pPr>
      <w:r>
        <w:rPr>
          <w:rFonts w:ascii="Arial" w:hAnsi="Arial" w:cs="Arial"/>
          <w:sz w:val="24"/>
          <w:szCs w:val="24"/>
        </w:rPr>
        <w:t>i</w:t>
      </w:r>
      <w:r w:rsidRPr="00DB02C0">
        <w:rPr>
          <w:rFonts w:ascii="Arial" w:hAnsi="Arial" w:cs="Arial"/>
          <w:sz w:val="24"/>
          <w:szCs w:val="24"/>
        </w:rPr>
        <w:t xml:space="preserve">n patients with </w:t>
      </w:r>
      <w:r w:rsidR="00D133A0" w:rsidRPr="00D441D0">
        <w:rPr>
          <w:rFonts w:ascii="Arial" w:hAnsi="Arial" w:cs="Arial"/>
          <w:sz w:val="24"/>
          <w:szCs w:val="24"/>
        </w:rPr>
        <w:t xml:space="preserve">severe </w:t>
      </w:r>
      <w:r w:rsidRPr="00D441D0">
        <w:rPr>
          <w:rFonts w:ascii="Arial" w:hAnsi="Arial" w:cs="Arial"/>
          <w:sz w:val="24"/>
          <w:szCs w:val="24"/>
        </w:rPr>
        <w:t xml:space="preserve">renal </w:t>
      </w:r>
      <w:r w:rsidR="00D133A0" w:rsidRPr="00D441D0">
        <w:rPr>
          <w:rFonts w:ascii="Arial" w:hAnsi="Arial" w:cs="Arial"/>
          <w:sz w:val="24"/>
          <w:szCs w:val="24"/>
        </w:rPr>
        <w:t>impairment</w:t>
      </w:r>
      <w:r w:rsidRPr="00DB02C0">
        <w:rPr>
          <w:rFonts w:ascii="Arial" w:hAnsi="Arial" w:cs="Arial"/>
          <w:sz w:val="24"/>
          <w:szCs w:val="24"/>
        </w:rPr>
        <w:t>: dosage may have to be reduced because of prolongation of elimination half-life;</w:t>
      </w:r>
    </w:p>
    <w:p w:rsidR="00DB02C0" w:rsidRDefault="00DB02C0" w:rsidP="00DB02C0">
      <w:pPr>
        <w:pStyle w:val="ListParagraph"/>
        <w:numPr>
          <w:ilvl w:val="0"/>
          <w:numId w:val="2"/>
        </w:numPr>
        <w:spacing w:after="0"/>
        <w:rPr>
          <w:rFonts w:ascii="Arial" w:hAnsi="Arial" w:cs="Arial"/>
          <w:sz w:val="24"/>
          <w:szCs w:val="24"/>
        </w:rPr>
      </w:pPr>
      <w:r>
        <w:rPr>
          <w:rFonts w:ascii="Arial" w:hAnsi="Arial" w:cs="Arial"/>
          <w:sz w:val="24"/>
          <w:szCs w:val="24"/>
        </w:rPr>
        <w:t>in patients with high intra-ocular pressure or at risk of narrow-angle glaucoma;</w:t>
      </w:r>
    </w:p>
    <w:p w:rsidR="00DB02C0" w:rsidRDefault="00DB02C0" w:rsidP="00DB02C0">
      <w:pPr>
        <w:pStyle w:val="ListParagraph"/>
        <w:numPr>
          <w:ilvl w:val="0"/>
          <w:numId w:val="2"/>
        </w:numPr>
        <w:spacing w:after="0"/>
        <w:rPr>
          <w:rFonts w:ascii="Arial" w:hAnsi="Arial" w:cs="Arial"/>
          <w:sz w:val="24"/>
          <w:szCs w:val="24"/>
        </w:rPr>
      </w:pPr>
      <w:r>
        <w:rPr>
          <w:rFonts w:ascii="Arial" w:hAnsi="Arial" w:cs="Arial"/>
          <w:sz w:val="24"/>
          <w:szCs w:val="24"/>
        </w:rPr>
        <w:t>in patients with prostatic hypertrophy or other lower urinary tract obstructive disorders;</w:t>
      </w:r>
    </w:p>
    <w:p w:rsidR="00DB02C0" w:rsidRDefault="00DB02C0" w:rsidP="00DB02C0">
      <w:pPr>
        <w:pStyle w:val="ListParagraph"/>
        <w:numPr>
          <w:ilvl w:val="0"/>
          <w:numId w:val="2"/>
        </w:numPr>
        <w:spacing w:after="0"/>
        <w:rPr>
          <w:rFonts w:ascii="Arial" w:hAnsi="Arial" w:cs="Arial"/>
          <w:sz w:val="24"/>
          <w:szCs w:val="24"/>
        </w:rPr>
      </w:pPr>
      <w:r>
        <w:rPr>
          <w:rFonts w:ascii="Arial" w:hAnsi="Arial" w:cs="Arial"/>
          <w:sz w:val="24"/>
          <w:szCs w:val="24"/>
        </w:rPr>
        <w:t>in patients with epilepsy or with a history of epilepsy</w:t>
      </w:r>
      <w:r w:rsidR="00E24265">
        <w:rPr>
          <w:rFonts w:ascii="Arial" w:hAnsi="Arial" w:cs="Arial"/>
          <w:sz w:val="24"/>
          <w:szCs w:val="24"/>
        </w:rPr>
        <w:t>,</w:t>
      </w:r>
      <w:r w:rsidR="00786F30" w:rsidRPr="00786F30">
        <w:rPr>
          <w:rFonts w:ascii="Arial" w:hAnsi="Arial" w:cs="Arial"/>
          <w:sz w:val="24"/>
          <w:szCs w:val="24"/>
        </w:rPr>
        <w:t xml:space="preserve"> </w:t>
      </w:r>
      <w:r w:rsidR="00786F30">
        <w:rPr>
          <w:rFonts w:ascii="Arial" w:hAnsi="Arial" w:cs="Arial"/>
          <w:sz w:val="24"/>
          <w:szCs w:val="24"/>
        </w:rPr>
        <w:t>JONCIA</w:t>
      </w:r>
      <w:r w:rsidR="00786F30" w:rsidRPr="00A504C7">
        <w:rPr>
          <w:rFonts w:ascii="Arial" w:hAnsi="Arial" w:cs="Arial"/>
          <w:sz w:val="24"/>
          <w:szCs w:val="24"/>
          <w:vertAlign w:val="superscript"/>
        </w:rPr>
        <w:t>®</w:t>
      </w:r>
      <w:r w:rsidR="00E24265">
        <w:rPr>
          <w:rFonts w:ascii="Arial" w:hAnsi="Arial" w:cs="Arial"/>
          <w:sz w:val="24"/>
          <w:szCs w:val="24"/>
          <w:vertAlign w:val="superscript"/>
        </w:rPr>
        <w:t xml:space="preserve"> </w:t>
      </w:r>
      <w:r>
        <w:rPr>
          <w:rFonts w:ascii="Arial" w:hAnsi="Arial" w:cs="Arial"/>
          <w:sz w:val="24"/>
          <w:szCs w:val="24"/>
        </w:rPr>
        <w:t>should be used with caution and should be discontinued in any patient developing a seizure</w:t>
      </w:r>
      <w:r w:rsidR="00786F30">
        <w:rPr>
          <w:rFonts w:ascii="Arial" w:hAnsi="Arial" w:cs="Arial"/>
          <w:sz w:val="24"/>
          <w:szCs w:val="24"/>
        </w:rPr>
        <w:t xml:space="preserve">.  Seizures have been reported in patients taking </w:t>
      </w:r>
      <w:proofErr w:type="spellStart"/>
      <w:r w:rsidR="00786F30">
        <w:rPr>
          <w:rFonts w:ascii="Arial" w:hAnsi="Arial" w:cs="Arial"/>
          <w:sz w:val="24"/>
          <w:szCs w:val="24"/>
        </w:rPr>
        <w:t>milnacipran</w:t>
      </w:r>
      <w:proofErr w:type="spellEnd"/>
      <w:r>
        <w:rPr>
          <w:rFonts w:ascii="Arial" w:hAnsi="Arial" w:cs="Arial"/>
          <w:sz w:val="24"/>
          <w:szCs w:val="24"/>
        </w:rPr>
        <w:t>;</w:t>
      </w:r>
    </w:p>
    <w:p w:rsidR="00DB02C0" w:rsidRDefault="00DB02C0" w:rsidP="00DB02C0">
      <w:pPr>
        <w:pStyle w:val="ListParagraph"/>
        <w:numPr>
          <w:ilvl w:val="0"/>
          <w:numId w:val="2"/>
        </w:numPr>
        <w:spacing w:after="0"/>
        <w:rPr>
          <w:rFonts w:ascii="Arial" w:hAnsi="Arial" w:cs="Arial"/>
          <w:sz w:val="24"/>
          <w:szCs w:val="24"/>
        </w:rPr>
      </w:pPr>
      <w:r>
        <w:rPr>
          <w:rFonts w:ascii="Arial" w:hAnsi="Arial" w:cs="Arial"/>
          <w:sz w:val="24"/>
          <w:szCs w:val="24"/>
        </w:rPr>
        <w:t>in patients treated with other CNS acting drugs.</w:t>
      </w:r>
    </w:p>
    <w:p w:rsidR="00286A88" w:rsidRDefault="00286A88" w:rsidP="00286A88">
      <w:pPr>
        <w:spacing w:after="0"/>
        <w:rPr>
          <w:rFonts w:ascii="Arial" w:hAnsi="Arial" w:cs="Arial"/>
          <w:sz w:val="24"/>
          <w:szCs w:val="24"/>
        </w:rPr>
      </w:pPr>
    </w:p>
    <w:p w:rsidR="00286A88" w:rsidRPr="00286A88" w:rsidRDefault="00EB1EDD" w:rsidP="00286A88">
      <w:pPr>
        <w:spacing w:after="0"/>
        <w:rPr>
          <w:rFonts w:ascii="Arial" w:hAnsi="Arial" w:cs="Arial"/>
          <w:b/>
          <w:sz w:val="24"/>
          <w:szCs w:val="24"/>
        </w:rPr>
      </w:pPr>
      <w:r>
        <w:rPr>
          <w:rFonts w:ascii="Arial" w:hAnsi="Arial" w:cs="Arial"/>
          <w:b/>
          <w:sz w:val="24"/>
          <w:szCs w:val="24"/>
        </w:rPr>
        <w:t>Blood</w:t>
      </w:r>
      <w:r w:rsidR="00286A88" w:rsidRPr="00286A88">
        <w:rPr>
          <w:rFonts w:ascii="Arial" w:hAnsi="Arial" w:cs="Arial"/>
          <w:b/>
          <w:sz w:val="24"/>
          <w:szCs w:val="24"/>
        </w:rPr>
        <w:t xml:space="preserve"> pressure</w:t>
      </w:r>
      <w:r>
        <w:rPr>
          <w:rFonts w:ascii="Arial" w:hAnsi="Arial" w:cs="Arial"/>
          <w:b/>
          <w:sz w:val="24"/>
          <w:szCs w:val="24"/>
        </w:rPr>
        <w:t xml:space="preserve"> and heart rate</w:t>
      </w:r>
    </w:p>
    <w:p w:rsidR="00A4510E" w:rsidRDefault="00A4510E" w:rsidP="00286A88">
      <w:pPr>
        <w:spacing w:after="0"/>
        <w:rPr>
          <w:rFonts w:ascii="Arial" w:hAnsi="Arial" w:cs="Arial"/>
          <w:sz w:val="24"/>
          <w:szCs w:val="24"/>
        </w:rPr>
      </w:pPr>
    </w:p>
    <w:p w:rsidR="00EB1EDD" w:rsidRDefault="00A4510E" w:rsidP="00286A88">
      <w:pPr>
        <w:spacing w:after="0"/>
        <w:rPr>
          <w:rFonts w:ascii="Arial" w:hAnsi="Arial" w:cs="Arial"/>
          <w:sz w:val="24"/>
          <w:szCs w:val="24"/>
        </w:rPr>
      </w:pPr>
      <w:r>
        <w:rPr>
          <w:rFonts w:ascii="Arial" w:hAnsi="Arial" w:cs="Arial"/>
          <w:sz w:val="24"/>
          <w:szCs w:val="24"/>
        </w:rPr>
        <w:t>In the placebo-controlled trials, among fibromyalgia patients who were non-hypertensive at baseline, approximately twice as many patients in the JONCIA</w:t>
      </w:r>
      <w:r w:rsidR="00BD537F" w:rsidRPr="00404919">
        <w:rPr>
          <w:rFonts w:ascii="Arial" w:hAnsi="Arial" w:cs="Arial"/>
          <w:sz w:val="24"/>
          <w:szCs w:val="24"/>
          <w:vertAlign w:val="superscript"/>
        </w:rPr>
        <w:t>®</w:t>
      </w:r>
      <w:r>
        <w:rPr>
          <w:rFonts w:ascii="Arial" w:hAnsi="Arial" w:cs="Arial"/>
          <w:sz w:val="24"/>
          <w:szCs w:val="24"/>
        </w:rPr>
        <w:t xml:space="preserve"> treatment arms became hypertensive at the end of the study (SBP ≥ 140 mmHg or DBP ≥ 90 mmHg) compared with the placebo patients: 7.2% of patients in the placebo arm versus 19.5% of patients treated with JONCIA</w:t>
      </w:r>
      <w:r w:rsidR="00BD537F" w:rsidRPr="00687352">
        <w:rPr>
          <w:rFonts w:ascii="Arial" w:hAnsi="Arial" w:cs="Arial"/>
          <w:sz w:val="24"/>
          <w:szCs w:val="24"/>
          <w:vertAlign w:val="superscript"/>
        </w:rPr>
        <w:t>®</w:t>
      </w:r>
      <w:r>
        <w:rPr>
          <w:rFonts w:ascii="Arial" w:hAnsi="Arial" w:cs="Arial"/>
          <w:sz w:val="24"/>
          <w:szCs w:val="24"/>
        </w:rPr>
        <w:t xml:space="preserve"> 100 mg/day and 16.6% of patients treated with JONCIA</w:t>
      </w:r>
      <w:r w:rsidR="00BD537F" w:rsidRPr="00687352">
        <w:rPr>
          <w:rFonts w:ascii="Arial" w:hAnsi="Arial" w:cs="Arial"/>
          <w:sz w:val="24"/>
          <w:szCs w:val="24"/>
          <w:vertAlign w:val="superscript"/>
        </w:rPr>
        <w:t>®</w:t>
      </w:r>
      <w:r>
        <w:rPr>
          <w:rFonts w:ascii="Arial" w:hAnsi="Arial" w:cs="Arial"/>
          <w:sz w:val="24"/>
          <w:szCs w:val="24"/>
        </w:rPr>
        <w:t xml:space="preserve"> 200 mg/day.  Among patients who met systolic criteria for pre-hypertension at baseline (SBP 120 – 139 mmHg), more patients became hypertensive at the end of the study in the JONCIA</w:t>
      </w:r>
      <w:r w:rsidR="00BD537F" w:rsidRPr="00687352">
        <w:rPr>
          <w:rFonts w:ascii="Arial" w:hAnsi="Arial" w:cs="Arial"/>
          <w:sz w:val="24"/>
          <w:szCs w:val="24"/>
          <w:vertAlign w:val="superscript"/>
        </w:rPr>
        <w:t>®</w:t>
      </w:r>
      <w:r>
        <w:rPr>
          <w:rFonts w:ascii="Arial" w:hAnsi="Arial" w:cs="Arial"/>
          <w:sz w:val="24"/>
          <w:szCs w:val="24"/>
        </w:rPr>
        <w:t xml:space="preserve"> treatment arms than placebo: 9% of patients in the placebo arm versus 14% in both the JONCIA</w:t>
      </w:r>
      <w:r w:rsidR="00BD537F" w:rsidRPr="00687352">
        <w:rPr>
          <w:rFonts w:ascii="Arial" w:hAnsi="Arial" w:cs="Arial"/>
          <w:sz w:val="24"/>
          <w:szCs w:val="24"/>
          <w:vertAlign w:val="superscript"/>
        </w:rPr>
        <w:t>®</w:t>
      </w:r>
      <w:r>
        <w:rPr>
          <w:rFonts w:ascii="Arial" w:hAnsi="Arial" w:cs="Arial"/>
          <w:sz w:val="24"/>
          <w:szCs w:val="24"/>
        </w:rPr>
        <w:t xml:space="preserve"> 100 mg/day and the JONCIA</w:t>
      </w:r>
      <w:r w:rsidR="00BD537F" w:rsidRPr="00687352">
        <w:rPr>
          <w:rFonts w:ascii="Arial" w:hAnsi="Arial" w:cs="Arial"/>
          <w:sz w:val="24"/>
          <w:szCs w:val="24"/>
          <w:vertAlign w:val="superscript"/>
        </w:rPr>
        <w:t>®</w:t>
      </w:r>
      <w:r>
        <w:rPr>
          <w:rFonts w:ascii="Arial" w:hAnsi="Arial" w:cs="Arial"/>
          <w:sz w:val="24"/>
          <w:szCs w:val="24"/>
        </w:rPr>
        <w:t xml:space="preserve"> 200 mg/day treatment arms. </w:t>
      </w:r>
    </w:p>
    <w:p w:rsidR="00EB1EDD" w:rsidRDefault="00EB1EDD" w:rsidP="00286A88">
      <w:pPr>
        <w:spacing w:after="0"/>
        <w:rPr>
          <w:rFonts w:ascii="Arial" w:hAnsi="Arial" w:cs="Arial"/>
          <w:sz w:val="24"/>
          <w:szCs w:val="24"/>
        </w:rPr>
      </w:pPr>
    </w:p>
    <w:p w:rsidR="00505ACB" w:rsidRDefault="00286A88" w:rsidP="00286A88">
      <w:pPr>
        <w:spacing w:after="0"/>
        <w:rPr>
          <w:rFonts w:ascii="Arial" w:hAnsi="Arial" w:cs="Arial"/>
          <w:sz w:val="24"/>
          <w:szCs w:val="24"/>
        </w:rPr>
      </w:pPr>
      <w:r>
        <w:rPr>
          <w:rFonts w:ascii="Arial" w:hAnsi="Arial" w:cs="Arial"/>
          <w:sz w:val="24"/>
          <w:szCs w:val="24"/>
        </w:rPr>
        <w:t xml:space="preserve">Blood pressure </w:t>
      </w:r>
      <w:r w:rsidR="00EB1EDD">
        <w:rPr>
          <w:rFonts w:ascii="Arial" w:hAnsi="Arial" w:cs="Arial"/>
          <w:sz w:val="24"/>
          <w:szCs w:val="24"/>
        </w:rPr>
        <w:t>and</w:t>
      </w:r>
      <w:r>
        <w:rPr>
          <w:rFonts w:ascii="Arial" w:hAnsi="Arial" w:cs="Arial"/>
          <w:sz w:val="24"/>
          <w:szCs w:val="24"/>
        </w:rPr>
        <w:t xml:space="preserve"> heart rate </w:t>
      </w:r>
      <w:r w:rsidR="00EB1EDD">
        <w:rPr>
          <w:rFonts w:ascii="Arial" w:hAnsi="Arial" w:cs="Arial"/>
          <w:sz w:val="24"/>
          <w:szCs w:val="24"/>
        </w:rPr>
        <w:t xml:space="preserve">monitoring is recommended at treatment initiation, following dosage increases and periodically throughout the treatment with </w:t>
      </w:r>
      <w:r w:rsidR="0029554D">
        <w:rPr>
          <w:rFonts w:ascii="Arial" w:hAnsi="Arial" w:cs="Arial"/>
          <w:sz w:val="24"/>
          <w:szCs w:val="24"/>
        </w:rPr>
        <w:t>JONCIA</w:t>
      </w:r>
      <w:r w:rsidR="0029554D" w:rsidRPr="00A504C7">
        <w:rPr>
          <w:rFonts w:ascii="Arial" w:hAnsi="Arial" w:cs="Arial"/>
          <w:sz w:val="24"/>
          <w:szCs w:val="24"/>
          <w:vertAlign w:val="superscript"/>
        </w:rPr>
        <w:t>®</w:t>
      </w:r>
      <w:r w:rsidR="0029554D">
        <w:rPr>
          <w:rFonts w:ascii="Arial" w:hAnsi="Arial" w:cs="Arial"/>
          <w:sz w:val="24"/>
          <w:szCs w:val="24"/>
          <w:vertAlign w:val="superscript"/>
        </w:rPr>
        <w:t xml:space="preserve"> </w:t>
      </w:r>
      <w:r w:rsidR="00EB1EDD">
        <w:rPr>
          <w:rFonts w:ascii="Arial" w:hAnsi="Arial" w:cs="Arial"/>
          <w:sz w:val="24"/>
          <w:szCs w:val="24"/>
        </w:rPr>
        <w:t xml:space="preserve"> for all patients and more closely </w:t>
      </w:r>
      <w:r w:rsidR="00505ACB">
        <w:rPr>
          <w:rFonts w:ascii="Arial" w:hAnsi="Arial" w:cs="Arial"/>
          <w:sz w:val="24"/>
          <w:szCs w:val="24"/>
        </w:rPr>
        <w:t xml:space="preserve">in patients with </w:t>
      </w:r>
      <w:r w:rsidR="00EB1EDD">
        <w:rPr>
          <w:rFonts w:ascii="Arial" w:hAnsi="Arial" w:cs="Arial"/>
          <w:sz w:val="24"/>
          <w:szCs w:val="24"/>
        </w:rPr>
        <w:t>known cardiovascular risk.</w:t>
      </w:r>
    </w:p>
    <w:p w:rsidR="00EB1EDD" w:rsidRDefault="00EB1EDD" w:rsidP="00286A88">
      <w:pPr>
        <w:spacing w:after="0"/>
        <w:rPr>
          <w:rFonts w:ascii="Arial" w:hAnsi="Arial" w:cs="Arial"/>
          <w:sz w:val="24"/>
          <w:szCs w:val="24"/>
        </w:rPr>
      </w:pPr>
    </w:p>
    <w:p w:rsidR="00EB1EDD" w:rsidRDefault="00EB1EDD" w:rsidP="00286A88">
      <w:pPr>
        <w:spacing w:after="0"/>
        <w:rPr>
          <w:rFonts w:ascii="Arial" w:hAnsi="Arial" w:cs="Arial"/>
          <w:sz w:val="24"/>
          <w:szCs w:val="24"/>
        </w:rPr>
      </w:pPr>
      <w:r>
        <w:rPr>
          <w:rFonts w:ascii="Arial" w:hAnsi="Arial" w:cs="Arial"/>
          <w:sz w:val="24"/>
          <w:szCs w:val="24"/>
        </w:rPr>
        <w:t xml:space="preserve">For patients who experience a clinically significant sustained increase in blood pressure or heart rate while receiving </w:t>
      </w:r>
      <w:r w:rsidR="005306D9">
        <w:rPr>
          <w:rFonts w:ascii="Arial" w:hAnsi="Arial" w:cs="Arial"/>
          <w:sz w:val="24"/>
          <w:szCs w:val="24"/>
        </w:rPr>
        <w:t>JONCIA</w:t>
      </w:r>
      <w:r w:rsidR="005306D9" w:rsidRPr="00A504C7">
        <w:rPr>
          <w:rFonts w:ascii="Arial" w:hAnsi="Arial" w:cs="Arial"/>
          <w:sz w:val="24"/>
          <w:szCs w:val="24"/>
          <w:vertAlign w:val="superscript"/>
        </w:rPr>
        <w:t>®</w:t>
      </w:r>
      <w:r w:rsidR="005306D9">
        <w:rPr>
          <w:rFonts w:ascii="Arial" w:hAnsi="Arial" w:cs="Arial"/>
          <w:sz w:val="24"/>
          <w:szCs w:val="24"/>
          <w:vertAlign w:val="superscript"/>
        </w:rPr>
        <w:t xml:space="preserve"> </w:t>
      </w:r>
      <w:r>
        <w:rPr>
          <w:rFonts w:ascii="Arial" w:hAnsi="Arial" w:cs="Arial"/>
          <w:sz w:val="24"/>
          <w:szCs w:val="24"/>
        </w:rPr>
        <w:t>gradual discontinuation should be considered.</w:t>
      </w:r>
    </w:p>
    <w:p w:rsidR="004C381C" w:rsidRDefault="004C381C" w:rsidP="00286A88">
      <w:pPr>
        <w:spacing w:after="0"/>
        <w:rPr>
          <w:rFonts w:ascii="Arial" w:hAnsi="Arial" w:cs="Arial"/>
          <w:sz w:val="24"/>
          <w:szCs w:val="24"/>
        </w:rPr>
      </w:pPr>
    </w:p>
    <w:p w:rsidR="004C381C" w:rsidRDefault="004C381C" w:rsidP="00286A88">
      <w:pPr>
        <w:spacing w:after="0"/>
        <w:rPr>
          <w:rFonts w:ascii="Arial" w:hAnsi="Arial" w:cs="Arial"/>
          <w:sz w:val="24"/>
          <w:szCs w:val="24"/>
        </w:rPr>
      </w:pPr>
      <w:r>
        <w:rPr>
          <w:rFonts w:ascii="Arial" w:hAnsi="Arial" w:cs="Arial"/>
          <w:sz w:val="24"/>
          <w:szCs w:val="24"/>
        </w:rPr>
        <w:t xml:space="preserve">Safety of </w:t>
      </w:r>
      <w:r w:rsidR="005306D9">
        <w:rPr>
          <w:rFonts w:ascii="Arial" w:hAnsi="Arial" w:cs="Arial"/>
          <w:sz w:val="24"/>
          <w:szCs w:val="24"/>
        </w:rPr>
        <w:t>JONCIA</w:t>
      </w:r>
      <w:r w:rsidR="005306D9" w:rsidRPr="00A504C7">
        <w:rPr>
          <w:rFonts w:ascii="Arial" w:hAnsi="Arial" w:cs="Arial"/>
          <w:sz w:val="24"/>
          <w:szCs w:val="24"/>
          <w:vertAlign w:val="superscript"/>
        </w:rPr>
        <w:t>®</w:t>
      </w:r>
      <w:r w:rsidR="005306D9">
        <w:rPr>
          <w:rFonts w:ascii="Arial" w:hAnsi="Arial" w:cs="Arial"/>
          <w:sz w:val="24"/>
          <w:szCs w:val="24"/>
          <w:vertAlign w:val="superscript"/>
        </w:rPr>
        <w:t xml:space="preserve"> </w:t>
      </w:r>
      <w:r>
        <w:rPr>
          <w:rFonts w:ascii="Arial" w:hAnsi="Arial" w:cs="Arial"/>
          <w:sz w:val="24"/>
          <w:szCs w:val="24"/>
        </w:rPr>
        <w:t>has not been studied in fibromyalgia patients with a recent history of myocardial infarction or unstable heart disease.</w:t>
      </w:r>
    </w:p>
    <w:p w:rsidR="00505ACB" w:rsidRDefault="00505ACB" w:rsidP="00286A88">
      <w:pPr>
        <w:spacing w:after="0"/>
        <w:rPr>
          <w:rFonts w:ascii="Arial" w:hAnsi="Arial" w:cs="Arial"/>
          <w:sz w:val="24"/>
          <w:szCs w:val="24"/>
        </w:rPr>
      </w:pPr>
    </w:p>
    <w:p w:rsidR="00505ACB" w:rsidRPr="00505ACB" w:rsidRDefault="00505ACB" w:rsidP="00286A88">
      <w:pPr>
        <w:spacing w:after="0"/>
        <w:rPr>
          <w:rFonts w:ascii="Arial" w:hAnsi="Arial" w:cs="Arial"/>
          <w:b/>
          <w:sz w:val="24"/>
          <w:szCs w:val="24"/>
        </w:rPr>
      </w:pPr>
      <w:r w:rsidRPr="00505ACB">
        <w:rPr>
          <w:rFonts w:ascii="Arial" w:hAnsi="Arial" w:cs="Arial"/>
          <w:b/>
          <w:sz w:val="24"/>
          <w:szCs w:val="24"/>
        </w:rPr>
        <w:t>Use with alcohol</w:t>
      </w:r>
    </w:p>
    <w:p w:rsidR="00286A88" w:rsidRDefault="00505ACB" w:rsidP="00286A88">
      <w:pPr>
        <w:spacing w:after="0"/>
        <w:rPr>
          <w:rFonts w:ascii="Arial" w:hAnsi="Arial" w:cs="Arial"/>
          <w:sz w:val="24"/>
          <w:szCs w:val="24"/>
        </w:rPr>
      </w:pPr>
      <w:r>
        <w:rPr>
          <w:rFonts w:ascii="Arial" w:hAnsi="Arial" w:cs="Arial"/>
          <w:sz w:val="24"/>
          <w:szCs w:val="24"/>
        </w:rPr>
        <w:t xml:space="preserve">Although there is no evidence of an interaction with alcohol, as with any CNS medication, it is recommended that the use of alcohol while taking </w:t>
      </w:r>
      <w:r w:rsidR="005306D9">
        <w:rPr>
          <w:rFonts w:ascii="Arial" w:hAnsi="Arial" w:cs="Arial"/>
          <w:sz w:val="24"/>
          <w:szCs w:val="24"/>
        </w:rPr>
        <w:t>JONCIA</w:t>
      </w:r>
      <w:r w:rsidR="005306D9" w:rsidRPr="00A504C7">
        <w:rPr>
          <w:rFonts w:ascii="Arial" w:hAnsi="Arial" w:cs="Arial"/>
          <w:sz w:val="24"/>
          <w:szCs w:val="24"/>
          <w:vertAlign w:val="superscript"/>
        </w:rPr>
        <w:t>®</w:t>
      </w:r>
      <w:r w:rsidR="005306D9">
        <w:rPr>
          <w:rFonts w:ascii="Arial" w:hAnsi="Arial" w:cs="Arial"/>
          <w:sz w:val="24"/>
          <w:szCs w:val="24"/>
          <w:vertAlign w:val="superscript"/>
        </w:rPr>
        <w:t xml:space="preserve"> </w:t>
      </w:r>
      <w:r>
        <w:rPr>
          <w:rFonts w:ascii="Arial" w:hAnsi="Arial" w:cs="Arial"/>
          <w:sz w:val="24"/>
          <w:szCs w:val="24"/>
        </w:rPr>
        <w:t>should be avoided.</w:t>
      </w:r>
      <w:r w:rsidR="00286A88">
        <w:rPr>
          <w:rFonts w:ascii="Arial" w:hAnsi="Arial" w:cs="Arial"/>
          <w:sz w:val="24"/>
          <w:szCs w:val="24"/>
        </w:rPr>
        <w:t xml:space="preserve"> </w:t>
      </w:r>
    </w:p>
    <w:p w:rsidR="00505ACB" w:rsidRDefault="00505ACB" w:rsidP="00286A88">
      <w:pPr>
        <w:spacing w:after="0"/>
        <w:rPr>
          <w:rFonts w:ascii="Arial" w:hAnsi="Arial" w:cs="Arial"/>
          <w:sz w:val="24"/>
          <w:szCs w:val="24"/>
        </w:rPr>
      </w:pPr>
    </w:p>
    <w:p w:rsidR="00505ACB" w:rsidRDefault="00E6401E" w:rsidP="00286A88">
      <w:pPr>
        <w:spacing w:after="0"/>
        <w:rPr>
          <w:rFonts w:ascii="Arial" w:hAnsi="Arial" w:cs="Arial"/>
          <w:b/>
          <w:sz w:val="24"/>
          <w:szCs w:val="24"/>
        </w:rPr>
      </w:pPr>
      <w:proofErr w:type="spellStart"/>
      <w:r w:rsidRPr="00E6401E">
        <w:rPr>
          <w:rFonts w:ascii="Arial" w:hAnsi="Arial" w:cs="Arial"/>
          <w:b/>
          <w:sz w:val="24"/>
          <w:szCs w:val="24"/>
        </w:rPr>
        <w:t>Hyponatr</w:t>
      </w:r>
      <w:r w:rsidR="00B77788">
        <w:rPr>
          <w:rFonts w:ascii="Arial" w:hAnsi="Arial" w:cs="Arial"/>
          <w:b/>
          <w:sz w:val="24"/>
          <w:szCs w:val="24"/>
        </w:rPr>
        <w:t>a</w:t>
      </w:r>
      <w:r w:rsidRPr="00E6401E">
        <w:rPr>
          <w:rFonts w:ascii="Arial" w:hAnsi="Arial" w:cs="Arial"/>
          <w:b/>
          <w:sz w:val="24"/>
          <w:szCs w:val="24"/>
        </w:rPr>
        <w:t>emia</w:t>
      </w:r>
      <w:proofErr w:type="spellEnd"/>
    </w:p>
    <w:p w:rsidR="00E6401E" w:rsidRDefault="00B77788" w:rsidP="00286A88">
      <w:pPr>
        <w:spacing w:after="0"/>
        <w:rPr>
          <w:rFonts w:ascii="Arial" w:hAnsi="Arial" w:cs="Arial"/>
          <w:sz w:val="24"/>
          <w:szCs w:val="24"/>
        </w:rPr>
      </w:pPr>
      <w:proofErr w:type="spellStart"/>
      <w:r>
        <w:rPr>
          <w:rFonts w:ascii="Arial" w:hAnsi="Arial" w:cs="Arial"/>
          <w:sz w:val="24"/>
          <w:szCs w:val="24"/>
        </w:rPr>
        <w:t>Hyponatraemia</w:t>
      </w:r>
      <w:proofErr w:type="spellEnd"/>
      <w:r>
        <w:rPr>
          <w:rFonts w:ascii="Arial" w:hAnsi="Arial" w:cs="Arial"/>
          <w:sz w:val="24"/>
          <w:szCs w:val="24"/>
        </w:rPr>
        <w:t xml:space="preserve"> may occur as a result of treatment with SSRIs and SNRIs, including JONCIA</w:t>
      </w:r>
      <w:r w:rsidR="002E1851" w:rsidRPr="00687352">
        <w:rPr>
          <w:rFonts w:ascii="Arial" w:hAnsi="Arial" w:cs="Arial"/>
          <w:sz w:val="24"/>
          <w:szCs w:val="24"/>
          <w:vertAlign w:val="superscript"/>
        </w:rPr>
        <w:t>®</w:t>
      </w:r>
      <w:r>
        <w:rPr>
          <w:rFonts w:ascii="Arial" w:hAnsi="Arial" w:cs="Arial"/>
          <w:sz w:val="24"/>
          <w:szCs w:val="24"/>
        </w:rPr>
        <w:t xml:space="preserve">.  In many cases, this </w:t>
      </w:r>
      <w:proofErr w:type="spellStart"/>
      <w:r>
        <w:rPr>
          <w:rFonts w:ascii="Arial" w:hAnsi="Arial" w:cs="Arial"/>
          <w:sz w:val="24"/>
          <w:szCs w:val="24"/>
        </w:rPr>
        <w:t>hyponatraemia</w:t>
      </w:r>
      <w:proofErr w:type="spellEnd"/>
      <w:r>
        <w:rPr>
          <w:rFonts w:ascii="Arial" w:hAnsi="Arial" w:cs="Arial"/>
          <w:sz w:val="24"/>
          <w:szCs w:val="24"/>
        </w:rPr>
        <w:t xml:space="preserve"> appears to be the result of the syndrome of inappropriate </w:t>
      </w:r>
      <w:proofErr w:type="spellStart"/>
      <w:r>
        <w:rPr>
          <w:rFonts w:ascii="Arial" w:hAnsi="Arial" w:cs="Arial"/>
          <w:sz w:val="24"/>
          <w:szCs w:val="24"/>
        </w:rPr>
        <w:t>antidiuretic</w:t>
      </w:r>
      <w:proofErr w:type="spellEnd"/>
      <w:r>
        <w:rPr>
          <w:rFonts w:ascii="Arial" w:hAnsi="Arial" w:cs="Arial"/>
          <w:sz w:val="24"/>
          <w:szCs w:val="24"/>
        </w:rPr>
        <w:t xml:space="preserve"> hormone secretion (SIADH).  Cases with serum sodium lower than 1</w:t>
      </w:r>
      <w:r w:rsidR="00636317">
        <w:rPr>
          <w:rFonts w:ascii="Arial" w:hAnsi="Arial" w:cs="Arial"/>
          <w:sz w:val="24"/>
          <w:szCs w:val="24"/>
        </w:rPr>
        <w:t>0</w:t>
      </w:r>
      <w:r>
        <w:rPr>
          <w:rFonts w:ascii="Arial" w:hAnsi="Arial" w:cs="Arial"/>
          <w:sz w:val="24"/>
          <w:szCs w:val="24"/>
        </w:rPr>
        <w:t xml:space="preserve">0 </w:t>
      </w:r>
      <w:proofErr w:type="spellStart"/>
      <w:r>
        <w:rPr>
          <w:rFonts w:ascii="Arial" w:hAnsi="Arial" w:cs="Arial"/>
          <w:sz w:val="24"/>
          <w:szCs w:val="24"/>
        </w:rPr>
        <w:t>mmol</w:t>
      </w:r>
      <w:proofErr w:type="spellEnd"/>
      <w:r>
        <w:rPr>
          <w:rFonts w:ascii="Arial" w:hAnsi="Arial" w:cs="Arial"/>
          <w:sz w:val="24"/>
          <w:szCs w:val="24"/>
        </w:rPr>
        <w:t xml:space="preserve">/L have been reported.  Elderly patients may be at greater risk of developing </w:t>
      </w:r>
      <w:proofErr w:type="spellStart"/>
      <w:r>
        <w:rPr>
          <w:rFonts w:ascii="Arial" w:hAnsi="Arial" w:cs="Arial"/>
          <w:sz w:val="24"/>
          <w:szCs w:val="24"/>
        </w:rPr>
        <w:t>hyponatraemia</w:t>
      </w:r>
      <w:proofErr w:type="spellEnd"/>
      <w:r>
        <w:rPr>
          <w:rFonts w:ascii="Arial" w:hAnsi="Arial" w:cs="Arial"/>
          <w:sz w:val="24"/>
          <w:szCs w:val="24"/>
        </w:rPr>
        <w:t xml:space="preserve"> with SNRIs, SSRIs, or JONCIA</w:t>
      </w:r>
      <w:r w:rsidR="002E1851" w:rsidRPr="00687352">
        <w:rPr>
          <w:rFonts w:ascii="Arial" w:hAnsi="Arial" w:cs="Arial"/>
          <w:sz w:val="24"/>
          <w:szCs w:val="24"/>
          <w:vertAlign w:val="superscript"/>
        </w:rPr>
        <w:t>®</w:t>
      </w:r>
      <w:r>
        <w:rPr>
          <w:rFonts w:ascii="Arial" w:hAnsi="Arial" w:cs="Arial"/>
          <w:sz w:val="24"/>
          <w:szCs w:val="24"/>
        </w:rPr>
        <w:t>.  Also</w:t>
      </w:r>
      <w:r w:rsidR="002E1851">
        <w:rPr>
          <w:rFonts w:ascii="Arial" w:hAnsi="Arial" w:cs="Arial"/>
          <w:sz w:val="24"/>
          <w:szCs w:val="24"/>
        </w:rPr>
        <w:t>,</w:t>
      </w:r>
      <w:r>
        <w:rPr>
          <w:rFonts w:ascii="Arial" w:hAnsi="Arial" w:cs="Arial"/>
          <w:sz w:val="24"/>
          <w:szCs w:val="24"/>
        </w:rPr>
        <w:t xml:space="preserve"> patients taking diuretics or who are otherwise volume-depleted may be at greater risk.  Discontinuation of JONCIA should be considered in p</w:t>
      </w:r>
      <w:r w:rsidR="00B32E15">
        <w:rPr>
          <w:rFonts w:ascii="Arial" w:hAnsi="Arial" w:cs="Arial"/>
          <w:sz w:val="24"/>
          <w:szCs w:val="24"/>
        </w:rPr>
        <w:t xml:space="preserve">atients with symptomatic </w:t>
      </w:r>
      <w:proofErr w:type="spellStart"/>
      <w:r w:rsidR="00B32E15">
        <w:rPr>
          <w:rFonts w:ascii="Arial" w:hAnsi="Arial" w:cs="Arial"/>
          <w:sz w:val="24"/>
          <w:szCs w:val="24"/>
        </w:rPr>
        <w:t>hypona</w:t>
      </w:r>
      <w:r>
        <w:rPr>
          <w:rFonts w:ascii="Arial" w:hAnsi="Arial" w:cs="Arial"/>
          <w:sz w:val="24"/>
          <w:szCs w:val="24"/>
        </w:rPr>
        <w:t>traemia</w:t>
      </w:r>
      <w:proofErr w:type="spellEnd"/>
      <w:r>
        <w:rPr>
          <w:rFonts w:ascii="Arial" w:hAnsi="Arial" w:cs="Arial"/>
          <w:sz w:val="24"/>
          <w:szCs w:val="24"/>
        </w:rPr>
        <w:t>.</w:t>
      </w:r>
    </w:p>
    <w:p w:rsidR="00B77788" w:rsidRDefault="00B77788" w:rsidP="00286A88">
      <w:pPr>
        <w:spacing w:after="0"/>
        <w:rPr>
          <w:rFonts w:ascii="Arial" w:hAnsi="Arial" w:cs="Arial"/>
          <w:sz w:val="24"/>
          <w:szCs w:val="24"/>
        </w:rPr>
      </w:pPr>
    </w:p>
    <w:p w:rsidR="00B77788" w:rsidRDefault="00B77788" w:rsidP="00286A88">
      <w:pPr>
        <w:spacing w:after="0"/>
        <w:rPr>
          <w:rFonts w:ascii="Arial" w:hAnsi="Arial" w:cs="Arial"/>
          <w:sz w:val="24"/>
          <w:szCs w:val="24"/>
        </w:rPr>
      </w:pPr>
      <w:r>
        <w:rPr>
          <w:rFonts w:ascii="Arial" w:hAnsi="Arial" w:cs="Arial"/>
          <w:sz w:val="24"/>
          <w:szCs w:val="24"/>
        </w:rPr>
        <w:t xml:space="preserve">Signs and symptoms of </w:t>
      </w:r>
      <w:proofErr w:type="spellStart"/>
      <w:r>
        <w:rPr>
          <w:rFonts w:ascii="Arial" w:hAnsi="Arial" w:cs="Arial"/>
          <w:sz w:val="24"/>
          <w:szCs w:val="24"/>
        </w:rPr>
        <w:t>hyponatraemia</w:t>
      </w:r>
      <w:proofErr w:type="spellEnd"/>
      <w:r>
        <w:rPr>
          <w:rFonts w:ascii="Arial" w:hAnsi="Arial" w:cs="Arial"/>
          <w:sz w:val="24"/>
          <w:szCs w:val="24"/>
        </w:rPr>
        <w:t xml:space="preserve"> include headache, difficulty concentrating, memory impairment, confusion, weakness, and unsteadiness, which may lead to falls.  Signs and symptoms associated with  more severe and/or acute cases have included hallucination, syncope, seizure</w:t>
      </w:r>
      <w:r w:rsidR="002E1851">
        <w:rPr>
          <w:rFonts w:ascii="Arial" w:hAnsi="Arial" w:cs="Arial"/>
          <w:sz w:val="24"/>
          <w:szCs w:val="24"/>
        </w:rPr>
        <w:t>, coma, respiratory arrest and death.</w:t>
      </w:r>
    </w:p>
    <w:p w:rsidR="00E6401E" w:rsidRDefault="00E6401E" w:rsidP="00286A88">
      <w:pPr>
        <w:spacing w:after="0"/>
        <w:rPr>
          <w:rFonts w:ascii="Arial" w:hAnsi="Arial" w:cs="Arial"/>
          <w:sz w:val="24"/>
          <w:szCs w:val="24"/>
        </w:rPr>
      </w:pPr>
    </w:p>
    <w:p w:rsidR="00E6401E" w:rsidRPr="009751AC" w:rsidRDefault="00E6401E" w:rsidP="00286A88">
      <w:pPr>
        <w:spacing w:after="0"/>
        <w:rPr>
          <w:rFonts w:ascii="Arial" w:hAnsi="Arial" w:cs="Arial"/>
          <w:b/>
          <w:sz w:val="24"/>
          <w:szCs w:val="24"/>
        </w:rPr>
      </w:pPr>
      <w:r w:rsidRPr="009751AC">
        <w:rPr>
          <w:rFonts w:ascii="Arial" w:hAnsi="Arial" w:cs="Arial"/>
          <w:b/>
          <w:sz w:val="24"/>
          <w:szCs w:val="24"/>
        </w:rPr>
        <w:t>Bleeding</w:t>
      </w:r>
    </w:p>
    <w:p w:rsidR="00E6401E" w:rsidRDefault="00E6401E" w:rsidP="00286A88">
      <w:pPr>
        <w:spacing w:after="0"/>
        <w:rPr>
          <w:rFonts w:ascii="Arial" w:hAnsi="Arial" w:cs="Arial"/>
          <w:sz w:val="24"/>
          <w:szCs w:val="24"/>
        </w:rPr>
      </w:pPr>
      <w:r>
        <w:rPr>
          <w:rFonts w:ascii="Arial" w:hAnsi="Arial" w:cs="Arial"/>
          <w:sz w:val="24"/>
          <w:szCs w:val="24"/>
        </w:rPr>
        <w:t>Cases of haemorrhages, sometimes serious, have been reported with the use of serotonin re-uptake inhibitors.  Caution should be exercised in patients</w:t>
      </w:r>
      <w:r w:rsidR="00C40FC4">
        <w:rPr>
          <w:rFonts w:ascii="Arial" w:hAnsi="Arial" w:cs="Arial"/>
          <w:sz w:val="24"/>
          <w:szCs w:val="24"/>
        </w:rPr>
        <w:t xml:space="preserve"> concomitantly tr</w:t>
      </w:r>
      <w:r w:rsidR="0090494B">
        <w:rPr>
          <w:rFonts w:ascii="Arial" w:hAnsi="Arial" w:cs="Arial"/>
          <w:sz w:val="24"/>
          <w:szCs w:val="24"/>
        </w:rPr>
        <w:t xml:space="preserve">eated with oral anticoagulants, </w:t>
      </w:r>
      <w:r w:rsidR="00C40FC4">
        <w:rPr>
          <w:rFonts w:ascii="Arial" w:hAnsi="Arial" w:cs="Arial"/>
          <w:sz w:val="24"/>
          <w:szCs w:val="24"/>
        </w:rPr>
        <w:t>drugs which have an effect on platelet function, e.g. NSAIDs and aspirin, or other drugs that may increase the risk of bleeding.  Caution is also required in patients with previous bleeding abnormalities.</w:t>
      </w:r>
    </w:p>
    <w:p w:rsidR="009751AC" w:rsidRDefault="009751AC" w:rsidP="00286A88">
      <w:pPr>
        <w:spacing w:after="0"/>
        <w:rPr>
          <w:rFonts w:ascii="Arial" w:hAnsi="Arial" w:cs="Arial"/>
          <w:sz w:val="24"/>
          <w:szCs w:val="24"/>
        </w:rPr>
      </w:pPr>
    </w:p>
    <w:p w:rsidR="00426CD6" w:rsidRPr="00ED788F" w:rsidRDefault="00426CD6" w:rsidP="00426CD6">
      <w:pPr>
        <w:spacing w:after="0"/>
        <w:rPr>
          <w:rFonts w:ascii="Arial" w:hAnsi="Arial" w:cs="Arial"/>
          <w:b/>
          <w:sz w:val="24"/>
          <w:szCs w:val="24"/>
        </w:rPr>
      </w:pPr>
      <w:r>
        <w:rPr>
          <w:rFonts w:ascii="Arial" w:hAnsi="Arial" w:cs="Arial"/>
          <w:b/>
          <w:sz w:val="24"/>
          <w:szCs w:val="24"/>
        </w:rPr>
        <w:t>Depression, suicidal ideation and behaviour</w:t>
      </w:r>
    </w:p>
    <w:p w:rsidR="00044DFA" w:rsidRDefault="00044DFA" w:rsidP="00286A88">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is a selective serotonin and </w:t>
      </w:r>
      <w:proofErr w:type="spellStart"/>
      <w:r>
        <w:rPr>
          <w:rFonts w:ascii="Arial" w:hAnsi="Arial" w:cs="Arial"/>
          <w:sz w:val="24"/>
          <w:szCs w:val="24"/>
        </w:rPr>
        <w:t>noradrenaline</w:t>
      </w:r>
      <w:proofErr w:type="spellEnd"/>
      <w:r>
        <w:rPr>
          <w:rFonts w:ascii="Arial" w:hAnsi="Arial" w:cs="Arial"/>
          <w:sz w:val="24"/>
          <w:szCs w:val="24"/>
        </w:rPr>
        <w:t xml:space="preserve"> reuptake inhibitor (SNRI), similar to some medicines used for the treatment of depression and other psychiatric disorders.  Antidepressants increased the risk compared to placebo of suicidal thinking and behaviour (</w:t>
      </w:r>
      <w:proofErr w:type="spellStart"/>
      <w:r>
        <w:rPr>
          <w:rFonts w:ascii="Arial" w:hAnsi="Arial" w:cs="Arial"/>
          <w:sz w:val="24"/>
          <w:szCs w:val="24"/>
        </w:rPr>
        <w:t>suicidality</w:t>
      </w:r>
      <w:proofErr w:type="spellEnd"/>
      <w:r>
        <w:rPr>
          <w:rFonts w:ascii="Arial" w:hAnsi="Arial" w:cs="Arial"/>
          <w:sz w:val="24"/>
          <w:szCs w:val="24"/>
        </w:rPr>
        <w:t>) in children, adolescents, and young adults in short-term studies of major depressive disorder (MDD) and other psychiatric disorders.  The risk of suicide attempt is inherent in depression and may persist until significant remission occurs.  This risk must be considered in all depressed patients.</w:t>
      </w:r>
    </w:p>
    <w:p w:rsidR="00044DFA" w:rsidRDefault="00044DFA" w:rsidP="00286A88">
      <w:pPr>
        <w:spacing w:after="0"/>
        <w:rPr>
          <w:rFonts w:ascii="Arial" w:hAnsi="Arial" w:cs="Arial"/>
          <w:sz w:val="24"/>
          <w:szCs w:val="24"/>
        </w:rPr>
      </w:pPr>
    </w:p>
    <w:p w:rsidR="00044DFA" w:rsidRDefault="00044DFA" w:rsidP="00286A88">
      <w:pPr>
        <w:spacing w:after="0"/>
        <w:rPr>
          <w:rFonts w:ascii="Arial" w:hAnsi="Arial" w:cs="Arial"/>
          <w:sz w:val="24"/>
          <w:szCs w:val="24"/>
        </w:rPr>
      </w:pPr>
      <w:r>
        <w:rPr>
          <w:rFonts w:ascii="Arial" w:hAnsi="Arial" w:cs="Arial"/>
          <w:sz w:val="24"/>
          <w:szCs w:val="24"/>
        </w:rPr>
        <w:t>Patients with depression may experience worsening of their depressive symptoms and/or the emergence of suicidal ideation and behaviours (</w:t>
      </w:r>
      <w:proofErr w:type="spellStart"/>
      <w:r>
        <w:rPr>
          <w:rFonts w:ascii="Arial" w:hAnsi="Arial" w:cs="Arial"/>
          <w:sz w:val="24"/>
          <w:szCs w:val="24"/>
        </w:rPr>
        <w:t>suicidality</w:t>
      </w:r>
      <w:proofErr w:type="spellEnd"/>
      <w:r>
        <w:rPr>
          <w:rFonts w:ascii="Arial" w:hAnsi="Arial" w:cs="Arial"/>
          <w:sz w:val="24"/>
          <w:szCs w:val="24"/>
        </w:rPr>
        <w:t>) whether or not they are taking antidepressant medications, and this risk</w:t>
      </w:r>
      <w:r w:rsidR="00D16D8A">
        <w:rPr>
          <w:rFonts w:ascii="Arial" w:hAnsi="Arial" w:cs="Arial"/>
          <w:sz w:val="24"/>
          <w:szCs w:val="24"/>
        </w:rPr>
        <w:t xml:space="preserve"> may persist until significant remission occurs.  As improvement may not occur during the first few weeks or more of treatment, patients should be closely monitored for clinical worsening and </w:t>
      </w:r>
      <w:proofErr w:type="spellStart"/>
      <w:r w:rsidR="00D16D8A">
        <w:rPr>
          <w:rFonts w:ascii="Arial" w:hAnsi="Arial" w:cs="Arial"/>
          <w:sz w:val="24"/>
          <w:szCs w:val="24"/>
        </w:rPr>
        <w:t>suicidality</w:t>
      </w:r>
      <w:proofErr w:type="spellEnd"/>
      <w:r w:rsidR="00D16D8A">
        <w:rPr>
          <w:rFonts w:ascii="Arial" w:hAnsi="Arial" w:cs="Arial"/>
          <w:sz w:val="24"/>
          <w:szCs w:val="24"/>
        </w:rPr>
        <w:t>, especially at the beginning of a course of treatment, or at a time of dose changes, either increases or decreases.</w:t>
      </w:r>
    </w:p>
    <w:p w:rsidR="00D16D8A" w:rsidRDefault="00D16D8A" w:rsidP="00286A88">
      <w:pPr>
        <w:spacing w:after="0"/>
        <w:rPr>
          <w:rFonts w:ascii="Arial" w:hAnsi="Arial" w:cs="Arial"/>
          <w:sz w:val="24"/>
          <w:szCs w:val="24"/>
        </w:rPr>
      </w:pPr>
    </w:p>
    <w:p w:rsidR="00D16D8A" w:rsidRDefault="00D16D8A" w:rsidP="00286A88">
      <w:pPr>
        <w:spacing w:after="0"/>
        <w:rPr>
          <w:rFonts w:ascii="Arial" w:hAnsi="Arial" w:cs="Arial"/>
          <w:sz w:val="24"/>
          <w:szCs w:val="24"/>
        </w:rPr>
      </w:pPr>
      <w:r>
        <w:rPr>
          <w:rFonts w:ascii="Arial" w:hAnsi="Arial" w:cs="Arial"/>
          <w:sz w:val="24"/>
          <w:szCs w:val="24"/>
        </w:rPr>
        <w:t xml:space="preserve">Consideration should be given to changing the therapeutic regimen, including possibly discontinuing the </w:t>
      </w:r>
      <w:proofErr w:type="spellStart"/>
      <w:r>
        <w:rPr>
          <w:rFonts w:ascii="Arial" w:hAnsi="Arial" w:cs="Arial"/>
          <w:sz w:val="24"/>
          <w:szCs w:val="24"/>
        </w:rPr>
        <w:t>milnacipran</w:t>
      </w:r>
      <w:proofErr w:type="spellEnd"/>
      <w:r>
        <w:rPr>
          <w:rFonts w:ascii="Arial" w:hAnsi="Arial" w:cs="Arial"/>
          <w:sz w:val="24"/>
          <w:szCs w:val="24"/>
        </w:rPr>
        <w:t xml:space="preserve">, in patients whose depression is persistently worse or whose emergent </w:t>
      </w:r>
      <w:proofErr w:type="spellStart"/>
      <w:r>
        <w:rPr>
          <w:rFonts w:ascii="Arial" w:hAnsi="Arial" w:cs="Arial"/>
          <w:sz w:val="24"/>
          <w:szCs w:val="24"/>
        </w:rPr>
        <w:t>suicidality</w:t>
      </w:r>
      <w:proofErr w:type="spellEnd"/>
      <w:r>
        <w:rPr>
          <w:rFonts w:ascii="Arial" w:hAnsi="Arial" w:cs="Arial"/>
          <w:sz w:val="24"/>
          <w:szCs w:val="24"/>
        </w:rPr>
        <w:t xml:space="preserve"> is severe, abrupt in onset, or was not part of the patient’s presenting symptoms.  Patients (and caregivers of patients) should be alerted about the need to </w:t>
      </w:r>
      <w:r w:rsidR="00B32E15">
        <w:rPr>
          <w:rFonts w:ascii="Arial" w:hAnsi="Arial" w:cs="Arial"/>
          <w:sz w:val="24"/>
          <w:szCs w:val="24"/>
        </w:rPr>
        <w:t xml:space="preserve">monitor </w:t>
      </w:r>
      <w:r>
        <w:rPr>
          <w:rFonts w:ascii="Arial" w:hAnsi="Arial" w:cs="Arial"/>
          <w:sz w:val="24"/>
          <w:szCs w:val="24"/>
        </w:rPr>
        <w:t xml:space="preserve">for any worsening of their condition and/or the emergence of suicidal ideation/behaviour or thoughts of harming themselves and to seek medical advice immediately if these symptoms present.  Patients with co-morbid depression associated with other psychiatric disorders being treated with antidepressants should be similarly observed for clinical worsening and </w:t>
      </w:r>
      <w:proofErr w:type="spellStart"/>
      <w:r>
        <w:rPr>
          <w:rFonts w:ascii="Arial" w:hAnsi="Arial" w:cs="Arial"/>
          <w:sz w:val="24"/>
          <w:szCs w:val="24"/>
        </w:rPr>
        <w:t>suicidality</w:t>
      </w:r>
      <w:proofErr w:type="spellEnd"/>
      <w:r>
        <w:rPr>
          <w:rFonts w:ascii="Arial" w:hAnsi="Arial" w:cs="Arial"/>
          <w:sz w:val="24"/>
          <w:szCs w:val="24"/>
        </w:rPr>
        <w:t>.</w:t>
      </w:r>
    </w:p>
    <w:p w:rsidR="00D16D8A" w:rsidRDefault="00D16D8A" w:rsidP="00286A88">
      <w:pPr>
        <w:spacing w:after="0"/>
        <w:rPr>
          <w:rFonts w:ascii="Arial" w:hAnsi="Arial" w:cs="Arial"/>
          <w:sz w:val="24"/>
          <w:szCs w:val="24"/>
        </w:rPr>
      </w:pPr>
    </w:p>
    <w:p w:rsidR="00D16D8A" w:rsidRDefault="00D16D8A" w:rsidP="00286A88">
      <w:pPr>
        <w:spacing w:after="0"/>
        <w:rPr>
          <w:rFonts w:ascii="Arial" w:hAnsi="Arial" w:cs="Arial"/>
          <w:sz w:val="24"/>
          <w:szCs w:val="24"/>
        </w:rPr>
      </w:pPr>
      <w:r>
        <w:rPr>
          <w:rFonts w:ascii="Arial" w:hAnsi="Arial" w:cs="Arial"/>
          <w:sz w:val="24"/>
          <w:szCs w:val="24"/>
        </w:rPr>
        <w:t>Pooled analyses of 24 short-term (4 to 16 weeks), placebo-controlled trials of nine antidepressant medicines (SSRIs and others) in 4400 children and adolescents with major depressive disorder (16 trials), obsessive compulsive disorder (4 trials) or other psychiatric disorders (4 trials) have revealed a greater risk of adverse</w:t>
      </w:r>
      <w:r w:rsidR="00F770AA">
        <w:rPr>
          <w:rFonts w:ascii="Arial" w:hAnsi="Arial" w:cs="Arial"/>
          <w:sz w:val="24"/>
          <w:szCs w:val="24"/>
        </w:rPr>
        <w:t xml:space="preserve"> events representing suicidal behaviour or thinking (</w:t>
      </w:r>
      <w:proofErr w:type="spellStart"/>
      <w:r w:rsidR="00F770AA">
        <w:rPr>
          <w:rFonts w:ascii="Arial" w:hAnsi="Arial" w:cs="Arial"/>
          <w:sz w:val="24"/>
          <w:szCs w:val="24"/>
        </w:rPr>
        <w:t>suicidality</w:t>
      </w:r>
      <w:proofErr w:type="spellEnd"/>
      <w:r w:rsidR="00F770AA">
        <w:rPr>
          <w:rFonts w:ascii="Arial" w:hAnsi="Arial" w:cs="Arial"/>
          <w:sz w:val="24"/>
          <w:szCs w:val="24"/>
        </w:rPr>
        <w:t xml:space="preserve">) during the first few months of treatment in those receiving antidepressants.  The average risk of such events in patients treated with an antidepressant was 4% compared with 2% of patients given placebo.  There was considerable variation in risk among the antidepressants, but there was a </w:t>
      </w:r>
      <w:proofErr w:type="spellStart"/>
      <w:r w:rsidR="00F770AA">
        <w:rPr>
          <w:rFonts w:ascii="Arial" w:hAnsi="Arial" w:cs="Arial"/>
          <w:sz w:val="24"/>
          <w:szCs w:val="24"/>
        </w:rPr>
        <w:t>tendancy</w:t>
      </w:r>
      <w:proofErr w:type="spellEnd"/>
      <w:r w:rsidR="00F770AA">
        <w:rPr>
          <w:rFonts w:ascii="Arial" w:hAnsi="Arial" w:cs="Arial"/>
          <w:sz w:val="24"/>
          <w:szCs w:val="24"/>
        </w:rPr>
        <w:t xml:space="preserve"> towards and increase for almost all antidepressants studied.  The risk of </w:t>
      </w:r>
      <w:proofErr w:type="spellStart"/>
      <w:r w:rsidR="00F770AA">
        <w:rPr>
          <w:rFonts w:ascii="Arial" w:hAnsi="Arial" w:cs="Arial"/>
          <w:sz w:val="24"/>
          <w:szCs w:val="24"/>
        </w:rPr>
        <w:t>suicidality</w:t>
      </w:r>
      <w:proofErr w:type="spellEnd"/>
      <w:r w:rsidR="00F770AA">
        <w:rPr>
          <w:rFonts w:ascii="Arial" w:hAnsi="Arial" w:cs="Arial"/>
          <w:sz w:val="24"/>
          <w:szCs w:val="24"/>
        </w:rPr>
        <w:t xml:space="preserve"> was most consistently observed in the major depressive disorder trials, but there were signals of risk arising from trials in other psychiatric indications (obsessive compulsive disorder and social anxiety disorder) as well.  No suicides occurred in these trials.</w:t>
      </w:r>
    </w:p>
    <w:p w:rsidR="00371509" w:rsidRDefault="00371509" w:rsidP="00286A88">
      <w:pPr>
        <w:spacing w:after="0"/>
        <w:rPr>
          <w:rFonts w:ascii="Arial" w:hAnsi="Arial" w:cs="Arial"/>
          <w:sz w:val="24"/>
          <w:szCs w:val="24"/>
        </w:rPr>
      </w:pPr>
    </w:p>
    <w:p w:rsidR="00371509" w:rsidRDefault="00371509" w:rsidP="00286A88">
      <w:pPr>
        <w:spacing w:after="0"/>
        <w:rPr>
          <w:rFonts w:ascii="Arial" w:hAnsi="Arial" w:cs="Arial"/>
          <w:sz w:val="24"/>
          <w:szCs w:val="24"/>
        </w:rPr>
      </w:pPr>
      <w:r>
        <w:rPr>
          <w:rFonts w:ascii="Arial" w:hAnsi="Arial" w:cs="Arial"/>
          <w:sz w:val="24"/>
          <w:szCs w:val="24"/>
        </w:rPr>
        <w:t xml:space="preserve">It is unknown whether the </w:t>
      </w:r>
      <w:proofErr w:type="spellStart"/>
      <w:r>
        <w:rPr>
          <w:rFonts w:ascii="Arial" w:hAnsi="Arial" w:cs="Arial"/>
          <w:sz w:val="24"/>
          <w:szCs w:val="24"/>
        </w:rPr>
        <w:t>suicidality</w:t>
      </w:r>
      <w:proofErr w:type="spellEnd"/>
      <w:r>
        <w:rPr>
          <w:rFonts w:ascii="Arial" w:hAnsi="Arial" w:cs="Arial"/>
          <w:sz w:val="24"/>
          <w:szCs w:val="24"/>
        </w:rPr>
        <w:t xml:space="preserve"> risk in children and adolescent patients extends to use beyond several months.  The nine antidepressant medications in the pooled analyses included five SSRIs (</w:t>
      </w:r>
      <w:proofErr w:type="spellStart"/>
      <w:r>
        <w:rPr>
          <w:rFonts w:ascii="Arial" w:hAnsi="Arial" w:cs="Arial"/>
          <w:sz w:val="24"/>
          <w:szCs w:val="24"/>
        </w:rPr>
        <w:t>citalopram</w:t>
      </w:r>
      <w:proofErr w:type="spellEnd"/>
      <w:r>
        <w:rPr>
          <w:rFonts w:ascii="Arial" w:hAnsi="Arial" w:cs="Arial"/>
          <w:sz w:val="24"/>
          <w:szCs w:val="24"/>
        </w:rPr>
        <w:t xml:space="preserve">, </w:t>
      </w:r>
      <w:proofErr w:type="spellStart"/>
      <w:r>
        <w:rPr>
          <w:rFonts w:ascii="Arial" w:hAnsi="Arial" w:cs="Arial"/>
          <w:sz w:val="24"/>
          <w:szCs w:val="24"/>
        </w:rPr>
        <w:t>fluoxetine</w:t>
      </w:r>
      <w:proofErr w:type="spellEnd"/>
      <w:r>
        <w:rPr>
          <w:rFonts w:ascii="Arial" w:hAnsi="Arial" w:cs="Arial"/>
          <w:sz w:val="24"/>
          <w:szCs w:val="24"/>
        </w:rPr>
        <w:t xml:space="preserve">, </w:t>
      </w:r>
      <w:proofErr w:type="spellStart"/>
      <w:r>
        <w:rPr>
          <w:rFonts w:ascii="Arial" w:hAnsi="Arial" w:cs="Arial"/>
          <w:sz w:val="24"/>
          <w:szCs w:val="24"/>
        </w:rPr>
        <w:t>fluvoxamine</w:t>
      </w:r>
      <w:proofErr w:type="spellEnd"/>
      <w:r>
        <w:rPr>
          <w:rFonts w:ascii="Arial" w:hAnsi="Arial" w:cs="Arial"/>
          <w:sz w:val="24"/>
          <w:szCs w:val="24"/>
        </w:rPr>
        <w:t xml:space="preserve">, </w:t>
      </w:r>
      <w:proofErr w:type="spellStart"/>
      <w:r>
        <w:rPr>
          <w:rFonts w:ascii="Arial" w:hAnsi="Arial" w:cs="Arial"/>
          <w:sz w:val="24"/>
          <w:szCs w:val="24"/>
        </w:rPr>
        <w:t>paroxetine</w:t>
      </w:r>
      <w:proofErr w:type="spellEnd"/>
      <w:r>
        <w:rPr>
          <w:rFonts w:ascii="Arial" w:hAnsi="Arial" w:cs="Arial"/>
          <w:sz w:val="24"/>
          <w:szCs w:val="24"/>
        </w:rPr>
        <w:t xml:space="preserve">, </w:t>
      </w:r>
      <w:proofErr w:type="spellStart"/>
      <w:r>
        <w:rPr>
          <w:rFonts w:ascii="Arial" w:hAnsi="Arial" w:cs="Arial"/>
          <w:sz w:val="24"/>
          <w:szCs w:val="24"/>
        </w:rPr>
        <w:t>sertraline</w:t>
      </w:r>
      <w:proofErr w:type="spellEnd"/>
      <w:r>
        <w:rPr>
          <w:rFonts w:ascii="Arial" w:hAnsi="Arial" w:cs="Arial"/>
          <w:sz w:val="24"/>
          <w:szCs w:val="24"/>
        </w:rPr>
        <w:t>) and four non-SSRIs (</w:t>
      </w:r>
      <w:proofErr w:type="spellStart"/>
      <w:r>
        <w:rPr>
          <w:rFonts w:ascii="Arial" w:hAnsi="Arial" w:cs="Arial"/>
          <w:sz w:val="24"/>
          <w:szCs w:val="24"/>
        </w:rPr>
        <w:t>bupropion</w:t>
      </w:r>
      <w:proofErr w:type="spellEnd"/>
      <w:r>
        <w:rPr>
          <w:rFonts w:ascii="Arial" w:hAnsi="Arial" w:cs="Arial"/>
          <w:sz w:val="24"/>
          <w:szCs w:val="24"/>
        </w:rPr>
        <w:t xml:space="preserve">, </w:t>
      </w:r>
      <w:proofErr w:type="spellStart"/>
      <w:r>
        <w:rPr>
          <w:rFonts w:ascii="Arial" w:hAnsi="Arial" w:cs="Arial"/>
          <w:sz w:val="24"/>
          <w:szCs w:val="24"/>
        </w:rPr>
        <w:t>mirtazapine</w:t>
      </w:r>
      <w:proofErr w:type="spellEnd"/>
      <w:r>
        <w:rPr>
          <w:rFonts w:ascii="Arial" w:hAnsi="Arial" w:cs="Arial"/>
          <w:sz w:val="24"/>
          <w:szCs w:val="24"/>
        </w:rPr>
        <w:t xml:space="preserve">, </w:t>
      </w:r>
      <w:proofErr w:type="spellStart"/>
      <w:r>
        <w:rPr>
          <w:rFonts w:ascii="Arial" w:hAnsi="Arial" w:cs="Arial"/>
          <w:sz w:val="24"/>
          <w:szCs w:val="24"/>
        </w:rPr>
        <w:t>nefazodone</w:t>
      </w:r>
      <w:proofErr w:type="spellEnd"/>
      <w:r>
        <w:rPr>
          <w:rFonts w:ascii="Arial" w:hAnsi="Arial" w:cs="Arial"/>
          <w:sz w:val="24"/>
          <w:szCs w:val="24"/>
        </w:rPr>
        <w:t xml:space="preserve">, </w:t>
      </w:r>
      <w:proofErr w:type="spellStart"/>
      <w:r>
        <w:rPr>
          <w:rFonts w:ascii="Arial" w:hAnsi="Arial" w:cs="Arial"/>
          <w:sz w:val="24"/>
          <w:szCs w:val="24"/>
        </w:rPr>
        <w:t>venlafaxine</w:t>
      </w:r>
      <w:proofErr w:type="spellEnd"/>
      <w:r>
        <w:rPr>
          <w:rFonts w:ascii="Arial" w:hAnsi="Arial" w:cs="Arial"/>
          <w:sz w:val="24"/>
          <w:szCs w:val="24"/>
        </w:rPr>
        <w:t>)</w:t>
      </w:r>
      <w:r w:rsidR="00D27227">
        <w:rPr>
          <w:rFonts w:ascii="Arial" w:hAnsi="Arial" w:cs="Arial"/>
          <w:sz w:val="24"/>
          <w:szCs w:val="24"/>
        </w:rPr>
        <w:t>.</w:t>
      </w:r>
    </w:p>
    <w:p w:rsidR="00D27227" w:rsidRDefault="00D27227" w:rsidP="00286A88">
      <w:pPr>
        <w:spacing w:after="0"/>
        <w:rPr>
          <w:rFonts w:ascii="Arial" w:hAnsi="Arial" w:cs="Arial"/>
          <w:sz w:val="24"/>
          <w:szCs w:val="24"/>
        </w:rPr>
      </w:pPr>
    </w:p>
    <w:p w:rsidR="00D27227" w:rsidRDefault="00D27227" w:rsidP="00286A88">
      <w:pPr>
        <w:spacing w:after="0"/>
        <w:rPr>
          <w:rFonts w:ascii="Arial" w:hAnsi="Arial" w:cs="Arial"/>
          <w:sz w:val="24"/>
          <w:szCs w:val="24"/>
        </w:rPr>
      </w:pPr>
      <w:r>
        <w:rPr>
          <w:rFonts w:ascii="Arial" w:hAnsi="Arial" w:cs="Arial"/>
          <w:sz w:val="24"/>
          <w:szCs w:val="24"/>
        </w:rPr>
        <w:t xml:space="preserve">Symptoms of anxiety, agitation, panic attacks, insomnia, irritability, hostility (aggressiveness), impulsivity, </w:t>
      </w:r>
      <w:proofErr w:type="spellStart"/>
      <w:r>
        <w:rPr>
          <w:rFonts w:ascii="Arial" w:hAnsi="Arial" w:cs="Arial"/>
          <w:sz w:val="24"/>
          <w:szCs w:val="24"/>
        </w:rPr>
        <w:t>akathisia</w:t>
      </w:r>
      <w:proofErr w:type="spellEnd"/>
      <w:r>
        <w:rPr>
          <w:rFonts w:ascii="Arial" w:hAnsi="Arial" w:cs="Arial"/>
          <w:sz w:val="24"/>
          <w:szCs w:val="24"/>
        </w:rPr>
        <w:t xml:space="preserve"> (psychomotor restlessness), hypomania and mania have been reported in adults, adolescents and children being treated with antidepressants for major depressive disorder as well as for other indications, both psychiatric and </w:t>
      </w:r>
      <w:proofErr w:type="spellStart"/>
      <w:r>
        <w:rPr>
          <w:rFonts w:ascii="Arial" w:hAnsi="Arial" w:cs="Arial"/>
          <w:sz w:val="24"/>
          <w:szCs w:val="24"/>
        </w:rPr>
        <w:t>nonpsychiatric</w:t>
      </w:r>
      <w:proofErr w:type="spellEnd"/>
      <w:r>
        <w:rPr>
          <w:rFonts w:ascii="Arial" w:hAnsi="Arial" w:cs="Arial"/>
          <w:sz w:val="24"/>
          <w:szCs w:val="24"/>
        </w:rPr>
        <w:t xml:space="preserve">.  Although a causal link between the emergence of such symptoms and either worsening of depression and/or emergence of suicidal impulses has not been established, there is concern that such symptoms may be precursors of emerging </w:t>
      </w:r>
      <w:proofErr w:type="spellStart"/>
      <w:r>
        <w:rPr>
          <w:rFonts w:ascii="Arial" w:hAnsi="Arial" w:cs="Arial"/>
          <w:sz w:val="24"/>
          <w:szCs w:val="24"/>
        </w:rPr>
        <w:t>suicidality</w:t>
      </w:r>
      <w:proofErr w:type="spellEnd"/>
      <w:r>
        <w:rPr>
          <w:rFonts w:ascii="Arial" w:hAnsi="Arial" w:cs="Arial"/>
          <w:sz w:val="24"/>
          <w:szCs w:val="24"/>
        </w:rPr>
        <w:t>.</w:t>
      </w:r>
    </w:p>
    <w:p w:rsidR="00D27227" w:rsidRDefault="00D27227" w:rsidP="00286A88">
      <w:pPr>
        <w:spacing w:after="0"/>
        <w:rPr>
          <w:rFonts w:ascii="Arial" w:hAnsi="Arial" w:cs="Arial"/>
          <w:sz w:val="24"/>
          <w:szCs w:val="24"/>
        </w:rPr>
      </w:pPr>
    </w:p>
    <w:p w:rsidR="00D27227" w:rsidRDefault="00D27227" w:rsidP="00286A88">
      <w:pPr>
        <w:spacing w:after="0"/>
        <w:rPr>
          <w:rFonts w:ascii="Arial" w:hAnsi="Arial" w:cs="Arial"/>
          <w:sz w:val="24"/>
          <w:szCs w:val="24"/>
        </w:rPr>
      </w:pPr>
      <w:r>
        <w:rPr>
          <w:rFonts w:ascii="Arial" w:hAnsi="Arial" w:cs="Arial"/>
          <w:sz w:val="24"/>
          <w:szCs w:val="24"/>
        </w:rPr>
        <w:t xml:space="preserve">Families and caregivers of children and adolescents being treated with antidepressants for major depressive disorder of for any other condition (psychiatric or </w:t>
      </w:r>
      <w:proofErr w:type="spellStart"/>
      <w:r>
        <w:rPr>
          <w:rFonts w:ascii="Arial" w:hAnsi="Arial" w:cs="Arial"/>
          <w:sz w:val="24"/>
          <w:szCs w:val="24"/>
        </w:rPr>
        <w:t>nonpsychiatric</w:t>
      </w:r>
      <w:proofErr w:type="spellEnd"/>
      <w:r>
        <w:rPr>
          <w:rFonts w:ascii="Arial" w:hAnsi="Arial" w:cs="Arial"/>
          <w:sz w:val="24"/>
          <w:szCs w:val="24"/>
        </w:rPr>
        <w:t xml:space="preserve">) should be informed about the need to monitor these patients for the emergence of agitation, irritability, unusual changes in behaviour and other symptoms described above, as well as the emergence of </w:t>
      </w:r>
      <w:proofErr w:type="spellStart"/>
      <w:r>
        <w:rPr>
          <w:rFonts w:ascii="Arial" w:hAnsi="Arial" w:cs="Arial"/>
          <w:sz w:val="24"/>
          <w:szCs w:val="24"/>
        </w:rPr>
        <w:t>suicidality</w:t>
      </w:r>
      <w:proofErr w:type="spellEnd"/>
      <w:r>
        <w:rPr>
          <w:rFonts w:ascii="Arial" w:hAnsi="Arial" w:cs="Arial"/>
          <w:sz w:val="24"/>
          <w:szCs w:val="24"/>
        </w:rPr>
        <w:t>, and to report such symptoms immediately to healthcare providers.  It is particularly important that monitoring be undertaken during the initial few months of antidepressant treatment or at times of dose increase or decrease</w:t>
      </w:r>
      <w:r w:rsidR="00AA0D8F">
        <w:rPr>
          <w:rFonts w:ascii="Arial" w:hAnsi="Arial" w:cs="Arial"/>
          <w:sz w:val="24"/>
          <w:szCs w:val="24"/>
        </w:rPr>
        <w:t>.</w:t>
      </w:r>
    </w:p>
    <w:p w:rsidR="00AA0D8F" w:rsidRDefault="00AA0D8F" w:rsidP="00286A88">
      <w:pPr>
        <w:spacing w:after="0"/>
        <w:rPr>
          <w:rFonts w:ascii="Arial" w:hAnsi="Arial" w:cs="Arial"/>
          <w:sz w:val="24"/>
          <w:szCs w:val="24"/>
        </w:rPr>
      </w:pPr>
    </w:p>
    <w:p w:rsidR="00AA0D8F" w:rsidRDefault="00AA0D8F" w:rsidP="00286A88">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has not been studied in patients under the age of 18 and is not intended for use in this age group.  Although a causal role for </w:t>
      </w:r>
      <w:proofErr w:type="spellStart"/>
      <w:r>
        <w:rPr>
          <w:rFonts w:ascii="Arial" w:hAnsi="Arial" w:cs="Arial"/>
          <w:sz w:val="24"/>
          <w:szCs w:val="24"/>
        </w:rPr>
        <w:t>milnacipran</w:t>
      </w:r>
      <w:proofErr w:type="spellEnd"/>
      <w:r>
        <w:rPr>
          <w:rFonts w:ascii="Arial" w:hAnsi="Arial" w:cs="Arial"/>
          <w:sz w:val="24"/>
          <w:szCs w:val="24"/>
        </w:rPr>
        <w:t xml:space="preserve"> in inducing such events has not been established, some analyses from pooled studies of antidepressants in psychiatric disorders found an increased risk for suicidal ideation and/or suicidal behaviours in paediatric and young adult (&lt; 25 years of age) patients compared to placebo.  Physicians should encourage patients to report any distressing thoughts or feelings at any time.</w:t>
      </w:r>
    </w:p>
    <w:p w:rsidR="00FE6EB7" w:rsidRDefault="00FE6EB7" w:rsidP="00286A88">
      <w:pPr>
        <w:spacing w:after="0"/>
        <w:rPr>
          <w:rFonts w:ascii="Arial" w:hAnsi="Arial" w:cs="Arial"/>
          <w:sz w:val="24"/>
          <w:szCs w:val="24"/>
        </w:rPr>
      </w:pPr>
    </w:p>
    <w:p w:rsidR="00FE6EB7" w:rsidRPr="00FE6EB7" w:rsidRDefault="00FE6EB7" w:rsidP="00286A88">
      <w:pPr>
        <w:spacing w:after="0"/>
        <w:rPr>
          <w:rFonts w:ascii="Arial" w:hAnsi="Arial" w:cs="Arial"/>
          <w:b/>
          <w:sz w:val="24"/>
          <w:szCs w:val="24"/>
        </w:rPr>
      </w:pPr>
      <w:r w:rsidRPr="00FE6EB7">
        <w:rPr>
          <w:rFonts w:ascii="Arial" w:hAnsi="Arial" w:cs="Arial"/>
          <w:b/>
          <w:sz w:val="24"/>
          <w:szCs w:val="24"/>
        </w:rPr>
        <w:t>Activation of Mania/Hypomania</w:t>
      </w:r>
    </w:p>
    <w:p w:rsidR="00044DFA" w:rsidRPr="00A22C31" w:rsidRDefault="00FE6EB7" w:rsidP="00286A88">
      <w:pPr>
        <w:spacing w:after="0"/>
        <w:rPr>
          <w:rFonts w:ascii="Arial" w:hAnsi="Arial" w:cs="Arial"/>
          <w:sz w:val="24"/>
          <w:szCs w:val="24"/>
        </w:rPr>
      </w:pPr>
      <w:r w:rsidRPr="00A22C31">
        <w:rPr>
          <w:rFonts w:ascii="Arial" w:hAnsi="Arial" w:cs="Arial"/>
          <w:sz w:val="24"/>
          <w:szCs w:val="24"/>
        </w:rPr>
        <w:t>As with all antidepressants, switches to mania/hypomania have occurred.  Close supervision of patients with bipolar disorders is recommended.</w:t>
      </w:r>
    </w:p>
    <w:p w:rsidR="00FE6EB7" w:rsidRDefault="00FE6EB7" w:rsidP="00286A88">
      <w:pPr>
        <w:spacing w:after="0"/>
        <w:rPr>
          <w:rFonts w:ascii="Arial" w:hAnsi="Arial" w:cs="Arial"/>
          <w:sz w:val="24"/>
          <w:szCs w:val="24"/>
          <w:u w:val="single"/>
        </w:rPr>
      </w:pPr>
    </w:p>
    <w:p w:rsidR="002A6692" w:rsidRPr="00A22C31" w:rsidRDefault="002A6692" w:rsidP="00286A88">
      <w:pPr>
        <w:spacing w:after="0"/>
        <w:rPr>
          <w:rFonts w:ascii="Arial" w:hAnsi="Arial" w:cs="Arial"/>
          <w:b/>
          <w:sz w:val="24"/>
          <w:szCs w:val="24"/>
        </w:rPr>
      </w:pPr>
      <w:r w:rsidRPr="00A22C31">
        <w:rPr>
          <w:rFonts w:ascii="Arial" w:hAnsi="Arial" w:cs="Arial"/>
          <w:b/>
          <w:sz w:val="24"/>
          <w:szCs w:val="24"/>
        </w:rPr>
        <w:t>Seizure disorders</w:t>
      </w:r>
    </w:p>
    <w:p w:rsidR="002A6692" w:rsidRPr="00A22C31" w:rsidRDefault="002A6692" w:rsidP="00286A88">
      <w:pPr>
        <w:spacing w:after="0"/>
        <w:rPr>
          <w:rFonts w:ascii="Arial" w:hAnsi="Arial" w:cs="Arial"/>
          <w:sz w:val="24"/>
          <w:szCs w:val="24"/>
        </w:rPr>
      </w:pPr>
      <w:r w:rsidRPr="00A22C31">
        <w:rPr>
          <w:rFonts w:ascii="Arial" w:hAnsi="Arial" w:cs="Arial"/>
          <w:sz w:val="24"/>
          <w:szCs w:val="24"/>
        </w:rPr>
        <w:t>In clinical trials evaluating JONCIA</w:t>
      </w:r>
      <w:r w:rsidRPr="00A22C31">
        <w:rPr>
          <w:rFonts w:ascii="Arial" w:hAnsi="Arial" w:cs="Arial"/>
          <w:sz w:val="24"/>
          <w:szCs w:val="24"/>
          <w:vertAlign w:val="superscript"/>
        </w:rPr>
        <w:t>®</w:t>
      </w:r>
      <w:r w:rsidRPr="00A22C31">
        <w:rPr>
          <w:rFonts w:ascii="Arial" w:hAnsi="Arial" w:cs="Arial"/>
          <w:sz w:val="24"/>
          <w:szCs w:val="24"/>
        </w:rPr>
        <w:t xml:space="preserve"> in patients with fibromyalgia, seizures/convulsions have not been reported.  However, seizures have been reported infrequently in patients treated with JONCIA</w:t>
      </w:r>
      <w:r w:rsidRPr="00A22C31">
        <w:rPr>
          <w:rFonts w:ascii="Arial" w:hAnsi="Arial" w:cs="Arial"/>
          <w:sz w:val="24"/>
          <w:szCs w:val="24"/>
          <w:vertAlign w:val="superscript"/>
        </w:rPr>
        <w:t>®</w:t>
      </w:r>
      <w:r w:rsidRPr="00A22C31">
        <w:rPr>
          <w:rFonts w:ascii="Arial" w:hAnsi="Arial" w:cs="Arial"/>
          <w:sz w:val="24"/>
          <w:szCs w:val="24"/>
        </w:rPr>
        <w:t xml:space="preserve"> for disorders other than fibromyalgia.  JONCIA</w:t>
      </w:r>
      <w:r w:rsidRPr="00A22C31">
        <w:rPr>
          <w:rFonts w:ascii="Arial" w:hAnsi="Arial" w:cs="Arial"/>
          <w:sz w:val="24"/>
          <w:szCs w:val="24"/>
          <w:vertAlign w:val="superscript"/>
        </w:rPr>
        <w:t>®</w:t>
      </w:r>
      <w:r w:rsidRPr="00A22C31">
        <w:rPr>
          <w:rFonts w:ascii="Arial" w:hAnsi="Arial" w:cs="Arial"/>
          <w:sz w:val="24"/>
          <w:szCs w:val="24"/>
        </w:rPr>
        <w:t xml:space="preserve"> should be prescribed with care in patients with a history of a seizure disorder.</w:t>
      </w:r>
    </w:p>
    <w:p w:rsidR="002A6692" w:rsidRPr="00FE6EB7" w:rsidRDefault="002A6692" w:rsidP="00286A88">
      <w:pPr>
        <w:spacing w:after="0"/>
        <w:rPr>
          <w:rFonts w:ascii="Arial" w:hAnsi="Arial" w:cs="Arial"/>
          <w:sz w:val="24"/>
          <w:szCs w:val="24"/>
          <w:u w:val="single"/>
        </w:rPr>
      </w:pPr>
    </w:p>
    <w:p w:rsidR="00D25E10" w:rsidRDefault="00D25E10" w:rsidP="00D25E10">
      <w:pPr>
        <w:spacing w:after="0"/>
        <w:rPr>
          <w:rFonts w:ascii="Arial" w:hAnsi="Arial" w:cs="Arial"/>
          <w:b/>
          <w:sz w:val="24"/>
          <w:szCs w:val="24"/>
        </w:rPr>
      </w:pPr>
      <w:r>
        <w:rPr>
          <w:rFonts w:ascii="Arial" w:hAnsi="Arial" w:cs="Arial"/>
          <w:b/>
          <w:sz w:val="24"/>
          <w:szCs w:val="24"/>
        </w:rPr>
        <w:t>Hepatic disorders</w:t>
      </w:r>
    </w:p>
    <w:p w:rsidR="00D25E10" w:rsidRDefault="00D25E10" w:rsidP="00D25E10">
      <w:pPr>
        <w:autoSpaceDE w:val="0"/>
        <w:autoSpaceDN w:val="0"/>
        <w:adjustRightInd w:val="0"/>
        <w:rPr>
          <w:rFonts w:ascii="Arial" w:hAnsi="Arial" w:cs="Arial"/>
          <w:sz w:val="24"/>
          <w:szCs w:val="24"/>
        </w:rPr>
      </w:pPr>
      <w:r>
        <w:rPr>
          <w:rFonts w:ascii="Arial" w:hAnsi="Arial" w:cs="Arial"/>
          <w:sz w:val="24"/>
          <w:szCs w:val="24"/>
        </w:rPr>
        <w:t xml:space="preserve">In the placebo-controlled fibromyalgia trials, increases in the number of patients treated with </w:t>
      </w:r>
      <w:proofErr w:type="spellStart"/>
      <w:r>
        <w:rPr>
          <w:rFonts w:ascii="Arial" w:hAnsi="Arial" w:cs="Arial"/>
          <w:sz w:val="24"/>
          <w:szCs w:val="24"/>
        </w:rPr>
        <w:t>milnacipran</w:t>
      </w:r>
      <w:proofErr w:type="spellEnd"/>
      <w:r>
        <w:rPr>
          <w:rFonts w:ascii="Arial" w:hAnsi="Arial" w:cs="Arial"/>
          <w:sz w:val="24"/>
          <w:szCs w:val="24"/>
        </w:rPr>
        <w:t xml:space="preserve"> with mild elevations of ALT or AST (1-3 times the upper limit of normal, ULN) were observed. Increases in ALT were more frequently observed in the patients treated with </w:t>
      </w:r>
      <w:proofErr w:type="spellStart"/>
      <w:r>
        <w:rPr>
          <w:rFonts w:ascii="Arial" w:hAnsi="Arial" w:cs="Arial"/>
          <w:sz w:val="24"/>
          <w:szCs w:val="24"/>
        </w:rPr>
        <w:t>milnacipran</w:t>
      </w:r>
      <w:proofErr w:type="spellEnd"/>
      <w:r>
        <w:rPr>
          <w:rFonts w:ascii="Arial" w:hAnsi="Arial" w:cs="Arial"/>
          <w:sz w:val="24"/>
          <w:szCs w:val="24"/>
        </w:rPr>
        <w:t xml:space="preserve"> 100 mg/day (6%) and </w:t>
      </w:r>
      <w:proofErr w:type="spellStart"/>
      <w:r>
        <w:rPr>
          <w:rFonts w:ascii="Arial" w:hAnsi="Arial" w:cs="Arial"/>
          <w:sz w:val="24"/>
          <w:szCs w:val="24"/>
        </w:rPr>
        <w:t>milnacipran</w:t>
      </w:r>
      <w:proofErr w:type="spellEnd"/>
      <w:r>
        <w:rPr>
          <w:rFonts w:ascii="Arial" w:hAnsi="Arial" w:cs="Arial"/>
          <w:sz w:val="24"/>
          <w:szCs w:val="24"/>
        </w:rPr>
        <w:t xml:space="preserve"> 200 mg/day (7%), compared to the patients treated with placebo (3%). One patient receiving </w:t>
      </w:r>
      <w:proofErr w:type="spellStart"/>
      <w:r>
        <w:rPr>
          <w:rFonts w:ascii="Arial" w:hAnsi="Arial" w:cs="Arial"/>
          <w:sz w:val="24"/>
          <w:szCs w:val="24"/>
        </w:rPr>
        <w:t>milnacipran</w:t>
      </w:r>
      <w:proofErr w:type="spellEnd"/>
      <w:r>
        <w:rPr>
          <w:rFonts w:ascii="Arial" w:hAnsi="Arial" w:cs="Arial"/>
          <w:sz w:val="24"/>
          <w:szCs w:val="24"/>
        </w:rPr>
        <w:t xml:space="preserve"> 100 mg/day (0.2%) had an increase in ALT greater than 5 times the upper limit of normal but did not exceed 10 times the upper limit of normal. Increases in AST were more frequently observed in the patients treated with </w:t>
      </w:r>
      <w:proofErr w:type="spellStart"/>
      <w:r>
        <w:rPr>
          <w:rFonts w:ascii="Arial" w:hAnsi="Arial" w:cs="Arial"/>
          <w:sz w:val="24"/>
          <w:szCs w:val="24"/>
        </w:rPr>
        <w:t>milnacipran</w:t>
      </w:r>
      <w:proofErr w:type="spellEnd"/>
      <w:r>
        <w:rPr>
          <w:rFonts w:ascii="Arial" w:hAnsi="Arial" w:cs="Arial"/>
          <w:sz w:val="24"/>
          <w:szCs w:val="24"/>
        </w:rPr>
        <w:t xml:space="preserve"> 100 mg/day (3%) and </w:t>
      </w:r>
      <w:proofErr w:type="spellStart"/>
      <w:r>
        <w:rPr>
          <w:rFonts w:ascii="Arial" w:hAnsi="Arial" w:cs="Arial"/>
          <w:sz w:val="24"/>
          <w:szCs w:val="24"/>
        </w:rPr>
        <w:t>milnacipran</w:t>
      </w:r>
      <w:proofErr w:type="spellEnd"/>
      <w:r>
        <w:rPr>
          <w:rFonts w:ascii="Arial" w:hAnsi="Arial" w:cs="Arial"/>
          <w:sz w:val="24"/>
          <w:szCs w:val="24"/>
        </w:rPr>
        <w:t>, 200 mg/day (5%) compared to the patients treated with placebo (2%).</w:t>
      </w:r>
    </w:p>
    <w:p w:rsidR="00D25E10" w:rsidRDefault="00D25E10" w:rsidP="00D25E10">
      <w:pPr>
        <w:autoSpaceDE w:val="0"/>
        <w:autoSpaceDN w:val="0"/>
        <w:adjustRightInd w:val="0"/>
        <w:rPr>
          <w:rFonts w:ascii="Arial" w:hAnsi="Arial" w:cs="Arial"/>
          <w:sz w:val="24"/>
          <w:szCs w:val="24"/>
        </w:rPr>
      </w:pPr>
      <w:r>
        <w:rPr>
          <w:rFonts w:ascii="Arial" w:hAnsi="Arial" w:cs="Arial"/>
          <w:sz w:val="24"/>
          <w:szCs w:val="24"/>
        </w:rPr>
        <w:t xml:space="preserve">The increases of </w:t>
      </w:r>
      <w:proofErr w:type="spellStart"/>
      <w:r>
        <w:rPr>
          <w:rFonts w:ascii="Arial" w:hAnsi="Arial" w:cs="Arial"/>
          <w:sz w:val="24"/>
          <w:szCs w:val="24"/>
        </w:rPr>
        <w:t>bilirubin</w:t>
      </w:r>
      <w:proofErr w:type="spellEnd"/>
      <w:r>
        <w:rPr>
          <w:rFonts w:ascii="Arial" w:hAnsi="Arial" w:cs="Arial"/>
          <w:sz w:val="24"/>
          <w:szCs w:val="24"/>
        </w:rPr>
        <w:t xml:space="preserve"> observed in the fibromyalgia clinical trials were not clinically significant.</w:t>
      </w:r>
    </w:p>
    <w:p w:rsidR="00D25E10" w:rsidRDefault="00D25E10" w:rsidP="00D25E10">
      <w:pPr>
        <w:autoSpaceDE w:val="0"/>
        <w:autoSpaceDN w:val="0"/>
        <w:adjustRightInd w:val="0"/>
        <w:rPr>
          <w:rFonts w:ascii="Arial" w:hAnsi="Arial" w:cs="Arial"/>
          <w:sz w:val="24"/>
          <w:szCs w:val="24"/>
        </w:rPr>
      </w:pPr>
      <w:r>
        <w:rPr>
          <w:rFonts w:ascii="Arial" w:hAnsi="Arial" w:cs="Arial"/>
          <w:sz w:val="24"/>
          <w:szCs w:val="24"/>
        </w:rPr>
        <w:t xml:space="preserve">No case met the criteria of elevated ALT &gt; 3x ULN and associated with an increase in </w:t>
      </w:r>
      <w:proofErr w:type="spellStart"/>
      <w:r>
        <w:rPr>
          <w:rFonts w:ascii="Arial" w:hAnsi="Arial" w:cs="Arial"/>
          <w:sz w:val="24"/>
          <w:szCs w:val="24"/>
        </w:rPr>
        <w:t>bilirubin</w:t>
      </w:r>
      <w:proofErr w:type="spellEnd"/>
      <w:r>
        <w:rPr>
          <w:rFonts w:ascii="Arial" w:hAnsi="Arial" w:cs="Arial"/>
          <w:sz w:val="24"/>
          <w:szCs w:val="24"/>
        </w:rPr>
        <w:t xml:space="preserve"> ≥ 2x ULN.</w:t>
      </w:r>
    </w:p>
    <w:p w:rsidR="00D25E10" w:rsidRDefault="00D25E10" w:rsidP="00D25E10">
      <w:pPr>
        <w:autoSpaceDE w:val="0"/>
        <w:autoSpaceDN w:val="0"/>
        <w:adjustRightInd w:val="0"/>
        <w:rPr>
          <w:rFonts w:ascii="Arial" w:hAnsi="Arial" w:cs="Arial"/>
          <w:sz w:val="24"/>
          <w:szCs w:val="24"/>
        </w:rPr>
      </w:pPr>
      <w:r>
        <w:rPr>
          <w:rFonts w:ascii="Arial" w:hAnsi="Arial" w:cs="Arial"/>
          <w:sz w:val="24"/>
          <w:szCs w:val="24"/>
        </w:rPr>
        <w:t xml:space="preserve">There have been cases of increased liver enzymes and reports of severe liver injury, including </w:t>
      </w:r>
      <w:proofErr w:type="spellStart"/>
      <w:r>
        <w:rPr>
          <w:rFonts w:ascii="Arial" w:hAnsi="Arial" w:cs="Arial"/>
          <w:sz w:val="24"/>
          <w:szCs w:val="24"/>
        </w:rPr>
        <w:t>fulminant</w:t>
      </w:r>
      <w:proofErr w:type="spellEnd"/>
      <w:r>
        <w:rPr>
          <w:rFonts w:ascii="Arial" w:hAnsi="Arial" w:cs="Arial"/>
          <w:sz w:val="24"/>
          <w:szCs w:val="24"/>
        </w:rPr>
        <w:t xml:space="preserve"> hepatitis with </w:t>
      </w:r>
      <w:proofErr w:type="spellStart"/>
      <w:r>
        <w:rPr>
          <w:rFonts w:ascii="Arial" w:hAnsi="Arial" w:cs="Arial"/>
          <w:sz w:val="24"/>
          <w:szCs w:val="24"/>
        </w:rPr>
        <w:t>milnacipran</w:t>
      </w:r>
      <w:proofErr w:type="spellEnd"/>
      <w:r>
        <w:rPr>
          <w:rFonts w:ascii="Arial" w:hAnsi="Arial" w:cs="Arial"/>
          <w:sz w:val="24"/>
          <w:szCs w:val="24"/>
        </w:rPr>
        <w:t xml:space="preserve"> from </w:t>
      </w:r>
      <w:proofErr w:type="spellStart"/>
      <w:r>
        <w:rPr>
          <w:rFonts w:ascii="Arial" w:hAnsi="Arial" w:cs="Arial"/>
          <w:sz w:val="24"/>
          <w:szCs w:val="24"/>
        </w:rPr>
        <w:t>postmarketing</w:t>
      </w:r>
      <w:proofErr w:type="spellEnd"/>
      <w:r>
        <w:rPr>
          <w:rFonts w:ascii="Arial" w:hAnsi="Arial" w:cs="Arial"/>
          <w:sz w:val="24"/>
          <w:szCs w:val="24"/>
        </w:rPr>
        <w:t xml:space="preserve"> experience. In the cases of severe liver injury there were significant underlying clinical conditions and/or the use of multiple concomitant medications. Because of underreporting, it is impossible to provide an accurate estimate of the true incidence of these reactions. </w:t>
      </w:r>
      <w:proofErr w:type="spellStart"/>
      <w:r>
        <w:rPr>
          <w:rFonts w:ascii="Arial" w:hAnsi="Arial" w:cs="Arial"/>
          <w:sz w:val="24"/>
          <w:szCs w:val="24"/>
        </w:rPr>
        <w:t>milnacipran</w:t>
      </w:r>
      <w:proofErr w:type="spellEnd"/>
      <w:r>
        <w:rPr>
          <w:rFonts w:ascii="Arial" w:hAnsi="Arial" w:cs="Arial"/>
          <w:sz w:val="24"/>
          <w:szCs w:val="24"/>
        </w:rPr>
        <w:t xml:space="preserve"> should be discontinued in patients who develop jaundice or other evidence of liver dysfunction. Treatment with </w:t>
      </w:r>
      <w:proofErr w:type="spellStart"/>
      <w:r>
        <w:rPr>
          <w:rFonts w:ascii="Arial" w:hAnsi="Arial" w:cs="Arial"/>
          <w:sz w:val="24"/>
          <w:szCs w:val="24"/>
        </w:rPr>
        <w:t>milnacipran</w:t>
      </w:r>
      <w:proofErr w:type="spellEnd"/>
      <w:r>
        <w:rPr>
          <w:rFonts w:ascii="Arial" w:hAnsi="Arial" w:cs="Arial"/>
          <w:sz w:val="24"/>
          <w:szCs w:val="24"/>
        </w:rPr>
        <w:t xml:space="preserve"> should not be resumed unless another cause can be established.</w:t>
      </w:r>
    </w:p>
    <w:p w:rsidR="00D25E10" w:rsidRDefault="00D25E10" w:rsidP="009E2869">
      <w:pPr>
        <w:autoSpaceDE w:val="0"/>
        <w:autoSpaceDN w:val="0"/>
        <w:adjustRightInd w:val="0"/>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should ordinarily not be prescribed to patients with substantial alcohol use or evidence of chronic liver disease.</w:t>
      </w:r>
    </w:p>
    <w:p w:rsidR="006164A1" w:rsidRDefault="006164A1" w:rsidP="009E2869">
      <w:pPr>
        <w:autoSpaceDE w:val="0"/>
        <w:autoSpaceDN w:val="0"/>
        <w:adjustRightInd w:val="0"/>
        <w:spacing w:after="0"/>
        <w:rPr>
          <w:rFonts w:ascii="Arial" w:hAnsi="Arial" w:cs="Arial"/>
          <w:sz w:val="24"/>
          <w:szCs w:val="24"/>
        </w:rPr>
      </w:pPr>
    </w:p>
    <w:p w:rsidR="009E2869" w:rsidRPr="00111C21" w:rsidRDefault="00111C21" w:rsidP="009E2869">
      <w:pPr>
        <w:autoSpaceDE w:val="0"/>
        <w:autoSpaceDN w:val="0"/>
        <w:adjustRightInd w:val="0"/>
        <w:spacing w:after="0"/>
        <w:rPr>
          <w:rFonts w:ascii="Arial" w:hAnsi="Arial" w:cs="Arial"/>
          <w:b/>
          <w:sz w:val="24"/>
          <w:szCs w:val="24"/>
        </w:rPr>
      </w:pPr>
      <w:r w:rsidRPr="00111C21">
        <w:rPr>
          <w:rFonts w:ascii="Arial" w:hAnsi="Arial" w:cs="Arial"/>
          <w:b/>
          <w:sz w:val="24"/>
          <w:szCs w:val="24"/>
        </w:rPr>
        <w:t>Genitourinary  effects</w:t>
      </w:r>
    </w:p>
    <w:p w:rsidR="00111C21" w:rsidRDefault="00111C21" w:rsidP="009E2869">
      <w:pPr>
        <w:autoSpaceDE w:val="0"/>
        <w:autoSpaceDN w:val="0"/>
        <w:adjustRightInd w:val="0"/>
        <w:spacing w:after="0"/>
        <w:rPr>
          <w:rFonts w:ascii="Arial" w:hAnsi="Arial" w:cs="Arial"/>
          <w:sz w:val="24"/>
          <w:szCs w:val="24"/>
        </w:rPr>
      </w:pPr>
      <w:r>
        <w:rPr>
          <w:rFonts w:ascii="Arial" w:hAnsi="Arial" w:cs="Arial"/>
          <w:sz w:val="24"/>
          <w:szCs w:val="24"/>
        </w:rPr>
        <w:t>Because of their noradrenergic effect, SNRIs including JONCIA</w:t>
      </w:r>
      <w:r w:rsidR="00C07FB1" w:rsidRPr="00687352">
        <w:rPr>
          <w:rFonts w:ascii="Arial" w:hAnsi="Arial" w:cs="Arial"/>
          <w:sz w:val="24"/>
          <w:szCs w:val="24"/>
          <w:vertAlign w:val="superscript"/>
        </w:rPr>
        <w:t>®</w:t>
      </w:r>
      <w:r>
        <w:rPr>
          <w:rFonts w:ascii="Arial" w:hAnsi="Arial" w:cs="Arial"/>
          <w:sz w:val="24"/>
          <w:szCs w:val="24"/>
        </w:rPr>
        <w:t xml:space="preserve">, can affect urethral resistance and </w:t>
      </w:r>
      <w:proofErr w:type="spellStart"/>
      <w:r>
        <w:rPr>
          <w:rFonts w:ascii="Arial" w:hAnsi="Arial" w:cs="Arial"/>
          <w:sz w:val="24"/>
          <w:szCs w:val="24"/>
        </w:rPr>
        <w:t>micturition</w:t>
      </w:r>
      <w:proofErr w:type="spellEnd"/>
      <w:r>
        <w:rPr>
          <w:rFonts w:ascii="Arial" w:hAnsi="Arial" w:cs="Arial"/>
          <w:sz w:val="24"/>
          <w:szCs w:val="24"/>
        </w:rPr>
        <w:t xml:space="preserve">.  In the controlled fibromyalgia trials, </w:t>
      </w:r>
      <w:proofErr w:type="spellStart"/>
      <w:r>
        <w:rPr>
          <w:rFonts w:ascii="Arial" w:hAnsi="Arial" w:cs="Arial"/>
          <w:sz w:val="24"/>
          <w:szCs w:val="24"/>
        </w:rPr>
        <w:t>dysuria</w:t>
      </w:r>
      <w:proofErr w:type="spellEnd"/>
      <w:r>
        <w:rPr>
          <w:rFonts w:ascii="Arial" w:hAnsi="Arial" w:cs="Arial"/>
          <w:sz w:val="24"/>
          <w:szCs w:val="24"/>
        </w:rPr>
        <w:t xml:space="preserve"> occurred more frequently in patients treated with JONCIA</w:t>
      </w:r>
      <w:r w:rsidR="00C07FB1" w:rsidRPr="00687352">
        <w:rPr>
          <w:rFonts w:ascii="Arial" w:hAnsi="Arial" w:cs="Arial"/>
          <w:sz w:val="24"/>
          <w:szCs w:val="24"/>
          <w:vertAlign w:val="superscript"/>
        </w:rPr>
        <w:t>®</w:t>
      </w:r>
      <w:r>
        <w:rPr>
          <w:rFonts w:ascii="Arial" w:hAnsi="Arial" w:cs="Arial"/>
          <w:sz w:val="24"/>
          <w:szCs w:val="24"/>
        </w:rPr>
        <w:t xml:space="preserve"> (1%)</w:t>
      </w:r>
      <w:r w:rsidR="00E64595">
        <w:rPr>
          <w:rFonts w:ascii="Arial" w:hAnsi="Arial" w:cs="Arial"/>
          <w:sz w:val="24"/>
          <w:szCs w:val="24"/>
        </w:rPr>
        <w:t xml:space="preserve"> than in placebo-treated patients (0.5%).  Caution is advised in use of JONCIA</w:t>
      </w:r>
      <w:r w:rsidR="00C07FB1" w:rsidRPr="00687352">
        <w:rPr>
          <w:rFonts w:ascii="Arial" w:hAnsi="Arial" w:cs="Arial"/>
          <w:sz w:val="24"/>
          <w:szCs w:val="24"/>
          <w:vertAlign w:val="superscript"/>
        </w:rPr>
        <w:t>®</w:t>
      </w:r>
      <w:r w:rsidR="00E64595">
        <w:rPr>
          <w:rFonts w:ascii="Arial" w:hAnsi="Arial" w:cs="Arial"/>
          <w:sz w:val="24"/>
          <w:szCs w:val="24"/>
        </w:rPr>
        <w:t xml:space="preserve"> in patients with a history of </w:t>
      </w:r>
      <w:proofErr w:type="spellStart"/>
      <w:r w:rsidR="00E64595">
        <w:rPr>
          <w:rFonts w:ascii="Arial" w:hAnsi="Arial" w:cs="Arial"/>
          <w:sz w:val="24"/>
          <w:szCs w:val="24"/>
        </w:rPr>
        <w:t>dysuria</w:t>
      </w:r>
      <w:proofErr w:type="spellEnd"/>
      <w:r w:rsidR="00E64595">
        <w:rPr>
          <w:rFonts w:ascii="Arial" w:hAnsi="Arial" w:cs="Arial"/>
          <w:sz w:val="24"/>
          <w:szCs w:val="24"/>
        </w:rPr>
        <w:t xml:space="preserve">, notably in male patients with prostatic hypertrophy, </w:t>
      </w:r>
      <w:proofErr w:type="spellStart"/>
      <w:r w:rsidR="00E64595">
        <w:rPr>
          <w:rFonts w:ascii="Arial" w:hAnsi="Arial" w:cs="Arial"/>
          <w:sz w:val="24"/>
          <w:szCs w:val="24"/>
        </w:rPr>
        <w:t>prostatitis</w:t>
      </w:r>
      <w:proofErr w:type="spellEnd"/>
      <w:r w:rsidR="00E64595">
        <w:rPr>
          <w:rFonts w:ascii="Arial" w:hAnsi="Arial" w:cs="Arial"/>
          <w:sz w:val="24"/>
          <w:szCs w:val="24"/>
        </w:rPr>
        <w:t xml:space="preserve">, and other lower urinary tract obstructive disorders.  Male patients are more prone to genitourinary adverse effects, such as </w:t>
      </w:r>
      <w:proofErr w:type="spellStart"/>
      <w:r w:rsidR="00E64595">
        <w:rPr>
          <w:rFonts w:ascii="Arial" w:hAnsi="Arial" w:cs="Arial"/>
          <w:sz w:val="24"/>
          <w:szCs w:val="24"/>
        </w:rPr>
        <w:t>dysuria</w:t>
      </w:r>
      <w:proofErr w:type="spellEnd"/>
      <w:r w:rsidR="00E64595">
        <w:rPr>
          <w:rFonts w:ascii="Arial" w:hAnsi="Arial" w:cs="Arial"/>
          <w:sz w:val="24"/>
          <w:szCs w:val="24"/>
        </w:rPr>
        <w:t xml:space="preserve"> or urinary retention and may experience testicular pain or ejaculation disorders.</w:t>
      </w:r>
    </w:p>
    <w:p w:rsidR="00111C21" w:rsidRDefault="00111C21" w:rsidP="009E2869">
      <w:pPr>
        <w:autoSpaceDE w:val="0"/>
        <w:autoSpaceDN w:val="0"/>
        <w:adjustRightInd w:val="0"/>
        <w:spacing w:after="0"/>
        <w:rPr>
          <w:rFonts w:ascii="Arial" w:hAnsi="Arial" w:cs="Arial"/>
          <w:sz w:val="24"/>
          <w:szCs w:val="24"/>
        </w:rPr>
      </w:pPr>
    </w:p>
    <w:p w:rsidR="009751AC" w:rsidRPr="00ED788F" w:rsidRDefault="00AA0AC5" w:rsidP="009E2869">
      <w:pPr>
        <w:spacing w:after="0"/>
        <w:rPr>
          <w:rFonts w:ascii="Arial" w:hAnsi="Arial" w:cs="Arial"/>
          <w:b/>
          <w:sz w:val="24"/>
          <w:szCs w:val="24"/>
        </w:rPr>
      </w:pPr>
      <w:r w:rsidRPr="00ED788F">
        <w:rPr>
          <w:rFonts w:ascii="Arial" w:hAnsi="Arial" w:cs="Arial"/>
          <w:b/>
          <w:sz w:val="24"/>
          <w:szCs w:val="24"/>
        </w:rPr>
        <w:t>Discontinuation of treatment</w:t>
      </w:r>
    </w:p>
    <w:p w:rsidR="00ED788F" w:rsidRDefault="000166A9" w:rsidP="00286A88">
      <w:pPr>
        <w:spacing w:after="0"/>
        <w:rPr>
          <w:rFonts w:ascii="Arial" w:hAnsi="Arial" w:cs="Arial"/>
          <w:sz w:val="24"/>
          <w:szCs w:val="24"/>
        </w:rPr>
      </w:pPr>
      <w:r>
        <w:rPr>
          <w:rFonts w:ascii="Arial" w:hAnsi="Arial" w:cs="Arial"/>
          <w:sz w:val="24"/>
          <w:szCs w:val="24"/>
        </w:rPr>
        <w:t>The risk of w</w:t>
      </w:r>
      <w:r w:rsidR="00AA0AC5">
        <w:rPr>
          <w:rFonts w:ascii="Arial" w:hAnsi="Arial" w:cs="Arial"/>
          <w:sz w:val="24"/>
          <w:szCs w:val="24"/>
        </w:rPr>
        <w:t xml:space="preserve">ithdrawal </w:t>
      </w:r>
      <w:r>
        <w:rPr>
          <w:rFonts w:ascii="Arial" w:hAnsi="Arial" w:cs="Arial"/>
          <w:sz w:val="24"/>
          <w:szCs w:val="24"/>
        </w:rPr>
        <w:t>reactions</w:t>
      </w:r>
      <w:r w:rsidR="00AA0AC5">
        <w:rPr>
          <w:rFonts w:ascii="Arial" w:hAnsi="Arial" w:cs="Arial"/>
          <w:sz w:val="24"/>
          <w:szCs w:val="24"/>
        </w:rPr>
        <w:t xml:space="preserve"> when treatment with selective serotonin reuptake inhibitors (SSRIs) and serotonin-</w:t>
      </w:r>
      <w:proofErr w:type="spellStart"/>
      <w:r w:rsidR="00AA0AC5">
        <w:rPr>
          <w:rFonts w:ascii="Arial" w:hAnsi="Arial" w:cs="Arial"/>
          <w:sz w:val="24"/>
          <w:szCs w:val="24"/>
        </w:rPr>
        <w:t>noradrenaline</w:t>
      </w:r>
      <w:proofErr w:type="spellEnd"/>
      <w:r w:rsidR="00AA0AC5">
        <w:rPr>
          <w:rFonts w:ascii="Arial" w:hAnsi="Arial" w:cs="Arial"/>
          <w:sz w:val="24"/>
          <w:szCs w:val="24"/>
        </w:rPr>
        <w:t xml:space="preserve"> reuptake inhibitors (SNRIs) is discontinued </w:t>
      </w:r>
      <w:r>
        <w:rPr>
          <w:rFonts w:ascii="Arial" w:hAnsi="Arial" w:cs="Arial"/>
          <w:sz w:val="24"/>
          <w:szCs w:val="24"/>
        </w:rPr>
        <w:t>may be dependent on several factors including the duration and dose of therapy and the rate of dose reduction</w:t>
      </w:r>
      <w:r w:rsidR="0042664C">
        <w:rPr>
          <w:rFonts w:ascii="Arial" w:hAnsi="Arial" w:cs="Arial"/>
          <w:sz w:val="24"/>
          <w:szCs w:val="24"/>
        </w:rPr>
        <w:t>.</w:t>
      </w:r>
    </w:p>
    <w:p w:rsidR="0042664C" w:rsidRDefault="0042664C" w:rsidP="00286A88">
      <w:pPr>
        <w:spacing w:after="0"/>
        <w:rPr>
          <w:rFonts w:ascii="Arial" w:hAnsi="Arial" w:cs="Arial"/>
          <w:sz w:val="24"/>
          <w:szCs w:val="24"/>
        </w:rPr>
      </w:pPr>
    </w:p>
    <w:p w:rsidR="00ED788F" w:rsidRDefault="0042664C" w:rsidP="00286A88">
      <w:pPr>
        <w:spacing w:after="0"/>
        <w:rPr>
          <w:rFonts w:ascii="Arial" w:hAnsi="Arial" w:cs="Arial"/>
          <w:sz w:val="24"/>
          <w:szCs w:val="24"/>
        </w:rPr>
      </w:pPr>
      <w:r>
        <w:rPr>
          <w:rFonts w:ascii="Arial" w:hAnsi="Arial" w:cs="Arial"/>
          <w:sz w:val="24"/>
          <w:szCs w:val="24"/>
        </w:rPr>
        <w:t xml:space="preserve">Adverse events seen in clinical trials upon discontinuation of treatment with </w:t>
      </w:r>
      <w:proofErr w:type="spellStart"/>
      <w:r>
        <w:rPr>
          <w:rFonts w:ascii="Arial" w:hAnsi="Arial" w:cs="Arial"/>
          <w:sz w:val="24"/>
          <w:szCs w:val="24"/>
        </w:rPr>
        <w:t>milnacipran</w:t>
      </w:r>
      <w:proofErr w:type="spellEnd"/>
      <w:r>
        <w:rPr>
          <w:rFonts w:ascii="Arial" w:hAnsi="Arial" w:cs="Arial"/>
          <w:sz w:val="24"/>
          <w:szCs w:val="24"/>
        </w:rPr>
        <w:t xml:space="preserve"> (post-tapering), including potential withdrawal reactions were reported in 20% of patients treated with </w:t>
      </w:r>
      <w:proofErr w:type="spellStart"/>
      <w:r>
        <w:rPr>
          <w:rFonts w:ascii="Arial" w:hAnsi="Arial" w:cs="Arial"/>
          <w:sz w:val="24"/>
          <w:szCs w:val="24"/>
        </w:rPr>
        <w:t>milnacipran</w:t>
      </w:r>
      <w:proofErr w:type="spellEnd"/>
      <w:r w:rsidR="00273BD4">
        <w:rPr>
          <w:rFonts w:ascii="Arial" w:hAnsi="Arial" w:cs="Arial"/>
          <w:sz w:val="24"/>
          <w:szCs w:val="24"/>
        </w:rPr>
        <w:t xml:space="preserve"> and 17.5% of patients on placebo.  </w:t>
      </w:r>
      <w:r w:rsidR="00ED788F">
        <w:rPr>
          <w:rFonts w:ascii="Arial" w:hAnsi="Arial" w:cs="Arial"/>
          <w:sz w:val="24"/>
          <w:szCs w:val="24"/>
        </w:rPr>
        <w:t>The most commonly reported reactions are listed in the ADVERSE EFFECTS section.</w:t>
      </w:r>
      <w:r w:rsidR="002961D6">
        <w:rPr>
          <w:rFonts w:ascii="Arial" w:hAnsi="Arial" w:cs="Arial"/>
          <w:sz w:val="24"/>
          <w:szCs w:val="24"/>
        </w:rPr>
        <w:t xml:space="preserve">  Generally the symptoms are mild to moderate</w:t>
      </w:r>
      <w:r w:rsidR="00273BD4">
        <w:rPr>
          <w:rFonts w:ascii="Arial" w:hAnsi="Arial" w:cs="Arial"/>
          <w:sz w:val="24"/>
          <w:szCs w:val="24"/>
        </w:rPr>
        <w:t>, however, in some patients they may be severe in intensity</w:t>
      </w:r>
      <w:r w:rsidR="00092DF6">
        <w:rPr>
          <w:rFonts w:ascii="Arial" w:hAnsi="Arial" w:cs="Arial"/>
          <w:sz w:val="24"/>
          <w:szCs w:val="24"/>
        </w:rPr>
        <w:t>.</w:t>
      </w:r>
      <w:r w:rsidR="00273BD4">
        <w:rPr>
          <w:rFonts w:ascii="Arial" w:hAnsi="Arial" w:cs="Arial"/>
          <w:sz w:val="24"/>
          <w:szCs w:val="24"/>
        </w:rPr>
        <w:t xml:space="preserve">  They usually occur within the first few days of discontinuing treatment, but there have been very rare reports of such symptoms in patients who have inadvertently missed a dose.  Generally these symptoms are self-limiting and resolve within two weeks.  It is therefore </w:t>
      </w:r>
      <w:r w:rsidR="002961D6">
        <w:rPr>
          <w:rFonts w:ascii="Arial" w:hAnsi="Arial" w:cs="Arial"/>
          <w:sz w:val="24"/>
          <w:szCs w:val="24"/>
        </w:rPr>
        <w:t xml:space="preserve">advised that </w:t>
      </w:r>
      <w:r w:rsidR="00273BD4">
        <w:rPr>
          <w:rFonts w:ascii="Arial" w:hAnsi="Arial" w:cs="Arial"/>
          <w:sz w:val="24"/>
          <w:szCs w:val="24"/>
        </w:rPr>
        <w:t xml:space="preserve">the dose of </w:t>
      </w:r>
      <w:proofErr w:type="spellStart"/>
      <w:r w:rsidR="00273BD4">
        <w:rPr>
          <w:rFonts w:ascii="Arial" w:hAnsi="Arial" w:cs="Arial"/>
          <w:sz w:val="24"/>
          <w:szCs w:val="24"/>
        </w:rPr>
        <w:t>milnacipran</w:t>
      </w:r>
      <w:proofErr w:type="spellEnd"/>
      <w:r w:rsidR="002961D6">
        <w:rPr>
          <w:rFonts w:ascii="Arial" w:hAnsi="Arial" w:cs="Arial"/>
          <w:sz w:val="24"/>
          <w:szCs w:val="24"/>
        </w:rPr>
        <w:t xml:space="preserve"> </w:t>
      </w:r>
      <w:r w:rsidR="00273BD4">
        <w:rPr>
          <w:rFonts w:ascii="Arial" w:hAnsi="Arial" w:cs="Arial"/>
          <w:sz w:val="24"/>
          <w:szCs w:val="24"/>
        </w:rPr>
        <w:t>should be gradually tapered</w:t>
      </w:r>
      <w:r w:rsidR="002961D6">
        <w:rPr>
          <w:rFonts w:ascii="Arial" w:hAnsi="Arial" w:cs="Arial"/>
          <w:sz w:val="24"/>
          <w:szCs w:val="24"/>
        </w:rPr>
        <w:t xml:space="preserve"> </w:t>
      </w:r>
      <w:r w:rsidR="00273BD4">
        <w:rPr>
          <w:rFonts w:ascii="Arial" w:hAnsi="Arial" w:cs="Arial"/>
          <w:sz w:val="24"/>
          <w:szCs w:val="24"/>
        </w:rPr>
        <w:t>when discontinuing treatment</w:t>
      </w:r>
      <w:r w:rsidR="002961D6">
        <w:rPr>
          <w:rFonts w:ascii="Arial" w:hAnsi="Arial" w:cs="Arial"/>
          <w:sz w:val="24"/>
          <w:szCs w:val="24"/>
        </w:rPr>
        <w:t xml:space="preserve"> over a period of </w:t>
      </w:r>
      <w:r w:rsidR="00273BD4">
        <w:rPr>
          <w:rFonts w:ascii="Arial" w:hAnsi="Arial" w:cs="Arial"/>
          <w:sz w:val="24"/>
          <w:szCs w:val="24"/>
        </w:rPr>
        <w:t>no less than</w:t>
      </w:r>
      <w:r w:rsidR="002961D6">
        <w:rPr>
          <w:rFonts w:ascii="Arial" w:hAnsi="Arial" w:cs="Arial"/>
          <w:sz w:val="24"/>
          <w:szCs w:val="24"/>
        </w:rPr>
        <w:t xml:space="preserve"> two weeks </w:t>
      </w:r>
      <w:r w:rsidR="00273BD4">
        <w:rPr>
          <w:rFonts w:ascii="Arial" w:hAnsi="Arial" w:cs="Arial"/>
          <w:sz w:val="24"/>
          <w:szCs w:val="24"/>
        </w:rPr>
        <w:t>according to the patient’s needs</w:t>
      </w:r>
      <w:r w:rsidR="002961D6">
        <w:rPr>
          <w:rFonts w:ascii="Arial" w:hAnsi="Arial" w:cs="Arial"/>
          <w:sz w:val="24"/>
          <w:szCs w:val="24"/>
        </w:rPr>
        <w:t xml:space="preserve"> (see DOSAGE AND ADMINISTRATION).</w:t>
      </w:r>
    </w:p>
    <w:p w:rsidR="002C52E9" w:rsidRDefault="002C52E9" w:rsidP="00286A88">
      <w:pPr>
        <w:spacing w:after="0"/>
        <w:rPr>
          <w:rFonts w:ascii="Arial" w:hAnsi="Arial" w:cs="Arial"/>
          <w:sz w:val="24"/>
          <w:szCs w:val="24"/>
        </w:rPr>
      </w:pPr>
    </w:p>
    <w:p w:rsidR="002C52E9" w:rsidRPr="002C52E9" w:rsidRDefault="002C52E9" w:rsidP="00286A88">
      <w:pPr>
        <w:spacing w:after="0"/>
        <w:rPr>
          <w:rFonts w:ascii="Arial" w:hAnsi="Arial" w:cs="Arial"/>
          <w:b/>
          <w:sz w:val="24"/>
          <w:szCs w:val="24"/>
        </w:rPr>
      </w:pPr>
      <w:proofErr w:type="spellStart"/>
      <w:r w:rsidRPr="002C52E9">
        <w:rPr>
          <w:rFonts w:ascii="Arial" w:hAnsi="Arial" w:cs="Arial"/>
          <w:b/>
          <w:sz w:val="24"/>
          <w:szCs w:val="24"/>
        </w:rPr>
        <w:t>Genotoxicity</w:t>
      </w:r>
      <w:proofErr w:type="spellEnd"/>
    </w:p>
    <w:p w:rsidR="002C52E9" w:rsidRDefault="002C52E9" w:rsidP="00286A88">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has not demonstrated </w:t>
      </w:r>
      <w:proofErr w:type="spellStart"/>
      <w:r>
        <w:rPr>
          <w:rFonts w:ascii="Arial" w:hAnsi="Arial" w:cs="Arial"/>
          <w:sz w:val="24"/>
          <w:szCs w:val="24"/>
        </w:rPr>
        <w:t>genotoxic</w:t>
      </w:r>
      <w:proofErr w:type="spellEnd"/>
      <w:r>
        <w:rPr>
          <w:rFonts w:ascii="Arial" w:hAnsi="Arial" w:cs="Arial"/>
          <w:sz w:val="24"/>
          <w:szCs w:val="24"/>
        </w:rPr>
        <w:t xml:space="preserve"> potential in standard </w:t>
      </w:r>
      <w:r w:rsidRPr="002C52E9">
        <w:rPr>
          <w:rFonts w:ascii="Arial" w:hAnsi="Arial" w:cs="Arial"/>
          <w:i/>
          <w:sz w:val="24"/>
          <w:szCs w:val="24"/>
        </w:rPr>
        <w:t>in vitro</w:t>
      </w:r>
      <w:r>
        <w:rPr>
          <w:rFonts w:ascii="Arial" w:hAnsi="Arial" w:cs="Arial"/>
          <w:sz w:val="24"/>
          <w:szCs w:val="24"/>
        </w:rPr>
        <w:t xml:space="preserve"> and </w:t>
      </w:r>
      <w:r w:rsidRPr="002C52E9">
        <w:rPr>
          <w:rFonts w:ascii="Arial" w:hAnsi="Arial" w:cs="Arial"/>
          <w:i/>
          <w:sz w:val="24"/>
          <w:szCs w:val="24"/>
        </w:rPr>
        <w:t>in vivo</w:t>
      </w:r>
      <w:r>
        <w:rPr>
          <w:rFonts w:ascii="Arial" w:hAnsi="Arial" w:cs="Arial"/>
          <w:sz w:val="24"/>
          <w:szCs w:val="24"/>
        </w:rPr>
        <w:t xml:space="preserve"> tests</w:t>
      </w:r>
      <w:r w:rsidR="00331066">
        <w:rPr>
          <w:rFonts w:ascii="Arial" w:hAnsi="Arial" w:cs="Arial"/>
          <w:sz w:val="24"/>
          <w:szCs w:val="24"/>
        </w:rPr>
        <w:t>, including bacterial and mammalian mutation assays, chromosomal aberration assays in Chinese hamster lung cells and human lymphocytes, and the mouse micronucleus test.</w:t>
      </w:r>
    </w:p>
    <w:p w:rsidR="002C52E9" w:rsidRDefault="002C52E9" w:rsidP="00286A88">
      <w:pPr>
        <w:spacing w:after="0"/>
        <w:rPr>
          <w:rFonts w:ascii="Arial" w:hAnsi="Arial" w:cs="Arial"/>
          <w:sz w:val="24"/>
          <w:szCs w:val="24"/>
        </w:rPr>
      </w:pPr>
    </w:p>
    <w:p w:rsidR="002C52E9" w:rsidRPr="002C52E9" w:rsidRDefault="002C52E9" w:rsidP="00286A88">
      <w:pPr>
        <w:spacing w:after="0"/>
        <w:rPr>
          <w:rFonts w:ascii="Arial" w:hAnsi="Arial" w:cs="Arial"/>
          <w:b/>
          <w:sz w:val="24"/>
          <w:szCs w:val="24"/>
        </w:rPr>
      </w:pPr>
      <w:r w:rsidRPr="002C52E9">
        <w:rPr>
          <w:rFonts w:ascii="Arial" w:hAnsi="Arial" w:cs="Arial"/>
          <w:b/>
          <w:sz w:val="24"/>
          <w:szCs w:val="24"/>
        </w:rPr>
        <w:t>Carcinogenicity</w:t>
      </w:r>
    </w:p>
    <w:p w:rsidR="008A0DE3" w:rsidRDefault="005B5EDA" w:rsidP="00286A88">
      <w:pPr>
        <w:spacing w:after="0"/>
        <w:rPr>
          <w:rFonts w:ascii="Arial" w:hAnsi="Arial" w:cs="Arial"/>
          <w:sz w:val="24"/>
          <w:szCs w:val="24"/>
        </w:rPr>
      </w:pPr>
      <w:r>
        <w:rPr>
          <w:rFonts w:ascii="Arial" w:hAnsi="Arial" w:cs="Arial"/>
          <w:sz w:val="24"/>
          <w:szCs w:val="24"/>
        </w:rPr>
        <w:t>Carcinogenicity studies were conducted via dietary administration in mice (up to 100 mg/kg/day) and in rats (up to 50 mg/kg/day).  Although there was no evidence of a treatment-related increase in tumours in either study, the highest dose in the mouse study was not considered to be the maximum tolerated dose and a supplementary 26-week oral study in TG.rasH2 transgenic mice was undertaken (up to 125 mg/kg/day).  This study also produced no evidence of an increase in treatment-related tumours, with exposure (plasma AUC) up to 7.5 times the clinical exposure at the MRHD.  Exposure was not measured in the rat study, but the high dose was twice the MRHD, based on mg/m</w:t>
      </w:r>
      <w:r w:rsidRPr="005B5EDA">
        <w:rPr>
          <w:rFonts w:ascii="Arial" w:hAnsi="Arial" w:cs="Arial"/>
          <w:sz w:val="24"/>
          <w:szCs w:val="24"/>
          <w:vertAlign w:val="superscript"/>
        </w:rPr>
        <w:t>2</w:t>
      </w:r>
      <w:r>
        <w:rPr>
          <w:rFonts w:ascii="Arial" w:hAnsi="Arial" w:cs="Arial"/>
          <w:sz w:val="24"/>
          <w:szCs w:val="24"/>
        </w:rPr>
        <w:t>.</w:t>
      </w:r>
    </w:p>
    <w:p w:rsidR="005B5EDA" w:rsidRDefault="005B5EDA" w:rsidP="00286A88">
      <w:pPr>
        <w:spacing w:after="0"/>
        <w:rPr>
          <w:rFonts w:ascii="Arial" w:hAnsi="Arial" w:cs="Arial"/>
          <w:sz w:val="24"/>
          <w:szCs w:val="24"/>
        </w:rPr>
      </w:pPr>
    </w:p>
    <w:p w:rsidR="00E35101" w:rsidRPr="00E35101" w:rsidRDefault="00E35101" w:rsidP="00286A88">
      <w:pPr>
        <w:spacing w:after="0"/>
        <w:rPr>
          <w:rFonts w:ascii="Arial" w:hAnsi="Arial" w:cs="Arial"/>
          <w:b/>
          <w:sz w:val="24"/>
          <w:szCs w:val="24"/>
        </w:rPr>
      </w:pPr>
      <w:r w:rsidRPr="00E35101">
        <w:rPr>
          <w:rFonts w:ascii="Arial" w:hAnsi="Arial" w:cs="Arial"/>
          <w:b/>
          <w:sz w:val="24"/>
          <w:szCs w:val="24"/>
        </w:rPr>
        <w:t>Effects on fertility</w:t>
      </w:r>
    </w:p>
    <w:p w:rsidR="00E35101" w:rsidRDefault="00F17B47" w:rsidP="00286A88">
      <w:pPr>
        <w:spacing w:after="0"/>
        <w:rPr>
          <w:rFonts w:ascii="Arial" w:hAnsi="Arial" w:cs="Arial"/>
          <w:sz w:val="24"/>
          <w:szCs w:val="24"/>
        </w:rPr>
      </w:pPr>
      <w:r>
        <w:rPr>
          <w:rFonts w:ascii="Arial" w:hAnsi="Arial" w:cs="Arial"/>
          <w:sz w:val="24"/>
          <w:szCs w:val="24"/>
        </w:rPr>
        <w:t xml:space="preserve">There were no adverse effects on the fertility of rats treated orally with </w:t>
      </w:r>
      <w:proofErr w:type="spellStart"/>
      <w:r>
        <w:rPr>
          <w:rFonts w:ascii="Arial" w:hAnsi="Arial" w:cs="Arial"/>
          <w:sz w:val="24"/>
          <w:szCs w:val="24"/>
        </w:rPr>
        <w:t>milnacipran</w:t>
      </w:r>
      <w:proofErr w:type="spellEnd"/>
      <w:r>
        <w:rPr>
          <w:rFonts w:ascii="Arial" w:hAnsi="Arial" w:cs="Arial"/>
          <w:sz w:val="24"/>
          <w:szCs w:val="24"/>
        </w:rPr>
        <w:t xml:space="preserve"> at dose levels up to 80 mg/kg/day (about 4-fold the MRHD, based on mg/m</w:t>
      </w:r>
      <w:r w:rsidRPr="00F17B47">
        <w:rPr>
          <w:rFonts w:ascii="Arial" w:hAnsi="Arial" w:cs="Arial"/>
          <w:sz w:val="24"/>
          <w:szCs w:val="24"/>
          <w:vertAlign w:val="superscript"/>
        </w:rPr>
        <w:t>2</w:t>
      </w:r>
      <w:r>
        <w:rPr>
          <w:rFonts w:ascii="Arial" w:hAnsi="Arial" w:cs="Arial"/>
          <w:sz w:val="24"/>
          <w:szCs w:val="24"/>
        </w:rPr>
        <w:t>).</w:t>
      </w:r>
    </w:p>
    <w:p w:rsidR="00EB317B" w:rsidRDefault="00EB317B" w:rsidP="00286A88">
      <w:pPr>
        <w:spacing w:after="0"/>
        <w:rPr>
          <w:rFonts w:ascii="Arial" w:hAnsi="Arial" w:cs="Arial"/>
          <w:sz w:val="24"/>
          <w:szCs w:val="24"/>
        </w:rPr>
      </w:pPr>
    </w:p>
    <w:p w:rsidR="00E35101" w:rsidRDefault="00E35101" w:rsidP="00286A88">
      <w:pPr>
        <w:spacing w:after="0"/>
        <w:rPr>
          <w:rFonts w:ascii="Arial" w:hAnsi="Arial" w:cs="Arial"/>
          <w:b/>
          <w:sz w:val="24"/>
          <w:szCs w:val="24"/>
        </w:rPr>
      </w:pPr>
      <w:r w:rsidRPr="00E35101">
        <w:rPr>
          <w:rFonts w:ascii="Arial" w:hAnsi="Arial" w:cs="Arial"/>
          <w:b/>
          <w:sz w:val="24"/>
          <w:szCs w:val="24"/>
        </w:rPr>
        <w:t>Use in pregnancy</w:t>
      </w:r>
    </w:p>
    <w:p w:rsidR="00F37587" w:rsidRPr="00F37587" w:rsidRDefault="00F37587" w:rsidP="00286A88">
      <w:pPr>
        <w:spacing w:after="0"/>
        <w:rPr>
          <w:rFonts w:ascii="Arial" w:hAnsi="Arial" w:cs="Arial"/>
          <w:sz w:val="24"/>
          <w:szCs w:val="24"/>
        </w:rPr>
      </w:pPr>
      <w:r w:rsidRPr="00F37587">
        <w:rPr>
          <w:rFonts w:ascii="Arial" w:hAnsi="Arial" w:cs="Arial"/>
          <w:sz w:val="24"/>
          <w:szCs w:val="24"/>
        </w:rPr>
        <w:t>Category B3</w:t>
      </w:r>
    </w:p>
    <w:p w:rsidR="00F37587" w:rsidRDefault="00F37587" w:rsidP="00286A88">
      <w:pPr>
        <w:spacing w:after="0"/>
        <w:rPr>
          <w:rFonts w:ascii="Arial" w:hAnsi="Arial" w:cs="Arial"/>
          <w:b/>
          <w:sz w:val="24"/>
          <w:szCs w:val="24"/>
        </w:rPr>
      </w:pPr>
    </w:p>
    <w:p w:rsidR="00F9650F" w:rsidRDefault="00EB317B" w:rsidP="00EB317B">
      <w:pPr>
        <w:spacing w:after="0"/>
        <w:rPr>
          <w:rFonts w:ascii="Arial" w:hAnsi="Arial" w:cs="Arial"/>
          <w:sz w:val="24"/>
          <w:szCs w:val="24"/>
        </w:rPr>
      </w:pPr>
      <w:proofErr w:type="spellStart"/>
      <w:r>
        <w:rPr>
          <w:rFonts w:ascii="Arial" w:hAnsi="Arial" w:cs="Arial"/>
          <w:sz w:val="24"/>
          <w:szCs w:val="24"/>
        </w:rPr>
        <w:t>Joncia</w:t>
      </w:r>
      <w:proofErr w:type="spellEnd"/>
      <w:r w:rsidRPr="00EB317B">
        <w:rPr>
          <w:rFonts w:ascii="Arial" w:hAnsi="Arial" w:cs="Arial"/>
          <w:sz w:val="24"/>
          <w:szCs w:val="24"/>
          <w:vertAlign w:val="superscript"/>
        </w:rPr>
        <w:t>®</w:t>
      </w:r>
      <w:r w:rsidR="008A0DE3">
        <w:rPr>
          <w:rFonts w:ascii="Arial" w:hAnsi="Arial" w:cs="Arial"/>
          <w:sz w:val="24"/>
          <w:szCs w:val="24"/>
        </w:rPr>
        <w:t xml:space="preserve"> </w:t>
      </w:r>
      <w:r w:rsidR="00F37587" w:rsidRPr="00F37587">
        <w:rPr>
          <w:rFonts w:ascii="Arial" w:hAnsi="Arial" w:cs="Arial"/>
          <w:sz w:val="24"/>
          <w:szCs w:val="24"/>
        </w:rPr>
        <w:t>has not been studied in pregnant women.</w:t>
      </w:r>
      <w:r w:rsidR="00F37587">
        <w:rPr>
          <w:rFonts w:ascii="Arial" w:hAnsi="Arial" w:cs="Arial"/>
          <w:sz w:val="24"/>
          <w:szCs w:val="24"/>
        </w:rPr>
        <w:t xml:space="preserve">  </w:t>
      </w:r>
      <w:r>
        <w:rPr>
          <w:rFonts w:ascii="Arial" w:hAnsi="Arial" w:cs="Arial"/>
          <w:sz w:val="24"/>
          <w:szCs w:val="24"/>
        </w:rPr>
        <w:t xml:space="preserve">There was no evidence of </w:t>
      </w:r>
      <w:proofErr w:type="spellStart"/>
      <w:r>
        <w:rPr>
          <w:rFonts w:ascii="Arial" w:hAnsi="Arial" w:cs="Arial"/>
          <w:sz w:val="24"/>
          <w:szCs w:val="24"/>
        </w:rPr>
        <w:t>teratogenicity</w:t>
      </w:r>
      <w:proofErr w:type="spellEnd"/>
      <w:r>
        <w:rPr>
          <w:rFonts w:ascii="Arial" w:hAnsi="Arial" w:cs="Arial"/>
          <w:sz w:val="24"/>
          <w:szCs w:val="24"/>
        </w:rPr>
        <w:t xml:space="preserve"> in mice or rabbits treated with </w:t>
      </w:r>
      <w:proofErr w:type="spellStart"/>
      <w:r>
        <w:rPr>
          <w:rFonts w:ascii="Arial" w:hAnsi="Arial" w:cs="Arial"/>
          <w:sz w:val="24"/>
          <w:szCs w:val="24"/>
        </w:rPr>
        <w:t>milnacipran</w:t>
      </w:r>
      <w:proofErr w:type="spellEnd"/>
      <w:r>
        <w:rPr>
          <w:rFonts w:ascii="Arial" w:hAnsi="Arial" w:cs="Arial"/>
          <w:sz w:val="24"/>
          <w:szCs w:val="24"/>
        </w:rPr>
        <w:t xml:space="preserve"> during the period of organogenesis at respective oral doses up to 125 and 60 mg/kg/day (respective exposures 7 and 2 times the clinical exposure at the MRHD, based on AUC).</w:t>
      </w:r>
    </w:p>
    <w:p w:rsidR="00F9650F" w:rsidRDefault="00F9650F" w:rsidP="00286A88">
      <w:pPr>
        <w:spacing w:after="0"/>
        <w:rPr>
          <w:rFonts w:ascii="Arial" w:hAnsi="Arial" w:cs="Arial"/>
          <w:sz w:val="24"/>
          <w:szCs w:val="24"/>
        </w:rPr>
      </w:pPr>
    </w:p>
    <w:p w:rsidR="00E77886" w:rsidRDefault="00F37587" w:rsidP="00286A88">
      <w:pPr>
        <w:spacing w:after="0"/>
        <w:rPr>
          <w:rFonts w:ascii="Arial" w:hAnsi="Arial" w:cs="Arial"/>
          <w:sz w:val="24"/>
          <w:szCs w:val="24"/>
        </w:rPr>
      </w:pPr>
      <w:r>
        <w:rPr>
          <w:rFonts w:ascii="Arial" w:hAnsi="Arial" w:cs="Arial"/>
          <w:sz w:val="24"/>
          <w:szCs w:val="24"/>
        </w:rPr>
        <w:t>Neonatal risk after pregnancy exposure with serotonin re-uptake inhibitors have been reported and may be related to either withdrawal syndrome or serotonin toxicity</w:t>
      </w:r>
      <w:r w:rsidR="00E77886">
        <w:rPr>
          <w:rFonts w:ascii="Arial" w:hAnsi="Arial" w:cs="Arial"/>
          <w:sz w:val="24"/>
          <w:szCs w:val="24"/>
        </w:rPr>
        <w:t xml:space="preserve">: </w:t>
      </w:r>
      <w:proofErr w:type="spellStart"/>
      <w:r w:rsidR="00E77886">
        <w:rPr>
          <w:rFonts w:ascii="Arial" w:hAnsi="Arial" w:cs="Arial"/>
          <w:sz w:val="24"/>
          <w:szCs w:val="24"/>
        </w:rPr>
        <w:t>tachypnea</w:t>
      </w:r>
      <w:proofErr w:type="spellEnd"/>
      <w:r w:rsidR="00E77886">
        <w:rPr>
          <w:rFonts w:ascii="Arial" w:hAnsi="Arial" w:cs="Arial"/>
          <w:sz w:val="24"/>
          <w:szCs w:val="24"/>
        </w:rPr>
        <w:t xml:space="preserve">, feeding difficulties, tremors, </w:t>
      </w:r>
      <w:proofErr w:type="spellStart"/>
      <w:r w:rsidR="00E77886">
        <w:rPr>
          <w:rFonts w:ascii="Arial" w:hAnsi="Arial" w:cs="Arial"/>
          <w:sz w:val="24"/>
          <w:szCs w:val="24"/>
        </w:rPr>
        <w:t>hypertonicity</w:t>
      </w:r>
      <w:proofErr w:type="spellEnd"/>
      <w:r w:rsidR="00E77886">
        <w:rPr>
          <w:rFonts w:ascii="Arial" w:hAnsi="Arial" w:cs="Arial"/>
          <w:sz w:val="24"/>
          <w:szCs w:val="24"/>
        </w:rPr>
        <w:t xml:space="preserve"> or </w:t>
      </w:r>
      <w:proofErr w:type="spellStart"/>
      <w:r w:rsidR="00E77886">
        <w:rPr>
          <w:rFonts w:ascii="Arial" w:hAnsi="Arial" w:cs="Arial"/>
          <w:sz w:val="24"/>
          <w:szCs w:val="24"/>
        </w:rPr>
        <w:t>hypotonia</w:t>
      </w:r>
      <w:proofErr w:type="spellEnd"/>
      <w:r w:rsidR="00E77886">
        <w:rPr>
          <w:rFonts w:ascii="Arial" w:hAnsi="Arial" w:cs="Arial"/>
          <w:sz w:val="24"/>
          <w:szCs w:val="24"/>
        </w:rPr>
        <w:t xml:space="preserve">, sleeping disorders, </w:t>
      </w:r>
      <w:proofErr w:type="spellStart"/>
      <w:r w:rsidR="00E77886">
        <w:rPr>
          <w:rFonts w:ascii="Arial" w:hAnsi="Arial" w:cs="Arial"/>
          <w:sz w:val="24"/>
          <w:szCs w:val="24"/>
        </w:rPr>
        <w:t>hyperexcitability</w:t>
      </w:r>
      <w:proofErr w:type="spellEnd"/>
      <w:r w:rsidR="00E77886">
        <w:rPr>
          <w:rFonts w:ascii="Arial" w:hAnsi="Arial" w:cs="Arial"/>
          <w:sz w:val="24"/>
          <w:szCs w:val="24"/>
        </w:rPr>
        <w:t xml:space="preserve"> or more rarely long</w:t>
      </w:r>
      <w:r w:rsidR="00695D5E">
        <w:rPr>
          <w:rFonts w:ascii="Arial" w:hAnsi="Arial" w:cs="Arial"/>
          <w:sz w:val="24"/>
          <w:szCs w:val="24"/>
        </w:rPr>
        <w:t xml:space="preserve"> </w:t>
      </w:r>
      <w:r w:rsidR="00E77886">
        <w:rPr>
          <w:rFonts w:ascii="Arial" w:hAnsi="Arial" w:cs="Arial"/>
          <w:sz w:val="24"/>
          <w:szCs w:val="24"/>
        </w:rPr>
        <w:t>lasting crying have been reported.  All these signs appear in the first days of life and are generally of short duration</w:t>
      </w:r>
      <w:r w:rsidR="00695D5E">
        <w:rPr>
          <w:rFonts w:ascii="Arial" w:hAnsi="Arial" w:cs="Arial"/>
          <w:sz w:val="24"/>
          <w:szCs w:val="24"/>
        </w:rPr>
        <w:t>.</w:t>
      </w:r>
    </w:p>
    <w:p w:rsidR="00695D5E" w:rsidRDefault="00695D5E" w:rsidP="00286A88">
      <w:pPr>
        <w:spacing w:after="0"/>
        <w:rPr>
          <w:rFonts w:ascii="Arial" w:hAnsi="Arial" w:cs="Arial"/>
          <w:sz w:val="24"/>
          <w:szCs w:val="24"/>
        </w:rPr>
      </w:pPr>
    </w:p>
    <w:p w:rsidR="00E77886" w:rsidRPr="00F37587" w:rsidRDefault="00E77886" w:rsidP="00286A88">
      <w:pPr>
        <w:spacing w:after="0"/>
        <w:rPr>
          <w:rFonts w:ascii="Arial" w:hAnsi="Arial" w:cs="Arial"/>
          <w:sz w:val="24"/>
          <w:szCs w:val="24"/>
        </w:rPr>
      </w:pPr>
      <w:r>
        <w:rPr>
          <w:rFonts w:ascii="Arial" w:hAnsi="Arial" w:cs="Arial"/>
          <w:sz w:val="24"/>
          <w:szCs w:val="24"/>
        </w:rPr>
        <w:t xml:space="preserve">Consequently, as a precautionary measure, </w:t>
      </w:r>
      <w:r w:rsidR="005306D9">
        <w:rPr>
          <w:rFonts w:ascii="Arial" w:hAnsi="Arial" w:cs="Arial"/>
          <w:sz w:val="24"/>
          <w:szCs w:val="24"/>
        </w:rPr>
        <w:t>JONCIA</w:t>
      </w:r>
      <w:r w:rsidR="005306D9" w:rsidRPr="00A504C7">
        <w:rPr>
          <w:rFonts w:ascii="Arial" w:hAnsi="Arial" w:cs="Arial"/>
          <w:sz w:val="24"/>
          <w:szCs w:val="24"/>
          <w:vertAlign w:val="superscript"/>
        </w:rPr>
        <w:t>®</w:t>
      </w:r>
      <w:r w:rsidR="005306D9">
        <w:rPr>
          <w:rFonts w:ascii="Arial" w:hAnsi="Arial" w:cs="Arial"/>
          <w:sz w:val="24"/>
          <w:szCs w:val="24"/>
          <w:vertAlign w:val="superscript"/>
        </w:rPr>
        <w:t xml:space="preserve"> </w:t>
      </w:r>
      <w:r>
        <w:rPr>
          <w:rFonts w:ascii="Arial" w:hAnsi="Arial" w:cs="Arial"/>
          <w:sz w:val="24"/>
          <w:szCs w:val="24"/>
        </w:rPr>
        <w:t>should not be administered during pregnancy.</w:t>
      </w:r>
    </w:p>
    <w:p w:rsidR="00E35101" w:rsidRDefault="00E35101" w:rsidP="00286A88">
      <w:pPr>
        <w:spacing w:after="0"/>
        <w:rPr>
          <w:rFonts w:ascii="Arial" w:hAnsi="Arial" w:cs="Arial"/>
          <w:sz w:val="24"/>
          <w:szCs w:val="24"/>
        </w:rPr>
      </w:pPr>
    </w:p>
    <w:p w:rsidR="00547D8E" w:rsidRDefault="00547D8E" w:rsidP="00547D8E">
      <w:pPr>
        <w:spacing w:after="0"/>
        <w:rPr>
          <w:rFonts w:ascii="Arial" w:hAnsi="Arial" w:cs="Arial"/>
          <w:b/>
          <w:sz w:val="24"/>
          <w:szCs w:val="24"/>
        </w:rPr>
      </w:pPr>
      <w:r w:rsidRPr="00E35101">
        <w:rPr>
          <w:rFonts w:ascii="Arial" w:hAnsi="Arial" w:cs="Arial"/>
          <w:b/>
          <w:sz w:val="24"/>
          <w:szCs w:val="24"/>
        </w:rPr>
        <w:t xml:space="preserve">Use in </w:t>
      </w:r>
      <w:r>
        <w:rPr>
          <w:rFonts w:ascii="Arial" w:hAnsi="Arial" w:cs="Arial"/>
          <w:b/>
          <w:sz w:val="24"/>
          <w:szCs w:val="24"/>
        </w:rPr>
        <w:t>lactation</w:t>
      </w:r>
    </w:p>
    <w:p w:rsidR="00E35101" w:rsidRDefault="00DA27B8" w:rsidP="00286A88">
      <w:pPr>
        <w:spacing w:after="0"/>
        <w:rPr>
          <w:rFonts w:ascii="Arial" w:hAnsi="Arial" w:cs="Arial"/>
          <w:sz w:val="24"/>
          <w:szCs w:val="24"/>
        </w:rPr>
      </w:pPr>
      <w:r>
        <w:rPr>
          <w:rFonts w:ascii="Arial" w:hAnsi="Arial" w:cs="Arial"/>
          <w:sz w:val="24"/>
          <w:szCs w:val="24"/>
        </w:rPr>
        <w:t>Breast-feeding is contraindicated</w:t>
      </w:r>
      <w:r w:rsidR="005A5C51">
        <w:rPr>
          <w:rFonts w:ascii="Arial" w:hAnsi="Arial" w:cs="Arial"/>
          <w:sz w:val="24"/>
          <w:szCs w:val="24"/>
        </w:rPr>
        <w:t xml:space="preserve">.  </w:t>
      </w:r>
      <w:proofErr w:type="spellStart"/>
      <w:r w:rsidR="00250DB6">
        <w:rPr>
          <w:rFonts w:ascii="Arial" w:hAnsi="Arial" w:cs="Arial"/>
          <w:sz w:val="24"/>
          <w:szCs w:val="24"/>
        </w:rPr>
        <w:t>Milnacipran</w:t>
      </w:r>
      <w:proofErr w:type="spellEnd"/>
      <w:r w:rsidR="00250DB6">
        <w:rPr>
          <w:rFonts w:ascii="Arial" w:hAnsi="Arial" w:cs="Arial"/>
          <w:sz w:val="24"/>
          <w:szCs w:val="24"/>
        </w:rPr>
        <w:t xml:space="preserve"> and/or its metabolites are excreted in milk in lactating rats.  Oral administration of </w:t>
      </w:r>
      <w:proofErr w:type="spellStart"/>
      <w:r w:rsidR="00250DB6">
        <w:rPr>
          <w:rFonts w:ascii="Arial" w:hAnsi="Arial" w:cs="Arial"/>
          <w:sz w:val="24"/>
          <w:szCs w:val="24"/>
        </w:rPr>
        <w:t>milnacipran</w:t>
      </w:r>
      <w:proofErr w:type="spellEnd"/>
      <w:r w:rsidR="00250DB6">
        <w:rPr>
          <w:rFonts w:ascii="Arial" w:hAnsi="Arial" w:cs="Arial"/>
          <w:sz w:val="24"/>
          <w:szCs w:val="24"/>
        </w:rPr>
        <w:t xml:space="preserve"> to rats from late gestation to weaning was associated with decreased pup survival and development delays at a dose similar to the MRHD (based on mg/m</w:t>
      </w:r>
      <w:r w:rsidR="00250DB6" w:rsidRPr="00CC5F13">
        <w:rPr>
          <w:rFonts w:ascii="Arial" w:hAnsi="Arial" w:cs="Arial"/>
          <w:sz w:val="24"/>
          <w:szCs w:val="24"/>
          <w:vertAlign w:val="superscript"/>
        </w:rPr>
        <w:t>2</w:t>
      </w:r>
      <w:r w:rsidR="00250DB6">
        <w:rPr>
          <w:rFonts w:ascii="Arial" w:hAnsi="Arial" w:cs="Arial"/>
          <w:sz w:val="24"/>
          <w:szCs w:val="24"/>
        </w:rPr>
        <w:t>) or greater.  These effects may be due to maternal toxicity observed at these and lower doses</w:t>
      </w:r>
      <w:r w:rsidR="00CC5F13">
        <w:rPr>
          <w:rFonts w:ascii="Arial" w:hAnsi="Arial" w:cs="Arial"/>
          <w:sz w:val="24"/>
          <w:szCs w:val="24"/>
        </w:rPr>
        <w:t>.</w:t>
      </w:r>
    </w:p>
    <w:p w:rsidR="002961D6" w:rsidRDefault="002961D6" w:rsidP="00286A88">
      <w:pPr>
        <w:spacing w:after="0"/>
        <w:rPr>
          <w:rFonts w:ascii="Arial" w:hAnsi="Arial" w:cs="Arial"/>
          <w:sz w:val="24"/>
          <w:szCs w:val="24"/>
        </w:rPr>
      </w:pPr>
    </w:p>
    <w:p w:rsidR="002961D6" w:rsidRPr="00D457A2" w:rsidRDefault="002961D6" w:rsidP="00286A88">
      <w:pPr>
        <w:spacing w:after="0"/>
        <w:rPr>
          <w:rFonts w:ascii="Arial" w:hAnsi="Arial" w:cs="Arial"/>
          <w:b/>
          <w:sz w:val="24"/>
          <w:szCs w:val="24"/>
        </w:rPr>
      </w:pPr>
      <w:r w:rsidRPr="00D457A2">
        <w:rPr>
          <w:rFonts w:ascii="Arial" w:hAnsi="Arial" w:cs="Arial"/>
          <w:b/>
          <w:sz w:val="24"/>
          <w:szCs w:val="24"/>
        </w:rPr>
        <w:t>Interactions with other medicines</w:t>
      </w:r>
    </w:p>
    <w:p w:rsidR="002961D6" w:rsidRDefault="00611BD5" w:rsidP="00286A88">
      <w:pPr>
        <w:spacing w:after="0"/>
        <w:rPr>
          <w:rFonts w:ascii="Arial" w:hAnsi="Arial" w:cs="Arial"/>
          <w:sz w:val="24"/>
          <w:szCs w:val="24"/>
        </w:rPr>
      </w:pPr>
      <w:r>
        <w:rPr>
          <w:rFonts w:ascii="Arial" w:hAnsi="Arial" w:cs="Arial"/>
          <w:sz w:val="24"/>
          <w:szCs w:val="24"/>
        </w:rPr>
        <w:t>Interaction studies have only been performed in adults.</w:t>
      </w:r>
    </w:p>
    <w:p w:rsidR="00611BD5" w:rsidRDefault="00611BD5" w:rsidP="00286A88">
      <w:pPr>
        <w:spacing w:after="0"/>
        <w:rPr>
          <w:rFonts w:ascii="Arial" w:hAnsi="Arial" w:cs="Arial"/>
          <w:sz w:val="24"/>
          <w:szCs w:val="24"/>
        </w:rPr>
      </w:pPr>
    </w:p>
    <w:p w:rsidR="00611BD5" w:rsidRPr="00123983" w:rsidRDefault="00D457A2" w:rsidP="00286A88">
      <w:pPr>
        <w:spacing w:after="0"/>
        <w:rPr>
          <w:rFonts w:ascii="Arial" w:hAnsi="Arial" w:cs="Arial"/>
          <w:sz w:val="24"/>
          <w:szCs w:val="24"/>
          <w:u w:val="single"/>
        </w:rPr>
      </w:pPr>
      <w:r w:rsidRPr="00123983">
        <w:rPr>
          <w:rFonts w:ascii="Arial" w:hAnsi="Arial" w:cs="Arial"/>
          <w:sz w:val="24"/>
          <w:szCs w:val="24"/>
          <w:u w:val="single"/>
        </w:rPr>
        <w:t>MAO Inhibitors</w:t>
      </w:r>
    </w:p>
    <w:p w:rsidR="009F29D0" w:rsidRDefault="00D457A2" w:rsidP="003F3B46">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i</w:t>
      </w:r>
      <w:r w:rsidR="004610F0">
        <w:rPr>
          <w:rFonts w:ascii="Arial" w:hAnsi="Arial" w:cs="Arial"/>
          <w:sz w:val="24"/>
          <w:szCs w:val="24"/>
        </w:rPr>
        <w:t>s</w:t>
      </w:r>
      <w:r>
        <w:rPr>
          <w:rFonts w:ascii="Arial" w:hAnsi="Arial" w:cs="Arial"/>
          <w:sz w:val="24"/>
          <w:szCs w:val="24"/>
        </w:rPr>
        <w:t xml:space="preserve"> contraindicated in combination with MAO inhibitors (see CONTRAINDICATIONS</w:t>
      </w:r>
      <w:r w:rsidR="009F29D0">
        <w:rPr>
          <w:rFonts w:ascii="Arial" w:hAnsi="Arial" w:cs="Arial"/>
          <w:sz w:val="24"/>
          <w:szCs w:val="24"/>
        </w:rPr>
        <w:t>): with non selective MAO inhibitors and A selective MAO inhibitors</w:t>
      </w:r>
      <w:r w:rsidR="00123983">
        <w:rPr>
          <w:rFonts w:ascii="Arial" w:hAnsi="Arial" w:cs="Arial"/>
          <w:sz w:val="24"/>
          <w:szCs w:val="24"/>
        </w:rPr>
        <w:t xml:space="preserve"> </w:t>
      </w:r>
      <w:r w:rsidR="009F29D0">
        <w:rPr>
          <w:rFonts w:ascii="Arial" w:hAnsi="Arial" w:cs="Arial"/>
          <w:sz w:val="24"/>
          <w:szCs w:val="24"/>
        </w:rPr>
        <w:t xml:space="preserve">there is a risk of a </w:t>
      </w:r>
      <w:proofErr w:type="spellStart"/>
      <w:r w:rsidR="009F29D0">
        <w:rPr>
          <w:rFonts w:ascii="Arial" w:hAnsi="Arial" w:cs="Arial"/>
          <w:sz w:val="24"/>
          <w:szCs w:val="24"/>
        </w:rPr>
        <w:t>serotoninergic</w:t>
      </w:r>
      <w:proofErr w:type="spellEnd"/>
      <w:r w:rsidR="009F29D0">
        <w:rPr>
          <w:rFonts w:ascii="Arial" w:hAnsi="Arial" w:cs="Arial"/>
          <w:sz w:val="24"/>
          <w:szCs w:val="24"/>
        </w:rPr>
        <w:t xml:space="preserve"> syndrome (* see below); with B selective MAO inhibitors there is a risk of paroxysmal hypertension.  </w:t>
      </w:r>
    </w:p>
    <w:p w:rsidR="009F29D0" w:rsidRDefault="009F29D0" w:rsidP="003F3B46">
      <w:pPr>
        <w:spacing w:after="0"/>
        <w:rPr>
          <w:rFonts w:ascii="Arial" w:hAnsi="Arial" w:cs="Arial"/>
          <w:sz w:val="24"/>
          <w:szCs w:val="24"/>
        </w:rPr>
      </w:pPr>
    </w:p>
    <w:p w:rsidR="00DB02C0" w:rsidRDefault="00123983" w:rsidP="003F3B46">
      <w:pPr>
        <w:spacing w:after="0"/>
        <w:rPr>
          <w:rFonts w:ascii="Arial" w:hAnsi="Arial" w:cs="Arial"/>
          <w:sz w:val="24"/>
          <w:szCs w:val="24"/>
        </w:rPr>
      </w:pPr>
      <w:r>
        <w:rPr>
          <w:rFonts w:ascii="Arial" w:hAnsi="Arial" w:cs="Arial"/>
          <w:sz w:val="24"/>
          <w:szCs w:val="24"/>
        </w:rPr>
        <w:t xml:space="preserve">There should be an interval of two weeks between the end of treatment with a MAO inhibitor and the beginning of treatment with </w:t>
      </w:r>
      <w:proofErr w:type="spellStart"/>
      <w:r>
        <w:rPr>
          <w:rFonts w:ascii="Arial" w:hAnsi="Arial" w:cs="Arial"/>
          <w:sz w:val="24"/>
          <w:szCs w:val="24"/>
        </w:rPr>
        <w:t>milnacipran</w:t>
      </w:r>
      <w:proofErr w:type="spellEnd"/>
      <w:r>
        <w:rPr>
          <w:rFonts w:ascii="Arial" w:hAnsi="Arial" w:cs="Arial"/>
          <w:sz w:val="24"/>
          <w:szCs w:val="24"/>
        </w:rPr>
        <w:t xml:space="preserve">, and at least one week between the end of treatment with </w:t>
      </w:r>
      <w:proofErr w:type="spellStart"/>
      <w:r>
        <w:rPr>
          <w:rFonts w:ascii="Arial" w:hAnsi="Arial" w:cs="Arial"/>
          <w:sz w:val="24"/>
          <w:szCs w:val="24"/>
        </w:rPr>
        <w:t>milnacipran</w:t>
      </w:r>
      <w:proofErr w:type="spellEnd"/>
      <w:r>
        <w:rPr>
          <w:rFonts w:ascii="Arial" w:hAnsi="Arial" w:cs="Arial"/>
          <w:sz w:val="24"/>
          <w:szCs w:val="24"/>
        </w:rPr>
        <w:t xml:space="preserve"> and the beginning of treatment with a MAO inhibitor.</w:t>
      </w:r>
    </w:p>
    <w:p w:rsidR="00D133A0" w:rsidRDefault="00D133A0" w:rsidP="003F3B46">
      <w:pPr>
        <w:spacing w:after="0"/>
        <w:rPr>
          <w:rFonts w:ascii="Arial" w:hAnsi="Arial" w:cs="Arial"/>
          <w:sz w:val="24"/>
          <w:szCs w:val="24"/>
        </w:rPr>
      </w:pPr>
    </w:p>
    <w:p w:rsidR="00D133A0" w:rsidRDefault="00D133A0" w:rsidP="00D133A0">
      <w:pPr>
        <w:spacing w:after="0"/>
        <w:rPr>
          <w:rFonts w:ascii="Arial" w:hAnsi="Arial" w:cs="Arial"/>
          <w:sz w:val="24"/>
          <w:szCs w:val="24"/>
        </w:rPr>
      </w:pPr>
      <w:r w:rsidRPr="00123983">
        <w:rPr>
          <w:rFonts w:ascii="Arial" w:hAnsi="Arial" w:cs="Arial"/>
          <w:b/>
          <w:sz w:val="28"/>
          <w:szCs w:val="28"/>
        </w:rPr>
        <w:t>*</w:t>
      </w:r>
      <w:proofErr w:type="spellStart"/>
      <w:r w:rsidRPr="00123983">
        <w:rPr>
          <w:rFonts w:ascii="Arial" w:hAnsi="Arial" w:cs="Arial"/>
          <w:sz w:val="24"/>
          <w:szCs w:val="24"/>
        </w:rPr>
        <w:t>Serotoninergic</w:t>
      </w:r>
      <w:proofErr w:type="spellEnd"/>
      <w:r w:rsidRPr="00123983">
        <w:rPr>
          <w:rFonts w:ascii="Arial" w:hAnsi="Arial" w:cs="Arial"/>
          <w:sz w:val="24"/>
          <w:szCs w:val="24"/>
        </w:rPr>
        <w:t xml:space="preserve"> syndrome:</w:t>
      </w:r>
    </w:p>
    <w:p w:rsidR="00D133A0" w:rsidRPr="00123983" w:rsidRDefault="00D133A0" w:rsidP="00D133A0">
      <w:pPr>
        <w:spacing w:after="0"/>
        <w:rPr>
          <w:rFonts w:ascii="Arial" w:hAnsi="Arial" w:cs="Arial"/>
          <w:sz w:val="24"/>
          <w:szCs w:val="24"/>
        </w:rPr>
      </w:pPr>
      <w:r>
        <w:rPr>
          <w:rFonts w:ascii="Arial" w:hAnsi="Arial" w:cs="Arial"/>
          <w:sz w:val="24"/>
          <w:szCs w:val="24"/>
        </w:rPr>
        <w:t xml:space="preserve">The development of a potentially life-threatening serotonin syndrome may occur with agents that inhibit serotonin reuptake, including </w:t>
      </w:r>
      <w:proofErr w:type="spellStart"/>
      <w:r>
        <w:rPr>
          <w:rFonts w:ascii="Arial" w:hAnsi="Arial" w:cs="Arial"/>
          <w:sz w:val="24"/>
          <w:szCs w:val="24"/>
        </w:rPr>
        <w:t>milnacipran</w:t>
      </w:r>
      <w:proofErr w:type="spellEnd"/>
      <w:r>
        <w:rPr>
          <w:rFonts w:ascii="Arial" w:hAnsi="Arial" w:cs="Arial"/>
          <w:sz w:val="24"/>
          <w:szCs w:val="24"/>
        </w:rPr>
        <w:t xml:space="preserve">, particularly with concomitant use of </w:t>
      </w:r>
      <w:proofErr w:type="spellStart"/>
      <w:r>
        <w:rPr>
          <w:rFonts w:ascii="Arial" w:hAnsi="Arial" w:cs="Arial"/>
          <w:sz w:val="24"/>
          <w:szCs w:val="24"/>
        </w:rPr>
        <w:t>serotoninergic</w:t>
      </w:r>
      <w:proofErr w:type="spellEnd"/>
      <w:r>
        <w:rPr>
          <w:rFonts w:ascii="Arial" w:hAnsi="Arial" w:cs="Arial"/>
          <w:sz w:val="24"/>
          <w:szCs w:val="24"/>
        </w:rPr>
        <w:t xml:space="preserve"> (including </w:t>
      </w:r>
      <w:proofErr w:type="spellStart"/>
      <w:r>
        <w:rPr>
          <w:rFonts w:ascii="Arial" w:hAnsi="Arial" w:cs="Arial"/>
          <w:sz w:val="24"/>
          <w:szCs w:val="24"/>
        </w:rPr>
        <w:t>triptans</w:t>
      </w:r>
      <w:proofErr w:type="spellEnd"/>
      <w:r>
        <w:rPr>
          <w:rFonts w:ascii="Arial" w:hAnsi="Arial" w:cs="Arial"/>
          <w:sz w:val="24"/>
          <w:szCs w:val="24"/>
        </w:rPr>
        <w:t xml:space="preserve">) and with drugs which impair metabolism of serotonin (including MAO inhibitors).  Serotonin syndrome may include mental changes (such as agitation, hallucinations, coma), autonomic instability (such as tachycardia, labile blood pressure, hyperthermia), neuromuscular aberrations (such as </w:t>
      </w:r>
      <w:proofErr w:type="spellStart"/>
      <w:r>
        <w:rPr>
          <w:rFonts w:ascii="Arial" w:hAnsi="Arial" w:cs="Arial"/>
          <w:sz w:val="24"/>
          <w:szCs w:val="24"/>
        </w:rPr>
        <w:t>hyperreflexia</w:t>
      </w:r>
      <w:proofErr w:type="spellEnd"/>
      <w:r>
        <w:rPr>
          <w:rFonts w:ascii="Arial" w:hAnsi="Arial" w:cs="Arial"/>
          <w:sz w:val="24"/>
          <w:szCs w:val="24"/>
        </w:rPr>
        <w:t xml:space="preserve">, </w:t>
      </w:r>
      <w:proofErr w:type="spellStart"/>
      <w:r>
        <w:rPr>
          <w:rFonts w:ascii="Arial" w:hAnsi="Arial" w:cs="Arial"/>
          <w:sz w:val="24"/>
          <w:szCs w:val="24"/>
        </w:rPr>
        <w:t>incoordination</w:t>
      </w:r>
      <w:proofErr w:type="spellEnd"/>
      <w:r>
        <w:rPr>
          <w:rFonts w:ascii="Arial" w:hAnsi="Arial" w:cs="Arial"/>
          <w:sz w:val="24"/>
          <w:szCs w:val="24"/>
        </w:rPr>
        <w:t>), and/or gastrointestinal symptoms (such as nausea, vomiting, diarrhoea).</w:t>
      </w:r>
    </w:p>
    <w:p w:rsidR="00D133A0" w:rsidRDefault="00D133A0" w:rsidP="003F3B46">
      <w:pPr>
        <w:spacing w:after="0"/>
        <w:rPr>
          <w:rFonts w:ascii="Arial" w:hAnsi="Arial" w:cs="Arial"/>
          <w:sz w:val="24"/>
          <w:szCs w:val="24"/>
        </w:rPr>
      </w:pPr>
    </w:p>
    <w:p w:rsidR="00EB206D" w:rsidRPr="00EB206D" w:rsidRDefault="00EB206D" w:rsidP="003F3B46">
      <w:pPr>
        <w:spacing w:after="0"/>
        <w:rPr>
          <w:rFonts w:ascii="Arial" w:hAnsi="Arial" w:cs="Arial"/>
          <w:sz w:val="24"/>
          <w:szCs w:val="24"/>
          <w:u w:val="single"/>
        </w:rPr>
      </w:pPr>
      <w:r w:rsidRPr="00EB206D">
        <w:rPr>
          <w:rFonts w:ascii="Arial" w:hAnsi="Arial" w:cs="Arial"/>
          <w:sz w:val="24"/>
          <w:szCs w:val="24"/>
          <w:u w:val="single"/>
        </w:rPr>
        <w:t>Serotonin reuptake inhibitors</w:t>
      </w:r>
    </w:p>
    <w:p w:rsidR="000276EA" w:rsidRDefault="00EB206D" w:rsidP="003F3B46">
      <w:pPr>
        <w:spacing w:after="0"/>
        <w:rPr>
          <w:rFonts w:ascii="Arial" w:hAnsi="Arial" w:cs="Arial"/>
          <w:sz w:val="24"/>
          <w:szCs w:val="24"/>
        </w:rPr>
      </w:pPr>
      <w:proofErr w:type="spellStart"/>
      <w:r>
        <w:rPr>
          <w:rFonts w:ascii="Arial" w:hAnsi="Arial" w:cs="Arial"/>
          <w:sz w:val="24"/>
          <w:szCs w:val="24"/>
        </w:rPr>
        <w:t>Milnacipran</w:t>
      </w:r>
      <w:proofErr w:type="spellEnd"/>
      <w:r>
        <w:rPr>
          <w:rFonts w:ascii="Arial" w:hAnsi="Arial" w:cs="Arial"/>
          <w:sz w:val="24"/>
          <w:szCs w:val="24"/>
        </w:rPr>
        <w:t xml:space="preserve"> i</w:t>
      </w:r>
      <w:r w:rsidR="000104D7">
        <w:rPr>
          <w:rFonts w:ascii="Arial" w:hAnsi="Arial" w:cs="Arial"/>
          <w:sz w:val="24"/>
          <w:szCs w:val="24"/>
        </w:rPr>
        <w:t>s</w:t>
      </w:r>
      <w:r>
        <w:rPr>
          <w:rFonts w:ascii="Arial" w:hAnsi="Arial" w:cs="Arial"/>
          <w:sz w:val="24"/>
          <w:szCs w:val="24"/>
        </w:rPr>
        <w:t xml:space="preserve"> contraindicated in combination with </w:t>
      </w:r>
      <w:r w:rsidR="000104D7" w:rsidRPr="000104D7">
        <w:rPr>
          <w:rFonts w:ascii="Arial" w:hAnsi="Arial" w:cs="Arial"/>
          <w:sz w:val="24"/>
          <w:szCs w:val="24"/>
        </w:rPr>
        <w:t>other serotonin reuptake inhibitors</w:t>
      </w:r>
      <w:r w:rsidR="000104D7">
        <w:rPr>
          <w:rFonts w:ascii="Arial" w:hAnsi="Arial" w:cs="Arial"/>
          <w:sz w:val="24"/>
          <w:szCs w:val="24"/>
          <w:u w:val="single"/>
        </w:rPr>
        <w:t xml:space="preserve"> </w:t>
      </w:r>
      <w:r w:rsidR="000104D7" w:rsidRPr="000104D7">
        <w:rPr>
          <w:rFonts w:ascii="Arial" w:hAnsi="Arial" w:cs="Arial"/>
          <w:sz w:val="24"/>
          <w:szCs w:val="24"/>
        </w:rPr>
        <w:t xml:space="preserve">and </w:t>
      </w:r>
      <w:r w:rsidR="000104D7">
        <w:rPr>
          <w:rFonts w:ascii="Arial" w:hAnsi="Arial" w:cs="Arial"/>
          <w:sz w:val="24"/>
          <w:szCs w:val="24"/>
        </w:rPr>
        <w:t xml:space="preserve">any </w:t>
      </w:r>
      <w:r w:rsidR="000104D7" w:rsidRPr="000104D7">
        <w:rPr>
          <w:rFonts w:ascii="Arial" w:hAnsi="Arial" w:cs="Arial"/>
          <w:sz w:val="24"/>
          <w:szCs w:val="24"/>
        </w:rPr>
        <w:t>other</w:t>
      </w:r>
      <w:r w:rsidR="000104D7">
        <w:rPr>
          <w:rFonts w:ascii="Arial" w:hAnsi="Arial" w:cs="Arial"/>
          <w:sz w:val="24"/>
          <w:szCs w:val="24"/>
          <w:u w:val="single"/>
        </w:rPr>
        <w:t xml:space="preserve"> </w:t>
      </w:r>
      <w:r w:rsidR="000104D7">
        <w:rPr>
          <w:rFonts w:ascii="Arial" w:hAnsi="Arial" w:cs="Arial"/>
          <w:sz w:val="24"/>
          <w:szCs w:val="24"/>
        </w:rPr>
        <w:t>medicines</w:t>
      </w:r>
      <w:r>
        <w:rPr>
          <w:rFonts w:ascii="Arial" w:hAnsi="Arial" w:cs="Arial"/>
          <w:sz w:val="24"/>
          <w:szCs w:val="24"/>
        </w:rPr>
        <w:t xml:space="preserve"> w</w:t>
      </w:r>
      <w:r w:rsidR="000104D7">
        <w:rPr>
          <w:rFonts w:ascii="Arial" w:hAnsi="Arial" w:cs="Arial"/>
          <w:sz w:val="24"/>
          <w:szCs w:val="24"/>
        </w:rPr>
        <w:t xml:space="preserve">ith the same mechanism of action </w:t>
      </w:r>
      <w:r>
        <w:rPr>
          <w:rFonts w:ascii="Arial" w:hAnsi="Arial" w:cs="Arial"/>
          <w:sz w:val="24"/>
          <w:szCs w:val="24"/>
        </w:rPr>
        <w:t xml:space="preserve">(see CONTRAINDICATIONS). </w:t>
      </w:r>
    </w:p>
    <w:p w:rsidR="000276EA" w:rsidRDefault="000276EA" w:rsidP="003F3B46">
      <w:pPr>
        <w:spacing w:after="0"/>
        <w:rPr>
          <w:rFonts w:ascii="Arial" w:hAnsi="Arial" w:cs="Arial"/>
          <w:sz w:val="24"/>
          <w:szCs w:val="24"/>
        </w:rPr>
      </w:pPr>
    </w:p>
    <w:p w:rsidR="000276EA" w:rsidRPr="00DF09AC" w:rsidRDefault="000276EA" w:rsidP="003F3B46">
      <w:pPr>
        <w:spacing w:after="0"/>
        <w:rPr>
          <w:rFonts w:ascii="Arial" w:hAnsi="Arial" w:cs="Arial"/>
          <w:sz w:val="24"/>
          <w:szCs w:val="24"/>
          <w:u w:val="single"/>
        </w:rPr>
      </w:pPr>
      <w:r w:rsidRPr="00DF09AC">
        <w:rPr>
          <w:rFonts w:ascii="Arial" w:hAnsi="Arial" w:cs="Arial"/>
          <w:sz w:val="24"/>
          <w:szCs w:val="24"/>
          <w:u w:val="single"/>
        </w:rPr>
        <w:t xml:space="preserve">Adrenaline and </w:t>
      </w:r>
      <w:proofErr w:type="spellStart"/>
      <w:r w:rsidRPr="00DF09AC">
        <w:rPr>
          <w:rFonts w:ascii="Arial" w:hAnsi="Arial" w:cs="Arial"/>
          <w:sz w:val="24"/>
          <w:szCs w:val="24"/>
          <w:u w:val="single"/>
        </w:rPr>
        <w:t>noradrenaline</w:t>
      </w:r>
      <w:proofErr w:type="spellEnd"/>
    </w:p>
    <w:p w:rsidR="00FA6A86" w:rsidRPr="00DF09AC" w:rsidRDefault="00D442B6" w:rsidP="003F3B46">
      <w:pPr>
        <w:spacing w:after="0"/>
        <w:rPr>
          <w:rFonts w:ascii="Arial" w:hAnsi="Arial" w:cs="Arial"/>
          <w:sz w:val="24"/>
          <w:szCs w:val="24"/>
        </w:rPr>
      </w:pPr>
      <w:proofErr w:type="spellStart"/>
      <w:r w:rsidRPr="00DF09AC">
        <w:rPr>
          <w:rFonts w:ascii="Arial" w:hAnsi="Arial" w:cs="Arial"/>
          <w:sz w:val="24"/>
          <w:szCs w:val="24"/>
        </w:rPr>
        <w:t>Milnacipran</w:t>
      </w:r>
      <w:proofErr w:type="spellEnd"/>
      <w:r w:rsidRPr="00DF09AC">
        <w:rPr>
          <w:rFonts w:ascii="Arial" w:hAnsi="Arial" w:cs="Arial"/>
          <w:sz w:val="24"/>
          <w:szCs w:val="24"/>
        </w:rPr>
        <w:t xml:space="preserve"> is contraindicated in combination with adrenaline and </w:t>
      </w:r>
      <w:proofErr w:type="spellStart"/>
      <w:r w:rsidRPr="00DF09AC">
        <w:rPr>
          <w:rFonts w:ascii="Arial" w:hAnsi="Arial" w:cs="Arial"/>
          <w:sz w:val="24"/>
          <w:szCs w:val="24"/>
        </w:rPr>
        <w:t>noradrenaline</w:t>
      </w:r>
      <w:proofErr w:type="spellEnd"/>
      <w:r w:rsidRPr="00DF09AC">
        <w:rPr>
          <w:rFonts w:ascii="Arial" w:hAnsi="Arial" w:cs="Arial"/>
          <w:sz w:val="24"/>
          <w:szCs w:val="24"/>
        </w:rPr>
        <w:t xml:space="preserve"> (alpha and beta </w:t>
      </w:r>
      <w:proofErr w:type="spellStart"/>
      <w:r w:rsidRPr="00DF09AC">
        <w:rPr>
          <w:rFonts w:ascii="Arial" w:hAnsi="Arial" w:cs="Arial"/>
          <w:sz w:val="24"/>
          <w:szCs w:val="24"/>
        </w:rPr>
        <w:t>sympathomimetics</w:t>
      </w:r>
      <w:proofErr w:type="spellEnd"/>
      <w:r w:rsidRPr="00DF09AC">
        <w:rPr>
          <w:rFonts w:ascii="Arial" w:hAnsi="Arial" w:cs="Arial"/>
          <w:sz w:val="24"/>
          <w:szCs w:val="24"/>
        </w:rPr>
        <w:t xml:space="preserve">) (see CONTRAINDICATIONS).  There is the risk of </w:t>
      </w:r>
      <w:r w:rsidRPr="0042009F">
        <w:rPr>
          <w:rFonts w:ascii="Arial" w:hAnsi="Arial" w:cs="Arial"/>
          <w:sz w:val="24"/>
          <w:szCs w:val="24"/>
        </w:rPr>
        <w:t>paroxys</w:t>
      </w:r>
      <w:r w:rsidR="0042009F" w:rsidRPr="0042009F">
        <w:rPr>
          <w:rFonts w:ascii="Arial" w:hAnsi="Arial" w:cs="Arial"/>
          <w:sz w:val="24"/>
          <w:szCs w:val="24"/>
        </w:rPr>
        <w:t>mal</w:t>
      </w:r>
      <w:r w:rsidRPr="00DF09AC">
        <w:rPr>
          <w:rFonts w:ascii="Arial" w:hAnsi="Arial" w:cs="Arial"/>
          <w:sz w:val="24"/>
          <w:szCs w:val="24"/>
        </w:rPr>
        <w:t xml:space="preserve"> hypertension with possible arrhythmia due to inhibition of entry of adrenaline or </w:t>
      </w:r>
      <w:proofErr w:type="spellStart"/>
      <w:r w:rsidRPr="00DF09AC">
        <w:rPr>
          <w:rFonts w:ascii="Arial" w:hAnsi="Arial" w:cs="Arial"/>
          <w:sz w:val="24"/>
          <w:szCs w:val="24"/>
        </w:rPr>
        <w:t>noradrenaline</w:t>
      </w:r>
      <w:proofErr w:type="spellEnd"/>
      <w:r w:rsidRPr="00DF09AC">
        <w:rPr>
          <w:rFonts w:ascii="Arial" w:hAnsi="Arial" w:cs="Arial"/>
          <w:sz w:val="24"/>
          <w:szCs w:val="24"/>
        </w:rPr>
        <w:t xml:space="preserve"> into the sympathetic nerve fibre.  </w:t>
      </w:r>
    </w:p>
    <w:p w:rsidR="00FA6A86" w:rsidRDefault="00FA6A86" w:rsidP="003F3B46">
      <w:pPr>
        <w:spacing w:after="0"/>
        <w:rPr>
          <w:rFonts w:ascii="Arial" w:hAnsi="Arial" w:cs="Arial"/>
          <w:color w:val="FF0000"/>
          <w:sz w:val="24"/>
          <w:szCs w:val="24"/>
        </w:rPr>
      </w:pPr>
    </w:p>
    <w:p w:rsidR="00080635" w:rsidRPr="00DF09AC" w:rsidRDefault="00D442B6" w:rsidP="003F3B46">
      <w:pPr>
        <w:spacing w:after="0"/>
        <w:rPr>
          <w:rFonts w:ascii="Arial" w:hAnsi="Arial" w:cs="Arial"/>
          <w:sz w:val="24"/>
          <w:szCs w:val="24"/>
        </w:rPr>
      </w:pPr>
      <w:r w:rsidRPr="00DF09AC">
        <w:rPr>
          <w:rFonts w:ascii="Arial" w:hAnsi="Arial" w:cs="Arial"/>
          <w:sz w:val="24"/>
          <w:szCs w:val="24"/>
        </w:rPr>
        <w:t>When haemostatic action by subcutaneous or gingival injection is sought, limit intake, for example, to less than 0.1 mg adrenaline</w:t>
      </w:r>
      <w:r w:rsidR="00080635" w:rsidRPr="00DF09AC">
        <w:rPr>
          <w:rFonts w:ascii="Arial" w:hAnsi="Arial" w:cs="Arial"/>
          <w:sz w:val="24"/>
          <w:szCs w:val="24"/>
        </w:rPr>
        <w:t xml:space="preserve"> in 10 minutes or 0.3 mg in an hour in adults.</w:t>
      </w:r>
    </w:p>
    <w:p w:rsidR="000C5447" w:rsidRPr="00D442B6" w:rsidRDefault="000C5447" w:rsidP="003F3B46">
      <w:pPr>
        <w:spacing w:after="0"/>
        <w:rPr>
          <w:rFonts w:ascii="Arial" w:hAnsi="Arial" w:cs="Arial"/>
          <w:color w:val="FF0000"/>
          <w:sz w:val="24"/>
          <w:szCs w:val="24"/>
        </w:rPr>
      </w:pPr>
    </w:p>
    <w:p w:rsidR="000C5447" w:rsidRPr="00BF0A44" w:rsidRDefault="001C7A08" w:rsidP="003F3B46">
      <w:pPr>
        <w:spacing w:after="0"/>
        <w:rPr>
          <w:rFonts w:ascii="Arial" w:hAnsi="Arial" w:cs="Arial"/>
          <w:sz w:val="24"/>
          <w:szCs w:val="24"/>
          <w:u w:val="single"/>
        </w:rPr>
      </w:pPr>
      <w:proofErr w:type="spellStart"/>
      <w:r w:rsidRPr="00BF0A44">
        <w:rPr>
          <w:rFonts w:ascii="Arial" w:hAnsi="Arial" w:cs="Arial"/>
          <w:sz w:val="24"/>
          <w:szCs w:val="24"/>
          <w:u w:val="single"/>
        </w:rPr>
        <w:t>Milnacipran</w:t>
      </w:r>
      <w:proofErr w:type="spellEnd"/>
      <w:r w:rsidRPr="00BF0A44">
        <w:rPr>
          <w:rFonts w:ascii="Arial" w:hAnsi="Arial" w:cs="Arial"/>
          <w:sz w:val="24"/>
          <w:szCs w:val="24"/>
          <w:u w:val="single"/>
        </w:rPr>
        <w:t xml:space="preserve"> should be used with caution in combination with the following:</w:t>
      </w:r>
    </w:p>
    <w:p w:rsidR="001C7A08" w:rsidRPr="00BF0A44" w:rsidRDefault="001C7A08" w:rsidP="001C7A08">
      <w:pPr>
        <w:pStyle w:val="ListParagraph"/>
        <w:numPr>
          <w:ilvl w:val="0"/>
          <w:numId w:val="3"/>
        </w:numPr>
        <w:spacing w:after="0"/>
        <w:rPr>
          <w:rFonts w:ascii="Arial" w:hAnsi="Arial" w:cs="Arial"/>
          <w:sz w:val="24"/>
          <w:szCs w:val="24"/>
        </w:rPr>
      </w:pPr>
      <w:r w:rsidRPr="00BF0A44">
        <w:rPr>
          <w:rFonts w:ascii="Arial" w:hAnsi="Arial" w:cs="Arial"/>
          <w:sz w:val="24"/>
          <w:szCs w:val="24"/>
        </w:rPr>
        <w:t xml:space="preserve">Oral anticoagulants, drugs which have an effect on platelet function, e.g. NSAIDs and aspirin, or other drugs that may increase the risk of bleeding. </w:t>
      </w:r>
    </w:p>
    <w:p w:rsidR="001C7A08" w:rsidRPr="00BF0A44" w:rsidRDefault="001C7A08" w:rsidP="001C7A08">
      <w:pPr>
        <w:spacing w:after="0"/>
        <w:rPr>
          <w:rFonts w:ascii="Arial" w:hAnsi="Arial" w:cs="Arial"/>
          <w:sz w:val="24"/>
          <w:szCs w:val="24"/>
        </w:rPr>
      </w:pPr>
    </w:p>
    <w:p w:rsidR="001E5E74" w:rsidRDefault="006671EF" w:rsidP="001C7A08">
      <w:pPr>
        <w:pStyle w:val="ListParagraph"/>
        <w:numPr>
          <w:ilvl w:val="0"/>
          <w:numId w:val="3"/>
        </w:numPr>
        <w:spacing w:after="0"/>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Digoxin</w:t>
      </w:r>
      <w:proofErr w:type="spellEnd"/>
      <w:r w:rsidR="001C7A08" w:rsidRPr="00BF0A44">
        <w:rPr>
          <w:rFonts w:ascii="Arial" w:hAnsi="Arial" w:cs="Arial"/>
          <w:sz w:val="24"/>
          <w:szCs w:val="24"/>
        </w:rPr>
        <w:t xml:space="preserve"> by the </w:t>
      </w:r>
      <w:proofErr w:type="spellStart"/>
      <w:r w:rsidR="001C7A08" w:rsidRPr="00BF0A44">
        <w:rPr>
          <w:rFonts w:ascii="Arial" w:hAnsi="Arial" w:cs="Arial"/>
          <w:sz w:val="24"/>
          <w:szCs w:val="24"/>
        </w:rPr>
        <w:t>parenteral</w:t>
      </w:r>
      <w:proofErr w:type="spellEnd"/>
      <w:r w:rsidR="001C7A08" w:rsidRPr="00BF0A44">
        <w:rPr>
          <w:rFonts w:ascii="Arial" w:hAnsi="Arial" w:cs="Arial"/>
          <w:sz w:val="24"/>
          <w:szCs w:val="24"/>
        </w:rPr>
        <w:t xml:space="preserve"> route due to the risk of </w:t>
      </w:r>
      <w:proofErr w:type="spellStart"/>
      <w:r w:rsidR="001C7A08" w:rsidRPr="00BF0A44">
        <w:rPr>
          <w:rFonts w:ascii="Arial" w:hAnsi="Arial" w:cs="Arial"/>
          <w:sz w:val="24"/>
          <w:szCs w:val="24"/>
        </w:rPr>
        <w:t>potentiation</w:t>
      </w:r>
      <w:proofErr w:type="spellEnd"/>
      <w:r w:rsidR="001C7A08" w:rsidRPr="00BF0A44">
        <w:rPr>
          <w:rFonts w:ascii="Arial" w:hAnsi="Arial" w:cs="Arial"/>
          <w:sz w:val="24"/>
          <w:szCs w:val="24"/>
        </w:rPr>
        <w:t xml:space="preserve"> of </w:t>
      </w:r>
      <w:proofErr w:type="spellStart"/>
      <w:r w:rsidR="001C7A08" w:rsidRPr="00BF0A44">
        <w:rPr>
          <w:rFonts w:ascii="Arial" w:hAnsi="Arial" w:cs="Arial"/>
          <w:sz w:val="24"/>
          <w:szCs w:val="24"/>
        </w:rPr>
        <w:t>haemodynamic</w:t>
      </w:r>
      <w:proofErr w:type="spellEnd"/>
      <w:r w:rsidR="001C7A08" w:rsidRPr="00BF0A44">
        <w:rPr>
          <w:rFonts w:ascii="Arial" w:hAnsi="Arial" w:cs="Arial"/>
          <w:sz w:val="24"/>
          <w:szCs w:val="24"/>
        </w:rPr>
        <w:t xml:space="preserve"> effects.</w:t>
      </w:r>
    </w:p>
    <w:p w:rsidR="001E5E74" w:rsidRPr="001E5E74" w:rsidRDefault="001E5E74" w:rsidP="001E5E74">
      <w:pPr>
        <w:pStyle w:val="ListParagraph"/>
        <w:rPr>
          <w:rFonts w:ascii="Arial" w:hAnsi="Arial" w:cs="Arial"/>
          <w:sz w:val="24"/>
          <w:szCs w:val="24"/>
        </w:rPr>
      </w:pPr>
    </w:p>
    <w:p w:rsidR="001E5E74" w:rsidRDefault="001E5E74" w:rsidP="001E5E74">
      <w:pPr>
        <w:pStyle w:val="ListParagraph"/>
        <w:numPr>
          <w:ilvl w:val="0"/>
          <w:numId w:val="3"/>
        </w:numPr>
        <w:spacing w:after="0"/>
        <w:rPr>
          <w:rFonts w:ascii="Arial" w:hAnsi="Arial" w:cs="Arial"/>
          <w:color w:val="000000"/>
          <w:sz w:val="24"/>
          <w:szCs w:val="24"/>
        </w:rPr>
      </w:pPr>
      <w:proofErr w:type="spellStart"/>
      <w:r>
        <w:rPr>
          <w:rFonts w:ascii="Arial" w:hAnsi="Arial" w:cs="Arial"/>
          <w:color w:val="000000"/>
          <w:sz w:val="24"/>
          <w:szCs w:val="24"/>
        </w:rPr>
        <w:t>C</w:t>
      </w:r>
      <w:r w:rsidRPr="001E5E74">
        <w:rPr>
          <w:rFonts w:ascii="Arial" w:hAnsi="Arial" w:cs="Arial"/>
          <w:color w:val="000000"/>
          <w:sz w:val="24"/>
          <w:szCs w:val="24"/>
        </w:rPr>
        <w:t>lonidine</w:t>
      </w:r>
      <w:proofErr w:type="spellEnd"/>
      <w:r w:rsidRPr="001E5E74">
        <w:rPr>
          <w:rFonts w:ascii="Arial" w:hAnsi="Arial" w:cs="Arial"/>
          <w:color w:val="000000"/>
          <w:sz w:val="24"/>
          <w:szCs w:val="24"/>
        </w:rPr>
        <w:t xml:space="preserve"> and related compounds (reported with </w:t>
      </w:r>
      <w:proofErr w:type="spellStart"/>
      <w:r w:rsidRPr="001E5E74">
        <w:rPr>
          <w:rFonts w:ascii="Arial" w:hAnsi="Arial" w:cs="Arial"/>
          <w:color w:val="000000"/>
          <w:sz w:val="24"/>
          <w:szCs w:val="24"/>
        </w:rPr>
        <w:t>desipramine</w:t>
      </w:r>
      <w:proofErr w:type="spellEnd"/>
      <w:r w:rsidRPr="001E5E74">
        <w:rPr>
          <w:rFonts w:ascii="Arial" w:hAnsi="Arial" w:cs="Arial"/>
          <w:color w:val="000000"/>
          <w:sz w:val="24"/>
          <w:szCs w:val="24"/>
        </w:rPr>
        <w:t xml:space="preserve"> and </w:t>
      </w:r>
      <w:proofErr w:type="spellStart"/>
      <w:r w:rsidRPr="001E5E74">
        <w:rPr>
          <w:rFonts w:ascii="Arial" w:hAnsi="Arial" w:cs="Arial"/>
          <w:color w:val="000000"/>
          <w:sz w:val="24"/>
          <w:szCs w:val="24"/>
        </w:rPr>
        <w:t>imipramine</w:t>
      </w:r>
      <w:proofErr w:type="spellEnd"/>
      <w:r w:rsidRPr="001E5E74">
        <w:rPr>
          <w:rFonts w:ascii="Arial" w:hAnsi="Arial" w:cs="Arial"/>
          <w:color w:val="000000"/>
          <w:sz w:val="24"/>
          <w:szCs w:val="24"/>
        </w:rPr>
        <w:t xml:space="preserve">) </w:t>
      </w:r>
      <w:r w:rsidR="00A25CB4">
        <w:rPr>
          <w:rFonts w:ascii="Arial" w:hAnsi="Arial" w:cs="Arial"/>
          <w:color w:val="000000"/>
          <w:sz w:val="24"/>
          <w:szCs w:val="24"/>
        </w:rPr>
        <w:t>due to the</w:t>
      </w:r>
      <w:r w:rsidRPr="001E5E74">
        <w:rPr>
          <w:rFonts w:ascii="Arial" w:hAnsi="Arial" w:cs="Arial"/>
          <w:color w:val="000000"/>
          <w:sz w:val="24"/>
          <w:szCs w:val="24"/>
        </w:rPr>
        <w:t xml:space="preserve"> risk of inhibition of </w:t>
      </w:r>
      <w:proofErr w:type="spellStart"/>
      <w:r w:rsidRPr="001E5E74">
        <w:rPr>
          <w:rFonts w:ascii="Arial" w:hAnsi="Arial" w:cs="Arial"/>
          <w:color w:val="000000"/>
          <w:sz w:val="24"/>
          <w:szCs w:val="24"/>
        </w:rPr>
        <w:t>clonidine’s</w:t>
      </w:r>
      <w:proofErr w:type="spellEnd"/>
      <w:r w:rsidRPr="001E5E74">
        <w:rPr>
          <w:rFonts w:ascii="Arial" w:hAnsi="Arial" w:cs="Arial"/>
          <w:color w:val="000000"/>
          <w:sz w:val="24"/>
          <w:szCs w:val="24"/>
        </w:rPr>
        <w:t xml:space="preserve"> antihypertensive effect due to antagonism of adrenergic receptors.</w:t>
      </w:r>
    </w:p>
    <w:p w:rsidR="00A25CB4" w:rsidRPr="00A25CB4" w:rsidRDefault="00A25CB4" w:rsidP="00A25CB4">
      <w:pPr>
        <w:pStyle w:val="ListParagraph"/>
        <w:rPr>
          <w:rFonts w:ascii="Arial" w:hAnsi="Arial" w:cs="Arial"/>
          <w:color w:val="000000"/>
          <w:sz w:val="24"/>
          <w:szCs w:val="24"/>
        </w:rPr>
      </w:pPr>
    </w:p>
    <w:p w:rsidR="006A573A" w:rsidRDefault="006A573A" w:rsidP="006A573A">
      <w:pPr>
        <w:pStyle w:val="ListParagraph"/>
        <w:numPr>
          <w:ilvl w:val="0"/>
          <w:numId w:val="3"/>
        </w:numPr>
        <w:spacing w:after="0"/>
        <w:rPr>
          <w:rFonts w:ascii="Arial" w:hAnsi="Arial" w:cs="Arial"/>
          <w:sz w:val="24"/>
          <w:szCs w:val="24"/>
        </w:rPr>
      </w:pPr>
      <w:r w:rsidRPr="006A573A">
        <w:rPr>
          <w:rFonts w:ascii="Arial" w:hAnsi="Arial" w:cs="Arial"/>
          <w:sz w:val="24"/>
          <w:szCs w:val="24"/>
        </w:rPr>
        <w:t>5 HT1D agonists (</w:t>
      </w:r>
      <w:proofErr w:type="spellStart"/>
      <w:r>
        <w:rPr>
          <w:rFonts w:ascii="Arial" w:hAnsi="Arial" w:cs="Arial"/>
          <w:sz w:val="24"/>
          <w:szCs w:val="24"/>
        </w:rPr>
        <w:t>triptans</w:t>
      </w:r>
      <w:proofErr w:type="spellEnd"/>
      <w:r w:rsidRPr="006A573A">
        <w:rPr>
          <w:rFonts w:ascii="Arial" w:hAnsi="Arial" w:cs="Arial"/>
          <w:sz w:val="24"/>
          <w:szCs w:val="24"/>
        </w:rPr>
        <w:t xml:space="preserve">) </w:t>
      </w:r>
      <w:r>
        <w:rPr>
          <w:rFonts w:ascii="Arial" w:hAnsi="Arial" w:cs="Arial"/>
          <w:sz w:val="24"/>
          <w:szCs w:val="24"/>
        </w:rPr>
        <w:t xml:space="preserve">due to the risk of hypertension and coronary artery vasoconstriction by additive </w:t>
      </w:r>
      <w:proofErr w:type="spellStart"/>
      <w:r>
        <w:rPr>
          <w:rFonts w:ascii="Arial" w:hAnsi="Arial" w:cs="Arial"/>
          <w:sz w:val="24"/>
          <w:szCs w:val="24"/>
        </w:rPr>
        <w:t>serotoninergic</w:t>
      </w:r>
      <w:proofErr w:type="spellEnd"/>
      <w:r>
        <w:rPr>
          <w:rFonts w:ascii="Arial" w:hAnsi="Arial" w:cs="Arial"/>
          <w:sz w:val="24"/>
          <w:szCs w:val="24"/>
        </w:rPr>
        <w:t xml:space="preserve"> effects.</w:t>
      </w:r>
      <w:r w:rsidRPr="006A573A">
        <w:rPr>
          <w:rFonts w:ascii="Arial" w:hAnsi="Arial" w:cs="Arial"/>
          <w:sz w:val="24"/>
          <w:szCs w:val="24"/>
        </w:rPr>
        <w:t xml:space="preserve">  There should be an interval of one week between the end of treatment with </w:t>
      </w:r>
      <w:proofErr w:type="spellStart"/>
      <w:r w:rsidRPr="006A573A">
        <w:rPr>
          <w:rFonts w:ascii="Arial" w:hAnsi="Arial" w:cs="Arial"/>
          <w:sz w:val="24"/>
          <w:szCs w:val="24"/>
        </w:rPr>
        <w:t>milnacipran</w:t>
      </w:r>
      <w:proofErr w:type="spellEnd"/>
      <w:r w:rsidRPr="006A573A">
        <w:rPr>
          <w:rFonts w:ascii="Arial" w:hAnsi="Arial" w:cs="Arial"/>
          <w:sz w:val="24"/>
          <w:szCs w:val="24"/>
        </w:rPr>
        <w:t>, and the beginning of treatment with 5 HT1D agonists.</w:t>
      </w:r>
    </w:p>
    <w:p w:rsidR="00A3505A" w:rsidRPr="00A3505A" w:rsidRDefault="00A3505A" w:rsidP="00A3505A">
      <w:pPr>
        <w:pStyle w:val="ListParagraph"/>
        <w:rPr>
          <w:rFonts w:ascii="Arial" w:hAnsi="Arial" w:cs="Arial"/>
          <w:sz w:val="24"/>
          <w:szCs w:val="24"/>
        </w:rPr>
      </w:pPr>
    </w:p>
    <w:p w:rsidR="00A3505A" w:rsidRDefault="00A3505A" w:rsidP="00A3505A">
      <w:pPr>
        <w:pStyle w:val="ListParagraph"/>
        <w:numPr>
          <w:ilvl w:val="0"/>
          <w:numId w:val="3"/>
        </w:numPr>
        <w:spacing w:after="0"/>
      </w:pPr>
      <w:r>
        <w:rPr>
          <w:rFonts w:ascii="Arial" w:hAnsi="Arial" w:cs="Arial"/>
          <w:sz w:val="24"/>
          <w:szCs w:val="24"/>
        </w:rPr>
        <w:t xml:space="preserve">Lithium, antipsychotic medications, dopamine agonists and tryptophan. These medicines may increase the incidence of serotonin syndrome or </w:t>
      </w:r>
      <w:proofErr w:type="spellStart"/>
      <w:r>
        <w:rPr>
          <w:rFonts w:ascii="Arial" w:hAnsi="Arial" w:cs="Arial"/>
          <w:sz w:val="24"/>
          <w:szCs w:val="24"/>
        </w:rPr>
        <w:t>neuroleptic</w:t>
      </w:r>
      <w:proofErr w:type="spellEnd"/>
      <w:r>
        <w:rPr>
          <w:rFonts w:ascii="Arial" w:hAnsi="Arial" w:cs="Arial"/>
          <w:sz w:val="24"/>
          <w:szCs w:val="24"/>
        </w:rPr>
        <w:t xml:space="preserve"> malignant syndrome. </w:t>
      </w:r>
    </w:p>
    <w:p w:rsidR="00A3505A" w:rsidRPr="00A3505A" w:rsidRDefault="00A3505A" w:rsidP="00A3505A">
      <w:pPr>
        <w:spacing w:after="0"/>
        <w:ind w:left="360"/>
        <w:rPr>
          <w:rFonts w:ascii="Arial" w:hAnsi="Arial" w:cs="Arial"/>
          <w:sz w:val="24"/>
          <w:szCs w:val="24"/>
        </w:rPr>
      </w:pPr>
    </w:p>
    <w:p w:rsidR="009D19FE" w:rsidRPr="00463B12" w:rsidRDefault="00463B12" w:rsidP="001C7A08">
      <w:pPr>
        <w:spacing w:after="0"/>
        <w:rPr>
          <w:rFonts w:ascii="Arial" w:hAnsi="Arial" w:cs="Arial"/>
          <w:b/>
          <w:color w:val="000000"/>
          <w:sz w:val="24"/>
          <w:szCs w:val="24"/>
        </w:rPr>
      </w:pPr>
      <w:r w:rsidRPr="00463B12">
        <w:rPr>
          <w:rFonts w:ascii="Arial" w:hAnsi="Arial" w:cs="Arial"/>
          <w:b/>
          <w:color w:val="000000"/>
          <w:sz w:val="24"/>
          <w:szCs w:val="24"/>
        </w:rPr>
        <w:t xml:space="preserve">Effects on ability to drive and </w:t>
      </w:r>
      <w:r w:rsidR="00CB369B">
        <w:rPr>
          <w:rFonts w:ascii="Arial" w:hAnsi="Arial" w:cs="Arial"/>
          <w:b/>
          <w:color w:val="000000"/>
          <w:sz w:val="24"/>
          <w:szCs w:val="24"/>
        </w:rPr>
        <w:t>operate machinery</w:t>
      </w:r>
    </w:p>
    <w:p w:rsidR="001C7A08" w:rsidRDefault="00463B12" w:rsidP="001C7A08">
      <w:pPr>
        <w:spacing w:after="0"/>
        <w:rPr>
          <w:rFonts w:ascii="Arial" w:hAnsi="Arial" w:cs="Arial"/>
          <w:sz w:val="24"/>
          <w:szCs w:val="24"/>
        </w:rPr>
      </w:pPr>
      <w:r>
        <w:rPr>
          <w:rFonts w:ascii="Arial" w:hAnsi="Arial" w:cs="Arial"/>
          <w:sz w:val="24"/>
          <w:szCs w:val="24"/>
        </w:rPr>
        <w:t>Although no alterations in cognitive or psychomotor functions have been observed in healthy volunteers, this medication can reduce mental and physical capacities necessary to perform certain dangerous tasks, such as operating machinery or driving motor vehicles.</w:t>
      </w:r>
    </w:p>
    <w:p w:rsidR="005D0477" w:rsidRDefault="005D0477" w:rsidP="001C7A08">
      <w:pPr>
        <w:spacing w:after="0"/>
        <w:rPr>
          <w:rFonts w:ascii="Arial" w:hAnsi="Arial" w:cs="Arial"/>
          <w:sz w:val="24"/>
          <w:szCs w:val="24"/>
        </w:rPr>
      </w:pPr>
    </w:p>
    <w:p w:rsidR="005D0477" w:rsidRPr="005D0477" w:rsidRDefault="005D0477" w:rsidP="001C7A08">
      <w:pPr>
        <w:spacing w:after="0"/>
        <w:rPr>
          <w:rFonts w:ascii="Arial" w:hAnsi="Arial" w:cs="Arial"/>
          <w:b/>
          <w:sz w:val="24"/>
          <w:szCs w:val="24"/>
        </w:rPr>
      </w:pPr>
      <w:r w:rsidRPr="005D0477">
        <w:rPr>
          <w:rFonts w:ascii="Arial" w:hAnsi="Arial" w:cs="Arial"/>
          <w:b/>
          <w:sz w:val="24"/>
          <w:szCs w:val="24"/>
        </w:rPr>
        <w:t>Paediatric use</w:t>
      </w:r>
    </w:p>
    <w:p w:rsidR="00A3505A" w:rsidRDefault="005D0477" w:rsidP="00A3505A">
      <w:pPr>
        <w:spacing w:after="0"/>
        <w:rPr>
          <w:rFonts w:ascii="Arial" w:hAnsi="Arial" w:cs="Arial"/>
          <w:sz w:val="24"/>
          <w:szCs w:val="24"/>
        </w:rPr>
      </w:pPr>
      <w:r>
        <w:rPr>
          <w:rFonts w:ascii="Arial" w:hAnsi="Arial" w:cs="Arial"/>
          <w:sz w:val="24"/>
          <w:szCs w:val="24"/>
        </w:rPr>
        <w:t>Safety and effectiveness have not been established.</w:t>
      </w:r>
      <w:r w:rsidR="00525A42">
        <w:rPr>
          <w:rFonts w:ascii="Arial" w:hAnsi="Arial" w:cs="Arial"/>
          <w:sz w:val="24"/>
          <w:szCs w:val="24"/>
        </w:rPr>
        <w:t xml:space="preserve">  </w:t>
      </w:r>
      <w:r w:rsidR="00A3505A">
        <w:rPr>
          <w:rFonts w:ascii="Arial" w:hAnsi="Arial" w:cs="Arial"/>
          <w:sz w:val="24"/>
          <w:szCs w:val="24"/>
        </w:rPr>
        <w:t>Use in children and adolescents aged &lt; 18 years is not recommended.</w:t>
      </w:r>
    </w:p>
    <w:p w:rsidR="001C7A08" w:rsidRDefault="001C7A08" w:rsidP="001C7A08">
      <w:pPr>
        <w:spacing w:after="0"/>
        <w:rPr>
          <w:rFonts w:ascii="Arial" w:hAnsi="Arial" w:cs="Arial"/>
          <w:sz w:val="24"/>
          <w:szCs w:val="24"/>
        </w:rPr>
      </w:pPr>
    </w:p>
    <w:p w:rsidR="00122854" w:rsidRDefault="00122854" w:rsidP="001C7A08">
      <w:pPr>
        <w:spacing w:after="0"/>
        <w:rPr>
          <w:rFonts w:ascii="Arial" w:hAnsi="Arial" w:cs="Arial"/>
          <w:sz w:val="24"/>
          <w:szCs w:val="24"/>
        </w:rPr>
      </w:pPr>
    </w:p>
    <w:p w:rsidR="005D0477" w:rsidRDefault="005D0477" w:rsidP="005D0477">
      <w:pPr>
        <w:spacing w:after="0"/>
        <w:rPr>
          <w:rFonts w:ascii="Arial" w:hAnsi="Arial" w:cs="Arial"/>
          <w:b/>
          <w:sz w:val="24"/>
          <w:szCs w:val="24"/>
        </w:rPr>
      </w:pPr>
      <w:r>
        <w:rPr>
          <w:rFonts w:ascii="Arial" w:hAnsi="Arial" w:cs="Arial"/>
          <w:b/>
          <w:sz w:val="24"/>
          <w:szCs w:val="24"/>
        </w:rPr>
        <w:t>ADVERSE EFFECTS</w:t>
      </w:r>
    </w:p>
    <w:p w:rsidR="005D0477" w:rsidRDefault="005D0477" w:rsidP="005D0477">
      <w:pPr>
        <w:spacing w:after="0"/>
        <w:rPr>
          <w:rFonts w:ascii="Arial" w:hAnsi="Arial" w:cs="Arial"/>
          <w:b/>
          <w:sz w:val="24"/>
          <w:szCs w:val="24"/>
        </w:rPr>
      </w:pPr>
    </w:p>
    <w:p w:rsidR="005D0477" w:rsidRPr="00731245" w:rsidRDefault="001F2FD1" w:rsidP="005D0477">
      <w:pPr>
        <w:spacing w:after="0"/>
        <w:rPr>
          <w:rFonts w:ascii="Arial" w:hAnsi="Arial" w:cs="Arial"/>
          <w:sz w:val="24"/>
          <w:szCs w:val="24"/>
        </w:rPr>
      </w:pPr>
      <w:r>
        <w:rPr>
          <w:rFonts w:ascii="Arial" w:hAnsi="Arial" w:cs="Arial"/>
          <w:sz w:val="24"/>
          <w:szCs w:val="24"/>
        </w:rPr>
        <w:t xml:space="preserve">The adverse drug reactions observed in the phase II and III placebo-controlled clinical trials comprising a total of </w:t>
      </w:r>
      <w:r w:rsidR="00135231">
        <w:rPr>
          <w:rFonts w:ascii="Arial" w:hAnsi="Arial" w:cs="Arial"/>
          <w:sz w:val="24"/>
          <w:szCs w:val="24"/>
        </w:rPr>
        <w:t>4203</w:t>
      </w:r>
      <w:r>
        <w:rPr>
          <w:rFonts w:ascii="Arial" w:hAnsi="Arial" w:cs="Arial"/>
          <w:sz w:val="24"/>
          <w:szCs w:val="24"/>
        </w:rPr>
        <w:t xml:space="preserve"> patients: </w:t>
      </w:r>
      <w:r w:rsidR="00135231">
        <w:rPr>
          <w:rFonts w:ascii="Arial" w:hAnsi="Arial" w:cs="Arial"/>
          <w:sz w:val="24"/>
          <w:szCs w:val="24"/>
        </w:rPr>
        <w:t>2550</w:t>
      </w:r>
      <w:r>
        <w:rPr>
          <w:rFonts w:ascii="Arial" w:hAnsi="Arial" w:cs="Arial"/>
          <w:sz w:val="24"/>
          <w:szCs w:val="24"/>
        </w:rPr>
        <w:t xml:space="preserve"> on </w:t>
      </w:r>
      <w:proofErr w:type="spellStart"/>
      <w:r>
        <w:rPr>
          <w:rFonts w:ascii="Arial" w:hAnsi="Arial" w:cs="Arial"/>
          <w:sz w:val="24"/>
          <w:szCs w:val="24"/>
        </w:rPr>
        <w:t>milnacipran</w:t>
      </w:r>
      <w:proofErr w:type="spellEnd"/>
      <w:r>
        <w:rPr>
          <w:rFonts w:ascii="Arial" w:hAnsi="Arial" w:cs="Arial"/>
          <w:sz w:val="24"/>
          <w:szCs w:val="24"/>
        </w:rPr>
        <w:t xml:space="preserve"> (50 mg BID and 100 mg BID) and </w:t>
      </w:r>
      <w:r w:rsidR="00135231">
        <w:rPr>
          <w:rFonts w:ascii="Arial" w:hAnsi="Arial" w:cs="Arial"/>
          <w:sz w:val="24"/>
          <w:szCs w:val="24"/>
        </w:rPr>
        <w:t>1653</w:t>
      </w:r>
      <w:r>
        <w:rPr>
          <w:rFonts w:ascii="Arial" w:hAnsi="Arial" w:cs="Arial"/>
          <w:sz w:val="24"/>
          <w:szCs w:val="24"/>
        </w:rPr>
        <w:t xml:space="preserve"> on placebo, for a treatment duration of at least </w:t>
      </w:r>
      <w:r w:rsidR="00135231">
        <w:rPr>
          <w:rFonts w:ascii="Arial" w:hAnsi="Arial" w:cs="Arial"/>
          <w:sz w:val="24"/>
          <w:szCs w:val="24"/>
        </w:rPr>
        <w:t>12</w:t>
      </w:r>
      <w:r>
        <w:rPr>
          <w:rFonts w:ascii="Arial" w:hAnsi="Arial" w:cs="Arial"/>
          <w:sz w:val="24"/>
          <w:szCs w:val="24"/>
        </w:rPr>
        <w:t xml:space="preserve"> weeks are presented in </w:t>
      </w:r>
      <w:r w:rsidR="00D82ECE" w:rsidRPr="00731245">
        <w:rPr>
          <w:rFonts w:ascii="Arial" w:hAnsi="Arial" w:cs="Arial"/>
          <w:sz w:val="24"/>
          <w:szCs w:val="24"/>
        </w:rPr>
        <w:t>Table</w:t>
      </w:r>
      <w:r w:rsidRPr="00731245">
        <w:rPr>
          <w:rFonts w:ascii="Arial" w:hAnsi="Arial" w:cs="Arial"/>
          <w:sz w:val="24"/>
          <w:szCs w:val="24"/>
        </w:rPr>
        <w:t xml:space="preserve"> </w:t>
      </w:r>
      <w:r w:rsidR="00E96366">
        <w:rPr>
          <w:rFonts w:ascii="Arial" w:hAnsi="Arial" w:cs="Arial"/>
          <w:sz w:val="24"/>
          <w:szCs w:val="24"/>
        </w:rPr>
        <w:t>1</w:t>
      </w:r>
      <w:r w:rsidRPr="00731245">
        <w:rPr>
          <w:rFonts w:ascii="Arial" w:hAnsi="Arial" w:cs="Arial"/>
          <w:sz w:val="24"/>
          <w:szCs w:val="24"/>
        </w:rPr>
        <w:t xml:space="preserve">. </w:t>
      </w:r>
    </w:p>
    <w:p w:rsidR="00D82ECE" w:rsidRDefault="00D82ECE" w:rsidP="005D0477">
      <w:pPr>
        <w:spacing w:after="0"/>
        <w:rPr>
          <w:rFonts w:ascii="Arial" w:hAnsi="Arial" w:cs="Arial"/>
          <w:sz w:val="24"/>
          <w:szCs w:val="24"/>
        </w:rPr>
      </w:pPr>
    </w:p>
    <w:p w:rsidR="00D82ECE" w:rsidRDefault="00D82ECE" w:rsidP="005D0477">
      <w:pPr>
        <w:spacing w:after="0"/>
        <w:rPr>
          <w:rFonts w:ascii="Arial" w:hAnsi="Arial" w:cs="Arial"/>
          <w:sz w:val="24"/>
          <w:szCs w:val="24"/>
        </w:rPr>
      </w:pPr>
      <w:r>
        <w:rPr>
          <w:rFonts w:ascii="Arial" w:hAnsi="Arial" w:cs="Arial"/>
          <w:sz w:val="24"/>
          <w:szCs w:val="24"/>
        </w:rPr>
        <w:t xml:space="preserve">The most commonly reported adverse drug reactions were nausea, headache, constipation, </w:t>
      </w:r>
      <w:proofErr w:type="spellStart"/>
      <w:r>
        <w:rPr>
          <w:rFonts w:ascii="Arial" w:hAnsi="Arial" w:cs="Arial"/>
          <w:sz w:val="24"/>
          <w:szCs w:val="24"/>
        </w:rPr>
        <w:t>hyperhidrosis</w:t>
      </w:r>
      <w:proofErr w:type="spellEnd"/>
      <w:r>
        <w:rPr>
          <w:rFonts w:ascii="Arial" w:hAnsi="Arial" w:cs="Arial"/>
          <w:sz w:val="24"/>
          <w:szCs w:val="24"/>
        </w:rPr>
        <w:t xml:space="preserve"> and hot flushes.</w:t>
      </w:r>
    </w:p>
    <w:p w:rsidR="00D82ECE" w:rsidRDefault="00D82ECE" w:rsidP="005D0477">
      <w:pPr>
        <w:spacing w:after="0"/>
        <w:rPr>
          <w:rFonts w:ascii="Arial" w:hAnsi="Arial" w:cs="Arial"/>
          <w:sz w:val="24"/>
          <w:szCs w:val="24"/>
        </w:rPr>
      </w:pPr>
    </w:p>
    <w:p w:rsidR="005D0477" w:rsidRDefault="00D82ECE" w:rsidP="001C7A08">
      <w:pPr>
        <w:spacing w:after="0"/>
        <w:rPr>
          <w:rFonts w:ascii="Arial" w:hAnsi="Arial" w:cs="Arial"/>
          <w:sz w:val="24"/>
          <w:szCs w:val="24"/>
        </w:rPr>
      </w:pPr>
      <w:r>
        <w:rPr>
          <w:rFonts w:ascii="Arial" w:hAnsi="Arial" w:cs="Arial"/>
          <w:sz w:val="24"/>
          <w:szCs w:val="24"/>
        </w:rPr>
        <w:t>The majority of the most frequent adverse reactions occurred</w:t>
      </w:r>
      <w:r w:rsidR="008C51C4">
        <w:rPr>
          <w:rFonts w:ascii="Arial" w:hAnsi="Arial" w:cs="Arial"/>
          <w:sz w:val="24"/>
          <w:szCs w:val="24"/>
        </w:rPr>
        <w:t xml:space="preserve"> mainly</w:t>
      </w:r>
      <w:r>
        <w:rPr>
          <w:rFonts w:ascii="Arial" w:hAnsi="Arial" w:cs="Arial"/>
          <w:sz w:val="24"/>
          <w:szCs w:val="24"/>
        </w:rPr>
        <w:t xml:space="preserve"> in the first four weeks of therapy and were mild to moderate in severity.</w:t>
      </w:r>
      <w:r w:rsidR="009F186D">
        <w:rPr>
          <w:rFonts w:ascii="Arial" w:hAnsi="Arial" w:cs="Arial"/>
          <w:sz w:val="24"/>
          <w:szCs w:val="24"/>
        </w:rPr>
        <w:t xml:space="preserve">  </w:t>
      </w:r>
      <w:r w:rsidR="008C51C4">
        <w:rPr>
          <w:rFonts w:ascii="Arial" w:hAnsi="Arial" w:cs="Arial"/>
          <w:sz w:val="24"/>
          <w:szCs w:val="24"/>
        </w:rPr>
        <w:t>A few</w:t>
      </w:r>
      <w:r w:rsidR="00B70E00">
        <w:rPr>
          <w:rFonts w:ascii="Arial" w:hAnsi="Arial" w:cs="Arial"/>
          <w:sz w:val="24"/>
          <w:szCs w:val="24"/>
        </w:rPr>
        <w:t xml:space="preserve"> adverse reactions</w:t>
      </w:r>
      <w:r w:rsidR="008C51C4">
        <w:rPr>
          <w:rFonts w:ascii="Arial" w:hAnsi="Arial" w:cs="Arial"/>
          <w:sz w:val="24"/>
          <w:szCs w:val="24"/>
        </w:rPr>
        <w:t xml:space="preserve"> which</w:t>
      </w:r>
      <w:r w:rsidR="009B283F">
        <w:rPr>
          <w:rFonts w:ascii="Arial" w:hAnsi="Arial" w:cs="Arial"/>
          <w:sz w:val="24"/>
          <w:szCs w:val="24"/>
        </w:rPr>
        <w:t xml:space="preserve"> </w:t>
      </w:r>
      <w:r w:rsidR="008C51C4">
        <w:rPr>
          <w:rFonts w:ascii="Arial" w:hAnsi="Arial" w:cs="Arial"/>
          <w:sz w:val="24"/>
          <w:szCs w:val="24"/>
        </w:rPr>
        <w:t xml:space="preserve">appeared to be dose-related: </w:t>
      </w:r>
      <w:proofErr w:type="spellStart"/>
      <w:r w:rsidR="008C51C4">
        <w:rPr>
          <w:rFonts w:ascii="Arial" w:hAnsi="Arial" w:cs="Arial"/>
          <w:sz w:val="24"/>
          <w:szCs w:val="24"/>
        </w:rPr>
        <w:t>hyperh</w:t>
      </w:r>
      <w:r w:rsidR="008056C3">
        <w:rPr>
          <w:rFonts w:ascii="Arial" w:hAnsi="Arial" w:cs="Arial"/>
          <w:sz w:val="24"/>
          <w:szCs w:val="24"/>
        </w:rPr>
        <w:t>i</w:t>
      </w:r>
      <w:r w:rsidR="008C51C4">
        <w:rPr>
          <w:rFonts w:ascii="Arial" w:hAnsi="Arial" w:cs="Arial"/>
          <w:sz w:val="24"/>
          <w:szCs w:val="24"/>
        </w:rPr>
        <w:t>drosis</w:t>
      </w:r>
      <w:proofErr w:type="spellEnd"/>
      <w:r w:rsidR="008C51C4">
        <w:rPr>
          <w:rFonts w:ascii="Arial" w:hAnsi="Arial" w:cs="Arial"/>
          <w:sz w:val="24"/>
          <w:szCs w:val="24"/>
        </w:rPr>
        <w:t xml:space="preserve">, increased heart rate, insomnia, headache, nausea, vomiting and constipation, were the most frequent </w:t>
      </w:r>
      <w:r w:rsidR="009B283F">
        <w:rPr>
          <w:rFonts w:ascii="Arial" w:hAnsi="Arial" w:cs="Arial"/>
          <w:sz w:val="24"/>
          <w:szCs w:val="24"/>
        </w:rPr>
        <w:t>adverse reactions leading to discontinuation of therapy</w:t>
      </w:r>
      <w:r w:rsidR="008C51C4">
        <w:rPr>
          <w:rFonts w:ascii="Arial" w:hAnsi="Arial" w:cs="Arial"/>
          <w:sz w:val="24"/>
          <w:szCs w:val="24"/>
        </w:rPr>
        <w:t xml:space="preserve">.  </w:t>
      </w:r>
      <w:proofErr w:type="spellStart"/>
      <w:r w:rsidR="008C51C4">
        <w:rPr>
          <w:rFonts w:ascii="Arial" w:hAnsi="Arial" w:cs="Arial"/>
          <w:sz w:val="24"/>
          <w:szCs w:val="24"/>
        </w:rPr>
        <w:t>Milnacipran</w:t>
      </w:r>
      <w:proofErr w:type="spellEnd"/>
      <w:r w:rsidR="008C51C4">
        <w:rPr>
          <w:rFonts w:ascii="Arial" w:hAnsi="Arial" w:cs="Arial"/>
          <w:sz w:val="24"/>
          <w:szCs w:val="24"/>
        </w:rPr>
        <w:t xml:space="preserve"> hydrochloride dose reduction can be attempted before treatment discontinuation.</w:t>
      </w:r>
    </w:p>
    <w:p w:rsidR="001174B4" w:rsidRDefault="001174B4">
      <w:pPr>
        <w:spacing w:after="0" w:line="240" w:lineRule="auto"/>
        <w:rPr>
          <w:rFonts w:ascii="Arial" w:hAnsi="Arial" w:cs="Arial"/>
          <w:sz w:val="24"/>
          <w:szCs w:val="24"/>
        </w:rPr>
      </w:pPr>
      <w:r>
        <w:rPr>
          <w:rFonts w:ascii="Arial" w:hAnsi="Arial" w:cs="Arial"/>
          <w:sz w:val="24"/>
          <w:szCs w:val="24"/>
        </w:rPr>
        <w:br w:type="page"/>
      </w:r>
    </w:p>
    <w:p w:rsidR="007C0AAB" w:rsidRPr="00FD6806" w:rsidRDefault="00E96366" w:rsidP="007C0AAB">
      <w:pPr>
        <w:pStyle w:val="legtable"/>
        <w:rPr>
          <w:rFonts w:ascii="Arial" w:hAnsi="Arial" w:cs="Arial"/>
        </w:rPr>
      </w:pPr>
      <w:bookmarkStart w:id="0" w:name="TAB_C_URGT"/>
      <w:r w:rsidRPr="00FD6806">
        <w:rPr>
          <w:rFonts w:ascii="Arial" w:hAnsi="Arial" w:cs="Arial"/>
        </w:rPr>
        <w:t xml:space="preserve">Table 1: </w:t>
      </w:r>
      <w:r w:rsidR="007C0AAB" w:rsidRPr="00FD6806">
        <w:rPr>
          <w:rFonts w:ascii="Arial" w:hAnsi="Arial" w:cs="Arial"/>
        </w:rPr>
        <w:t xml:space="preserve">Number of Patients with </w:t>
      </w:r>
      <w:r w:rsidRPr="00FD6806">
        <w:rPr>
          <w:rFonts w:ascii="Arial" w:hAnsi="Arial" w:cs="Arial"/>
        </w:rPr>
        <w:t>Treatment-Emergent Adverse Events (</w:t>
      </w:r>
      <w:r w:rsidR="007C0AAB" w:rsidRPr="00FD6806">
        <w:rPr>
          <w:rFonts w:ascii="Arial" w:hAnsi="Arial" w:cs="Arial"/>
        </w:rPr>
        <w:t>TEAEs</w:t>
      </w:r>
      <w:r w:rsidRPr="00FD6806">
        <w:rPr>
          <w:rFonts w:ascii="Arial" w:hAnsi="Arial" w:cs="Arial"/>
        </w:rPr>
        <w:t>)</w:t>
      </w:r>
      <w:r w:rsidR="007C0AAB" w:rsidRPr="00FD6806">
        <w:rPr>
          <w:rFonts w:ascii="Arial" w:hAnsi="Arial" w:cs="Arial"/>
        </w:rPr>
        <w:t xml:space="preserve"> Reported in ≥ 2% of Patients by </w:t>
      </w:r>
      <w:r w:rsidRPr="00FD6806">
        <w:rPr>
          <w:rFonts w:ascii="Arial" w:hAnsi="Arial" w:cs="Arial"/>
        </w:rPr>
        <w:t xml:space="preserve">System Organ Class </w:t>
      </w:r>
      <w:r w:rsidR="007C0AAB" w:rsidRPr="00FD6806">
        <w:rPr>
          <w:rFonts w:ascii="Arial" w:hAnsi="Arial" w:cs="Arial"/>
        </w:rPr>
        <w:t xml:space="preserve">and </w:t>
      </w:r>
      <w:r w:rsidRPr="00FD6806">
        <w:rPr>
          <w:rFonts w:ascii="Arial" w:hAnsi="Arial" w:cs="Arial"/>
        </w:rPr>
        <w:t xml:space="preserve">Preferred Term </w:t>
      </w:r>
      <w:bookmarkEnd w:id="0"/>
      <w:r w:rsidR="00EE557D">
        <w:rPr>
          <w:rFonts w:ascii="Arial" w:hAnsi="Arial" w:cs="Arial"/>
        </w:rPr>
        <w:t xml:space="preserve">        </w:t>
      </w:r>
      <w:r w:rsidRPr="00FD6806">
        <w:rPr>
          <w:rFonts w:ascii="Arial" w:hAnsi="Arial" w:cs="Arial"/>
        </w:rPr>
        <w:t>(3 Months Exposure)</w:t>
      </w:r>
    </w:p>
    <w:tbl>
      <w:tblPr>
        <w:tblW w:w="0" w:type="auto"/>
        <w:jc w:val="center"/>
        <w:tblCellMar>
          <w:left w:w="40" w:type="dxa"/>
          <w:right w:w="20" w:type="dxa"/>
        </w:tblCellMar>
        <w:tblLook w:val="0000"/>
      </w:tblPr>
      <w:tblGrid>
        <w:gridCol w:w="4293"/>
        <w:gridCol w:w="485"/>
        <w:gridCol w:w="741"/>
        <w:gridCol w:w="374"/>
        <w:gridCol w:w="741"/>
        <w:gridCol w:w="485"/>
        <w:gridCol w:w="741"/>
        <w:gridCol w:w="485"/>
        <w:gridCol w:w="741"/>
      </w:tblGrid>
      <w:tr w:rsidR="007C0AAB" w:rsidRPr="00EE557D" w:rsidTr="00D72FFF">
        <w:trPr>
          <w:cantSplit/>
          <w:tblHeader/>
          <w:jc w:val="center"/>
        </w:trPr>
        <w:tc>
          <w:tcPr>
            <w:tcW w:w="0" w:type="auto"/>
            <w:vMerge w:val="restart"/>
            <w:tcBorders>
              <w:top w:val="single" w:sz="6" w:space="0" w:color="808080"/>
              <w:left w:val="single" w:sz="6" w:space="0" w:color="808080"/>
              <w:bottom w:val="nil"/>
              <w:right w:val="single" w:sz="6" w:space="0" w:color="808080"/>
            </w:tcBorders>
            <w:shd w:val="clear" w:color="auto" w:fill="EEEEEE"/>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System Organ Class</w:t>
            </w:r>
            <w:r w:rsidRPr="00EE557D">
              <w:rPr>
                <w:rFonts w:ascii="Arial" w:hAnsi="Arial" w:cs="Arial"/>
                <w:sz w:val="20"/>
                <w:szCs w:val="20"/>
              </w:rPr>
              <w:br/>
              <w:t>   Preferred Term</w:t>
            </w:r>
          </w:p>
        </w:tc>
        <w:tc>
          <w:tcPr>
            <w:tcW w:w="0" w:type="auto"/>
            <w:gridSpan w:val="2"/>
            <w:tcBorders>
              <w:top w:val="single" w:sz="6" w:space="0" w:color="808080"/>
              <w:left w:val="single" w:sz="6" w:space="0" w:color="808080"/>
              <w:bottom w:val="nil"/>
              <w:right w:val="single" w:sz="6" w:space="0" w:color="808080"/>
            </w:tcBorders>
            <w:shd w:val="clear" w:color="auto" w:fill="EEEEEE"/>
          </w:tcPr>
          <w:p w:rsidR="007C0AAB" w:rsidRPr="00EE557D" w:rsidRDefault="007C0AAB" w:rsidP="007C0AAB">
            <w:pPr>
              <w:pStyle w:val="TableCell"/>
              <w:jc w:val="center"/>
              <w:rPr>
                <w:rFonts w:ascii="Arial" w:hAnsi="Arial" w:cs="Arial"/>
                <w:sz w:val="20"/>
                <w:szCs w:val="20"/>
              </w:rPr>
            </w:pPr>
            <w:r w:rsidRPr="00EE557D">
              <w:rPr>
                <w:rFonts w:ascii="Arial" w:hAnsi="Arial" w:cs="Arial"/>
                <w:sz w:val="20"/>
                <w:szCs w:val="20"/>
              </w:rPr>
              <w:t>Placebo</w:t>
            </w:r>
          </w:p>
        </w:tc>
        <w:tc>
          <w:tcPr>
            <w:tcW w:w="0" w:type="auto"/>
            <w:gridSpan w:val="2"/>
            <w:tcBorders>
              <w:top w:val="single" w:sz="6" w:space="0" w:color="808080"/>
              <w:left w:val="single" w:sz="6" w:space="0" w:color="808080"/>
              <w:bottom w:val="nil"/>
              <w:right w:val="single" w:sz="6" w:space="0" w:color="808080"/>
            </w:tcBorders>
            <w:shd w:val="clear" w:color="auto" w:fill="EEEEEE"/>
          </w:tcPr>
          <w:p w:rsidR="007C0AAB" w:rsidRPr="00EE557D" w:rsidRDefault="007C0AAB" w:rsidP="007C0AAB">
            <w:pPr>
              <w:pStyle w:val="TableCell"/>
              <w:jc w:val="center"/>
              <w:rPr>
                <w:rFonts w:ascii="Arial" w:hAnsi="Arial" w:cs="Arial"/>
                <w:sz w:val="20"/>
                <w:szCs w:val="20"/>
              </w:rPr>
            </w:pPr>
            <w:r w:rsidRPr="00EE557D">
              <w:rPr>
                <w:rFonts w:ascii="Arial" w:hAnsi="Arial" w:cs="Arial"/>
                <w:sz w:val="20"/>
                <w:szCs w:val="20"/>
              </w:rPr>
              <w:t>MLN 100</w:t>
            </w:r>
          </w:p>
        </w:tc>
        <w:tc>
          <w:tcPr>
            <w:tcW w:w="0" w:type="auto"/>
            <w:gridSpan w:val="2"/>
            <w:tcBorders>
              <w:top w:val="single" w:sz="6" w:space="0" w:color="808080"/>
              <w:left w:val="single" w:sz="6" w:space="0" w:color="808080"/>
              <w:bottom w:val="nil"/>
              <w:right w:val="single" w:sz="6" w:space="0" w:color="808080"/>
            </w:tcBorders>
            <w:shd w:val="clear" w:color="auto" w:fill="EEEEEE"/>
          </w:tcPr>
          <w:p w:rsidR="007C0AAB" w:rsidRPr="00EE557D" w:rsidRDefault="007C0AAB" w:rsidP="007C0AAB">
            <w:pPr>
              <w:pStyle w:val="TableCell"/>
              <w:jc w:val="center"/>
              <w:rPr>
                <w:rFonts w:ascii="Arial" w:hAnsi="Arial" w:cs="Arial"/>
                <w:sz w:val="20"/>
                <w:szCs w:val="20"/>
              </w:rPr>
            </w:pPr>
            <w:r w:rsidRPr="00EE557D">
              <w:rPr>
                <w:rFonts w:ascii="Arial" w:hAnsi="Arial" w:cs="Arial"/>
                <w:sz w:val="20"/>
                <w:szCs w:val="20"/>
              </w:rPr>
              <w:t>MLN 200</w:t>
            </w:r>
          </w:p>
        </w:tc>
        <w:tc>
          <w:tcPr>
            <w:tcW w:w="0" w:type="auto"/>
            <w:gridSpan w:val="2"/>
            <w:tcBorders>
              <w:top w:val="single" w:sz="6" w:space="0" w:color="808080"/>
              <w:left w:val="single" w:sz="6" w:space="0" w:color="808080"/>
              <w:bottom w:val="nil"/>
              <w:right w:val="single" w:sz="6" w:space="0" w:color="808080"/>
            </w:tcBorders>
            <w:shd w:val="clear" w:color="auto" w:fill="EEEEEE"/>
          </w:tcPr>
          <w:p w:rsidR="007C0AAB" w:rsidRPr="00EE557D" w:rsidRDefault="007C0AAB" w:rsidP="007C0AAB">
            <w:pPr>
              <w:pStyle w:val="TableCell"/>
              <w:jc w:val="center"/>
              <w:rPr>
                <w:rFonts w:ascii="Arial" w:hAnsi="Arial" w:cs="Arial"/>
                <w:sz w:val="20"/>
                <w:szCs w:val="20"/>
              </w:rPr>
            </w:pPr>
            <w:r w:rsidRPr="00EE557D">
              <w:rPr>
                <w:rFonts w:ascii="Arial" w:hAnsi="Arial" w:cs="Arial"/>
                <w:sz w:val="20"/>
                <w:szCs w:val="20"/>
              </w:rPr>
              <w:t>All MLN</w:t>
            </w:r>
          </w:p>
        </w:tc>
      </w:tr>
      <w:tr w:rsidR="007C0AAB" w:rsidRPr="00EE557D" w:rsidTr="00D72FFF">
        <w:tblPrEx>
          <w:tblCellMar>
            <w:right w:w="0" w:type="dxa"/>
          </w:tblCellMar>
        </w:tblPrEx>
        <w:trPr>
          <w:cantSplit/>
          <w:tblHeader/>
          <w:jc w:val="center"/>
        </w:trPr>
        <w:tc>
          <w:tcPr>
            <w:tcW w:w="0" w:type="auto"/>
            <w:vMerge/>
            <w:tcBorders>
              <w:top w:val="single" w:sz="6" w:space="0" w:color="808080"/>
              <w:left w:val="single" w:sz="6" w:space="0" w:color="808080"/>
              <w:bottom w:val="nil"/>
              <w:right w:val="single" w:sz="6" w:space="0" w:color="808080"/>
            </w:tcBorders>
            <w:vAlign w:val="center"/>
          </w:tcPr>
          <w:p w:rsidR="007C0AAB" w:rsidRPr="00EE557D" w:rsidRDefault="007C0AAB" w:rsidP="007C0AAB">
            <w:pPr>
              <w:rPr>
                <w:rFonts w:ascii="Arial" w:hAnsi="Arial" w:cs="Arial"/>
                <w:sz w:val="20"/>
                <w:szCs w:val="20"/>
                <w:lang w:val="en-US"/>
              </w:rPr>
            </w:pPr>
          </w:p>
        </w:tc>
        <w:tc>
          <w:tcPr>
            <w:tcW w:w="0" w:type="auto"/>
            <w:gridSpan w:val="2"/>
            <w:tcBorders>
              <w:top w:val="nil"/>
              <w:left w:val="single" w:sz="6" w:space="0" w:color="808080"/>
              <w:bottom w:val="nil"/>
              <w:right w:val="single" w:sz="6" w:space="0" w:color="808080"/>
            </w:tcBorders>
            <w:shd w:val="clear" w:color="auto" w:fill="EEEEEE"/>
          </w:tcPr>
          <w:p w:rsidR="007C0AAB" w:rsidRPr="00EE557D" w:rsidRDefault="007C0AAB" w:rsidP="007C0AAB">
            <w:pPr>
              <w:pStyle w:val="TableCell"/>
              <w:jc w:val="center"/>
              <w:rPr>
                <w:rFonts w:ascii="Arial" w:hAnsi="Arial" w:cs="Arial"/>
                <w:sz w:val="20"/>
                <w:szCs w:val="20"/>
              </w:rPr>
            </w:pPr>
            <w:r w:rsidRPr="00EE557D">
              <w:rPr>
                <w:rFonts w:ascii="Arial" w:hAnsi="Arial" w:cs="Arial"/>
                <w:sz w:val="20"/>
                <w:szCs w:val="20"/>
              </w:rPr>
              <w:t>N=1653</w:t>
            </w:r>
          </w:p>
        </w:tc>
        <w:tc>
          <w:tcPr>
            <w:tcW w:w="0" w:type="auto"/>
            <w:gridSpan w:val="2"/>
            <w:tcBorders>
              <w:top w:val="nil"/>
              <w:left w:val="single" w:sz="6" w:space="0" w:color="808080"/>
              <w:bottom w:val="nil"/>
              <w:right w:val="single" w:sz="6" w:space="0" w:color="808080"/>
            </w:tcBorders>
            <w:shd w:val="clear" w:color="auto" w:fill="EEEEEE"/>
          </w:tcPr>
          <w:p w:rsidR="007C0AAB" w:rsidRPr="00EE557D" w:rsidRDefault="007C0AAB" w:rsidP="007C0AAB">
            <w:pPr>
              <w:pStyle w:val="TableCell"/>
              <w:jc w:val="center"/>
              <w:rPr>
                <w:rFonts w:ascii="Arial" w:hAnsi="Arial" w:cs="Arial"/>
                <w:sz w:val="20"/>
                <w:szCs w:val="20"/>
              </w:rPr>
            </w:pPr>
            <w:r w:rsidRPr="00EE557D">
              <w:rPr>
                <w:rFonts w:ascii="Arial" w:hAnsi="Arial" w:cs="Arial"/>
                <w:sz w:val="20"/>
                <w:szCs w:val="20"/>
              </w:rPr>
              <w:t>N=1139</w:t>
            </w:r>
          </w:p>
        </w:tc>
        <w:tc>
          <w:tcPr>
            <w:tcW w:w="0" w:type="auto"/>
            <w:gridSpan w:val="2"/>
            <w:tcBorders>
              <w:top w:val="nil"/>
              <w:left w:val="single" w:sz="6" w:space="0" w:color="808080"/>
              <w:bottom w:val="nil"/>
              <w:right w:val="single" w:sz="6" w:space="0" w:color="808080"/>
            </w:tcBorders>
            <w:shd w:val="clear" w:color="auto" w:fill="EEEEEE"/>
          </w:tcPr>
          <w:p w:rsidR="007C0AAB" w:rsidRPr="00EE557D" w:rsidRDefault="007C0AAB" w:rsidP="007C0AAB">
            <w:pPr>
              <w:pStyle w:val="TableCell"/>
              <w:jc w:val="center"/>
              <w:rPr>
                <w:rFonts w:ascii="Arial" w:hAnsi="Arial" w:cs="Arial"/>
                <w:sz w:val="20"/>
                <w:szCs w:val="20"/>
              </w:rPr>
            </w:pPr>
            <w:r w:rsidRPr="00EE557D">
              <w:rPr>
                <w:rFonts w:ascii="Arial" w:hAnsi="Arial" w:cs="Arial"/>
                <w:sz w:val="20"/>
                <w:szCs w:val="20"/>
              </w:rPr>
              <w:t>N=1411</w:t>
            </w:r>
          </w:p>
        </w:tc>
        <w:tc>
          <w:tcPr>
            <w:tcW w:w="0" w:type="auto"/>
            <w:gridSpan w:val="2"/>
            <w:tcBorders>
              <w:top w:val="nil"/>
              <w:left w:val="single" w:sz="6" w:space="0" w:color="808080"/>
              <w:bottom w:val="nil"/>
              <w:right w:val="single" w:sz="6" w:space="0" w:color="808080"/>
            </w:tcBorders>
            <w:shd w:val="clear" w:color="auto" w:fill="EEEEEE"/>
          </w:tcPr>
          <w:p w:rsidR="007C0AAB" w:rsidRPr="00EE557D" w:rsidRDefault="007C0AAB" w:rsidP="007C0AAB">
            <w:pPr>
              <w:pStyle w:val="TableCell"/>
              <w:jc w:val="center"/>
              <w:rPr>
                <w:rFonts w:ascii="Arial" w:hAnsi="Arial" w:cs="Arial"/>
                <w:sz w:val="20"/>
                <w:szCs w:val="20"/>
              </w:rPr>
            </w:pPr>
            <w:r w:rsidRPr="00EE557D">
              <w:rPr>
                <w:rFonts w:ascii="Arial" w:hAnsi="Arial" w:cs="Arial"/>
                <w:sz w:val="20"/>
                <w:szCs w:val="20"/>
              </w:rPr>
              <w:t>N=2550</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Number of patients with at least one TEAE</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1247</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(75.4%)</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979</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(86.0%)</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1208</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(85.6%)</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2187</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(85.8%)</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Infections and infestations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401</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(24.3%)</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259</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(22.7%)</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318</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(22.5%)</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577</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(22.6%)</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Sinusitis</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(3.2%)</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(4.7%)</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w:t>
            </w:r>
            <w:proofErr w:type="spellStart"/>
            <w:r w:rsidRPr="00EE557D">
              <w:rPr>
                <w:rFonts w:ascii="Arial" w:hAnsi="Arial" w:cs="Arial"/>
                <w:sz w:val="20"/>
                <w:szCs w:val="20"/>
              </w:rPr>
              <w:t>Nasopharyngitis</w:t>
            </w:r>
            <w:proofErr w:type="spellEnd"/>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(4.0%)</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Upper respiratory tract infection</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(3.9%)</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(4.2%)</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(3.0%)</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(3.6%)</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Influenza</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(3.0%)</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Metabolism and nutrition disorders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76</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(4.6%)</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55</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(4.8%)</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63</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(4.5%)</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118</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(4.6%)</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Decreased appetite</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(0.9%)</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Psychiatric disorders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278</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(16.8%)</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229</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(20.1%)</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264</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(18.7%)</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493</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(19.3%)</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Insomnia</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123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132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(9.8%)</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Anxiety</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(3.5%)</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Depression</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(3.9%)</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(2.7%)</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Nervous system disorders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446</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(27.0%)</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400</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(35.1%)</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459</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(32.5%)</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859</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(33.7%)</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Headache</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228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(13.8%)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203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(17.8%)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234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(16.6%)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437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(17.1%)</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Dizziness</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(6.2%)</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(10.2%)</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139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(9.9%)</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255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(10.0%)</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Migraine</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(3.8%)</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Cardiac disorders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74</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(4.5%)</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122</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(10.7%)</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156</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(11.1%)</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278</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(10.9%)</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Palpitations</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80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(7.0%)</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174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(6.8%)</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Tachycardia</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(0.7%)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(3.6%)</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Vascular disorders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79</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(4.8%)</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213</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(18.7%)</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238</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(16.9%)</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451</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(17.7%)</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Hot flush</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124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(10.9%)</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140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(9.9%)</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(10.4%)</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Hypertension</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(5.5%)</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(4.2%)</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Flushing</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(0.7%)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(2.5%)</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Gastrointestinal disorders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553</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(33.5%)</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585</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(51.4%)</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743</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(52.7%)</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1328</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(52.1%)</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Nausea</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290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(17.5%)</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405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(35.6%)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494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(35.0%)</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899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(35.3%)</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Constipation</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(3.0%)</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169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(14.8%)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(14.0%)</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367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(14.4%)</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Vomiting</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(2.5%)</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89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144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(5.6%)</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Dry mouth</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(2.2%)</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(4.2%)</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(4.5%)</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w:t>
            </w:r>
            <w:proofErr w:type="spellStart"/>
            <w:r w:rsidRPr="00EE557D">
              <w:rPr>
                <w:rFonts w:ascii="Arial" w:hAnsi="Arial" w:cs="Arial"/>
                <w:sz w:val="20"/>
                <w:szCs w:val="20"/>
              </w:rPr>
              <w:t>Diarrhoea</w:t>
            </w:r>
            <w:proofErr w:type="spellEnd"/>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86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(5.2%)</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(4.7%)</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94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(3.7%)</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Abdominal pain upper</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(2.0%)</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(2.7%)</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Abdominal pain</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(1.5%)</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27</w:t>
            </w:r>
          </w:p>
        </w:tc>
        <w:tc>
          <w:tcPr>
            <w:tcW w:w="0" w:type="auto"/>
            <w:tcBorders>
              <w:top w:val="nil"/>
              <w:left w:val="nil"/>
              <w:bottom w:val="nil"/>
              <w:right w:val="single" w:sz="6" w:space="0" w:color="808080"/>
            </w:tcBorders>
          </w:tcPr>
          <w:p w:rsidR="007C0AAB" w:rsidRPr="00EE557D" w:rsidRDefault="007C0AAB" w:rsidP="007C0AAB">
            <w:pPr>
              <w:pStyle w:val="TableCell"/>
              <w:jc w:val="right"/>
              <w:rPr>
                <w:sz w:val="20"/>
                <w:szCs w:val="20"/>
              </w:rPr>
            </w:pPr>
            <w:r w:rsidRPr="00EE557D">
              <w:rPr>
                <w:rFonts w:ascii="Arial" w:hAnsi="Arial" w:cs="Arial"/>
                <w:sz w:val="20"/>
                <w:szCs w:val="20"/>
              </w:rPr>
              <w:t>(2.4%)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Dyspepsia</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Skin and subcutaneous tissue disorders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131</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(7.9%)</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171</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(15.0%)</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314</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(22.3%)</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485</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(19.0%)</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w:t>
            </w:r>
            <w:proofErr w:type="spellStart"/>
            <w:r w:rsidRPr="00EE557D">
              <w:rPr>
                <w:rFonts w:ascii="Arial" w:hAnsi="Arial" w:cs="Arial"/>
                <w:sz w:val="20"/>
                <w:szCs w:val="20"/>
              </w:rPr>
              <w:t>Hyperhidrosis</w:t>
            </w:r>
            <w:proofErr w:type="spellEnd"/>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85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(7.5%)</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(13.6%)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277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(10.9%)</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Rash</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(3.5%)</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(2.9%)</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w:t>
            </w:r>
            <w:proofErr w:type="spellStart"/>
            <w:r w:rsidRPr="00EE557D">
              <w:rPr>
                <w:rFonts w:ascii="Arial" w:hAnsi="Arial" w:cs="Arial"/>
                <w:sz w:val="20"/>
                <w:szCs w:val="20"/>
              </w:rPr>
              <w:t>Pruritus</w:t>
            </w:r>
            <w:proofErr w:type="spellEnd"/>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(2.0%)</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Musculoskeletal and connective tissue disorders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318</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(19.2%)</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211</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(18.5%)</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219</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(15.5%)</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430</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(16.9%)</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Back pain</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72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(2.8%)</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Fibromyalgia</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(3.2%)</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(2.7%)</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Muscle spasms</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Pain in extremity</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(2.5%)</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30</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(1.5%)</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(2.0%)</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w:t>
            </w:r>
            <w:proofErr w:type="spellStart"/>
            <w:r w:rsidRPr="00EE557D">
              <w:rPr>
                <w:rFonts w:ascii="Arial" w:hAnsi="Arial" w:cs="Arial"/>
                <w:sz w:val="20"/>
                <w:szCs w:val="20"/>
              </w:rPr>
              <w:t>Arthralgia</w:t>
            </w:r>
            <w:proofErr w:type="spellEnd"/>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(2.0%)</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(1.8%)</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General disorders and administration site conditions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204</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(12.3%)</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188</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(16.5%)</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196</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(13.9%)</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384</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(15.1%)</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lang w:val="fr-FR"/>
              </w:rPr>
            </w:pPr>
            <w:r w:rsidRPr="00EE557D">
              <w:rPr>
                <w:rFonts w:ascii="Arial" w:hAnsi="Arial" w:cs="Arial"/>
                <w:sz w:val="20"/>
                <w:szCs w:val="20"/>
                <w:lang w:val="fr-FR"/>
              </w:rPr>
              <w:t>   Fatigue</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76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(4.6%)</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68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(6.0%)</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63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(4.5%)</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131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(5.1%)</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lang w:val="fr-FR"/>
              </w:rPr>
            </w:pPr>
            <w:r w:rsidRPr="00EE557D">
              <w:rPr>
                <w:rFonts w:ascii="Arial" w:hAnsi="Arial" w:cs="Arial"/>
                <w:sz w:val="20"/>
                <w:szCs w:val="20"/>
                <w:lang w:val="fr-FR"/>
              </w:rPr>
              <w:t>   Pain</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34</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(2.1%)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15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(1.3%)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31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(2.2%)</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46</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lang w:val="fr-FR"/>
              </w:rPr>
            </w:pPr>
            <w:r w:rsidRPr="00EE557D">
              <w:rPr>
                <w:rFonts w:ascii="Arial" w:hAnsi="Arial" w:cs="Arial"/>
                <w:sz w:val="20"/>
                <w:szCs w:val="20"/>
                <w:lang w:val="fr-FR"/>
              </w:rPr>
              <w:t>(1.8%)</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lang w:val="fr-FR"/>
              </w:rPr>
            </w:pPr>
            <w:r w:rsidRPr="00EE557D">
              <w:rPr>
                <w:rFonts w:ascii="Arial" w:hAnsi="Arial" w:cs="Arial"/>
                <w:sz w:val="20"/>
                <w:szCs w:val="20"/>
                <w:lang w:val="fr-FR"/>
              </w:rPr>
              <w:t>   Irritability</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27</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(2.4%)</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15</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42</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(1.6%)</w:t>
            </w:r>
          </w:p>
        </w:tc>
      </w:tr>
      <w:tr w:rsidR="007C0AAB" w:rsidRPr="00EE557D" w:rsidTr="00D72FFF">
        <w:tblPrEx>
          <w:tblCellMar>
            <w:right w:w="0" w:type="dxa"/>
          </w:tblCellMar>
        </w:tblPrEx>
        <w:trPr>
          <w:cantSplit/>
          <w:jc w:val="center"/>
        </w:trPr>
        <w:tc>
          <w:tcPr>
            <w:tcW w:w="0" w:type="auto"/>
            <w:tcBorders>
              <w:top w:val="nil"/>
              <w:left w:val="single" w:sz="6" w:space="0" w:color="808080"/>
              <w:bottom w:val="nil"/>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Chest pain</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19</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23</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(2.0%)</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18</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(1.3%)</w:t>
            </w:r>
          </w:p>
        </w:tc>
        <w:tc>
          <w:tcPr>
            <w:tcW w:w="0" w:type="auto"/>
            <w:tcBorders>
              <w:top w:val="nil"/>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41</w:t>
            </w:r>
          </w:p>
        </w:tc>
        <w:tc>
          <w:tcPr>
            <w:tcW w:w="0" w:type="auto"/>
            <w:tcBorders>
              <w:top w:val="nil"/>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(1.6%)</w:t>
            </w:r>
          </w:p>
        </w:tc>
      </w:tr>
      <w:tr w:rsidR="007C0AAB" w:rsidRPr="00EE557D" w:rsidTr="00D72FFF">
        <w:tblPrEx>
          <w:tblCellMar>
            <w:right w:w="0" w:type="dxa"/>
          </w:tblCellMar>
        </w:tblPrEx>
        <w:trPr>
          <w:cantSplit/>
          <w:jc w:val="center"/>
        </w:trPr>
        <w:tc>
          <w:tcPr>
            <w:tcW w:w="0" w:type="auto"/>
            <w:tcBorders>
              <w:top w:val="single" w:sz="6" w:space="0" w:color="808080"/>
              <w:left w:val="single" w:sz="6" w:space="0" w:color="808080"/>
              <w:bottom w:val="nil"/>
              <w:right w:val="single" w:sz="6" w:space="0" w:color="808080"/>
            </w:tcBorders>
          </w:tcPr>
          <w:p w:rsidR="007C0AAB" w:rsidRPr="00EE557D" w:rsidRDefault="007C0AAB" w:rsidP="007C0AAB">
            <w:pPr>
              <w:pStyle w:val="TableHead"/>
              <w:rPr>
                <w:rFonts w:ascii="Arial" w:hAnsi="Arial" w:cs="Arial"/>
                <w:sz w:val="20"/>
                <w:szCs w:val="20"/>
              </w:rPr>
            </w:pPr>
            <w:r w:rsidRPr="00EE557D">
              <w:rPr>
                <w:rFonts w:ascii="Arial" w:hAnsi="Arial" w:cs="Arial"/>
                <w:sz w:val="20"/>
                <w:szCs w:val="20"/>
              </w:rPr>
              <w:t>Investigations</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112</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(6.8%)</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150</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(13.2%)</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179</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(12.7%)</w:t>
            </w:r>
          </w:p>
        </w:tc>
        <w:tc>
          <w:tcPr>
            <w:tcW w:w="0" w:type="auto"/>
            <w:tcBorders>
              <w:top w:val="single" w:sz="6" w:space="0" w:color="808080"/>
              <w:left w:val="single" w:sz="6" w:space="0" w:color="808080"/>
              <w:bottom w:val="nil"/>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329</w:t>
            </w:r>
          </w:p>
        </w:tc>
        <w:tc>
          <w:tcPr>
            <w:tcW w:w="0" w:type="auto"/>
            <w:tcBorders>
              <w:top w:val="single" w:sz="6" w:space="0" w:color="808080"/>
              <w:left w:val="nil"/>
              <w:bottom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(12.9%)</w:t>
            </w:r>
          </w:p>
        </w:tc>
      </w:tr>
      <w:tr w:rsidR="007C0AAB" w:rsidRPr="00EE557D" w:rsidTr="00D72FFF">
        <w:tblPrEx>
          <w:tblCellMar>
            <w:right w:w="0" w:type="dxa"/>
          </w:tblCellMar>
        </w:tblPrEx>
        <w:trPr>
          <w:cantSplit/>
          <w:jc w:val="center"/>
        </w:trPr>
        <w:tc>
          <w:tcPr>
            <w:tcW w:w="0" w:type="auto"/>
            <w:tcBorders>
              <w:top w:val="nil"/>
              <w:left w:val="single" w:sz="6" w:space="0" w:color="808080"/>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Heart rate increased</w:t>
            </w:r>
          </w:p>
        </w:tc>
        <w:tc>
          <w:tcPr>
            <w:tcW w:w="0" w:type="auto"/>
            <w:tcBorders>
              <w:top w:val="nil"/>
              <w:left w:val="single" w:sz="6" w:space="0" w:color="808080"/>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14</w:t>
            </w:r>
          </w:p>
        </w:tc>
        <w:tc>
          <w:tcPr>
            <w:tcW w:w="0" w:type="auto"/>
            <w:tcBorders>
              <w:top w:val="nil"/>
              <w:left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(0.8%)</w:t>
            </w:r>
          </w:p>
        </w:tc>
        <w:tc>
          <w:tcPr>
            <w:tcW w:w="0" w:type="auto"/>
            <w:tcBorders>
              <w:top w:val="nil"/>
              <w:left w:val="single" w:sz="6" w:space="0" w:color="808080"/>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50</w:t>
            </w:r>
          </w:p>
        </w:tc>
        <w:tc>
          <w:tcPr>
            <w:tcW w:w="0" w:type="auto"/>
            <w:tcBorders>
              <w:top w:val="nil"/>
              <w:left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(4.4%)</w:t>
            </w:r>
          </w:p>
        </w:tc>
        <w:tc>
          <w:tcPr>
            <w:tcW w:w="0" w:type="auto"/>
            <w:tcBorders>
              <w:top w:val="nil"/>
              <w:left w:val="single" w:sz="6" w:space="0" w:color="808080"/>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64</w:t>
            </w:r>
          </w:p>
        </w:tc>
        <w:tc>
          <w:tcPr>
            <w:tcW w:w="0" w:type="auto"/>
            <w:tcBorders>
              <w:top w:val="nil"/>
              <w:left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(4.5%)</w:t>
            </w:r>
          </w:p>
        </w:tc>
        <w:tc>
          <w:tcPr>
            <w:tcW w:w="0" w:type="auto"/>
            <w:tcBorders>
              <w:top w:val="nil"/>
              <w:left w:val="single" w:sz="6" w:space="0" w:color="808080"/>
              <w:right w:val="nil"/>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114</w:t>
            </w:r>
          </w:p>
        </w:tc>
        <w:tc>
          <w:tcPr>
            <w:tcW w:w="0" w:type="auto"/>
            <w:tcBorders>
              <w:top w:val="nil"/>
              <w:left w:val="nil"/>
              <w:right w:val="single" w:sz="6" w:space="0" w:color="808080"/>
            </w:tcBorders>
          </w:tcPr>
          <w:p w:rsidR="007C0AAB" w:rsidRPr="00EE557D" w:rsidRDefault="007C0AAB" w:rsidP="007C0AAB">
            <w:pPr>
              <w:pStyle w:val="TableCell"/>
              <w:jc w:val="right"/>
              <w:rPr>
                <w:rFonts w:ascii="Arial" w:hAnsi="Arial" w:cs="Arial"/>
                <w:sz w:val="20"/>
                <w:szCs w:val="20"/>
              </w:rPr>
            </w:pPr>
            <w:r w:rsidRPr="00EE557D">
              <w:rPr>
                <w:rFonts w:ascii="Arial" w:hAnsi="Arial" w:cs="Arial"/>
                <w:sz w:val="20"/>
                <w:szCs w:val="20"/>
              </w:rPr>
              <w:t>(4.5%)</w:t>
            </w:r>
          </w:p>
        </w:tc>
      </w:tr>
      <w:tr w:rsidR="007C0AAB" w:rsidRPr="00EE557D" w:rsidTr="00D72FFF">
        <w:tblPrEx>
          <w:tblCellMar>
            <w:right w:w="0" w:type="dxa"/>
          </w:tblCellMar>
        </w:tblPrEx>
        <w:trPr>
          <w:cantSplit/>
          <w:jc w:val="center"/>
        </w:trPr>
        <w:tc>
          <w:tcPr>
            <w:tcW w:w="0" w:type="auto"/>
            <w:tcBorders>
              <w:top w:val="nil"/>
              <w:left w:val="single" w:sz="6" w:space="0" w:color="808080"/>
              <w:bottom w:val="single" w:sz="6" w:space="0" w:color="808080"/>
              <w:right w:val="single" w:sz="6" w:space="0" w:color="808080"/>
            </w:tcBorders>
          </w:tcPr>
          <w:p w:rsidR="007C0AAB" w:rsidRPr="00EE557D" w:rsidRDefault="007C0AAB" w:rsidP="007C0AAB">
            <w:pPr>
              <w:pStyle w:val="TableCell"/>
              <w:rPr>
                <w:rFonts w:ascii="Arial" w:hAnsi="Arial" w:cs="Arial"/>
                <w:sz w:val="20"/>
                <w:szCs w:val="20"/>
              </w:rPr>
            </w:pPr>
            <w:r w:rsidRPr="00EE557D">
              <w:rPr>
                <w:rFonts w:ascii="Arial" w:hAnsi="Arial" w:cs="Arial"/>
                <w:sz w:val="20"/>
                <w:szCs w:val="20"/>
              </w:rPr>
              <w:t>   Blood pressure increased</w:t>
            </w:r>
          </w:p>
        </w:tc>
        <w:tc>
          <w:tcPr>
            <w:tcW w:w="0" w:type="auto"/>
            <w:tcBorders>
              <w:top w:val="nil"/>
              <w:left w:val="single" w:sz="6" w:space="0" w:color="808080"/>
              <w:bottom w:val="single" w:sz="6" w:space="0" w:color="808080"/>
              <w:right w:val="nil"/>
            </w:tcBorders>
          </w:tcPr>
          <w:p w:rsidR="007C0AAB" w:rsidRPr="00EE557D" w:rsidRDefault="007C0AAB" w:rsidP="007C0AAB">
            <w:pPr>
              <w:pStyle w:val="TableCell"/>
              <w:jc w:val="right"/>
              <w:rPr>
                <w:rFonts w:ascii="Arial" w:hAnsi="Arial" w:cs="Arial"/>
                <w:sz w:val="20"/>
                <w:szCs w:val="20"/>
                <w:lang w:val="en-GB"/>
              </w:rPr>
            </w:pPr>
            <w:r w:rsidRPr="00EE557D">
              <w:rPr>
                <w:rFonts w:ascii="Arial" w:hAnsi="Arial" w:cs="Arial"/>
                <w:sz w:val="20"/>
                <w:szCs w:val="20"/>
                <w:lang w:val="en-GB"/>
              </w:rPr>
              <w:t>15</w:t>
            </w:r>
          </w:p>
        </w:tc>
        <w:tc>
          <w:tcPr>
            <w:tcW w:w="0" w:type="auto"/>
            <w:tcBorders>
              <w:top w:val="nil"/>
              <w:left w:val="nil"/>
              <w:bottom w:val="single" w:sz="6" w:space="0" w:color="808080"/>
              <w:right w:val="single" w:sz="6" w:space="0" w:color="808080"/>
            </w:tcBorders>
          </w:tcPr>
          <w:p w:rsidR="007C0AAB" w:rsidRPr="00EE557D" w:rsidRDefault="007C0AAB" w:rsidP="007C0AAB">
            <w:pPr>
              <w:pStyle w:val="TableCell"/>
              <w:jc w:val="right"/>
              <w:rPr>
                <w:rFonts w:ascii="Arial" w:hAnsi="Arial" w:cs="Arial"/>
                <w:sz w:val="20"/>
                <w:szCs w:val="20"/>
                <w:lang w:val="en-GB"/>
              </w:rPr>
            </w:pPr>
            <w:r w:rsidRPr="00EE557D">
              <w:rPr>
                <w:rFonts w:ascii="Arial" w:hAnsi="Arial" w:cs="Arial"/>
                <w:sz w:val="20"/>
                <w:szCs w:val="20"/>
                <w:lang w:val="en-GB"/>
              </w:rPr>
              <w:t>(0.9%)</w:t>
            </w:r>
          </w:p>
        </w:tc>
        <w:tc>
          <w:tcPr>
            <w:tcW w:w="0" w:type="auto"/>
            <w:tcBorders>
              <w:top w:val="nil"/>
              <w:left w:val="single" w:sz="6" w:space="0" w:color="808080"/>
              <w:bottom w:val="single" w:sz="6" w:space="0" w:color="808080"/>
              <w:right w:val="nil"/>
            </w:tcBorders>
          </w:tcPr>
          <w:p w:rsidR="007C0AAB" w:rsidRPr="00EE557D" w:rsidRDefault="007C0AAB" w:rsidP="007C0AAB">
            <w:pPr>
              <w:pStyle w:val="TableCell"/>
              <w:jc w:val="right"/>
              <w:rPr>
                <w:rFonts w:ascii="Arial" w:hAnsi="Arial" w:cs="Arial"/>
                <w:sz w:val="20"/>
                <w:szCs w:val="20"/>
                <w:lang w:val="en-GB"/>
              </w:rPr>
            </w:pPr>
            <w:r w:rsidRPr="00EE557D">
              <w:rPr>
                <w:rFonts w:ascii="Arial" w:hAnsi="Arial" w:cs="Arial"/>
                <w:sz w:val="20"/>
                <w:szCs w:val="20"/>
                <w:lang w:val="en-GB"/>
              </w:rPr>
              <w:t>40</w:t>
            </w:r>
          </w:p>
        </w:tc>
        <w:tc>
          <w:tcPr>
            <w:tcW w:w="0" w:type="auto"/>
            <w:tcBorders>
              <w:top w:val="nil"/>
              <w:left w:val="nil"/>
              <w:bottom w:val="single" w:sz="6" w:space="0" w:color="808080"/>
              <w:right w:val="single" w:sz="6" w:space="0" w:color="808080"/>
            </w:tcBorders>
          </w:tcPr>
          <w:p w:rsidR="007C0AAB" w:rsidRPr="00EE557D" w:rsidRDefault="007C0AAB" w:rsidP="007C0AAB">
            <w:pPr>
              <w:pStyle w:val="TableCell"/>
              <w:jc w:val="right"/>
              <w:rPr>
                <w:rFonts w:ascii="Arial" w:hAnsi="Arial" w:cs="Arial"/>
                <w:sz w:val="20"/>
                <w:szCs w:val="20"/>
                <w:lang w:val="en-GB"/>
              </w:rPr>
            </w:pPr>
            <w:r w:rsidRPr="00EE557D">
              <w:rPr>
                <w:rFonts w:ascii="Arial" w:hAnsi="Arial" w:cs="Arial"/>
                <w:sz w:val="20"/>
                <w:szCs w:val="20"/>
                <w:lang w:val="en-GB"/>
              </w:rPr>
              <w:t>(3.5%)</w:t>
            </w:r>
          </w:p>
        </w:tc>
        <w:tc>
          <w:tcPr>
            <w:tcW w:w="0" w:type="auto"/>
            <w:tcBorders>
              <w:top w:val="nil"/>
              <w:left w:val="single" w:sz="6" w:space="0" w:color="808080"/>
              <w:bottom w:val="single" w:sz="6" w:space="0" w:color="808080"/>
              <w:right w:val="nil"/>
            </w:tcBorders>
          </w:tcPr>
          <w:p w:rsidR="007C0AAB" w:rsidRPr="00EE557D" w:rsidRDefault="007C0AAB" w:rsidP="007C0AAB">
            <w:pPr>
              <w:pStyle w:val="TableCell"/>
              <w:jc w:val="right"/>
              <w:rPr>
                <w:rFonts w:ascii="Arial" w:hAnsi="Arial" w:cs="Arial"/>
                <w:sz w:val="20"/>
                <w:szCs w:val="20"/>
                <w:lang w:val="en-GB"/>
              </w:rPr>
            </w:pPr>
            <w:r w:rsidRPr="00EE557D">
              <w:rPr>
                <w:rFonts w:ascii="Arial" w:hAnsi="Arial" w:cs="Arial"/>
                <w:sz w:val="20"/>
                <w:szCs w:val="20"/>
                <w:lang w:val="en-GB"/>
              </w:rPr>
              <w:t>44</w:t>
            </w:r>
          </w:p>
        </w:tc>
        <w:tc>
          <w:tcPr>
            <w:tcW w:w="0" w:type="auto"/>
            <w:tcBorders>
              <w:top w:val="nil"/>
              <w:left w:val="nil"/>
              <w:bottom w:val="single" w:sz="6" w:space="0" w:color="808080"/>
              <w:right w:val="single" w:sz="6" w:space="0" w:color="808080"/>
            </w:tcBorders>
          </w:tcPr>
          <w:p w:rsidR="007C0AAB" w:rsidRPr="00EE557D" w:rsidRDefault="007C0AAB" w:rsidP="007C0AAB">
            <w:pPr>
              <w:pStyle w:val="TableCell"/>
              <w:jc w:val="right"/>
              <w:rPr>
                <w:rFonts w:ascii="Arial" w:hAnsi="Arial" w:cs="Arial"/>
                <w:sz w:val="20"/>
                <w:szCs w:val="20"/>
                <w:lang w:val="en-GB"/>
              </w:rPr>
            </w:pPr>
            <w:r w:rsidRPr="00EE557D">
              <w:rPr>
                <w:rFonts w:ascii="Arial" w:hAnsi="Arial" w:cs="Arial"/>
                <w:sz w:val="20"/>
                <w:szCs w:val="20"/>
                <w:lang w:val="en-GB"/>
              </w:rPr>
              <w:t>(3.1%)</w:t>
            </w:r>
          </w:p>
        </w:tc>
        <w:tc>
          <w:tcPr>
            <w:tcW w:w="0" w:type="auto"/>
            <w:tcBorders>
              <w:top w:val="nil"/>
              <w:left w:val="single" w:sz="6" w:space="0" w:color="808080"/>
              <w:bottom w:val="single" w:sz="6" w:space="0" w:color="808080"/>
              <w:right w:val="nil"/>
            </w:tcBorders>
          </w:tcPr>
          <w:p w:rsidR="007C0AAB" w:rsidRPr="00EE557D" w:rsidRDefault="007C0AAB" w:rsidP="007C0AAB">
            <w:pPr>
              <w:pStyle w:val="TableCell"/>
              <w:jc w:val="right"/>
              <w:rPr>
                <w:rFonts w:ascii="Arial" w:hAnsi="Arial" w:cs="Arial"/>
                <w:sz w:val="20"/>
                <w:szCs w:val="20"/>
                <w:lang w:val="en-GB"/>
              </w:rPr>
            </w:pPr>
            <w:r w:rsidRPr="00EE557D">
              <w:rPr>
                <w:rFonts w:ascii="Arial" w:hAnsi="Arial" w:cs="Arial"/>
                <w:sz w:val="20"/>
                <w:szCs w:val="20"/>
                <w:lang w:val="en-GB"/>
              </w:rPr>
              <w:t>84</w:t>
            </w:r>
          </w:p>
        </w:tc>
        <w:tc>
          <w:tcPr>
            <w:tcW w:w="0" w:type="auto"/>
            <w:tcBorders>
              <w:top w:val="nil"/>
              <w:left w:val="nil"/>
              <w:bottom w:val="single" w:sz="6" w:space="0" w:color="808080"/>
              <w:right w:val="single" w:sz="6" w:space="0" w:color="808080"/>
            </w:tcBorders>
          </w:tcPr>
          <w:p w:rsidR="007C0AAB" w:rsidRPr="00EE557D" w:rsidRDefault="007C0AAB" w:rsidP="007C0AAB">
            <w:pPr>
              <w:pStyle w:val="TableCell"/>
              <w:jc w:val="right"/>
              <w:rPr>
                <w:rFonts w:ascii="Arial" w:hAnsi="Arial" w:cs="Arial"/>
                <w:sz w:val="20"/>
                <w:szCs w:val="20"/>
                <w:lang w:val="en-GB"/>
              </w:rPr>
            </w:pPr>
            <w:r w:rsidRPr="00EE557D">
              <w:rPr>
                <w:rFonts w:ascii="Arial" w:hAnsi="Arial" w:cs="Arial"/>
                <w:sz w:val="20"/>
                <w:szCs w:val="20"/>
                <w:lang w:val="en-GB"/>
              </w:rPr>
              <w:t>(3.3%)</w:t>
            </w:r>
          </w:p>
        </w:tc>
      </w:tr>
    </w:tbl>
    <w:p w:rsidR="007C0AAB" w:rsidRDefault="007C0AAB" w:rsidP="007C0AAB">
      <w:pPr>
        <w:spacing w:after="0"/>
        <w:rPr>
          <w:rFonts w:ascii="Arial" w:hAnsi="Arial" w:cs="Arial"/>
          <w:sz w:val="24"/>
          <w:szCs w:val="24"/>
        </w:rPr>
      </w:pPr>
    </w:p>
    <w:p w:rsidR="007C0AAB" w:rsidRDefault="007C0AAB" w:rsidP="007C0AAB">
      <w:pPr>
        <w:spacing w:after="0"/>
        <w:rPr>
          <w:rFonts w:ascii="Arial" w:hAnsi="Arial" w:cs="Arial"/>
          <w:sz w:val="24"/>
          <w:szCs w:val="24"/>
        </w:rPr>
      </w:pPr>
      <w:r>
        <w:rPr>
          <w:rFonts w:ascii="Arial" w:hAnsi="Arial" w:cs="Arial"/>
          <w:sz w:val="24"/>
          <w:szCs w:val="24"/>
        </w:rPr>
        <w:t>The table above presents the most frequent adverse events, whether or not a causal relationship has been suspected.</w:t>
      </w:r>
    </w:p>
    <w:p w:rsidR="007C0AAB" w:rsidRDefault="007C0AAB" w:rsidP="007C0AAB">
      <w:pPr>
        <w:spacing w:after="0"/>
        <w:rPr>
          <w:sz w:val="24"/>
          <w:szCs w:val="24"/>
        </w:rPr>
      </w:pPr>
    </w:p>
    <w:p w:rsidR="007C0AAB" w:rsidRPr="00B561C5" w:rsidRDefault="007C0AAB" w:rsidP="007C0AAB">
      <w:pPr>
        <w:autoSpaceDE w:val="0"/>
        <w:autoSpaceDN w:val="0"/>
        <w:adjustRightInd w:val="0"/>
        <w:spacing w:after="0" w:line="240" w:lineRule="auto"/>
        <w:rPr>
          <w:rFonts w:ascii="Arial" w:hAnsi="Arial" w:cs="Arial"/>
          <w:sz w:val="24"/>
          <w:szCs w:val="24"/>
        </w:rPr>
      </w:pPr>
      <w:r w:rsidRPr="00B561C5">
        <w:rPr>
          <w:rFonts w:ascii="Arial" w:hAnsi="Arial" w:cs="Arial"/>
          <w:sz w:val="24"/>
          <w:szCs w:val="24"/>
        </w:rPr>
        <w:t>The following additional adverse drug reactions were reported less frequently during clinical trials in fibromyalgi</w:t>
      </w:r>
      <w:r>
        <w:rPr>
          <w:rFonts w:ascii="Arial" w:hAnsi="Arial" w:cs="Arial"/>
          <w:sz w:val="24"/>
          <w:szCs w:val="24"/>
        </w:rPr>
        <w:t>a with a suspected relationship</w:t>
      </w:r>
      <w:r w:rsidRPr="00B561C5">
        <w:rPr>
          <w:rFonts w:ascii="Arial" w:hAnsi="Arial" w:cs="Arial"/>
          <w:sz w:val="24"/>
          <w:szCs w:val="24"/>
        </w:rPr>
        <w:t>. Common events are defined as those occurring in =1% and &lt;</w:t>
      </w:r>
      <w:r>
        <w:rPr>
          <w:rFonts w:ascii="Arial" w:hAnsi="Arial" w:cs="Arial"/>
          <w:sz w:val="24"/>
          <w:szCs w:val="24"/>
        </w:rPr>
        <w:t>10</w:t>
      </w:r>
      <w:r w:rsidRPr="00B561C5">
        <w:rPr>
          <w:rFonts w:ascii="Arial" w:hAnsi="Arial" w:cs="Arial"/>
          <w:sz w:val="24"/>
          <w:szCs w:val="24"/>
        </w:rPr>
        <w:t>% of patients</w:t>
      </w:r>
      <w:r>
        <w:rPr>
          <w:rFonts w:ascii="Arial" w:hAnsi="Arial" w:cs="Arial"/>
          <w:sz w:val="24"/>
          <w:szCs w:val="24"/>
        </w:rPr>
        <w:t xml:space="preserve"> (but only those occurring in </w:t>
      </w:r>
      <w:r w:rsidRPr="00B561C5">
        <w:rPr>
          <w:rFonts w:ascii="Arial" w:hAnsi="Arial" w:cs="Arial"/>
          <w:sz w:val="24"/>
          <w:szCs w:val="24"/>
        </w:rPr>
        <w:t>=1% and &lt;</w:t>
      </w:r>
      <w:r>
        <w:rPr>
          <w:rFonts w:ascii="Arial" w:hAnsi="Arial" w:cs="Arial"/>
          <w:sz w:val="24"/>
          <w:szCs w:val="24"/>
        </w:rPr>
        <w:t>2</w:t>
      </w:r>
      <w:r w:rsidRPr="00B561C5">
        <w:rPr>
          <w:rFonts w:ascii="Arial" w:hAnsi="Arial" w:cs="Arial"/>
          <w:sz w:val="24"/>
          <w:szCs w:val="24"/>
        </w:rPr>
        <w:t>% of patients</w:t>
      </w:r>
      <w:r>
        <w:rPr>
          <w:rFonts w:ascii="Arial" w:hAnsi="Arial" w:cs="Arial"/>
          <w:sz w:val="24"/>
          <w:szCs w:val="24"/>
        </w:rPr>
        <w:t xml:space="preserve"> are listed here)</w:t>
      </w:r>
      <w:r w:rsidRPr="00B561C5">
        <w:rPr>
          <w:rFonts w:ascii="Arial" w:hAnsi="Arial" w:cs="Arial"/>
          <w:sz w:val="24"/>
          <w:szCs w:val="24"/>
        </w:rPr>
        <w:t>, uncommon events are defined as those occurring in =0.1% and &lt;1% of patients, and rare events are defined as those occurring in &lt;0.1% of patients.</w:t>
      </w:r>
    </w:p>
    <w:p w:rsidR="007C0AAB" w:rsidRPr="00B561C5" w:rsidRDefault="007C0AAB" w:rsidP="007C0AAB">
      <w:pPr>
        <w:spacing w:after="0"/>
        <w:jc w:val="both"/>
        <w:rPr>
          <w:rFonts w:ascii="Arial" w:hAnsi="Arial" w:cs="Arial"/>
          <w:sz w:val="24"/>
          <w:szCs w:val="24"/>
        </w:rPr>
      </w:pPr>
    </w:p>
    <w:p w:rsidR="007C0AAB" w:rsidRPr="00B561C5" w:rsidRDefault="007C0AAB" w:rsidP="007C0AAB">
      <w:pPr>
        <w:pStyle w:val="Heading2"/>
        <w:jc w:val="both"/>
      </w:pPr>
      <w:r w:rsidRPr="003311FA">
        <w:t>Immune System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Uncommon: h</w:t>
      </w:r>
      <w:r w:rsidR="007C0AAB" w:rsidRPr="00B561C5">
        <w:rPr>
          <w:rFonts w:ascii="Arial" w:hAnsi="Arial" w:cs="Arial"/>
          <w:sz w:val="24"/>
          <w:szCs w:val="24"/>
        </w:rPr>
        <w:t xml:space="preserve">ypersensitivity </w:t>
      </w:r>
    </w:p>
    <w:p w:rsidR="007C0AAB" w:rsidRPr="00B561C5" w:rsidRDefault="007C0AAB" w:rsidP="007C0AAB">
      <w:pPr>
        <w:pStyle w:val="Heading2"/>
        <w:jc w:val="both"/>
      </w:pPr>
      <w:r w:rsidRPr="003311FA">
        <w:t>Metabolism and Nutrition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Uncommon: w</w:t>
      </w:r>
      <w:r w:rsidR="007C0AAB" w:rsidRPr="00B561C5">
        <w:rPr>
          <w:rFonts w:ascii="Arial" w:hAnsi="Arial" w:cs="Arial"/>
          <w:sz w:val="24"/>
          <w:szCs w:val="24"/>
        </w:rPr>
        <w:t xml:space="preserve">eight loss </w:t>
      </w:r>
    </w:p>
    <w:p w:rsidR="007C0AAB" w:rsidRPr="00B561C5" w:rsidRDefault="007C0AAB" w:rsidP="007C0AAB">
      <w:pPr>
        <w:pStyle w:val="Heading2"/>
        <w:jc w:val="both"/>
      </w:pPr>
      <w:r w:rsidRPr="003311FA">
        <w:t>Psychiatric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Common: a</w:t>
      </w:r>
      <w:r w:rsidR="007C0AAB" w:rsidRPr="00B561C5">
        <w:rPr>
          <w:rFonts w:ascii="Arial" w:hAnsi="Arial" w:cs="Arial"/>
          <w:sz w:val="24"/>
          <w:szCs w:val="24"/>
        </w:rPr>
        <w:t>gitation</w:t>
      </w:r>
    </w:p>
    <w:p w:rsidR="007C0AAB" w:rsidRPr="00B561C5" w:rsidRDefault="00955DAB" w:rsidP="007C0AAB">
      <w:pPr>
        <w:spacing w:after="0"/>
        <w:ind w:left="360" w:right="-694"/>
        <w:jc w:val="both"/>
        <w:rPr>
          <w:rFonts w:ascii="Arial" w:hAnsi="Arial" w:cs="Arial"/>
          <w:sz w:val="24"/>
          <w:szCs w:val="24"/>
        </w:rPr>
      </w:pPr>
      <w:r>
        <w:rPr>
          <w:rFonts w:ascii="Arial" w:hAnsi="Arial" w:cs="Arial"/>
          <w:sz w:val="24"/>
          <w:szCs w:val="24"/>
        </w:rPr>
        <w:t>Uncommon: s</w:t>
      </w:r>
      <w:r w:rsidR="007C0AAB" w:rsidRPr="00B561C5">
        <w:rPr>
          <w:rFonts w:ascii="Arial" w:hAnsi="Arial" w:cs="Arial"/>
          <w:sz w:val="24"/>
          <w:szCs w:val="24"/>
        </w:rPr>
        <w:t xml:space="preserve">uicidal ideation, </w:t>
      </w:r>
      <w:proofErr w:type="spellStart"/>
      <w:r w:rsidR="007C0AAB" w:rsidRPr="00B561C5">
        <w:rPr>
          <w:rFonts w:ascii="Arial" w:hAnsi="Arial" w:cs="Arial"/>
          <w:sz w:val="24"/>
          <w:szCs w:val="24"/>
        </w:rPr>
        <w:t>panick</w:t>
      </w:r>
      <w:proofErr w:type="spellEnd"/>
      <w:r w:rsidR="007C0AAB" w:rsidRPr="00B561C5">
        <w:rPr>
          <w:rFonts w:ascii="Arial" w:hAnsi="Arial" w:cs="Arial"/>
          <w:sz w:val="24"/>
          <w:szCs w:val="24"/>
        </w:rPr>
        <w:t xml:space="preserve"> at</w:t>
      </w:r>
      <w:r w:rsidR="007C0AAB">
        <w:rPr>
          <w:rFonts w:ascii="Arial" w:hAnsi="Arial" w:cs="Arial"/>
          <w:sz w:val="24"/>
          <w:szCs w:val="24"/>
        </w:rPr>
        <w:t xml:space="preserve">tack, confusion, hallucination, </w:t>
      </w:r>
      <w:r w:rsidR="007C0AAB" w:rsidRPr="00B561C5">
        <w:rPr>
          <w:rFonts w:ascii="Arial" w:hAnsi="Arial" w:cs="Arial"/>
          <w:sz w:val="24"/>
          <w:szCs w:val="24"/>
        </w:rPr>
        <w:t>nightmares</w:t>
      </w:r>
      <w:r w:rsidR="007C0AAB">
        <w:rPr>
          <w:rFonts w:ascii="Arial" w:hAnsi="Arial" w:cs="Arial"/>
          <w:sz w:val="24"/>
          <w:szCs w:val="24"/>
        </w:rPr>
        <w:t>, decreased libido</w:t>
      </w:r>
      <w:r w:rsidR="007C0AAB" w:rsidRPr="00B561C5">
        <w:rPr>
          <w:rFonts w:ascii="Arial" w:hAnsi="Arial" w:cs="Arial"/>
          <w:sz w:val="24"/>
          <w:szCs w:val="24"/>
        </w:rPr>
        <w:t xml:space="preserve"> </w:t>
      </w:r>
    </w:p>
    <w:p w:rsidR="007C0AAB" w:rsidRPr="00B561C5" w:rsidRDefault="007C0AAB" w:rsidP="007C0AAB">
      <w:pPr>
        <w:pStyle w:val="Heading2"/>
        <w:jc w:val="both"/>
      </w:pPr>
      <w:r w:rsidRPr="003311FA">
        <w:t>Nervous System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Common: m</w:t>
      </w:r>
      <w:r w:rsidR="007C0AAB" w:rsidRPr="00B561C5">
        <w:rPr>
          <w:rFonts w:ascii="Arial" w:hAnsi="Arial" w:cs="Arial"/>
          <w:sz w:val="24"/>
          <w:szCs w:val="24"/>
        </w:rPr>
        <w:t xml:space="preserve">emory impairment, tremor, </w:t>
      </w:r>
      <w:proofErr w:type="spellStart"/>
      <w:r w:rsidR="007C0AAB" w:rsidRPr="00B561C5">
        <w:rPr>
          <w:rFonts w:ascii="Arial" w:hAnsi="Arial" w:cs="Arial"/>
          <w:sz w:val="24"/>
          <w:szCs w:val="24"/>
        </w:rPr>
        <w:t>dysaesthesia</w:t>
      </w:r>
      <w:proofErr w:type="spellEnd"/>
      <w:r w:rsidR="007C0AAB" w:rsidRPr="00B561C5">
        <w:rPr>
          <w:rFonts w:ascii="Arial" w:hAnsi="Arial" w:cs="Arial"/>
          <w:sz w:val="24"/>
          <w:szCs w:val="24"/>
        </w:rPr>
        <w:t xml:space="preserve">, </w:t>
      </w:r>
      <w:proofErr w:type="spellStart"/>
      <w:r w:rsidR="007C0AAB" w:rsidRPr="00B561C5">
        <w:rPr>
          <w:rFonts w:ascii="Arial" w:hAnsi="Arial" w:cs="Arial"/>
          <w:sz w:val="24"/>
          <w:szCs w:val="24"/>
        </w:rPr>
        <w:t>dysgueusia</w:t>
      </w:r>
      <w:proofErr w:type="spellEnd"/>
      <w:r w:rsidR="007C0AAB">
        <w:rPr>
          <w:rFonts w:ascii="Arial" w:hAnsi="Arial" w:cs="Arial"/>
          <w:sz w:val="24"/>
          <w:szCs w:val="24"/>
        </w:rPr>
        <w:t>, somnolence</w:t>
      </w:r>
      <w:r w:rsidR="007C0AAB" w:rsidRPr="00B561C5">
        <w:rPr>
          <w:rFonts w:ascii="Arial" w:hAnsi="Arial" w:cs="Arial"/>
          <w:sz w:val="24"/>
          <w:szCs w:val="24"/>
        </w:rPr>
        <w:t xml:space="preserve"> </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Uncommon: s</w:t>
      </w:r>
      <w:r w:rsidR="007C0AAB" w:rsidRPr="00B561C5">
        <w:rPr>
          <w:rFonts w:ascii="Arial" w:hAnsi="Arial" w:cs="Arial"/>
          <w:sz w:val="24"/>
          <w:szCs w:val="24"/>
        </w:rPr>
        <w:t xml:space="preserve">yncope </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Rare:  b</w:t>
      </w:r>
      <w:r w:rsidR="007C0AAB" w:rsidRPr="00B561C5">
        <w:rPr>
          <w:rFonts w:ascii="Arial" w:hAnsi="Arial" w:cs="Arial"/>
          <w:sz w:val="24"/>
          <w:szCs w:val="24"/>
        </w:rPr>
        <w:t xml:space="preserve">alance disorder, </w:t>
      </w:r>
      <w:proofErr w:type="spellStart"/>
      <w:r w:rsidR="007C0AAB" w:rsidRPr="00B561C5">
        <w:rPr>
          <w:rFonts w:ascii="Arial" w:hAnsi="Arial" w:cs="Arial"/>
          <w:sz w:val="24"/>
          <w:szCs w:val="24"/>
        </w:rPr>
        <w:t>cerebrovascular</w:t>
      </w:r>
      <w:proofErr w:type="spellEnd"/>
      <w:r w:rsidR="007C0AAB" w:rsidRPr="00B561C5">
        <w:rPr>
          <w:rFonts w:ascii="Arial" w:hAnsi="Arial" w:cs="Arial"/>
          <w:sz w:val="24"/>
          <w:szCs w:val="24"/>
        </w:rPr>
        <w:t xml:space="preserve"> accident </w:t>
      </w:r>
    </w:p>
    <w:p w:rsidR="007C0AAB" w:rsidRPr="00B561C5" w:rsidRDefault="007C0AAB" w:rsidP="007C0AAB">
      <w:pPr>
        <w:pStyle w:val="Heading2"/>
        <w:jc w:val="both"/>
      </w:pPr>
      <w:r w:rsidRPr="003311FA">
        <w:t>Eye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Uncommon: d</w:t>
      </w:r>
      <w:r w:rsidR="007C0AAB" w:rsidRPr="00B561C5">
        <w:rPr>
          <w:rFonts w:ascii="Arial" w:hAnsi="Arial" w:cs="Arial"/>
          <w:sz w:val="24"/>
          <w:szCs w:val="24"/>
        </w:rPr>
        <w:t xml:space="preserve">ry eye, </w:t>
      </w:r>
      <w:proofErr w:type="spellStart"/>
      <w:r w:rsidR="007C0AAB" w:rsidRPr="00B561C5">
        <w:rPr>
          <w:rFonts w:ascii="Arial" w:hAnsi="Arial" w:cs="Arial"/>
          <w:sz w:val="24"/>
          <w:szCs w:val="24"/>
        </w:rPr>
        <w:t>mydriasis</w:t>
      </w:r>
      <w:proofErr w:type="spellEnd"/>
      <w:r w:rsidR="007C0AAB" w:rsidRPr="00B561C5">
        <w:rPr>
          <w:rFonts w:ascii="Arial" w:hAnsi="Arial" w:cs="Arial"/>
          <w:sz w:val="24"/>
          <w:szCs w:val="24"/>
        </w:rPr>
        <w:t xml:space="preserve">, blurred vision, reduced visual acuity </w:t>
      </w:r>
    </w:p>
    <w:p w:rsidR="007C0AAB" w:rsidRPr="00B561C5" w:rsidRDefault="007C0AAB" w:rsidP="007C0AAB">
      <w:pPr>
        <w:pStyle w:val="Heading2"/>
        <w:jc w:val="both"/>
      </w:pPr>
      <w:r w:rsidRPr="003311FA">
        <w:t>Ear and Labyrinth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Uncommon: t</w:t>
      </w:r>
      <w:r w:rsidR="007C0AAB" w:rsidRPr="00B561C5">
        <w:rPr>
          <w:rFonts w:ascii="Arial" w:hAnsi="Arial" w:cs="Arial"/>
          <w:sz w:val="24"/>
          <w:szCs w:val="24"/>
        </w:rPr>
        <w:t xml:space="preserve">innitus, vertigo </w:t>
      </w:r>
    </w:p>
    <w:p w:rsidR="007C0AAB" w:rsidRPr="00B561C5" w:rsidRDefault="007C0AAB" w:rsidP="007C0AAB">
      <w:pPr>
        <w:pStyle w:val="Heading2"/>
        <w:jc w:val="both"/>
      </w:pPr>
      <w:r w:rsidRPr="003311FA">
        <w:t>Cardiac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Uncommon: a</w:t>
      </w:r>
      <w:r w:rsidR="007C0AAB" w:rsidRPr="00B561C5">
        <w:rPr>
          <w:rFonts w:ascii="Arial" w:hAnsi="Arial" w:cs="Arial"/>
          <w:sz w:val="24"/>
          <w:szCs w:val="24"/>
        </w:rPr>
        <w:t xml:space="preserve">rrhythmia, </w:t>
      </w:r>
      <w:proofErr w:type="spellStart"/>
      <w:r w:rsidR="007C0AAB" w:rsidRPr="00B561C5">
        <w:rPr>
          <w:rFonts w:ascii="Arial" w:hAnsi="Arial" w:cs="Arial"/>
          <w:sz w:val="24"/>
          <w:szCs w:val="24"/>
        </w:rPr>
        <w:t>extrasystoles</w:t>
      </w:r>
      <w:proofErr w:type="spellEnd"/>
      <w:r w:rsidR="007C0AAB" w:rsidRPr="00B561C5">
        <w:rPr>
          <w:rFonts w:ascii="Arial" w:hAnsi="Arial" w:cs="Arial"/>
          <w:sz w:val="24"/>
          <w:szCs w:val="24"/>
        </w:rPr>
        <w:t xml:space="preserve"> </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Rare: a</w:t>
      </w:r>
      <w:r w:rsidR="007C0AAB" w:rsidRPr="00B561C5">
        <w:rPr>
          <w:rFonts w:ascii="Arial" w:hAnsi="Arial" w:cs="Arial"/>
          <w:sz w:val="24"/>
          <w:szCs w:val="24"/>
        </w:rPr>
        <w:t xml:space="preserve">cute coronary syndrome, angina pectoris </w:t>
      </w:r>
    </w:p>
    <w:p w:rsidR="007C0AAB" w:rsidRPr="00B561C5" w:rsidRDefault="007C0AAB" w:rsidP="007C0AAB">
      <w:pPr>
        <w:pStyle w:val="Heading2"/>
        <w:jc w:val="both"/>
      </w:pPr>
      <w:r w:rsidRPr="003311FA">
        <w:t>Vascular Disorders</w:t>
      </w:r>
    </w:p>
    <w:p w:rsidR="007C0AAB" w:rsidRPr="00B561C5" w:rsidRDefault="007C0AAB" w:rsidP="007C0AAB">
      <w:pPr>
        <w:spacing w:after="0"/>
        <w:ind w:left="360"/>
        <w:jc w:val="both"/>
        <w:rPr>
          <w:rFonts w:ascii="Arial" w:hAnsi="Arial" w:cs="Arial"/>
          <w:sz w:val="24"/>
          <w:szCs w:val="24"/>
        </w:rPr>
      </w:pPr>
      <w:r w:rsidRPr="00B561C5">
        <w:rPr>
          <w:rFonts w:ascii="Arial" w:hAnsi="Arial" w:cs="Arial"/>
          <w:sz w:val="24"/>
          <w:szCs w:val="24"/>
        </w:rPr>
        <w:t xml:space="preserve">Uncommon: </w:t>
      </w:r>
      <w:proofErr w:type="spellStart"/>
      <w:r w:rsidRPr="00B561C5">
        <w:rPr>
          <w:rFonts w:ascii="Arial" w:hAnsi="Arial" w:cs="Arial"/>
          <w:sz w:val="24"/>
          <w:szCs w:val="24"/>
        </w:rPr>
        <w:t>Raynaud’s</w:t>
      </w:r>
      <w:proofErr w:type="spellEnd"/>
      <w:r w:rsidRPr="00B561C5">
        <w:rPr>
          <w:rFonts w:ascii="Arial" w:hAnsi="Arial" w:cs="Arial"/>
          <w:sz w:val="24"/>
          <w:szCs w:val="24"/>
        </w:rPr>
        <w:t xml:space="preserve"> phenomenon, hypotension, orthostatic hypotension </w:t>
      </w:r>
    </w:p>
    <w:p w:rsidR="007C0AAB" w:rsidRPr="00B561C5" w:rsidRDefault="007C0AAB" w:rsidP="007C0AAB">
      <w:pPr>
        <w:pStyle w:val="Heading2"/>
        <w:jc w:val="both"/>
      </w:pPr>
      <w:r w:rsidRPr="003311FA">
        <w:t xml:space="preserve">Respiratory, Thoracic and </w:t>
      </w:r>
      <w:proofErr w:type="spellStart"/>
      <w:r w:rsidRPr="003311FA">
        <w:t>Mediastinal</w:t>
      </w:r>
      <w:proofErr w:type="spellEnd"/>
      <w:r w:rsidRPr="003311FA">
        <w:t xml:space="preserve">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Uncommon: d</w:t>
      </w:r>
      <w:r w:rsidR="007C0AAB" w:rsidRPr="00B561C5">
        <w:rPr>
          <w:rFonts w:ascii="Arial" w:hAnsi="Arial" w:cs="Arial"/>
          <w:sz w:val="24"/>
          <w:szCs w:val="24"/>
        </w:rPr>
        <w:t xml:space="preserve">yspnoea </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 xml:space="preserve">Rare: </w:t>
      </w:r>
      <w:proofErr w:type="spellStart"/>
      <w:r>
        <w:rPr>
          <w:rFonts w:ascii="Arial" w:hAnsi="Arial" w:cs="Arial"/>
          <w:sz w:val="24"/>
          <w:szCs w:val="24"/>
        </w:rPr>
        <w:t>e</w:t>
      </w:r>
      <w:r w:rsidR="007C0AAB" w:rsidRPr="00B561C5">
        <w:rPr>
          <w:rFonts w:ascii="Arial" w:hAnsi="Arial" w:cs="Arial"/>
          <w:sz w:val="24"/>
          <w:szCs w:val="24"/>
        </w:rPr>
        <w:t>pistaxis</w:t>
      </w:r>
      <w:proofErr w:type="spellEnd"/>
    </w:p>
    <w:p w:rsidR="007C0AAB" w:rsidRPr="00B561C5" w:rsidRDefault="007C0AAB" w:rsidP="007C0AAB">
      <w:pPr>
        <w:pStyle w:val="Heading2"/>
        <w:jc w:val="both"/>
      </w:pPr>
      <w:r w:rsidRPr="003311FA">
        <w:t>Gastro-intestinal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Uncommon: g</w:t>
      </w:r>
      <w:r w:rsidR="007C0AAB" w:rsidRPr="00B561C5">
        <w:rPr>
          <w:rFonts w:ascii="Arial" w:hAnsi="Arial" w:cs="Arial"/>
          <w:sz w:val="24"/>
          <w:szCs w:val="24"/>
        </w:rPr>
        <w:t xml:space="preserve">astritis, </w:t>
      </w:r>
      <w:proofErr w:type="spellStart"/>
      <w:r w:rsidR="007C0AAB" w:rsidRPr="00B561C5">
        <w:rPr>
          <w:rFonts w:ascii="Arial" w:hAnsi="Arial" w:cs="Arial"/>
          <w:sz w:val="24"/>
          <w:szCs w:val="24"/>
        </w:rPr>
        <w:t>stomatitis</w:t>
      </w:r>
      <w:proofErr w:type="spellEnd"/>
      <w:r w:rsidR="007C0AAB" w:rsidRPr="00B561C5">
        <w:rPr>
          <w:rFonts w:ascii="Arial" w:hAnsi="Arial" w:cs="Arial"/>
          <w:sz w:val="24"/>
          <w:szCs w:val="24"/>
        </w:rPr>
        <w:t xml:space="preserve">, haemorrhoids </w:t>
      </w:r>
    </w:p>
    <w:p w:rsidR="007C0AAB" w:rsidRPr="00B561C5" w:rsidRDefault="007C0AAB" w:rsidP="007C0AAB">
      <w:pPr>
        <w:pStyle w:val="Heading2"/>
        <w:jc w:val="both"/>
      </w:pPr>
      <w:proofErr w:type="spellStart"/>
      <w:r w:rsidRPr="003311FA">
        <w:t>Hepatobiliary</w:t>
      </w:r>
      <w:proofErr w:type="spellEnd"/>
      <w:r w:rsidRPr="003311FA">
        <w:t xml:space="preserve">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Uncommon: h</w:t>
      </w:r>
      <w:r w:rsidR="007C0AAB" w:rsidRPr="00B561C5">
        <w:rPr>
          <w:rFonts w:ascii="Arial" w:hAnsi="Arial" w:cs="Arial"/>
          <w:sz w:val="24"/>
          <w:szCs w:val="24"/>
        </w:rPr>
        <w:t xml:space="preserve">epatic enzyme increase </w:t>
      </w:r>
    </w:p>
    <w:p w:rsidR="007C0AAB" w:rsidRDefault="00955DAB" w:rsidP="007C0AAB">
      <w:pPr>
        <w:spacing w:after="0"/>
        <w:ind w:left="360"/>
        <w:jc w:val="both"/>
        <w:rPr>
          <w:rFonts w:ascii="Arial" w:hAnsi="Arial" w:cs="Arial"/>
          <w:sz w:val="24"/>
          <w:szCs w:val="24"/>
        </w:rPr>
      </w:pPr>
      <w:r>
        <w:rPr>
          <w:rFonts w:ascii="Arial" w:hAnsi="Arial" w:cs="Arial"/>
          <w:sz w:val="24"/>
          <w:szCs w:val="24"/>
        </w:rPr>
        <w:t>Rare:  h</w:t>
      </w:r>
      <w:r w:rsidR="007C0AAB" w:rsidRPr="00B561C5">
        <w:rPr>
          <w:rFonts w:ascii="Arial" w:hAnsi="Arial" w:cs="Arial"/>
          <w:sz w:val="24"/>
          <w:szCs w:val="24"/>
        </w:rPr>
        <w:t xml:space="preserve">epatitis </w:t>
      </w:r>
    </w:p>
    <w:p w:rsidR="007C0AAB" w:rsidRPr="00B561C5" w:rsidRDefault="007C0AAB" w:rsidP="007C0AAB">
      <w:pPr>
        <w:pStyle w:val="Heading2"/>
        <w:jc w:val="both"/>
      </w:pPr>
      <w:r w:rsidRPr="003311FA">
        <w:t>Skin and Subcutaneous Tissue Disorders</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 xml:space="preserve">Uncommon: </w:t>
      </w:r>
      <w:proofErr w:type="spellStart"/>
      <w:r>
        <w:rPr>
          <w:rFonts w:ascii="Arial" w:hAnsi="Arial" w:cs="Arial"/>
          <w:sz w:val="24"/>
          <w:szCs w:val="24"/>
        </w:rPr>
        <w:t>u</w:t>
      </w:r>
      <w:r w:rsidR="007C0AAB" w:rsidRPr="00B561C5">
        <w:rPr>
          <w:rFonts w:ascii="Arial" w:hAnsi="Arial" w:cs="Arial"/>
          <w:sz w:val="24"/>
          <w:szCs w:val="24"/>
        </w:rPr>
        <w:t>rticaria</w:t>
      </w:r>
      <w:proofErr w:type="spellEnd"/>
      <w:r w:rsidR="007C0AAB" w:rsidRPr="00B561C5">
        <w:rPr>
          <w:rFonts w:ascii="Arial" w:hAnsi="Arial" w:cs="Arial"/>
          <w:sz w:val="24"/>
          <w:szCs w:val="24"/>
        </w:rPr>
        <w:t xml:space="preserve"> </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Rare: p</w:t>
      </w:r>
      <w:r w:rsidR="007C0AAB" w:rsidRPr="00B561C5">
        <w:rPr>
          <w:rFonts w:ascii="Arial" w:hAnsi="Arial" w:cs="Arial"/>
          <w:sz w:val="24"/>
          <w:szCs w:val="24"/>
        </w:rPr>
        <w:t xml:space="preserve">hotosensitivity reaction </w:t>
      </w:r>
    </w:p>
    <w:p w:rsidR="007C0AAB" w:rsidRPr="00B561C5" w:rsidRDefault="007C0AAB" w:rsidP="007C0AAB">
      <w:pPr>
        <w:pStyle w:val="Heading2"/>
        <w:jc w:val="both"/>
      </w:pPr>
      <w:r w:rsidRPr="003311FA">
        <w:t>Renal and Urinary Disorders</w:t>
      </w:r>
    </w:p>
    <w:p w:rsidR="007C0AAB" w:rsidRPr="00B561C5" w:rsidRDefault="00955DAB" w:rsidP="007C0AAB">
      <w:pPr>
        <w:spacing w:after="0"/>
        <w:ind w:firstLine="360"/>
        <w:jc w:val="both"/>
        <w:rPr>
          <w:rFonts w:ascii="Arial" w:hAnsi="Arial" w:cs="Arial"/>
          <w:sz w:val="24"/>
          <w:szCs w:val="24"/>
        </w:rPr>
      </w:pPr>
      <w:r>
        <w:rPr>
          <w:rFonts w:ascii="Arial" w:hAnsi="Arial" w:cs="Arial"/>
          <w:sz w:val="24"/>
          <w:szCs w:val="24"/>
        </w:rPr>
        <w:t xml:space="preserve">Common: </w:t>
      </w:r>
      <w:proofErr w:type="spellStart"/>
      <w:r>
        <w:rPr>
          <w:rFonts w:ascii="Arial" w:hAnsi="Arial" w:cs="Arial"/>
          <w:sz w:val="24"/>
          <w:szCs w:val="24"/>
        </w:rPr>
        <w:t>d</w:t>
      </w:r>
      <w:r w:rsidR="007C0AAB" w:rsidRPr="00B561C5">
        <w:rPr>
          <w:rFonts w:ascii="Arial" w:hAnsi="Arial" w:cs="Arial"/>
          <w:sz w:val="24"/>
          <w:szCs w:val="24"/>
        </w:rPr>
        <w:t>ysuria</w:t>
      </w:r>
      <w:proofErr w:type="spellEnd"/>
      <w:r w:rsidR="007C0AAB" w:rsidRPr="00B561C5">
        <w:rPr>
          <w:rFonts w:ascii="Arial" w:hAnsi="Arial" w:cs="Arial"/>
          <w:sz w:val="24"/>
          <w:szCs w:val="24"/>
        </w:rPr>
        <w:t xml:space="preserve"> </w:t>
      </w:r>
    </w:p>
    <w:p w:rsidR="007C0AAB" w:rsidRPr="00B561C5" w:rsidRDefault="007C0AAB" w:rsidP="007C0AAB">
      <w:pPr>
        <w:spacing w:after="0"/>
        <w:ind w:firstLine="360"/>
        <w:jc w:val="both"/>
        <w:rPr>
          <w:rFonts w:ascii="Arial" w:hAnsi="Arial" w:cs="Arial"/>
          <w:sz w:val="24"/>
          <w:szCs w:val="24"/>
        </w:rPr>
      </w:pPr>
      <w:r w:rsidRPr="00B561C5">
        <w:rPr>
          <w:rFonts w:ascii="Arial" w:hAnsi="Arial" w:cs="Arial"/>
          <w:sz w:val="24"/>
          <w:szCs w:val="24"/>
        </w:rPr>
        <w:t xml:space="preserve">Uncommon: </w:t>
      </w:r>
      <w:proofErr w:type="spellStart"/>
      <w:r w:rsidRPr="00B561C5">
        <w:rPr>
          <w:rFonts w:ascii="Arial" w:hAnsi="Arial" w:cs="Arial"/>
          <w:sz w:val="24"/>
          <w:szCs w:val="24"/>
        </w:rPr>
        <w:t>pollakiuria</w:t>
      </w:r>
      <w:proofErr w:type="spellEnd"/>
      <w:r w:rsidRPr="00B561C5">
        <w:rPr>
          <w:rFonts w:ascii="Arial" w:hAnsi="Arial" w:cs="Arial"/>
          <w:sz w:val="24"/>
          <w:szCs w:val="24"/>
        </w:rPr>
        <w:t xml:space="preserve">, urinary retention </w:t>
      </w:r>
    </w:p>
    <w:p w:rsidR="007C0AAB" w:rsidRPr="00B561C5" w:rsidRDefault="007C0AAB" w:rsidP="007C0AAB">
      <w:pPr>
        <w:pStyle w:val="Heading2"/>
        <w:jc w:val="both"/>
      </w:pPr>
      <w:r w:rsidRPr="003311FA">
        <w:t>Reproductive System and Breast Disorders</w:t>
      </w:r>
    </w:p>
    <w:p w:rsidR="007C0AAB" w:rsidRPr="00B561C5" w:rsidRDefault="007C0AAB" w:rsidP="007C0AAB">
      <w:pPr>
        <w:spacing w:after="0"/>
        <w:ind w:left="360"/>
        <w:jc w:val="both"/>
        <w:rPr>
          <w:rFonts w:ascii="Arial" w:hAnsi="Arial" w:cs="Arial"/>
          <w:sz w:val="24"/>
          <w:szCs w:val="24"/>
        </w:rPr>
      </w:pPr>
      <w:r w:rsidRPr="00B561C5">
        <w:rPr>
          <w:rFonts w:ascii="Arial" w:hAnsi="Arial" w:cs="Arial"/>
          <w:sz w:val="24"/>
          <w:szCs w:val="24"/>
        </w:rPr>
        <w:t>Uncom</w:t>
      </w:r>
      <w:r w:rsidR="00955DAB">
        <w:rPr>
          <w:rFonts w:ascii="Arial" w:hAnsi="Arial" w:cs="Arial"/>
          <w:sz w:val="24"/>
          <w:szCs w:val="24"/>
        </w:rPr>
        <w:t xml:space="preserve">mon: </w:t>
      </w:r>
      <w:proofErr w:type="spellStart"/>
      <w:r w:rsidR="00955DAB">
        <w:rPr>
          <w:rFonts w:ascii="Arial" w:hAnsi="Arial" w:cs="Arial"/>
          <w:sz w:val="24"/>
          <w:szCs w:val="24"/>
        </w:rPr>
        <w:t>m</w:t>
      </w:r>
      <w:r w:rsidRPr="00B561C5">
        <w:rPr>
          <w:rFonts w:ascii="Arial" w:hAnsi="Arial" w:cs="Arial"/>
          <w:sz w:val="24"/>
          <w:szCs w:val="24"/>
        </w:rPr>
        <w:t>etrorrhagia</w:t>
      </w:r>
      <w:proofErr w:type="spellEnd"/>
      <w:r w:rsidRPr="00B561C5">
        <w:rPr>
          <w:rFonts w:ascii="Arial" w:hAnsi="Arial" w:cs="Arial"/>
          <w:sz w:val="24"/>
          <w:szCs w:val="24"/>
        </w:rPr>
        <w:t xml:space="preserve"> </w:t>
      </w:r>
    </w:p>
    <w:p w:rsidR="007C0AAB" w:rsidRPr="00B561C5" w:rsidRDefault="00955DAB" w:rsidP="007C0AAB">
      <w:pPr>
        <w:spacing w:after="0"/>
        <w:ind w:left="360"/>
        <w:jc w:val="both"/>
        <w:rPr>
          <w:rFonts w:ascii="Arial" w:hAnsi="Arial" w:cs="Arial"/>
          <w:sz w:val="24"/>
          <w:szCs w:val="24"/>
        </w:rPr>
      </w:pPr>
      <w:r>
        <w:rPr>
          <w:rFonts w:ascii="Arial" w:hAnsi="Arial" w:cs="Arial"/>
          <w:sz w:val="24"/>
          <w:szCs w:val="24"/>
        </w:rPr>
        <w:t>Rare: a</w:t>
      </w:r>
      <w:r w:rsidR="007C0AAB" w:rsidRPr="00B561C5">
        <w:rPr>
          <w:rFonts w:ascii="Arial" w:hAnsi="Arial" w:cs="Arial"/>
          <w:sz w:val="24"/>
          <w:szCs w:val="24"/>
        </w:rPr>
        <w:t xml:space="preserve">menorrhoea </w:t>
      </w:r>
    </w:p>
    <w:p w:rsidR="007C0AAB" w:rsidRPr="00B561C5" w:rsidRDefault="007C0AAB" w:rsidP="007C0AAB">
      <w:pPr>
        <w:pStyle w:val="Heading2"/>
        <w:jc w:val="both"/>
      </w:pPr>
      <w:r w:rsidRPr="003311FA">
        <w:t>General Disorders and Administration Site Conditions</w:t>
      </w:r>
    </w:p>
    <w:p w:rsidR="007C0AAB" w:rsidRDefault="00955DAB" w:rsidP="007C0AAB">
      <w:pPr>
        <w:spacing w:after="0"/>
        <w:ind w:left="360"/>
        <w:jc w:val="both"/>
        <w:rPr>
          <w:rFonts w:ascii="Arial" w:hAnsi="Arial" w:cs="Arial"/>
          <w:sz w:val="24"/>
          <w:szCs w:val="24"/>
        </w:rPr>
      </w:pPr>
      <w:r>
        <w:rPr>
          <w:rFonts w:ascii="Arial" w:hAnsi="Arial" w:cs="Arial"/>
          <w:sz w:val="24"/>
          <w:szCs w:val="24"/>
        </w:rPr>
        <w:t>Uncommon: c</w:t>
      </w:r>
      <w:r w:rsidR="007C0AAB" w:rsidRPr="00B561C5">
        <w:rPr>
          <w:rFonts w:ascii="Arial" w:hAnsi="Arial" w:cs="Arial"/>
          <w:sz w:val="24"/>
          <w:szCs w:val="24"/>
        </w:rPr>
        <w:t>hills, pyrexia, feeling of body temperature change</w:t>
      </w:r>
      <w:r w:rsidR="007C0AAB">
        <w:rPr>
          <w:rFonts w:ascii="Arial" w:hAnsi="Arial" w:cs="Arial"/>
          <w:sz w:val="24"/>
          <w:szCs w:val="24"/>
        </w:rPr>
        <w:t xml:space="preserve"> </w:t>
      </w:r>
    </w:p>
    <w:p w:rsidR="00955DAB" w:rsidRDefault="00955DAB" w:rsidP="007C0AAB">
      <w:pPr>
        <w:spacing w:after="0"/>
        <w:ind w:left="360"/>
        <w:jc w:val="both"/>
        <w:rPr>
          <w:rFonts w:ascii="Arial" w:hAnsi="Arial" w:cs="Arial"/>
          <w:sz w:val="24"/>
          <w:szCs w:val="24"/>
        </w:rPr>
      </w:pPr>
    </w:p>
    <w:p w:rsidR="00216755" w:rsidRDefault="00216755" w:rsidP="00871CA7">
      <w:pPr>
        <w:spacing w:after="0"/>
        <w:rPr>
          <w:rFonts w:ascii="Arial" w:hAnsi="Arial" w:cs="Arial"/>
          <w:sz w:val="24"/>
          <w:szCs w:val="24"/>
        </w:rPr>
      </w:pPr>
      <w:r w:rsidRPr="00216755">
        <w:rPr>
          <w:rFonts w:ascii="Arial" w:hAnsi="Arial" w:cs="Arial"/>
          <w:sz w:val="24"/>
          <w:szCs w:val="24"/>
        </w:rPr>
        <w:t xml:space="preserve">The </w:t>
      </w:r>
      <w:r>
        <w:rPr>
          <w:rFonts w:ascii="Arial" w:hAnsi="Arial" w:cs="Arial"/>
          <w:sz w:val="24"/>
          <w:szCs w:val="24"/>
        </w:rPr>
        <w:t>urinary adverse reactions (</w:t>
      </w:r>
      <w:proofErr w:type="spellStart"/>
      <w:r>
        <w:rPr>
          <w:rFonts w:ascii="Arial" w:hAnsi="Arial" w:cs="Arial"/>
          <w:sz w:val="24"/>
          <w:szCs w:val="24"/>
        </w:rPr>
        <w:t>eg</w:t>
      </w:r>
      <w:proofErr w:type="spellEnd"/>
      <w:r>
        <w:rPr>
          <w:rFonts w:ascii="Arial" w:hAnsi="Arial" w:cs="Arial"/>
          <w:sz w:val="24"/>
          <w:szCs w:val="24"/>
        </w:rPr>
        <w:t xml:space="preserve">. </w:t>
      </w:r>
      <w:proofErr w:type="spellStart"/>
      <w:r>
        <w:rPr>
          <w:rFonts w:ascii="Arial" w:hAnsi="Arial" w:cs="Arial"/>
          <w:sz w:val="24"/>
          <w:szCs w:val="24"/>
        </w:rPr>
        <w:t>dysuria</w:t>
      </w:r>
      <w:proofErr w:type="spellEnd"/>
      <w:r>
        <w:rPr>
          <w:rFonts w:ascii="Arial" w:hAnsi="Arial" w:cs="Arial"/>
          <w:sz w:val="24"/>
          <w:szCs w:val="24"/>
        </w:rPr>
        <w:t>) mainly occurred in male patients:</w:t>
      </w:r>
      <w:r w:rsidR="00677069">
        <w:rPr>
          <w:rFonts w:ascii="Arial" w:hAnsi="Arial" w:cs="Arial"/>
          <w:sz w:val="24"/>
          <w:szCs w:val="24"/>
        </w:rPr>
        <w:t xml:space="preserve"> </w:t>
      </w:r>
      <w:proofErr w:type="spellStart"/>
      <w:r>
        <w:rPr>
          <w:rFonts w:ascii="Arial" w:hAnsi="Arial" w:cs="Arial"/>
          <w:sz w:val="24"/>
          <w:szCs w:val="24"/>
        </w:rPr>
        <w:t>dysuria</w:t>
      </w:r>
      <w:proofErr w:type="spellEnd"/>
      <w:r>
        <w:rPr>
          <w:rFonts w:ascii="Arial" w:hAnsi="Arial" w:cs="Arial"/>
          <w:sz w:val="24"/>
          <w:szCs w:val="24"/>
        </w:rPr>
        <w:t xml:space="preserve"> was observed in 23.9% of male patients.  A monitoring of the </w:t>
      </w:r>
      <w:proofErr w:type="spellStart"/>
      <w:r>
        <w:rPr>
          <w:rFonts w:ascii="Arial" w:hAnsi="Arial" w:cs="Arial"/>
          <w:sz w:val="24"/>
          <w:szCs w:val="24"/>
        </w:rPr>
        <w:t>micturition</w:t>
      </w:r>
      <w:proofErr w:type="spellEnd"/>
      <w:r>
        <w:rPr>
          <w:rFonts w:ascii="Arial" w:hAnsi="Arial" w:cs="Arial"/>
          <w:sz w:val="24"/>
          <w:szCs w:val="24"/>
        </w:rPr>
        <w:t xml:space="preserve"> disorders is necessary in patients with a history of difficult passage of urine (</w:t>
      </w:r>
      <w:proofErr w:type="spellStart"/>
      <w:r>
        <w:rPr>
          <w:rFonts w:ascii="Arial" w:hAnsi="Arial" w:cs="Arial"/>
          <w:sz w:val="24"/>
          <w:szCs w:val="24"/>
        </w:rPr>
        <w:t>eg</w:t>
      </w:r>
      <w:proofErr w:type="spellEnd"/>
      <w:r>
        <w:rPr>
          <w:rFonts w:ascii="Arial" w:hAnsi="Arial" w:cs="Arial"/>
          <w:sz w:val="24"/>
          <w:szCs w:val="24"/>
        </w:rPr>
        <w:t xml:space="preserve">. prostatic hypertrophy and other lower urinary tract obstructive disorders).  However, </w:t>
      </w:r>
      <w:proofErr w:type="spellStart"/>
      <w:r>
        <w:rPr>
          <w:rFonts w:ascii="Arial" w:hAnsi="Arial" w:cs="Arial"/>
          <w:sz w:val="24"/>
          <w:szCs w:val="24"/>
        </w:rPr>
        <w:t>dysuria</w:t>
      </w:r>
      <w:proofErr w:type="spellEnd"/>
      <w:r>
        <w:rPr>
          <w:rFonts w:ascii="Arial" w:hAnsi="Arial" w:cs="Arial"/>
          <w:sz w:val="24"/>
          <w:szCs w:val="24"/>
        </w:rPr>
        <w:t xml:space="preserve"> and urinary retention were also reported in men without known prostatic disorders.</w:t>
      </w:r>
    </w:p>
    <w:p w:rsidR="002101BF" w:rsidRDefault="002101BF" w:rsidP="00871CA7">
      <w:pPr>
        <w:spacing w:after="0"/>
        <w:rPr>
          <w:rFonts w:ascii="Arial" w:hAnsi="Arial" w:cs="Arial"/>
          <w:sz w:val="24"/>
          <w:szCs w:val="24"/>
        </w:rPr>
      </w:pPr>
    </w:p>
    <w:p w:rsidR="002101BF" w:rsidRDefault="002101BF" w:rsidP="00871CA7">
      <w:pPr>
        <w:spacing w:after="0"/>
        <w:rPr>
          <w:rFonts w:ascii="Arial" w:hAnsi="Arial" w:cs="Arial"/>
          <w:sz w:val="24"/>
          <w:szCs w:val="24"/>
        </w:rPr>
      </w:pPr>
      <w:r>
        <w:rPr>
          <w:rFonts w:ascii="Arial" w:hAnsi="Arial" w:cs="Arial"/>
          <w:sz w:val="24"/>
          <w:szCs w:val="24"/>
        </w:rPr>
        <w:t>Other specific adverse drug reactions observed in male patients such as testicular pain, ejaculation disorders and erectile dysfunction were reported in 8.7%, 5.4% and 3.3% of male patients respectively.</w:t>
      </w:r>
    </w:p>
    <w:p w:rsidR="00994D64" w:rsidRDefault="00994D64" w:rsidP="00871CA7">
      <w:pPr>
        <w:spacing w:after="0"/>
        <w:rPr>
          <w:rFonts w:ascii="Arial" w:hAnsi="Arial" w:cs="Arial"/>
          <w:sz w:val="24"/>
          <w:szCs w:val="24"/>
        </w:rPr>
      </w:pPr>
    </w:p>
    <w:p w:rsidR="005A5001" w:rsidRPr="00216755" w:rsidRDefault="00994D64" w:rsidP="005A5001">
      <w:pPr>
        <w:spacing w:after="0"/>
        <w:rPr>
          <w:rFonts w:ascii="Arial" w:hAnsi="Arial" w:cs="Arial"/>
          <w:sz w:val="24"/>
          <w:szCs w:val="24"/>
        </w:rPr>
      </w:pPr>
      <w:r>
        <w:rPr>
          <w:rFonts w:ascii="Arial" w:hAnsi="Arial" w:cs="Arial"/>
          <w:sz w:val="24"/>
          <w:szCs w:val="24"/>
        </w:rPr>
        <w:t xml:space="preserve">As for all SSRI and SNRI active substances, it is advised that when </w:t>
      </w:r>
      <w:proofErr w:type="spellStart"/>
      <w:r>
        <w:rPr>
          <w:rFonts w:ascii="Arial" w:hAnsi="Arial" w:cs="Arial"/>
          <w:sz w:val="24"/>
          <w:szCs w:val="24"/>
        </w:rPr>
        <w:t>milnacipran</w:t>
      </w:r>
      <w:proofErr w:type="spellEnd"/>
      <w:r>
        <w:rPr>
          <w:rFonts w:ascii="Arial" w:hAnsi="Arial" w:cs="Arial"/>
          <w:sz w:val="24"/>
          <w:szCs w:val="24"/>
        </w:rPr>
        <w:t xml:space="preserve"> hydrochloride treatment is no longer required, gradual discontinuation by dose tapering over period of no less than two weeks should b</w:t>
      </w:r>
      <w:r w:rsidR="00113C03">
        <w:rPr>
          <w:rFonts w:ascii="Arial" w:hAnsi="Arial" w:cs="Arial"/>
          <w:sz w:val="24"/>
          <w:szCs w:val="24"/>
        </w:rPr>
        <w:t xml:space="preserve">e carried out (see PRECAUTIONS - </w:t>
      </w:r>
      <w:r>
        <w:rPr>
          <w:rFonts w:ascii="Arial" w:hAnsi="Arial" w:cs="Arial"/>
          <w:sz w:val="24"/>
          <w:szCs w:val="24"/>
        </w:rPr>
        <w:t>Discontinuation of treatment).</w:t>
      </w:r>
      <w:r w:rsidR="005A5001">
        <w:rPr>
          <w:rFonts w:ascii="Arial" w:hAnsi="Arial" w:cs="Arial"/>
          <w:sz w:val="24"/>
          <w:szCs w:val="24"/>
        </w:rPr>
        <w:t xml:space="preserve">  In fibromyalgia clinical trials, the most frequently reported adverse reactions during the post-tapering follow-up phase were headache, dizziness, </w:t>
      </w:r>
      <w:proofErr w:type="spellStart"/>
      <w:r w:rsidR="005A5001">
        <w:rPr>
          <w:rFonts w:ascii="Arial" w:hAnsi="Arial" w:cs="Arial"/>
          <w:sz w:val="24"/>
          <w:szCs w:val="24"/>
        </w:rPr>
        <w:t>somnolescence</w:t>
      </w:r>
      <w:proofErr w:type="spellEnd"/>
      <w:r w:rsidR="005A5001">
        <w:rPr>
          <w:rFonts w:ascii="Arial" w:hAnsi="Arial" w:cs="Arial"/>
          <w:sz w:val="24"/>
          <w:szCs w:val="24"/>
        </w:rPr>
        <w:t xml:space="preserve">, </w:t>
      </w:r>
      <w:proofErr w:type="spellStart"/>
      <w:r w:rsidR="005A5001">
        <w:rPr>
          <w:rFonts w:ascii="Arial" w:hAnsi="Arial" w:cs="Arial"/>
          <w:sz w:val="24"/>
          <w:szCs w:val="24"/>
        </w:rPr>
        <w:t>diarrhea</w:t>
      </w:r>
      <w:proofErr w:type="spellEnd"/>
      <w:r w:rsidR="005A5001">
        <w:rPr>
          <w:rFonts w:ascii="Arial" w:hAnsi="Arial" w:cs="Arial"/>
          <w:sz w:val="24"/>
          <w:szCs w:val="24"/>
        </w:rPr>
        <w:t>, vomiting, anxiety disorders and pain.  The frequency of these adverse reactions when no tapering is performed</w:t>
      </w:r>
    </w:p>
    <w:p w:rsidR="00216755" w:rsidRDefault="005A5001" w:rsidP="00871CA7">
      <w:pPr>
        <w:spacing w:after="0"/>
        <w:rPr>
          <w:rFonts w:ascii="Arial" w:hAnsi="Arial" w:cs="Arial"/>
          <w:sz w:val="24"/>
          <w:szCs w:val="24"/>
        </w:rPr>
      </w:pPr>
      <w:r>
        <w:rPr>
          <w:rFonts w:ascii="Arial" w:hAnsi="Arial" w:cs="Arial"/>
          <w:sz w:val="24"/>
          <w:szCs w:val="24"/>
        </w:rPr>
        <w:t xml:space="preserve">is unknown. </w:t>
      </w:r>
    </w:p>
    <w:p w:rsidR="005A5001" w:rsidRDefault="005A5001" w:rsidP="00871CA7">
      <w:pPr>
        <w:spacing w:after="0"/>
        <w:rPr>
          <w:rFonts w:ascii="Arial" w:hAnsi="Arial" w:cs="Arial"/>
          <w:sz w:val="24"/>
          <w:szCs w:val="24"/>
        </w:rPr>
      </w:pPr>
    </w:p>
    <w:p w:rsidR="00AC2106" w:rsidRPr="00AC2106" w:rsidRDefault="00AC2106" w:rsidP="00AC2106">
      <w:pPr>
        <w:jc w:val="both"/>
        <w:rPr>
          <w:rFonts w:ascii="Arial" w:hAnsi="Arial" w:cs="Arial"/>
          <w:sz w:val="24"/>
          <w:szCs w:val="24"/>
          <w:lang w:val="en-US"/>
        </w:rPr>
      </w:pPr>
      <w:r w:rsidRPr="00AC2106">
        <w:rPr>
          <w:rFonts w:ascii="Arial" w:hAnsi="Arial" w:cs="Arial"/>
          <w:sz w:val="24"/>
          <w:szCs w:val="24"/>
          <w:lang w:val="en-US"/>
        </w:rPr>
        <w:t xml:space="preserve">Post-marketing reports of adverse reactions from other countries where </w:t>
      </w:r>
      <w:proofErr w:type="spellStart"/>
      <w:r w:rsidRPr="00AC2106">
        <w:rPr>
          <w:rFonts w:ascii="Arial" w:hAnsi="Arial" w:cs="Arial"/>
          <w:sz w:val="24"/>
          <w:szCs w:val="24"/>
          <w:lang w:val="en-US"/>
        </w:rPr>
        <w:t>milnacipran</w:t>
      </w:r>
      <w:proofErr w:type="spellEnd"/>
      <w:r w:rsidRPr="00AC2106">
        <w:rPr>
          <w:rFonts w:ascii="Arial" w:hAnsi="Arial" w:cs="Arial"/>
          <w:sz w:val="24"/>
          <w:szCs w:val="24"/>
          <w:lang w:val="en-US"/>
        </w:rPr>
        <w:t xml:space="preserve"> hydrochloride is used for the treatment of major depressive episode are the following (frequency not known): </w:t>
      </w:r>
    </w:p>
    <w:p w:rsidR="00AC2106" w:rsidRPr="00AC2106" w:rsidRDefault="00AC2106" w:rsidP="00AC2106">
      <w:pPr>
        <w:pStyle w:val="BodyText2"/>
        <w:numPr>
          <w:ilvl w:val="0"/>
          <w:numId w:val="7"/>
        </w:numPr>
        <w:autoSpaceDN w:val="0"/>
        <w:spacing w:after="0" w:line="240" w:lineRule="auto"/>
        <w:jc w:val="both"/>
        <w:rPr>
          <w:rFonts w:ascii="Arial" w:hAnsi="Arial" w:cs="Arial"/>
          <w:sz w:val="24"/>
          <w:szCs w:val="24"/>
          <w:lang w:val="en-US"/>
        </w:rPr>
      </w:pPr>
      <w:r w:rsidRPr="00AC2106">
        <w:rPr>
          <w:rFonts w:ascii="Arial" w:hAnsi="Arial" w:cs="Arial"/>
          <w:bCs/>
          <w:sz w:val="24"/>
          <w:szCs w:val="24"/>
        </w:rPr>
        <w:t xml:space="preserve">Metabolism and nutrition disorders: </w:t>
      </w:r>
      <w:proofErr w:type="spellStart"/>
      <w:r w:rsidRPr="00AC2106">
        <w:rPr>
          <w:rFonts w:ascii="Arial" w:hAnsi="Arial" w:cs="Arial"/>
          <w:sz w:val="24"/>
          <w:szCs w:val="24"/>
          <w:lang w:val="en-US"/>
        </w:rPr>
        <w:t>hyponatraemia</w:t>
      </w:r>
      <w:proofErr w:type="spellEnd"/>
    </w:p>
    <w:p w:rsidR="00AC2106" w:rsidRPr="00AC2106" w:rsidRDefault="00AC2106" w:rsidP="00AC2106">
      <w:pPr>
        <w:pStyle w:val="BodyText2"/>
        <w:numPr>
          <w:ilvl w:val="0"/>
          <w:numId w:val="7"/>
        </w:numPr>
        <w:autoSpaceDN w:val="0"/>
        <w:spacing w:after="0" w:line="240" w:lineRule="auto"/>
        <w:jc w:val="both"/>
        <w:rPr>
          <w:rFonts w:ascii="Arial" w:hAnsi="Arial" w:cs="Arial"/>
          <w:sz w:val="24"/>
          <w:szCs w:val="24"/>
          <w:lang w:val="en-US"/>
        </w:rPr>
      </w:pPr>
      <w:r w:rsidRPr="00AC2106">
        <w:rPr>
          <w:rFonts w:ascii="Arial" w:hAnsi="Arial" w:cs="Arial"/>
          <w:bCs/>
          <w:sz w:val="24"/>
          <w:szCs w:val="24"/>
        </w:rPr>
        <w:t xml:space="preserve">Nervous system disorders: </w:t>
      </w:r>
      <w:proofErr w:type="spellStart"/>
      <w:r w:rsidRPr="00AC2106">
        <w:rPr>
          <w:rFonts w:ascii="Arial" w:hAnsi="Arial" w:cs="Arial"/>
          <w:sz w:val="24"/>
          <w:szCs w:val="24"/>
          <w:lang w:val="en-US"/>
        </w:rPr>
        <w:t>serotoninergic</w:t>
      </w:r>
      <w:proofErr w:type="spellEnd"/>
      <w:r w:rsidRPr="00AC2106">
        <w:rPr>
          <w:rFonts w:ascii="Arial" w:hAnsi="Arial" w:cs="Arial"/>
          <w:sz w:val="24"/>
          <w:szCs w:val="24"/>
          <w:lang w:val="en-US"/>
        </w:rPr>
        <w:t xml:space="preserve"> syndrome (especially when combined with other agents), convulsions (especially in patients with past history of epilepsy)</w:t>
      </w:r>
    </w:p>
    <w:p w:rsidR="00AC2106" w:rsidRPr="00AC2106" w:rsidRDefault="00AC2106" w:rsidP="00AC2106">
      <w:pPr>
        <w:pStyle w:val="BodyText2"/>
        <w:numPr>
          <w:ilvl w:val="0"/>
          <w:numId w:val="7"/>
        </w:numPr>
        <w:autoSpaceDN w:val="0"/>
        <w:spacing w:after="0" w:line="240" w:lineRule="auto"/>
        <w:jc w:val="both"/>
        <w:rPr>
          <w:rFonts w:ascii="Arial" w:hAnsi="Arial" w:cs="Arial"/>
          <w:sz w:val="24"/>
          <w:szCs w:val="24"/>
          <w:lang w:val="en-US"/>
        </w:rPr>
      </w:pPr>
      <w:r w:rsidRPr="00AC2106">
        <w:rPr>
          <w:rFonts w:ascii="Arial" w:hAnsi="Arial" w:cs="Arial"/>
          <w:bCs/>
          <w:sz w:val="24"/>
          <w:szCs w:val="24"/>
        </w:rPr>
        <w:t>Vascular disorders:</w:t>
      </w:r>
      <w:r w:rsidRPr="00AC2106">
        <w:rPr>
          <w:rFonts w:ascii="Arial" w:hAnsi="Arial" w:cs="Arial"/>
          <w:sz w:val="24"/>
          <w:szCs w:val="24"/>
          <w:lang w:val="en-US"/>
        </w:rPr>
        <w:t xml:space="preserve"> </w:t>
      </w:r>
      <w:proofErr w:type="spellStart"/>
      <w:r w:rsidRPr="00AC2106">
        <w:rPr>
          <w:rFonts w:ascii="Arial" w:hAnsi="Arial" w:cs="Arial"/>
          <w:sz w:val="24"/>
          <w:szCs w:val="24"/>
          <w:lang w:val="en-US"/>
        </w:rPr>
        <w:t>ecchymosis</w:t>
      </w:r>
      <w:proofErr w:type="spellEnd"/>
      <w:r w:rsidRPr="00AC2106">
        <w:rPr>
          <w:rFonts w:ascii="Arial" w:hAnsi="Arial" w:cs="Arial"/>
          <w:sz w:val="24"/>
          <w:szCs w:val="24"/>
          <w:lang w:val="en-US"/>
        </w:rPr>
        <w:t xml:space="preserve"> and other </w:t>
      </w:r>
      <w:proofErr w:type="spellStart"/>
      <w:r w:rsidRPr="00AC2106">
        <w:rPr>
          <w:rFonts w:ascii="Arial" w:hAnsi="Arial" w:cs="Arial"/>
          <w:sz w:val="24"/>
          <w:szCs w:val="24"/>
          <w:lang w:val="en-US"/>
        </w:rPr>
        <w:t>cutaneous</w:t>
      </w:r>
      <w:proofErr w:type="spellEnd"/>
      <w:r w:rsidRPr="00AC2106">
        <w:rPr>
          <w:rFonts w:ascii="Arial" w:hAnsi="Arial" w:cs="Arial"/>
          <w:sz w:val="24"/>
          <w:szCs w:val="24"/>
          <w:lang w:val="en-US"/>
        </w:rPr>
        <w:t xml:space="preserve"> or mucosal bleeding</w:t>
      </w:r>
    </w:p>
    <w:p w:rsidR="00AC2106" w:rsidRDefault="00AC2106" w:rsidP="00AC2106">
      <w:pPr>
        <w:pStyle w:val="BodyText2"/>
        <w:numPr>
          <w:ilvl w:val="0"/>
          <w:numId w:val="7"/>
        </w:numPr>
        <w:autoSpaceDN w:val="0"/>
        <w:spacing w:after="0" w:line="240" w:lineRule="auto"/>
        <w:jc w:val="both"/>
        <w:rPr>
          <w:rFonts w:ascii="Arial" w:hAnsi="Arial" w:cs="Arial"/>
          <w:sz w:val="24"/>
          <w:szCs w:val="24"/>
          <w:lang w:val="en-US"/>
        </w:rPr>
      </w:pPr>
      <w:proofErr w:type="spellStart"/>
      <w:r w:rsidRPr="00AC2106">
        <w:rPr>
          <w:rFonts w:ascii="Arial" w:hAnsi="Arial" w:cs="Arial"/>
          <w:bCs/>
          <w:sz w:val="24"/>
          <w:szCs w:val="24"/>
        </w:rPr>
        <w:t>Hepatobiliary</w:t>
      </w:r>
      <w:proofErr w:type="spellEnd"/>
      <w:r w:rsidRPr="00AC2106">
        <w:rPr>
          <w:rFonts w:ascii="Arial" w:hAnsi="Arial" w:cs="Arial"/>
          <w:bCs/>
          <w:sz w:val="24"/>
          <w:szCs w:val="24"/>
        </w:rPr>
        <w:t xml:space="preserve"> disorders:</w:t>
      </w:r>
      <w:r w:rsidRPr="00AC2106">
        <w:rPr>
          <w:rFonts w:ascii="Arial" w:hAnsi="Arial" w:cs="Arial"/>
          <w:sz w:val="24"/>
          <w:szCs w:val="24"/>
          <w:lang w:val="en-US"/>
        </w:rPr>
        <w:t xml:space="preserve"> </w:t>
      </w:r>
      <w:proofErr w:type="spellStart"/>
      <w:r w:rsidR="0060211C">
        <w:rPr>
          <w:rFonts w:ascii="Arial" w:hAnsi="Arial" w:cs="Arial"/>
          <w:sz w:val="24"/>
          <w:szCs w:val="24"/>
          <w:lang w:val="en-US"/>
        </w:rPr>
        <w:t>cytoly</w:t>
      </w:r>
      <w:r w:rsidRPr="00AC2106">
        <w:rPr>
          <w:rFonts w:ascii="Arial" w:hAnsi="Arial" w:cs="Arial"/>
          <w:sz w:val="24"/>
          <w:szCs w:val="24"/>
          <w:lang w:val="en-US"/>
        </w:rPr>
        <w:t>tic</w:t>
      </w:r>
      <w:proofErr w:type="spellEnd"/>
      <w:r w:rsidRPr="00AC2106">
        <w:rPr>
          <w:rFonts w:ascii="Arial" w:hAnsi="Arial" w:cs="Arial"/>
          <w:sz w:val="24"/>
          <w:szCs w:val="24"/>
          <w:lang w:val="en-US"/>
        </w:rPr>
        <w:t xml:space="preserve"> hepatitis</w:t>
      </w:r>
    </w:p>
    <w:p w:rsidR="00092DF6" w:rsidRPr="00AC2106" w:rsidRDefault="00092DF6" w:rsidP="00092DF6">
      <w:pPr>
        <w:pStyle w:val="BodyText2"/>
        <w:autoSpaceDN w:val="0"/>
        <w:spacing w:after="0" w:line="240" w:lineRule="auto"/>
        <w:ind w:left="360"/>
        <w:jc w:val="both"/>
        <w:rPr>
          <w:rFonts w:ascii="Arial" w:hAnsi="Arial" w:cs="Arial"/>
          <w:sz w:val="24"/>
          <w:szCs w:val="24"/>
          <w:lang w:val="en-US"/>
        </w:rPr>
      </w:pPr>
    </w:p>
    <w:p w:rsidR="00AC2106" w:rsidRPr="00AC2106" w:rsidRDefault="00AC2106" w:rsidP="00AC2106">
      <w:pPr>
        <w:jc w:val="both"/>
        <w:rPr>
          <w:rFonts w:ascii="Arial" w:hAnsi="Arial" w:cs="Arial"/>
          <w:sz w:val="24"/>
          <w:szCs w:val="24"/>
          <w:lang w:val="en-US"/>
        </w:rPr>
      </w:pPr>
      <w:r w:rsidRPr="00AC2106">
        <w:rPr>
          <w:rFonts w:ascii="Arial" w:hAnsi="Arial" w:cs="Arial"/>
          <w:sz w:val="24"/>
          <w:szCs w:val="24"/>
          <w:lang w:val="en-US"/>
        </w:rPr>
        <w:t>Other post-marketing adverse reactions reported in depressed patients were related to the depressive illness:</w:t>
      </w:r>
    </w:p>
    <w:p w:rsidR="00AC2106" w:rsidRPr="00AC2106" w:rsidRDefault="00AC2106" w:rsidP="00AC2106">
      <w:pPr>
        <w:pStyle w:val="BodyText2"/>
        <w:numPr>
          <w:ilvl w:val="0"/>
          <w:numId w:val="8"/>
        </w:numPr>
        <w:autoSpaceDN w:val="0"/>
        <w:spacing w:after="0" w:line="240" w:lineRule="auto"/>
        <w:jc w:val="both"/>
        <w:rPr>
          <w:rFonts w:ascii="Arial" w:hAnsi="Arial" w:cs="Arial"/>
          <w:sz w:val="24"/>
          <w:szCs w:val="24"/>
          <w:lang w:val="en-US"/>
        </w:rPr>
      </w:pPr>
      <w:r w:rsidRPr="00AC2106">
        <w:rPr>
          <w:rFonts w:ascii="Arial" w:hAnsi="Arial" w:cs="Arial"/>
          <w:sz w:val="24"/>
          <w:szCs w:val="24"/>
          <w:lang w:val="en-US"/>
        </w:rPr>
        <w:t>elimination of psychomotor inhibition, with suicidal risk</w:t>
      </w:r>
    </w:p>
    <w:p w:rsidR="00AC2106" w:rsidRPr="00AC2106" w:rsidRDefault="00AC2106" w:rsidP="00AC2106">
      <w:pPr>
        <w:pStyle w:val="BodyText2"/>
        <w:numPr>
          <w:ilvl w:val="0"/>
          <w:numId w:val="8"/>
        </w:numPr>
        <w:autoSpaceDN w:val="0"/>
        <w:spacing w:after="0" w:line="240" w:lineRule="auto"/>
        <w:jc w:val="both"/>
        <w:rPr>
          <w:rFonts w:ascii="Arial" w:hAnsi="Arial" w:cs="Arial"/>
          <w:sz w:val="24"/>
          <w:szCs w:val="24"/>
          <w:lang w:val="en-US"/>
        </w:rPr>
      </w:pPr>
      <w:r w:rsidRPr="00AC2106">
        <w:rPr>
          <w:rFonts w:ascii="Arial" w:hAnsi="Arial" w:cs="Arial"/>
          <w:sz w:val="24"/>
          <w:szCs w:val="24"/>
          <w:lang w:val="en-US"/>
        </w:rPr>
        <w:t>mood switch, with episodes of mania</w:t>
      </w:r>
    </w:p>
    <w:p w:rsidR="00AC2106" w:rsidRPr="00AC2106" w:rsidRDefault="00AC2106" w:rsidP="00AC2106">
      <w:pPr>
        <w:pStyle w:val="BodyText2"/>
        <w:numPr>
          <w:ilvl w:val="0"/>
          <w:numId w:val="8"/>
        </w:numPr>
        <w:autoSpaceDN w:val="0"/>
        <w:spacing w:after="0" w:line="240" w:lineRule="auto"/>
        <w:jc w:val="both"/>
        <w:rPr>
          <w:rFonts w:ascii="Arial" w:hAnsi="Arial" w:cs="Arial"/>
          <w:sz w:val="24"/>
          <w:szCs w:val="24"/>
          <w:lang w:val="en-US"/>
        </w:rPr>
      </w:pPr>
      <w:r w:rsidRPr="00AC2106">
        <w:rPr>
          <w:rFonts w:ascii="Arial" w:hAnsi="Arial" w:cs="Arial"/>
          <w:sz w:val="24"/>
          <w:szCs w:val="24"/>
          <w:lang w:val="en-US"/>
        </w:rPr>
        <w:t>reactivation of a delusion in psychotic patients</w:t>
      </w:r>
    </w:p>
    <w:p w:rsidR="00AC2106" w:rsidRPr="00AC2106" w:rsidRDefault="00AC2106" w:rsidP="00871CA7">
      <w:pPr>
        <w:spacing w:after="0"/>
        <w:rPr>
          <w:rFonts w:ascii="Arial" w:hAnsi="Arial" w:cs="Arial"/>
          <w:sz w:val="24"/>
          <w:szCs w:val="24"/>
        </w:rPr>
      </w:pPr>
    </w:p>
    <w:p w:rsidR="00AC2106" w:rsidRDefault="00AC2106" w:rsidP="00871CA7">
      <w:pPr>
        <w:spacing w:after="0"/>
        <w:rPr>
          <w:rFonts w:ascii="Arial" w:hAnsi="Arial" w:cs="Arial"/>
          <w:sz w:val="24"/>
          <w:szCs w:val="24"/>
        </w:rPr>
      </w:pPr>
    </w:p>
    <w:p w:rsidR="00871CA7" w:rsidRPr="00871CA7" w:rsidRDefault="00871CA7" w:rsidP="00871CA7">
      <w:pPr>
        <w:spacing w:after="0"/>
        <w:rPr>
          <w:rFonts w:ascii="Arial" w:hAnsi="Arial" w:cs="Arial"/>
          <w:b/>
          <w:sz w:val="24"/>
          <w:szCs w:val="24"/>
        </w:rPr>
      </w:pPr>
      <w:r w:rsidRPr="00871CA7">
        <w:rPr>
          <w:rFonts w:ascii="Arial" w:hAnsi="Arial" w:cs="Arial"/>
          <w:b/>
          <w:sz w:val="24"/>
          <w:szCs w:val="24"/>
        </w:rPr>
        <w:t>DOSAGE AND ADMINISTRATION</w:t>
      </w:r>
    </w:p>
    <w:p w:rsidR="00871CA7" w:rsidRDefault="00871CA7" w:rsidP="00871CA7">
      <w:pPr>
        <w:spacing w:after="0"/>
        <w:rPr>
          <w:rFonts w:ascii="Arial" w:hAnsi="Arial" w:cs="Arial"/>
          <w:sz w:val="24"/>
          <w:szCs w:val="24"/>
        </w:rPr>
      </w:pPr>
    </w:p>
    <w:p w:rsidR="00871CA7" w:rsidRDefault="005306D9" w:rsidP="00871CA7">
      <w:pPr>
        <w:spacing w:after="0"/>
        <w:rPr>
          <w:rFonts w:ascii="Arial" w:hAnsi="Arial" w:cs="Arial"/>
          <w:sz w:val="24"/>
          <w:szCs w:val="24"/>
        </w:rPr>
      </w:pPr>
      <w:r>
        <w:rPr>
          <w:rFonts w:ascii="Arial" w:hAnsi="Arial" w:cs="Arial"/>
          <w:sz w:val="24"/>
          <w:szCs w:val="24"/>
        </w:rPr>
        <w:t>JONCIA</w:t>
      </w:r>
      <w:r w:rsidRPr="00A504C7">
        <w:rPr>
          <w:rFonts w:ascii="Arial" w:hAnsi="Arial" w:cs="Arial"/>
          <w:sz w:val="24"/>
          <w:szCs w:val="24"/>
          <w:vertAlign w:val="superscript"/>
        </w:rPr>
        <w:t>®</w:t>
      </w:r>
      <w:r>
        <w:rPr>
          <w:rFonts w:ascii="Arial" w:hAnsi="Arial" w:cs="Arial"/>
          <w:sz w:val="24"/>
          <w:szCs w:val="24"/>
          <w:vertAlign w:val="superscript"/>
        </w:rPr>
        <w:t xml:space="preserve"> </w:t>
      </w:r>
      <w:r w:rsidR="00872696">
        <w:rPr>
          <w:rFonts w:ascii="Arial" w:hAnsi="Arial" w:cs="Arial"/>
          <w:sz w:val="24"/>
          <w:szCs w:val="24"/>
        </w:rPr>
        <w:t>capsules are for oral use.</w:t>
      </w:r>
    </w:p>
    <w:p w:rsidR="00872696" w:rsidRDefault="00872696" w:rsidP="00871CA7">
      <w:pPr>
        <w:spacing w:after="0"/>
        <w:rPr>
          <w:rFonts w:ascii="Arial" w:hAnsi="Arial" w:cs="Arial"/>
          <w:sz w:val="24"/>
          <w:szCs w:val="24"/>
        </w:rPr>
      </w:pPr>
    </w:p>
    <w:p w:rsidR="001E490D" w:rsidRDefault="00872696" w:rsidP="00871CA7">
      <w:pPr>
        <w:spacing w:after="0"/>
        <w:rPr>
          <w:rFonts w:ascii="Arial" w:hAnsi="Arial" w:cs="Arial"/>
          <w:sz w:val="24"/>
          <w:szCs w:val="24"/>
        </w:rPr>
      </w:pPr>
      <w:r>
        <w:rPr>
          <w:rFonts w:ascii="Arial" w:hAnsi="Arial" w:cs="Arial"/>
          <w:sz w:val="24"/>
          <w:szCs w:val="24"/>
        </w:rPr>
        <w:t xml:space="preserve">The recommended dose is 100 mg per day </w:t>
      </w:r>
      <w:r w:rsidR="001E490D">
        <w:rPr>
          <w:rFonts w:ascii="Arial" w:hAnsi="Arial" w:cs="Arial"/>
          <w:sz w:val="24"/>
          <w:szCs w:val="24"/>
        </w:rPr>
        <w:t>in</w:t>
      </w:r>
      <w:r>
        <w:rPr>
          <w:rFonts w:ascii="Arial" w:hAnsi="Arial" w:cs="Arial"/>
          <w:sz w:val="24"/>
          <w:szCs w:val="24"/>
        </w:rPr>
        <w:t xml:space="preserve">  two divided doses (morning and evening</w:t>
      </w:r>
      <w:r w:rsidR="00C171B4">
        <w:rPr>
          <w:rFonts w:ascii="Arial" w:hAnsi="Arial" w:cs="Arial"/>
          <w:sz w:val="24"/>
          <w:szCs w:val="24"/>
        </w:rPr>
        <w:t>,</w:t>
      </w:r>
      <w:r>
        <w:rPr>
          <w:rFonts w:ascii="Arial" w:hAnsi="Arial" w:cs="Arial"/>
          <w:sz w:val="24"/>
          <w:szCs w:val="24"/>
        </w:rPr>
        <w:t xml:space="preserve"> preferably </w:t>
      </w:r>
      <w:r w:rsidR="00D35E18">
        <w:rPr>
          <w:rFonts w:ascii="Arial" w:hAnsi="Arial" w:cs="Arial"/>
          <w:sz w:val="24"/>
          <w:szCs w:val="24"/>
        </w:rPr>
        <w:t>during</w:t>
      </w:r>
      <w:r>
        <w:rPr>
          <w:rFonts w:ascii="Arial" w:hAnsi="Arial" w:cs="Arial"/>
          <w:sz w:val="24"/>
          <w:szCs w:val="24"/>
        </w:rPr>
        <w:t xml:space="preserve"> meals).  </w:t>
      </w:r>
    </w:p>
    <w:p w:rsidR="00291144" w:rsidRDefault="00291144" w:rsidP="00871CA7">
      <w:pPr>
        <w:spacing w:after="0"/>
        <w:rPr>
          <w:rFonts w:ascii="Arial" w:hAnsi="Arial" w:cs="Arial"/>
          <w:sz w:val="24"/>
          <w:szCs w:val="24"/>
        </w:rPr>
      </w:pPr>
    </w:p>
    <w:p w:rsidR="00291144" w:rsidRDefault="00291144" w:rsidP="00871CA7">
      <w:pPr>
        <w:spacing w:after="0"/>
        <w:rPr>
          <w:rFonts w:ascii="Arial" w:hAnsi="Arial" w:cs="Arial"/>
          <w:sz w:val="24"/>
          <w:szCs w:val="24"/>
        </w:rPr>
      </w:pPr>
      <w:r>
        <w:rPr>
          <w:rFonts w:ascii="Arial" w:hAnsi="Arial" w:cs="Arial"/>
          <w:sz w:val="24"/>
          <w:szCs w:val="24"/>
        </w:rPr>
        <w:t>Based on efficacy and tolerability dosing may be titrated according to the following schedule:</w:t>
      </w:r>
    </w:p>
    <w:p w:rsidR="001E490D" w:rsidRDefault="001E490D" w:rsidP="00871CA7">
      <w:pPr>
        <w:spacing w:after="0"/>
        <w:rPr>
          <w:rFonts w:ascii="Arial" w:hAnsi="Arial" w:cs="Arial"/>
          <w:sz w:val="24"/>
          <w:szCs w:val="24"/>
        </w:rPr>
      </w:pPr>
    </w:p>
    <w:p w:rsidR="001E490D" w:rsidRDefault="001E490D" w:rsidP="00871CA7">
      <w:pPr>
        <w:spacing w:after="0"/>
        <w:rPr>
          <w:rFonts w:ascii="Arial" w:hAnsi="Arial" w:cs="Arial"/>
          <w:sz w:val="24"/>
          <w:szCs w:val="24"/>
        </w:rPr>
      </w:pPr>
      <w:r>
        <w:rPr>
          <w:rFonts w:ascii="Arial" w:hAnsi="Arial" w:cs="Arial"/>
          <w:sz w:val="24"/>
          <w:szCs w:val="24"/>
        </w:rPr>
        <w:t>Day 1 – Day 2: 25 mg once daily (in the evening)</w:t>
      </w:r>
      <w:r w:rsidR="00291144">
        <w:rPr>
          <w:rFonts w:ascii="Arial" w:hAnsi="Arial" w:cs="Arial"/>
          <w:sz w:val="24"/>
          <w:szCs w:val="24"/>
        </w:rPr>
        <w:t>.</w:t>
      </w:r>
    </w:p>
    <w:p w:rsidR="001E490D" w:rsidRDefault="001E490D" w:rsidP="00291144">
      <w:pPr>
        <w:spacing w:after="0"/>
        <w:ind w:right="-188"/>
        <w:rPr>
          <w:rFonts w:ascii="Arial" w:hAnsi="Arial" w:cs="Arial"/>
          <w:sz w:val="24"/>
          <w:szCs w:val="24"/>
        </w:rPr>
      </w:pPr>
      <w:r>
        <w:rPr>
          <w:rFonts w:ascii="Arial" w:hAnsi="Arial" w:cs="Arial"/>
          <w:sz w:val="24"/>
          <w:szCs w:val="24"/>
        </w:rPr>
        <w:t>Day 3 – Day 7: 50 mg daily in two divided doses (25 mg morning and 25 mg evening)</w:t>
      </w:r>
      <w:r w:rsidR="00291144">
        <w:rPr>
          <w:rFonts w:ascii="Arial" w:hAnsi="Arial" w:cs="Arial"/>
          <w:sz w:val="24"/>
          <w:szCs w:val="24"/>
        </w:rPr>
        <w:t>.</w:t>
      </w:r>
    </w:p>
    <w:p w:rsidR="001E490D" w:rsidRDefault="00291144" w:rsidP="00871CA7">
      <w:pPr>
        <w:spacing w:after="0"/>
        <w:rPr>
          <w:rFonts w:ascii="Arial" w:hAnsi="Arial" w:cs="Arial"/>
          <w:sz w:val="24"/>
          <w:szCs w:val="24"/>
        </w:rPr>
      </w:pPr>
      <w:r>
        <w:rPr>
          <w:rFonts w:ascii="Arial" w:hAnsi="Arial" w:cs="Arial"/>
          <w:sz w:val="24"/>
          <w:szCs w:val="24"/>
        </w:rPr>
        <w:t>After Day 7</w:t>
      </w:r>
      <w:r w:rsidR="001E490D">
        <w:rPr>
          <w:rFonts w:ascii="Arial" w:hAnsi="Arial" w:cs="Arial"/>
          <w:sz w:val="24"/>
          <w:szCs w:val="24"/>
        </w:rPr>
        <w:t>: 100 mg daily in two divided doses (50 mg morning and 50 mg evening)</w:t>
      </w:r>
      <w:r>
        <w:rPr>
          <w:rFonts w:ascii="Arial" w:hAnsi="Arial" w:cs="Arial"/>
          <w:sz w:val="24"/>
          <w:szCs w:val="24"/>
        </w:rPr>
        <w:t>.</w:t>
      </w:r>
    </w:p>
    <w:p w:rsidR="00291144" w:rsidRDefault="00291144" w:rsidP="00871CA7">
      <w:pPr>
        <w:spacing w:after="0"/>
        <w:rPr>
          <w:rFonts w:ascii="Arial" w:hAnsi="Arial" w:cs="Arial"/>
          <w:sz w:val="24"/>
          <w:szCs w:val="24"/>
        </w:rPr>
      </w:pPr>
    </w:p>
    <w:p w:rsidR="00291144" w:rsidRDefault="00291144" w:rsidP="00871CA7">
      <w:pPr>
        <w:spacing w:after="0"/>
        <w:rPr>
          <w:rFonts w:ascii="Arial" w:hAnsi="Arial" w:cs="Arial"/>
          <w:sz w:val="24"/>
          <w:szCs w:val="24"/>
        </w:rPr>
      </w:pPr>
      <w:r>
        <w:rPr>
          <w:rFonts w:ascii="Arial" w:hAnsi="Arial" w:cs="Arial"/>
          <w:sz w:val="24"/>
          <w:szCs w:val="24"/>
        </w:rPr>
        <w:t>Based on individual patient response, the dose may be increased to 200 mg/day (100 mg twice daily).  Doses above 200 mg/day have not been studied.</w:t>
      </w:r>
    </w:p>
    <w:p w:rsidR="001E490D" w:rsidRDefault="001E490D" w:rsidP="00871CA7">
      <w:pPr>
        <w:spacing w:after="0"/>
        <w:rPr>
          <w:rFonts w:ascii="Arial" w:hAnsi="Arial" w:cs="Arial"/>
          <w:sz w:val="24"/>
          <w:szCs w:val="24"/>
        </w:rPr>
      </w:pPr>
    </w:p>
    <w:p w:rsidR="00D2224E" w:rsidRDefault="00D2224E" w:rsidP="00D2224E">
      <w:pPr>
        <w:spacing w:after="0"/>
        <w:rPr>
          <w:rFonts w:ascii="Arial" w:hAnsi="Arial" w:cs="Arial"/>
          <w:sz w:val="24"/>
          <w:szCs w:val="24"/>
        </w:rPr>
      </w:pPr>
      <w:r>
        <w:rPr>
          <w:rFonts w:ascii="Arial" w:hAnsi="Arial" w:cs="Arial"/>
          <w:sz w:val="24"/>
          <w:szCs w:val="24"/>
        </w:rPr>
        <w:t>After an initial 12 week period patients should be assessed and those with little or no benefit should discontinue treatment. In patient with apparent benefit, consideration should be given to periodically reassessing the need for ongoing treatment.</w:t>
      </w:r>
    </w:p>
    <w:p w:rsidR="00D2224E" w:rsidRDefault="00D2224E" w:rsidP="00871CA7">
      <w:pPr>
        <w:spacing w:after="0"/>
        <w:rPr>
          <w:rFonts w:ascii="Arial" w:hAnsi="Arial" w:cs="Arial"/>
          <w:sz w:val="24"/>
          <w:szCs w:val="24"/>
        </w:rPr>
      </w:pPr>
    </w:p>
    <w:p w:rsidR="001E490D" w:rsidRDefault="00BB4EF7" w:rsidP="00871CA7">
      <w:pPr>
        <w:spacing w:after="0"/>
        <w:rPr>
          <w:rFonts w:ascii="Arial" w:hAnsi="Arial" w:cs="Arial"/>
          <w:color w:val="00B050"/>
          <w:sz w:val="24"/>
          <w:szCs w:val="24"/>
        </w:rPr>
      </w:pPr>
      <w:r>
        <w:rPr>
          <w:rFonts w:ascii="Arial" w:hAnsi="Arial" w:cs="Arial"/>
          <w:sz w:val="24"/>
          <w:szCs w:val="24"/>
        </w:rPr>
        <w:t>JON</w:t>
      </w:r>
      <w:r w:rsidR="00D2224E">
        <w:rPr>
          <w:rFonts w:ascii="Arial" w:hAnsi="Arial" w:cs="Arial"/>
          <w:sz w:val="24"/>
          <w:szCs w:val="24"/>
        </w:rPr>
        <w:t>C</w:t>
      </w:r>
      <w:r>
        <w:rPr>
          <w:rFonts w:ascii="Arial" w:hAnsi="Arial" w:cs="Arial"/>
          <w:sz w:val="24"/>
          <w:szCs w:val="24"/>
        </w:rPr>
        <w:t>I</w:t>
      </w:r>
      <w:r w:rsidR="00D2224E">
        <w:rPr>
          <w:rFonts w:ascii="Arial" w:hAnsi="Arial" w:cs="Arial"/>
          <w:sz w:val="24"/>
          <w:szCs w:val="24"/>
        </w:rPr>
        <w:t>A</w:t>
      </w:r>
      <w:r w:rsidR="00D2224E" w:rsidRPr="00BB4EF7">
        <w:rPr>
          <w:rFonts w:ascii="Arial" w:hAnsi="Arial" w:cs="Arial"/>
          <w:sz w:val="24"/>
          <w:szCs w:val="24"/>
          <w:vertAlign w:val="superscript"/>
        </w:rPr>
        <w:t>®</w:t>
      </w:r>
      <w:r w:rsidR="00291144">
        <w:rPr>
          <w:rFonts w:ascii="Arial" w:hAnsi="Arial" w:cs="Arial"/>
          <w:sz w:val="24"/>
          <w:szCs w:val="24"/>
        </w:rPr>
        <w:t xml:space="preserve"> should be tapered and not abruptly discontinued after</w:t>
      </w:r>
      <w:r w:rsidR="00113C03">
        <w:rPr>
          <w:rFonts w:ascii="Arial" w:hAnsi="Arial" w:cs="Arial"/>
          <w:sz w:val="24"/>
          <w:szCs w:val="24"/>
        </w:rPr>
        <w:t xml:space="preserve"> extended use (see PRECAUTIONS - </w:t>
      </w:r>
      <w:r w:rsidR="00291144">
        <w:rPr>
          <w:rFonts w:ascii="Arial" w:hAnsi="Arial" w:cs="Arial"/>
          <w:sz w:val="24"/>
          <w:szCs w:val="24"/>
        </w:rPr>
        <w:t xml:space="preserve">Discontinuation of treatment).   </w:t>
      </w:r>
    </w:p>
    <w:p w:rsidR="005E2C80" w:rsidRDefault="005E2C80" w:rsidP="00871CA7">
      <w:pPr>
        <w:spacing w:after="0"/>
        <w:rPr>
          <w:rFonts w:ascii="Arial" w:hAnsi="Arial" w:cs="Arial"/>
          <w:color w:val="00B050"/>
          <w:sz w:val="24"/>
          <w:szCs w:val="24"/>
        </w:rPr>
      </w:pPr>
    </w:p>
    <w:p w:rsidR="00871D63" w:rsidRPr="00871D63" w:rsidRDefault="00871D63" w:rsidP="00E65326">
      <w:pPr>
        <w:spacing w:after="0"/>
        <w:rPr>
          <w:rFonts w:ascii="Arial" w:hAnsi="Arial" w:cs="Arial"/>
          <w:b/>
          <w:color w:val="000000"/>
          <w:sz w:val="24"/>
          <w:szCs w:val="24"/>
        </w:rPr>
      </w:pPr>
      <w:r w:rsidRPr="00871D63">
        <w:rPr>
          <w:rFonts w:ascii="Arial" w:hAnsi="Arial" w:cs="Arial"/>
          <w:b/>
          <w:color w:val="000000"/>
          <w:sz w:val="24"/>
          <w:szCs w:val="24"/>
        </w:rPr>
        <w:t>Use in patients with renal insufficiency</w:t>
      </w:r>
    </w:p>
    <w:p w:rsidR="00BB4EF7" w:rsidRDefault="00871D63" w:rsidP="00BB4EF7">
      <w:pPr>
        <w:spacing w:after="0"/>
        <w:rPr>
          <w:rFonts w:ascii="Arial" w:hAnsi="Arial" w:cs="Arial"/>
          <w:color w:val="000000"/>
          <w:sz w:val="24"/>
          <w:szCs w:val="24"/>
        </w:rPr>
      </w:pPr>
      <w:r w:rsidRPr="00871D63">
        <w:rPr>
          <w:rFonts w:ascii="Arial" w:hAnsi="Arial" w:cs="Arial"/>
          <w:color w:val="000000"/>
          <w:sz w:val="24"/>
          <w:szCs w:val="24"/>
        </w:rPr>
        <w:t xml:space="preserve">No dosage </w:t>
      </w:r>
      <w:r>
        <w:rPr>
          <w:rFonts w:ascii="Arial" w:hAnsi="Arial" w:cs="Arial"/>
          <w:color w:val="000000"/>
          <w:sz w:val="24"/>
          <w:szCs w:val="24"/>
        </w:rPr>
        <w:t>adjustment is necessary for patients with</w:t>
      </w:r>
      <w:r w:rsidR="007563D1">
        <w:rPr>
          <w:rFonts w:ascii="Arial" w:hAnsi="Arial" w:cs="Arial"/>
          <w:color w:val="000000"/>
          <w:sz w:val="24"/>
          <w:szCs w:val="24"/>
        </w:rPr>
        <w:t xml:space="preserve"> Chronic Kidney Disease (CKD) stage 2</w:t>
      </w:r>
      <w:r w:rsidR="00BB4EF7">
        <w:rPr>
          <w:rFonts w:ascii="Arial" w:hAnsi="Arial" w:cs="Arial"/>
          <w:color w:val="000000"/>
          <w:sz w:val="24"/>
          <w:szCs w:val="24"/>
        </w:rPr>
        <w:t>.</w:t>
      </w:r>
      <w:r w:rsidR="00525A42">
        <w:rPr>
          <w:rFonts w:ascii="Arial" w:hAnsi="Arial" w:cs="Arial"/>
          <w:color w:val="000000"/>
          <w:sz w:val="24"/>
          <w:szCs w:val="24"/>
        </w:rPr>
        <w:t xml:space="preserve">  </w:t>
      </w:r>
      <w:r w:rsidR="00BB4EF7">
        <w:rPr>
          <w:rFonts w:ascii="Arial" w:hAnsi="Arial" w:cs="Arial"/>
          <w:sz w:val="24"/>
          <w:szCs w:val="24"/>
        </w:rPr>
        <w:t>JONCIA</w:t>
      </w:r>
      <w:r w:rsidR="00BB4EF7" w:rsidRPr="00A504C7">
        <w:rPr>
          <w:rFonts w:ascii="Arial" w:hAnsi="Arial" w:cs="Arial"/>
          <w:sz w:val="24"/>
          <w:szCs w:val="24"/>
          <w:vertAlign w:val="superscript"/>
        </w:rPr>
        <w:t>®</w:t>
      </w:r>
      <w:r w:rsidR="00BB4EF7">
        <w:rPr>
          <w:rFonts w:ascii="Arial" w:hAnsi="Arial" w:cs="Arial"/>
          <w:sz w:val="24"/>
          <w:szCs w:val="24"/>
        </w:rPr>
        <w:t xml:space="preserve"> </w:t>
      </w:r>
      <w:r w:rsidR="00BB4EF7">
        <w:rPr>
          <w:rFonts w:ascii="Arial" w:hAnsi="Arial" w:cs="Arial"/>
          <w:color w:val="000000"/>
          <w:sz w:val="24"/>
          <w:szCs w:val="24"/>
        </w:rPr>
        <w:t xml:space="preserve">should be used with caution in patients with </w:t>
      </w:r>
      <w:r w:rsidR="007563D1">
        <w:rPr>
          <w:rFonts w:ascii="Arial" w:hAnsi="Arial" w:cs="Arial"/>
          <w:color w:val="000000"/>
          <w:sz w:val="24"/>
          <w:szCs w:val="24"/>
        </w:rPr>
        <w:t xml:space="preserve">CKD stage 3 (estimated GFR 30 – 59 </w:t>
      </w:r>
      <w:proofErr w:type="spellStart"/>
      <w:r w:rsidR="007563D1">
        <w:rPr>
          <w:rFonts w:ascii="Arial" w:hAnsi="Arial" w:cs="Arial"/>
          <w:color w:val="000000"/>
          <w:sz w:val="24"/>
          <w:szCs w:val="24"/>
        </w:rPr>
        <w:t>mL</w:t>
      </w:r>
      <w:proofErr w:type="spellEnd"/>
      <w:r w:rsidR="007563D1">
        <w:rPr>
          <w:rFonts w:ascii="Arial" w:hAnsi="Arial" w:cs="Arial"/>
          <w:color w:val="000000"/>
          <w:sz w:val="24"/>
          <w:szCs w:val="24"/>
        </w:rPr>
        <w:t>/min/1.73 m</w:t>
      </w:r>
      <w:r w:rsidR="007563D1" w:rsidRPr="007563D1">
        <w:rPr>
          <w:rFonts w:ascii="Arial" w:hAnsi="Arial" w:cs="Arial"/>
          <w:color w:val="000000"/>
          <w:sz w:val="24"/>
          <w:szCs w:val="24"/>
          <w:vertAlign w:val="superscript"/>
        </w:rPr>
        <w:t>2</w:t>
      </w:r>
      <w:r w:rsidR="007563D1">
        <w:rPr>
          <w:rFonts w:ascii="Arial" w:hAnsi="Arial" w:cs="Arial"/>
          <w:color w:val="000000"/>
          <w:sz w:val="24"/>
          <w:szCs w:val="24"/>
        </w:rPr>
        <w:t>)</w:t>
      </w:r>
      <w:r w:rsidR="00BB4EF7">
        <w:rPr>
          <w:rFonts w:ascii="Arial" w:hAnsi="Arial" w:cs="Arial"/>
          <w:color w:val="000000"/>
          <w:sz w:val="24"/>
          <w:szCs w:val="24"/>
        </w:rPr>
        <w:t xml:space="preserve"> </w:t>
      </w:r>
      <w:r w:rsidR="007563D1">
        <w:rPr>
          <w:rFonts w:ascii="Arial" w:hAnsi="Arial" w:cs="Arial"/>
          <w:color w:val="000000"/>
          <w:sz w:val="24"/>
          <w:szCs w:val="24"/>
        </w:rPr>
        <w:t xml:space="preserve">and CKD stage 4 (estimated GFR 15 – 29 </w:t>
      </w:r>
      <w:proofErr w:type="spellStart"/>
      <w:r w:rsidR="007563D1">
        <w:rPr>
          <w:rFonts w:ascii="Arial" w:hAnsi="Arial" w:cs="Arial"/>
          <w:color w:val="000000"/>
          <w:sz w:val="24"/>
          <w:szCs w:val="24"/>
        </w:rPr>
        <w:t>mL</w:t>
      </w:r>
      <w:proofErr w:type="spellEnd"/>
      <w:r w:rsidR="007563D1">
        <w:rPr>
          <w:rFonts w:ascii="Arial" w:hAnsi="Arial" w:cs="Arial"/>
          <w:color w:val="000000"/>
          <w:sz w:val="24"/>
          <w:szCs w:val="24"/>
        </w:rPr>
        <w:t>/min/1.73 m</w:t>
      </w:r>
      <w:r w:rsidR="007563D1" w:rsidRPr="007563D1">
        <w:rPr>
          <w:rFonts w:ascii="Arial" w:hAnsi="Arial" w:cs="Arial"/>
          <w:color w:val="000000"/>
          <w:sz w:val="24"/>
          <w:szCs w:val="24"/>
          <w:vertAlign w:val="superscript"/>
        </w:rPr>
        <w:t>2</w:t>
      </w:r>
      <w:r w:rsidR="007563D1">
        <w:rPr>
          <w:rFonts w:ascii="Arial" w:hAnsi="Arial" w:cs="Arial"/>
          <w:color w:val="000000"/>
          <w:sz w:val="24"/>
          <w:szCs w:val="24"/>
        </w:rPr>
        <w:t xml:space="preserve">) </w:t>
      </w:r>
      <w:r w:rsidR="00BB4EF7">
        <w:rPr>
          <w:rFonts w:ascii="Arial" w:hAnsi="Arial" w:cs="Arial"/>
          <w:color w:val="000000"/>
          <w:sz w:val="24"/>
          <w:szCs w:val="24"/>
        </w:rPr>
        <w:t>at a maximum dose of 50 mg/d.</w:t>
      </w:r>
      <w:r w:rsidR="007563D1">
        <w:rPr>
          <w:rFonts w:ascii="Arial" w:hAnsi="Arial" w:cs="Arial"/>
          <w:color w:val="000000"/>
          <w:sz w:val="24"/>
          <w:szCs w:val="24"/>
        </w:rPr>
        <w:t xml:space="preserve">  </w:t>
      </w:r>
    </w:p>
    <w:p w:rsidR="00C946B7" w:rsidRDefault="00C946B7" w:rsidP="00E65326">
      <w:pPr>
        <w:spacing w:after="0"/>
        <w:rPr>
          <w:rFonts w:ascii="Arial" w:hAnsi="Arial" w:cs="Arial"/>
          <w:color w:val="000000"/>
          <w:sz w:val="24"/>
          <w:szCs w:val="24"/>
        </w:rPr>
      </w:pPr>
    </w:p>
    <w:p w:rsidR="00C946B7" w:rsidRDefault="007563D1" w:rsidP="00E65326">
      <w:pPr>
        <w:spacing w:after="0"/>
        <w:rPr>
          <w:rFonts w:ascii="Arial" w:hAnsi="Arial" w:cs="Arial"/>
          <w:color w:val="000000"/>
          <w:sz w:val="24"/>
          <w:szCs w:val="24"/>
        </w:rPr>
      </w:pPr>
      <w:r>
        <w:rPr>
          <w:rFonts w:ascii="Arial" w:hAnsi="Arial" w:cs="Arial"/>
          <w:color w:val="000000"/>
          <w:sz w:val="24"/>
          <w:szCs w:val="24"/>
        </w:rPr>
        <w:t xml:space="preserve"> JONCIA</w:t>
      </w:r>
      <w:r w:rsidRPr="00E92F78">
        <w:rPr>
          <w:rFonts w:ascii="Arial" w:hAnsi="Arial" w:cs="Arial"/>
          <w:color w:val="000000"/>
          <w:sz w:val="24"/>
          <w:szCs w:val="24"/>
          <w:vertAlign w:val="superscript"/>
        </w:rPr>
        <w:t>®</w:t>
      </w:r>
      <w:r>
        <w:rPr>
          <w:rFonts w:ascii="Arial" w:hAnsi="Arial" w:cs="Arial"/>
          <w:color w:val="000000"/>
          <w:sz w:val="24"/>
          <w:szCs w:val="24"/>
        </w:rPr>
        <w:t xml:space="preserve"> should not be given to patients with CKD stage 5.</w:t>
      </w:r>
    </w:p>
    <w:p w:rsidR="00986A83" w:rsidRDefault="00986A83" w:rsidP="00E65326">
      <w:pPr>
        <w:spacing w:after="0"/>
        <w:rPr>
          <w:rFonts w:ascii="Arial" w:hAnsi="Arial" w:cs="Arial"/>
          <w:color w:val="000000"/>
          <w:sz w:val="24"/>
          <w:szCs w:val="24"/>
        </w:rPr>
      </w:pPr>
    </w:p>
    <w:p w:rsidR="00986A83" w:rsidRDefault="00986A83" w:rsidP="00986A83">
      <w:pPr>
        <w:spacing w:after="0"/>
        <w:rPr>
          <w:rFonts w:ascii="Arial" w:hAnsi="Arial" w:cs="Arial"/>
          <w:b/>
          <w:color w:val="000000"/>
          <w:sz w:val="24"/>
          <w:szCs w:val="24"/>
        </w:rPr>
      </w:pPr>
      <w:r w:rsidRPr="00871D63">
        <w:rPr>
          <w:rFonts w:ascii="Arial" w:hAnsi="Arial" w:cs="Arial"/>
          <w:b/>
          <w:color w:val="000000"/>
          <w:sz w:val="24"/>
          <w:szCs w:val="24"/>
        </w:rPr>
        <w:t xml:space="preserve">Use in patients with </w:t>
      </w:r>
      <w:r>
        <w:rPr>
          <w:rFonts w:ascii="Arial" w:hAnsi="Arial" w:cs="Arial"/>
          <w:b/>
          <w:color w:val="000000"/>
          <w:sz w:val="24"/>
          <w:szCs w:val="24"/>
        </w:rPr>
        <w:t>hepatic impairment</w:t>
      </w:r>
    </w:p>
    <w:p w:rsidR="00BB4EF7" w:rsidRDefault="00986A83" w:rsidP="00986A83">
      <w:pPr>
        <w:spacing w:after="0"/>
        <w:rPr>
          <w:rFonts w:ascii="Arial" w:hAnsi="Arial" w:cs="Arial"/>
          <w:sz w:val="24"/>
          <w:szCs w:val="24"/>
        </w:rPr>
      </w:pPr>
      <w:r>
        <w:rPr>
          <w:rFonts w:ascii="Arial" w:hAnsi="Arial" w:cs="Arial"/>
          <w:color w:val="000000"/>
          <w:sz w:val="24"/>
          <w:szCs w:val="24"/>
        </w:rPr>
        <w:t xml:space="preserve">No dosage adjustment is necessary for patients with hepatic impairment (see </w:t>
      </w:r>
      <w:r w:rsidR="005E2C80">
        <w:rPr>
          <w:rFonts w:ascii="Arial" w:hAnsi="Arial" w:cs="Arial"/>
          <w:sz w:val="24"/>
          <w:szCs w:val="24"/>
        </w:rPr>
        <w:t>Pharmacokinetics – Special Popul</w:t>
      </w:r>
      <w:r w:rsidRPr="002C7744">
        <w:rPr>
          <w:rFonts w:ascii="Arial" w:hAnsi="Arial" w:cs="Arial"/>
          <w:sz w:val="24"/>
          <w:szCs w:val="24"/>
        </w:rPr>
        <w:t>ations</w:t>
      </w:r>
      <w:r>
        <w:rPr>
          <w:rFonts w:ascii="Arial" w:hAnsi="Arial" w:cs="Arial"/>
          <w:sz w:val="24"/>
          <w:szCs w:val="24"/>
        </w:rPr>
        <w:t>)</w:t>
      </w:r>
      <w:r w:rsidR="00BB4EF7">
        <w:rPr>
          <w:rFonts w:ascii="Arial" w:hAnsi="Arial" w:cs="Arial"/>
          <w:sz w:val="24"/>
          <w:szCs w:val="24"/>
        </w:rPr>
        <w:t>.</w:t>
      </w:r>
    </w:p>
    <w:p w:rsidR="00BB4EF7" w:rsidRDefault="00BB4EF7" w:rsidP="00BB4EF7">
      <w:pPr>
        <w:spacing w:after="0"/>
        <w:rPr>
          <w:rFonts w:ascii="Arial" w:hAnsi="Arial" w:cs="Arial"/>
          <w:sz w:val="24"/>
          <w:szCs w:val="24"/>
        </w:rPr>
      </w:pPr>
      <w:r>
        <w:rPr>
          <w:rFonts w:ascii="Arial" w:hAnsi="Arial" w:cs="Arial"/>
          <w:sz w:val="24"/>
          <w:szCs w:val="24"/>
        </w:rPr>
        <w:t>JONCIA should ordinarily not be prescribed to patients with substantial alcohol use or evidence of chronic liver disease (see PRECAUTIONS)</w:t>
      </w:r>
      <w:r w:rsidR="00525A42">
        <w:rPr>
          <w:rFonts w:ascii="Arial" w:hAnsi="Arial" w:cs="Arial"/>
          <w:sz w:val="24"/>
          <w:szCs w:val="24"/>
        </w:rPr>
        <w:t>.</w:t>
      </w:r>
    </w:p>
    <w:p w:rsidR="00525A42" w:rsidRDefault="00525A42" w:rsidP="00BB4EF7">
      <w:pPr>
        <w:spacing w:after="0"/>
        <w:rPr>
          <w:rFonts w:ascii="Arial" w:hAnsi="Arial" w:cs="Arial"/>
          <w:color w:val="000000"/>
          <w:sz w:val="24"/>
          <w:szCs w:val="24"/>
        </w:rPr>
      </w:pPr>
    </w:p>
    <w:p w:rsidR="00E2605F" w:rsidRPr="002C7744" w:rsidRDefault="00E65326" w:rsidP="00E65326">
      <w:pPr>
        <w:spacing w:after="0"/>
        <w:rPr>
          <w:rFonts w:ascii="Arial" w:hAnsi="Arial" w:cs="Arial"/>
          <w:b/>
          <w:color w:val="000000"/>
          <w:sz w:val="24"/>
          <w:szCs w:val="24"/>
        </w:rPr>
      </w:pPr>
      <w:r w:rsidRPr="002C7744">
        <w:rPr>
          <w:rFonts w:ascii="Arial" w:hAnsi="Arial" w:cs="Arial"/>
          <w:b/>
          <w:color w:val="000000"/>
          <w:sz w:val="24"/>
          <w:szCs w:val="24"/>
        </w:rPr>
        <w:t>Use in the elderly (over 65 years of age)</w:t>
      </w:r>
    </w:p>
    <w:p w:rsidR="00E65326" w:rsidRPr="002C7744" w:rsidRDefault="002C7744" w:rsidP="00E65326">
      <w:pPr>
        <w:spacing w:after="0"/>
        <w:rPr>
          <w:rFonts w:ascii="Arial" w:hAnsi="Arial" w:cs="Arial"/>
          <w:sz w:val="24"/>
          <w:szCs w:val="24"/>
        </w:rPr>
      </w:pPr>
      <w:r w:rsidRPr="002C7744">
        <w:rPr>
          <w:rFonts w:ascii="Arial" w:hAnsi="Arial" w:cs="Arial"/>
          <w:sz w:val="24"/>
          <w:szCs w:val="24"/>
        </w:rPr>
        <w:t xml:space="preserve">Dosage adjustment is not necessary in the elderly </w:t>
      </w:r>
      <w:r w:rsidR="005E0A30">
        <w:rPr>
          <w:rFonts w:ascii="Arial" w:hAnsi="Arial" w:cs="Arial"/>
          <w:sz w:val="24"/>
          <w:szCs w:val="24"/>
        </w:rPr>
        <w:t xml:space="preserve">unless </w:t>
      </w:r>
      <w:r w:rsidRPr="002C7744">
        <w:rPr>
          <w:rFonts w:ascii="Arial" w:hAnsi="Arial" w:cs="Arial"/>
          <w:sz w:val="24"/>
          <w:szCs w:val="24"/>
        </w:rPr>
        <w:t xml:space="preserve">renal function is </w:t>
      </w:r>
      <w:r w:rsidR="005E0A30">
        <w:rPr>
          <w:rFonts w:ascii="Arial" w:hAnsi="Arial" w:cs="Arial"/>
          <w:sz w:val="24"/>
          <w:szCs w:val="24"/>
        </w:rPr>
        <w:t xml:space="preserve">reduced to values for which a dose adjustment is recommended </w:t>
      </w:r>
      <w:r w:rsidRPr="002C7744">
        <w:rPr>
          <w:rFonts w:ascii="Arial" w:hAnsi="Arial" w:cs="Arial"/>
          <w:sz w:val="24"/>
          <w:szCs w:val="24"/>
        </w:rPr>
        <w:t>(see Pharmacokinetics</w:t>
      </w:r>
      <w:r w:rsidR="00525A42">
        <w:rPr>
          <w:rFonts w:ascii="Arial" w:hAnsi="Arial" w:cs="Arial"/>
          <w:sz w:val="24"/>
          <w:szCs w:val="24"/>
        </w:rPr>
        <w:t xml:space="preserve">, </w:t>
      </w:r>
      <w:r w:rsidR="005E2C80">
        <w:rPr>
          <w:rFonts w:ascii="Arial" w:hAnsi="Arial" w:cs="Arial"/>
          <w:sz w:val="24"/>
          <w:szCs w:val="24"/>
        </w:rPr>
        <w:t>Special Popul</w:t>
      </w:r>
      <w:r w:rsidRPr="002C7744">
        <w:rPr>
          <w:rFonts w:ascii="Arial" w:hAnsi="Arial" w:cs="Arial"/>
          <w:sz w:val="24"/>
          <w:szCs w:val="24"/>
        </w:rPr>
        <w:t>ations).</w:t>
      </w:r>
    </w:p>
    <w:p w:rsidR="002C7744" w:rsidRPr="002C7744" w:rsidRDefault="002C7744" w:rsidP="00E65326">
      <w:pPr>
        <w:spacing w:after="0"/>
        <w:rPr>
          <w:rFonts w:ascii="Arial" w:hAnsi="Arial" w:cs="Arial"/>
          <w:sz w:val="24"/>
          <w:szCs w:val="24"/>
        </w:rPr>
      </w:pPr>
    </w:p>
    <w:p w:rsidR="002C7744" w:rsidRPr="002C7744" w:rsidRDefault="002C7744" w:rsidP="00E65326">
      <w:pPr>
        <w:spacing w:after="0"/>
        <w:rPr>
          <w:rFonts w:ascii="Arial" w:hAnsi="Arial" w:cs="Arial"/>
          <w:b/>
          <w:sz w:val="24"/>
          <w:szCs w:val="24"/>
        </w:rPr>
      </w:pPr>
      <w:r w:rsidRPr="002C7744">
        <w:rPr>
          <w:rFonts w:ascii="Arial" w:hAnsi="Arial" w:cs="Arial"/>
          <w:b/>
          <w:sz w:val="24"/>
          <w:szCs w:val="24"/>
        </w:rPr>
        <w:t>Use in children and adolescents (&lt; 18 years)</w:t>
      </w:r>
    </w:p>
    <w:p w:rsidR="002C7744" w:rsidRDefault="00986A83" w:rsidP="00E65326">
      <w:pPr>
        <w:spacing w:after="0"/>
        <w:rPr>
          <w:rFonts w:ascii="Arial" w:hAnsi="Arial" w:cs="Arial"/>
          <w:sz w:val="24"/>
          <w:szCs w:val="24"/>
        </w:rPr>
      </w:pPr>
      <w:r>
        <w:rPr>
          <w:rFonts w:ascii="Arial" w:hAnsi="Arial" w:cs="Arial"/>
          <w:sz w:val="24"/>
          <w:szCs w:val="24"/>
        </w:rPr>
        <w:t xml:space="preserve">The safety and effectiveness of </w:t>
      </w:r>
      <w:proofErr w:type="spellStart"/>
      <w:r>
        <w:rPr>
          <w:rFonts w:ascii="Arial" w:hAnsi="Arial" w:cs="Arial"/>
          <w:sz w:val="24"/>
          <w:szCs w:val="24"/>
        </w:rPr>
        <w:t>milnacipran</w:t>
      </w:r>
      <w:proofErr w:type="spellEnd"/>
      <w:r>
        <w:rPr>
          <w:rFonts w:ascii="Arial" w:hAnsi="Arial" w:cs="Arial"/>
          <w:sz w:val="24"/>
          <w:szCs w:val="24"/>
        </w:rPr>
        <w:t xml:space="preserve"> has not been established in patients below the age of 18 years.</w:t>
      </w:r>
    </w:p>
    <w:p w:rsidR="00531A6C" w:rsidRDefault="00531A6C" w:rsidP="00E65326">
      <w:pPr>
        <w:spacing w:after="0"/>
        <w:rPr>
          <w:rFonts w:ascii="Arial" w:hAnsi="Arial" w:cs="Arial"/>
          <w:sz w:val="24"/>
          <w:szCs w:val="24"/>
        </w:rPr>
      </w:pPr>
    </w:p>
    <w:p w:rsidR="00531A6C" w:rsidRPr="00531A6C" w:rsidRDefault="00531A6C" w:rsidP="00E65326">
      <w:pPr>
        <w:spacing w:after="0"/>
        <w:rPr>
          <w:rFonts w:ascii="Arial" w:hAnsi="Arial" w:cs="Arial"/>
          <w:b/>
          <w:sz w:val="24"/>
          <w:szCs w:val="24"/>
        </w:rPr>
      </w:pPr>
      <w:r w:rsidRPr="00531A6C">
        <w:rPr>
          <w:rFonts w:ascii="Arial" w:hAnsi="Arial" w:cs="Arial"/>
          <w:b/>
          <w:sz w:val="24"/>
          <w:szCs w:val="24"/>
        </w:rPr>
        <w:t>Discontinuation of treatment</w:t>
      </w:r>
    </w:p>
    <w:p w:rsidR="00E2605F" w:rsidRDefault="00531A6C" w:rsidP="00E65326">
      <w:pPr>
        <w:spacing w:after="0"/>
        <w:rPr>
          <w:rFonts w:ascii="Arial" w:hAnsi="Arial" w:cs="Arial"/>
          <w:sz w:val="24"/>
          <w:szCs w:val="24"/>
        </w:rPr>
      </w:pPr>
      <w:r w:rsidRPr="00531A6C">
        <w:rPr>
          <w:rFonts w:ascii="Arial" w:hAnsi="Arial" w:cs="Arial"/>
          <w:sz w:val="24"/>
          <w:szCs w:val="24"/>
        </w:rPr>
        <w:t>Abrupt</w:t>
      </w:r>
      <w:r>
        <w:rPr>
          <w:rFonts w:ascii="Arial" w:hAnsi="Arial" w:cs="Arial"/>
          <w:sz w:val="24"/>
          <w:szCs w:val="24"/>
        </w:rPr>
        <w:t xml:space="preserve"> discontinuation of treatment with </w:t>
      </w:r>
      <w:proofErr w:type="spellStart"/>
      <w:r>
        <w:rPr>
          <w:rFonts w:ascii="Arial" w:hAnsi="Arial" w:cs="Arial"/>
          <w:sz w:val="24"/>
          <w:szCs w:val="24"/>
        </w:rPr>
        <w:t>milnacipran</w:t>
      </w:r>
      <w:proofErr w:type="spellEnd"/>
      <w:r>
        <w:rPr>
          <w:rFonts w:ascii="Arial" w:hAnsi="Arial" w:cs="Arial"/>
          <w:sz w:val="24"/>
          <w:szCs w:val="24"/>
        </w:rPr>
        <w:t xml:space="preserve"> should be avoided.  When stopping treatment, the dose should be gradually reduced over a period of </w:t>
      </w:r>
      <w:r w:rsidR="00B324F4">
        <w:rPr>
          <w:rFonts w:ascii="Arial" w:hAnsi="Arial" w:cs="Arial"/>
          <w:sz w:val="24"/>
          <w:szCs w:val="24"/>
        </w:rPr>
        <w:t xml:space="preserve">no less than </w:t>
      </w:r>
      <w:r>
        <w:rPr>
          <w:rFonts w:ascii="Arial" w:hAnsi="Arial" w:cs="Arial"/>
          <w:sz w:val="24"/>
          <w:szCs w:val="24"/>
        </w:rPr>
        <w:t>two weeks in order to reduce the risk of withdrawal reactions (see</w:t>
      </w:r>
      <w:r w:rsidR="00D35E18">
        <w:rPr>
          <w:rFonts w:ascii="Arial" w:hAnsi="Arial" w:cs="Arial"/>
          <w:sz w:val="24"/>
          <w:szCs w:val="24"/>
        </w:rPr>
        <w:t xml:space="preserve"> PRECAUTIONS – Discontinuation of treatment and ADVERSE EFFECTS).</w:t>
      </w:r>
      <w:r w:rsidRPr="00531A6C">
        <w:rPr>
          <w:rFonts w:ascii="Arial" w:hAnsi="Arial" w:cs="Arial"/>
          <w:sz w:val="24"/>
          <w:szCs w:val="24"/>
        </w:rPr>
        <w:t xml:space="preserve"> </w:t>
      </w:r>
    </w:p>
    <w:p w:rsidR="00D35E18" w:rsidRDefault="00D35E18" w:rsidP="00E65326">
      <w:pPr>
        <w:spacing w:after="0"/>
        <w:rPr>
          <w:rFonts w:ascii="Arial" w:hAnsi="Arial" w:cs="Arial"/>
          <w:sz w:val="24"/>
          <w:szCs w:val="24"/>
        </w:rPr>
      </w:pPr>
    </w:p>
    <w:p w:rsidR="00122854" w:rsidRDefault="00122854" w:rsidP="00E65326">
      <w:pPr>
        <w:spacing w:after="0"/>
        <w:rPr>
          <w:rFonts w:ascii="Arial" w:hAnsi="Arial" w:cs="Arial"/>
          <w:sz w:val="24"/>
          <w:szCs w:val="24"/>
        </w:rPr>
      </w:pPr>
    </w:p>
    <w:p w:rsidR="00D35E18" w:rsidRPr="000C056B" w:rsidRDefault="00D35E18" w:rsidP="00E65326">
      <w:pPr>
        <w:spacing w:after="0"/>
        <w:rPr>
          <w:rFonts w:ascii="Arial" w:hAnsi="Arial" w:cs="Arial"/>
          <w:b/>
          <w:sz w:val="24"/>
          <w:szCs w:val="24"/>
        </w:rPr>
      </w:pPr>
      <w:r w:rsidRPr="000C056B">
        <w:rPr>
          <w:rFonts w:ascii="Arial" w:hAnsi="Arial" w:cs="Arial"/>
          <w:b/>
          <w:sz w:val="24"/>
          <w:szCs w:val="24"/>
        </w:rPr>
        <w:t>OVERDOSAGE</w:t>
      </w:r>
    </w:p>
    <w:p w:rsidR="00D35E18" w:rsidRDefault="00D35E18" w:rsidP="00E65326">
      <w:pPr>
        <w:spacing w:after="0"/>
        <w:rPr>
          <w:rFonts w:ascii="Arial" w:hAnsi="Arial" w:cs="Arial"/>
          <w:sz w:val="24"/>
          <w:szCs w:val="24"/>
        </w:rPr>
      </w:pPr>
    </w:p>
    <w:p w:rsidR="004F5C00" w:rsidRPr="000C056B" w:rsidRDefault="004F5C00" w:rsidP="00E65326">
      <w:pPr>
        <w:spacing w:after="0"/>
        <w:rPr>
          <w:rFonts w:ascii="Arial" w:hAnsi="Arial" w:cs="Arial"/>
          <w:b/>
          <w:sz w:val="24"/>
          <w:szCs w:val="24"/>
        </w:rPr>
      </w:pPr>
      <w:r w:rsidRPr="000C056B">
        <w:rPr>
          <w:rFonts w:ascii="Arial" w:hAnsi="Arial" w:cs="Arial"/>
          <w:b/>
          <w:sz w:val="24"/>
          <w:szCs w:val="24"/>
        </w:rPr>
        <w:t>Symptoms</w:t>
      </w:r>
      <w:r w:rsidR="000C056B">
        <w:rPr>
          <w:rFonts w:ascii="Arial" w:hAnsi="Arial" w:cs="Arial"/>
          <w:b/>
          <w:sz w:val="24"/>
          <w:szCs w:val="24"/>
        </w:rPr>
        <w:t xml:space="preserve"> of </w:t>
      </w:r>
      <w:proofErr w:type="spellStart"/>
      <w:r w:rsidR="000C056B">
        <w:rPr>
          <w:rFonts w:ascii="Arial" w:hAnsi="Arial" w:cs="Arial"/>
          <w:b/>
          <w:sz w:val="24"/>
          <w:szCs w:val="24"/>
        </w:rPr>
        <w:t>overdosage</w:t>
      </w:r>
      <w:proofErr w:type="spellEnd"/>
    </w:p>
    <w:p w:rsidR="00D35E18" w:rsidRDefault="004F5C00" w:rsidP="00E65326">
      <w:pPr>
        <w:spacing w:after="0"/>
        <w:rPr>
          <w:rFonts w:ascii="Arial" w:hAnsi="Arial" w:cs="Arial"/>
          <w:sz w:val="24"/>
          <w:szCs w:val="24"/>
        </w:rPr>
      </w:pPr>
      <w:r>
        <w:rPr>
          <w:rFonts w:ascii="Arial" w:hAnsi="Arial" w:cs="Arial"/>
          <w:sz w:val="24"/>
          <w:szCs w:val="24"/>
        </w:rPr>
        <w:t xml:space="preserve">Cases of overdose with </w:t>
      </w:r>
      <w:proofErr w:type="spellStart"/>
      <w:r>
        <w:rPr>
          <w:rFonts w:ascii="Arial" w:hAnsi="Arial" w:cs="Arial"/>
          <w:sz w:val="24"/>
          <w:szCs w:val="24"/>
        </w:rPr>
        <w:t>milnacipran</w:t>
      </w:r>
      <w:proofErr w:type="spellEnd"/>
      <w:r>
        <w:rPr>
          <w:rFonts w:ascii="Arial" w:hAnsi="Arial" w:cs="Arial"/>
          <w:sz w:val="24"/>
          <w:szCs w:val="24"/>
        </w:rPr>
        <w:t xml:space="preserve"> have been observed in patients treated for other indications.  With high doses the emetic effect can considerably limit the risk of overdose.  With doses of 800 mg to 1 g in single-drug therapy, the main symptoms observed are vomiting, respiratory difficulties (</w:t>
      </w:r>
      <w:proofErr w:type="spellStart"/>
      <w:r>
        <w:rPr>
          <w:rFonts w:ascii="Arial" w:hAnsi="Arial" w:cs="Arial"/>
          <w:sz w:val="24"/>
          <w:szCs w:val="24"/>
        </w:rPr>
        <w:t>apneic</w:t>
      </w:r>
      <w:proofErr w:type="spellEnd"/>
      <w:r>
        <w:rPr>
          <w:rFonts w:ascii="Arial" w:hAnsi="Arial" w:cs="Arial"/>
          <w:sz w:val="24"/>
          <w:szCs w:val="24"/>
        </w:rPr>
        <w:t xml:space="preserve"> spells) and tachycardia.  After a dose</w:t>
      </w:r>
      <w:r w:rsidR="00EF6565">
        <w:rPr>
          <w:rFonts w:ascii="Arial" w:hAnsi="Arial" w:cs="Arial"/>
          <w:sz w:val="24"/>
          <w:szCs w:val="24"/>
        </w:rPr>
        <w:t xml:space="preserve"> of 1.9 g to 2.8 g</w:t>
      </w:r>
      <w:r>
        <w:rPr>
          <w:rFonts w:ascii="Arial" w:hAnsi="Arial" w:cs="Arial"/>
          <w:sz w:val="24"/>
          <w:szCs w:val="24"/>
        </w:rPr>
        <w:t xml:space="preserve"> in combination with other drugs (in particular, benzodiazepines</w:t>
      </w:r>
      <w:r w:rsidR="000C056B">
        <w:rPr>
          <w:rFonts w:ascii="Arial" w:hAnsi="Arial" w:cs="Arial"/>
          <w:sz w:val="24"/>
          <w:szCs w:val="24"/>
        </w:rPr>
        <w:t xml:space="preserve">), the following additional symptoms occur: drowsiness, </w:t>
      </w:r>
      <w:proofErr w:type="spellStart"/>
      <w:r w:rsidR="000C056B">
        <w:rPr>
          <w:rFonts w:ascii="Arial" w:hAnsi="Arial" w:cs="Arial"/>
          <w:sz w:val="24"/>
          <w:szCs w:val="24"/>
        </w:rPr>
        <w:t>hypercapnia</w:t>
      </w:r>
      <w:proofErr w:type="spellEnd"/>
      <w:r w:rsidR="000C056B">
        <w:rPr>
          <w:rFonts w:ascii="Arial" w:hAnsi="Arial" w:cs="Arial"/>
          <w:sz w:val="24"/>
          <w:szCs w:val="24"/>
        </w:rPr>
        <w:t xml:space="preserve"> and alterations of consciousness.  No cardiac toxicity has been reported.  All fatal overdose cases occurred </w:t>
      </w:r>
      <w:r w:rsidR="001B7191">
        <w:rPr>
          <w:rFonts w:ascii="Arial" w:hAnsi="Arial" w:cs="Arial"/>
          <w:sz w:val="24"/>
          <w:szCs w:val="24"/>
        </w:rPr>
        <w:t>after</w:t>
      </w:r>
      <w:r w:rsidR="000C056B">
        <w:rPr>
          <w:rFonts w:ascii="Arial" w:hAnsi="Arial" w:cs="Arial"/>
          <w:sz w:val="24"/>
          <w:szCs w:val="24"/>
        </w:rPr>
        <w:t xml:space="preserve"> ingestion of several medications.</w:t>
      </w:r>
    </w:p>
    <w:p w:rsidR="000C056B" w:rsidRDefault="000C056B" w:rsidP="00E65326">
      <w:pPr>
        <w:spacing w:after="0"/>
        <w:rPr>
          <w:rFonts w:ascii="Arial" w:hAnsi="Arial" w:cs="Arial"/>
          <w:sz w:val="24"/>
          <w:szCs w:val="24"/>
        </w:rPr>
      </w:pPr>
    </w:p>
    <w:p w:rsidR="000C056B" w:rsidRPr="006B4211" w:rsidRDefault="000C056B" w:rsidP="00E65326">
      <w:pPr>
        <w:spacing w:after="0"/>
        <w:rPr>
          <w:rFonts w:ascii="Arial" w:hAnsi="Arial" w:cs="Arial"/>
          <w:b/>
          <w:sz w:val="24"/>
          <w:szCs w:val="24"/>
        </w:rPr>
      </w:pPr>
      <w:r w:rsidRPr="006B4211">
        <w:rPr>
          <w:rFonts w:ascii="Arial" w:hAnsi="Arial" w:cs="Arial"/>
          <w:b/>
          <w:sz w:val="24"/>
          <w:szCs w:val="24"/>
        </w:rPr>
        <w:t xml:space="preserve">Treatment of </w:t>
      </w:r>
      <w:proofErr w:type="spellStart"/>
      <w:r w:rsidRPr="006B4211">
        <w:rPr>
          <w:rFonts w:ascii="Arial" w:hAnsi="Arial" w:cs="Arial"/>
          <w:b/>
          <w:sz w:val="24"/>
          <w:szCs w:val="24"/>
        </w:rPr>
        <w:t>overdosage</w:t>
      </w:r>
      <w:proofErr w:type="spellEnd"/>
    </w:p>
    <w:p w:rsidR="000C056B" w:rsidRDefault="000C056B" w:rsidP="00E65326">
      <w:pPr>
        <w:spacing w:after="0"/>
        <w:rPr>
          <w:rFonts w:ascii="Arial" w:hAnsi="Arial" w:cs="Arial"/>
          <w:sz w:val="24"/>
          <w:szCs w:val="24"/>
        </w:rPr>
      </w:pPr>
      <w:r>
        <w:rPr>
          <w:rFonts w:ascii="Arial" w:hAnsi="Arial" w:cs="Arial"/>
          <w:sz w:val="24"/>
          <w:szCs w:val="24"/>
        </w:rPr>
        <w:t xml:space="preserve">There is no specific antidote for </w:t>
      </w:r>
      <w:proofErr w:type="spellStart"/>
      <w:r>
        <w:rPr>
          <w:rFonts w:ascii="Arial" w:hAnsi="Arial" w:cs="Arial"/>
          <w:sz w:val="24"/>
          <w:szCs w:val="24"/>
        </w:rPr>
        <w:t>milnacipran</w:t>
      </w:r>
      <w:proofErr w:type="spellEnd"/>
      <w:r>
        <w:rPr>
          <w:rFonts w:ascii="Arial" w:hAnsi="Arial" w:cs="Arial"/>
          <w:sz w:val="24"/>
          <w:szCs w:val="24"/>
        </w:rPr>
        <w:t xml:space="preserve">.  </w:t>
      </w:r>
      <w:r w:rsidR="006B4211">
        <w:rPr>
          <w:rFonts w:ascii="Arial" w:hAnsi="Arial" w:cs="Arial"/>
          <w:sz w:val="24"/>
          <w:szCs w:val="24"/>
        </w:rPr>
        <w:t>For all overdoses, the mainstay of treatment is supportive and symptomatic care.  Activated charcoal may reduce absorption of the drug if given within one or two hours after ingestion.  In patients who are not fully conscious or have impaired gag reflex</w:t>
      </w:r>
      <w:r w:rsidR="00537718">
        <w:rPr>
          <w:rFonts w:ascii="Arial" w:hAnsi="Arial" w:cs="Arial"/>
          <w:sz w:val="24"/>
          <w:szCs w:val="24"/>
        </w:rPr>
        <w:t xml:space="preserve">, consideration should be given to administering activated charcoal via a </w:t>
      </w:r>
      <w:proofErr w:type="spellStart"/>
      <w:r w:rsidR="00537718">
        <w:rPr>
          <w:rFonts w:ascii="Arial" w:hAnsi="Arial" w:cs="Arial"/>
          <w:sz w:val="24"/>
          <w:szCs w:val="24"/>
        </w:rPr>
        <w:t>nasogastric</w:t>
      </w:r>
      <w:proofErr w:type="spellEnd"/>
      <w:r w:rsidR="00537718">
        <w:rPr>
          <w:rFonts w:ascii="Arial" w:hAnsi="Arial" w:cs="Arial"/>
          <w:sz w:val="24"/>
          <w:szCs w:val="24"/>
        </w:rPr>
        <w:t xml:space="preserve"> tube, once the airway is protected.</w:t>
      </w:r>
      <w:r w:rsidR="00612E47">
        <w:rPr>
          <w:rFonts w:ascii="Arial" w:hAnsi="Arial" w:cs="Arial"/>
          <w:sz w:val="24"/>
          <w:szCs w:val="24"/>
        </w:rPr>
        <w:t xml:space="preserve">  Medical monitoring should be continued for at least 24 hours.</w:t>
      </w:r>
      <w:r w:rsidR="00DA7C04">
        <w:rPr>
          <w:rFonts w:ascii="Arial" w:hAnsi="Arial" w:cs="Arial"/>
          <w:sz w:val="24"/>
          <w:szCs w:val="24"/>
        </w:rPr>
        <w:t xml:space="preserve">  </w:t>
      </w:r>
    </w:p>
    <w:p w:rsidR="001174B4" w:rsidRDefault="001174B4">
      <w:pPr>
        <w:spacing w:after="0" w:line="240" w:lineRule="auto"/>
        <w:rPr>
          <w:rFonts w:ascii="Arial" w:hAnsi="Arial" w:cs="Arial"/>
          <w:sz w:val="24"/>
          <w:szCs w:val="24"/>
        </w:rPr>
      </w:pPr>
      <w:r>
        <w:rPr>
          <w:rFonts w:ascii="Arial" w:hAnsi="Arial" w:cs="Arial"/>
          <w:sz w:val="24"/>
          <w:szCs w:val="24"/>
        </w:rPr>
        <w:br w:type="page"/>
      </w:r>
    </w:p>
    <w:p w:rsidR="007B56DF" w:rsidRDefault="00666EE6" w:rsidP="00E65326">
      <w:pPr>
        <w:spacing w:after="0"/>
        <w:rPr>
          <w:rFonts w:ascii="Arial" w:hAnsi="Arial" w:cs="Arial"/>
          <w:b/>
          <w:sz w:val="24"/>
          <w:szCs w:val="24"/>
        </w:rPr>
      </w:pPr>
      <w:r w:rsidRPr="00666EE6">
        <w:rPr>
          <w:rFonts w:ascii="Arial" w:hAnsi="Arial" w:cs="Arial"/>
          <w:b/>
          <w:sz w:val="24"/>
          <w:szCs w:val="24"/>
        </w:rPr>
        <w:t>PRESENTATION</w:t>
      </w:r>
    </w:p>
    <w:p w:rsidR="00B706DD" w:rsidRDefault="00B706DD" w:rsidP="00E65326">
      <w:pPr>
        <w:spacing w:after="0"/>
        <w:rPr>
          <w:rFonts w:ascii="Arial" w:hAnsi="Arial" w:cs="Arial"/>
          <w:b/>
          <w:sz w:val="24"/>
          <w:szCs w:val="24"/>
        </w:rPr>
      </w:pPr>
    </w:p>
    <w:p w:rsidR="00666EE6" w:rsidRPr="00B706DD" w:rsidRDefault="00B706DD" w:rsidP="00E65326">
      <w:pPr>
        <w:spacing w:after="0"/>
        <w:rPr>
          <w:rFonts w:ascii="Arial" w:hAnsi="Arial" w:cs="Arial"/>
          <w:b/>
          <w:sz w:val="24"/>
          <w:szCs w:val="24"/>
        </w:rPr>
      </w:pPr>
      <w:r>
        <w:rPr>
          <w:rFonts w:ascii="Arial" w:hAnsi="Arial" w:cs="Arial"/>
          <w:b/>
          <w:sz w:val="24"/>
          <w:szCs w:val="24"/>
        </w:rPr>
        <w:t>Presentation</w:t>
      </w:r>
    </w:p>
    <w:p w:rsidR="00713243" w:rsidRDefault="00FD3845" w:rsidP="00FD3845">
      <w:pPr>
        <w:tabs>
          <w:tab w:val="left" w:pos="2410"/>
        </w:tabs>
        <w:spacing w:after="0"/>
        <w:ind w:left="2410" w:hanging="2410"/>
        <w:rPr>
          <w:rFonts w:ascii="Arial" w:hAnsi="Arial" w:cs="Arial"/>
          <w:sz w:val="24"/>
          <w:szCs w:val="24"/>
        </w:rPr>
      </w:pPr>
      <w:r>
        <w:rPr>
          <w:rFonts w:ascii="Arial" w:hAnsi="Arial" w:cs="Arial"/>
          <w:sz w:val="24"/>
          <w:szCs w:val="24"/>
        </w:rPr>
        <w:t>25 mg hard capsule:</w:t>
      </w:r>
      <w:r>
        <w:rPr>
          <w:rFonts w:ascii="Arial" w:hAnsi="Arial" w:cs="Arial"/>
          <w:sz w:val="24"/>
          <w:szCs w:val="24"/>
        </w:rPr>
        <w:tab/>
      </w:r>
      <w:r w:rsidR="00713243">
        <w:rPr>
          <w:rFonts w:ascii="Arial" w:hAnsi="Arial" w:cs="Arial"/>
          <w:sz w:val="24"/>
          <w:szCs w:val="24"/>
        </w:rPr>
        <w:t xml:space="preserve">yellow cap with “PFM” </w:t>
      </w:r>
      <w:r w:rsidR="003A5A5E">
        <w:rPr>
          <w:rFonts w:ascii="Arial" w:hAnsi="Arial" w:cs="Arial"/>
          <w:sz w:val="24"/>
          <w:szCs w:val="24"/>
        </w:rPr>
        <w:t>im</w:t>
      </w:r>
      <w:r w:rsidR="00713243">
        <w:rPr>
          <w:rFonts w:ascii="Arial" w:hAnsi="Arial" w:cs="Arial"/>
          <w:sz w:val="24"/>
          <w:szCs w:val="24"/>
        </w:rPr>
        <w:t xml:space="preserve">printed in black, white body with “25” </w:t>
      </w:r>
      <w:r w:rsidR="003A5A5E">
        <w:rPr>
          <w:rFonts w:ascii="Arial" w:hAnsi="Arial" w:cs="Arial"/>
          <w:sz w:val="24"/>
          <w:szCs w:val="24"/>
        </w:rPr>
        <w:t>im</w:t>
      </w:r>
      <w:r w:rsidR="00713243">
        <w:rPr>
          <w:rFonts w:ascii="Arial" w:hAnsi="Arial" w:cs="Arial"/>
          <w:sz w:val="24"/>
          <w:szCs w:val="24"/>
        </w:rPr>
        <w:t>printed in black.</w:t>
      </w:r>
    </w:p>
    <w:p w:rsidR="00FD3845" w:rsidRDefault="00FD3845" w:rsidP="00FD3845">
      <w:pPr>
        <w:tabs>
          <w:tab w:val="left" w:pos="2268"/>
        </w:tabs>
        <w:spacing w:after="0"/>
        <w:ind w:left="2410" w:hanging="2410"/>
        <w:rPr>
          <w:rFonts w:ascii="Arial" w:hAnsi="Arial" w:cs="Arial"/>
          <w:sz w:val="24"/>
          <w:szCs w:val="24"/>
        </w:rPr>
      </w:pPr>
      <w:r>
        <w:rPr>
          <w:rFonts w:ascii="Arial" w:hAnsi="Arial" w:cs="Arial"/>
          <w:sz w:val="24"/>
          <w:szCs w:val="24"/>
        </w:rPr>
        <w:t>50 mg hard capsule:</w:t>
      </w:r>
      <w:r>
        <w:rPr>
          <w:rFonts w:ascii="Arial" w:hAnsi="Arial" w:cs="Arial"/>
          <w:sz w:val="24"/>
          <w:szCs w:val="24"/>
        </w:rPr>
        <w:tab/>
      </w:r>
      <w:r>
        <w:rPr>
          <w:rFonts w:ascii="Arial" w:hAnsi="Arial" w:cs="Arial"/>
          <w:sz w:val="24"/>
          <w:szCs w:val="24"/>
        </w:rPr>
        <w:tab/>
        <w:t xml:space="preserve">orange cap with “PFM” </w:t>
      </w:r>
      <w:r w:rsidR="003A5A5E">
        <w:rPr>
          <w:rFonts w:ascii="Arial" w:hAnsi="Arial" w:cs="Arial"/>
          <w:sz w:val="24"/>
          <w:szCs w:val="24"/>
        </w:rPr>
        <w:t>im</w:t>
      </w:r>
      <w:r>
        <w:rPr>
          <w:rFonts w:ascii="Arial" w:hAnsi="Arial" w:cs="Arial"/>
          <w:sz w:val="24"/>
          <w:szCs w:val="24"/>
        </w:rPr>
        <w:t xml:space="preserve">printed in black, white body with “50” </w:t>
      </w:r>
      <w:r w:rsidR="003A5A5E">
        <w:rPr>
          <w:rFonts w:ascii="Arial" w:hAnsi="Arial" w:cs="Arial"/>
          <w:sz w:val="24"/>
          <w:szCs w:val="24"/>
        </w:rPr>
        <w:t>im</w:t>
      </w:r>
      <w:r>
        <w:rPr>
          <w:rFonts w:ascii="Arial" w:hAnsi="Arial" w:cs="Arial"/>
          <w:sz w:val="24"/>
          <w:szCs w:val="24"/>
        </w:rPr>
        <w:t>printed in black.</w:t>
      </w:r>
    </w:p>
    <w:p w:rsidR="00FD3845" w:rsidRDefault="00FD3845" w:rsidP="00FD3845">
      <w:pPr>
        <w:tabs>
          <w:tab w:val="left" w:pos="2410"/>
        </w:tabs>
        <w:spacing w:after="0"/>
        <w:ind w:left="2410" w:hanging="2410"/>
        <w:rPr>
          <w:rFonts w:ascii="Arial" w:hAnsi="Arial" w:cs="Arial"/>
          <w:sz w:val="24"/>
          <w:szCs w:val="24"/>
        </w:rPr>
      </w:pPr>
      <w:r>
        <w:rPr>
          <w:rFonts w:ascii="Arial" w:hAnsi="Arial" w:cs="Arial"/>
          <w:sz w:val="24"/>
          <w:szCs w:val="24"/>
        </w:rPr>
        <w:t>100 mg hard capsule:</w:t>
      </w:r>
      <w:r>
        <w:rPr>
          <w:rFonts w:ascii="Arial" w:hAnsi="Arial" w:cs="Arial"/>
          <w:sz w:val="24"/>
          <w:szCs w:val="24"/>
        </w:rPr>
        <w:tab/>
        <w:t xml:space="preserve">orange cap with “PFM” </w:t>
      </w:r>
      <w:r w:rsidR="003A5A5E">
        <w:rPr>
          <w:rFonts w:ascii="Arial" w:hAnsi="Arial" w:cs="Arial"/>
          <w:sz w:val="24"/>
          <w:szCs w:val="24"/>
        </w:rPr>
        <w:t>im</w:t>
      </w:r>
      <w:r>
        <w:rPr>
          <w:rFonts w:ascii="Arial" w:hAnsi="Arial" w:cs="Arial"/>
          <w:sz w:val="24"/>
          <w:szCs w:val="24"/>
        </w:rPr>
        <w:t xml:space="preserve">printed in black, yellow body with “100” </w:t>
      </w:r>
      <w:r w:rsidR="003A5A5E">
        <w:rPr>
          <w:rFonts w:ascii="Arial" w:hAnsi="Arial" w:cs="Arial"/>
          <w:sz w:val="24"/>
          <w:szCs w:val="24"/>
        </w:rPr>
        <w:t>im</w:t>
      </w:r>
      <w:r>
        <w:rPr>
          <w:rFonts w:ascii="Arial" w:hAnsi="Arial" w:cs="Arial"/>
          <w:sz w:val="24"/>
          <w:szCs w:val="24"/>
        </w:rPr>
        <w:t>printed in black.</w:t>
      </w:r>
    </w:p>
    <w:p w:rsidR="00B706DD" w:rsidRDefault="00B706DD" w:rsidP="00FD3845">
      <w:pPr>
        <w:tabs>
          <w:tab w:val="left" w:pos="2410"/>
        </w:tabs>
        <w:spacing w:after="0"/>
        <w:ind w:left="2410" w:hanging="2410"/>
        <w:rPr>
          <w:rFonts w:ascii="Arial" w:hAnsi="Arial" w:cs="Arial"/>
          <w:sz w:val="24"/>
          <w:szCs w:val="24"/>
        </w:rPr>
      </w:pPr>
    </w:p>
    <w:p w:rsidR="00FD3845" w:rsidRPr="00B706DD" w:rsidRDefault="00B706DD" w:rsidP="00FD3845">
      <w:pPr>
        <w:tabs>
          <w:tab w:val="left" w:pos="2268"/>
        </w:tabs>
        <w:spacing w:after="0"/>
        <w:ind w:left="2265" w:hanging="2265"/>
        <w:rPr>
          <w:rFonts w:ascii="Arial" w:hAnsi="Arial" w:cs="Arial"/>
          <w:b/>
          <w:sz w:val="24"/>
          <w:szCs w:val="24"/>
        </w:rPr>
      </w:pPr>
      <w:r>
        <w:rPr>
          <w:rFonts w:ascii="Arial" w:hAnsi="Arial" w:cs="Arial"/>
          <w:b/>
          <w:sz w:val="24"/>
          <w:szCs w:val="24"/>
        </w:rPr>
        <w:t>Container type and p</w:t>
      </w:r>
      <w:r w:rsidRPr="00B706DD">
        <w:rPr>
          <w:rFonts w:ascii="Arial" w:hAnsi="Arial" w:cs="Arial"/>
          <w:b/>
          <w:sz w:val="24"/>
          <w:szCs w:val="24"/>
        </w:rPr>
        <w:t>ack size</w:t>
      </w:r>
      <w:r>
        <w:rPr>
          <w:rFonts w:ascii="Arial" w:hAnsi="Arial" w:cs="Arial"/>
          <w:b/>
          <w:sz w:val="24"/>
          <w:szCs w:val="24"/>
        </w:rPr>
        <w:t>s</w:t>
      </w:r>
    </w:p>
    <w:p w:rsidR="00B706DD" w:rsidRDefault="00B706DD" w:rsidP="00E65326">
      <w:pPr>
        <w:spacing w:after="0"/>
        <w:rPr>
          <w:rFonts w:ascii="Arial" w:hAnsi="Arial" w:cs="Arial"/>
          <w:sz w:val="24"/>
          <w:szCs w:val="24"/>
        </w:rPr>
      </w:pPr>
      <w:r>
        <w:rPr>
          <w:rFonts w:ascii="Arial" w:hAnsi="Arial" w:cs="Arial"/>
          <w:sz w:val="24"/>
          <w:szCs w:val="24"/>
        </w:rPr>
        <w:t xml:space="preserve">Blister pack: </w:t>
      </w:r>
      <w:r w:rsidR="001B7191">
        <w:rPr>
          <w:rFonts w:ascii="Arial" w:hAnsi="Arial" w:cs="Arial"/>
          <w:sz w:val="24"/>
          <w:szCs w:val="24"/>
        </w:rPr>
        <w:t>14</w:t>
      </w:r>
      <w:r>
        <w:rPr>
          <w:rFonts w:ascii="Arial" w:hAnsi="Arial" w:cs="Arial"/>
          <w:sz w:val="24"/>
          <w:szCs w:val="24"/>
        </w:rPr>
        <w:t xml:space="preserve">’s, </w:t>
      </w:r>
      <w:r w:rsidR="001B7191">
        <w:rPr>
          <w:rFonts w:ascii="Arial" w:hAnsi="Arial" w:cs="Arial"/>
          <w:sz w:val="24"/>
          <w:szCs w:val="24"/>
        </w:rPr>
        <w:t>2</w:t>
      </w:r>
      <w:r>
        <w:rPr>
          <w:rFonts w:ascii="Arial" w:hAnsi="Arial" w:cs="Arial"/>
          <w:sz w:val="24"/>
          <w:szCs w:val="24"/>
        </w:rPr>
        <w:t xml:space="preserve">8’s, </w:t>
      </w:r>
      <w:r w:rsidR="001B7191">
        <w:rPr>
          <w:rFonts w:ascii="Arial" w:hAnsi="Arial" w:cs="Arial"/>
          <w:sz w:val="24"/>
          <w:szCs w:val="24"/>
        </w:rPr>
        <w:t>56</w:t>
      </w:r>
      <w:r>
        <w:rPr>
          <w:rFonts w:ascii="Arial" w:hAnsi="Arial" w:cs="Arial"/>
          <w:sz w:val="24"/>
          <w:szCs w:val="24"/>
        </w:rPr>
        <w:t xml:space="preserve">’s (25, 50 &amp; 100 mg </w:t>
      </w:r>
      <w:r w:rsidR="00456C59">
        <w:rPr>
          <w:rFonts w:ascii="Arial" w:hAnsi="Arial" w:cs="Arial"/>
          <w:sz w:val="24"/>
          <w:szCs w:val="24"/>
        </w:rPr>
        <w:t>capsules</w:t>
      </w:r>
      <w:r>
        <w:rPr>
          <w:rFonts w:ascii="Arial" w:hAnsi="Arial" w:cs="Arial"/>
          <w:sz w:val="24"/>
          <w:szCs w:val="24"/>
        </w:rPr>
        <w:t>)</w:t>
      </w:r>
    </w:p>
    <w:p w:rsidR="00B706DD" w:rsidRDefault="00B706DD" w:rsidP="00B706DD">
      <w:pPr>
        <w:spacing w:after="0"/>
        <w:rPr>
          <w:rFonts w:ascii="Arial" w:hAnsi="Arial" w:cs="Arial"/>
          <w:sz w:val="24"/>
          <w:szCs w:val="24"/>
        </w:rPr>
      </w:pPr>
      <w:r>
        <w:rPr>
          <w:rFonts w:ascii="Arial" w:hAnsi="Arial" w:cs="Arial"/>
          <w:sz w:val="24"/>
          <w:szCs w:val="24"/>
        </w:rPr>
        <w:t>Bottle</w:t>
      </w:r>
      <w:r w:rsidR="00650F36">
        <w:rPr>
          <w:rFonts w:ascii="Arial" w:hAnsi="Arial" w:cs="Arial"/>
          <w:sz w:val="24"/>
          <w:szCs w:val="24"/>
        </w:rPr>
        <w:t>*</w:t>
      </w:r>
      <w:r>
        <w:rPr>
          <w:rFonts w:ascii="Arial" w:hAnsi="Arial" w:cs="Arial"/>
          <w:sz w:val="24"/>
          <w:szCs w:val="24"/>
        </w:rPr>
        <w:t xml:space="preserve">: </w:t>
      </w:r>
      <w:r w:rsidR="00EC36BF">
        <w:rPr>
          <w:rFonts w:ascii="Arial" w:hAnsi="Arial" w:cs="Arial"/>
          <w:sz w:val="24"/>
          <w:szCs w:val="24"/>
        </w:rPr>
        <w:t xml:space="preserve">14’s, 28’s, 56’s </w:t>
      </w:r>
      <w:r>
        <w:rPr>
          <w:rFonts w:ascii="Arial" w:hAnsi="Arial" w:cs="Arial"/>
          <w:sz w:val="24"/>
          <w:szCs w:val="24"/>
        </w:rPr>
        <w:t xml:space="preserve">(25, 50 &amp; 100 mg </w:t>
      </w:r>
      <w:r w:rsidR="00456C59">
        <w:rPr>
          <w:rFonts w:ascii="Arial" w:hAnsi="Arial" w:cs="Arial"/>
          <w:sz w:val="24"/>
          <w:szCs w:val="24"/>
        </w:rPr>
        <w:t>capsules</w:t>
      </w:r>
      <w:r>
        <w:rPr>
          <w:rFonts w:ascii="Arial" w:hAnsi="Arial" w:cs="Arial"/>
          <w:sz w:val="24"/>
          <w:szCs w:val="24"/>
        </w:rPr>
        <w:t>)</w:t>
      </w:r>
    </w:p>
    <w:p w:rsidR="00122854" w:rsidRDefault="00122854" w:rsidP="00E65326">
      <w:pPr>
        <w:spacing w:after="0"/>
        <w:rPr>
          <w:rFonts w:ascii="Arial" w:hAnsi="Arial" w:cs="Arial"/>
          <w:sz w:val="24"/>
          <w:szCs w:val="24"/>
        </w:rPr>
      </w:pPr>
    </w:p>
    <w:p w:rsidR="00122854" w:rsidRDefault="00122854" w:rsidP="00E65326">
      <w:pPr>
        <w:spacing w:after="0"/>
        <w:rPr>
          <w:rFonts w:ascii="Arial" w:hAnsi="Arial" w:cs="Arial"/>
          <w:sz w:val="24"/>
          <w:szCs w:val="24"/>
        </w:rPr>
      </w:pPr>
    </w:p>
    <w:p w:rsidR="00666EE6" w:rsidRDefault="00666EE6" w:rsidP="00E65326">
      <w:pPr>
        <w:spacing w:after="0"/>
        <w:rPr>
          <w:rFonts w:ascii="Arial" w:hAnsi="Arial" w:cs="Arial"/>
          <w:b/>
          <w:sz w:val="24"/>
          <w:szCs w:val="24"/>
        </w:rPr>
      </w:pPr>
      <w:r w:rsidRPr="00666EE6">
        <w:rPr>
          <w:rFonts w:ascii="Arial" w:hAnsi="Arial" w:cs="Arial"/>
          <w:b/>
          <w:sz w:val="24"/>
          <w:szCs w:val="24"/>
        </w:rPr>
        <w:t>STORAGE CONDITIONS</w:t>
      </w:r>
    </w:p>
    <w:p w:rsidR="00525A42" w:rsidRPr="00666EE6" w:rsidRDefault="00525A42" w:rsidP="00E65326">
      <w:pPr>
        <w:spacing w:after="0"/>
        <w:rPr>
          <w:rFonts w:ascii="Arial" w:hAnsi="Arial" w:cs="Arial"/>
          <w:b/>
          <w:sz w:val="24"/>
          <w:szCs w:val="24"/>
        </w:rPr>
      </w:pPr>
    </w:p>
    <w:p w:rsidR="00456C59" w:rsidRPr="00851437" w:rsidRDefault="00851437" w:rsidP="00E65326">
      <w:pPr>
        <w:spacing w:after="0"/>
        <w:rPr>
          <w:rFonts w:ascii="Arial" w:hAnsi="Arial" w:cs="Arial"/>
          <w:sz w:val="24"/>
          <w:szCs w:val="24"/>
        </w:rPr>
      </w:pPr>
      <w:r w:rsidRPr="00865E2D">
        <w:rPr>
          <w:rFonts w:ascii="Arial" w:hAnsi="Arial" w:cs="Arial"/>
          <w:sz w:val="24"/>
          <w:szCs w:val="24"/>
        </w:rPr>
        <w:t xml:space="preserve">Blister pack: </w:t>
      </w:r>
      <w:r w:rsidR="00456C59" w:rsidRPr="00865E2D">
        <w:rPr>
          <w:rFonts w:ascii="Arial" w:hAnsi="Arial" w:cs="Arial"/>
          <w:sz w:val="24"/>
          <w:szCs w:val="24"/>
        </w:rPr>
        <w:t xml:space="preserve">Store below </w:t>
      </w:r>
      <w:r w:rsidR="00EC36BF" w:rsidRPr="00865E2D">
        <w:rPr>
          <w:rFonts w:ascii="Arial" w:hAnsi="Arial" w:cs="Arial"/>
          <w:sz w:val="24"/>
          <w:szCs w:val="24"/>
        </w:rPr>
        <w:t>30</w:t>
      </w:r>
      <w:r w:rsidR="00456C59" w:rsidRPr="00865E2D">
        <w:rPr>
          <w:rFonts w:ascii="Arial" w:hAnsi="Arial" w:cs="Arial"/>
          <w:sz w:val="24"/>
          <w:szCs w:val="24"/>
          <w:vertAlign w:val="superscript"/>
        </w:rPr>
        <w:t>o</w:t>
      </w:r>
      <w:r w:rsidR="00456C59" w:rsidRPr="00865E2D">
        <w:rPr>
          <w:rFonts w:ascii="Arial" w:hAnsi="Arial" w:cs="Arial"/>
          <w:sz w:val="24"/>
          <w:szCs w:val="24"/>
        </w:rPr>
        <w:t>C</w:t>
      </w:r>
    </w:p>
    <w:p w:rsidR="00851437" w:rsidRPr="00851437" w:rsidRDefault="00851437" w:rsidP="00E65326">
      <w:pPr>
        <w:spacing w:after="0"/>
        <w:rPr>
          <w:rFonts w:ascii="Arial" w:hAnsi="Arial" w:cs="Arial"/>
          <w:sz w:val="24"/>
          <w:szCs w:val="24"/>
        </w:rPr>
      </w:pPr>
      <w:r w:rsidRPr="00851437">
        <w:rPr>
          <w:rFonts w:ascii="Arial" w:hAnsi="Arial" w:cs="Arial"/>
          <w:sz w:val="24"/>
          <w:szCs w:val="24"/>
        </w:rPr>
        <w:t>Bottle: Store below 30</w:t>
      </w:r>
      <w:r w:rsidRPr="00851437">
        <w:rPr>
          <w:rFonts w:ascii="Arial" w:hAnsi="Arial" w:cs="Arial"/>
          <w:sz w:val="24"/>
          <w:szCs w:val="24"/>
          <w:vertAlign w:val="superscript"/>
        </w:rPr>
        <w:t>o</w:t>
      </w:r>
      <w:r w:rsidRPr="00851437">
        <w:rPr>
          <w:rFonts w:ascii="Arial" w:hAnsi="Arial" w:cs="Arial"/>
          <w:sz w:val="24"/>
          <w:szCs w:val="24"/>
        </w:rPr>
        <w:t>C</w:t>
      </w:r>
    </w:p>
    <w:p w:rsidR="00666EE6" w:rsidRDefault="00666EE6" w:rsidP="00E65326">
      <w:pPr>
        <w:spacing w:after="0"/>
        <w:rPr>
          <w:rFonts w:ascii="Arial" w:hAnsi="Arial" w:cs="Arial"/>
          <w:sz w:val="24"/>
          <w:szCs w:val="24"/>
        </w:rPr>
      </w:pPr>
    </w:p>
    <w:p w:rsidR="00415B29" w:rsidRDefault="00415B29" w:rsidP="00E65326">
      <w:pPr>
        <w:spacing w:after="0"/>
        <w:rPr>
          <w:rFonts w:ascii="Arial" w:hAnsi="Arial" w:cs="Arial"/>
          <w:sz w:val="24"/>
          <w:szCs w:val="24"/>
        </w:rPr>
      </w:pPr>
    </w:p>
    <w:p w:rsidR="00666EE6" w:rsidRDefault="00666EE6" w:rsidP="00E65326">
      <w:pPr>
        <w:spacing w:after="0"/>
        <w:rPr>
          <w:rFonts w:ascii="Arial" w:hAnsi="Arial" w:cs="Arial"/>
          <w:b/>
          <w:sz w:val="24"/>
          <w:szCs w:val="24"/>
        </w:rPr>
      </w:pPr>
      <w:r w:rsidRPr="00666EE6">
        <w:rPr>
          <w:rFonts w:ascii="Arial" w:hAnsi="Arial" w:cs="Arial"/>
          <w:b/>
          <w:sz w:val="24"/>
          <w:szCs w:val="24"/>
        </w:rPr>
        <w:t>NAME AND ADDRESS OF THE SPONSOR</w:t>
      </w:r>
    </w:p>
    <w:p w:rsidR="00EF6565" w:rsidRDefault="00EF6565" w:rsidP="00E65326">
      <w:pPr>
        <w:spacing w:after="0"/>
        <w:rPr>
          <w:rFonts w:ascii="Arial" w:hAnsi="Arial" w:cs="Arial"/>
          <w:b/>
          <w:sz w:val="24"/>
          <w:szCs w:val="24"/>
        </w:rPr>
      </w:pPr>
    </w:p>
    <w:p w:rsidR="00456C59" w:rsidRPr="00EF6565" w:rsidRDefault="00456C59" w:rsidP="00E65326">
      <w:pPr>
        <w:spacing w:after="0"/>
        <w:rPr>
          <w:rFonts w:ascii="Arial" w:hAnsi="Arial" w:cs="Arial"/>
          <w:sz w:val="24"/>
          <w:szCs w:val="24"/>
        </w:rPr>
      </w:pPr>
      <w:r w:rsidRPr="00EF6565">
        <w:rPr>
          <w:rFonts w:ascii="Arial" w:hAnsi="Arial" w:cs="Arial"/>
          <w:sz w:val="24"/>
          <w:szCs w:val="24"/>
        </w:rPr>
        <w:t xml:space="preserve">Pierre Fabre </w:t>
      </w:r>
      <w:proofErr w:type="spellStart"/>
      <w:r w:rsidRPr="00EF6565">
        <w:rPr>
          <w:rFonts w:ascii="Arial" w:hAnsi="Arial" w:cs="Arial"/>
          <w:sz w:val="24"/>
          <w:szCs w:val="24"/>
        </w:rPr>
        <w:t>Médicament</w:t>
      </w:r>
      <w:proofErr w:type="spellEnd"/>
      <w:r w:rsidRPr="00EF6565">
        <w:rPr>
          <w:rFonts w:ascii="Arial" w:hAnsi="Arial" w:cs="Arial"/>
          <w:sz w:val="24"/>
          <w:szCs w:val="24"/>
        </w:rPr>
        <w:t xml:space="preserve"> Australia Pty Limited</w:t>
      </w:r>
    </w:p>
    <w:p w:rsidR="00456C59" w:rsidRPr="00EF6565" w:rsidRDefault="00E00CC6" w:rsidP="00E65326">
      <w:pPr>
        <w:spacing w:after="0"/>
        <w:rPr>
          <w:rFonts w:ascii="Arial" w:hAnsi="Arial" w:cs="Arial"/>
          <w:sz w:val="24"/>
          <w:szCs w:val="24"/>
        </w:rPr>
      </w:pPr>
      <w:r>
        <w:rPr>
          <w:rFonts w:ascii="Arial" w:hAnsi="Arial" w:cs="Arial"/>
          <w:sz w:val="24"/>
          <w:szCs w:val="24"/>
        </w:rPr>
        <w:t>Suite 3B, 1 Richardson Place</w:t>
      </w:r>
      <w:r w:rsidRPr="00EF6565">
        <w:rPr>
          <w:rFonts w:ascii="Arial" w:hAnsi="Arial" w:cs="Arial"/>
          <w:sz w:val="24"/>
          <w:szCs w:val="24"/>
        </w:rPr>
        <w:t xml:space="preserve"> </w:t>
      </w:r>
    </w:p>
    <w:p w:rsidR="00456C59" w:rsidRPr="00EF6565" w:rsidRDefault="00E00CC6" w:rsidP="00E65326">
      <w:pPr>
        <w:spacing w:after="0"/>
        <w:rPr>
          <w:rFonts w:ascii="Arial" w:hAnsi="Arial" w:cs="Arial"/>
          <w:sz w:val="24"/>
          <w:szCs w:val="24"/>
        </w:rPr>
      </w:pPr>
      <w:r>
        <w:rPr>
          <w:rFonts w:ascii="Arial" w:hAnsi="Arial" w:cs="Arial"/>
          <w:sz w:val="24"/>
          <w:szCs w:val="24"/>
        </w:rPr>
        <w:t xml:space="preserve">North Ryde  </w:t>
      </w:r>
      <w:r w:rsidR="00456C59" w:rsidRPr="00EF6565">
        <w:rPr>
          <w:rFonts w:ascii="Arial" w:hAnsi="Arial" w:cs="Arial"/>
          <w:sz w:val="24"/>
          <w:szCs w:val="24"/>
        </w:rPr>
        <w:t xml:space="preserve">NSW </w:t>
      </w:r>
      <w:r w:rsidR="00525A42">
        <w:rPr>
          <w:rFonts w:ascii="Arial" w:hAnsi="Arial" w:cs="Arial"/>
          <w:sz w:val="24"/>
          <w:szCs w:val="24"/>
        </w:rPr>
        <w:t xml:space="preserve"> </w:t>
      </w:r>
      <w:r w:rsidRPr="00EF6565">
        <w:rPr>
          <w:rFonts w:ascii="Arial" w:hAnsi="Arial" w:cs="Arial"/>
          <w:sz w:val="24"/>
          <w:szCs w:val="24"/>
        </w:rPr>
        <w:t>21</w:t>
      </w:r>
      <w:r>
        <w:rPr>
          <w:rFonts w:ascii="Arial" w:hAnsi="Arial" w:cs="Arial"/>
          <w:sz w:val="24"/>
          <w:szCs w:val="24"/>
        </w:rPr>
        <w:t>1</w:t>
      </w:r>
      <w:r w:rsidRPr="00EF6565">
        <w:rPr>
          <w:rFonts w:ascii="Arial" w:hAnsi="Arial" w:cs="Arial"/>
          <w:sz w:val="24"/>
          <w:szCs w:val="24"/>
        </w:rPr>
        <w:t>3</w:t>
      </w:r>
    </w:p>
    <w:p w:rsidR="00456C59" w:rsidRPr="00EF6565" w:rsidRDefault="00456C59" w:rsidP="00E65326">
      <w:pPr>
        <w:spacing w:after="0"/>
        <w:rPr>
          <w:rFonts w:ascii="Arial" w:hAnsi="Arial" w:cs="Arial"/>
          <w:sz w:val="24"/>
          <w:szCs w:val="24"/>
        </w:rPr>
      </w:pPr>
      <w:r w:rsidRPr="00EF6565">
        <w:rPr>
          <w:rFonts w:ascii="Arial" w:hAnsi="Arial" w:cs="Arial"/>
          <w:sz w:val="24"/>
          <w:szCs w:val="24"/>
        </w:rPr>
        <w:t xml:space="preserve">Australia </w:t>
      </w:r>
    </w:p>
    <w:p w:rsidR="00666EE6" w:rsidRDefault="00666EE6" w:rsidP="00E65326">
      <w:pPr>
        <w:spacing w:after="0"/>
        <w:rPr>
          <w:rFonts w:ascii="Arial" w:hAnsi="Arial" w:cs="Arial"/>
          <w:sz w:val="24"/>
          <w:szCs w:val="24"/>
        </w:rPr>
      </w:pPr>
    </w:p>
    <w:p w:rsidR="00415B29" w:rsidRDefault="00415B29" w:rsidP="00E65326">
      <w:pPr>
        <w:spacing w:after="0"/>
        <w:rPr>
          <w:rFonts w:ascii="Arial" w:hAnsi="Arial" w:cs="Arial"/>
          <w:sz w:val="24"/>
          <w:szCs w:val="24"/>
        </w:rPr>
      </w:pPr>
    </w:p>
    <w:p w:rsidR="00666EE6" w:rsidRPr="00666EE6" w:rsidRDefault="00666EE6" w:rsidP="00E65326">
      <w:pPr>
        <w:spacing w:after="0"/>
        <w:rPr>
          <w:rFonts w:ascii="Arial" w:hAnsi="Arial" w:cs="Arial"/>
          <w:b/>
          <w:sz w:val="24"/>
          <w:szCs w:val="24"/>
        </w:rPr>
      </w:pPr>
      <w:r w:rsidRPr="00666EE6">
        <w:rPr>
          <w:rFonts w:ascii="Arial" w:hAnsi="Arial" w:cs="Arial"/>
          <w:b/>
          <w:sz w:val="24"/>
          <w:szCs w:val="24"/>
        </w:rPr>
        <w:t>POISON SCHEDULE</w:t>
      </w:r>
    </w:p>
    <w:p w:rsidR="00666EE6" w:rsidRDefault="00666EE6" w:rsidP="00E65326">
      <w:pPr>
        <w:spacing w:after="0"/>
        <w:rPr>
          <w:rFonts w:ascii="Arial" w:hAnsi="Arial" w:cs="Arial"/>
          <w:sz w:val="24"/>
          <w:szCs w:val="24"/>
        </w:rPr>
      </w:pPr>
    </w:p>
    <w:p w:rsidR="00456C59" w:rsidRDefault="00456C59" w:rsidP="00E65326">
      <w:pPr>
        <w:spacing w:after="0"/>
        <w:rPr>
          <w:rFonts w:ascii="Arial" w:hAnsi="Arial" w:cs="Arial"/>
          <w:sz w:val="24"/>
          <w:szCs w:val="24"/>
        </w:rPr>
      </w:pPr>
      <w:r>
        <w:rPr>
          <w:rFonts w:ascii="Arial" w:hAnsi="Arial" w:cs="Arial"/>
          <w:sz w:val="24"/>
          <w:szCs w:val="24"/>
        </w:rPr>
        <w:t>S4</w:t>
      </w:r>
    </w:p>
    <w:p w:rsidR="00666EE6" w:rsidRDefault="00666EE6" w:rsidP="00E65326">
      <w:pPr>
        <w:spacing w:after="0"/>
        <w:rPr>
          <w:rFonts w:ascii="Arial" w:hAnsi="Arial" w:cs="Arial"/>
          <w:sz w:val="24"/>
          <w:szCs w:val="24"/>
        </w:rPr>
      </w:pPr>
    </w:p>
    <w:p w:rsidR="00415B29" w:rsidRDefault="00415B29" w:rsidP="00E65326">
      <w:pPr>
        <w:spacing w:after="0"/>
        <w:rPr>
          <w:rFonts w:ascii="Arial" w:hAnsi="Arial" w:cs="Arial"/>
          <w:sz w:val="24"/>
          <w:szCs w:val="24"/>
        </w:rPr>
      </w:pPr>
    </w:p>
    <w:p w:rsidR="00666EE6" w:rsidRDefault="00666EE6" w:rsidP="00E65326">
      <w:pPr>
        <w:spacing w:after="0"/>
        <w:rPr>
          <w:rFonts w:ascii="Arial" w:hAnsi="Arial" w:cs="Arial"/>
          <w:b/>
          <w:sz w:val="24"/>
          <w:szCs w:val="24"/>
        </w:rPr>
      </w:pPr>
      <w:r w:rsidRPr="00666EE6">
        <w:rPr>
          <w:rFonts w:ascii="Arial" w:hAnsi="Arial" w:cs="Arial"/>
          <w:b/>
          <w:sz w:val="24"/>
          <w:szCs w:val="24"/>
        </w:rPr>
        <w:t>DATE OF APPROVAL</w:t>
      </w:r>
    </w:p>
    <w:p w:rsidR="00F65438" w:rsidRPr="00666EE6" w:rsidRDefault="00F65438" w:rsidP="00E65326">
      <w:pPr>
        <w:spacing w:after="0"/>
        <w:rPr>
          <w:rFonts w:ascii="Arial" w:hAnsi="Arial" w:cs="Arial"/>
          <w:b/>
          <w:sz w:val="24"/>
          <w:szCs w:val="24"/>
        </w:rPr>
      </w:pPr>
      <w:bookmarkStart w:id="1" w:name="_GoBack"/>
      <w:bookmarkEnd w:id="1"/>
    </w:p>
    <w:p w:rsidR="001C7A08" w:rsidRPr="003F3B46" w:rsidRDefault="00A8035A" w:rsidP="00E65326">
      <w:pPr>
        <w:spacing w:after="0"/>
        <w:rPr>
          <w:rFonts w:ascii="Arial" w:hAnsi="Arial" w:cs="Arial"/>
          <w:sz w:val="24"/>
          <w:szCs w:val="24"/>
        </w:rPr>
      </w:pPr>
      <w:r>
        <w:rPr>
          <w:rFonts w:ascii="Arial" w:hAnsi="Arial" w:cs="Arial"/>
          <w:sz w:val="24"/>
          <w:szCs w:val="24"/>
        </w:rPr>
        <w:t>4 November 2011</w:t>
      </w:r>
    </w:p>
    <w:p w:rsidR="003F3B46" w:rsidRDefault="003F3B46" w:rsidP="00497FD9">
      <w:pPr>
        <w:spacing w:after="0"/>
        <w:rPr>
          <w:rFonts w:ascii="Arial" w:hAnsi="Arial" w:cs="Arial"/>
          <w:sz w:val="24"/>
          <w:szCs w:val="24"/>
        </w:rPr>
      </w:pPr>
    </w:p>
    <w:p w:rsidR="00650F36" w:rsidRDefault="00650F36" w:rsidP="00497FD9">
      <w:pPr>
        <w:spacing w:after="0"/>
        <w:rPr>
          <w:rFonts w:ascii="Arial" w:hAnsi="Arial" w:cs="Arial"/>
          <w:sz w:val="24"/>
          <w:szCs w:val="24"/>
        </w:rPr>
      </w:pPr>
      <w:r>
        <w:rPr>
          <w:rFonts w:ascii="Arial" w:hAnsi="Arial" w:cs="Arial"/>
          <w:sz w:val="24"/>
          <w:szCs w:val="24"/>
        </w:rPr>
        <w:t>* Not marketed</w:t>
      </w:r>
    </w:p>
    <w:sectPr w:rsidR="00650F36" w:rsidSect="003A2F9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4B4" w:rsidRDefault="001174B4" w:rsidP="00F71835">
      <w:pPr>
        <w:spacing w:after="0" w:line="240" w:lineRule="auto"/>
      </w:pPr>
      <w:r>
        <w:separator/>
      </w:r>
    </w:p>
  </w:endnote>
  <w:endnote w:type="continuationSeparator" w:id="0">
    <w:p w:rsidR="001174B4" w:rsidRDefault="001174B4" w:rsidP="00F71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B4" w:rsidRPr="003A5A5E" w:rsidRDefault="001174B4" w:rsidP="00B70EA1">
    <w:pPr>
      <w:tabs>
        <w:tab w:val="center" w:pos="4513"/>
      </w:tabs>
      <w:rPr>
        <w:rFonts w:ascii="Arial" w:hAnsi="Arial" w:cs="Arial"/>
        <w:sz w:val="20"/>
        <w:szCs w:val="20"/>
      </w:rPr>
    </w:pPr>
    <w:r w:rsidRPr="003A5A5E">
      <w:rPr>
        <w:rFonts w:ascii="Arial" w:hAnsi="Arial" w:cs="Arial"/>
        <w:sz w:val="20"/>
        <w:szCs w:val="20"/>
      </w:rPr>
      <w:t xml:space="preserve">Version: </w:t>
    </w:r>
    <w:r>
      <w:rPr>
        <w:rFonts w:ascii="Arial" w:hAnsi="Arial" w:cs="Arial"/>
        <w:sz w:val="20"/>
        <w:szCs w:val="20"/>
      </w:rPr>
      <w:t>A</w:t>
    </w:r>
    <w:r w:rsidRPr="003A5A5E">
      <w:rPr>
        <w:rFonts w:ascii="Arial" w:hAnsi="Arial" w:cs="Arial"/>
        <w:sz w:val="20"/>
        <w:szCs w:val="20"/>
      </w:rPr>
      <w:t>0</w:t>
    </w:r>
    <w:r>
      <w:rPr>
        <w:rFonts w:ascii="Arial" w:hAnsi="Arial" w:cs="Arial"/>
        <w:sz w:val="20"/>
        <w:szCs w:val="20"/>
      </w:rPr>
      <w:t>1</w:t>
    </w:r>
    <w:r w:rsidRPr="003A5A5E">
      <w:rPr>
        <w:rFonts w:ascii="Arial" w:hAnsi="Arial" w:cs="Arial"/>
        <w:sz w:val="20"/>
        <w:szCs w:val="20"/>
      </w:rPr>
      <w:t>-</w:t>
    </w:r>
    <w:r>
      <w:rPr>
        <w:rFonts w:ascii="Arial" w:hAnsi="Arial" w:cs="Arial"/>
        <w:sz w:val="20"/>
        <w:szCs w:val="20"/>
      </w:rPr>
      <w:t>041111</w:t>
    </w:r>
    <w:r w:rsidRPr="003A5A5E">
      <w:rPr>
        <w:rFonts w:ascii="Arial" w:hAnsi="Arial" w:cs="Arial"/>
        <w:sz w:val="20"/>
        <w:szCs w:val="20"/>
      </w:rPr>
      <w:tab/>
      <w:t xml:space="preserve">Page </w:t>
    </w:r>
    <w:r w:rsidRPr="003A5A5E">
      <w:rPr>
        <w:rFonts w:ascii="Arial" w:hAnsi="Arial" w:cs="Arial"/>
        <w:sz w:val="20"/>
        <w:szCs w:val="20"/>
      </w:rPr>
      <w:fldChar w:fldCharType="begin"/>
    </w:r>
    <w:r w:rsidRPr="003A5A5E">
      <w:rPr>
        <w:rFonts w:ascii="Arial" w:hAnsi="Arial" w:cs="Arial"/>
        <w:sz w:val="20"/>
        <w:szCs w:val="20"/>
      </w:rPr>
      <w:instrText xml:space="preserve"> PAGE </w:instrText>
    </w:r>
    <w:r w:rsidRPr="003A5A5E">
      <w:rPr>
        <w:rFonts w:ascii="Arial" w:hAnsi="Arial" w:cs="Arial"/>
        <w:sz w:val="20"/>
        <w:szCs w:val="20"/>
      </w:rPr>
      <w:fldChar w:fldCharType="separate"/>
    </w:r>
    <w:r w:rsidR="00C70EEC">
      <w:rPr>
        <w:rFonts w:ascii="Arial" w:hAnsi="Arial" w:cs="Arial"/>
        <w:noProof/>
        <w:sz w:val="20"/>
        <w:szCs w:val="20"/>
      </w:rPr>
      <w:t>4</w:t>
    </w:r>
    <w:r w:rsidRPr="003A5A5E">
      <w:rPr>
        <w:rFonts w:ascii="Arial" w:hAnsi="Arial" w:cs="Arial"/>
        <w:sz w:val="20"/>
        <w:szCs w:val="20"/>
      </w:rPr>
      <w:fldChar w:fldCharType="end"/>
    </w:r>
    <w:r w:rsidRPr="003A5A5E">
      <w:rPr>
        <w:rFonts w:ascii="Arial" w:hAnsi="Arial" w:cs="Arial"/>
        <w:sz w:val="20"/>
        <w:szCs w:val="20"/>
      </w:rPr>
      <w:t xml:space="preserve"> of </w:t>
    </w:r>
    <w:r w:rsidRPr="003A5A5E">
      <w:rPr>
        <w:rFonts w:ascii="Arial" w:hAnsi="Arial" w:cs="Arial"/>
        <w:sz w:val="20"/>
        <w:szCs w:val="20"/>
      </w:rPr>
      <w:fldChar w:fldCharType="begin"/>
    </w:r>
    <w:r w:rsidRPr="003A5A5E">
      <w:rPr>
        <w:rFonts w:ascii="Arial" w:hAnsi="Arial" w:cs="Arial"/>
        <w:sz w:val="20"/>
        <w:szCs w:val="20"/>
      </w:rPr>
      <w:instrText xml:space="preserve"> NUMPAGES  </w:instrText>
    </w:r>
    <w:r w:rsidRPr="003A5A5E">
      <w:rPr>
        <w:rFonts w:ascii="Arial" w:hAnsi="Arial" w:cs="Arial"/>
        <w:sz w:val="20"/>
        <w:szCs w:val="20"/>
      </w:rPr>
      <w:fldChar w:fldCharType="separate"/>
    </w:r>
    <w:r w:rsidR="00C70EEC">
      <w:rPr>
        <w:rFonts w:ascii="Arial" w:hAnsi="Arial" w:cs="Arial"/>
        <w:noProof/>
        <w:sz w:val="20"/>
        <w:szCs w:val="20"/>
      </w:rPr>
      <w:t>19</w:t>
    </w:r>
    <w:r w:rsidRPr="003A5A5E">
      <w:rPr>
        <w:rFonts w:ascii="Arial" w:hAnsi="Arial" w:cs="Arial"/>
        <w:sz w:val="20"/>
        <w:szCs w:val="20"/>
      </w:rPr>
      <w:fldChar w:fldCharType="end"/>
    </w:r>
    <w:r w:rsidRPr="003A5A5E">
      <w:rPr>
        <w:rFonts w:ascii="Arial" w:hAnsi="Arial" w:cs="Arial"/>
        <w:sz w:val="20"/>
        <w:szCs w:val="20"/>
      </w:rPr>
      <w:tab/>
    </w:r>
    <w:proofErr w:type="spellStart"/>
    <w:r w:rsidRPr="003A5A5E">
      <w:rPr>
        <w:rFonts w:ascii="Arial" w:hAnsi="Arial" w:cs="Arial"/>
        <w:sz w:val="20"/>
        <w:szCs w:val="20"/>
      </w:rPr>
      <w:t>Supercedes</w:t>
    </w:r>
    <w:proofErr w:type="spellEnd"/>
    <w:r w:rsidRPr="003A5A5E">
      <w:rPr>
        <w:rFonts w:ascii="Arial" w:hAnsi="Arial" w:cs="Arial"/>
        <w:sz w:val="20"/>
        <w:szCs w:val="20"/>
      </w:rPr>
      <w:t>:</w:t>
    </w:r>
    <w:r>
      <w:rPr>
        <w:rFonts w:ascii="Arial" w:hAnsi="Arial" w:cs="Arial"/>
        <w:sz w:val="20"/>
        <w:szCs w:val="20"/>
      </w:rPr>
      <w:t xml:space="preserve"> NIL</w:t>
    </w:r>
    <w:r w:rsidRPr="003A5A5E">
      <w:rPr>
        <w:rFonts w:ascii="Arial" w:hAnsi="Arial" w:cs="Arial"/>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4B4" w:rsidRDefault="001174B4" w:rsidP="00F71835">
      <w:pPr>
        <w:spacing w:after="0" w:line="240" w:lineRule="auto"/>
      </w:pPr>
      <w:r>
        <w:separator/>
      </w:r>
    </w:p>
  </w:footnote>
  <w:footnote w:type="continuationSeparator" w:id="0">
    <w:p w:rsidR="001174B4" w:rsidRDefault="001174B4" w:rsidP="00F718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1174B4" w:rsidRPr="001174B4" w:rsidTr="001174B4">
      <w:tc>
        <w:tcPr>
          <w:tcW w:w="8720" w:type="dxa"/>
          <w:shd w:val="clear" w:color="auto" w:fill="E4F2E0"/>
        </w:tcPr>
        <w:p w:rsidR="001174B4" w:rsidRPr="001174B4" w:rsidRDefault="001174B4" w:rsidP="001174B4">
          <w:pPr>
            <w:spacing w:before="40" w:after="40"/>
            <w:rPr>
              <w:rFonts w:ascii="Cambria" w:hAnsi="Cambria"/>
              <w:b/>
              <w:sz w:val="20"/>
              <w:szCs w:val="20"/>
            </w:rPr>
          </w:pPr>
          <w:r w:rsidRPr="001174B4">
            <w:rPr>
              <w:rFonts w:ascii="Cambria" w:hAnsi="Cambria"/>
              <w:b/>
              <w:sz w:val="20"/>
              <w:szCs w:val="20"/>
            </w:rPr>
            <w:t xml:space="preserve">Attachment 1: Product information for </w:t>
          </w:r>
          <w:proofErr w:type="spellStart"/>
          <w:r w:rsidRPr="001174B4">
            <w:rPr>
              <w:rFonts w:ascii="Cambria" w:hAnsi="Cambria"/>
              <w:b/>
              <w:sz w:val="20"/>
              <w:szCs w:val="20"/>
            </w:rPr>
            <w:t>AusPAR</w:t>
          </w:r>
          <w:proofErr w:type="spellEnd"/>
          <w:r w:rsidRPr="001174B4">
            <w:rPr>
              <w:rFonts w:ascii="Cambria" w:hAnsi="Cambria"/>
              <w:b/>
              <w:sz w:val="20"/>
              <w:szCs w:val="20"/>
            </w:rPr>
            <w:t xml:space="preserve"> </w:t>
          </w:r>
          <w:proofErr w:type="spellStart"/>
          <w:r w:rsidRPr="001174B4">
            <w:rPr>
              <w:rFonts w:ascii="Cambria" w:hAnsi="Cambria"/>
              <w:b/>
              <w:sz w:val="20"/>
              <w:szCs w:val="20"/>
            </w:rPr>
            <w:t>Milnacipran</w:t>
          </w:r>
          <w:proofErr w:type="spellEnd"/>
          <w:r w:rsidRPr="001174B4">
            <w:rPr>
              <w:rFonts w:ascii="Cambria" w:hAnsi="Cambria"/>
              <w:b/>
              <w:sz w:val="20"/>
              <w:szCs w:val="20"/>
            </w:rPr>
            <w:t xml:space="preserve"> hydrochloride (</w:t>
          </w:r>
          <w:proofErr w:type="spellStart"/>
          <w:r w:rsidRPr="001174B4">
            <w:rPr>
              <w:rFonts w:ascii="Cambria" w:hAnsi="Cambria"/>
              <w:b/>
              <w:sz w:val="20"/>
              <w:szCs w:val="20"/>
            </w:rPr>
            <w:t>Joncia</w:t>
          </w:r>
          <w:proofErr w:type="spellEnd"/>
          <w:r w:rsidRPr="001174B4">
            <w:rPr>
              <w:rFonts w:ascii="Cambria" w:hAnsi="Cambria"/>
              <w:b/>
              <w:sz w:val="20"/>
              <w:szCs w:val="20"/>
            </w:rPr>
            <w:t xml:space="preserve">) Pierre Fabre Medicament Australia Pty Ltd PM-2011-02708-3-1 Final 24 January 2012. This Product Information was approved at the time this </w:t>
          </w:r>
          <w:proofErr w:type="spellStart"/>
          <w:r w:rsidRPr="001174B4">
            <w:rPr>
              <w:rFonts w:ascii="Cambria" w:hAnsi="Cambria"/>
              <w:b/>
              <w:sz w:val="20"/>
              <w:szCs w:val="20"/>
            </w:rPr>
            <w:t>AusPAR</w:t>
          </w:r>
          <w:proofErr w:type="spellEnd"/>
          <w:r w:rsidRPr="001174B4">
            <w:rPr>
              <w:rFonts w:ascii="Cambria" w:hAnsi="Cambria"/>
              <w:b/>
              <w:sz w:val="20"/>
              <w:szCs w:val="20"/>
            </w:rPr>
            <w:t xml:space="preserve"> was published.</w:t>
          </w:r>
        </w:p>
      </w:tc>
    </w:tr>
  </w:tbl>
  <w:p w:rsidR="001174B4" w:rsidRDefault="001174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29F"/>
    <w:multiLevelType w:val="hybridMultilevel"/>
    <w:tmpl w:val="79902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D70AD1"/>
    <w:multiLevelType w:val="hybridMultilevel"/>
    <w:tmpl w:val="3774CF4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30BB363E"/>
    <w:multiLevelType w:val="hybridMultilevel"/>
    <w:tmpl w:val="2996A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A3000C8"/>
    <w:multiLevelType w:val="hybridMultilevel"/>
    <w:tmpl w:val="2872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87900DD"/>
    <w:multiLevelType w:val="hybridMultilevel"/>
    <w:tmpl w:val="D9E81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4F00FD4"/>
    <w:multiLevelType w:val="hybridMultilevel"/>
    <w:tmpl w:val="CDB64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9254628"/>
    <w:multiLevelType w:val="hybridMultilevel"/>
    <w:tmpl w:val="3DB49B4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7C6341C1"/>
    <w:multiLevelType w:val="hybridMultilevel"/>
    <w:tmpl w:val="E1AAE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BB6B6B"/>
    <w:rsid w:val="00010474"/>
    <w:rsid w:val="000104D7"/>
    <w:rsid w:val="00011FA2"/>
    <w:rsid w:val="00014166"/>
    <w:rsid w:val="00014546"/>
    <w:rsid w:val="00014FF7"/>
    <w:rsid w:val="00016565"/>
    <w:rsid w:val="000166A9"/>
    <w:rsid w:val="000276EA"/>
    <w:rsid w:val="00031350"/>
    <w:rsid w:val="0003345F"/>
    <w:rsid w:val="00042F13"/>
    <w:rsid w:val="0004415E"/>
    <w:rsid w:val="00044DFA"/>
    <w:rsid w:val="00056925"/>
    <w:rsid w:val="000617C3"/>
    <w:rsid w:val="00063E44"/>
    <w:rsid w:val="00065199"/>
    <w:rsid w:val="0006677E"/>
    <w:rsid w:val="000707E7"/>
    <w:rsid w:val="00076C32"/>
    <w:rsid w:val="00080635"/>
    <w:rsid w:val="00092DF6"/>
    <w:rsid w:val="00095A3F"/>
    <w:rsid w:val="0009603A"/>
    <w:rsid w:val="000A53A5"/>
    <w:rsid w:val="000A7180"/>
    <w:rsid w:val="000B0A39"/>
    <w:rsid w:val="000B135F"/>
    <w:rsid w:val="000C056B"/>
    <w:rsid w:val="000C05EF"/>
    <w:rsid w:val="000C31AA"/>
    <w:rsid w:val="000C5447"/>
    <w:rsid w:val="000D73F7"/>
    <w:rsid w:val="000E02C0"/>
    <w:rsid w:val="000F212A"/>
    <w:rsid w:val="00104A70"/>
    <w:rsid w:val="00111C21"/>
    <w:rsid w:val="00113C03"/>
    <w:rsid w:val="00113C83"/>
    <w:rsid w:val="00115CD1"/>
    <w:rsid w:val="001174B4"/>
    <w:rsid w:val="00122854"/>
    <w:rsid w:val="00123983"/>
    <w:rsid w:val="00135231"/>
    <w:rsid w:val="0014201F"/>
    <w:rsid w:val="00147B01"/>
    <w:rsid w:val="00152FF2"/>
    <w:rsid w:val="00153446"/>
    <w:rsid w:val="0015369B"/>
    <w:rsid w:val="00167680"/>
    <w:rsid w:val="00174D83"/>
    <w:rsid w:val="00186F58"/>
    <w:rsid w:val="00196F91"/>
    <w:rsid w:val="001A004C"/>
    <w:rsid w:val="001B7191"/>
    <w:rsid w:val="001C62CC"/>
    <w:rsid w:val="001C7A08"/>
    <w:rsid w:val="001D0C3C"/>
    <w:rsid w:val="001E2C81"/>
    <w:rsid w:val="001E490D"/>
    <w:rsid w:val="001E5E74"/>
    <w:rsid w:val="001E7408"/>
    <w:rsid w:val="001F2FD1"/>
    <w:rsid w:val="001F655E"/>
    <w:rsid w:val="0020599A"/>
    <w:rsid w:val="002101BF"/>
    <w:rsid w:val="00210ACB"/>
    <w:rsid w:val="00216755"/>
    <w:rsid w:val="00221EB3"/>
    <w:rsid w:val="002329B2"/>
    <w:rsid w:val="00242084"/>
    <w:rsid w:val="00244029"/>
    <w:rsid w:val="00250572"/>
    <w:rsid w:val="00250DB6"/>
    <w:rsid w:val="00251A2D"/>
    <w:rsid w:val="00255EB0"/>
    <w:rsid w:val="00273BD4"/>
    <w:rsid w:val="002779CE"/>
    <w:rsid w:val="00286A88"/>
    <w:rsid w:val="00291144"/>
    <w:rsid w:val="0029554D"/>
    <w:rsid w:val="002961D6"/>
    <w:rsid w:val="002A5794"/>
    <w:rsid w:val="002A6692"/>
    <w:rsid w:val="002A76A0"/>
    <w:rsid w:val="002B48C3"/>
    <w:rsid w:val="002B665A"/>
    <w:rsid w:val="002C52E9"/>
    <w:rsid w:val="002C71A4"/>
    <w:rsid w:val="002C7744"/>
    <w:rsid w:val="002D7D4E"/>
    <w:rsid w:val="002E0FC0"/>
    <w:rsid w:val="002E11F8"/>
    <w:rsid w:val="002E1851"/>
    <w:rsid w:val="002E26B0"/>
    <w:rsid w:val="002F0399"/>
    <w:rsid w:val="002F08F5"/>
    <w:rsid w:val="003000A1"/>
    <w:rsid w:val="00311E1E"/>
    <w:rsid w:val="00312EC8"/>
    <w:rsid w:val="0032582D"/>
    <w:rsid w:val="00326985"/>
    <w:rsid w:val="00327927"/>
    <w:rsid w:val="0033083B"/>
    <w:rsid w:val="00331066"/>
    <w:rsid w:val="003323BD"/>
    <w:rsid w:val="003350A8"/>
    <w:rsid w:val="003447C1"/>
    <w:rsid w:val="003455AF"/>
    <w:rsid w:val="00354357"/>
    <w:rsid w:val="00364E85"/>
    <w:rsid w:val="00371509"/>
    <w:rsid w:val="00375FD1"/>
    <w:rsid w:val="0038472D"/>
    <w:rsid w:val="003A2147"/>
    <w:rsid w:val="003A2F91"/>
    <w:rsid w:val="003A5A5E"/>
    <w:rsid w:val="003D63A3"/>
    <w:rsid w:val="003E46C2"/>
    <w:rsid w:val="003E61D2"/>
    <w:rsid w:val="003F3B46"/>
    <w:rsid w:val="004040AE"/>
    <w:rsid w:val="00404919"/>
    <w:rsid w:val="00406614"/>
    <w:rsid w:val="00415B29"/>
    <w:rsid w:val="0042009F"/>
    <w:rsid w:val="00420211"/>
    <w:rsid w:val="0042664C"/>
    <w:rsid w:val="00426CD6"/>
    <w:rsid w:val="004275AA"/>
    <w:rsid w:val="004503E3"/>
    <w:rsid w:val="00456C59"/>
    <w:rsid w:val="004610F0"/>
    <w:rsid w:val="00463B12"/>
    <w:rsid w:val="00464DFA"/>
    <w:rsid w:val="004749B8"/>
    <w:rsid w:val="0048359B"/>
    <w:rsid w:val="00492607"/>
    <w:rsid w:val="00493568"/>
    <w:rsid w:val="00497FD9"/>
    <w:rsid w:val="004C0EEA"/>
    <w:rsid w:val="004C381C"/>
    <w:rsid w:val="004C540B"/>
    <w:rsid w:val="004C70EF"/>
    <w:rsid w:val="004E1324"/>
    <w:rsid w:val="004F5C00"/>
    <w:rsid w:val="00505ACB"/>
    <w:rsid w:val="00507D81"/>
    <w:rsid w:val="005253CD"/>
    <w:rsid w:val="00525A42"/>
    <w:rsid w:val="0052724D"/>
    <w:rsid w:val="0052771A"/>
    <w:rsid w:val="005306D9"/>
    <w:rsid w:val="00531390"/>
    <w:rsid w:val="00531A6C"/>
    <w:rsid w:val="00537718"/>
    <w:rsid w:val="00544514"/>
    <w:rsid w:val="00546F27"/>
    <w:rsid w:val="00547D8E"/>
    <w:rsid w:val="005629F7"/>
    <w:rsid w:val="005719DC"/>
    <w:rsid w:val="005734AE"/>
    <w:rsid w:val="0057790C"/>
    <w:rsid w:val="00591DCB"/>
    <w:rsid w:val="005A3350"/>
    <w:rsid w:val="005A5001"/>
    <w:rsid w:val="005A5C51"/>
    <w:rsid w:val="005B3B04"/>
    <w:rsid w:val="005B5EDA"/>
    <w:rsid w:val="005C7B54"/>
    <w:rsid w:val="005D0477"/>
    <w:rsid w:val="005D7A07"/>
    <w:rsid w:val="005E08CA"/>
    <w:rsid w:val="005E0A30"/>
    <w:rsid w:val="005E2C80"/>
    <w:rsid w:val="005E3353"/>
    <w:rsid w:val="005E3955"/>
    <w:rsid w:val="005E6FA9"/>
    <w:rsid w:val="005F0705"/>
    <w:rsid w:val="0060211C"/>
    <w:rsid w:val="00611BD5"/>
    <w:rsid w:val="00612E47"/>
    <w:rsid w:val="0061437A"/>
    <w:rsid w:val="006164A1"/>
    <w:rsid w:val="00616E37"/>
    <w:rsid w:val="00633F45"/>
    <w:rsid w:val="00636317"/>
    <w:rsid w:val="00643C07"/>
    <w:rsid w:val="00650F36"/>
    <w:rsid w:val="00666EE6"/>
    <w:rsid w:val="006671EF"/>
    <w:rsid w:val="006732AD"/>
    <w:rsid w:val="00677069"/>
    <w:rsid w:val="006948FA"/>
    <w:rsid w:val="00695D5E"/>
    <w:rsid w:val="00696D79"/>
    <w:rsid w:val="006A573A"/>
    <w:rsid w:val="006B4211"/>
    <w:rsid w:val="006B625A"/>
    <w:rsid w:val="006B7713"/>
    <w:rsid w:val="006C3FA9"/>
    <w:rsid w:val="006E5DA9"/>
    <w:rsid w:val="006E61C2"/>
    <w:rsid w:val="006F42F6"/>
    <w:rsid w:val="006F723A"/>
    <w:rsid w:val="00713243"/>
    <w:rsid w:val="00731245"/>
    <w:rsid w:val="00736250"/>
    <w:rsid w:val="00742982"/>
    <w:rsid w:val="007441DF"/>
    <w:rsid w:val="00744CD5"/>
    <w:rsid w:val="0074564F"/>
    <w:rsid w:val="007563D1"/>
    <w:rsid w:val="00760CE6"/>
    <w:rsid w:val="00761890"/>
    <w:rsid w:val="00762B0B"/>
    <w:rsid w:val="00771F68"/>
    <w:rsid w:val="00781558"/>
    <w:rsid w:val="00786F30"/>
    <w:rsid w:val="007A693D"/>
    <w:rsid w:val="007A7009"/>
    <w:rsid w:val="007B56DF"/>
    <w:rsid w:val="007C0AAB"/>
    <w:rsid w:val="007C1ABD"/>
    <w:rsid w:val="007C3B32"/>
    <w:rsid w:val="007D67DB"/>
    <w:rsid w:val="007E2565"/>
    <w:rsid w:val="007E5956"/>
    <w:rsid w:val="007E5D60"/>
    <w:rsid w:val="008056C3"/>
    <w:rsid w:val="00807A42"/>
    <w:rsid w:val="00810B2C"/>
    <w:rsid w:val="00845C59"/>
    <w:rsid w:val="00851437"/>
    <w:rsid w:val="008538CE"/>
    <w:rsid w:val="008552E4"/>
    <w:rsid w:val="00856E3D"/>
    <w:rsid w:val="00865E2D"/>
    <w:rsid w:val="00870061"/>
    <w:rsid w:val="00871CA7"/>
    <w:rsid w:val="00871D63"/>
    <w:rsid w:val="008721CD"/>
    <w:rsid w:val="00872696"/>
    <w:rsid w:val="00884986"/>
    <w:rsid w:val="0089358F"/>
    <w:rsid w:val="00895A60"/>
    <w:rsid w:val="008A0DE3"/>
    <w:rsid w:val="008A3E0C"/>
    <w:rsid w:val="008A433A"/>
    <w:rsid w:val="008B5447"/>
    <w:rsid w:val="008C058E"/>
    <w:rsid w:val="008C51C4"/>
    <w:rsid w:val="008F7456"/>
    <w:rsid w:val="0090342C"/>
    <w:rsid w:val="0090494B"/>
    <w:rsid w:val="00905652"/>
    <w:rsid w:val="0094638E"/>
    <w:rsid w:val="0095162D"/>
    <w:rsid w:val="00955DAB"/>
    <w:rsid w:val="00957321"/>
    <w:rsid w:val="00957EC2"/>
    <w:rsid w:val="009607AB"/>
    <w:rsid w:val="00964158"/>
    <w:rsid w:val="009751AC"/>
    <w:rsid w:val="00975B74"/>
    <w:rsid w:val="00981A3D"/>
    <w:rsid w:val="009840B4"/>
    <w:rsid w:val="00986A83"/>
    <w:rsid w:val="00993753"/>
    <w:rsid w:val="00994D64"/>
    <w:rsid w:val="00995E57"/>
    <w:rsid w:val="00996C6F"/>
    <w:rsid w:val="009A3AE9"/>
    <w:rsid w:val="009A3B06"/>
    <w:rsid w:val="009B070C"/>
    <w:rsid w:val="009B283F"/>
    <w:rsid w:val="009B4CF2"/>
    <w:rsid w:val="009B6FE8"/>
    <w:rsid w:val="009C6AA1"/>
    <w:rsid w:val="009D19FE"/>
    <w:rsid w:val="009D3054"/>
    <w:rsid w:val="009D7098"/>
    <w:rsid w:val="009E2869"/>
    <w:rsid w:val="009F186D"/>
    <w:rsid w:val="009F29D0"/>
    <w:rsid w:val="00A22C31"/>
    <w:rsid w:val="00A25CB4"/>
    <w:rsid w:val="00A3505A"/>
    <w:rsid w:val="00A4510E"/>
    <w:rsid w:val="00A76395"/>
    <w:rsid w:val="00A8035A"/>
    <w:rsid w:val="00A86975"/>
    <w:rsid w:val="00A91AA7"/>
    <w:rsid w:val="00A92E1E"/>
    <w:rsid w:val="00A93419"/>
    <w:rsid w:val="00AA0AC5"/>
    <w:rsid w:val="00AA0D8F"/>
    <w:rsid w:val="00AC2106"/>
    <w:rsid w:val="00AC7C30"/>
    <w:rsid w:val="00AD23C2"/>
    <w:rsid w:val="00AD2A34"/>
    <w:rsid w:val="00AD4754"/>
    <w:rsid w:val="00AF2B86"/>
    <w:rsid w:val="00AF3A9E"/>
    <w:rsid w:val="00B01681"/>
    <w:rsid w:val="00B0171C"/>
    <w:rsid w:val="00B039B8"/>
    <w:rsid w:val="00B324F4"/>
    <w:rsid w:val="00B32E15"/>
    <w:rsid w:val="00B34DD2"/>
    <w:rsid w:val="00B405C1"/>
    <w:rsid w:val="00B40B16"/>
    <w:rsid w:val="00B433B9"/>
    <w:rsid w:val="00B43408"/>
    <w:rsid w:val="00B460E2"/>
    <w:rsid w:val="00B51387"/>
    <w:rsid w:val="00B566AD"/>
    <w:rsid w:val="00B64B58"/>
    <w:rsid w:val="00B706DD"/>
    <w:rsid w:val="00B70E00"/>
    <w:rsid w:val="00B70EA1"/>
    <w:rsid w:val="00B740D5"/>
    <w:rsid w:val="00B768F9"/>
    <w:rsid w:val="00B77788"/>
    <w:rsid w:val="00B85817"/>
    <w:rsid w:val="00B9773F"/>
    <w:rsid w:val="00BA5620"/>
    <w:rsid w:val="00BA5F71"/>
    <w:rsid w:val="00BB4EF7"/>
    <w:rsid w:val="00BB6B6B"/>
    <w:rsid w:val="00BC0C07"/>
    <w:rsid w:val="00BC31B8"/>
    <w:rsid w:val="00BD537F"/>
    <w:rsid w:val="00BF0A44"/>
    <w:rsid w:val="00BF7A50"/>
    <w:rsid w:val="00C02F09"/>
    <w:rsid w:val="00C07FB1"/>
    <w:rsid w:val="00C11B09"/>
    <w:rsid w:val="00C171B4"/>
    <w:rsid w:val="00C23414"/>
    <w:rsid w:val="00C26FAB"/>
    <w:rsid w:val="00C40FC4"/>
    <w:rsid w:val="00C50678"/>
    <w:rsid w:val="00C5795F"/>
    <w:rsid w:val="00C60BFC"/>
    <w:rsid w:val="00C70EEC"/>
    <w:rsid w:val="00C73E30"/>
    <w:rsid w:val="00C74F61"/>
    <w:rsid w:val="00C80D2F"/>
    <w:rsid w:val="00C83CAB"/>
    <w:rsid w:val="00C876F2"/>
    <w:rsid w:val="00C9001D"/>
    <w:rsid w:val="00C9469A"/>
    <w:rsid w:val="00C946B7"/>
    <w:rsid w:val="00C9720D"/>
    <w:rsid w:val="00CB369B"/>
    <w:rsid w:val="00CC23B5"/>
    <w:rsid w:val="00CC5F13"/>
    <w:rsid w:val="00CD7956"/>
    <w:rsid w:val="00D05C73"/>
    <w:rsid w:val="00D133A0"/>
    <w:rsid w:val="00D16D37"/>
    <w:rsid w:val="00D16D8A"/>
    <w:rsid w:val="00D2224E"/>
    <w:rsid w:val="00D24F3F"/>
    <w:rsid w:val="00D25E10"/>
    <w:rsid w:val="00D27227"/>
    <w:rsid w:val="00D35E18"/>
    <w:rsid w:val="00D4138F"/>
    <w:rsid w:val="00D441D0"/>
    <w:rsid w:val="00D442B6"/>
    <w:rsid w:val="00D457A2"/>
    <w:rsid w:val="00D50156"/>
    <w:rsid w:val="00D72FFF"/>
    <w:rsid w:val="00D77FF0"/>
    <w:rsid w:val="00D82ECE"/>
    <w:rsid w:val="00D860E0"/>
    <w:rsid w:val="00D9472B"/>
    <w:rsid w:val="00DA27B8"/>
    <w:rsid w:val="00DA7C04"/>
    <w:rsid w:val="00DB02C0"/>
    <w:rsid w:val="00DB1F81"/>
    <w:rsid w:val="00DB2013"/>
    <w:rsid w:val="00DB3F24"/>
    <w:rsid w:val="00DD618D"/>
    <w:rsid w:val="00DD6BFD"/>
    <w:rsid w:val="00DD7835"/>
    <w:rsid w:val="00DE2549"/>
    <w:rsid w:val="00DE38A3"/>
    <w:rsid w:val="00DF09AC"/>
    <w:rsid w:val="00DF1EBC"/>
    <w:rsid w:val="00DF472B"/>
    <w:rsid w:val="00E00CC6"/>
    <w:rsid w:val="00E0664B"/>
    <w:rsid w:val="00E10970"/>
    <w:rsid w:val="00E17FDB"/>
    <w:rsid w:val="00E2253A"/>
    <w:rsid w:val="00E24265"/>
    <w:rsid w:val="00E2605F"/>
    <w:rsid w:val="00E306C1"/>
    <w:rsid w:val="00E35101"/>
    <w:rsid w:val="00E6401E"/>
    <w:rsid w:val="00E64595"/>
    <w:rsid w:val="00E65326"/>
    <w:rsid w:val="00E664EB"/>
    <w:rsid w:val="00E725DF"/>
    <w:rsid w:val="00E77886"/>
    <w:rsid w:val="00E92F78"/>
    <w:rsid w:val="00E94CD2"/>
    <w:rsid w:val="00E96366"/>
    <w:rsid w:val="00EA040E"/>
    <w:rsid w:val="00EA25C8"/>
    <w:rsid w:val="00EA56B6"/>
    <w:rsid w:val="00EB1EDD"/>
    <w:rsid w:val="00EB206D"/>
    <w:rsid w:val="00EB317B"/>
    <w:rsid w:val="00EB6A37"/>
    <w:rsid w:val="00EC36BF"/>
    <w:rsid w:val="00ED7616"/>
    <w:rsid w:val="00ED788F"/>
    <w:rsid w:val="00EE1E5F"/>
    <w:rsid w:val="00EE2D2C"/>
    <w:rsid w:val="00EE557D"/>
    <w:rsid w:val="00EF1588"/>
    <w:rsid w:val="00EF52E0"/>
    <w:rsid w:val="00EF6565"/>
    <w:rsid w:val="00F00381"/>
    <w:rsid w:val="00F17B47"/>
    <w:rsid w:val="00F264D2"/>
    <w:rsid w:val="00F34FFE"/>
    <w:rsid w:val="00F37587"/>
    <w:rsid w:val="00F50635"/>
    <w:rsid w:val="00F65438"/>
    <w:rsid w:val="00F677D2"/>
    <w:rsid w:val="00F71835"/>
    <w:rsid w:val="00F770AA"/>
    <w:rsid w:val="00F84A82"/>
    <w:rsid w:val="00F9650F"/>
    <w:rsid w:val="00FA0A13"/>
    <w:rsid w:val="00FA6A86"/>
    <w:rsid w:val="00FB3FD0"/>
    <w:rsid w:val="00FC4E3B"/>
    <w:rsid w:val="00FD3845"/>
    <w:rsid w:val="00FD6806"/>
    <w:rsid w:val="00FD6A1A"/>
    <w:rsid w:val="00FE3545"/>
    <w:rsid w:val="00FE43D1"/>
    <w:rsid w:val="00FE6EB7"/>
    <w:rsid w:val="00FF790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91"/>
    <w:pPr>
      <w:spacing w:after="200" w:line="276" w:lineRule="auto"/>
    </w:pPr>
    <w:rPr>
      <w:sz w:val="22"/>
      <w:szCs w:val="22"/>
      <w:lang w:eastAsia="en-US"/>
    </w:rPr>
  </w:style>
  <w:style w:type="paragraph" w:styleId="Heading2">
    <w:name w:val="heading 2"/>
    <w:basedOn w:val="Normal"/>
    <w:next w:val="Normal"/>
    <w:link w:val="Heading2Char"/>
    <w:uiPriority w:val="99"/>
    <w:qFormat/>
    <w:rsid w:val="007C0AAB"/>
    <w:pPr>
      <w:keepNext/>
      <w:spacing w:after="0"/>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638E"/>
    <w:pPr>
      <w:ind w:left="720"/>
      <w:contextualSpacing/>
    </w:pPr>
  </w:style>
  <w:style w:type="table" w:styleId="TableGrid">
    <w:name w:val="Table Grid"/>
    <w:basedOn w:val="TableNormal"/>
    <w:uiPriority w:val="59"/>
    <w:rsid w:val="00E260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1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835"/>
  </w:style>
  <w:style w:type="paragraph" w:styleId="Footer">
    <w:name w:val="footer"/>
    <w:basedOn w:val="Normal"/>
    <w:link w:val="FooterChar"/>
    <w:uiPriority w:val="99"/>
    <w:unhideWhenUsed/>
    <w:rsid w:val="00F71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835"/>
  </w:style>
  <w:style w:type="paragraph" w:styleId="BalloonText">
    <w:name w:val="Balloon Text"/>
    <w:basedOn w:val="Normal"/>
    <w:link w:val="BalloonTextChar"/>
    <w:uiPriority w:val="99"/>
    <w:semiHidden/>
    <w:unhideWhenUsed/>
    <w:rsid w:val="00F71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835"/>
    <w:rPr>
      <w:rFonts w:ascii="Tahoma" w:hAnsi="Tahoma" w:cs="Tahoma"/>
      <w:sz w:val="16"/>
      <w:szCs w:val="16"/>
    </w:rPr>
  </w:style>
  <w:style w:type="paragraph" w:styleId="BodyText2">
    <w:name w:val="Body Text 2"/>
    <w:basedOn w:val="Normal"/>
    <w:link w:val="BodyText2Char"/>
    <w:rsid w:val="00AC2106"/>
    <w:pPr>
      <w:spacing w:after="120" w:line="480" w:lineRule="auto"/>
    </w:pPr>
  </w:style>
  <w:style w:type="character" w:customStyle="1" w:styleId="BodyText2Char">
    <w:name w:val="Body Text 2 Char"/>
    <w:basedOn w:val="DefaultParagraphFont"/>
    <w:link w:val="BodyText2"/>
    <w:rsid w:val="00AC2106"/>
    <w:rPr>
      <w:sz w:val="22"/>
      <w:szCs w:val="22"/>
      <w:lang w:eastAsia="en-US"/>
    </w:rPr>
  </w:style>
  <w:style w:type="character" w:styleId="CommentReference">
    <w:name w:val="annotation reference"/>
    <w:basedOn w:val="DefaultParagraphFont"/>
    <w:uiPriority w:val="99"/>
    <w:semiHidden/>
    <w:unhideWhenUsed/>
    <w:rsid w:val="00174D83"/>
    <w:rPr>
      <w:sz w:val="16"/>
      <w:szCs w:val="16"/>
    </w:rPr>
  </w:style>
  <w:style w:type="paragraph" w:styleId="CommentText">
    <w:name w:val="annotation text"/>
    <w:basedOn w:val="Normal"/>
    <w:link w:val="CommentTextChar"/>
    <w:uiPriority w:val="99"/>
    <w:semiHidden/>
    <w:unhideWhenUsed/>
    <w:rsid w:val="00174D83"/>
    <w:pPr>
      <w:spacing w:line="240" w:lineRule="auto"/>
    </w:pPr>
    <w:rPr>
      <w:sz w:val="20"/>
      <w:szCs w:val="20"/>
    </w:rPr>
  </w:style>
  <w:style w:type="character" w:customStyle="1" w:styleId="CommentTextChar">
    <w:name w:val="Comment Text Char"/>
    <w:basedOn w:val="DefaultParagraphFont"/>
    <w:link w:val="CommentText"/>
    <w:uiPriority w:val="99"/>
    <w:semiHidden/>
    <w:rsid w:val="00174D83"/>
    <w:rPr>
      <w:lang w:eastAsia="en-US"/>
    </w:rPr>
  </w:style>
  <w:style w:type="paragraph" w:styleId="CommentSubject">
    <w:name w:val="annotation subject"/>
    <w:basedOn w:val="CommentText"/>
    <w:next w:val="CommentText"/>
    <w:link w:val="CommentSubjectChar"/>
    <w:uiPriority w:val="99"/>
    <w:semiHidden/>
    <w:unhideWhenUsed/>
    <w:rsid w:val="00174D83"/>
    <w:rPr>
      <w:b/>
      <w:bCs/>
    </w:rPr>
  </w:style>
  <w:style w:type="character" w:customStyle="1" w:styleId="CommentSubjectChar">
    <w:name w:val="Comment Subject Char"/>
    <w:basedOn w:val="CommentTextChar"/>
    <w:link w:val="CommentSubject"/>
    <w:uiPriority w:val="99"/>
    <w:semiHidden/>
    <w:rsid w:val="00174D83"/>
    <w:rPr>
      <w:b/>
      <w:bCs/>
      <w:lang w:eastAsia="en-US"/>
    </w:rPr>
  </w:style>
  <w:style w:type="character" w:customStyle="1" w:styleId="Heading2Char">
    <w:name w:val="Heading 2 Char"/>
    <w:basedOn w:val="DefaultParagraphFont"/>
    <w:link w:val="Heading2"/>
    <w:uiPriority w:val="99"/>
    <w:rsid w:val="007C0AAB"/>
    <w:rPr>
      <w:rFonts w:ascii="Arial" w:hAnsi="Arial" w:cs="Arial"/>
      <w:b/>
      <w:bCs/>
      <w:sz w:val="24"/>
      <w:szCs w:val="24"/>
      <w:lang w:eastAsia="en-US"/>
    </w:rPr>
  </w:style>
  <w:style w:type="paragraph" w:customStyle="1" w:styleId="legtable">
    <w:name w:val="leg_table"/>
    <w:basedOn w:val="Normal"/>
    <w:next w:val="Normal"/>
    <w:uiPriority w:val="99"/>
    <w:rsid w:val="007C0AAB"/>
    <w:pPr>
      <w:spacing w:before="120" w:after="240" w:line="240" w:lineRule="auto"/>
      <w:jc w:val="center"/>
    </w:pPr>
    <w:rPr>
      <w:rFonts w:ascii="Times New Roman" w:hAnsi="Times New Roman"/>
      <w:b/>
      <w:sz w:val="24"/>
      <w:szCs w:val="24"/>
      <w:lang w:val="en-GB" w:eastAsia="fr-FR"/>
    </w:rPr>
  </w:style>
  <w:style w:type="paragraph" w:customStyle="1" w:styleId="TableCell">
    <w:name w:val="Table Cell"/>
    <w:basedOn w:val="Normal"/>
    <w:uiPriority w:val="99"/>
    <w:rsid w:val="007C0AAB"/>
    <w:pPr>
      <w:spacing w:after="0" w:line="240" w:lineRule="auto"/>
    </w:pPr>
    <w:rPr>
      <w:rFonts w:ascii="Times New Roman" w:hAnsi="Times New Roman"/>
      <w:sz w:val="16"/>
      <w:szCs w:val="16"/>
      <w:lang w:val="en-US"/>
    </w:rPr>
  </w:style>
  <w:style w:type="paragraph" w:customStyle="1" w:styleId="TableHead">
    <w:name w:val="Table Head"/>
    <w:basedOn w:val="Normal"/>
    <w:uiPriority w:val="99"/>
    <w:rsid w:val="007C0AAB"/>
    <w:pPr>
      <w:spacing w:before="20" w:after="20" w:line="240" w:lineRule="auto"/>
    </w:pPr>
    <w:rPr>
      <w:rFonts w:ascii="Times New Roman" w:eastAsia="Batang" w:hAnsi="Times New Roman"/>
      <w:b/>
      <w:bCs/>
      <w:sz w:val="16"/>
      <w:szCs w:val="16"/>
      <w:lang w:val="en-US" w:eastAsia="ja-JP"/>
    </w:rPr>
  </w:style>
</w:styles>
</file>

<file path=word/webSettings.xml><?xml version="1.0" encoding="utf-8"?>
<w:webSettings xmlns:r="http://schemas.openxmlformats.org/officeDocument/2006/relationships" xmlns:w="http://schemas.openxmlformats.org/wordprocessingml/2006/main">
  <w:divs>
    <w:div w:id="203418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3453-73A1-4BCF-BB2C-96041468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5782</Words>
  <Characters>33657</Characters>
  <Application>Microsoft Office Word</Application>
  <DocSecurity>0</DocSecurity>
  <Lines>1202</Lines>
  <Paragraphs>821</Paragraphs>
  <ScaleCrop>false</ScaleCrop>
  <HeadingPairs>
    <vt:vector size="2" baseType="variant">
      <vt:variant>
        <vt:lpstr>Title</vt:lpstr>
      </vt:variant>
      <vt:variant>
        <vt:i4>1</vt:i4>
      </vt:variant>
    </vt:vector>
  </HeadingPairs>
  <TitlesOfParts>
    <vt:vector size="1" baseType="lpstr">
      <vt:lpstr/>
    </vt:vector>
  </TitlesOfParts>
  <Company>Pierre Fabre Medicament Australia Pty Ltd</Company>
  <LinksUpToDate>false</LinksUpToDate>
  <CharactersWithSpaces>38618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Joncia</dc:title>
  <dc:subject>prescription medicine regulation</dc:subject>
  <dc:creator>Pierre Fabre Medicament Australia Pty Ltd</dc:creator>
  <cp:keywords>product information, prescription, medicine, regulation, joncia, milnacipran, hydrochloride, pierre, fabre, medicament, australia</cp:keywords>
  <cp:lastModifiedBy>Searson, Lisa</cp:lastModifiedBy>
  <cp:revision>2</cp:revision>
  <cp:lastPrinted>2011-11-02T05:53:00Z</cp:lastPrinted>
  <dcterms:created xsi:type="dcterms:W3CDTF">2014-01-21T01:19:00Z</dcterms:created>
  <dcterms:modified xsi:type="dcterms:W3CDTF">2014-01-21T01:19:00Z</dcterms:modified>
</cp:coreProperties>
</file>