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32797B" w:rsidP="00096AA7">
            <w:pPr>
              <w:rPr>
                <w:rFonts w:ascii="Arial" w:hAnsi="Arial" w:cs="Arial"/>
                <w:b/>
                <w:color w:val="002C47"/>
                <w:sz w:val="36"/>
                <w:szCs w:val="36"/>
              </w:rPr>
            </w:pPr>
            <w:r>
              <w:rPr>
                <w:rFonts w:ascii="Arial" w:hAnsi="Arial" w:cs="Arial"/>
                <w:b/>
                <w:color w:val="002C47"/>
                <w:sz w:val="36"/>
                <w:szCs w:val="36"/>
              </w:rPr>
              <w:t>August</w:t>
            </w:r>
            <w:r w:rsidR="008E2AAB">
              <w:rPr>
                <w:rFonts w:ascii="Arial" w:hAnsi="Arial" w:cs="Arial"/>
                <w:b/>
                <w:color w:val="002C47"/>
                <w:sz w:val="36"/>
                <w:szCs w:val="36"/>
              </w:rPr>
              <w:t xml:space="preserve"> </w:t>
            </w:r>
            <w:r w:rsidR="00D01F30">
              <w:rPr>
                <w:rFonts w:ascii="Arial" w:hAnsi="Arial" w:cs="Arial"/>
                <w:b/>
                <w:color w:val="002C47"/>
                <w:sz w:val="36"/>
                <w:szCs w:val="36"/>
              </w:rPr>
              <w:t>201</w:t>
            </w:r>
            <w:r w:rsidR="00135689">
              <w:rPr>
                <w:rFonts w:ascii="Arial" w:hAnsi="Arial" w:cs="Arial"/>
                <w:b/>
                <w:color w:val="002C47"/>
                <w:sz w:val="36"/>
                <w:szCs w:val="36"/>
              </w:rPr>
              <w:t>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463E4E">
              <w:rPr>
                <w:color w:val="FFFFFF" w:themeColor="background1"/>
              </w:rPr>
              <w:t xml:space="preserve">blic Assessment Report for </w:t>
            </w:r>
            <w:r w:rsidR="00463E4E" w:rsidRPr="00463E4E">
              <w:rPr>
                <w:color w:val="FFFFFF" w:themeColor="background1"/>
              </w:rPr>
              <w:t>migalastat</w:t>
            </w:r>
          </w:p>
        </w:tc>
      </w:tr>
      <w:tr w:rsidR="0032583B" w:rsidRPr="00B64760" w:rsidTr="0032583B">
        <w:tc>
          <w:tcPr>
            <w:tcW w:w="9079" w:type="dxa"/>
          </w:tcPr>
          <w:p w:rsidR="0032583B" w:rsidRPr="008E7846" w:rsidRDefault="00463E4E" w:rsidP="0032583B">
            <w:pPr>
              <w:pStyle w:val="Subtitle"/>
              <w:rPr>
                <w:color w:val="FFFFFF" w:themeColor="background1"/>
              </w:rPr>
            </w:pPr>
            <w:r>
              <w:rPr>
                <w:color w:val="FFFFFF" w:themeColor="background1"/>
              </w:rPr>
              <w:t>Proprietary Product Name: Galafold</w:t>
            </w:r>
          </w:p>
        </w:tc>
      </w:tr>
      <w:tr w:rsidR="0032583B" w:rsidRPr="00B64760" w:rsidTr="0032583B">
        <w:trPr>
          <w:trHeight w:val="486"/>
        </w:trPr>
        <w:tc>
          <w:tcPr>
            <w:tcW w:w="9079" w:type="dxa"/>
          </w:tcPr>
          <w:p w:rsidR="0032583B" w:rsidRPr="008E7846" w:rsidRDefault="00463E4E" w:rsidP="0032583B">
            <w:pPr>
              <w:pStyle w:val="Subtitle"/>
              <w:rPr>
                <w:color w:val="FFFFFF" w:themeColor="background1"/>
              </w:rPr>
            </w:pPr>
            <w:r>
              <w:rPr>
                <w:color w:val="FFFFFF" w:themeColor="background1"/>
              </w:rPr>
              <w:t xml:space="preserve">Sponsor: </w:t>
            </w:r>
            <w:r w:rsidR="006E692C" w:rsidRPr="006E692C">
              <w:rPr>
                <w:color w:val="FFFFFF" w:themeColor="background1"/>
              </w:rPr>
              <w:t>Amicus Therapeutics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w:t>
      </w:r>
      <w:r w:rsidR="00704F81">
        <w:t>t the evaluation of a prescripti</w:t>
      </w:r>
      <w:r>
        <w:t>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bookmarkStart w:id="0" w:name="_GoBack"/>
      <w:bookmarkEnd w:id="0"/>
    </w:p>
    <w:p w:rsidR="00924482" w:rsidRDefault="00924482" w:rsidP="00924482">
      <w:pPr>
        <w:pStyle w:val="LegalCopy"/>
      </w:pPr>
      <w:r w:rsidRPr="00191B3B">
        <w:rPr>
          <w:rFonts w:cs="Arial"/>
          <w:lang w:val="en-GB"/>
        </w:rPr>
        <w:t>© Comm</w:t>
      </w:r>
      <w:r>
        <w:rPr>
          <w:rFonts w:cs="Arial"/>
          <w:lang w:val="en-GB"/>
        </w:rPr>
        <w:t>onwealth of Australia 201</w:t>
      </w:r>
      <w:r w:rsidR="00D31393">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6032A"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24949239" w:history="1">
            <w:r w:rsidR="00A6032A" w:rsidRPr="00D76205">
              <w:rPr>
                <w:rStyle w:val="Hyperlink"/>
                <w:noProof/>
              </w:rPr>
              <w:t>Common abbreviations</w:t>
            </w:r>
            <w:r w:rsidR="00A6032A">
              <w:rPr>
                <w:noProof/>
                <w:webHidden/>
              </w:rPr>
              <w:tab/>
            </w:r>
            <w:r w:rsidR="00A6032A">
              <w:rPr>
                <w:noProof/>
                <w:webHidden/>
              </w:rPr>
              <w:fldChar w:fldCharType="begin"/>
            </w:r>
            <w:r w:rsidR="00A6032A">
              <w:rPr>
                <w:noProof/>
                <w:webHidden/>
              </w:rPr>
              <w:instrText xml:space="preserve"> PAGEREF _Toc524949239 \h </w:instrText>
            </w:r>
            <w:r w:rsidR="00A6032A">
              <w:rPr>
                <w:noProof/>
                <w:webHidden/>
              </w:rPr>
            </w:r>
            <w:r w:rsidR="00A6032A">
              <w:rPr>
                <w:noProof/>
                <w:webHidden/>
              </w:rPr>
              <w:fldChar w:fldCharType="separate"/>
            </w:r>
            <w:r w:rsidR="00A6032A">
              <w:rPr>
                <w:noProof/>
                <w:webHidden/>
              </w:rPr>
              <w:t>5</w:t>
            </w:r>
            <w:r w:rsidR="00A6032A">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40" w:history="1">
            <w:r w:rsidRPr="00D76205">
              <w:rPr>
                <w:rStyle w:val="Hyperlink"/>
                <w:noProof/>
              </w:rPr>
              <w:t>I. Introduction to product submission</w:t>
            </w:r>
            <w:r>
              <w:rPr>
                <w:noProof/>
                <w:webHidden/>
              </w:rPr>
              <w:tab/>
            </w:r>
            <w:r>
              <w:rPr>
                <w:noProof/>
                <w:webHidden/>
              </w:rPr>
              <w:fldChar w:fldCharType="begin"/>
            </w:r>
            <w:r>
              <w:rPr>
                <w:noProof/>
                <w:webHidden/>
              </w:rPr>
              <w:instrText xml:space="preserve"> PAGEREF _Toc524949240 \h </w:instrText>
            </w:r>
            <w:r>
              <w:rPr>
                <w:noProof/>
                <w:webHidden/>
              </w:rPr>
            </w:r>
            <w:r>
              <w:rPr>
                <w:noProof/>
                <w:webHidden/>
              </w:rPr>
              <w:fldChar w:fldCharType="separate"/>
            </w:r>
            <w:r>
              <w:rPr>
                <w:noProof/>
                <w:webHidden/>
              </w:rPr>
              <w:t>9</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1" w:history="1">
            <w:r w:rsidRPr="00D76205">
              <w:rPr>
                <w:rStyle w:val="Hyperlink"/>
                <w:noProof/>
                <w:lang w:eastAsia="en-AU"/>
              </w:rPr>
              <w:t>Submission details</w:t>
            </w:r>
            <w:r>
              <w:rPr>
                <w:noProof/>
                <w:webHidden/>
              </w:rPr>
              <w:tab/>
            </w:r>
            <w:r>
              <w:rPr>
                <w:noProof/>
                <w:webHidden/>
              </w:rPr>
              <w:fldChar w:fldCharType="begin"/>
            </w:r>
            <w:r>
              <w:rPr>
                <w:noProof/>
                <w:webHidden/>
              </w:rPr>
              <w:instrText xml:space="preserve"> PAGEREF _Toc524949241 \h </w:instrText>
            </w:r>
            <w:r>
              <w:rPr>
                <w:noProof/>
                <w:webHidden/>
              </w:rPr>
            </w:r>
            <w:r>
              <w:rPr>
                <w:noProof/>
                <w:webHidden/>
              </w:rPr>
              <w:fldChar w:fldCharType="separate"/>
            </w:r>
            <w:r>
              <w:rPr>
                <w:noProof/>
                <w:webHidden/>
              </w:rPr>
              <w:t>9</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2" w:history="1">
            <w:r w:rsidRPr="00D76205">
              <w:rPr>
                <w:rStyle w:val="Hyperlink"/>
                <w:noProof/>
              </w:rPr>
              <w:t>Product background</w:t>
            </w:r>
            <w:r>
              <w:rPr>
                <w:noProof/>
                <w:webHidden/>
              </w:rPr>
              <w:tab/>
            </w:r>
            <w:r>
              <w:rPr>
                <w:noProof/>
                <w:webHidden/>
              </w:rPr>
              <w:fldChar w:fldCharType="begin"/>
            </w:r>
            <w:r>
              <w:rPr>
                <w:noProof/>
                <w:webHidden/>
              </w:rPr>
              <w:instrText xml:space="preserve"> PAGEREF _Toc524949242 \h </w:instrText>
            </w:r>
            <w:r>
              <w:rPr>
                <w:noProof/>
                <w:webHidden/>
              </w:rPr>
            </w:r>
            <w:r>
              <w:rPr>
                <w:noProof/>
                <w:webHidden/>
              </w:rPr>
              <w:fldChar w:fldCharType="separate"/>
            </w:r>
            <w:r>
              <w:rPr>
                <w:noProof/>
                <w:webHidden/>
              </w:rPr>
              <w:t>9</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3" w:history="1">
            <w:r w:rsidRPr="00D76205">
              <w:rPr>
                <w:rStyle w:val="Hyperlink"/>
                <w:noProof/>
              </w:rPr>
              <w:t>Regulatory status</w:t>
            </w:r>
            <w:r>
              <w:rPr>
                <w:noProof/>
                <w:webHidden/>
              </w:rPr>
              <w:tab/>
            </w:r>
            <w:r>
              <w:rPr>
                <w:noProof/>
                <w:webHidden/>
              </w:rPr>
              <w:fldChar w:fldCharType="begin"/>
            </w:r>
            <w:r>
              <w:rPr>
                <w:noProof/>
                <w:webHidden/>
              </w:rPr>
              <w:instrText xml:space="preserve"> PAGEREF _Toc524949243 \h </w:instrText>
            </w:r>
            <w:r>
              <w:rPr>
                <w:noProof/>
                <w:webHidden/>
              </w:rPr>
            </w:r>
            <w:r>
              <w:rPr>
                <w:noProof/>
                <w:webHidden/>
              </w:rPr>
              <w:fldChar w:fldCharType="separate"/>
            </w:r>
            <w:r>
              <w:rPr>
                <w:noProof/>
                <w:webHidden/>
              </w:rPr>
              <w:t>10</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4" w:history="1">
            <w:r w:rsidRPr="00D76205">
              <w:rPr>
                <w:rStyle w:val="Hyperlink"/>
                <w:noProof/>
              </w:rPr>
              <w:t>Product Information</w:t>
            </w:r>
            <w:r>
              <w:rPr>
                <w:noProof/>
                <w:webHidden/>
              </w:rPr>
              <w:tab/>
            </w:r>
            <w:r>
              <w:rPr>
                <w:noProof/>
                <w:webHidden/>
              </w:rPr>
              <w:fldChar w:fldCharType="begin"/>
            </w:r>
            <w:r>
              <w:rPr>
                <w:noProof/>
                <w:webHidden/>
              </w:rPr>
              <w:instrText xml:space="preserve"> PAGEREF _Toc524949244 \h </w:instrText>
            </w:r>
            <w:r>
              <w:rPr>
                <w:noProof/>
                <w:webHidden/>
              </w:rPr>
            </w:r>
            <w:r>
              <w:rPr>
                <w:noProof/>
                <w:webHidden/>
              </w:rPr>
              <w:fldChar w:fldCharType="separate"/>
            </w:r>
            <w:r>
              <w:rPr>
                <w:noProof/>
                <w:webHidden/>
              </w:rPr>
              <w:t>11</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45" w:history="1">
            <w:r w:rsidRPr="00D76205">
              <w:rPr>
                <w:rStyle w:val="Hyperlink"/>
                <w:noProof/>
              </w:rPr>
              <w:t>II. Registration timeline</w:t>
            </w:r>
            <w:r>
              <w:rPr>
                <w:noProof/>
                <w:webHidden/>
              </w:rPr>
              <w:tab/>
            </w:r>
            <w:r>
              <w:rPr>
                <w:noProof/>
                <w:webHidden/>
              </w:rPr>
              <w:fldChar w:fldCharType="begin"/>
            </w:r>
            <w:r>
              <w:rPr>
                <w:noProof/>
                <w:webHidden/>
              </w:rPr>
              <w:instrText xml:space="preserve"> PAGEREF _Toc524949245 \h </w:instrText>
            </w:r>
            <w:r>
              <w:rPr>
                <w:noProof/>
                <w:webHidden/>
              </w:rPr>
            </w:r>
            <w:r>
              <w:rPr>
                <w:noProof/>
                <w:webHidden/>
              </w:rPr>
              <w:fldChar w:fldCharType="separate"/>
            </w:r>
            <w:r>
              <w:rPr>
                <w:noProof/>
                <w:webHidden/>
              </w:rPr>
              <w:t>11</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46" w:history="1">
            <w:r w:rsidRPr="00D76205">
              <w:rPr>
                <w:rStyle w:val="Hyperlink"/>
                <w:noProof/>
              </w:rPr>
              <w:t>III. Quality findings</w:t>
            </w:r>
            <w:r>
              <w:rPr>
                <w:noProof/>
                <w:webHidden/>
              </w:rPr>
              <w:tab/>
            </w:r>
            <w:r>
              <w:rPr>
                <w:noProof/>
                <w:webHidden/>
              </w:rPr>
              <w:fldChar w:fldCharType="begin"/>
            </w:r>
            <w:r>
              <w:rPr>
                <w:noProof/>
                <w:webHidden/>
              </w:rPr>
              <w:instrText xml:space="preserve"> PAGEREF _Toc524949246 \h </w:instrText>
            </w:r>
            <w:r>
              <w:rPr>
                <w:noProof/>
                <w:webHidden/>
              </w:rPr>
            </w:r>
            <w:r>
              <w:rPr>
                <w:noProof/>
                <w:webHidden/>
              </w:rPr>
              <w:fldChar w:fldCharType="separate"/>
            </w:r>
            <w:r>
              <w:rPr>
                <w:noProof/>
                <w:webHidden/>
              </w:rPr>
              <w:t>11</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7" w:history="1">
            <w:r w:rsidRPr="00D76205">
              <w:rPr>
                <w:rStyle w:val="Hyperlink"/>
                <w:noProof/>
              </w:rPr>
              <w:t>Introduction</w:t>
            </w:r>
            <w:r>
              <w:rPr>
                <w:noProof/>
                <w:webHidden/>
              </w:rPr>
              <w:tab/>
            </w:r>
            <w:r>
              <w:rPr>
                <w:noProof/>
                <w:webHidden/>
              </w:rPr>
              <w:fldChar w:fldCharType="begin"/>
            </w:r>
            <w:r>
              <w:rPr>
                <w:noProof/>
                <w:webHidden/>
              </w:rPr>
              <w:instrText xml:space="preserve"> PAGEREF _Toc524949247 \h </w:instrText>
            </w:r>
            <w:r>
              <w:rPr>
                <w:noProof/>
                <w:webHidden/>
              </w:rPr>
            </w:r>
            <w:r>
              <w:rPr>
                <w:noProof/>
                <w:webHidden/>
              </w:rPr>
              <w:fldChar w:fldCharType="separate"/>
            </w:r>
            <w:r>
              <w:rPr>
                <w:noProof/>
                <w:webHidden/>
              </w:rPr>
              <w:t>11</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8" w:history="1">
            <w:r w:rsidRPr="00D76205">
              <w:rPr>
                <w:rStyle w:val="Hyperlink"/>
                <w:noProof/>
              </w:rPr>
              <w:t>Drug substance</w:t>
            </w:r>
            <w:r>
              <w:rPr>
                <w:noProof/>
                <w:webHidden/>
              </w:rPr>
              <w:tab/>
            </w:r>
            <w:r>
              <w:rPr>
                <w:noProof/>
                <w:webHidden/>
              </w:rPr>
              <w:fldChar w:fldCharType="begin"/>
            </w:r>
            <w:r>
              <w:rPr>
                <w:noProof/>
                <w:webHidden/>
              </w:rPr>
              <w:instrText xml:space="preserve"> PAGEREF _Toc524949248 \h </w:instrText>
            </w:r>
            <w:r>
              <w:rPr>
                <w:noProof/>
                <w:webHidden/>
              </w:rPr>
            </w:r>
            <w:r>
              <w:rPr>
                <w:noProof/>
                <w:webHidden/>
              </w:rPr>
              <w:fldChar w:fldCharType="separate"/>
            </w:r>
            <w:r>
              <w:rPr>
                <w:noProof/>
                <w:webHidden/>
              </w:rPr>
              <w:t>12</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49" w:history="1">
            <w:r w:rsidRPr="00D76205">
              <w:rPr>
                <w:rStyle w:val="Hyperlink"/>
                <w:noProof/>
              </w:rPr>
              <w:t>Drug product</w:t>
            </w:r>
            <w:r>
              <w:rPr>
                <w:noProof/>
                <w:webHidden/>
              </w:rPr>
              <w:tab/>
            </w:r>
            <w:r>
              <w:rPr>
                <w:noProof/>
                <w:webHidden/>
              </w:rPr>
              <w:fldChar w:fldCharType="begin"/>
            </w:r>
            <w:r>
              <w:rPr>
                <w:noProof/>
                <w:webHidden/>
              </w:rPr>
              <w:instrText xml:space="preserve"> PAGEREF _Toc524949249 \h </w:instrText>
            </w:r>
            <w:r>
              <w:rPr>
                <w:noProof/>
                <w:webHidden/>
              </w:rPr>
            </w:r>
            <w:r>
              <w:rPr>
                <w:noProof/>
                <w:webHidden/>
              </w:rPr>
              <w:fldChar w:fldCharType="separate"/>
            </w:r>
            <w:r>
              <w:rPr>
                <w:noProof/>
                <w:webHidden/>
              </w:rPr>
              <w:t>12</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0" w:history="1">
            <w:r w:rsidRPr="00D76205">
              <w:rPr>
                <w:rStyle w:val="Hyperlink"/>
                <w:noProof/>
              </w:rPr>
              <w:t>Biopharmaceutics</w:t>
            </w:r>
            <w:r>
              <w:rPr>
                <w:noProof/>
                <w:webHidden/>
              </w:rPr>
              <w:tab/>
            </w:r>
            <w:r>
              <w:rPr>
                <w:noProof/>
                <w:webHidden/>
              </w:rPr>
              <w:fldChar w:fldCharType="begin"/>
            </w:r>
            <w:r>
              <w:rPr>
                <w:noProof/>
                <w:webHidden/>
              </w:rPr>
              <w:instrText xml:space="preserve"> PAGEREF _Toc524949250 \h </w:instrText>
            </w:r>
            <w:r>
              <w:rPr>
                <w:noProof/>
                <w:webHidden/>
              </w:rPr>
            </w:r>
            <w:r>
              <w:rPr>
                <w:noProof/>
                <w:webHidden/>
              </w:rPr>
              <w:fldChar w:fldCharType="separate"/>
            </w:r>
            <w:r>
              <w:rPr>
                <w:noProof/>
                <w:webHidden/>
              </w:rPr>
              <w:t>12</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1" w:history="1">
            <w:r w:rsidRPr="00D76205">
              <w:rPr>
                <w:rStyle w:val="Hyperlink"/>
                <w:noProof/>
              </w:rPr>
              <w:t>Quality summary and conclusions</w:t>
            </w:r>
            <w:r>
              <w:rPr>
                <w:noProof/>
                <w:webHidden/>
              </w:rPr>
              <w:tab/>
            </w:r>
            <w:r>
              <w:rPr>
                <w:noProof/>
                <w:webHidden/>
              </w:rPr>
              <w:fldChar w:fldCharType="begin"/>
            </w:r>
            <w:r>
              <w:rPr>
                <w:noProof/>
                <w:webHidden/>
              </w:rPr>
              <w:instrText xml:space="preserve"> PAGEREF _Toc524949251 \h </w:instrText>
            </w:r>
            <w:r>
              <w:rPr>
                <w:noProof/>
                <w:webHidden/>
              </w:rPr>
            </w:r>
            <w:r>
              <w:rPr>
                <w:noProof/>
                <w:webHidden/>
              </w:rPr>
              <w:fldChar w:fldCharType="separate"/>
            </w:r>
            <w:r>
              <w:rPr>
                <w:noProof/>
                <w:webHidden/>
              </w:rPr>
              <w:t>13</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52" w:history="1">
            <w:r w:rsidRPr="00D76205">
              <w:rPr>
                <w:rStyle w:val="Hyperlink"/>
                <w:noProof/>
              </w:rPr>
              <w:t>IV. Nonclinical findings</w:t>
            </w:r>
            <w:r>
              <w:rPr>
                <w:noProof/>
                <w:webHidden/>
              </w:rPr>
              <w:tab/>
            </w:r>
            <w:r>
              <w:rPr>
                <w:noProof/>
                <w:webHidden/>
              </w:rPr>
              <w:fldChar w:fldCharType="begin"/>
            </w:r>
            <w:r>
              <w:rPr>
                <w:noProof/>
                <w:webHidden/>
              </w:rPr>
              <w:instrText xml:space="preserve"> PAGEREF _Toc524949252 \h </w:instrText>
            </w:r>
            <w:r>
              <w:rPr>
                <w:noProof/>
                <w:webHidden/>
              </w:rPr>
            </w:r>
            <w:r>
              <w:rPr>
                <w:noProof/>
                <w:webHidden/>
              </w:rPr>
              <w:fldChar w:fldCharType="separate"/>
            </w:r>
            <w:r>
              <w:rPr>
                <w:noProof/>
                <w:webHidden/>
              </w:rPr>
              <w:t>13</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3" w:history="1">
            <w:r w:rsidRPr="00D76205">
              <w:rPr>
                <w:rStyle w:val="Hyperlink"/>
                <w:noProof/>
              </w:rPr>
              <w:t>Introduction</w:t>
            </w:r>
            <w:r>
              <w:rPr>
                <w:noProof/>
                <w:webHidden/>
              </w:rPr>
              <w:tab/>
            </w:r>
            <w:r>
              <w:rPr>
                <w:noProof/>
                <w:webHidden/>
              </w:rPr>
              <w:fldChar w:fldCharType="begin"/>
            </w:r>
            <w:r>
              <w:rPr>
                <w:noProof/>
                <w:webHidden/>
              </w:rPr>
              <w:instrText xml:space="preserve"> PAGEREF _Toc524949253 \h </w:instrText>
            </w:r>
            <w:r>
              <w:rPr>
                <w:noProof/>
                <w:webHidden/>
              </w:rPr>
            </w:r>
            <w:r>
              <w:rPr>
                <w:noProof/>
                <w:webHidden/>
              </w:rPr>
              <w:fldChar w:fldCharType="separate"/>
            </w:r>
            <w:r>
              <w:rPr>
                <w:noProof/>
                <w:webHidden/>
              </w:rPr>
              <w:t>13</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4" w:history="1">
            <w:r w:rsidRPr="00D76205">
              <w:rPr>
                <w:rStyle w:val="Hyperlink"/>
                <w:noProof/>
              </w:rPr>
              <w:t>Pharmacology</w:t>
            </w:r>
            <w:r>
              <w:rPr>
                <w:noProof/>
                <w:webHidden/>
              </w:rPr>
              <w:tab/>
            </w:r>
            <w:r>
              <w:rPr>
                <w:noProof/>
                <w:webHidden/>
              </w:rPr>
              <w:fldChar w:fldCharType="begin"/>
            </w:r>
            <w:r>
              <w:rPr>
                <w:noProof/>
                <w:webHidden/>
              </w:rPr>
              <w:instrText xml:space="preserve"> PAGEREF _Toc524949254 \h </w:instrText>
            </w:r>
            <w:r>
              <w:rPr>
                <w:noProof/>
                <w:webHidden/>
              </w:rPr>
            </w:r>
            <w:r>
              <w:rPr>
                <w:noProof/>
                <w:webHidden/>
              </w:rPr>
              <w:fldChar w:fldCharType="separate"/>
            </w:r>
            <w:r>
              <w:rPr>
                <w:noProof/>
                <w:webHidden/>
              </w:rPr>
              <w:t>14</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5" w:history="1">
            <w:r w:rsidRPr="00D76205">
              <w:rPr>
                <w:rStyle w:val="Hyperlink"/>
                <w:noProof/>
              </w:rPr>
              <w:t>Pharmacokinetics</w:t>
            </w:r>
            <w:r>
              <w:rPr>
                <w:noProof/>
                <w:webHidden/>
              </w:rPr>
              <w:tab/>
            </w:r>
            <w:r>
              <w:rPr>
                <w:noProof/>
                <w:webHidden/>
              </w:rPr>
              <w:fldChar w:fldCharType="begin"/>
            </w:r>
            <w:r>
              <w:rPr>
                <w:noProof/>
                <w:webHidden/>
              </w:rPr>
              <w:instrText xml:space="preserve"> PAGEREF _Toc524949255 \h </w:instrText>
            </w:r>
            <w:r>
              <w:rPr>
                <w:noProof/>
                <w:webHidden/>
              </w:rPr>
            </w:r>
            <w:r>
              <w:rPr>
                <w:noProof/>
                <w:webHidden/>
              </w:rPr>
              <w:fldChar w:fldCharType="separate"/>
            </w:r>
            <w:r>
              <w:rPr>
                <w:noProof/>
                <w:webHidden/>
              </w:rPr>
              <w:t>16</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6" w:history="1">
            <w:r w:rsidRPr="00D76205">
              <w:rPr>
                <w:rStyle w:val="Hyperlink"/>
                <w:noProof/>
              </w:rPr>
              <w:t>Toxicology</w:t>
            </w:r>
            <w:r>
              <w:rPr>
                <w:noProof/>
                <w:webHidden/>
              </w:rPr>
              <w:tab/>
            </w:r>
            <w:r>
              <w:rPr>
                <w:noProof/>
                <w:webHidden/>
              </w:rPr>
              <w:fldChar w:fldCharType="begin"/>
            </w:r>
            <w:r>
              <w:rPr>
                <w:noProof/>
                <w:webHidden/>
              </w:rPr>
              <w:instrText xml:space="preserve"> PAGEREF _Toc524949256 \h </w:instrText>
            </w:r>
            <w:r>
              <w:rPr>
                <w:noProof/>
                <w:webHidden/>
              </w:rPr>
            </w:r>
            <w:r>
              <w:rPr>
                <w:noProof/>
                <w:webHidden/>
              </w:rPr>
              <w:fldChar w:fldCharType="separate"/>
            </w:r>
            <w:r>
              <w:rPr>
                <w:noProof/>
                <w:webHidden/>
              </w:rPr>
              <w:t>17</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7" w:history="1">
            <w:r w:rsidRPr="00D76205">
              <w:rPr>
                <w:rStyle w:val="Hyperlink"/>
                <w:noProof/>
              </w:rPr>
              <w:t>Nonclinical summary and conclusions</w:t>
            </w:r>
            <w:r>
              <w:rPr>
                <w:noProof/>
                <w:webHidden/>
              </w:rPr>
              <w:tab/>
            </w:r>
            <w:r>
              <w:rPr>
                <w:noProof/>
                <w:webHidden/>
              </w:rPr>
              <w:fldChar w:fldCharType="begin"/>
            </w:r>
            <w:r>
              <w:rPr>
                <w:noProof/>
                <w:webHidden/>
              </w:rPr>
              <w:instrText xml:space="preserve"> PAGEREF _Toc524949257 \h </w:instrText>
            </w:r>
            <w:r>
              <w:rPr>
                <w:noProof/>
                <w:webHidden/>
              </w:rPr>
            </w:r>
            <w:r>
              <w:rPr>
                <w:noProof/>
                <w:webHidden/>
              </w:rPr>
              <w:fldChar w:fldCharType="separate"/>
            </w:r>
            <w:r>
              <w:rPr>
                <w:noProof/>
                <w:webHidden/>
              </w:rPr>
              <w:t>23</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58" w:history="1">
            <w:r w:rsidRPr="00D76205">
              <w:rPr>
                <w:rStyle w:val="Hyperlink"/>
                <w:noProof/>
              </w:rPr>
              <w:t>V. Clinical findings</w:t>
            </w:r>
            <w:r>
              <w:rPr>
                <w:noProof/>
                <w:webHidden/>
              </w:rPr>
              <w:tab/>
            </w:r>
            <w:r>
              <w:rPr>
                <w:noProof/>
                <w:webHidden/>
              </w:rPr>
              <w:fldChar w:fldCharType="begin"/>
            </w:r>
            <w:r>
              <w:rPr>
                <w:noProof/>
                <w:webHidden/>
              </w:rPr>
              <w:instrText xml:space="preserve"> PAGEREF _Toc524949258 \h </w:instrText>
            </w:r>
            <w:r>
              <w:rPr>
                <w:noProof/>
                <w:webHidden/>
              </w:rPr>
            </w:r>
            <w:r>
              <w:rPr>
                <w:noProof/>
                <w:webHidden/>
              </w:rPr>
              <w:fldChar w:fldCharType="separate"/>
            </w:r>
            <w:r>
              <w:rPr>
                <w:noProof/>
                <w:webHidden/>
              </w:rPr>
              <w:t>25</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59" w:history="1">
            <w:r w:rsidRPr="00D76205">
              <w:rPr>
                <w:rStyle w:val="Hyperlink"/>
                <w:noProof/>
              </w:rPr>
              <w:t>Introduction</w:t>
            </w:r>
            <w:r>
              <w:rPr>
                <w:noProof/>
                <w:webHidden/>
              </w:rPr>
              <w:tab/>
            </w:r>
            <w:r>
              <w:rPr>
                <w:noProof/>
                <w:webHidden/>
              </w:rPr>
              <w:fldChar w:fldCharType="begin"/>
            </w:r>
            <w:r>
              <w:rPr>
                <w:noProof/>
                <w:webHidden/>
              </w:rPr>
              <w:instrText xml:space="preserve"> PAGEREF _Toc524949259 \h </w:instrText>
            </w:r>
            <w:r>
              <w:rPr>
                <w:noProof/>
                <w:webHidden/>
              </w:rPr>
            </w:r>
            <w:r>
              <w:rPr>
                <w:noProof/>
                <w:webHidden/>
              </w:rPr>
              <w:fldChar w:fldCharType="separate"/>
            </w:r>
            <w:r>
              <w:rPr>
                <w:noProof/>
                <w:webHidden/>
              </w:rPr>
              <w:t>26</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0" w:history="1">
            <w:r w:rsidRPr="00D76205">
              <w:rPr>
                <w:rStyle w:val="Hyperlink"/>
                <w:noProof/>
              </w:rPr>
              <w:t>Pharmacokinetics</w:t>
            </w:r>
            <w:r>
              <w:rPr>
                <w:noProof/>
                <w:webHidden/>
              </w:rPr>
              <w:tab/>
            </w:r>
            <w:r>
              <w:rPr>
                <w:noProof/>
                <w:webHidden/>
              </w:rPr>
              <w:fldChar w:fldCharType="begin"/>
            </w:r>
            <w:r>
              <w:rPr>
                <w:noProof/>
                <w:webHidden/>
              </w:rPr>
              <w:instrText xml:space="preserve"> PAGEREF _Toc524949260 \h </w:instrText>
            </w:r>
            <w:r>
              <w:rPr>
                <w:noProof/>
                <w:webHidden/>
              </w:rPr>
            </w:r>
            <w:r>
              <w:rPr>
                <w:noProof/>
                <w:webHidden/>
              </w:rPr>
              <w:fldChar w:fldCharType="separate"/>
            </w:r>
            <w:r>
              <w:rPr>
                <w:noProof/>
                <w:webHidden/>
              </w:rPr>
              <w:t>28</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1" w:history="1">
            <w:r w:rsidRPr="00D76205">
              <w:rPr>
                <w:rStyle w:val="Hyperlink"/>
                <w:noProof/>
              </w:rPr>
              <w:t>Pharmacodynamics</w:t>
            </w:r>
            <w:r>
              <w:rPr>
                <w:noProof/>
                <w:webHidden/>
              </w:rPr>
              <w:tab/>
            </w:r>
            <w:r>
              <w:rPr>
                <w:noProof/>
                <w:webHidden/>
              </w:rPr>
              <w:fldChar w:fldCharType="begin"/>
            </w:r>
            <w:r>
              <w:rPr>
                <w:noProof/>
                <w:webHidden/>
              </w:rPr>
              <w:instrText xml:space="preserve"> PAGEREF _Toc524949261 \h </w:instrText>
            </w:r>
            <w:r>
              <w:rPr>
                <w:noProof/>
                <w:webHidden/>
              </w:rPr>
            </w:r>
            <w:r>
              <w:rPr>
                <w:noProof/>
                <w:webHidden/>
              </w:rPr>
              <w:fldChar w:fldCharType="separate"/>
            </w:r>
            <w:r>
              <w:rPr>
                <w:noProof/>
                <w:webHidden/>
              </w:rPr>
              <w:t>33</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2" w:history="1">
            <w:r w:rsidRPr="00D76205">
              <w:rPr>
                <w:rStyle w:val="Hyperlink"/>
                <w:noProof/>
              </w:rPr>
              <w:t>Dosage selection for the pivotal studies</w:t>
            </w:r>
            <w:r>
              <w:rPr>
                <w:noProof/>
                <w:webHidden/>
              </w:rPr>
              <w:tab/>
            </w:r>
            <w:r>
              <w:rPr>
                <w:noProof/>
                <w:webHidden/>
              </w:rPr>
              <w:fldChar w:fldCharType="begin"/>
            </w:r>
            <w:r>
              <w:rPr>
                <w:noProof/>
                <w:webHidden/>
              </w:rPr>
              <w:instrText xml:space="preserve"> PAGEREF _Toc524949262 \h </w:instrText>
            </w:r>
            <w:r>
              <w:rPr>
                <w:noProof/>
                <w:webHidden/>
              </w:rPr>
            </w:r>
            <w:r>
              <w:rPr>
                <w:noProof/>
                <w:webHidden/>
              </w:rPr>
              <w:fldChar w:fldCharType="separate"/>
            </w:r>
            <w:r>
              <w:rPr>
                <w:noProof/>
                <w:webHidden/>
              </w:rPr>
              <w:t>36</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3" w:history="1">
            <w:r w:rsidRPr="00D76205">
              <w:rPr>
                <w:rStyle w:val="Hyperlink"/>
                <w:noProof/>
              </w:rPr>
              <w:t>Efficacy</w:t>
            </w:r>
            <w:r>
              <w:rPr>
                <w:noProof/>
                <w:webHidden/>
              </w:rPr>
              <w:tab/>
            </w:r>
            <w:r>
              <w:rPr>
                <w:noProof/>
                <w:webHidden/>
              </w:rPr>
              <w:fldChar w:fldCharType="begin"/>
            </w:r>
            <w:r>
              <w:rPr>
                <w:noProof/>
                <w:webHidden/>
              </w:rPr>
              <w:instrText xml:space="preserve"> PAGEREF _Toc524949263 \h </w:instrText>
            </w:r>
            <w:r>
              <w:rPr>
                <w:noProof/>
                <w:webHidden/>
              </w:rPr>
            </w:r>
            <w:r>
              <w:rPr>
                <w:noProof/>
                <w:webHidden/>
              </w:rPr>
              <w:fldChar w:fldCharType="separate"/>
            </w:r>
            <w:r>
              <w:rPr>
                <w:noProof/>
                <w:webHidden/>
              </w:rPr>
              <w:t>37</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4" w:history="1">
            <w:r w:rsidRPr="00D76205">
              <w:rPr>
                <w:rStyle w:val="Hyperlink"/>
                <w:noProof/>
              </w:rPr>
              <w:t>Safety</w:t>
            </w:r>
            <w:r>
              <w:rPr>
                <w:noProof/>
                <w:webHidden/>
              </w:rPr>
              <w:tab/>
            </w:r>
            <w:r>
              <w:rPr>
                <w:noProof/>
                <w:webHidden/>
              </w:rPr>
              <w:fldChar w:fldCharType="begin"/>
            </w:r>
            <w:r>
              <w:rPr>
                <w:noProof/>
                <w:webHidden/>
              </w:rPr>
              <w:instrText xml:space="preserve"> PAGEREF _Toc524949264 \h </w:instrText>
            </w:r>
            <w:r>
              <w:rPr>
                <w:noProof/>
                <w:webHidden/>
              </w:rPr>
            </w:r>
            <w:r>
              <w:rPr>
                <w:noProof/>
                <w:webHidden/>
              </w:rPr>
              <w:fldChar w:fldCharType="separate"/>
            </w:r>
            <w:r>
              <w:rPr>
                <w:noProof/>
                <w:webHidden/>
              </w:rPr>
              <w:t>45</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5" w:history="1">
            <w:r w:rsidRPr="00D76205">
              <w:rPr>
                <w:rStyle w:val="Hyperlink"/>
                <w:noProof/>
              </w:rPr>
              <w:t>First round benefit-risk assessment</w:t>
            </w:r>
            <w:r>
              <w:rPr>
                <w:noProof/>
                <w:webHidden/>
              </w:rPr>
              <w:tab/>
            </w:r>
            <w:r>
              <w:rPr>
                <w:noProof/>
                <w:webHidden/>
              </w:rPr>
              <w:fldChar w:fldCharType="begin"/>
            </w:r>
            <w:r>
              <w:rPr>
                <w:noProof/>
                <w:webHidden/>
              </w:rPr>
              <w:instrText xml:space="preserve"> PAGEREF _Toc524949265 \h </w:instrText>
            </w:r>
            <w:r>
              <w:rPr>
                <w:noProof/>
                <w:webHidden/>
              </w:rPr>
            </w:r>
            <w:r>
              <w:rPr>
                <w:noProof/>
                <w:webHidden/>
              </w:rPr>
              <w:fldChar w:fldCharType="separate"/>
            </w:r>
            <w:r>
              <w:rPr>
                <w:noProof/>
                <w:webHidden/>
              </w:rPr>
              <w:t>58</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6" w:history="1">
            <w:r w:rsidRPr="00D76205">
              <w:rPr>
                <w:rStyle w:val="Hyperlink"/>
                <w:noProof/>
              </w:rPr>
              <w:t>First round recommendation regarding authorisation</w:t>
            </w:r>
            <w:r>
              <w:rPr>
                <w:noProof/>
                <w:webHidden/>
              </w:rPr>
              <w:tab/>
            </w:r>
            <w:r>
              <w:rPr>
                <w:noProof/>
                <w:webHidden/>
              </w:rPr>
              <w:fldChar w:fldCharType="begin"/>
            </w:r>
            <w:r>
              <w:rPr>
                <w:noProof/>
                <w:webHidden/>
              </w:rPr>
              <w:instrText xml:space="preserve"> PAGEREF _Toc524949266 \h </w:instrText>
            </w:r>
            <w:r>
              <w:rPr>
                <w:noProof/>
                <w:webHidden/>
              </w:rPr>
            </w:r>
            <w:r>
              <w:rPr>
                <w:noProof/>
                <w:webHidden/>
              </w:rPr>
              <w:fldChar w:fldCharType="separate"/>
            </w:r>
            <w:r>
              <w:rPr>
                <w:noProof/>
                <w:webHidden/>
              </w:rPr>
              <w:t>69</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7" w:history="1">
            <w:r w:rsidRPr="00D76205">
              <w:rPr>
                <w:rStyle w:val="Hyperlink"/>
                <w:noProof/>
              </w:rPr>
              <w:t>Second round evaluation</w:t>
            </w:r>
            <w:r>
              <w:rPr>
                <w:noProof/>
                <w:webHidden/>
              </w:rPr>
              <w:tab/>
            </w:r>
            <w:r>
              <w:rPr>
                <w:noProof/>
                <w:webHidden/>
              </w:rPr>
              <w:fldChar w:fldCharType="begin"/>
            </w:r>
            <w:r>
              <w:rPr>
                <w:noProof/>
                <w:webHidden/>
              </w:rPr>
              <w:instrText xml:space="preserve"> PAGEREF _Toc524949267 \h </w:instrText>
            </w:r>
            <w:r>
              <w:rPr>
                <w:noProof/>
                <w:webHidden/>
              </w:rPr>
            </w:r>
            <w:r>
              <w:rPr>
                <w:noProof/>
                <w:webHidden/>
              </w:rPr>
              <w:fldChar w:fldCharType="separate"/>
            </w:r>
            <w:r>
              <w:rPr>
                <w:noProof/>
                <w:webHidden/>
              </w:rPr>
              <w:t>69</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8" w:history="1">
            <w:r w:rsidRPr="00D76205">
              <w:rPr>
                <w:rStyle w:val="Hyperlink"/>
                <w:noProof/>
              </w:rPr>
              <w:t>Second round benefit-risk assessment</w:t>
            </w:r>
            <w:r>
              <w:rPr>
                <w:noProof/>
                <w:webHidden/>
              </w:rPr>
              <w:tab/>
            </w:r>
            <w:r>
              <w:rPr>
                <w:noProof/>
                <w:webHidden/>
              </w:rPr>
              <w:fldChar w:fldCharType="begin"/>
            </w:r>
            <w:r>
              <w:rPr>
                <w:noProof/>
                <w:webHidden/>
              </w:rPr>
              <w:instrText xml:space="preserve"> PAGEREF _Toc524949268 \h </w:instrText>
            </w:r>
            <w:r>
              <w:rPr>
                <w:noProof/>
                <w:webHidden/>
              </w:rPr>
            </w:r>
            <w:r>
              <w:rPr>
                <w:noProof/>
                <w:webHidden/>
              </w:rPr>
              <w:fldChar w:fldCharType="separate"/>
            </w:r>
            <w:r>
              <w:rPr>
                <w:noProof/>
                <w:webHidden/>
              </w:rPr>
              <w:t>70</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69" w:history="1">
            <w:r w:rsidRPr="00D76205">
              <w:rPr>
                <w:rStyle w:val="Hyperlink"/>
                <w:noProof/>
              </w:rPr>
              <w:t>Second round recommendation regarding authorisation</w:t>
            </w:r>
            <w:r>
              <w:rPr>
                <w:noProof/>
                <w:webHidden/>
              </w:rPr>
              <w:tab/>
            </w:r>
            <w:r>
              <w:rPr>
                <w:noProof/>
                <w:webHidden/>
              </w:rPr>
              <w:fldChar w:fldCharType="begin"/>
            </w:r>
            <w:r>
              <w:rPr>
                <w:noProof/>
                <w:webHidden/>
              </w:rPr>
              <w:instrText xml:space="preserve"> PAGEREF _Toc524949269 \h </w:instrText>
            </w:r>
            <w:r>
              <w:rPr>
                <w:noProof/>
                <w:webHidden/>
              </w:rPr>
            </w:r>
            <w:r>
              <w:rPr>
                <w:noProof/>
                <w:webHidden/>
              </w:rPr>
              <w:fldChar w:fldCharType="separate"/>
            </w:r>
            <w:r>
              <w:rPr>
                <w:noProof/>
                <w:webHidden/>
              </w:rPr>
              <w:t>70</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70" w:history="1">
            <w:r w:rsidRPr="00D76205">
              <w:rPr>
                <w:rStyle w:val="Hyperlink"/>
                <w:noProof/>
              </w:rPr>
              <w:t>VI. Pharmacovigilance findings</w:t>
            </w:r>
            <w:r>
              <w:rPr>
                <w:noProof/>
                <w:webHidden/>
              </w:rPr>
              <w:tab/>
            </w:r>
            <w:r>
              <w:rPr>
                <w:noProof/>
                <w:webHidden/>
              </w:rPr>
              <w:fldChar w:fldCharType="begin"/>
            </w:r>
            <w:r>
              <w:rPr>
                <w:noProof/>
                <w:webHidden/>
              </w:rPr>
              <w:instrText xml:space="preserve"> PAGEREF _Toc524949270 \h </w:instrText>
            </w:r>
            <w:r>
              <w:rPr>
                <w:noProof/>
                <w:webHidden/>
              </w:rPr>
            </w:r>
            <w:r>
              <w:rPr>
                <w:noProof/>
                <w:webHidden/>
              </w:rPr>
              <w:fldChar w:fldCharType="separate"/>
            </w:r>
            <w:r>
              <w:rPr>
                <w:noProof/>
                <w:webHidden/>
              </w:rPr>
              <w:t>70</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71" w:history="1">
            <w:r w:rsidRPr="00D76205">
              <w:rPr>
                <w:rStyle w:val="Hyperlink"/>
                <w:noProof/>
                <w:lang w:eastAsia="en-AU"/>
              </w:rPr>
              <w:t>Risk management plan</w:t>
            </w:r>
            <w:r>
              <w:rPr>
                <w:noProof/>
                <w:webHidden/>
              </w:rPr>
              <w:tab/>
            </w:r>
            <w:r>
              <w:rPr>
                <w:noProof/>
                <w:webHidden/>
              </w:rPr>
              <w:fldChar w:fldCharType="begin"/>
            </w:r>
            <w:r>
              <w:rPr>
                <w:noProof/>
                <w:webHidden/>
              </w:rPr>
              <w:instrText xml:space="preserve"> PAGEREF _Toc524949271 \h </w:instrText>
            </w:r>
            <w:r>
              <w:rPr>
                <w:noProof/>
                <w:webHidden/>
              </w:rPr>
            </w:r>
            <w:r>
              <w:rPr>
                <w:noProof/>
                <w:webHidden/>
              </w:rPr>
              <w:fldChar w:fldCharType="separate"/>
            </w:r>
            <w:r>
              <w:rPr>
                <w:noProof/>
                <w:webHidden/>
              </w:rPr>
              <w:t>70</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72" w:history="1">
            <w:r w:rsidRPr="00D76205">
              <w:rPr>
                <w:rStyle w:val="Hyperlink"/>
                <w:noProof/>
              </w:rPr>
              <w:t>VII. Overall conclusion and risk/benefit assessment</w:t>
            </w:r>
            <w:r>
              <w:rPr>
                <w:noProof/>
                <w:webHidden/>
              </w:rPr>
              <w:tab/>
            </w:r>
            <w:r>
              <w:rPr>
                <w:noProof/>
                <w:webHidden/>
              </w:rPr>
              <w:fldChar w:fldCharType="begin"/>
            </w:r>
            <w:r>
              <w:rPr>
                <w:noProof/>
                <w:webHidden/>
              </w:rPr>
              <w:instrText xml:space="preserve"> PAGEREF _Toc524949272 \h </w:instrText>
            </w:r>
            <w:r>
              <w:rPr>
                <w:noProof/>
                <w:webHidden/>
              </w:rPr>
            </w:r>
            <w:r>
              <w:rPr>
                <w:noProof/>
                <w:webHidden/>
              </w:rPr>
              <w:fldChar w:fldCharType="separate"/>
            </w:r>
            <w:r>
              <w:rPr>
                <w:noProof/>
                <w:webHidden/>
              </w:rPr>
              <w:t>71</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73" w:history="1">
            <w:r w:rsidRPr="00D76205">
              <w:rPr>
                <w:rStyle w:val="Hyperlink"/>
                <w:noProof/>
              </w:rPr>
              <w:t>Quality</w:t>
            </w:r>
            <w:r>
              <w:rPr>
                <w:noProof/>
                <w:webHidden/>
              </w:rPr>
              <w:tab/>
            </w:r>
            <w:r>
              <w:rPr>
                <w:noProof/>
                <w:webHidden/>
              </w:rPr>
              <w:fldChar w:fldCharType="begin"/>
            </w:r>
            <w:r>
              <w:rPr>
                <w:noProof/>
                <w:webHidden/>
              </w:rPr>
              <w:instrText xml:space="preserve"> PAGEREF _Toc524949273 \h </w:instrText>
            </w:r>
            <w:r>
              <w:rPr>
                <w:noProof/>
                <w:webHidden/>
              </w:rPr>
            </w:r>
            <w:r>
              <w:rPr>
                <w:noProof/>
                <w:webHidden/>
              </w:rPr>
              <w:fldChar w:fldCharType="separate"/>
            </w:r>
            <w:r>
              <w:rPr>
                <w:noProof/>
                <w:webHidden/>
              </w:rPr>
              <w:t>71</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74" w:history="1">
            <w:r w:rsidRPr="00D76205">
              <w:rPr>
                <w:rStyle w:val="Hyperlink"/>
                <w:noProof/>
              </w:rPr>
              <w:t>Nonclinical</w:t>
            </w:r>
            <w:r>
              <w:rPr>
                <w:noProof/>
                <w:webHidden/>
              </w:rPr>
              <w:tab/>
            </w:r>
            <w:r>
              <w:rPr>
                <w:noProof/>
                <w:webHidden/>
              </w:rPr>
              <w:fldChar w:fldCharType="begin"/>
            </w:r>
            <w:r>
              <w:rPr>
                <w:noProof/>
                <w:webHidden/>
              </w:rPr>
              <w:instrText xml:space="preserve"> PAGEREF _Toc524949274 \h </w:instrText>
            </w:r>
            <w:r>
              <w:rPr>
                <w:noProof/>
                <w:webHidden/>
              </w:rPr>
            </w:r>
            <w:r>
              <w:rPr>
                <w:noProof/>
                <w:webHidden/>
              </w:rPr>
              <w:fldChar w:fldCharType="separate"/>
            </w:r>
            <w:r>
              <w:rPr>
                <w:noProof/>
                <w:webHidden/>
              </w:rPr>
              <w:t>72</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75" w:history="1">
            <w:r w:rsidRPr="00D76205">
              <w:rPr>
                <w:rStyle w:val="Hyperlink"/>
                <w:noProof/>
              </w:rPr>
              <w:t>Clinical</w:t>
            </w:r>
            <w:r>
              <w:rPr>
                <w:noProof/>
                <w:webHidden/>
              </w:rPr>
              <w:tab/>
            </w:r>
            <w:r>
              <w:rPr>
                <w:noProof/>
                <w:webHidden/>
              </w:rPr>
              <w:fldChar w:fldCharType="begin"/>
            </w:r>
            <w:r>
              <w:rPr>
                <w:noProof/>
                <w:webHidden/>
              </w:rPr>
              <w:instrText xml:space="preserve"> PAGEREF _Toc524949275 \h </w:instrText>
            </w:r>
            <w:r>
              <w:rPr>
                <w:noProof/>
                <w:webHidden/>
              </w:rPr>
            </w:r>
            <w:r>
              <w:rPr>
                <w:noProof/>
                <w:webHidden/>
              </w:rPr>
              <w:fldChar w:fldCharType="separate"/>
            </w:r>
            <w:r>
              <w:rPr>
                <w:noProof/>
                <w:webHidden/>
              </w:rPr>
              <w:t>72</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76" w:history="1">
            <w:r w:rsidRPr="00D76205">
              <w:rPr>
                <w:rStyle w:val="Hyperlink"/>
                <w:noProof/>
              </w:rPr>
              <w:t>Risk-benefit analysis</w:t>
            </w:r>
            <w:r>
              <w:rPr>
                <w:noProof/>
                <w:webHidden/>
              </w:rPr>
              <w:tab/>
            </w:r>
            <w:r>
              <w:rPr>
                <w:noProof/>
                <w:webHidden/>
              </w:rPr>
              <w:fldChar w:fldCharType="begin"/>
            </w:r>
            <w:r>
              <w:rPr>
                <w:noProof/>
                <w:webHidden/>
              </w:rPr>
              <w:instrText xml:space="preserve"> PAGEREF _Toc524949276 \h </w:instrText>
            </w:r>
            <w:r>
              <w:rPr>
                <w:noProof/>
                <w:webHidden/>
              </w:rPr>
            </w:r>
            <w:r>
              <w:rPr>
                <w:noProof/>
                <w:webHidden/>
              </w:rPr>
              <w:fldChar w:fldCharType="separate"/>
            </w:r>
            <w:r>
              <w:rPr>
                <w:noProof/>
                <w:webHidden/>
              </w:rPr>
              <w:t>77</w:t>
            </w:r>
            <w:r>
              <w:rPr>
                <w:noProof/>
                <w:webHidden/>
              </w:rPr>
              <w:fldChar w:fldCharType="end"/>
            </w:r>
          </w:hyperlink>
        </w:p>
        <w:p w:rsidR="00A6032A" w:rsidRDefault="00A6032A">
          <w:pPr>
            <w:pStyle w:val="TOC3"/>
            <w:rPr>
              <w:rFonts w:asciiTheme="minorHAnsi" w:eastAsiaTheme="minorEastAsia" w:hAnsiTheme="minorHAnsi" w:cstheme="minorBidi"/>
              <w:noProof/>
              <w:lang w:eastAsia="en-AU"/>
            </w:rPr>
          </w:pPr>
          <w:hyperlink w:anchor="_Toc524949277" w:history="1">
            <w:r w:rsidRPr="00D76205">
              <w:rPr>
                <w:rStyle w:val="Hyperlink"/>
                <w:noProof/>
              </w:rPr>
              <w:t>Outcome</w:t>
            </w:r>
            <w:r>
              <w:rPr>
                <w:noProof/>
                <w:webHidden/>
              </w:rPr>
              <w:tab/>
            </w:r>
            <w:r>
              <w:rPr>
                <w:noProof/>
                <w:webHidden/>
              </w:rPr>
              <w:fldChar w:fldCharType="begin"/>
            </w:r>
            <w:r>
              <w:rPr>
                <w:noProof/>
                <w:webHidden/>
              </w:rPr>
              <w:instrText xml:space="preserve"> PAGEREF _Toc524949277 \h </w:instrText>
            </w:r>
            <w:r>
              <w:rPr>
                <w:noProof/>
                <w:webHidden/>
              </w:rPr>
            </w:r>
            <w:r>
              <w:rPr>
                <w:noProof/>
                <w:webHidden/>
              </w:rPr>
              <w:fldChar w:fldCharType="separate"/>
            </w:r>
            <w:r>
              <w:rPr>
                <w:noProof/>
                <w:webHidden/>
              </w:rPr>
              <w:t>84</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78" w:history="1">
            <w:r w:rsidRPr="00D76205">
              <w:rPr>
                <w:rStyle w:val="Hyperlink"/>
                <w:noProof/>
              </w:rPr>
              <w:t>Attachment 1. Product Information</w:t>
            </w:r>
            <w:r>
              <w:rPr>
                <w:noProof/>
                <w:webHidden/>
              </w:rPr>
              <w:tab/>
            </w:r>
            <w:r>
              <w:rPr>
                <w:noProof/>
                <w:webHidden/>
              </w:rPr>
              <w:fldChar w:fldCharType="begin"/>
            </w:r>
            <w:r>
              <w:rPr>
                <w:noProof/>
                <w:webHidden/>
              </w:rPr>
              <w:instrText xml:space="preserve"> PAGEREF _Toc524949278 \h </w:instrText>
            </w:r>
            <w:r>
              <w:rPr>
                <w:noProof/>
                <w:webHidden/>
              </w:rPr>
            </w:r>
            <w:r>
              <w:rPr>
                <w:noProof/>
                <w:webHidden/>
              </w:rPr>
              <w:fldChar w:fldCharType="separate"/>
            </w:r>
            <w:r>
              <w:rPr>
                <w:noProof/>
                <w:webHidden/>
              </w:rPr>
              <w:t>84</w:t>
            </w:r>
            <w:r>
              <w:rPr>
                <w:noProof/>
                <w:webHidden/>
              </w:rPr>
              <w:fldChar w:fldCharType="end"/>
            </w:r>
          </w:hyperlink>
        </w:p>
        <w:p w:rsidR="00A6032A" w:rsidRDefault="00A6032A">
          <w:pPr>
            <w:pStyle w:val="TOC2"/>
            <w:rPr>
              <w:rFonts w:asciiTheme="minorHAnsi" w:eastAsiaTheme="minorEastAsia" w:hAnsiTheme="minorHAnsi" w:cstheme="minorBidi"/>
              <w:b w:val="0"/>
              <w:noProof/>
              <w:sz w:val="22"/>
              <w:lang w:eastAsia="en-AU"/>
            </w:rPr>
          </w:pPr>
          <w:hyperlink w:anchor="_Toc524949279" w:history="1">
            <w:r w:rsidRPr="00D7620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_Toc524949279 \h </w:instrText>
            </w:r>
            <w:r>
              <w:rPr>
                <w:noProof/>
                <w:webHidden/>
              </w:rPr>
            </w:r>
            <w:r>
              <w:rPr>
                <w:noProof/>
                <w:webHidden/>
              </w:rPr>
              <w:fldChar w:fldCharType="separate"/>
            </w:r>
            <w:r>
              <w:rPr>
                <w:noProof/>
                <w:webHidden/>
              </w:rPr>
              <w:t>84</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504480005"/>
      <w:bookmarkStart w:id="9" w:name="_Toc524949239"/>
      <w:r>
        <w:lastRenderedPageBreak/>
        <w:t>Common</w:t>
      </w:r>
      <w:r w:rsidR="00FD119B" w:rsidRPr="00FD119B">
        <w:t xml:space="preserve"> abbreviations</w:t>
      </w:r>
      <w:bookmarkEnd w:id="4"/>
      <w:bookmarkEnd w:id="5"/>
      <w:bookmarkEnd w:id="6"/>
      <w:bookmarkEnd w:id="7"/>
      <w:bookmarkEnd w:id="8"/>
      <w:bookmarkEnd w:id="9"/>
    </w:p>
    <w:tbl>
      <w:tblPr>
        <w:tblStyle w:val="TableTGAblue"/>
        <w:tblW w:w="0" w:type="auto"/>
        <w:tblLook w:val="04A0" w:firstRow="1" w:lastRow="0" w:firstColumn="1" w:lastColumn="0" w:noHBand="0" w:noVBand="1"/>
      </w:tblPr>
      <w:tblGrid>
        <w:gridCol w:w="2093"/>
        <w:gridCol w:w="6627"/>
      </w:tblGrid>
      <w:tr w:rsidR="00FD119B" w:rsidRPr="00FD119B" w:rsidTr="00270EC3">
        <w:trPr>
          <w:cnfStyle w:val="100000000000" w:firstRow="1" w:lastRow="0" w:firstColumn="0" w:lastColumn="0" w:oddVBand="0" w:evenVBand="0" w:oddHBand="0" w:evenHBand="0" w:firstRowFirstColumn="0" w:firstRowLastColumn="0" w:lastRowFirstColumn="0" w:lastRowLastColumn="0"/>
        </w:trPr>
        <w:tc>
          <w:tcPr>
            <w:tcW w:w="2093" w:type="dxa"/>
          </w:tcPr>
          <w:p w:rsidR="00FD119B" w:rsidRPr="00FD119B" w:rsidRDefault="00FD119B" w:rsidP="00CD308A">
            <w:pPr>
              <w:rPr>
                <w:lang w:eastAsia="en-US"/>
              </w:rPr>
            </w:pPr>
            <w:r w:rsidRPr="00FD119B">
              <w:rPr>
                <w:lang w:eastAsia="en-US"/>
              </w:rPr>
              <w:t>Abbreviation</w:t>
            </w:r>
          </w:p>
        </w:tc>
        <w:tc>
          <w:tcPr>
            <w:tcW w:w="6627" w:type="dxa"/>
          </w:tcPr>
          <w:p w:rsidR="00FD119B" w:rsidRPr="00FD119B" w:rsidRDefault="00FD119B" w:rsidP="00CD308A">
            <w:pPr>
              <w:rPr>
                <w:lang w:eastAsia="en-US"/>
              </w:rPr>
            </w:pPr>
            <w:r w:rsidRPr="00FD119B">
              <w:rPr>
                <w:lang w:eastAsia="en-US"/>
              </w:rPr>
              <w:t>Meaning</w:t>
            </w:r>
          </w:p>
        </w:tc>
      </w:tr>
      <w:tr w:rsidR="00690304" w:rsidRPr="00F76012" w:rsidTr="00270EC3">
        <w:tc>
          <w:tcPr>
            <w:tcW w:w="2093" w:type="dxa"/>
          </w:tcPr>
          <w:p w:rsidR="00690304" w:rsidRPr="00F76012" w:rsidRDefault="00F605FF" w:rsidP="00CD308A">
            <w:pPr>
              <w:rPr>
                <w:color w:val="auto"/>
                <w:lang w:eastAsia="en-US"/>
              </w:rPr>
            </w:pPr>
            <w:r w:rsidRPr="00F76012">
              <w:rPr>
                <w:rFonts w:asciiTheme="minorHAnsi" w:eastAsiaTheme="minorHAnsi" w:hAnsiTheme="minorHAnsi" w:cs="Verdana"/>
                <w:spacing w:val="-1"/>
              </w:rPr>
              <w:t>α-Gal</w:t>
            </w:r>
            <w:r w:rsidRPr="00F76012">
              <w:rPr>
                <w:rFonts w:asciiTheme="minorHAnsi" w:eastAsiaTheme="minorHAnsi" w:hAnsiTheme="minorHAnsi" w:cs="Verdana"/>
                <w:spacing w:val="-3"/>
              </w:rPr>
              <w:t xml:space="preserve"> </w:t>
            </w:r>
            <w:r w:rsidRPr="00F76012">
              <w:rPr>
                <w:rFonts w:asciiTheme="minorHAnsi" w:eastAsiaTheme="minorHAnsi" w:hAnsiTheme="minorHAnsi" w:cs="Verdana"/>
              </w:rPr>
              <w:t>A</w:t>
            </w:r>
          </w:p>
        </w:tc>
        <w:tc>
          <w:tcPr>
            <w:tcW w:w="6627" w:type="dxa"/>
          </w:tcPr>
          <w:p w:rsidR="00690304" w:rsidRPr="00F76012" w:rsidRDefault="00A20526" w:rsidP="00CD308A">
            <w:pPr>
              <w:rPr>
                <w:color w:val="auto"/>
                <w:lang w:eastAsia="en-US"/>
              </w:rPr>
            </w:pPr>
            <w:r w:rsidRPr="00F76012">
              <w:rPr>
                <w:rFonts w:asciiTheme="minorHAnsi" w:eastAsiaTheme="minorHAnsi" w:hAnsiTheme="minorHAnsi" w:cs="Verdana"/>
                <w:spacing w:val="-1"/>
              </w:rPr>
              <w:t>alpha-galactosidase</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rPr>
              <w:t>A</w:t>
            </w:r>
          </w:p>
        </w:tc>
      </w:tr>
      <w:tr w:rsidR="00A20526" w:rsidRPr="00F76012" w:rsidTr="00270EC3">
        <w:tc>
          <w:tcPr>
            <w:tcW w:w="2093" w:type="dxa"/>
          </w:tcPr>
          <w:p w:rsidR="00A20526" w:rsidRPr="00F76012" w:rsidRDefault="00A20526" w:rsidP="00CD308A">
            <w:pPr>
              <w:rPr>
                <w:color w:val="auto"/>
                <w:lang w:eastAsia="en-US"/>
              </w:rPr>
            </w:pPr>
            <w:r w:rsidRPr="00F76012">
              <w:rPr>
                <w:color w:val="auto"/>
                <w:lang w:eastAsia="en-US"/>
              </w:rPr>
              <w:t>ACM</w:t>
            </w:r>
          </w:p>
        </w:tc>
        <w:tc>
          <w:tcPr>
            <w:tcW w:w="6627" w:type="dxa"/>
          </w:tcPr>
          <w:p w:rsidR="00A20526" w:rsidRPr="00F76012" w:rsidRDefault="00A20526" w:rsidP="00CD308A">
            <w:pPr>
              <w:rPr>
                <w:color w:val="auto"/>
                <w:lang w:eastAsia="en-US"/>
              </w:rPr>
            </w:pPr>
            <w:r w:rsidRPr="00F76012">
              <w:rPr>
                <w:color w:val="auto"/>
                <w:lang w:eastAsia="en-US"/>
              </w:rPr>
              <w:t>Advisory Committee on Medicines</w:t>
            </w:r>
          </w:p>
        </w:tc>
      </w:tr>
      <w:tr w:rsidR="00690304" w:rsidRPr="00F76012" w:rsidTr="00270EC3">
        <w:tc>
          <w:tcPr>
            <w:tcW w:w="2093" w:type="dxa"/>
          </w:tcPr>
          <w:p w:rsidR="00690304" w:rsidRPr="00F76012" w:rsidRDefault="009A0CDF" w:rsidP="00CD308A">
            <w:pPr>
              <w:rPr>
                <w:color w:val="auto"/>
                <w:lang w:eastAsia="en-US"/>
              </w:rPr>
            </w:pPr>
            <w:r w:rsidRPr="00F76012">
              <w:rPr>
                <w:rFonts w:asciiTheme="minorHAnsi" w:eastAsiaTheme="minorHAnsi" w:hAnsiTheme="minorHAnsi" w:cs="Verdana"/>
                <w:spacing w:val="-1"/>
              </w:rPr>
              <w:t>ADME</w:t>
            </w:r>
          </w:p>
        </w:tc>
        <w:tc>
          <w:tcPr>
            <w:tcW w:w="6627" w:type="dxa"/>
          </w:tcPr>
          <w:p w:rsidR="00690304" w:rsidRPr="00F76012" w:rsidRDefault="009A0CDF" w:rsidP="00CD308A">
            <w:pPr>
              <w:rPr>
                <w:color w:val="auto"/>
                <w:lang w:eastAsia="en-US"/>
              </w:rPr>
            </w:pPr>
            <w:r w:rsidRPr="00F76012">
              <w:rPr>
                <w:rFonts w:asciiTheme="minorHAnsi" w:eastAsiaTheme="minorHAnsi" w:hAnsiTheme="minorHAnsi" w:cs="Verdana"/>
                <w:spacing w:val="-1"/>
              </w:rPr>
              <w:t>absorption,</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distribution,</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metabolism,</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and</w:t>
            </w:r>
            <w:r w:rsidRPr="00F76012">
              <w:rPr>
                <w:rFonts w:asciiTheme="minorHAnsi" w:eastAsiaTheme="minorHAnsi" w:hAnsiTheme="minorHAnsi" w:cs="Verdana"/>
                <w:spacing w:val="-9"/>
              </w:rPr>
              <w:t xml:space="preserve"> </w:t>
            </w:r>
            <w:r w:rsidRPr="00F76012">
              <w:rPr>
                <w:rFonts w:asciiTheme="minorHAnsi" w:eastAsiaTheme="minorHAnsi" w:hAnsiTheme="minorHAnsi" w:cs="Verdana"/>
              </w:rPr>
              <w:t>excretion</w:t>
            </w:r>
          </w:p>
        </w:tc>
      </w:tr>
      <w:tr w:rsidR="00A20526" w:rsidRPr="00F76012" w:rsidTr="00270EC3">
        <w:tc>
          <w:tcPr>
            <w:tcW w:w="2093" w:type="dxa"/>
          </w:tcPr>
          <w:p w:rsidR="00A20526" w:rsidRPr="00F76012" w:rsidRDefault="009A0CDF" w:rsidP="00CD308A">
            <w:pPr>
              <w:rPr>
                <w:color w:val="auto"/>
                <w:lang w:eastAsia="en-US"/>
              </w:rPr>
            </w:pPr>
            <w:r w:rsidRPr="00F76012">
              <w:rPr>
                <w:rFonts w:asciiTheme="minorHAnsi" w:eastAsiaTheme="minorHAnsi" w:hAnsiTheme="minorHAnsi" w:cs="Verdana"/>
                <w:spacing w:val="-1"/>
              </w:rPr>
              <w:t>AT1001</w:t>
            </w:r>
          </w:p>
        </w:tc>
        <w:tc>
          <w:tcPr>
            <w:tcW w:w="6627" w:type="dxa"/>
          </w:tcPr>
          <w:p w:rsidR="00A20526" w:rsidRPr="00F76012" w:rsidRDefault="009A0CDF" w:rsidP="00CD308A">
            <w:pPr>
              <w:rPr>
                <w:color w:val="auto"/>
                <w:lang w:eastAsia="en-US"/>
              </w:rPr>
            </w:pPr>
            <w:r w:rsidRPr="00F76012">
              <w:rPr>
                <w:rFonts w:asciiTheme="minorHAnsi" w:eastAsiaTheme="minorHAnsi" w:hAnsiTheme="minorHAnsi" w:cs="Verdana"/>
                <w:spacing w:val="-1"/>
              </w:rPr>
              <w:t>migalastat</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HCl</w:t>
            </w:r>
          </w:p>
        </w:tc>
      </w:tr>
      <w:tr w:rsidR="00A20526" w:rsidRPr="00F76012" w:rsidTr="00270EC3">
        <w:tc>
          <w:tcPr>
            <w:tcW w:w="2093" w:type="dxa"/>
          </w:tcPr>
          <w:p w:rsidR="00A20526" w:rsidRPr="00F76012" w:rsidRDefault="004311F1" w:rsidP="00CD308A">
            <w:pPr>
              <w:rPr>
                <w:color w:val="auto"/>
                <w:lang w:eastAsia="en-US"/>
              </w:rPr>
            </w:pPr>
            <w:r w:rsidRPr="00F76012">
              <w:rPr>
                <w:rFonts w:asciiTheme="minorHAnsi" w:eastAsiaTheme="minorHAnsi" w:hAnsiTheme="minorHAnsi" w:cs="Verdana"/>
                <w:spacing w:val="-1"/>
              </w:rPr>
              <w:t>ACEI</w:t>
            </w:r>
          </w:p>
        </w:tc>
        <w:tc>
          <w:tcPr>
            <w:tcW w:w="6627" w:type="dxa"/>
          </w:tcPr>
          <w:p w:rsidR="00A20526" w:rsidRPr="00F76012" w:rsidRDefault="004311F1" w:rsidP="00CD308A">
            <w:pPr>
              <w:rPr>
                <w:color w:val="auto"/>
                <w:lang w:eastAsia="en-US"/>
              </w:rPr>
            </w:pPr>
            <w:r w:rsidRPr="00F76012">
              <w:rPr>
                <w:rFonts w:asciiTheme="minorHAnsi" w:eastAsiaTheme="minorHAnsi" w:hAnsiTheme="minorHAnsi" w:cs="Verdana"/>
                <w:spacing w:val="-1"/>
              </w:rPr>
              <w:t>angiotensin-converting</w:t>
            </w:r>
            <w:r w:rsidRPr="00F76012">
              <w:rPr>
                <w:rFonts w:asciiTheme="minorHAnsi" w:eastAsiaTheme="minorHAnsi" w:hAnsiTheme="minorHAnsi" w:cs="Verdana"/>
                <w:spacing w:val="-14"/>
              </w:rPr>
              <w:t xml:space="preserve"> </w:t>
            </w:r>
            <w:r w:rsidRPr="00F76012">
              <w:rPr>
                <w:rFonts w:asciiTheme="minorHAnsi" w:eastAsiaTheme="minorHAnsi" w:hAnsiTheme="minorHAnsi" w:cs="Verdana"/>
                <w:spacing w:val="-1"/>
              </w:rPr>
              <w:t>enzyme</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spacing w:val="-1"/>
              </w:rPr>
              <w:t>inhibitor</w:t>
            </w:r>
          </w:p>
        </w:tc>
      </w:tr>
      <w:tr w:rsidR="00A20526" w:rsidRPr="00F76012" w:rsidTr="00270EC3">
        <w:tc>
          <w:tcPr>
            <w:tcW w:w="2093" w:type="dxa"/>
          </w:tcPr>
          <w:p w:rsidR="00A20526" w:rsidRPr="00F76012" w:rsidRDefault="004311F1" w:rsidP="00CD308A">
            <w:pPr>
              <w:rPr>
                <w:color w:val="auto"/>
                <w:lang w:eastAsia="en-US"/>
              </w:rPr>
            </w:pPr>
            <w:r w:rsidRPr="00F76012">
              <w:rPr>
                <w:color w:val="auto"/>
                <w:lang w:eastAsia="en-US"/>
              </w:rPr>
              <w:t>AE</w:t>
            </w:r>
          </w:p>
        </w:tc>
        <w:tc>
          <w:tcPr>
            <w:tcW w:w="6627" w:type="dxa"/>
          </w:tcPr>
          <w:p w:rsidR="00A20526" w:rsidRPr="00F76012" w:rsidRDefault="004311F1" w:rsidP="00CD308A">
            <w:pPr>
              <w:rPr>
                <w:color w:val="auto"/>
                <w:lang w:eastAsia="en-US"/>
              </w:rPr>
            </w:pPr>
            <w:r w:rsidRPr="00F76012">
              <w:rPr>
                <w:rFonts w:asciiTheme="minorHAnsi" w:eastAsiaTheme="minorHAnsi" w:hAnsiTheme="minorHAnsi" w:cs="Verdana"/>
              </w:rPr>
              <w:t>adverse</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spacing w:val="-1"/>
              </w:rPr>
              <w:t>event</w:t>
            </w:r>
          </w:p>
        </w:tc>
      </w:tr>
      <w:tr w:rsidR="00A20526" w:rsidRPr="00F76012" w:rsidTr="00270EC3">
        <w:tc>
          <w:tcPr>
            <w:tcW w:w="2093" w:type="dxa"/>
          </w:tcPr>
          <w:p w:rsidR="00A20526" w:rsidRPr="00F76012" w:rsidRDefault="00E24CD8" w:rsidP="00CD308A">
            <w:pPr>
              <w:rPr>
                <w:color w:val="auto"/>
                <w:lang w:eastAsia="en-US"/>
              </w:rPr>
            </w:pPr>
            <w:r w:rsidRPr="00F76012">
              <w:rPr>
                <w:color w:val="auto"/>
                <w:lang w:eastAsia="en-US"/>
              </w:rPr>
              <w:t>ARB</w:t>
            </w:r>
          </w:p>
        </w:tc>
        <w:tc>
          <w:tcPr>
            <w:tcW w:w="6627" w:type="dxa"/>
          </w:tcPr>
          <w:p w:rsidR="00A20526" w:rsidRPr="00F76012" w:rsidRDefault="00E24CD8" w:rsidP="00CD308A">
            <w:pPr>
              <w:rPr>
                <w:color w:val="auto"/>
                <w:lang w:eastAsia="en-US"/>
              </w:rPr>
            </w:pPr>
            <w:r w:rsidRPr="00F76012">
              <w:rPr>
                <w:rFonts w:asciiTheme="minorHAnsi" w:eastAsiaTheme="minorHAnsi" w:hAnsiTheme="minorHAnsi" w:cs="Verdana"/>
                <w:spacing w:val="-1"/>
              </w:rPr>
              <w:t>angiotensin-receptor</w:t>
            </w:r>
            <w:r w:rsidRPr="00F76012">
              <w:rPr>
                <w:rFonts w:asciiTheme="minorHAnsi" w:eastAsiaTheme="minorHAnsi" w:hAnsiTheme="minorHAnsi" w:cs="Verdana"/>
                <w:spacing w:val="-20"/>
              </w:rPr>
              <w:t xml:space="preserve"> </w:t>
            </w:r>
            <w:r w:rsidRPr="00F76012">
              <w:rPr>
                <w:rFonts w:asciiTheme="minorHAnsi" w:eastAsiaTheme="minorHAnsi" w:hAnsiTheme="minorHAnsi" w:cs="Verdana"/>
                <w:spacing w:val="-1"/>
              </w:rPr>
              <w:t>blocker</w:t>
            </w:r>
          </w:p>
        </w:tc>
      </w:tr>
      <w:tr w:rsidR="00A20526" w:rsidRPr="00F76012" w:rsidTr="00270EC3">
        <w:tc>
          <w:tcPr>
            <w:tcW w:w="2093" w:type="dxa"/>
          </w:tcPr>
          <w:p w:rsidR="00A20526" w:rsidRPr="00F76012" w:rsidRDefault="009833BA" w:rsidP="00CD308A">
            <w:pPr>
              <w:rPr>
                <w:color w:val="auto"/>
                <w:lang w:eastAsia="en-US"/>
              </w:rPr>
            </w:pPr>
            <w:r w:rsidRPr="00F76012">
              <w:rPr>
                <w:color w:val="auto"/>
                <w:lang w:eastAsia="en-US"/>
              </w:rPr>
              <w:t>AUC</w:t>
            </w:r>
          </w:p>
        </w:tc>
        <w:tc>
          <w:tcPr>
            <w:tcW w:w="6627" w:type="dxa"/>
          </w:tcPr>
          <w:p w:rsidR="00A20526" w:rsidRPr="00F76012" w:rsidRDefault="009833BA" w:rsidP="00CD308A">
            <w:pPr>
              <w:rPr>
                <w:color w:val="auto"/>
                <w:lang w:eastAsia="en-US"/>
              </w:rPr>
            </w:pPr>
            <w:r w:rsidRPr="00F76012">
              <w:rPr>
                <w:rFonts w:asciiTheme="minorHAnsi" w:eastAsiaTheme="minorHAnsi" w:hAnsiTheme="minorHAnsi" w:cs="Verdana"/>
                <w:spacing w:val="-1"/>
              </w:rPr>
              <w:t>area</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under</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concentration-time</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curve</w:t>
            </w:r>
          </w:p>
        </w:tc>
      </w:tr>
      <w:tr w:rsidR="00A20526" w:rsidRPr="00F76012" w:rsidTr="00270EC3">
        <w:tc>
          <w:tcPr>
            <w:tcW w:w="2093" w:type="dxa"/>
          </w:tcPr>
          <w:p w:rsidR="00A20526" w:rsidRPr="00F76012" w:rsidRDefault="00706C4C" w:rsidP="00CD308A">
            <w:pPr>
              <w:rPr>
                <w:color w:val="auto"/>
                <w:lang w:eastAsia="en-US"/>
              </w:rPr>
            </w:pPr>
            <w:r w:rsidRPr="00F76012">
              <w:rPr>
                <w:color w:val="auto"/>
                <w:lang w:eastAsia="en-US"/>
              </w:rPr>
              <w:t>AUC 0-24</w:t>
            </w:r>
          </w:p>
        </w:tc>
        <w:tc>
          <w:tcPr>
            <w:tcW w:w="6627" w:type="dxa"/>
          </w:tcPr>
          <w:p w:rsidR="00A20526" w:rsidRPr="00F76012" w:rsidRDefault="00706C4C" w:rsidP="00CD308A">
            <w:pPr>
              <w:rPr>
                <w:color w:val="auto"/>
                <w:lang w:eastAsia="en-US"/>
              </w:rPr>
            </w:pPr>
            <w:r w:rsidRPr="00F76012">
              <w:rPr>
                <w:rFonts w:asciiTheme="minorHAnsi" w:eastAsiaTheme="minorHAnsi" w:hAnsiTheme="minorHAnsi" w:cs="Verdana"/>
                <w:spacing w:val="-1"/>
              </w:rPr>
              <w:t>area</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under</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concentration-time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curve</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from</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time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zero</w:t>
            </w:r>
            <w:r w:rsidRPr="00F76012">
              <w:rPr>
                <w:rFonts w:asciiTheme="minorHAnsi" w:eastAsiaTheme="minorHAnsi" w:hAnsiTheme="minorHAnsi" w:cs="Verdana"/>
                <w:spacing w:val="-5"/>
              </w:rPr>
              <w:t xml:space="preserve"> </w:t>
            </w:r>
            <w:r w:rsidRPr="00F76012">
              <w:rPr>
                <w:rFonts w:asciiTheme="minorHAnsi" w:eastAsiaTheme="minorHAnsi" w:hAnsiTheme="minorHAnsi" w:cs="Verdana"/>
              </w:rPr>
              <w:t>to</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24</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hours</w:t>
            </w:r>
          </w:p>
        </w:tc>
      </w:tr>
      <w:tr w:rsidR="00A20526" w:rsidRPr="00F76012" w:rsidTr="00270EC3">
        <w:tc>
          <w:tcPr>
            <w:tcW w:w="2093" w:type="dxa"/>
          </w:tcPr>
          <w:p w:rsidR="00A20526" w:rsidRPr="00F76012" w:rsidRDefault="002E776C" w:rsidP="00CD308A">
            <w:pPr>
              <w:rPr>
                <w:color w:val="auto"/>
                <w:lang w:eastAsia="en-US"/>
              </w:rPr>
            </w:pPr>
            <w:r w:rsidRPr="00F76012">
              <w:rPr>
                <w:color w:val="auto"/>
                <w:lang w:eastAsia="en-US"/>
              </w:rPr>
              <w:t>AUC 0-48</w:t>
            </w:r>
          </w:p>
        </w:tc>
        <w:tc>
          <w:tcPr>
            <w:tcW w:w="6627" w:type="dxa"/>
          </w:tcPr>
          <w:p w:rsidR="00A20526" w:rsidRPr="00F76012" w:rsidRDefault="008A014E" w:rsidP="00CD308A">
            <w:pPr>
              <w:rPr>
                <w:color w:val="auto"/>
                <w:lang w:eastAsia="en-US"/>
              </w:rPr>
            </w:pPr>
            <w:r w:rsidRPr="00F76012">
              <w:rPr>
                <w:rFonts w:asciiTheme="minorHAnsi" w:eastAsiaTheme="minorHAnsi" w:hAnsiTheme="minorHAnsi" w:cs="Verdana"/>
                <w:spacing w:val="-1"/>
              </w:rPr>
              <w:t>area</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under</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concentration-time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curve</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from</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time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zero</w:t>
            </w:r>
            <w:r w:rsidRPr="00F76012">
              <w:rPr>
                <w:rFonts w:asciiTheme="minorHAnsi" w:eastAsiaTheme="minorHAnsi" w:hAnsiTheme="minorHAnsi" w:cs="Verdana"/>
                <w:spacing w:val="-5"/>
              </w:rPr>
              <w:t xml:space="preserve"> </w:t>
            </w:r>
            <w:r w:rsidRPr="00F76012">
              <w:rPr>
                <w:rFonts w:asciiTheme="minorHAnsi" w:eastAsiaTheme="minorHAnsi" w:hAnsiTheme="minorHAnsi" w:cs="Verdana"/>
              </w:rPr>
              <w:t>to</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48</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hours</w:t>
            </w:r>
          </w:p>
        </w:tc>
      </w:tr>
      <w:tr w:rsidR="00A20526" w:rsidRPr="00F76012" w:rsidTr="00270EC3">
        <w:tc>
          <w:tcPr>
            <w:tcW w:w="2093" w:type="dxa"/>
          </w:tcPr>
          <w:p w:rsidR="00A20526" w:rsidRPr="00F76012" w:rsidRDefault="002E776C" w:rsidP="00CD308A">
            <w:pPr>
              <w:rPr>
                <w:color w:val="auto"/>
                <w:lang w:eastAsia="en-US"/>
              </w:rPr>
            </w:pPr>
            <w:r w:rsidRPr="00F76012">
              <w:rPr>
                <w:color w:val="auto"/>
                <w:lang w:eastAsia="en-US"/>
              </w:rPr>
              <w:t>AUC 0-t</w:t>
            </w:r>
          </w:p>
        </w:tc>
        <w:tc>
          <w:tcPr>
            <w:tcW w:w="6627" w:type="dxa"/>
          </w:tcPr>
          <w:p w:rsidR="00A20526" w:rsidRPr="00F76012" w:rsidRDefault="008A014E" w:rsidP="00CD308A">
            <w:pPr>
              <w:rPr>
                <w:color w:val="auto"/>
                <w:lang w:eastAsia="en-US"/>
              </w:rPr>
            </w:pPr>
            <w:r w:rsidRPr="00F76012">
              <w:rPr>
                <w:rFonts w:asciiTheme="minorHAnsi" w:eastAsiaTheme="minorHAnsi" w:hAnsiTheme="minorHAnsi" w:cs="Verdana"/>
                <w:spacing w:val="-1"/>
              </w:rPr>
              <w:t>area</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under</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concentration-time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curve</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from</w:t>
            </w:r>
            <w:r w:rsidRPr="00F76012">
              <w:rPr>
                <w:rFonts w:asciiTheme="minorHAnsi" w:eastAsiaTheme="minorHAnsi" w:hAnsiTheme="minorHAnsi" w:cs="Verdana"/>
                <w:spacing w:val="-5"/>
              </w:rPr>
              <w:t xml:space="preserve"> </w:t>
            </w:r>
            <w:r w:rsidRPr="00F76012">
              <w:rPr>
                <w:rFonts w:asciiTheme="minorHAnsi" w:eastAsiaTheme="minorHAnsi" w:hAnsiTheme="minorHAnsi" w:cs="Verdana"/>
              </w:rPr>
              <w:t>time</w:t>
            </w:r>
            <w:r w:rsidRPr="00F76012">
              <w:rPr>
                <w:rFonts w:asciiTheme="minorHAnsi" w:eastAsiaTheme="minorHAnsi" w:hAnsiTheme="minorHAnsi" w:cs="Verdana"/>
                <w:spacing w:val="-4"/>
              </w:rPr>
              <w:t xml:space="preserve"> </w:t>
            </w:r>
            <w:r w:rsidRPr="00F76012">
              <w:rPr>
                <w:rFonts w:asciiTheme="minorHAnsi" w:eastAsiaTheme="minorHAnsi" w:hAnsiTheme="minorHAnsi" w:cs="Verdana"/>
                <w:spacing w:val="-1"/>
              </w:rPr>
              <w:t>zero</w:t>
            </w:r>
            <w:r w:rsidRPr="00F76012">
              <w:rPr>
                <w:rFonts w:asciiTheme="minorHAnsi" w:eastAsiaTheme="minorHAnsi" w:hAnsiTheme="minorHAnsi" w:cs="Verdana"/>
                <w:spacing w:val="-4"/>
              </w:rPr>
              <w:t xml:space="preserve"> </w:t>
            </w:r>
            <w:r w:rsidRPr="00F76012">
              <w:rPr>
                <w:rFonts w:asciiTheme="minorHAnsi" w:eastAsiaTheme="minorHAnsi" w:hAnsiTheme="minorHAnsi" w:cs="Verdana"/>
              </w:rPr>
              <w:t>to</w:t>
            </w:r>
            <w:r w:rsidRPr="00F76012">
              <w:rPr>
                <w:rFonts w:asciiTheme="minorHAnsi" w:eastAsiaTheme="minorHAnsi" w:hAnsiTheme="minorHAnsi" w:cs="Verdana"/>
                <w:spacing w:val="-4"/>
              </w:rPr>
              <w:t xml:space="preserve"> </w:t>
            </w:r>
            <w:r w:rsidRPr="00F76012">
              <w:rPr>
                <w:rFonts w:asciiTheme="minorHAnsi" w:eastAsiaTheme="minorHAnsi" w:hAnsiTheme="minorHAnsi" w:cs="Verdana"/>
                <w:spacing w:val="-1"/>
              </w:rPr>
              <w:t>time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t</w:t>
            </w:r>
          </w:p>
        </w:tc>
      </w:tr>
      <w:tr w:rsidR="00A20526" w:rsidRPr="00F76012" w:rsidTr="00270EC3">
        <w:tc>
          <w:tcPr>
            <w:tcW w:w="2093" w:type="dxa"/>
          </w:tcPr>
          <w:p w:rsidR="00A20526" w:rsidRPr="00F76012" w:rsidRDefault="002E776C" w:rsidP="00CD308A">
            <w:pPr>
              <w:rPr>
                <w:color w:val="auto"/>
                <w:lang w:eastAsia="en-US"/>
              </w:rPr>
            </w:pPr>
            <w:r w:rsidRPr="00F76012">
              <w:rPr>
                <w:color w:val="auto"/>
                <w:lang w:eastAsia="en-US"/>
              </w:rPr>
              <w:t>AUC 0-</w:t>
            </w:r>
            <w:r w:rsidR="008A014E" w:rsidRPr="00F76012">
              <w:rPr>
                <w:color w:val="auto"/>
                <w:lang w:eastAsia="en-US"/>
              </w:rPr>
              <w:t>∞</w:t>
            </w:r>
          </w:p>
        </w:tc>
        <w:tc>
          <w:tcPr>
            <w:tcW w:w="6627" w:type="dxa"/>
          </w:tcPr>
          <w:p w:rsidR="00A20526" w:rsidRPr="00F76012" w:rsidRDefault="008A014E" w:rsidP="00CD308A">
            <w:pPr>
              <w:rPr>
                <w:color w:val="auto"/>
                <w:lang w:eastAsia="en-US"/>
              </w:rPr>
            </w:pPr>
            <w:r w:rsidRPr="00F76012">
              <w:rPr>
                <w:color w:val="auto"/>
                <w:lang w:eastAsia="en-US"/>
              </w:rPr>
              <w:t>area under the concentration-time curve from time zero (pre-dose)</w:t>
            </w:r>
          </w:p>
        </w:tc>
      </w:tr>
      <w:tr w:rsidR="00A20526" w:rsidRPr="00F76012" w:rsidTr="00270EC3">
        <w:tc>
          <w:tcPr>
            <w:tcW w:w="2093" w:type="dxa"/>
          </w:tcPr>
          <w:p w:rsidR="00A20526" w:rsidRPr="00F76012" w:rsidRDefault="008A014E" w:rsidP="00CD308A">
            <w:pPr>
              <w:rPr>
                <w:color w:val="auto"/>
                <w:lang w:eastAsia="en-US"/>
              </w:rPr>
            </w:pPr>
            <w:r w:rsidRPr="00F76012">
              <w:rPr>
                <w:color w:val="auto"/>
                <w:lang w:eastAsia="en-US"/>
              </w:rPr>
              <w:t>BID</w:t>
            </w:r>
          </w:p>
        </w:tc>
        <w:tc>
          <w:tcPr>
            <w:tcW w:w="6627" w:type="dxa"/>
          </w:tcPr>
          <w:p w:rsidR="00A20526" w:rsidRPr="00F76012" w:rsidRDefault="008A014E" w:rsidP="00CD308A">
            <w:pPr>
              <w:rPr>
                <w:color w:val="auto"/>
                <w:lang w:eastAsia="en-US"/>
              </w:rPr>
            </w:pPr>
            <w:r w:rsidRPr="00F76012">
              <w:rPr>
                <w:rFonts w:asciiTheme="minorHAnsi" w:eastAsiaTheme="minorHAnsi" w:hAnsiTheme="minorHAnsi" w:cs="Verdana"/>
              </w:rPr>
              <w:t>twice daily</w:t>
            </w:r>
          </w:p>
        </w:tc>
      </w:tr>
      <w:tr w:rsidR="00A20526" w:rsidRPr="00F76012" w:rsidTr="00270EC3">
        <w:tc>
          <w:tcPr>
            <w:tcW w:w="2093" w:type="dxa"/>
          </w:tcPr>
          <w:p w:rsidR="00A20526" w:rsidRPr="00F76012" w:rsidRDefault="008E4AAD" w:rsidP="00CD308A">
            <w:pPr>
              <w:rPr>
                <w:color w:val="auto"/>
                <w:lang w:eastAsia="en-US"/>
              </w:rPr>
            </w:pPr>
            <w:r w:rsidRPr="00F76012">
              <w:rPr>
                <w:color w:val="auto"/>
                <w:lang w:eastAsia="en-US"/>
              </w:rPr>
              <w:t>BPI</w:t>
            </w:r>
          </w:p>
        </w:tc>
        <w:tc>
          <w:tcPr>
            <w:tcW w:w="6627" w:type="dxa"/>
          </w:tcPr>
          <w:p w:rsidR="00A20526" w:rsidRPr="00F76012" w:rsidRDefault="008E4AAD" w:rsidP="00CD308A">
            <w:pPr>
              <w:rPr>
                <w:color w:val="auto"/>
                <w:lang w:eastAsia="en-US"/>
              </w:rPr>
            </w:pPr>
            <w:r w:rsidRPr="00F76012">
              <w:rPr>
                <w:rFonts w:asciiTheme="minorHAnsi" w:eastAsiaTheme="minorHAnsi" w:hAnsiTheme="minorHAnsi" w:cs="Verdana"/>
                <w:spacing w:val="-1"/>
              </w:rPr>
              <w:t>Brief</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Pain</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Inventory</w:t>
            </w:r>
          </w:p>
        </w:tc>
      </w:tr>
      <w:tr w:rsidR="00A20526" w:rsidRPr="00F76012" w:rsidTr="00270EC3">
        <w:tc>
          <w:tcPr>
            <w:tcW w:w="2093" w:type="dxa"/>
          </w:tcPr>
          <w:p w:rsidR="00A20526" w:rsidRPr="00F76012" w:rsidRDefault="008E4AAD" w:rsidP="00CD308A">
            <w:pPr>
              <w:rPr>
                <w:color w:val="auto"/>
                <w:lang w:eastAsia="en-US"/>
              </w:rPr>
            </w:pPr>
            <w:r w:rsidRPr="00F76012">
              <w:rPr>
                <w:color w:val="auto"/>
                <w:lang w:eastAsia="en-US"/>
              </w:rPr>
              <w:t>CKD</w:t>
            </w:r>
          </w:p>
        </w:tc>
        <w:tc>
          <w:tcPr>
            <w:tcW w:w="6627" w:type="dxa"/>
          </w:tcPr>
          <w:p w:rsidR="00A20526" w:rsidRPr="00F76012" w:rsidRDefault="00A75C83" w:rsidP="00CD308A">
            <w:pPr>
              <w:rPr>
                <w:color w:val="auto"/>
                <w:lang w:eastAsia="en-US"/>
              </w:rPr>
            </w:pPr>
            <w:r w:rsidRPr="00F76012">
              <w:rPr>
                <w:rFonts w:asciiTheme="minorHAnsi" w:eastAsiaTheme="minorHAnsi" w:hAnsiTheme="minorHAnsi" w:cs="Verdana"/>
                <w:spacing w:val="-1"/>
              </w:rPr>
              <w:t>chronic</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kidney</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disease</w:t>
            </w:r>
          </w:p>
        </w:tc>
      </w:tr>
      <w:tr w:rsidR="00A20526" w:rsidRPr="00F76012" w:rsidTr="00270EC3">
        <w:tc>
          <w:tcPr>
            <w:tcW w:w="2093" w:type="dxa"/>
          </w:tcPr>
          <w:p w:rsidR="00A20526" w:rsidRPr="00F76012" w:rsidRDefault="00E34871" w:rsidP="00CD308A">
            <w:pPr>
              <w:rPr>
                <w:color w:val="auto"/>
                <w:lang w:eastAsia="en-US"/>
              </w:rPr>
            </w:pPr>
            <w:r w:rsidRPr="00F76012">
              <w:rPr>
                <w:color w:val="auto"/>
                <w:lang w:eastAsia="en-US"/>
              </w:rPr>
              <w:t>CI</w:t>
            </w:r>
          </w:p>
        </w:tc>
        <w:tc>
          <w:tcPr>
            <w:tcW w:w="6627" w:type="dxa"/>
          </w:tcPr>
          <w:p w:rsidR="00A20526" w:rsidRPr="00F76012" w:rsidRDefault="00E34871" w:rsidP="00CD308A">
            <w:pPr>
              <w:rPr>
                <w:color w:val="auto"/>
                <w:lang w:eastAsia="en-US"/>
              </w:rPr>
            </w:pPr>
            <w:r w:rsidRPr="00F76012">
              <w:rPr>
                <w:rFonts w:asciiTheme="minorHAnsi" w:eastAsiaTheme="minorHAnsi" w:hAnsiTheme="minorHAnsi" w:cs="Verdana"/>
                <w:spacing w:val="-1"/>
              </w:rPr>
              <w:t>confidence</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spacing w:val="-1"/>
              </w:rPr>
              <w:t>interval</w:t>
            </w:r>
          </w:p>
        </w:tc>
      </w:tr>
      <w:tr w:rsidR="00A20526" w:rsidRPr="00F76012" w:rsidTr="00270EC3">
        <w:tc>
          <w:tcPr>
            <w:tcW w:w="2093" w:type="dxa"/>
          </w:tcPr>
          <w:p w:rsidR="00A20526" w:rsidRPr="00F76012" w:rsidRDefault="00E34871" w:rsidP="00CD308A">
            <w:pPr>
              <w:rPr>
                <w:color w:val="auto"/>
                <w:lang w:eastAsia="en-US"/>
              </w:rPr>
            </w:pPr>
            <w:r w:rsidRPr="00F76012">
              <w:rPr>
                <w:color w:val="auto"/>
                <w:lang w:eastAsia="en-US"/>
              </w:rPr>
              <w:t>CLcr</w:t>
            </w:r>
          </w:p>
        </w:tc>
        <w:tc>
          <w:tcPr>
            <w:tcW w:w="6627" w:type="dxa"/>
          </w:tcPr>
          <w:p w:rsidR="00A20526" w:rsidRPr="00F76012" w:rsidRDefault="00E34871" w:rsidP="00CD308A">
            <w:pPr>
              <w:rPr>
                <w:color w:val="auto"/>
                <w:lang w:eastAsia="en-US"/>
              </w:rPr>
            </w:pPr>
            <w:r w:rsidRPr="00F76012">
              <w:rPr>
                <w:rFonts w:asciiTheme="minorHAnsi" w:eastAsiaTheme="minorHAnsi" w:hAnsiTheme="minorHAnsi" w:cs="Verdana"/>
                <w:spacing w:val="-1"/>
              </w:rPr>
              <w:t>creatinine</w:t>
            </w:r>
            <w:r w:rsidRPr="00F76012">
              <w:rPr>
                <w:rFonts w:asciiTheme="minorHAnsi" w:eastAsiaTheme="minorHAnsi" w:hAnsiTheme="minorHAnsi" w:cs="Verdana"/>
                <w:spacing w:val="-17"/>
              </w:rPr>
              <w:t xml:space="preserve"> </w:t>
            </w:r>
            <w:r w:rsidRPr="00F76012">
              <w:rPr>
                <w:rFonts w:asciiTheme="minorHAnsi" w:eastAsiaTheme="minorHAnsi" w:hAnsiTheme="minorHAnsi" w:cs="Verdana"/>
                <w:spacing w:val="-1"/>
              </w:rPr>
              <w:t>clearance</w:t>
            </w:r>
          </w:p>
        </w:tc>
      </w:tr>
      <w:tr w:rsidR="00A20526" w:rsidRPr="00F76012" w:rsidTr="00270EC3">
        <w:tc>
          <w:tcPr>
            <w:tcW w:w="2093" w:type="dxa"/>
          </w:tcPr>
          <w:p w:rsidR="00A20526" w:rsidRPr="00F76012" w:rsidRDefault="001B2F5C" w:rsidP="00CD308A">
            <w:pPr>
              <w:rPr>
                <w:color w:val="auto"/>
                <w:lang w:eastAsia="en-US"/>
              </w:rPr>
            </w:pPr>
            <w:r w:rsidRPr="00401961">
              <w:t>C</w:t>
            </w:r>
            <w:r w:rsidRPr="00A55E04">
              <w:rPr>
                <w:vertAlign w:val="subscript"/>
              </w:rPr>
              <w:t>max</w:t>
            </w:r>
          </w:p>
        </w:tc>
        <w:tc>
          <w:tcPr>
            <w:tcW w:w="6627" w:type="dxa"/>
          </w:tcPr>
          <w:p w:rsidR="00A20526" w:rsidRPr="00F76012" w:rsidRDefault="00E10D59" w:rsidP="00CD308A">
            <w:pPr>
              <w:rPr>
                <w:color w:val="auto"/>
                <w:lang w:eastAsia="en-US"/>
              </w:rPr>
            </w:pPr>
            <w:r w:rsidRPr="00F76012">
              <w:rPr>
                <w:rFonts w:asciiTheme="minorHAnsi" w:eastAsiaTheme="minorHAnsi" w:hAnsiTheme="minorHAnsi" w:cs="Verdana"/>
                <w:spacing w:val="-1"/>
              </w:rPr>
              <w:t>maximum</w:t>
            </w:r>
            <w:r w:rsidRPr="00F76012">
              <w:rPr>
                <w:rFonts w:asciiTheme="minorHAnsi" w:eastAsiaTheme="minorHAnsi" w:hAnsiTheme="minorHAnsi" w:cs="Verdana"/>
                <w:spacing w:val="-15"/>
              </w:rPr>
              <w:t xml:space="preserve"> </w:t>
            </w:r>
            <w:r w:rsidRPr="00F76012">
              <w:rPr>
                <w:rFonts w:asciiTheme="minorHAnsi" w:eastAsiaTheme="minorHAnsi" w:hAnsiTheme="minorHAnsi" w:cs="Verdana"/>
              </w:rPr>
              <w:t>observed</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spacing w:val="-1"/>
              </w:rPr>
              <w:t>concentration</w:t>
            </w:r>
          </w:p>
        </w:tc>
      </w:tr>
      <w:tr w:rsidR="008B10F2" w:rsidRPr="00F76012" w:rsidTr="00940940">
        <w:tc>
          <w:tcPr>
            <w:tcW w:w="2093" w:type="dxa"/>
          </w:tcPr>
          <w:p w:rsidR="008B10F2" w:rsidRPr="00F76012" w:rsidRDefault="008B10F2" w:rsidP="00CD308A">
            <w:pPr>
              <w:rPr>
                <w:color w:val="auto"/>
                <w:lang w:eastAsia="en-US"/>
              </w:rPr>
            </w:pPr>
            <w:r>
              <w:rPr>
                <w:color w:val="auto"/>
                <w:lang w:eastAsia="en-US"/>
              </w:rPr>
              <w:t>CMI</w:t>
            </w:r>
          </w:p>
        </w:tc>
        <w:tc>
          <w:tcPr>
            <w:tcW w:w="6627" w:type="dxa"/>
          </w:tcPr>
          <w:p w:rsidR="008B10F2" w:rsidRPr="00F76012" w:rsidRDefault="008B10F2" w:rsidP="00CD308A">
            <w:pPr>
              <w:rPr>
                <w:color w:val="auto"/>
                <w:lang w:eastAsia="en-US"/>
              </w:rPr>
            </w:pPr>
            <w:r w:rsidRPr="008B10F2">
              <w:rPr>
                <w:rFonts w:asciiTheme="minorHAnsi" w:eastAsiaTheme="minorHAnsi" w:hAnsiTheme="minorHAnsi" w:cs="Verdana"/>
                <w:spacing w:val="-1"/>
              </w:rPr>
              <w:t>Consumer Medicines Information</w:t>
            </w:r>
          </w:p>
        </w:tc>
      </w:tr>
      <w:tr w:rsidR="00A20526" w:rsidRPr="00F76012" w:rsidTr="00270EC3">
        <w:tc>
          <w:tcPr>
            <w:tcW w:w="2093" w:type="dxa"/>
          </w:tcPr>
          <w:p w:rsidR="00A20526" w:rsidRPr="00F76012" w:rsidRDefault="00E10D59" w:rsidP="00CD308A">
            <w:pPr>
              <w:rPr>
                <w:color w:val="auto"/>
                <w:lang w:eastAsia="en-US"/>
              </w:rPr>
            </w:pPr>
            <w:r w:rsidRPr="00F76012">
              <w:rPr>
                <w:color w:val="auto"/>
                <w:lang w:eastAsia="en-US"/>
              </w:rPr>
              <w:t>Cmin</w:t>
            </w:r>
          </w:p>
        </w:tc>
        <w:tc>
          <w:tcPr>
            <w:tcW w:w="6627" w:type="dxa"/>
          </w:tcPr>
          <w:p w:rsidR="00A20526" w:rsidRPr="00F76012" w:rsidRDefault="00E10D59" w:rsidP="00CD308A">
            <w:pPr>
              <w:rPr>
                <w:color w:val="auto"/>
                <w:lang w:eastAsia="en-US"/>
              </w:rPr>
            </w:pPr>
            <w:r w:rsidRPr="00F76012">
              <w:rPr>
                <w:rFonts w:asciiTheme="minorHAnsi" w:eastAsiaTheme="minorHAnsi" w:hAnsiTheme="minorHAnsi" w:cs="Verdana"/>
                <w:spacing w:val="-1"/>
              </w:rPr>
              <w:t>minimal</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observed</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concentration</w:t>
            </w:r>
          </w:p>
        </w:tc>
      </w:tr>
      <w:tr w:rsidR="00A20526" w:rsidRPr="00F76012" w:rsidTr="00270EC3">
        <w:tc>
          <w:tcPr>
            <w:tcW w:w="2093" w:type="dxa"/>
          </w:tcPr>
          <w:p w:rsidR="00A20526" w:rsidRPr="00F76012" w:rsidRDefault="00E10D59" w:rsidP="00CD308A">
            <w:pPr>
              <w:rPr>
                <w:color w:val="auto"/>
                <w:lang w:eastAsia="en-US"/>
              </w:rPr>
            </w:pPr>
            <w:r w:rsidRPr="00F76012">
              <w:rPr>
                <w:color w:val="auto"/>
                <w:lang w:eastAsia="en-US"/>
              </w:rPr>
              <w:t>CYP450</w:t>
            </w:r>
          </w:p>
        </w:tc>
        <w:tc>
          <w:tcPr>
            <w:tcW w:w="6627" w:type="dxa"/>
          </w:tcPr>
          <w:p w:rsidR="00A20526" w:rsidRPr="00F76012" w:rsidRDefault="00E10D59" w:rsidP="00CD308A">
            <w:pPr>
              <w:rPr>
                <w:color w:val="auto"/>
                <w:lang w:eastAsia="en-US"/>
              </w:rPr>
            </w:pPr>
            <w:r w:rsidRPr="00F76012">
              <w:rPr>
                <w:rFonts w:asciiTheme="minorHAnsi" w:eastAsiaTheme="minorHAnsi" w:hAnsiTheme="minorHAnsi" w:cs="Verdana"/>
                <w:spacing w:val="-1"/>
              </w:rPr>
              <w:t>cytochrome</w:t>
            </w:r>
            <w:r w:rsidRPr="00F76012">
              <w:rPr>
                <w:rFonts w:asciiTheme="minorHAnsi" w:eastAsiaTheme="minorHAnsi" w:hAnsiTheme="minorHAnsi" w:cs="Verdana"/>
                <w:spacing w:val="-16"/>
              </w:rPr>
              <w:t xml:space="preserve"> </w:t>
            </w:r>
            <w:r w:rsidRPr="00F76012">
              <w:rPr>
                <w:rFonts w:asciiTheme="minorHAnsi" w:eastAsiaTheme="minorHAnsi" w:hAnsiTheme="minorHAnsi" w:cs="Verdana"/>
              </w:rPr>
              <w:t>P450</w:t>
            </w:r>
          </w:p>
        </w:tc>
      </w:tr>
      <w:tr w:rsidR="00A20526" w:rsidRPr="00F76012" w:rsidTr="00270EC3">
        <w:tc>
          <w:tcPr>
            <w:tcW w:w="2093" w:type="dxa"/>
          </w:tcPr>
          <w:p w:rsidR="00A20526" w:rsidRPr="00F76012" w:rsidRDefault="005177B7" w:rsidP="00CD308A">
            <w:pPr>
              <w:rPr>
                <w:color w:val="auto"/>
                <w:lang w:eastAsia="en-US"/>
              </w:rPr>
            </w:pPr>
            <w:r w:rsidRPr="00F76012">
              <w:rPr>
                <w:color w:val="auto"/>
                <w:lang w:eastAsia="en-US"/>
              </w:rPr>
              <w:t>E</w:t>
            </w:r>
            <w:r w:rsidR="00306138" w:rsidRPr="00F76012">
              <w:rPr>
                <w:color w:val="auto"/>
                <w:lang w:eastAsia="en-US"/>
              </w:rPr>
              <w:t>CG</w:t>
            </w:r>
          </w:p>
        </w:tc>
        <w:tc>
          <w:tcPr>
            <w:tcW w:w="6627" w:type="dxa"/>
          </w:tcPr>
          <w:p w:rsidR="00A20526" w:rsidRPr="00F76012" w:rsidRDefault="005177B7" w:rsidP="00CD308A">
            <w:pPr>
              <w:rPr>
                <w:color w:val="auto"/>
                <w:lang w:eastAsia="en-US"/>
              </w:rPr>
            </w:pPr>
            <w:r w:rsidRPr="00F76012">
              <w:rPr>
                <w:rFonts w:asciiTheme="minorHAnsi" w:eastAsiaTheme="minorHAnsi" w:hAnsiTheme="minorHAnsi" w:cs="Verdana"/>
                <w:spacing w:val="-1"/>
              </w:rPr>
              <w:t>electrocardiogram</w:t>
            </w:r>
          </w:p>
        </w:tc>
      </w:tr>
      <w:tr w:rsidR="00A20526" w:rsidRPr="00F76012" w:rsidTr="00270EC3">
        <w:tc>
          <w:tcPr>
            <w:tcW w:w="2093" w:type="dxa"/>
          </w:tcPr>
          <w:p w:rsidR="00A20526" w:rsidRPr="00F76012" w:rsidRDefault="00306138" w:rsidP="00CD308A">
            <w:pPr>
              <w:rPr>
                <w:color w:val="auto"/>
                <w:lang w:eastAsia="en-US"/>
              </w:rPr>
            </w:pPr>
            <w:r w:rsidRPr="00F76012">
              <w:rPr>
                <w:color w:val="auto"/>
                <w:lang w:eastAsia="en-US"/>
              </w:rPr>
              <w:t>ECHO</w:t>
            </w:r>
          </w:p>
        </w:tc>
        <w:tc>
          <w:tcPr>
            <w:tcW w:w="6627" w:type="dxa"/>
          </w:tcPr>
          <w:p w:rsidR="00A20526" w:rsidRPr="00F76012" w:rsidRDefault="00306138" w:rsidP="00CD308A">
            <w:pPr>
              <w:rPr>
                <w:color w:val="auto"/>
                <w:lang w:eastAsia="en-US"/>
              </w:rPr>
            </w:pPr>
            <w:r w:rsidRPr="00F76012">
              <w:rPr>
                <w:rFonts w:asciiTheme="minorHAnsi" w:eastAsiaTheme="minorHAnsi" w:hAnsiTheme="minorHAnsi" w:cs="Verdana"/>
                <w:spacing w:val="-1"/>
              </w:rPr>
              <w:t>echocardiography</w:t>
            </w:r>
          </w:p>
        </w:tc>
      </w:tr>
      <w:tr w:rsidR="00A20526" w:rsidRPr="00F76012" w:rsidTr="00270EC3">
        <w:tc>
          <w:tcPr>
            <w:tcW w:w="2093" w:type="dxa"/>
          </w:tcPr>
          <w:p w:rsidR="00A20526" w:rsidRPr="00F76012" w:rsidRDefault="009A17C5" w:rsidP="00CD308A">
            <w:pPr>
              <w:rPr>
                <w:color w:val="auto"/>
                <w:lang w:eastAsia="en-US"/>
              </w:rPr>
            </w:pPr>
            <w:r w:rsidRPr="00F76012">
              <w:rPr>
                <w:color w:val="auto"/>
                <w:lang w:eastAsia="en-US"/>
              </w:rPr>
              <w:lastRenderedPageBreak/>
              <w:t>eGFR</w:t>
            </w:r>
          </w:p>
        </w:tc>
        <w:tc>
          <w:tcPr>
            <w:tcW w:w="6627" w:type="dxa"/>
          </w:tcPr>
          <w:p w:rsidR="00A20526" w:rsidRPr="00F76012" w:rsidRDefault="009A17C5" w:rsidP="00CD308A">
            <w:pPr>
              <w:rPr>
                <w:color w:val="auto"/>
                <w:lang w:eastAsia="en-US"/>
              </w:rPr>
            </w:pPr>
            <w:r w:rsidRPr="00F76012">
              <w:rPr>
                <w:rFonts w:asciiTheme="minorHAnsi" w:eastAsiaTheme="minorHAnsi" w:hAnsiTheme="minorHAnsi" w:cs="Verdana"/>
                <w:spacing w:val="-1"/>
              </w:rPr>
              <w:t>estimated</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glomerular</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filtration</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rate</w:t>
            </w:r>
          </w:p>
        </w:tc>
      </w:tr>
      <w:tr w:rsidR="00A20526" w:rsidRPr="00F76012" w:rsidTr="00270EC3">
        <w:tc>
          <w:tcPr>
            <w:tcW w:w="2093" w:type="dxa"/>
          </w:tcPr>
          <w:p w:rsidR="00A20526" w:rsidRPr="00F76012" w:rsidRDefault="009A17C5" w:rsidP="00CD308A">
            <w:pPr>
              <w:rPr>
                <w:color w:val="auto"/>
                <w:lang w:eastAsia="en-US"/>
              </w:rPr>
            </w:pPr>
            <w:r w:rsidRPr="00F76012">
              <w:rPr>
                <w:color w:val="auto"/>
                <w:lang w:eastAsia="en-US"/>
              </w:rPr>
              <w:t>eGFR CKD-EPI</w:t>
            </w:r>
          </w:p>
        </w:tc>
        <w:tc>
          <w:tcPr>
            <w:tcW w:w="6627" w:type="dxa"/>
          </w:tcPr>
          <w:p w:rsidR="00A20526" w:rsidRPr="00F76012" w:rsidRDefault="009A17C5" w:rsidP="00CD308A">
            <w:pPr>
              <w:rPr>
                <w:color w:val="auto"/>
                <w:lang w:eastAsia="en-US"/>
              </w:rPr>
            </w:pPr>
            <w:r w:rsidRPr="00F76012">
              <w:rPr>
                <w:rFonts w:asciiTheme="minorHAnsi" w:eastAsiaTheme="minorHAnsi" w:hAnsiTheme="minorHAnsi" w:cs="Verdana"/>
                <w:spacing w:val="-1"/>
              </w:rPr>
              <w:t>estimated</w:t>
            </w:r>
            <w:r w:rsidRPr="00F76012">
              <w:rPr>
                <w:rFonts w:asciiTheme="minorHAnsi" w:eastAsiaTheme="minorHAnsi" w:hAnsiTheme="minorHAnsi" w:cs="Verdana"/>
              </w:rPr>
              <w:t xml:space="preserve"> </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glomerular</w:t>
            </w:r>
            <w:r w:rsidRPr="00F76012">
              <w:rPr>
                <w:rFonts w:asciiTheme="minorHAnsi" w:eastAsiaTheme="minorHAnsi" w:hAnsiTheme="minorHAnsi" w:cs="Verdana"/>
              </w:rPr>
              <w:t xml:space="preserve"> </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filtration</w:t>
            </w:r>
            <w:r w:rsidRPr="00F76012">
              <w:rPr>
                <w:rFonts w:asciiTheme="minorHAnsi" w:eastAsiaTheme="minorHAnsi" w:hAnsiTheme="minorHAnsi" w:cs="Verdana"/>
              </w:rPr>
              <w:t xml:space="preserve"> </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 xml:space="preserve">rate </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 xml:space="preserve">based </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 xml:space="preserve">on </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rPr>
              <w:t xml:space="preserve"> </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Chronic</w:t>
            </w:r>
            <w:r w:rsidRPr="00F76012">
              <w:rPr>
                <w:rFonts w:asciiTheme="minorHAnsi" w:eastAsiaTheme="minorHAnsi" w:hAnsiTheme="minorHAnsi" w:cs="Verdana"/>
              </w:rPr>
              <w:t xml:space="preserve"> </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Kidney</w:t>
            </w:r>
            <w:r w:rsidRPr="00F76012">
              <w:rPr>
                <w:rFonts w:asciiTheme="minorHAnsi" w:eastAsiaTheme="minorHAnsi" w:hAnsiTheme="minorHAnsi" w:cs="Verdana"/>
              </w:rPr>
              <w:t xml:space="preserve"> </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Disease</w:t>
            </w:r>
            <w:r w:rsidRPr="00F76012">
              <w:rPr>
                <w:rFonts w:asciiTheme="minorHAnsi" w:eastAsiaTheme="minorHAnsi" w:hAnsiTheme="minorHAnsi" w:cs="Verdana"/>
                <w:spacing w:val="55"/>
                <w:w w:val="99"/>
              </w:rPr>
              <w:t xml:space="preserve"> </w:t>
            </w:r>
            <w:r w:rsidRPr="00F76012">
              <w:rPr>
                <w:rFonts w:asciiTheme="minorHAnsi" w:eastAsiaTheme="minorHAnsi" w:hAnsiTheme="minorHAnsi" w:cs="Verdana"/>
                <w:spacing w:val="-1"/>
              </w:rPr>
              <w:t>Epidemiology</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Collaboration</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equation</w:t>
            </w:r>
          </w:p>
        </w:tc>
      </w:tr>
      <w:tr w:rsidR="00A20526" w:rsidRPr="00F76012" w:rsidTr="00270EC3">
        <w:tc>
          <w:tcPr>
            <w:tcW w:w="2093" w:type="dxa"/>
          </w:tcPr>
          <w:p w:rsidR="00A20526" w:rsidRPr="00F76012" w:rsidRDefault="003D4711" w:rsidP="00CD308A">
            <w:pPr>
              <w:rPr>
                <w:color w:val="auto"/>
                <w:lang w:eastAsia="en-US"/>
              </w:rPr>
            </w:pPr>
            <w:r w:rsidRPr="00F76012">
              <w:rPr>
                <w:color w:val="auto"/>
                <w:lang w:eastAsia="en-US"/>
              </w:rPr>
              <w:t>eGFR MDRD</w:t>
            </w:r>
          </w:p>
        </w:tc>
        <w:tc>
          <w:tcPr>
            <w:tcW w:w="6627" w:type="dxa"/>
          </w:tcPr>
          <w:p w:rsidR="00A20526" w:rsidRPr="00F76012" w:rsidRDefault="003D4711" w:rsidP="00CD308A">
            <w:pPr>
              <w:rPr>
                <w:color w:val="auto"/>
                <w:lang w:eastAsia="en-US"/>
              </w:rPr>
            </w:pPr>
            <w:r w:rsidRPr="00F76012">
              <w:rPr>
                <w:rFonts w:asciiTheme="minorHAnsi" w:eastAsiaTheme="minorHAnsi" w:hAnsiTheme="minorHAnsi" w:cs="Verdana"/>
                <w:spacing w:val="-1"/>
              </w:rPr>
              <w:t>estimated</w:t>
            </w:r>
            <w:r w:rsidRPr="00F76012">
              <w:rPr>
                <w:rFonts w:asciiTheme="minorHAnsi" w:eastAsiaTheme="minorHAnsi" w:hAnsiTheme="minorHAnsi" w:cs="Verdana"/>
                <w:spacing w:val="20"/>
              </w:rPr>
              <w:t xml:space="preserve"> </w:t>
            </w:r>
            <w:r w:rsidRPr="00F76012">
              <w:rPr>
                <w:rFonts w:asciiTheme="minorHAnsi" w:eastAsiaTheme="minorHAnsi" w:hAnsiTheme="minorHAnsi" w:cs="Verdana"/>
                <w:spacing w:val="-1"/>
              </w:rPr>
              <w:t>glomerular</w:t>
            </w:r>
            <w:r w:rsidRPr="00F76012">
              <w:rPr>
                <w:rFonts w:asciiTheme="minorHAnsi" w:eastAsiaTheme="minorHAnsi" w:hAnsiTheme="minorHAnsi" w:cs="Verdana"/>
                <w:spacing w:val="21"/>
              </w:rPr>
              <w:t xml:space="preserve"> </w:t>
            </w:r>
            <w:r w:rsidRPr="00F76012">
              <w:rPr>
                <w:rFonts w:asciiTheme="minorHAnsi" w:eastAsiaTheme="minorHAnsi" w:hAnsiTheme="minorHAnsi" w:cs="Verdana"/>
                <w:spacing w:val="-1"/>
              </w:rPr>
              <w:t>filtration</w:t>
            </w:r>
            <w:r w:rsidRPr="00F76012">
              <w:rPr>
                <w:rFonts w:asciiTheme="minorHAnsi" w:eastAsiaTheme="minorHAnsi" w:hAnsiTheme="minorHAnsi" w:cs="Verdana"/>
                <w:spacing w:val="19"/>
              </w:rPr>
              <w:t xml:space="preserve"> </w:t>
            </w:r>
            <w:r w:rsidRPr="00F76012">
              <w:rPr>
                <w:rFonts w:asciiTheme="minorHAnsi" w:eastAsiaTheme="minorHAnsi" w:hAnsiTheme="minorHAnsi" w:cs="Verdana"/>
              </w:rPr>
              <w:t>rate</w:t>
            </w:r>
            <w:r w:rsidRPr="00F76012">
              <w:rPr>
                <w:rFonts w:asciiTheme="minorHAnsi" w:eastAsiaTheme="minorHAnsi" w:hAnsiTheme="minorHAnsi" w:cs="Verdana"/>
                <w:spacing w:val="21"/>
              </w:rPr>
              <w:t xml:space="preserve"> </w:t>
            </w:r>
            <w:r w:rsidRPr="00F76012">
              <w:rPr>
                <w:rFonts w:asciiTheme="minorHAnsi" w:eastAsiaTheme="minorHAnsi" w:hAnsiTheme="minorHAnsi" w:cs="Verdana"/>
              </w:rPr>
              <w:t>based</w:t>
            </w:r>
            <w:r w:rsidRPr="00F76012">
              <w:rPr>
                <w:rFonts w:asciiTheme="minorHAnsi" w:eastAsiaTheme="minorHAnsi" w:hAnsiTheme="minorHAnsi" w:cs="Verdana"/>
                <w:spacing w:val="22"/>
              </w:rPr>
              <w:t xml:space="preserve"> </w:t>
            </w:r>
            <w:r w:rsidRPr="00F76012">
              <w:rPr>
                <w:rFonts w:asciiTheme="minorHAnsi" w:eastAsiaTheme="minorHAnsi" w:hAnsiTheme="minorHAnsi" w:cs="Verdana"/>
              </w:rPr>
              <w:t>on</w:t>
            </w:r>
            <w:r w:rsidRPr="00F76012">
              <w:rPr>
                <w:rFonts w:asciiTheme="minorHAnsi" w:eastAsiaTheme="minorHAnsi" w:hAnsiTheme="minorHAnsi" w:cs="Verdana"/>
                <w:spacing w:val="19"/>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spacing w:val="21"/>
              </w:rPr>
              <w:t xml:space="preserve"> </w:t>
            </w:r>
            <w:r w:rsidRPr="00F76012">
              <w:rPr>
                <w:rFonts w:asciiTheme="minorHAnsi" w:eastAsiaTheme="minorHAnsi" w:hAnsiTheme="minorHAnsi" w:cs="Verdana"/>
                <w:spacing w:val="-1"/>
              </w:rPr>
              <w:t>Modification</w:t>
            </w:r>
            <w:r w:rsidRPr="00F76012">
              <w:rPr>
                <w:rFonts w:asciiTheme="minorHAnsi" w:eastAsiaTheme="minorHAnsi" w:hAnsiTheme="minorHAnsi" w:cs="Verdana"/>
                <w:spacing w:val="20"/>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19"/>
              </w:rPr>
              <w:t xml:space="preserve"> </w:t>
            </w:r>
            <w:r w:rsidRPr="00F76012">
              <w:rPr>
                <w:rFonts w:asciiTheme="minorHAnsi" w:eastAsiaTheme="minorHAnsi" w:hAnsiTheme="minorHAnsi" w:cs="Verdana"/>
              </w:rPr>
              <w:t>Diet</w:t>
            </w:r>
            <w:r w:rsidRPr="00F76012">
              <w:rPr>
                <w:rFonts w:asciiTheme="minorHAnsi" w:eastAsiaTheme="minorHAnsi" w:hAnsiTheme="minorHAnsi" w:cs="Verdana"/>
                <w:spacing w:val="22"/>
              </w:rPr>
              <w:t xml:space="preserve"> </w:t>
            </w:r>
            <w:r w:rsidRPr="00F76012">
              <w:rPr>
                <w:rFonts w:asciiTheme="minorHAnsi" w:eastAsiaTheme="minorHAnsi" w:hAnsiTheme="minorHAnsi" w:cs="Verdana"/>
              </w:rPr>
              <w:t>in</w:t>
            </w:r>
            <w:r w:rsidRPr="00F76012">
              <w:rPr>
                <w:rFonts w:asciiTheme="minorHAnsi" w:eastAsiaTheme="minorHAnsi" w:hAnsiTheme="minorHAnsi" w:cs="Verdana"/>
                <w:spacing w:val="20"/>
              </w:rPr>
              <w:t xml:space="preserve"> </w:t>
            </w:r>
            <w:r w:rsidRPr="00F76012">
              <w:rPr>
                <w:rFonts w:asciiTheme="minorHAnsi" w:eastAsiaTheme="minorHAnsi" w:hAnsiTheme="minorHAnsi" w:cs="Verdana"/>
                <w:spacing w:val="-1"/>
              </w:rPr>
              <w:t>Renal</w:t>
            </w:r>
            <w:r w:rsidRPr="00F76012">
              <w:rPr>
                <w:rFonts w:asciiTheme="minorHAnsi" w:eastAsiaTheme="minorHAnsi" w:hAnsiTheme="minorHAnsi" w:cs="Verdana"/>
                <w:spacing w:val="61"/>
              </w:rPr>
              <w:t xml:space="preserve"> </w:t>
            </w:r>
            <w:r w:rsidRPr="00F76012">
              <w:rPr>
                <w:rFonts w:asciiTheme="minorHAnsi" w:eastAsiaTheme="minorHAnsi" w:hAnsiTheme="minorHAnsi" w:cs="Verdana"/>
              </w:rPr>
              <w:t>Disease</w:t>
            </w:r>
            <w:r w:rsidRPr="00F76012">
              <w:rPr>
                <w:rFonts w:asciiTheme="minorHAnsi" w:eastAsiaTheme="minorHAnsi" w:hAnsiTheme="minorHAnsi" w:cs="Verdana"/>
                <w:spacing w:val="-14"/>
              </w:rPr>
              <w:t xml:space="preserve"> </w:t>
            </w:r>
            <w:r w:rsidRPr="00F76012">
              <w:rPr>
                <w:rFonts w:asciiTheme="minorHAnsi" w:eastAsiaTheme="minorHAnsi" w:hAnsiTheme="minorHAnsi" w:cs="Verdana"/>
                <w:spacing w:val="-1"/>
              </w:rPr>
              <w:t>equation</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EMA</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European</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Medicines</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Agency</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ERT</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enzyme</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replacement</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therapy</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FDA</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rPr>
              <w:t>Food</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and</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Drug</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Administration (US)</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GAA</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Acid</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α-glucosidase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GFR</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glomerular</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filtration</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rate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GL-3</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globotriaosylceramide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GLA</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gene</w:t>
            </w:r>
            <w:r w:rsidRPr="00F76012">
              <w:rPr>
                <w:rFonts w:asciiTheme="minorHAnsi" w:eastAsiaTheme="minorHAnsi" w:hAnsiTheme="minorHAnsi" w:cs="Verdana"/>
                <w:spacing w:val="-2"/>
              </w:rPr>
              <w:t xml:space="preserve"> </w:t>
            </w:r>
            <w:r w:rsidRPr="00F76012">
              <w:rPr>
                <w:rFonts w:asciiTheme="minorHAnsi" w:eastAsiaTheme="minorHAnsi" w:hAnsiTheme="minorHAnsi" w:cs="Verdana"/>
                <w:spacing w:val="-1"/>
              </w:rPr>
              <w:t xml:space="preserve">encoding α-Gal </w:t>
            </w:r>
            <w:r w:rsidRPr="00F76012">
              <w:rPr>
                <w:rFonts w:asciiTheme="minorHAnsi" w:eastAsiaTheme="minorHAnsi" w:hAnsiTheme="minorHAnsi" w:cs="Verdana"/>
              </w:rPr>
              <w:t>A</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GCP</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Good</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Clinical</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Practice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GLP</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Good</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Laboratory</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Practice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GSRS</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Gastrointestinal</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Symptoms</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spacing w:val="-1"/>
              </w:rPr>
              <w:t>Rating</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Scale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HCl</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hydrochloride</w:t>
            </w:r>
          </w:p>
        </w:tc>
      </w:tr>
      <w:tr w:rsidR="00A20526" w:rsidRPr="00F76012" w:rsidTr="00270EC3">
        <w:tc>
          <w:tcPr>
            <w:tcW w:w="2093" w:type="dxa"/>
          </w:tcPr>
          <w:p w:rsidR="00A20526" w:rsidRPr="00F76012" w:rsidRDefault="005C3693" w:rsidP="00CD308A">
            <w:pPr>
              <w:rPr>
                <w:color w:val="auto"/>
                <w:lang w:eastAsia="en-US"/>
              </w:rPr>
            </w:pPr>
            <w:r w:rsidRPr="00F76012">
              <w:rPr>
                <w:color w:val="auto"/>
                <w:lang w:eastAsia="en-US"/>
              </w:rPr>
              <w:t>HEK</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human</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embryonic</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kidney</w:t>
            </w:r>
          </w:p>
        </w:tc>
      </w:tr>
      <w:tr w:rsidR="00A20526" w:rsidRPr="00F76012" w:rsidTr="00270EC3">
        <w:tc>
          <w:tcPr>
            <w:tcW w:w="2093" w:type="dxa"/>
          </w:tcPr>
          <w:p w:rsidR="00A20526" w:rsidRPr="00F76012" w:rsidRDefault="005C3693" w:rsidP="00CD308A">
            <w:pPr>
              <w:rPr>
                <w:color w:val="auto"/>
                <w:lang w:eastAsia="en-US"/>
              </w:rPr>
            </w:pPr>
            <w:r w:rsidRPr="00F76012">
              <w:rPr>
                <w:rFonts w:asciiTheme="minorHAnsi" w:eastAsiaTheme="minorHAnsi" w:hAnsiTheme="minorHAnsi" w:cs="Verdana"/>
                <w:spacing w:val="-1"/>
              </w:rPr>
              <w:t>hR301Q</w:t>
            </w:r>
            <w:r w:rsidRPr="00F76012">
              <w:rPr>
                <w:rFonts w:asciiTheme="minorHAnsi" w:eastAsiaTheme="minorHAnsi" w:hAnsiTheme="minorHAnsi" w:cs="Verdana"/>
                <w:spacing w:val="62"/>
              </w:rPr>
              <w:t xml:space="preserve"> </w:t>
            </w:r>
            <w:r w:rsidRPr="00F76012">
              <w:rPr>
                <w:rFonts w:asciiTheme="minorHAnsi" w:eastAsiaTheme="minorHAnsi" w:hAnsiTheme="minorHAnsi" w:cs="Verdana"/>
                <w:spacing w:val="-1"/>
              </w:rPr>
              <w:t>α-Gal</w:t>
            </w:r>
            <w:r w:rsidRPr="00F76012">
              <w:rPr>
                <w:rFonts w:asciiTheme="minorHAnsi" w:eastAsiaTheme="minorHAnsi" w:hAnsiTheme="minorHAnsi" w:cs="Verdana"/>
              </w:rPr>
              <w:t xml:space="preserve">  A</w:t>
            </w:r>
            <w:r w:rsidRPr="00F76012">
              <w:rPr>
                <w:rFonts w:asciiTheme="minorHAnsi" w:eastAsiaTheme="minorHAnsi" w:hAnsiTheme="minorHAnsi" w:cs="Verdana"/>
                <w:spacing w:val="27"/>
                <w:w w:val="99"/>
              </w:rPr>
              <w:t xml:space="preserve"> </w:t>
            </w:r>
            <w:r w:rsidRPr="00F76012">
              <w:rPr>
                <w:rFonts w:asciiTheme="minorHAnsi" w:eastAsiaTheme="minorHAnsi" w:hAnsiTheme="minorHAnsi" w:cs="Verdana"/>
                <w:spacing w:val="-1"/>
              </w:rPr>
              <w:t>Tg/KO</w:t>
            </w:r>
          </w:p>
        </w:tc>
        <w:tc>
          <w:tcPr>
            <w:tcW w:w="6627" w:type="dxa"/>
          </w:tcPr>
          <w:p w:rsidR="00A20526" w:rsidRPr="00F76012" w:rsidRDefault="005C3693" w:rsidP="00CD308A">
            <w:pPr>
              <w:rPr>
                <w:color w:val="auto"/>
                <w:lang w:eastAsia="en-US"/>
              </w:rPr>
            </w:pPr>
            <w:r w:rsidRPr="00F76012">
              <w:rPr>
                <w:rFonts w:asciiTheme="minorHAnsi" w:eastAsiaTheme="minorHAnsi" w:hAnsiTheme="minorHAnsi" w:cs="Verdana"/>
                <w:spacing w:val="-1"/>
              </w:rPr>
              <w:t>mouse</w:t>
            </w:r>
            <w:r w:rsidRPr="00F76012">
              <w:rPr>
                <w:rFonts w:asciiTheme="minorHAnsi" w:eastAsiaTheme="minorHAnsi" w:hAnsiTheme="minorHAnsi" w:cs="Verdana"/>
                <w:spacing w:val="16"/>
              </w:rPr>
              <w:t xml:space="preserve"> </w:t>
            </w:r>
            <w:r w:rsidRPr="00F76012">
              <w:rPr>
                <w:rFonts w:asciiTheme="minorHAnsi" w:eastAsiaTheme="minorHAnsi" w:hAnsiTheme="minorHAnsi" w:cs="Verdana"/>
                <w:spacing w:val="-1"/>
              </w:rPr>
              <w:t>model</w:t>
            </w:r>
            <w:r w:rsidRPr="00F76012">
              <w:rPr>
                <w:rFonts w:asciiTheme="minorHAnsi" w:eastAsiaTheme="minorHAnsi" w:hAnsiTheme="minorHAnsi" w:cs="Verdana"/>
                <w:spacing w:val="18"/>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16"/>
              </w:rPr>
              <w:t xml:space="preserve"> </w:t>
            </w:r>
            <w:r w:rsidRPr="00F76012">
              <w:rPr>
                <w:rFonts w:asciiTheme="minorHAnsi" w:eastAsiaTheme="minorHAnsi" w:hAnsiTheme="minorHAnsi" w:cs="Verdana"/>
              </w:rPr>
              <w:t>Fabry</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rPr>
              <w:t>disease</w:t>
            </w:r>
            <w:r w:rsidRPr="00F76012">
              <w:rPr>
                <w:rFonts w:asciiTheme="minorHAnsi" w:eastAsiaTheme="minorHAnsi" w:hAnsiTheme="minorHAnsi" w:cs="Verdana"/>
                <w:spacing w:val="15"/>
              </w:rPr>
              <w:t xml:space="preserve"> </w:t>
            </w:r>
            <w:r w:rsidRPr="00F76012">
              <w:rPr>
                <w:rFonts w:asciiTheme="minorHAnsi" w:eastAsiaTheme="minorHAnsi" w:hAnsiTheme="minorHAnsi" w:cs="Verdana"/>
                <w:spacing w:val="-1"/>
              </w:rPr>
              <w:t>that</w:t>
            </w:r>
            <w:r w:rsidRPr="00F76012">
              <w:rPr>
                <w:rFonts w:asciiTheme="minorHAnsi" w:eastAsiaTheme="minorHAnsi" w:hAnsiTheme="minorHAnsi" w:cs="Verdana"/>
                <w:spacing w:val="17"/>
              </w:rPr>
              <w:t xml:space="preserve"> </w:t>
            </w:r>
            <w:r w:rsidRPr="00F76012">
              <w:rPr>
                <w:rFonts w:asciiTheme="minorHAnsi" w:eastAsiaTheme="minorHAnsi" w:hAnsiTheme="minorHAnsi" w:cs="Verdana"/>
                <w:spacing w:val="-1"/>
              </w:rPr>
              <w:t>expresses</w:t>
            </w:r>
            <w:r w:rsidRPr="00F76012">
              <w:rPr>
                <w:rFonts w:asciiTheme="minorHAnsi" w:eastAsiaTheme="minorHAnsi" w:hAnsiTheme="minorHAnsi" w:cs="Verdana"/>
                <w:spacing w:val="14"/>
              </w:rPr>
              <w:t xml:space="preserve"> </w:t>
            </w:r>
            <w:r w:rsidRPr="00F76012">
              <w:rPr>
                <w:rFonts w:asciiTheme="minorHAnsi" w:eastAsiaTheme="minorHAnsi" w:hAnsiTheme="minorHAnsi" w:cs="Verdana"/>
              </w:rPr>
              <w:t>a</w:t>
            </w:r>
            <w:r w:rsidRPr="00F76012">
              <w:rPr>
                <w:rFonts w:asciiTheme="minorHAnsi" w:eastAsiaTheme="minorHAnsi" w:hAnsiTheme="minorHAnsi" w:cs="Verdana"/>
                <w:spacing w:val="16"/>
              </w:rPr>
              <w:t xml:space="preserve"> </w:t>
            </w:r>
            <w:r w:rsidRPr="00F76012">
              <w:rPr>
                <w:rFonts w:asciiTheme="minorHAnsi" w:eastAsiaTheme="minorHAnsi" w:hAnsiTheme="minorHAnsi" w:cs="Verdana"/>
                <w:spacing w:val="-1"/>
              </w:rPr>
              <w:t>human</w:t>
            </w:r>
            <w:r w:rsidRPr="00F76012">
              <w:rPr>
                <w:rFonts w:asciiTheme="minorHAnsi" w:eastAsiaTheme="minorHAnsi" w:hAnsiTheme="minorHAnsi" w:cs="Verdana"/>
                <w:spacing w:val="15"/>
              </w:rPr>
              <w:t xml:space="preserve"> </w:t>
            </w:r>
            <w:r w:rsidRPr="00F76012">
              <w:rPr>
                <w:rFonts w:asciiTheme="minorHAnsi" w:eastAsiaTheme="minorHAnsi" w:hAnsiTheme="minorHAnsi" w:cs="Verdana"/>
                <w:spacing w:val="-1"/>
              </w:rPr>
              <w:t>mutant</w:t>
            </w:r>
            <w:r w:rsidRPr="00F76012">
              <w:rPr>
                <w:rFonts w:asciiTheme="minorHAnsi" w:eastAsiaTheme="minorHAnsi" w:hAnsiTheme="minorHAnsi" w:cs="Verdana"/>
                <w:spacing w:val="17"/>
              </w:rPr>
              <w:t xml:space="preserve"> </w:t>
            </w:r>
            <w:r w:rsidRPr="00F76012">
              <w:rPr>
                <w:rFonts w:asciiTheme="minorHAnsi" w:eastAsiaTheme="minorHAnsi" w:hAnsiTheme="minorHAnsi" w:cs="Verdana"/>
              </w:rPr>
              <w:t>α-Gal</w:t>
            </w:r>
            <w:r w:rsidRPr="00F76012">
              <w:rPr>
                <w:rFonts w:asciiTheme="minorHAnsi" w:eastAsiaTheme="minorHAnsi" w:hAnsiTheme="minorHAnsi" w:cs="Verdana"/>
                <w:spacing w:val="17"/>
              </w:rPr>
              <w:t xml:space="preserve"> </w:t>
            </w:r>
            <w:r w:rsidRPr="00F76012">
              <w:rPr>
                <w:rFonts w:asciiTheme="minorHAnsi" w:eastAsiaTheme="minorHAnsi" w:hAnsiTheme="minorHAnsi" w:cs="Verdana"/>
              </w:rPr>
              <w:t>A</w:t>
            </w:r>
            <w:r w:rsidRPr="00F76012">
              <w:rPr>
                <w:rFonts w:asciiTheme="minorHAnsi" w:eastAsiaTheme="minorHAnsi" w:hAnsiTheme="minorHAnsi" w:cs="Verdana"/>
                <w:spacing w:val="49"/>
                <w:w w:val="99"/>
              </w:rPr>
              <w:t xml:space="preserve"> </w:t>
            </w:r>
            <w:r w:rsidRPr="00F76012">
              <w:rPr>
                <w:rFonts w:asciiTheme="minorHAnsi" w:eastAsiaTheme="minorHAnsi" w:hAnsiTheme="minorHAnsi" w:cs="Verdana"/>
                <w:spacing w:val="-1"/>
              </w:rPr>
              <w:t>transgene</w:t>
            </w:r>
            <w:r w:rsidRPr="00F76012">
              <w:rPr>
                <w:rFonts w:asciiTheme="minorHAnsi" w:eastAsiaTheme="minorHAnsi" w:hAnsiTheme="minorHAnsi" w:cs="Verdana"/>
                <w:spacing w:val="33"/>
              </w:rPr>
              <w:t xml:space="preserve"> </w:t>
            </w:r>
            <w:r w:rsidRPr="00F76012">
              <w:rPr>
                <w:rFonts w:asciiTheme="minorHAnsi" w:eastAsiaTheme="minorHAnsi" w:hAnsiTheme="minorHAnsi" w:cs="Verdana"/>
              </w:rPr>
              <w:t>(R301Q,</w:t>
            </w:r>
            <w:r w:rsidRPr="00F76012">
              <w:rPr>
                <w:rFonts w:asciiTheme="minorHAnsi" w:eastAsiaTheme="minorHAnsi" w:hAnsiTheme="minorHAnsi" w:cs="Verdana"/>
                <w:spacing w:val="33"/>
              </w:rPr>
              <w:t xml:space="preserve"> </w:t>
            </w:r>
            <w:r w:rsidRPr="00F76012">
              <w:rPr>
                <w:rFonts w:asciiTheme="minorHAnsi" w:eastAsiaTheme="minorHAnsi" w:hAnsiTheme="minorHAnsi" w:cs="Verdana"/>
              </w:rPr>
              <w:t>found</w:t>
            </w:r>
            <w:r w:rsidRPr="00F76012">
              <w:rPr>
                <w:rFonts w:asciiTheme="minorHAnsi" w:eastAsiaTheme="minorHAnsi" w:hAnsiTheme="minorHAnsi" w:cs="Verdana"/>
                <w:spacing w:val="34"/>
              </w:rPr>
              <w:t xml:space="preserve"> </w:t>
            </w:r>
            <w:r w:rsidRPr="00F76012">
              <w:rPr>
                <w:rFonts w:asciiTheme="minorHAnsi" w:eastAsiaTheme="minorHAnsi" w:hAnsiTheme="minorHAnsi" w:cs="Verdana"/>
              </w:rPr>
              <w:t>in</w:t>
            </w:r>
            <w:r w:rsidRPr="00F76012">
              <w:rPr>
                <w:rFonts w:asciiTheme="minorHAnsi" w:eastAsiaTheme="minorHAnsi" w:hAnsiTheme="minorHAnsi" w:cs="Verdana"/>
                <w:spacing w:val="34"/>
              </w:rPr>
              <w:t xml:space="preserve"> </w:t>
            </w:r>
            <w:r w:rsidRPr="00F76012">
              <w:rPr>
                <w:rFonts w:asciiTheme="minorHAnsi" w:eastAsiaTheme="minorHAnsi" w:hAnsiTheme="minorHAnsi" w:cs="Verdana"/>
              </w:rPr>
              <w:t>Fabry</w:t>
            </w:r>
            <w:r w:rsidRPr="00F76012">
              <w:rPr>
                <w:rFonts w:asciiTheme="minorHAnsi" w:eastAsiaTheme="minorHAnsi" w:hAnsiTheme="minorHAnsi" w:cs="Verdana"/>
                <w:spacing w:val="35"/>
              </w:rPr>
              <w:t xml:space="preserve"> </w:t>
            </w:r>
            <w:r w:rsidRPr="00F76012">
              <w:rPr>
                <w:rFonts w:asciiTheme="minorHAnsi" w:eastAsiaTheme="minorHAnsi" w:hAnsiTheme="minorHAnsi" w:cs="Verdana"/>
              </w:rPr>
              <w:t>disease)</w:t>
            </w:r>
            <w:r w:rsidRPr="00F76012">
              <w:rPr>
                <w:rFonts w:asciiTheme="minorHAnsi" w:eastAsiaTheme="minorHAnsi" w:hAnsiTheme="minorHAnsi" w:cs="Verdana"/>
                <w:spacing w:val="34"/>
              </w:rPr>
              <w:t xml:space="preserve"> </w:t>
            </w:r>
            <w:r w:rsidRPr="00F76012">
              <w:rPr>
                <w:rFonts w:asciiTheme="minorHAnsi" w:eastAsiaTheme="minorHAnsi" w:hAnsiTheme="minorHAnsi" w:cs="Verdana"/>
              </w:rPr>
              <w:t>on</w:t>
            </w:r>
            <w:r w:rsidRPr="00F76012">
              <w:rPr>
                <w:rFonts w:asciiTheme="minorHAnsi" w:eastAsiaTheme="minorHAnsi" w:hAnsiTheme="minorHAnsi" w:cs="Verdana"/>
                <w:spacing w:val="32"/>
              </w:rPr>
              <w:t xml:space="preserve"> </w:t>
            </w:r>
            <w:r w:rsidRPr="00F76012">
              <w:rPr>
                <w:rFonts w:asciiTheme="minorHAnsi" w:eastAsiaTheme="minorHAnsi" w:hAnsiTheme="minorHAnsi" w:cs="Verdana"/>
              </w:rPr>
              <w:t>a</w:t>
            </w:r>
            <w:r w:rsidRPr="00F76012">
              <w:rPr>
                <w:rFonts w:asciiTheme="minorHAnsi" w:eastAsiaTheme="minorHAnsi" w:hAnsiTheme="minorHAnsi" w:cs="Verdana"/>
                <w:spacing w:val="36"/>
              </w:rPr>
              <w:t xml:space="preserve"> </w:t>
            </w:r>
            <w:r w:rsidRPr="00F76012">
              <w:rPr>
                <w:rFonts w:asciiTheme="minorHAnsi" w:eastAsiaTheme="minorHAnsi" w:hAnsiTheme="minorHAnsi" w:cs="Verdana"/>
                <w:spacing w:val="-1"/>
              </w:rPr>
              <w:t>mouse</w:t>
            </w:r>
            <w:r w:rsidRPr="00F76012">
              <w:rPr>
                <w:rFonts w:asciiTheme="minorHAnsi" w:eastAsiaTheme="minorHAnsi" w:hAnsiTheme="minorHAnsi" w:cs="Verdana"/>
                <w:spacing w:val="34"/>
              </w:rPr>
              <w:t xml:space="preserve"> </w:t>
            </w:r>
            <w:r w:rsidRPr="00F76012">
              <w:rPr>
                <w:rFonts w:asciiTheme="minorHAnsi" w:eastAsiaTheme="minorHAnsi" w:hAnsiTheme="minorHAnsi" w:cs="Verdana"/>
                <w:spacing w:val="1"/>
              </w:rPr>
              <w:t>Gla</w:t>
            </w:r>
            <w:r w:rsidRPr="00F76012">
              <w:rPr>
                <w:rFonts w:asciiTheme="minorHAnsi" w:eastAsiaTheme="minorHAnsi" w:hAnsiTheme="minorHAnsi" w:cs="Verdana"/>
                <w:spacing w:val="36"/>
              </w:rPr>
              <w:t xml:space="preserve"> </w:t>
            </w:r>
            <w:r w:rsidRPr="00F76012">
              <w:rPr>
                <w:rFonts w:asciiTheme="minorHAnsi" w:eastAsiaTheme="minorHAnsi" w:hAnsiTheme="minorHAnsi" w:cs="Verdana"/>
                <w:spacing w:val="-1"/>
              </w:rPr>
              <w:t>knockout</w:t>
            </w:r>
            <w:r w:rsidRPr="00F76012">
              <w:rPr>
                <w:rFonts w:asciiTheme="minorHAnsi" w:eastAsiaTheme="minorHAnsi" w:hAnsiTheme="minorHAnsi" w:cs="Verdana"/>
                <w:spacing w:val="39"/>
              </w:rPr>
              <w:t xml:space="preserve"> </w:t>
            </w:r>
            <w:r w:rsidRPr="00F76012">
              <w:rPr>
                <w:rFonts w:asciiTheme="minorHAnsi" w:eastAsiaTheme="minorHAnsi" w:hAnsiTheme="minorHAnsi" w:cs="Verdana"/>
                <w:spacing w:val="-1"/>
              </w:rPr>
              <w:t>background</w:t>
            </w:r>
          </w:p>
        </w:tc>
      </w:tr>
      <w:tr w:rsidR="00A20526" w:rsidRPr="00F76012" w:rsidTr="00270EC3">
        <w:tc>
          <w:tcPr>
            <w:tcW w:w="2093" w:type="dxa"/>
          </w:tcPr>
          <w:p w:rsidR="00A20526" w:rsidRPr="00F76012" w:rsidRDefault="0017001C" w:rsidP="00CD308A">
            <w:pPr>
              <w:rPr>
                <w:color w:val="auto"/>
                <w:lang w:eastAsia="en-US"/>
              </w:rPr>
            </w:pPr>
            <w:r w:rsidRPr="00F76012">
              <w:rPr>
                <w:color w:val="auto"/>
                <w:lang w:eastAsia="en-US"/>
              </w:rPr>
              <w:t>hERG</w:t>
            </w:r>
          </w:p>
        </w:tc>
        <w:tc>
          <w:tcPr>
            <w:tcW w:w="6627" w:type="dxa"/>
          </w:tcPr>
          <w:p w:rsidR="00A20526" w:rsidRPr="00F76012" w:rsidRDefault="0017001C" w:rsidP="00CD308A">
            <w:pPr>
              <w:rPr>
                <w:color w:val="auto"/>
                <w:lang w:eastAsia="en-US"/>
              </w:rPr>
            </w:pPr>
            <w:r w:rsidRPr="00F76012">
              <w:rPr>
                <w:rFonts w:asciiTheme="minorHAnsi" w:eastAsiaTheme="minorHAnsi" w:hAnsiTheme="minorHAnsi" w:cs="Verdana"/>
                <w:spacing w:val="-1"/>
              </w:rPr>
              <w:t>human</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ether-a-go-go</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related</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gene</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IAR</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infusion-associated</w:t>
            </w:r>
            <w:r w:rsidRPr="00F76012">
              <w:rPr>
                <w:rFonts w:asciiTheme="minorHAnsi" w:eastAsiaTheme="minorHAnsi" w:hAnsiTheme="minorHAnsi" w:cs="Verdana"/>
                <w:spacing w:val="-20"/>
              </w:rPr>
              <w:t xml:space="preserve"> </w:t>
            </w:r>
            <w:r w:rsidRPr="00F76012">
              <w:rPr>
                <w:rFonts w:asciiTheme="minorHAnsi" w:eastAsiaTheme="minorHAnsi" w:hAnsiTheme="minorHAnsi" w:cs="Verdana"/>
                <w:spacing w:val="-1"/>
              </w:rPr>
              <w:t>reaction</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IC</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interstitial</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capillary</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IC 50</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half</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maximal</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inhibitory</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concentration</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ICH</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International</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Conference</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on</w:t>
            </w:r>
            <w:r w:rsidRPr="00F76012">
              <w:rPr>
                <w:rFonts w:asciiTheme="minorHAnsi" w:eastAsiaTheme="minorHAnsi" w:hAnsiTheme="minorHAnsi" w:cs="Verdana"/>
                <w:spacing w:val="-12"/>
              </w:rPr>
              <w:t xml:space="preserve"> </w:t>
            </w:r>
            <w:r w:rsidRPr="00F76012">
              <w:rPr>
                <w:rFonts w:asciiTheme="minorHAnsi" w:eastAsiaTheme="minorHAnsi" w:hAnsiTheme="minorHAnsi" w:cs="Verdana"/>
                <w:spacing w:val="-1"/>
              </w:rPr>
              <w:t>Harmonisation</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ITT</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intent</w:t>
            </w:r>
            <w:r w:rsidRPr="00F76012">
              <w:rPr>
                <w:rFonts w:asciiTheme="minorHAnsi" w:eastAsiaTheme="minorHAnsi" w:hAnsiTheme="minorHAnsi" w:cs="Verdana"/>
                <w:spacing w:val="-5"/>
              </w:rPr>
              <w:t xml:space="preserve"> </w:t>
            </w:r>
            <w:r w:rsidRPr="00F76012">
              <w:rPr>
                <w:rFonts w:asciiTheme="minorHAnsi" w:eastAsiaTheme="minorHAnsi" w:hAnsiTheme="minorHAnsi" w:cs="Verdana"/>
              </w:rPr>
              <w:t>to</w:t>
            </w:r>
            <w:r w:rsidRPr="00F76012">
              <w:rPr>
                <w:rFonts w:asciiTheme="minorHAnsi" w:eastAsiaTheme="minorHAnsi" w:hAnsiTheme="minorHAnsi" w:cs="Verdana"/>
                <w:spacing w:val="-4"/>
              </w:rPr>
              <w:t xml:space="preserve"> </w:t>
            </w:r>
            <w:r w:rsidRPr="00F76012">
              <w:rPr>
                <w:rFonts w:asciiTheme="minorHAnsi" w:eastAsiaTheme="minorHAnsi" w:hAnsiTheme="minorHAnsi" w:cs="Verdana"/>
                <w:spacing w:val="-1"/>
              </w:rPr>
              <w:t>treat</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IV</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Intravenous</w:t>
            </w:r>
          </w:p>
        </w:tc>
      </w:tr>
      <w:tr w:rsidR="00A20526" w:rsidRPr="00F76012" w:rsidTr="00270EC3">
        <w:tc>
          <w:tcPr>
            <w:tcW w:w="2093" w:type="dxa"/>
          </w:tcPr>
          <w:p w:rsidR="00A20526" w:rsidRPr="00F76012" w:rsidRDefault="00543765" w:rsidP="00CD308A">
            <w:pPr>
              <w:rPr>
                <w:color w:val="auto"/>
                <w:lang w:eastAsia="en-US"/>
              </w:rPr>
            </w:pPr>
            <w:r w:rsidRPr="00F76012">
              <w:rPr>
                <w:color w:val="auto"/>
                <w:lang w:eastAsia="en-US"/>
              </w:rPr>
              <w:t>Ki</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dissociation</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constant</w:t>
            </w:r>
            <w:r w:rsidRPr="00F76012">
              <w:rPr>
                <w:rFonts w:asciiTheme="minorHAnsi" w:eastAsiaTheme="minorHAnsi" w:hAnsiTheme="minorHAnsi" w:cs="Verdana"/>
                <w:spacing w:val="-4"/>
              </w:rPr>
              <w:t xml:space="preserve"> </w:t>
            </w:r>
            <w:r w:rsidRPr="00F76012">
              <w:rPr>
                <w:rFonts w:asciiTheme="minorHAnsi" w:eastAsiaTheme="minorHAnsi" w:hAnsiTheme="minorHAnsi" w:cs="Verdana"/>
                <w:spacing w:val="-1"/>
              </w:rPr>
              <w:t>for</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binding</w:t>
            </w:r>
            <w:r w:rsidRPr="00F76012">
              <w:rPr>
                <w:rFonts w:asciiTheme="minorHAnsi" w:eastAsiaTheme="minorHAnsi" w:hAnsiTheme="minorHAnsi" w:cs="Verdana"/>
                <w:spacing w:val="-5"/>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inhibitor</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to</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enzyme</w:t>
            </w:r>
          </w:p>
        </w:tc>
      </w:tr>
      <w:tr w:rsidR="00A20526" w:rsidRPr="00F76012" w:rsidTr="00270EC3">
        <w:tc>
          <w:tcPr>
            <w:tcW w:w="2093" w:type="dxa"/>
          </w:tcPr>
          <w:p w:rsidR="00A20526" w:rsidRPr="00F76012" w:rsidRDefault="00543765" w:rsidP="00CD308A">
            <w:pPr>
              <w:rPr>
                <w:color w:val="auto"/>
                <w:lang w:eastAsia="en-US"/>
              </w:rPr>
            </w:pPr>
            <w:r w:rsidRPr="00F76012">
              <w:rPr>
                <w:rFonts w:asciiTheme="minorHAnsi" w:eastAsiaTheme="minorHAnsi" w:hAnsiTheme="minorHAnsi" w:cs="Verdana"/>
                <w:spacing w:val="-1"/>
              </w:rPr>
              <w:lastRenderedPageBreak/>
              <w:t>LC-MS/MS</w:t>
            </w:r>
          </w:p>
        </w:tc>
        <w:tc>
          <w:tcPr>
            <w:tcW w:w="6627" w:type="dxa"/>
          </w:tcPr>
          <w:p w:rsidR="00A20526" w:rsidRPr="00F76012" w:rsidRDefault="00543765" w:rsidP="00CD308A">
            <w:pPr>
              <w:rPr>
                <w:color w:val="auto"/>
                <w:lang w:eastAsia="en-US"/>
              </w:rPr>
            </w:pPr>
            <w:r w:rsidRPr="00F76012">
              <w:rPr>
                <w:rFonts w:asciiTheme="minorHAnsi" w:eastAsiaTheme="minorHAnsi" w:hAnsiTheme="minorHAnsi" w:cs="Verdana"/>
                <w:spacing w:val="-1"/>
              </w:rPr>
              <w:t>liquid</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chromatography</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with</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tandem</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mass</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spectrometry</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method</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LLOQ</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lower</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limit</w:t>
            </w:r>
            <w:r w:rsidRPr="00F76012">
              <w:rPr>
                <w:rFonts w:asciiTheme="minorHAnsi" w:eastAsiaTheme="minorHAnsi" w:hAnsiTheme="minorHAnsi" w:cs="Verdana"/>
                <w:spacing w:val="-4"/>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quantitation</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LV</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left</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ventricular</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LVH</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left</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ventricular</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hypertrophy</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LVMi</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left</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ventricular</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mass</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index</w:t>
            </w:r>
          </w:p>
        </w:tc>
      </w:tr>
      <w:tr w:rsidR="00A20526" w:rsidRPr="00F76012" w:rsidTr="00270EC3">
        <w:tc>
          <w:tcPr>
            <w:tcW w:w="2093" w:type="dxa"/>
          </w:tcPr>
          <w:p w:rsidR="00A20526" w:rsidRPr="00F76012" w:rsidRDefault="003F18AC" w:rsidP="00CD308A">
            <w:pPr>
              <w:rPr>
                <w:color w:val="auto"/>
                <w:lang w:eastAsia="en-US"/>
              </w:rPr>
            </w:pPr>
            <w:r w:rsidRPr="00F76012">
              <w:rPr>
                <w:rFonts w:asciiTheme="minorHAnsi" w:eastAsiaTheme="minorHAnsi" w:hAnsiTheme="minorHAnsi" w:cs="Verdana"/>
                <w:spacing w:val="-1"/>
              </w:rPr>
              <w:t>lyso-Gb</w:t>
            </w:r>
            <w:r w:rsidRPr="00F76012">
              <w:rPr>
                <w:rFonts w:asciiTheme="minorHAnsi" w:eastAsiaTheme="minorHAnsi" w:hAnsiTheme="minorHAnsi" w:cs="Verdana"/>
                <w:spacing w:val="-1"/>
                <w:position w:val="-3"/>
              </w:rPr>
              <w:t>3</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globotriaosylsphingosine</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mGFR</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measured</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glomerular</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filtration</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rate</w:t>
            </w:r>
          </w:p>
        </w:tc>
      </w:tr>
      <w:tr w:rsidR="00A20526" w:rsidRPr="00F76012" w:rsidTr="00270EC3">
        <w:tc>
          <w:tcPr>
            <w:tcW w:w="2093" w:type="dxa"/>
          </w:tcPr>
          <w:p w:rsidR="00A20526" w:rsidRPr="00F76012" w:rsidRDefault="003F18AC" w:rsidP="00CD308A">
            <w:pPr>
              <w:rPr>
                <w:color w:val="auto"/>
                <w:lang w:eastAsia="en-US"/>
              </w:rPr>
            </w:pPr>
            <w:r w:rsidRPr="00F76012">
              <w:rPr>
                <w:rFonts w:asciiTheme="minorHAnsi" w:eastAsiaTheme="minorHAnsi" w:hAnsiTheme="minorHAnsi" w:cs="Verdana"/>
                <w:spacing w:val="-1"/>
                <w:position w:val="3"/>
              </w:rPr>
              <w:t xml:space="preserve">mGFR </w:t>
            </w:r>
            <w:r w:rsidRPr="002F1C2F">
              <w:rPr>
                <w:rFonts w:asciiTheme="minorHAnsi" w:eastAsiaTheme="minorHAnsi" w:hAnsiTheme="minorHAnsi" w:cs="Verdana"/>
                <w:spacing w:val="-1"/>
                <w:vertAlign w:val="subscript"/>
              </w:rPr>
              <w:t>iohexol</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glomerular</w:t>
            </w:r>
            <w:r w:rsidRPr="00F76012">
              <w:rPr>
                <w:rFonts w:asciiTheme="minorHAnsi" w:eastAsiaTheme="minorHAnsi" w:hAnsiTheme="minorHAnsi" w:cs="Verdana"/>
              </w:rPr>
              <w:t xml:space="preserve"> </w:t>
            </w:r>
            <w:r w:rsidRPr="00F76012">
              <w:rPr>
                <w:rFonts w:asciiTheme="minorHAnsi" w:eastAsiaTheme="minorHAnsi" w:hAnsiTheme="minorHAnsi" w:cs="Verdana"/>
                <w:spacing w:val="1"/>
              </w:rPr>
              <w:t xml:space="preserve"> </w:t>
            </w:r>
            <w:r w:rsidRPr="00F76012">
              <w:rPr>
                <w:rFonts w:asciiTheme="minorHAnsi" w:eastAsiaTheme="minorHAnsi" w:hAnsiTheme="minorHAnsi" w:cs="Verdana"/>
                <w:spacing w:val="-1"/>
              </w:rPr>
              <w:t>filtration</w:t>
            </w:r>
            <w:r w:rsidRPr="00F76012">
              <w:rPr>
                <w:rFonts w:asciiTheme="minorHAnsi" w:eastAsiaTheme="minorHAnsi" w:hAnsiTheme="minorHAnsi" w:cs="Verdana"/>
              </w:rPr>
              <w:t xml:space="preserve"> </w:t>
            </w:r>
            <w:r w:rsidRPr="00F76012">
              <w:rPr>
                <w:rFonts w:asciiTheme="minorHAnsi" w:eastAsiaTheme="minorHAnsi" w:hAnsiTheme="minorHAnsi" w:cs="Verdana"/>
                <w:spacing w:val="1"/>
              </w:rPr>
              <w:t xml:space="preserve"> </w:t>
            </w:r>
            <w:r w:rsidRPr="00F76012">
              <w:rPr>
                <w:rFonts w:asciiTheme="minorHAnsi" w:eastAsiaTheme="minorHAnsi" w:hAnsiTheme="minorHAnsi" w:cs="Verdana"/>
              </w:rPr>
              <w:t xml:space="preserve">rate </w:t>
            </w:r>
            <w:r w:rsidRPr="00F76012">
              <w:rPr>
                <w:rFonts w:asciiTheme="minorHAnsi" w:eastAsiaTheme="minorHAnsi" w:hAnsiTheme="minorHAnsi" w:cs="Verdana"/>
                <w:spacing w:val="1"/>
              </w:rPr>
              <w:t xml:space="preserve"> </w:t>
            </w:r>
            <w:r w:rsidRPr="00F76012">
              <w:rPr>
                <w:rFonts w:asciiTheme="minorHAnsi" w:eastAsiaTheme="minorHAnsi" w:hAnsiTheme="minorHAnsi" w:cs="Verdana"/>
                <w:spacing w:val="-1"/>
              </w:rPr>
              <w:t>measured</w:t>
            </w:r>
            <w:r w:rsidRPr="00F76012">
              <w:rPr>
                <w:rFonts w:asciiTheme="minorHAnsi" w:eastAsiaTheme="minorHAnsi" w:hAnsiTheme="minorHAnsi" w:cs="Verdana"/>
              </w:rPr>
              <w:t xml:space="preserve"> </w:t>
            </w:r>
            <w:r w:rsidRPr="00F76012">
              <w:rPr>
                <w:rFonts w:asciiTheme="minorHAnsi" w:eastAsiaTheme="minorHAnsi" w:hAnsiTheme="minorHAnsi" w:cs="Verdana"/>
                <w:spacing w:val="2"/>
              </w:rPr>
              <w:t xml:space="preserve"> </w:t>
            </w:r>
            <w:r w:rsidRPr="00F76012">
              <w:rPr>
                <w:rFonts w:asciiTheme="minorHAnsi" w:eastAsiaTheme="minorHAnsi" w:hAnsiTheme="minorHAnsi" w:cs="Verdana"/>
              </w:rPr>
              <w:t xml:space="preserve">by </w:t>
            </w:r>
            <w:r w:rsidRPr="00F76012">
              <w:rPr>
                <w:rFonts w:asciiTheme="minorHAnsi" w:eastAsiaTheme="minorHAnsi" w:hAnsiTheme="minorHAnsi" w:cs="Verdana"/>
                <w:spacing w:val="1"/>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rPr>
              <w:t xml:space="preserve"> </w:t>
            </w:r>
            <w:r w:rsidRPr="00F76012">
              <w:rPr>
                <w:rFonts w:asciiTheme="minorHAnsi" w:eastAsiaTheme="minorHAnsi" w:hAnsiTheme="minorHAnsi" w:cs="Verdana"/>
                <w:spacing w:val="2"/>
              </w:rPr>
              <w:t xml:space="preserve"> </w:t>
            </w:r>
            <w:r w:rsidRPr="00F76012">
              <w:rPr>
                <w:rFonts w:asciiTheme="minorHAnsi" w:eastAsiaTheme="minorHAnsi" w:hAnsiTheme="minorHAnsi" w:cs="Verdana"/>
              </w:rPr>
              <w:t xml:space="preserve">plasma </w:t>
            </w:r>
            <w:r w:rsidRPr="00F76012">
              <w:rPr>
                <w:rFonts w:asciiTheme="minorHAnsi" w:eastAsiaTheme="minorHAnsi" w:hAnsiTheme="minorHAnsi" w:cs="Verdana"/>
                <w:spacing w:val="1"/>
              </w:rPr>
              <w:t xml:space="preserve"> </w:t>
            </w:r>
            <w:r w:rsidRPr="00F76012">
              <w:rPr>
                <w:rFonts w:asciiTheme="minorHAnsi" w:eastAsiaTheme="minorHAnsi" w:hAnsiTheme="minorHAnsi" w:cs="Verdana"/>
                <w:spacing w:val="-1"/>
              </w:rPr>
              <w:t>clearance</w:t>
            </w:r>
            <w:r w:rsidRPr="00F76012">
              <w:rPr>
                <w:rFonts w:asciiTheme="minorHAnsi" w:eastAsiaTheme="minorHAnsi" w:hAnsiTheme="minorHAnsi" w:cs="Verdana"/>
              </w:rPr>
              <w:t xml:space="preserve"> </w:t>
            </w:r>
            <w:r w:rsidRPr="00F76012">
              <w:rPr>
                <w:rFonts w:asciiTheme="minorHAnsi" w:eastAsiaTheme="minorHAnsi" w:hAnsiTheme="minorHAnsi" w:cs="Verdana"/>
                <w:spacing w:val="3"/>
              </w:rPr>
              <w:t xml:space="preserve"> </w:t>
            </w:r>
            <w:r w:rsidRPr="00F76012">
              <w:rPr>
                <w:rFonts w:asciiTheme="minorHAnsi" w:eastAsiaTheme="minorHAnsi" w:hAnsiTheme="minorHAnsi" w:cs="Verdana"/>
              </w:rPr>
              <w:t xml:space="preserve">of  </w:t>
            </w:r>
            <w:r w:rsidRPr="00F76012">
              <w:rPr>
                <w:rFonts w:asciiTheme="minorHAnsi" w:eastAsiaTheme="minorHAnsi" w:hAnsiTheme="minorHAnsi" w:cs="Verdana"/>
                <w:spacing w:val="-1"/>
              </w:rPr>
              <w:t>unlabelled</w:t>
            </w:r>
            <w:r w:rsidRPr="00F76012">
              <w:rPr>
                <w:rFonts w:asciiTheme="minorHAnsi" w:eastAsiaTheme="minorHAnsi" w:hAnsiTheme="minorHAnsi" w:cs="Verdana"/>
                <w:spacing w:val="69"/>
              </w:rPr>
              <w:t xml:space="preserve"> </w:t>
            </w:r>
            <w:r w:rsidRPr="00F76012">
              <w:rPr>
                <w:rFonts w:asciiTheme="minorHAnsi" w:eastAsiaTheme="minorHAnsi" w:hAnsiTheme="minorHAnsi" w:cs="Verdana"/>
                <w:spacing w:val="-1"/>
              </w:rPr>
              <w:t>iohexol</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mITT</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modified</w:t>
            </w:r>
            <w:r w:rsidRPr="00F76012">
              <w:rPr>
                <w:rFonts w:asciiTheme="minorHAnsi" w:eastAsiaTheme="minorHAnsi" w:hAnsiTheme="minorHAnsi" w:cs="Verdana"/>
                <w:spacing w:val="-15"/>
              </w:rPr>
              <w:t xml:space="preserve"> </w:t>
            </w:r>
            <w:r w:rsidRPr="00F76012">
              <w:rPr>
                <w:rFonts w:asciiTheme="minorHAnsi" w:eastAsiaTheme="minorHAnsi" w:hAnsiTheme="minorHAnsi" w:cs="Verdana"/>
                <w:spacing w:val="-1"/>
              </w:rPr>
              <w:t>intent-to-treat</w:t>
            </w:r>
          </w:p>
        </w:tc>
      </w:tr>
      <w:tr w:rsidR="00A20526" w:rsidRPr="00F76012" w:rsidTr="00270EC3">
        <w:tc>
          <w:tcPr>
            <w:tcW w:w="2093" w:type="dxa"/>
          </w:tcPr>
          <w:p w:rsidR="00A20526" w:rsidRPr="00F76012" w:rsidRDefault="003F18AC" w:rsidP="00CD308A">
            <w:pPr>
              <w:rPr>
                <w:color w:val="auto"/>
                <w:lang w:eastAsia="en-US"/>
              </w:rPr>
            </w:pPr>
            <w:r w:rsidRPr="00F76012">
              <w:rPr>
                <w:color w:val="auto"/>
                <w:lang w:eastAsia="en-US"/>
              </w:rPr>
              <w:t>mITT-amenable</w:t>
            </w:r>
          </w:p>
        </w:tc>
        <w:tc>
          <w:tcPr>
            <w:tcW w:w="6627" w:type="dxa"/>
          </w:tcPr>
          <w:p w:rsidR="00A20526" w:rsidRPr="00F76012" w:rsidRDefault="003F18AC" w:rsidP="00CD308A">
            <w:pPr>
              <w:rPr>
                <w:color w:val="auto"/>
                <w:lang w:eastAsia="en-US"/>
              </w:rPr>
            </w:pPr>
            <w:r w:rsidRPr="00F76012">
              <w:rPr>
                <w:rFonts w:asciiTheme="minorHAnsi" w:eastAsiaTheme="minorHAnsi" w:hAnsiTheme="minorHAnsi" w:cs="Verdana"/>
                <w:spacing w:val="-1"/>
              </w:rPr>
              <w:t>patients</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with</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amenable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mutations</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in</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the mITT</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population</w:t>
            </w:r>
          </w:p>
        </w:tc>
      </w:tr>
      <w:tr w:rsidR="00A20526" w:rsidRPr="00F76012" w:rsidTr="00270EC3">
        <w:tc>
          <w:tcPr>
            <w:tcW w:w="2093" w:type="dxa"/>
          </w:tcPr>
          <w:p w:rsidR="00A20526" w:rsidRPr="00F76012" w:rsidRDefault="00270EC3" w:rsidP="00CD308A">
            <w:pPr>
              <w:rPr>
                <w:color w:val="auto"/>
                <w:lang w:eastAsia="en-US"/>
              </w:rPr>
            </w:pPr>
            <w:r w:rsidRPr="00F76012">
              <w:rPr>
                <w:color w:val="auto"/>
                <w:lang w:eastAsia="en-US"/>
              </w:rPr>
              <w:t>NAGA</w:t>
            </w:r>
          </w:p>
        </w:tc>
        <w:tc>
          <w:tcPr>
            <w:tcW w:w="6627" w:type="dxa"/>
          </w:tcPr>
          <w:p w:rsidR="00A20526" w:rsidRPr="00F76012" w:rsidRDefault="00270EC3" w:rsidP="00CD308A">
            <w:pPr>
              <w:rPr>
                <w:color w:val="auto"/>
                <w:lang w:eastAsia="en-US"/>
              </w:rPr>
            </w:pPr>
            <w:r w:rsidRPr="00F76012">
              <w:rPr>
                <w:rFonts w:asciiTheme="minorHAnsi" w:eastAsiaTheme="minorHAnsi" w:hAnsiTheme="minorHAnsi" w:cs="Verdana"/>
                <w:spacing w:val="-1"/>
              </w:rPr>
              <w:t>α-N-Acetylgalactosaminidase</w:t>
            </w:r>
          </w:p>
        </w:tc>
      </w:tr>
      <w:tr w:rsidR="00A20526" w:rsidRPr="00F76012" w:rsidTr="00270EC3">
        <w:tc>
          <w:tcPr>
            <w:tcW w:w="2093" w:type="dxa"/>
          </w:tcPr>
          <w:p w:rsidR="00A20526" w:rsidRPr="00F76012" w:rsidRDefault="00270EC3" w:rsidP="00CD308A">
            <w:pPr>
              <w:rPr>
                <w:color w:val="auto"/>
                <w:lang w:eastAsia="en-US"/>
              </w:rPr>
            </w:pPr>
            <w:r w:rsidRPr="00F76012">
              <w:rPr>
                <w:color w:val="auto"/>
                <w:lang w:eastAsia="en-US"/>
              </w:rPr>
              <w:t>OLE</w:t>
            </w:r>
          </w:p>
        </w:tc>
        <w:tc>
          <w:tcPr>
            <w:tcW w:w="6627" w:type="dxa"/>
          </w:tcPr>
          <w:p w:rsidR="00A20526" w:rsidRPr="00F76012" w:rsidRDefault="00270EC3" w:rsidP="00CD308A">
            <w:pPr>
              <w:rPr>
                <w:color w:val="auto"/>
                <w:lang w:eastAsia="en-US"/>
              </w:rPr>
            </w:pPr>
            <w:r w:rsidRPr="00F76012">
              <w:rPr>
                <w:rFonts w:asciiTheme="minorHAnsi" w:eastAsiaTheme="minorHAnsi" w:hAnsiTheme="minorHAnsi" w:cs="Verdana"/>
                <w:spacing w:val="-1"/>
              </w:rPr>
              <w:t>open-label</w:t>
            </w:r>
            <w:r w:rsidRPr="00F76012">
              <w:rPr>
                <w:rFonts w:asciiTheme="minorHAnsi" w:eastAsiaTheme="minorHAnsi" w:hAnsiTheme="minorHAnsi" w:cs="Verdana"/>
                <w:spacing w:val="-15"/>
              </w:rPr>
              <w:t xml:space="preserve"> </w:t>
            </w:r>
            <w:r w:rsidRPr="00F76012">
              <w:rPr>
                <w:rFonts w:asciiTheme="minorHAnsi" w:eastAsiaTheme="minorHAnsi" w:hAnsiTheme="minorHAnsi" w:cs="Verdana"/>
                <w:spacing w:val="-1"/>
              </w:rPr>
              <w:t>extension</w:t>
            </w:r>
          </w:p>
        </w:tc>
      </w:tr>
      <w:tr w:rsidR="00AF5B13" w:rsidRPr="00F76012" w:rsidTr="00940940">
        <w:tc>
          <w:tcPr>
            <w:tcW w:w="2093" w:type="dxa"/>
          </w:tcPr>
          <w:p w:rsidR="00AF5B13" w:rsidRPr="00F76012" w:rsidRDefault="00AF5B13" w:rsidP="00CD308A">
            <w:pPr>
              <w:rPr>
                <w:color w:val="auto"/>
                <w:lang w:eastAsia="en-US"/>
              </w:rPr>
            </w:pPr>
            <w:r w:rsidRPr="00F76012">
              <w:rPr>
                <w:color w:val="auto"/>
                <w:lang w:eastAsia="en-US"/>
              </w:rPr>
              <w:t>P-gp</w:t>
            </w:r>
          </w:p>
        </w:tc>
        <w:tc>
          <w:tcPr>
            <w:tcW w:w="6627" w:type="dxa"/>
          </w:tcPr>
          <w:p w:rsidR="00AF5B13" w:rsidRPr="00F76012" w:rsidRDefault="00AF5B13" w:rsidP="00CD308A">
            <w:pPr>
              <w:rPr>
                <w:color w:val="auto"/>
                <w:lang w:eastAsia="en-US"/>
              </w:rPr>
            </w:pPr>
            <w:r w:rsidRPr="00F76012">
              <w:rPr>
                <w:rFonts w:asciiTheme="minorHAnsi" w:eastAsiaTheme="minorHAnsi" w:hAnsiTheme="minorHAnsi" w:cs="Verdana"/>
                <w:spacing w:val="-1"/>
              </w:rPr>
              <w:t>P-glycoprotein</w:t>
            </w:r>
          </w:p>
        </w:tc>
      </w:tr>
      <w:tr w:rsidR="00A20526" w:rsidRPr="00F76012" w:rsidTr="00270EC3">
        <w:tc>
          <w:tcPr>
            <w:tcW w:w="2093" w:type="dxa"/>
          </w:tcPr>
          <w:p w:rsidR="00A20526" w:rsidRPr="00F76012" w:rsidRDefault="00270EC3" w:rsidP="00CD308A">
            <w:pPr>
              <w:rPr>
                <w:color w:val="auto"/>
                <w:lang w:eastAsia="en-US"/>
              </w:rPr>
            </w:pPr>
            <w:r w:rsidRPr="00F76012">
              <w:rPr>
                <w:color w:val="auto"/>
                <w:lang w:eastAsia="en-US"/>
              </w:rPr>
              <w:t>PBMC</w:t>
            </w:r>
          </w:p>
        </w:tc>
        <w:tc>
          <w:tcPr>
            <w:tcW w:w="6627" w:type="dxa"/>
          </w:tcPr>
          <w:p w:rsidR="00A20526" w:rsidRPr="00F76012" w:rsidRDefault="00270EC3" w:rsidP="00CD308A">
            <w:pPr>
              <w:rPr>
                <w:color w:val="auto"/>
                <w:lang w:eastAsia="en-US"/>
              </w:rPr>
            </w:pPr>
            <w:r w:rsidRPr="00F76012">
              <w:rPr>
                <w:rFonts w:asciiTheme="minorHAnsi" w:eastAsiaTheme="minorHAnsi" w:hAnsiTheme="minorHAnsi" w:cs="Verdana"/>
                <w:spacing w:val="-1"/>
              </w:rPr>
              <w:t>peripheral</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blood</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mononuclear</w:t>
            </w:r>
            <w:r w:rsidRPr="00F76012">
              <w:rPr>
                <w:rFonts w:asciiTheme="minorHAnsi" w:eastAsiaTheme="minorHAnsi" w:hAnsiTheme="minorHAnsi" w:cs="Verdana"/>
                <w:spacing w:val="-8"/>
              </w:rPr>
              <w:t xml:space="preserve"> </w:t>
            </w:r>
            <w:r w:rsidRPr="00F76012">
              <w:rPr>
                <w:rFonts w:asciiTheme="minorHAnsi" w:eastAsiaTheme="minorHAnsi" w:hAnsiTheme="minorHAnsi" w:cs="Verdana"/>
              </w:rPr>
              <w:t>cell</w:t>
            </w:r>
          </w:p>
        </w:tc>
      </w:tr>
      <w:tr w:rsidR="00A20526" w:rsidRPr="00F76012" w:rsidTr="00270EC3">
        <w:tc>
          <w:tcPr>
            <w:tcW w:w="2093" w:type="dxa"/>
          </w:tcPr>
          <w:p w:rsidR="00A20526" w:rsidRPr="00F76012" w:rsidRDefault="00270EC3" w:rsidP="00CD308A">
            <w:pPr>
              <w:rPr>
                <w:color w:val="auto"/>
                <w:lang w:eastAsia="en-US"/>
              </w:rPr>
            </w:pPr>
            <w:r w:rsidRPr="00F76012">
              <w:rPr>
                <w:color w:val="auto"/>
                <w:lang w:eastAsia="en-US"/>
              </w:rPr>
              <w:t>PD</w:t>
            </w:r>
          </w:p>
        </w:tc>
        <w:tc>
          <w:tcPr>
            <w:tcW w:w="6627" w:type="dxa"/>
          </w:tcPr>
          <w:p w:rsidR="00A20526" w:rsidRPr="00F76012" w:rsidRDefault="00270EC3" w:rsidP="00CD308A">
            <w:pPr>
              <w:rPr>
                <w:color w:val="auto"/>
                <w:lang w:eastAsia="en-US"/>
              </w:rPr>
            </w:pPr>
            <w:r w:rsidRPr="00F76012">
              <w:rPr>
                <w:rFonts w:asciiTheme="minorHAnsi" w:eastAsiaTheme="minorHAnsi" w:hAnsiTheme="minorHAnsi" w:cs="Verdana"/>
                <w:spacing w:val="-1"/>
              </w:rPr>
              <w:t>pharmacodynamic</w:t>
            </w:r>
          </w:p>
        </w:tc>
      </w:tr>
      <w:tr w:rsidR="00AF5B13" w:rsidRPr="00F76012" w:rsidTr="00940940">
        <w:tc>
          <w:tcPr>
            <w:tcW w:w="2093" w:type="dxa"/>
          </w:tcPr>
          <w:p w:rsidR="00AF5B13" w:rsidRPr="00F76012" w:rsidRDefault="00AF5B13" w:rsidP="00CD308A">
            <w:pPr>
              <w:rPr>
                <w:color w:val="auto"/>
                <w:lang w:eastAsia="en-US"/>
              </w:rPr>
            </w:pPr>
            <w:r>
              <w:rPr>
                <w:color w:val="auto"/>
                <w:lang w:eastAsia="en-US"/>
              </w:rPr>
              <w:t>PI</w:t>
            </w:r>
          </w:p>
        </w:tc>
        <w:tc>
          <w:tcPr>
            <w:tcW w:w="6627" w:type="dxa"/>
          </w:tcPr>
          <w:p w:rsidR="00AF5B13" w:rsidRPr="00F76012" w:rsidRDefault="00AF5B13" w:rsidP="00CD308A">
            <w:pPr>
              <w:rPr>
                <w:color w:val="auto"/>
                <w:lang w:eastAsia="en-US"/>
              </w:rPr>
            </w:pPr>
            <w:r>
              <w:rPr>
                <w:rFonts w:asciiTheme="minorHAnsi" w:eastAsiaTheme="minorHAnsi" w:hAnsiTheme="minorHAnsi" w:cs="Verdana"/>
                <w:spacing w:val="-1"/>
              </w:rPr>
              <w:t>Product Information</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PK</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pharmacokinetic</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PXR</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pregnane</w:t>
            </w:r>
            <w:r w:rsidRPr="00F76012">
              <w:rPr>
                <w:rFonts w:asciiTheme="minorHAnsi" w:eastAsiaTheme="minorHAnsi" w:hAnsiTheme="minorHAnsi" w:cs="Verdana"/>
                <w:spacing w:val="-9"/>
              </w:rPr>
              <w:t xml:space="preserve"> </w:t>
            </w:r>
            <w:r w:rsidRPr="00F76012">
              <w:rPr>
                <w:rFonts w:asciiTheme="minorHAnsi" w:eastAsiaTheme="minorHAnsi" w:hAnsiTheme="minorHAnsi" w:cs="Verdana"/>
              </w:rPr>
              <w:t>X</w:t>
            </w:r>
            <w:r w:rsidRPr="00F76012">
              <w:rPr>
                <w:rFonts w:asciiTheme="minorHAnsi" w:eastAsiaTheme="minorHAnsi" w:hAnsiTheme="minorHAnsi" w:cs="Verdana"/>
                <w:spacing w:val="-9"/>
              </w:rPr>
              <w:t xml:space="preserve"> </w:t>
            </w:r>
            <w:r w:rsidRPr="00F76012">
              <w:rPr>
                <w:rFonts w:asciiTheme="minorHAnsi" w:eastAsiaTheme="minorHAnsi" w:hAnsiTheme="minorHAnsi" w:cs="Verdana"/>
              </w:rPr>
              <w:t>receptor</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QC</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quality</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control</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QD</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once daily</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QOD</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once</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every</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other</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day</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RBC</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rPr>
              <w:t>red</w:t>
            </w:r>
            <w:r w:rsidRPr="00F76012">
              <w:rPr>
                <w:rFonts w:asciiTheme="minorHAnsi" w:eastAsiaTheme="minorHAnsi" w:hAnsiTheme="minorHAnsi" w:cs="Verdana"/>
                <w:spacing w:val="-3"/>
              </w:rPr>
              <w:t xml:space="preserve"> </w:t>
            </w:r>
            <w:r w:rsidRPr="00F76012">
              <w:rPr>
                <w:rFonts w:asciiTheme="minorHAnsi" w:eastAsiaTheme="minorHAnsi" w:hAnsiTheme="minorHAnsi" w:cs="Verdana"/>
                <w:spacing w:val="-1"/>
              </w:rPr>
              <w:t>blood</w:t>
            </w:r>
            <w:r w:rsidRPr="00F76012">
              <w:rPr>
                <w:rFonts w:asciiTheme="minorHAnsi" w:eastAsiaTheme="minorHAnsi" w:hAnsiTheme="minorHAnsi" w:cs="Verdana"/>
                <w:spacing w:val="-4"/>
              </w:rPr>
              <w:t xml:space="preserve"> </w:t>
            </w:r>
            <w:r w:rsidRPr="00F76012">
              <w:rPr>
                <w:rFonts w:asciiTheme="minorHAnsi" w:eastAsiaTheme="minorHAnsi" w:hAnsiTheme="minorHAnsi" w:cs="Verdana"/>
                <w:spacing w:val="-1"/>
              </w:rPr>
              <w:t>cell</w:t>
            </w:r>
          </w:p>
        </w:tc>
      </w:tr>
      <w:tr w:rsidR="00270EC3" w:rsidRPr="00F76012" w:rsidTr="00F76012">
        <w:tc>
          <w:tcPr>
            <w:tcW w:w="2093" w:type="dxa"/>
          </w:tcPr>
          <w:p w:rsidR="00270EC3" w:rsidRPr="00F76012" w:rsidRDefault="00B74841" w:rsidP="00CD308A">
            <w:pPr>
              <w:rPr>
                <w:color w:val="auto"/>
                <w:lang w:eastAsia="en-US"/>
              </w:rPr>
            </w:pPr>
            <w:r w:rsidRPr="00F76012">
              <w:rPr>
                <w:rFonts w:asciiTheme="minorHAnsi" w:eastAsiaTheme="minorHAnsi" w:hAnsiTheme="minorHAnsi" w:cs="Verdana"/>
                <w:spacing w:val="-1"/>
              </w:rPr>
              <w:t>rhα-Gal</w:t>
            </w:r>
            <w:r w:rsidRPr="00F76012">
              <w:rPr>
                <w:rFonts w:asciiTheme="minorHAnsi" w:eastAsiaTheme="minorHAnsi" w:hAnsiTheme="minorHAnsi" w:cs="Verdana"/>
                <w:spacing w:val="-3"/>
              </w:rPr>
              <w:t xml:space="preserve"> </w:t>
            </w:r>
            <w:r w:rsidRPr="00F76012">
              <w:rPr>
                <w:rFonts w:asciiTheme="minorHAnsi" w:eastAsiaTheme="minorHAnsi" w:hAnsiTheme="minorHAnsi" w:cs="Verdana"/>
              </w:rPr>
              <w:t>A</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recombinant human</w:t>
            </w:r>
            <w:r w:rsidRPr="00F76012">
              <w:rPr>
                <w:rFonts w:asciiTheme="minorHAnsi" w:eastAsiaTheme="minorHAnsi" w:hAnsiTheme="minorHAnsi" w:cs="Verdana"/>
                <w:spacing w:val="-3"/>
              </w:rPr>
              <w:t xml:space="preserve"> </w:t>
            </w:r>
            <w:r w:rsidRPr="00F76012">
              <w:rPr>
                <w:rFonts w:asciiTheme="minorHAnsi" w:eastAsiaTheme="minorHAnsi" w:hAnsiTheme="minorHAnsi" w:cs="Verdana"/>
                <w:spacing w:val="-1"/>
              </w:rPr>
              <w:t>α-Gal</w:t>
            </w:r>
            <w:r w:rsidRPr="00F76012">
              <w:rPr>
                <w:rFonts w:asciiTheme="minorHAnsi" w:eastAsiaTheme="minorHAnsi" w:hAnsiTheme="minorHAnsi" w:cs="Verdana"/>
                <w:spacing w:val="1"/>
              </w:rPr>
              <w:t xml:space="preserve"> </w:t>
            </w:r>
            <w:r w:rsidRPr="00F76012">
              <w:rPr>
                <w:rFonts w:asciiTheme="minorHAnsi" w:eastAsiaTheme="minorHAnsi" w:hAnsiTheme="minorHAnsi" w:cs="Verdana"/>
              </w:rPr>
              <w:t>A</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RI</w:t>
            </w:r>
          </w:p>
        </w:tc>
        <w:tc>
          <w:tcPr>
            <w:tcW w:w="6627" w:type="dxa"/>
          </w:tcPr>
          <w:p w:rsidR="00270EC3" w:rsidRPr="00F76012" w:rsidRDefault="00B74841" w:rsidP="00CD308A">
            <w:pPr>
              <w:rPr>
                <w:color w:val="auto"/>
                <w:lang w:eastAsia="en-US"/>
              </w:rPr>
            </w:pPr>
            <w:r w:rsidRPr="00F76012">
              <w:rPr>
                <w:rFonts w:asciiTheme="minorHAnsi" w:eastAsiaTheme="minorHAnsi" w:hAnsiTheme="minorHAnsi" w:cs="Verdana"/>
                <w:spacing w:val="-1"/>
              </w:rPr>
              <w:t>renin</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spacing w:val="-1"/>
              </w:rPr>
              <w:t>inhibitor</w:t>
            </w:r>
          </w:p>
        </w:tc>
      </w:tr>
      <w:tr w:rsidR="00270EC3" w:rsidRPr="00F76012" w:rsidTr="00F76012">
        <w:tc>
          <w:tcPr>
            <w:tcW w:w="2093" w:type="dxa"/>
          </w:tcPr>
          <w:p w:rsidR="00270EC3" w:rsidRPr="00F76012" w:rsidRDefault="00B74841" w:rsidP="00CD308A">
            <w:pPr>
              <w:rPr>
                <w:color w:val="auto"/>
                <w:lang w:eastAsia="en-US"/>
              </w:rPr>
            </w:pPr>
            <w:r w:rsidRPr="00F76012">
              <w:rPr>
                <w:color w:val="auto"/>
                <w:lang w:eastAsia="en-US"/>
              </w:rPr>
              <w:t>SAE</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serious</w:t>
            </w:r>
            <w:r w:rsidRPr="00F76012">
              <w:rPr>
                <w:rFonts w:asciiTheme="minorHAnsi" w:eastAsiaTheme="minorHAnsi" w:hAnsiTheme="minorHAnsi" w:cs="Verdana"/>
                <w:spacing w:val="-11"/>
              </w:rPr>
              <w:t xml:space="preserve"> </w:t>
            </w:r>
            <w:r w:rsidRPr="00F76012">
              <w:rPr>
                <w:rFonts w:asciiTheme="minorHAnsi" w:eastAsiaTheme="minorHAnsi" w:hAnsiTheme="minorHAnsi" w:cs="Verdana"/>
              </w:rPr>
              <w:t>adverse</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spacing w:val="-1"/>
              </w:rPr>
              <w:t>event</w:t>
            </w:r>
          </w:p>
        </w:tc>
      </w:tr>
      <w:tr w:rsidR="00270EC3" w:rsidRPr="00F76012" w:rsidTr="00F76012">
        <w:tc>
          <w:tcPr>
            <w:tcW w:w="2093" w:type="dxa"/>
          </w:tcPr>
          <w:p w:rsidR="00270EC3" w:rsidRPr="00F76012" w:rsidRDefault="00F76012" w:rsidP="00CD308A">
            <w:pPr>
              <w:rPr>
                <w:color w:val="auto"/>
                <w:lang w:eastAsia="en-US"/>
              </w:rPr>
            </w:pPr>
            <w:r w:rsidRPr="00F76012">
              <w:rPr>
                <w:color w:val="auto"/>
                <w:lang w:eastAsia="en-US"/>
              </w:rPr>
              <w:lastRenderedPageBreak/>
              <w:t>SD</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standard</w:t>
            </w:r>
            <w:r w:rsidRPr="00F76012">
              <w:rPr>
                <w:rFonts w:asciiTheme="minorHAnsi" w:eastAsiaTheme="minorHAnsi" w:hAnsiTheme="minorHAnsi" w:cs="Verdana"/>
                <w:spacing w:val="-13"/>
              </w:rPr>
              <w:t xml:space="preserve"> </w:t>
            </w:r>
            <w:r w:rsidRPr="00F76012">
              <w:rPr>
                <w:rFonts w:asciiTheme="minorHAnsi" w:eastAsiaTheme="minorHAnsi" w:hAnsiTheme="minorHAnsi" w:cs="Verdana"/>
                <w:spacing w:val="-1"/>
              </w:rPr>
              <w:t>deviation</w:t>
            </w:r>
          </w:p>
        </w:tc>
      </w:tr>
      <w:tr w:rsidR="00270EC3" w:rsidRPr="00F76012" w:rsidTr="00F76012">
        <w:tc>
          <w:tcPr>
            <w:tcW w:w="2093" w:type="dxa"/>
          </w:tcPr>
          <w:p w:rsidR="00270EC3" w:rsidRPr="00F76012" w:rsidRDefault="00F76012" w:rsidP="00CD308A">
            <w:pPr>
              <w:rPr>
                <w:color w:val="auto"/>
                <w:lang w:eastAsia="en-US"/>
              </w:rPr>
            </w:pPr>
            <w:r w:rsidRPr="00F76012">
              <w:rPr>
                <w:color w:val="auto"/>
                <w:lang w:eastAsia="en-US"/>
              </w:rPr>
              <w:t>SEM</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standard</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error</w:t>
            </w:r>
            <w:r w:rsidRPr="00F76012">
              <w:rPr>
                <w:rFonts w:asciiTheme="minorHAnsi" w:eastAsiaTheme="minorHAnsi" w:hAnsiTheme="minorHAnsi" w:cs="Verdana"/>
                <w:spacing w:val="-7"/>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the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mean</w:t>
            </w:r>
          </w:p>
        </w:tc>
      </w:tr>
      <w:tr w:rsidR="00270EC3" w:rsidRPr="00F76012" w:rsidTr="00F76012">
        <w:tc>
          <w:tcPr>
            <w:tcW w:w="2093"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SF-36v2</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Short</w:t>
            </w:r>
            <w:r w:rsidRPr="00F76012">
              <w:rPr>
                <w:rFonts w:asciiTheme="minorHAnsi" w:eastAsiaTheme="minorHAnsi" w:hAnsiTheme="minorHAnsi" w:cs="Verdana"/>
                <w:spacing w:val="-5"/>
              </w:rPr>
              <w:t xml:space="preserve"> </w:t>
            </w:r>
            <w:r w:rsidRPr="00F76012">
              <w:rPr>
                <w:rFonts w:asciiTheme="minorHAnsi" w:eastAsiaTheme="minorHAnsi" w:hAnsiTheme="minorHAnsi" w:cs="Verdana"/>
              </w:rPr>
              <w:t>Form</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Health</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Survey</w:t>
            </w:r>
            <w:r w:rsidRPr="00F76012">
              <w:rPr>
                <w:rFonts w:asciiTheme="minorHAnsi" w:eastAsiaTheme="minorHAnsi" w:hAnsiTheme="minorHAnsi" w:cs="Verdana"/>
                <w:spacing w:val="-2"/>
              </w:rPr>
              <w:t xml:space="preserve"> </w:t>
            </w:r>
            <w:r w:rsidRPr="00F76012">
              <w:rPr>
                <w:rFonts w:asciiTheme="minorHAnsi" w:eastAsiaTheme="minorHAnsi" w:hAnsiTheme="minorHAnsi" w:cs="Verdana"/>
                <w:spacing w:val="-1"/>
              </w:rPr>
              <w:t>with</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36</w:t>
            </w:r>
            <w:r w:rsidRPr="00F76012">
              <w:rPr>
                <w:rFonts w:asciiTheme="minorHAnsi" w:eastAsiaTheme="minorHAnsi" w:hAnsiTheme="minorHAnsi" w:cs="Verdana"/>
                <w:spacing w:val="-5"/>
              </w:rPr>
              <w:t xml:space="preserve"> </w:t>
            </w:r>
            <w:r w:rsidRPr="00F76012">
              <w:rPr>
                <w:rFonts w:asciiTheme="minorHAnsi" w:eastAsiaTheme="minorHAnsi" w:hAnsiTheme="minorHAnsi" w:cs="Verdana"/>
                <w:spacing w:val="-1"/>
              </w:rPr>
              <w:t>questions,</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version</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2</w:t>
            </w:r>
          </w:p>
        </w:tc>
      </w:tr>
      <w:tr w:rsidR="00270EC3" w:rsidRPr="00F76012" w:rsidTr="00F76012">
        <w:tc>
          <w:tcPr>
            <w:tcW w:w="2093"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SGLT1</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sodium</w:t>
            </w:r>
            <w:r w:rsidRPr="00F76012">
              <w:rPr>
                <w:rFonts w:asciiTheme="minorHAnsi" w:eastAsiaTheme="minorHAnsi" w:hAnsiTheme="minorHAnsi" w:cs="Verdana"/>
                <w:spacing w:val="-9"/>
              </w:rPr>
              <w:t xml:space="preserve"> </w:t>
            </w:r>
            <w:r w:rsidRPr="00F76012">
              <w:rPr>
                <w:rFonts w:asciiTheme="minorHAnsi" w:eastAsiaTheme="minorHAnsi" w:hAnsiTheme="minorHAnsi" w:cs="Verdana"/>
                <w:spacing w:val="-1"/>
              </w:rPr>
              <w:t>glucose</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co-transporter</w:t>
            </w:r>
            <w:r w:rsidRPr="00F76012">
              <w:rPr>
                <w:rFonts w:asciiTheme="minorHAnsi" w:eastAsiaTheme="minorHAnsi" w:hAnsiTheme="minorHAnsi" w:cs="Verdana"/>
                <w:spacing w:val="-10"/>
              </w:rPr>
              <w:t xml:space="preserve"> </w:t>
            </w:r>
            <w:r w:rsidRPr="00F76012">
              <w:rPr>
                <w:rFonts w:asciiTheme="minorHAnsi" w:eastAsiaTheme="minorHAnsi" w:hAnsiTheme="minorHAnsi" w:cs="Verdana"/>
              </w:rPr>
              <w:t>1</w:t>
            </w:r>
          </w:p>
        </w:tc>
      </w:tr>
      <w:tr w:rsidR="00270EC3" w:rsidRPr="00F76012" w:rsidTr="00F76012">
        <w:tc>
          <w:tcPr>
            <w:tcW w:w="2093" w:type="dxa"/>
          </w:tcPr>
          <w:p w:rsidR="00270EC3" w:rsidRPr="00F76012" w:rsidRDefault="00F76012" w:rsidP="00CD308A">
            <w:pPr>
              <w:rPr>
                <w:color w:val="auto"/>
                <w:lang w:eastAsia="en-US"/>
              </w:rPr>
            </w:pPr>
            <w:r w:rsidRPr="00F76012">
              <w:rPr>
                <w:rFonts w:asciiTheme="minorHAnsi" w:eastAsiaTheme="minorHAnsi" w:hAnsiTheme="minorHAnsi" w:cs="Verdana"/>
              </w:rPr>
              <w:t>t1/2</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terminal</w:t>
            </w:r>
            <w:r w:rsidRPr="00F76012">
              <w:rPr>
                <w:rFonts w:asciiTheme="minorHAnsi" w:eastAsiaTheme="minorHAnsi" w:hAnsiTheme="minorHAnsi" w:cs="Verdana"/>
                <w:spacing w:val="-8"/>
              </w:rPr>
              <w:t xml:space="preserve"> </w:t>
            </w:r>
            <w:r w:rsidRPr="00F76012">
              <w:rPr>
                <w:rFonts w:asciiTheme="minorHAnsi" w:eastAsiaTheme="minorHAnsi" w:hAnsiTheme="minorHAnsi" w:cs="Verdana"/>
                <w:spacing w:val="-1"/>
              </w:rPr>
              <w:t>phase</w:t>
            </w:r>
            <w:r w:rsidRPr="00F76012">
              <w:rPr>
                <w:rFonts w:asciiTheme="minorHAnsi" w:eastAsiaTheme="minorHAnsi" w:hAnsiTheme="minorHAnsi" w:cs="Verdana"/>
                <w:spacing w:val="-7"/>
              </w:rPr>
              <w:t xml:space="preserve"> </w:t>
            </w:r>
            <w:r w:rsidRPr="00F76012">
              <w:rPr>
                <w:rFonts w:asciiTheme="minorHAnsi" w:eastAsiaTheme="minorHAnsi" w:hAnsiTheme="minorHAnsi" w:cs="Verdana"/>
                <w:spacing w:val="-1"/>
              </w:rPr>
              <w:t>half-life</w:t>
            </w:r>
          </w:p>
        </w:tc>
      </w:tr>
      <w:tr w:rsidR="00270EC3" w:rsidRPr="00F76012" w:rsidTr="00F76012">
        <w:tc>
          <w:tcPr>
            <w:tcW w:w="2093" w:type="dxa"/>
          </w:tcPr>
          <w:p w:rsidR="00270EC3" w:rsidRPr="00F76012" w:rsidRDefault="00F76012" w:rsidP="00CD308A">
            <w:pPr>
              <w:rPr>
                <w:color w:val="auto"/>
                <w:lang w:eastAsia="en-US"/>
              </w:rPr>
            </w:pPr>
            <w:r w:rsidRPr="00F76012">
              <w:rPr>
                <w:color w:val="auto"/>
                <w:lang w:eastAsia="en-US"/>
              </w:rPr>
              <w:t>TEAE</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spacing w:val="-1"/>
              </w:rPr>
              <w:t>treatment-emergent</w:t>
            </w:r>
            <w:r w:rsidRPr="00F76012">
              <w:rPr>
                <w:rFonts w:asciiTheme="minorHAnsi" w:eastAsiaTheme="minorHAnsi" w:hAnsiTheme="minorHAnsi" w:cs="Verdana"/>
                <w:spacing w:val="-14"/>
              </w:rPr>
              <w:t xml:space="preserve"> </w:t>
            </w:r>
            <w:r w:rsidRPr="00F76012">
              <w:rPr>
                <w:rFonts w:asciiTheme="minorHAnsi" w:eastAsiaTheme="minorHAnsi" w:hAnsiTheme="minorHAnsi" w:cs="Verdana"/>
              </w:rPr>
              <w:t>adverse</w:t>
            </w:r>
            <w:r w:rsidRPr="00F76012">
              <w:rPr>
                <w:rFonts w:asciiTheme="minorHAnsi" w:eastAsiaTheme="minorHAnsi" w:hAnsiTheme="minorHAnsi" w:cs="Verdana"/>
                <w:spacing w:val="-15"/>
              </w:rPr>
              <w:t xml:space="preserve"> </w:t>
            </w:r>
            <w:r w:rsidRPr="00F76012">
              <w:rPr>
                <w:rFonts w:asciiTheme="minorHAnsi" w:eastAsiaTheme="minorHAnsi" w:hAnsiTheme="minorHAnsi" w:cs="Verdana"/>
                <w:spacing w:val="-1"/>
              </w:rPr>
              <w:t>event</w:t>
            </w:r>
          </w:p>
        </w:tc>
      </w:tr>
      <w:tr w:rsidR="00270EC3" w:rsidRPr="00F76012" w:rsidTr="00F76012">
        <w:tc>
          <w:tcPr>
            <w:tcW w:w="2093" w:type="dxa"/>
          </w:tcPr>
          <w:p w:rsidR="00270EC3" w:rsidRPr="00F76012" w:rsidRDefault="001B2F5C" w:rsidP="00CD308A">
            <w:pPr>
              <w:rPr>
                <w:color w:val="auto"/>
                <w:lang w:eastAsia="en-US"/>
              </w:rPr>
            </w:pPr>
            <w:r w:rsidRPr="00401961">
              <w:t>t</w:t>
            </w:r>
            <w:r w:rsidRPr="00A55E04">
              <w:rPr>
                <w:vertAlign w:val="subscript"/>
              </w:rPr>
              <w:t>max</w:t>
            </w:r>
          </w:p>
        </w:tc>
        <w:tc>
          <w:tcPr>
            <w:tcW w:w="6627" w:type="dxa"/>
          </w:tcPr>
          <w:p w:rsidR="00270EC3" w:rsidRPr="00F76012" w:rsidRDefault="00F76012" w:rsidP="00CD308A">
            <w:pPr>
              <w:rPr>
                <w:color w:val="auto"/>
                <w:lang w:eastAsia="en-US"/>
              </w:rPr>
            </w:pPr>
            <w:r w:rsidRPr="00F76012">
              <w:rPr>
                <w:rFonts w:asciiTheme="minorHAnsi" w:eastAsiaTheme="minorHAnsi" w:hAnsiTheme="minorHAnsi" w:cs="Verdana"/>
              </w:rPr>
              <w:t>time</w:t>
            </w:r>
            <w:r w:rsidRPr="00F76012">
              <w:rPr>
                <w:rFonts w:asciiTheme="minorHAnsi" w:eastAsiaTheme="minorHAnsi" w:hAnsiTheme="minorHAnsi" w:cs="Verdana"/>
                <w:spacing w:val="-7"/>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6"/>
              </w:rPr>
              <w:t xml:space="preserve"> </w:t>
            </w:r>
            <w:r w:rsidRPr="00F76012">
              <w:rPr>
                <w:rFonts w:asciiTheme="minorHAnsi" w:eastAsiaTheme="minorHAnsi" w:hAnsiTheme="minorHAnsi" w:cs="Verdana"/>
                <w:spacing w:val="-1"/>
              </w:rPr>
              <w:t>occurrence</w:t>
            </w:r>
            <w:r w:rsidRPr="00F76012">
              <w:rPr>
                <w:rFonts w:asciiTheme="minorHAnsi" w:eastAsiaTheme="minorHAnsi" w:hAnsiTheme="minorHAnsi" w:cs="Verdana"/>
                <w:spacing w:val="-6"/>
              </w:rPr>
              <w:t xml:space="preserve"> </w:t>
            </w:r>
            <w:r w:rsidRPr="00F76012">
              <w:rPr>
                <w:rFonts w:asciiTheme="minorHAnsi" w:eastAsiaTheme="minorHAnsi" w:hAnsiTheme="minorHAnsi" w:cs="Verdana"/>
              </w:rPr>
              <w:t>of</w:t>
            </w:r>
            <w:r w:rsidRPr="00F76012">
              <w:rPr>
                <w:rFonts w:asciiTheme="minorHAnsi" w:eastAsiaTheme="minorHAnsi" w:hAnsiTheme="minorHAnsi" w:cs="Verdana"/>
                <w:spacing w:val="-7"/>
              </w:rPr>
              <w:t xml:space="preserve"> </w:t>
            </w:r>
            <w:r w:rsidR="001B2F5C" w:rsidRPr="00401961">
              <w:t>C</w:t>
            </w:r>
            <w:r w:rsidR="001B2F5C" w:rsidRPr="00A55E04">
              <w:rPr>
                <w:vertAlign w:val="subscript"/>
              </w:rPr>
              <w:t>max</w:t>
            </w:r>
          </w:p>
        </w:tc>
      </w:tr>
      <w:tr w:rsidR="00A20526" w:rsidRPr="00F76012" w:rsidTr="00270EC3">
        <w:tc>
          <w:tcPr>
            <w:tcW w:w="2093" w:type="dxa"/>
          </w:tcPr>
          <w:p w:rsidR="00A20526" w:rsidRPr="00F76012" w:rsidRDefault="00F76012" w:rsidP="00CD308A">
            <w:pPr>
              <w:rPr>
                <w:color w:val="auto"/>
                <w:lang w:eastAsia="en-US"/>
              </w:rPr>
            </w:pPr>
            <w:r w:rsidRPr="00F76012">
              <w:rPr>
                <w:color w:val="auto"/>
                <w:lang w:eastAsia="en-US"/>
              </w:rPr>
              <w:t>UGT</w:t>
            </w:r>
          </w:p>
        </w:tc>
        <w:tc>
          <w:tcPr>
            <w:tcW w:w="6627" w:type="dxa"/>
          </w:tcPr>
          <w:p w:rsidR="00A20526" w:rsidRPr="00F76012" w:rsidRDefault="00F76012" w:rsidP="00CD308A">
            <w:pPr>
              <w:rPr>
                <w:color w:val="auto"/>
                <w:lang w:eastAsia="en-US"/>
              </w:rPr>
            </w:pPr>
            <w:r w:rsidRPr="00F76012">
              <w:rPr>
                <w:rFonts w:asciiTheme="minorHAnsi" w:eastAsiaTheme="minorHAnsi" w:hAnsiTheme="minorHAnsi" w:cs="Verdana"/>
                <w:spacing w:val="-1"/>
              </w:rPr>
              <w:t>uridine</w:t>
            </w:r>
            <w:r w:rsidRPr="00F76012">
              <w:rPr>
                <w:rFonts w:asciiTheme="minorHAnsi" w:eastAsiaTheme="minorHAnsi" w:hAnsiTheme="minorHAnsi" w:cs="Verdana"/>
                <w:spacing w:val="-32"/>
              </w:rPr>
              <w:t xml:space="preserve"> </w:t>
            </w:r>
            <w:r w:rsidRPr="00F76012">
              <w:rPr>
                <w:rFonts w:asciiTheme="minorHAnsi" w:eastAsiaTheme="minorHAnsi" w:hAnsiTheme="minorHAnsi" w:cs="Verdana"/>
                <w:spacing w:val="-1"/>
              </w:rPr>
              <w:t>5'-diphospho-glucuronosyltransferase</w:t>
            </w:r>
          </w:p>
        </w:tc>
      </w:tr>
      <w:tr w:rsidR="00A20526" w:rsidRPr="00F76012" w:rsidTr="00270EC3">
        <w:tc>
          <w:tcPr>
            <w:tcW w:w="2093" w:type="dxa"/>
          </w:tcPr>
          <w:p w:rsidR="00A20526" w:rsidRPr="00F76012" w:rsidRDefault="00F76012" w:rsidP="00CD308A">
            <w:pPr>
              <w:rPr>
                <w:color w:val="auto"/>
                <w:lang w:eastAsia="en-US"/>
              </w:rPr>
            </w:pPr>
            <w:r w:rsidRPr="00F76012">
              <w:rPr>
                <w:color w:val="auto"/>
                <w:lang w:eastAsia="en-US"/>
              </w:rPr>
              <w:t>WT</w:t>
            </w:r>
          </w:p>
        </w:tc>
        <w:tc>
          <w:tcPr>
            <w:tcW w:w="6627" w:type="dxa"/>
          </w:tcPr>
          <w:p w:rsidR="00A20526" w:rsidRPr="00F76012" w:rsidRDefault="00F76012" w:rsidP="00CD308A">
            <w:pPr>
              <w:rPr>
                <w:color w:val="auto"/>
                <w:lang w:eastAsia="en-US"/>
              </w:rPr>
            </w:pPr>
            <w:r w:rsidRPr="00F76012">
              <w:rPr>
                <w:color w:val="auto"/>
                <w:lang w:eastAsia="en-US"/>
              </w:rPr>
              <w:t>wild type</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0" w:name="_Toc524949240"/>
      <w:r>
        <w:lastRenderedPageBreak/>
        <w:t>I.</w:t>
      </w:r>
      <w:r w:rsidR="008E7846">
        <w:t xml:space="preserve"> Introduction to product submission</w:t>
      </w:r>
      <w:bookmarkEnd w:id="1"/>
      <w:bookmarkEnd w:id="3"/>
      <w:bookmarkEnd w:id="10"/>
    </w:p>
    <w:p w:rsidR="008E7846" w:rsidRDefault="008E7846" w:rsidP="008E7846">
      <w:pPr>
        <w:pStyle w:val="Heading3"/>
        <w:rPr>
          <w:lang w:eastAsia="en-AU"/>
        </w:rPr>
      </w:pPr>
      <w:bookmarkStart w:id="11" w:name="_Toc247691502"/>
      <w:bookmarkStart w:id="12" w:name="_Toc314842483"/>
      <w:bookmarkStart w:id="13" w:name="_Toc524949241"/>
      <w:r>
        <w:rPr>
          <w:lang w:eastAsia="en-AU"/>
        </w:rPr>
        <w:t>Submission details</w:t>
      </w:r>
      <w:bookmarkEnd w:id="11"/>
      <w:bookmarkEnd w:id="12"/>
      <w:bookmarkEnd w:id="13"/>
    </w:p>
    <w:tbl>
      <w:tblPr>
        <w:tblW w:w="9214" w:type="dxa"/>
        <w:tblInd w:w="108" w:type="dxa"/>
        <w:tblLook w:val="01E0" w:firstRow="1" w:lastRow="1" w:firstColumn="1" w:lastColumn="1" w:noHBand="0" w:noVBand="0"/>
      </w:tblPr>
      <w:tblGrid>
        <w:gridCol w:w="2907"/>
        <w:gridCol w:w="6307"/>
      </w:tblGrid>
      <w:tr w:rsidR="008E7846" w:rsidRPr="003D1E62" w:rsidTr="00CD308A">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8E7846" w:rsidP="00813E14">
            <w:r w:rsidRPr="003D1E62">
              <w:t xml:space="preserve">New </w:t>
            </w:r>
            <w:r w:rsidR="001B5C90">
              <w:t>c</w:t>
            </w:r>
            <w:r w:rsidRPr="003D1E62">
              <w:t xml:space="preserve">hemical </w:t>
            </w:r>
            <w:r w:rsidR="001B5C90">
              <w:t>e</w:t>
            </w:r>
            <w:r w:rsidR="00813E14">
              <w:t>ntity</w:t>
            </w:r>
          </w:p>
        </w:tc>
      </w:tr>
      <w:tr w:rsidR="008E7846" w:rsidRPr="003D1E62" w:rsidTr="00CD308A">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F1312D" w:rsidP="00F1312D">
            <w:r>
              <w:t>Approved</w:t>
            </w:r>
          </w:p>
        </w:tc>
      </w:tr>
      <w:tr w:rsidR="008E7846" w:rsidRPr="003D1E62" w:rsidTr="00CD308A">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FA3166" w:rsidP="001B5C90">
            <w:r>
              <w:t>9 August 2017</w:t>
            </w:r>
          </w:p>
        </w:tc>
      </w:tr>
      <w:tr w:rsidR="00ED2922" w:rsidRPr="003D1E62" w:rsidTr="00CD308A">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4E246B" w:rsidP="00EC463D">
            <w:pPr>
              <w:rPr>
                <w:i/>
              </w:rPr>
            </w:pPr>
            <w:r>
              <w:t>11 August 2017</w:t>
            </w:r>
          </w:p>
        </w:tc>
      </w:tr>
      <w:tr w:rsidR="0089473E" w:rsidRPr="003D1E62" w:rsidTr="00CD308A">
        <w:trPr>
          <w:trHeight w:hRule="exact" w:val="454"/>
        </w:trPr>
        <w:tc>
          <w:tcPr>
            <w:tcW w:w="2907" w:type="dxa"/>
          </w:tcPr>
          <w:p w:rsidR="0089473E" w:rsidRPr="00487162" w:rsidRDefault="0089473E" w:rsidP="00B226CC">
            <w:pPr>
              <w:rPr>
                <w:i/>
              </w:rPr>
            </w:pPr>
            <w:r w:rsidRPr="00487162">
              <w:rPr>
                <w:i/>
              </w:rPr>
              <w:t xml:space="preserve">ARTG </w:t>
            </w:r>
            <w:r>
              <w:rPr>
                <w:i/>
              </w:rPr>
              <w:t>n</w:t>
            </w:r>
            <w:r w:rsidR="00813E14">
              <w:rPr>
                <w:i/>
              </w:rPr>
              <w:t>umber</w:t>
            </w:r>
            <w:r>
              <w:rPr>
                <w:i/>
              </w:rPr>
              <w:t>:</w:t>
            </w:r>
          </w:p>
        </w:tc>
        <w:tc>
          <w:tcPr>
            <w:tcW w:w="6307" w:type="dxa"/>
          </w:tcPr>
          <w:p w:rsidR="0089473E" w:rsidRPr="00487162" w:rsidRDefault="000764BE" w:rsidP="00B226CC">
            <w:r w:rsidRPr="000764BE">
              <w:t>276051</w:t>
            </w:r>
          </w:p>
        </w:tc>
      </w:tr>
      <w:tr w:rsidR="008E7846" w:rsidRPr="00487162" w:rsidTr="00CD308A">
        <w:tc>
          <w:tcPr>
            <w:tcW w:w="2907" w:type="dxa"/>
          </w:tcPr>
          <w:p w:rsidR="008E7846" w:rsidRPr="00487162" w:rsidRDefault="00B67566" w:rsidP="00E45619">
            <w:pPr>
              <w:rPr>
                <w:i/>
              </w:rPr>
            </w:pPr>
            <w:r>
              <w:rPr>
                <w:i/>
              </w:rPr>
              <w:t>Active ingredient</w:t>
            </w:r>
            <w:r w:rsidR="001B5C90">
              <w:rPr>
                <w:i/>
              </w:rPr>
              <w:t>:</w:t>
            </w:r>
          </w:p>
        </w:tc>
        <w:tc>
          <w:tcPr>
            <w:tcW w:w="6307" w:type="dxa"/>
          </w:tcPr>
          <w:p w:rsidR="008E7846" w:rsidRPr="00487162" w:rsidRDefault="00813E14" w:rsidP="00E45619">
            <w:r>
              <w:t>M</w:t>
            </w:r>
            <w:r w:rsidRPr="00813E14">
              <w:t>igalastat</w:t>
            </w:r>
          </w:p>
        </w:tc>
      </w:tr>
      <w:tr w:rsidR="008E7846" w:rsidRPr="00487162" w:rsidTr="00CD308A">
        <w:tc>
          <w:tcPr>
            <w:tcW w:w="2907" w:type="dxa"/>
          </w:tcPr>
          <w:p w:rsidR="008E7846" w:rsidRPr="00487162" w:rsidRDefault="008E7846" w:rsidP="001B5C90">
            <w:pPr>
              <w:rPr>
                <w:i/>
              </w:rPr>
            </w:pPr>
            <w:r w:rsidRPr="00487162">
              <w:rPr>
                <w:i/>
              </w:rPr>
              <w:t>Product</w:t>
            </w:r>
            <w:r w:rsidR="00B67566">
              <w:rPr>
                <w:i/>
              </w:rPr>
              <w:t xml:space="preserve"> name</w:t>
            </w:r>
            <w:r w:rsidR="001B5C90">
              <w:rPr>
                <w:i/>
              </w:rPr>
              <w:t>:</w:t>
            </w:r>
          </w:p>
        </w:tc>
        <w:tc>
          <w:tcPr>
            <w:tcW w:w="6307" w:type="dxa"/>
          </w:tcPr>
          <w:p w:rsidR="008E7846" w:rsidRPr="00487162" w:rsidRDefault="00813E14" w:rsidP="00E45619">
            <w:r>
              <w:t>Galafold</w:t>
            </w:r>
          </w:p>
        </w:tc>
      </w:tr>
      <w:tr w:rsidR="008E7846" w:rsidRPr="00487162" w:rsidTr="00CD308A">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r w:rsidR="006E692C">
              <w:rPr>
                <w:rStyle w:val="FootnoteReference"/>
                <w:i/>
              </w:rPr>
              <w:footnoteReference w:id="1"/>
            </w:r>
          </w:p>
        </w:tc>
        <w:tc>
          <w:tcPr>
            <w:tcW w:w="6307" w:type="dxa"/>
          </w:tcPr>
          <w:p w:rsidR="008E7846" w:rsidRDefault="006E692C" w:rsidP="00E45619">
            <w:r w:rsidRPr="006E692C">
              <w:t>Amicus Therapeutics Pty Ltd</w:t>
            </w:r>
          </w:p>
          <w:p w:rsidR="006E692C" w:rsidRDefault="006E692C" w:rsidP="00F1312D">
            <w:r>
              <w:t>21 Dorset Road</w:t>
            </w:r>
          </w:p>
          <w:p w:rsidR="00F1312D" w:rsidRPr="00487162" w:rsidRDefault="006E692C" w:rsidP="00F1312D">
            <w:r>
              <w:t>Northbridge NSW 2063</w:t>
            </w:r>
          </w:p>
        </w:tc>
      </w:tr>
      <w:tr w:rsidR="008E7846" w:rsidRPr="00487162" w:rsidTr="00CD308A">
        <w:tc>
          <w:tcPr>
            <w:tcW w:w="2907" w:type="dxa"/>
          </w:tcPr>
          <w:p w:rsidR="008E7846" w:rsidRPr="00487162" w:rsidRDefault="00193A35" w:rsidP="00E45619">
            <w:pPr>
              <w:rPr>
                <w:i/>
              </w:rPr>
            </w:pPr>
            <w:r>
              <w:rPr>
                <w:i/>
              </w:rPr>
              <w:t>Dose form</w:t>
            </w:r>
            <w:r w:rsidR="001B5C90">
              <w:rPr>
                <w:i/>
              </w:rPr>
              <w:t>:</w:t>
            </w:r>
          </w:p>
        </w:tc>
        <w:tc>
          <w:tcPr>
            <w:tcW w:w="6307" w:type="dxa"/>
          </w:tcPr>
          <w:p w:rsidR="008E7846" w:rsidRPr="00487162" w:rsidRDefault="00C94968" w:rsidP="00E45619">
            <w:r w:rsidRPr="00C94968">
              <w:t>Capsules</w:t>
            </w:r>
          </w:p>
        </w:tc>
      </w:tr>
      <w:tr w:rsidR="008E7846" w:rsidRPr="00487162" w:rsidTr="00CD308A">
        <w:tc>
          <w:tcPr>
            <w:tcW w:w="2907" w:type="dxa"/>
          </w:tcPr>
          <w:p w:rsidR="008E7846" w:rsidRPr="00487162" w:rsidRDefault="00193A35" w:rsidP="00E45619">
            <w:pPr>
              <w:rPr>
                <w:i/>
              </w:rPr>
            </w:pPr>
            <w:r>
              <w:rPr>
                <w:i/>
              </w:rPr>
              <w:t>Strength</w:t>
            </w:r>
            <w:r w:rsidR="008E7846" w:rsidRPr="00487162">
              <w:rPr>
                <w:i/>
              </w:rPr>
              <w:t xml:space="preserve">: </w:t>
            </w:r>
          </w:p>
        </w:tc>
        <w:tc>
          <w:tcPr>
            <w:tcW w:w="6307" w:type="dxa"/>
          </w:tcPr>
          <w:p w:rsidR="008E7846" w:rsidRPr="00487162" w:rsidRDefault="002E7A1C" w:rsidP="00E45619">
            <w:r>
              <w:t>123 mg m</w:t>
            </w:r>
            <w:r w:rsidRPr="002E7A1C">
              <w:t>igalastat (equivalent to 150 mg migalastat hydrochloride)</w:t>
            </w:r>
          </w:p>
        </w:tc>
      </w:tr>
      <w:tr w:rsidR="008E7846" w:rsidRPr="00487162" w:rsidTr="00CD308A">
        <w:tc>
          <w:tcPr>
            <w:tcW w:w="2907" w:type="dxa"/>
          </w:tcPr>
          <w:p w:rsidR="008E7846" w:rsidRPr="00487162" w:rsidRDefault="00193A35" w:rsidP="00E45619">
            <w:pPr>
              <w:rPr>
                <w:i/>
              </w:rPr>
            </w:pPr>
            <w:r>
              <w:rPr>
                <w:i/>
              </w:rPr>
              <w:t>Container</w:t>
            </w:r>
            <w:r w:rsidR="008E7846" w:rsidRPr="00487162">
              <w:rPr>
                <w:i/>
              </w:rPr>
              <w:t>:</w:t>
            </w:r>
          </w:p>
        </w:tc>
        <w:tc>
          <w:tcPr>
            <w:tcW w:w="6307" w:type="dxa"/>
          </w:tcPr>
          <w:p w:rsidR="008E7846" w:rsidRPr="00487162" w:rsidRDefault="006E692C" w:rsidP="00E45619">
            <w:r w:rsidRPr="006E692C">
              <w:t>PVC/PCTFE/PVC/Al blister packs</w:t>
            </w:r>
          </w:p>
        </w:tc>
      </w:tr>
      <w:tr w:rsidR="008E7846" w:rsidRPr="00487162" w:rsidTr="00CD308A">
        <w:tc>
          <w:tcPr>
            <w:tcW w:w="2907" w:type="dxa"/>
          </w:tcPr>
          <w:p w:rsidR="008E7846" w:rsidRPr="00487162" w:rsidRDefault="00193A35" w:rsidP="00E45619">
            <w:pPr>
              <w:rPr>
                <w:i/>
              </w:rPr>
            </w:pPr>
            <w:r>
              <w:rPr>
                <w:i/>
              </w:rPr>
              <w:t>Pack size</w:t>
            </w:r>
            <w:r w:rsidR="008E7846" w:rsidRPr="00487162">
              <w:rPr>
                <w:i/>
              </w:rPr>
              <w:t>:</w:t>
            </w:r>
          </w:p>
        </w:tc>
        <w:tc>
          <w:tcPr>
            <w:tcW w:w="6307" w:type="dxa"/>
          </w:tcPr>
          <w:p w:rsidR="008E7846" w:rsidRPr="00487162" w:rsidRDefault="005921F1" w:rsidP="00E45619">
            <w:r>
              <w:t>14 capsules</w:t>
            </w:r>
          </w:p>
        </w:tc>
      </w:tr>
      <w:tr w:rsidR="008E7846" w:rsidRPr="00487162" w:rsidTr="00CD308A">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1628F7" w:rsidP="00E45619">
            <w:pPr>
              <w:rPr>
                <w:rFonts w:eastAsia="MS Mincho"/>
                <w:lang w:eastAsia="ja-JP"/>
              </w:rPr>
            </w:pPr>
            <w:r w:rsidRPr="001628F7">
              <w:t xml:space="preserve">Galafold is indicated for long-term treatment of adult and adolescent patients 16 years and older with a confirmed diagnosis of Fabry disease (α-galactosidase A deficiency) and who have an amenable mutation (see the tables in the section on </w:t>
            </w:r>
            <w:r w:rsidRPr="001628F7">
              <w:rPr>
                <w:i/>
              </w:rPr>
              <w:t>Mechanism of Action</w:t>
            </w:r>
            <w:r>
              <w:t>).</w:t>
            </w:r>
          </w:p>
        </w:tc>
      </w:tr>
      <w:tr w:rsidR="008E7846" w:rsidRPr="00487162" w:rsidTr="00CD308A">
        <w:tc>
          <w:tcPr>
            <w:tcW w:w="2907" w:type="dxa"/>
          </w:tcPr>
          <w:p w:rsidR="008E7846" w:rsidRPr="00487162" w:rsidRDefault="00193A35" w:rsidP="00E45619">
            <w:pPr>
              <w:rPr>
                <w:i/>
              </w:rPr>
            </w:pPr>
            <w:r>
              <w:rPr>
                <w:i/>
              </w:rPr>
              <w:t>Route</w:t>
            </w:r>
            <w:r w:rsidR="008E7846" w:rsidRPr="00487162">
              <w:rPr>
                <w:i/>
              </w:rPr>
              <w:t xml:space="preserve"> of administration:</w:t>
            </w:r>
          </w:p>
        </w:tc>
        <w:tc>
          <w:tcPr>
            <w:tcW w:w="6307" w:type="dxa"/>
          </w:tcPr>
          <w:p w:rsidR="008E7846" w:rsidRPr="00487162" w:rsidRDefault="006B1A5A" w:rsidP="00E45619">
            <w:r>
              <w:t>Oral</w:t>
            </w:r>
          </w:p>
        </w:tc>
      </w:tr>
      <w:tr w:rsidR="008E7846" w:rsidRPr="00487162" w:rsidTr="00CD308A">
        <w:tc>
          <w:tcPr>
            <w:tcW w:w="2907" w:type="dxa"/>
          </w:tcPr>
          <w:p w:rsidR="008E7846" w:rsidRPr="00487162" w:rsidRDefault="008E7846" w:rsidP="00E45619">
            <w:pPr>
              <w:rPr>
                <w:i/>
              </w:rPr>
            </w:pPr>
            <w:r w:rsidRPr="00487162">
              <w:rPr>
                <w:i/>
              </w:rPr>
              <w:t>Dosage:</w:t>
            </w:r>
          </w:p>
        </w:tc>
        <w:tc>
          <w:tcPr>
            <w:tcW w:w="6307" w:type="dxa"/>
          </w:tcPr>
          <w:p w:rsidR="008E7846" w:rsidRPr="00487162" w:rsidRDefault="00593201" w:rsidP="00E45619">
            <w:r w:rsidRPr="00593201">
              <w:t>The recommended dosage regimen in adults and adolescents 16 years and older is 123 mg migalastat (1 capsule) orally once every other day at the same time of day. Capsules must be swallowed whole. The capsules must not be cut, crushed, or chewed.</w:t>
            </w:r>
          </w:p>
        </w:tc>
      </w:tr>
    </w:tbl>
    <w:p w:rsidR="008E7846" w:rsidRDefault="008E7846" w:rsidP="008E7846">
      <w:pPr>
        <w:pStyle w:val="Heading3"/>
      </w:pPr>
      <w:bookmarkStart w:id="14" w:name="_Toc247691503"/>
      <w:bookmarkStart w:id="15" w:name="_Toc314842484"/>
      <w:bookmarkStart w:id="16" w:name="_Toc524949242"/>
      <w:r>
        <w:t>Product background</w:t>
      </w:r>
      <w:bookmarkEnd w:id="14"/>
      <w:bookmarkEnd w:id="15"/>
      <w:bookmarkEnd w:id="16"/>
    </w:p>
    <w:p w:rsidR="00121ADB" w:rsidRDefault="00940A89" w:rsidP="00593201">
      <w:r w:rsidRPr="00593201">
        <w:t xml:space="preserve">This AusPAR describes the application by </w:t>
      </w:r>
      <w:r w:rsidR="00593201" w:rsidRPr="00593201">
        <w:t xml:space="preserve">ERA Consulting </w:t>
      </w:r>
      <w:r w:rsidR="00593201">
        <w:t>to</w:t>
      </w:r>
      <w:r w:rsidR="00121ADB">
        <w:t xml:space="preserve"> </w:t>
      </w:r>
      <w:r w:rsidR="00593201" w:rsidRPr="00593201">
        <w:t xml:space="preserve">register a new chemical entity, migalastat (Galafold), for the long-term treatment of adult and adolescent patients </w:t>
      </w:r>
      <w:r w:rsidR="00593201" w:rsidRPr="00593201">
        <w:lastRenderedPageBreak/>
        <w:t>16 years and older with a confirmed diagnosis of Fabry disease (α-galactosidase A deficiency) and who have an amenable mutation.</w:t>
      </w:r>
    </w:p>
    <w:p w:rsidR="00121ADB" w:rsidRDefault="00593201" w:rsidP="00593201">
      <w:r w:rsidRPr="00593201">
        <w:t>Fabry disease is a rare, X-linked lysosomal storage disorder that affects males and females. The disease is caused by mutations in the GLA gene encoding the lysosomal enzyme α-galactosidase A (α-Gal A) resulting in a deficiency of the enzyme. This enzyme is required for glycosphingolipid substrate (e.g., GL-3, lyso-Gb3) metabolism. Therefore, reduced α-Gal A activity is associated with the progressive accumulation of glycosphingolipid substrates in tissues (particularly the kidneys, heart and brain) resulting in disruption of normal cellular activity and leading to the development of serious complicatio</w:t>
      </w:r>
      <w:r w:rsidR="00121ADB">
        <w:t>ns and reduced life expectancy.</w:t>
      </w:r>
    </w:p>
    <w:p w:rsidR="00CD308A" w:rsidRDefault="00593201" w:rsidP="00593201">
      <w:r w:rsidRPr="00593201">
        <w:t>The natural course of Fabry disease is variable, with the first symptoms of acroparaesthesia (burning pain in the extremities associated with numbness and tingling in the hands and feet) usually commencing in childhood. Premature death usually occurs in the fourth or fifth decade of life and results from renal, cardiac or cerebrovascular complications. Heterozygous females have an intermediate level of enzyme activity and are usually asymptomatic or exhibit mild manifestations. Rarely females may be as severely affected as hemizygous males due to skewed X-chromosome inactivation</w:t>
      </w:r>
      <w:r w:rsidR="00CD308A">
        <w:t>.</w:t>
      </w:r>
    </w:p>
    <w:p w:rsidR="00121ADB" w:rsidRDefault="00593201" w:rsidP="00593201">
      <w:r w:rsidRPr="00593201">
        <w:t>There are two enzyme replacement therapy (ERT) products approved in Australia for the treatment of Fabry disease: agalsidase alfa (Replagal) and agalsidase beta (Fabrazyme).  Both Replagal and Fabrazyme are produced by genetic engineering technology and provide an exogenous sour</w:t>
      </w:r>
      <w:r w:rsidR="00940940">
        <w:t xml:space="preserve">ce of α-galactosidase </w:t>
      </w:r>
      <w:proofErr w:type="gramStart"/>
      <w:r w:rsidR="00940940">
        <w:t>A</w:t>
      </w:r>
      <w:proofErr w:type="gramEnd"/>
      <w:r w:rsidR="00940940">
        <w:t xml:space="preserve"> enzyme.</w:t>
      </w:r>
      <w:r w:rsidRPr="00593201">
        <w:t xml:space="preserve"> Each product is administered by intravenous infusion fortnightly.</w:t>
      </w:r>
    </w:p>
    <w:p w:rsidR="00121ADB" w:rsidRDefault="00593201" w:rsidP="00593201">
      <w:r w:rsidRPr="00593201">
        <w:t>Migalastat, a low molecular weight iminosugar, is an analogue of the terminal galactose of</w:t>
      </w:r>
      <w:r w:rsidR="00940940">
        <w:t xml:space="preserve"> globotriaosylceramide (GL-3).</w:t>
      </w:r>
      <w:r w:rsidRPr="00593201">
        <w:t xml:space="preserve"> It acts as a pharmacological chaperone, selectively and reversibly binding to the active site of specific mutant forms of α-Gal A, the genotypes of which are referred to as amenable mutations.  This binding stabilises these mutant forms of α-Gal A in the endoplasmic reticulum, facilitating their proper trafficking to lysosomes where dissociation of migalastat allows α-Gal A to reduce the level of GL-3 and lyso-Gb3.</w:t>
      </w:r>
    </w:p>
    <w:p w:rsidR="00121ADB" w:rsidRDefault="00593201" w:rsidP="00593201">
      <w:r w:rsidRPr="00593201">
        <w:t>Galafold is formulated as a single strength, hard capsule containing migalastat hydrochloride 150</w:t>
      </w:r>
      <w:r w:rsidR="00940940">
        <w:t xml:space="preserve"> </w:t>
      </w:r>
      <w:r w:rsidRPr="00593201">
        <w:t>mg for oral administration every other day</w:t>
      </w:r>
      <w:r w:rsidR="00121ADB">
        <w:t>.</w:t>
      </w:r>
    </w:p>
    <w:p w:rsidR="00121ADB" w:rsidRDefault="00593201" w:rsidP="00593201">
      <w:r w:rsidRPr="00593201">
        <w:t>Migalastat ha</w:t>
      </w:r>
      <w:r w:rsidR="00CA5C0D">
        <w:t>d</w:t>
      </w:r>
      <w:r w:rsidRPr="00593201">
        <w:t xml:space="preserve"> not been previously considered by </w:t>
      </w:r>
      <w:r w:rsidR="00983D56">
        <w:t xml:space="preserve">the </w:t>
      </w:r>
      <w:r w:rsidR="00983D56" w:rsidRPr="00D23139">
        <w:rPr>
          <w:bCs/>
        </w:rPr>
        <w:t xml:space="preserve">Advisory Committee on </w:t>
      </w:r>
      <w:r w:rsidR="00983D56">
        <w:rPr>
          <w:bCs/>
        </w:rPr>
        <w:t>Medicines (AC</w:t>
      </w:r>
      <w:r w:rsidR="00983D56" w:rsidRPr="00D23139">
        <w:rPr>
          <w:bCs/>
        </w:rPr>
        <w:t>M)</w:t>
      </w:r>
      <w:r w:rsidRPr="00593201">
        <w:t>.</w:t>
      </w:r>
      <w:r w:rsidR="00121ADB">
        <w:t xml:space="preserve"> </w:t>
      </w:r>
      <w:r w:rsidRPr="00593201">
        <w:t xml:space="preserve">Migalastat was designated as an orphan drug in Australia on 2 February 2016 for the long-term treatment of adult and adolescent patients with a confirmed diagnosis of Fabry disease (α-galactosidase </w:t>
      </w:r>
      <w:proofErr w:type="gramStart"/>
      <w:r w:rsidRPr="00593201">
        <w:t>A</w:t>
      </w:r>
      <w:proofErr w:type="gramEnd"/>
      <w:r w:rsidRPr="00593201">
        <w:t xml:space="preserve"> deficiency) who have an amenable mutation.</w:t>
      </w:r>
    </w:p>
    <w:p w:rsidR="008E7846" w:rsidRPr="003F31A2" w:rsidRDefault="00386150" w:rsidP="008E7846">
      <w:pPr>
        <w:pStyle w:val="Heading3"/>
      </w:pPr>
      <w:bookmarkStart w:id="17" w:name="_Toc314842485"/>
      <w:bookmarkStart w:id="18" w:name="_Toc247691504"/>
      <w:bookmarkStart w:id="19" w:name="_Toc524949243"/>
      <w:r>
        <w:t>Regulatory s</w:t>
      </w:r>
      <w:r w:rsidR="008E7846">
        <w:t>tatus</w:t>
      </w:r>
      <w:bookmarkEnd w:id="17"/>
      <w:bookmarkEnd w:id="18"/>
      <w:bookmarkEnd w:id="19"/>
    </w:p>
    <w:p w:rsidR="00A3645D" w:rsidRDefault="00A3645D" w:rsidP="00A3645D">
      <w:bookmarkStart w:id="20" w:name="_Toc247691505"/>
      <w:bookmarkStart w:id="21" w:name="_Toc314842486"/>
      <w:r>
        <w:t xml:space="preserve">This section reflects the regulatory status at the time of publication of this AusPAR by </w:t>
      </w:r>
      <w:r w:rsidR="0032797B">
        <w:t xml:space="preserve">the </w:t>
      </w:r>
      <w:r>
        <w:t>TGA.</w:t>
      </w:r>
    </w:p>
    <w:p w:rsidR="00A3645D" w:rsidRDefault="00A3645D" w:rsidP="00A3645D">
      <w:r w:rsidRPr="00593201">
        <w:t xml:space="preserve">Migalastat was approved by </w:t>
      </w:r>
      <w:r w:rsidR="0032797B">
        <w:t>the European Medicines Agency (</w:t>
      </w:r>
      <w:r w:rsidRPr="00593201">
        <w:t>EMA</w:t>
      </w:r>
      <w:r w:rsidR="0032797B">
        <w:t>)</w:t>
      </w:r>
      <w:r w:rsidRPr="00593201">
        <w:t xml:space="preserve"> in May 2016</w:t>
      </w:r>
      <w:r>
        <w:t>.</w:t>
      </w:r>
      <w:r w:rsidRPr="00593201">
        <w:t xml:space="preserve"> The approved indication in Europe is the same as the proposed Australian indication.</w:t>
      </w:r>
      <w:r>
        <w:t xml:space="preserve"> </w:t>
      </w:r>
      <w:r w:rsidRPr="00593201">
        <w:t xml:space="preserve">Migalastat </w:t>
      </w:r>
      <w:r>
        <w:t>is also currently approved in Switzerland Canada, Israel, Japan, and South Korea.</w:t>
      </w:r>
      <w:r>
        <w:rPr>
          <w:rStyle w:val="FootnoteReference"/>
        </w:rPr>
        <w:footnoteReference w:id="2"/>
      </w:r>
    </w:p>
    <w:p w:rsidR="008E7846" w:rsidRDefault="008E7846" w:rsidP="00940A89">
      <w:pPr>
        <w:pStyle w:val="Heading3"/>
      </w:pPr>
      <w:bookmarkStart w:id="22" w:name="_Toc524949244"/>
      <w:r>
        <w:lastRenderedPageBreak/>
        <w:t>Product Information</w:t>
      </w:r>
      <w:bookmarkEnd w:id="20"/>
      <w:bookmarkEnd w:id="21"/>
      <w:bookmarkEnd w:id="22"/>
    </w:p>
    <w:p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9E0C19" w:rsidRDefault="001428E2" w:rsidP="00D05669">
      <w:pPr>
        <w:pStyle w:val="Heading2"/>
      </w:pPr>
      <w:bookmarkStart w:id="25" w:name="_Toc524949245"/>
      <w:r>
        <w:t xml:space="preserve">II. </w:t>
      </w:r>
      <w:r w:rsidR="0038220F">
        <w:t>Registration time</w:t>
      </w:r>
      <w:r w:rsidR="009E0C19">
        <w:t>line</w:t>
      </w:r>
      <w:bookmarkEnd w:id="25"/>
    </w:p>
    <w:p w:rsidR="00377BD4" w:rsidRDefault="00377BD4" w:rsidP="00377BD4">
      <w:r>
        <w:t xml:space="preserve">The following table </w:t>
      </w:r>
      <w:r w:rsidR="00BE253F">
        <w:t xml:space="preserve">captures the key steps and dates </w:t>
      </w:r>
      <w:r>
        <w:t>for this application</w:t>
      </w:r>
      <w:r w:rsidR="00BE253F">
        <w:t xml:space="preserve"> </w:t>
      </w:r>
      <w:r w:rsidR="0078029E">
        <w:t xml:space="preserve">and </w:t>
      </w:r>
      <w:r w:rsidR="00BE253F">
        <w:t>which are detailed and discussed in this AusPAR.</w:t>
      </w:r>
    </w:p>
    <w:tbl>
      <w:tblPr>
        <w:tblStyle w:val="TableTGAblue"/>
        <w:tblW w:w="8472" w:type="dxa"/>
        <w:tblLook w:val="04A0" w:firstRow="1" w:lastRow="0" w:firstColumn="1" w:lastColumn="0" w:noHBand="0" w:noVBand="1"/>
      </w:tblPr>
      <w:tblGrid>
        <w:gridCol w:w="6345"/>
        <w:gridCol w:w="2127"/>
      </w:tblGrid>
      <w:tr w:rsidR="009E0C19" w:rsidRPr="00D95F99" w:rsidTr="006A6B32">
        <w:trPr>
          <w:cnfStyle w:val="100000000000" w:firstRow="1" w:lastRow="0" w:firstColumn="0" w:lastColumn="0" w:oddVBand="0" w:evenVBand="0" w:oddHBand="0" w:evenHBand="0" w:firstRowFirstColumn="0" w:firstRowLastColumn="0" w:lastRowFirstColumn="0" w:lastRowLastColumn="0"/>
          <w:cantSplit/>
        </w:trPr>
        <w:tc>
          <w:tcPr>
            <w:tcW w:w="6345" w:type="dxa"/>
          </w:tcPr>
          <w:p w:rsidR="009E0C19" w:rsidRPr="00D95F99" w:rsidRDefault="009E0C19" w:rsidP="00CD308A">
            <w:r w:rsidRPr="00D95F99">
              <w:t>Description</w:t>
            </w:r>
          </w:p>
        </w:tc>
        <w:tc>
          <w:tcPr>
            <w:tcW w:w="2127" w:type="dxa"/>
          </w:tcPr>
          <w:p w:rsidR="009E0C19" w:rsidRPr="00D95F99" w:rsidRDefault="009E0C19" w:rsidP="00CD308A">
            <w:r w:rsidRPr="00D95F99">
              <w:t>Date</w:t>
            </w:r>
          </w:p>
        </w:tc>
      </w:tr>
      <w:tr w:rsidR="009E0C19" w:rsidRPr="00D95F99" w:rsidTr="006A6B32">
        <w:tc>
          <w:tcPr>
            <w:tcW w:w="6345" w:type="dxa"/>
          </w:tcPr>
          <w:p w:rsidR="009E0C19" w:rsidRPr="00D95F99" w:rsidRDefault="009E0C19" w:rsidP="00CD308A">
            <w:r w:rsidRPr="00D95F99">
              <w:t>Submission dossier accepted and first round evaluation commenced</w:t>
            </w:r>
          </w:p>
        </w:tc>
        <w:tc>
          <w:tcPr>
            <w:tcW w:w="2127" w:type="dxa"/>
          </w:tcPr>
          <w:p w:rsidR="009E0C19" w:rsidRPr="00D95F99" w:rsidRDefault="009C176B" w:rsidP="00CD308A">
            <w:r>
              <w:t>30 Jun</w:t>
            </w:r>
            <w:r w:rsidR="0032797B">
              <w:t>e</w:t>
            </w:r>
            <w:r>
              <w:t xml:space="preserve"> 2016</w:t>
            </w:r>
          </w:p>
        </w:tc>
      </w:tr>
      <w:tr w:rsidR="009E0C19" w:rsidRPr="00D95F99" w:rsidTr="006A6B32">
        <w:tc>
          <w:tcPr>
            <w:tcW w:w="6345" w:type="dxa"/>
          </w:tcPr>
          <w:p w:rsidR="009E0C19" w:rsidRPr="00D95F99" w:rsidRDefault="009E0C19" w:rsidP="00CD308A">
            <w:r w:rsidRPr="00D95F99">
              <w:t>First round evaluation completed</w:t>
            </w:r>
          </w:p>
        </w:tc>
        <w:tc>
          <w:tcPr>
            <w:tcW w:w="2127" w:type="dxa"/>
          </w:tcPr>
          <w:p w:rsidR="009E0C19" w:rsidRPr="00D95F99" w:rsidRDefault="008F22BD" w:rsidP="00CD308A">
            <w:r>
              <w:t>16 Dec</w:t>
            </w:r>
            <w:r w:rsidR="0032797B">
              <w:t>ember</w:t>
            </w:r>
            <w:r>
              <w:t xml:space="preserve"> 2016</w:t>
            </w:r>
          </w:p>
        </w:tc>
      </w:tr>
      <w:tr w:rsidR="009E0C19" w:rsidRPr="00D95F99" w:rsidTr="006A6B32">
        <w:tc>
          <w:tcPr>
            <w:tcW w:w="6345" w:type="dxa"/>
          </w:tcPr>
          <w:p w:rsidR="009E0C19" w:rsidRPr="00D95F99" w:rsidRDefault="009E0C19" w:rsidP="00CD308A">
            <w:r w:rsidRPr="00D95F99">
              <w:t>Sponsor provides responses on questions raised in first round evaluation</w:t>
            </w:r>
          </w:p>
        </w:tc>
        <w:tc>
          <w:tcPr>
            <w:tcW w:w="2127" w:type="dxa"/>
          </w:tcPr>
          <w:p w:rsidR="009E0C19" w:rsidRPr="00D95F99" w:rsidRDefault="00AE5C28" w:rsidP="00CD308A">
            <w:r>
              <w:t>3 Feb</w:t>
            </w:r>
            <w:r w:rsidR="0032797B">
              <w:t>ruary</w:t>
            </w:r>
            <w:r>
              <w:t xml:space="preserve"> 2017</w:t>
            </w:r>
          </w:p>
        </w:tc>
      </w:tr>
      <w:tr w:rsidR="009E0C19" w:rsidRPr="00D95F99" w:rsidTr="006A6B32">
        <w:tc>
          <w:tcPr>
            <w:tcW w:w="6345" w:type="dxa"/>
          </w:tcPr>
          <w:p w:rsidR="009E0C19" w:rsidRPr="00D95F99" w:rsidRDefault="009E0C19" w:rsidP="00CD308A">
            <w:r w:rsidRPr="00D95F99">
              <w:t>Second round evaluation completed</w:t>
            </w:r>
          </w:p>
        </w:tc>
        <w:tc>
          <w:tcPr>
            <w:tcW w:w="2127" w:type="dxa"/>
          </w:tcPr>
          <w:p w:rsidR="009E0C19" w:rsidRPr="00D95F99" w:rsidRDefault="00135919" w:rsidP="00CD308A">
            <w:r>
              <w:t>18 Apr</w:t>
            </w:r>
            <w:r w:rsidR="0032797B">
              <w:t>il</w:t>
            </w:r>
            <w:r>
              <w:t xml:space="preserve"> 2017</w:t>
            </w:r>
          </w:p>
        </w:tc>
      </w:tr>
      <w:tr w:rsidR="009E0C19" w:rsidRPr="00D95F99" w:rsidTr="006A6B32">
        <w:tc>
          <w:tcPr>
            <w:tcW w:w="6345" w:type="dxa"/>
          </w:tcPr>
          <w:p w:rsidR="009E0C19" w:rsidRPr="00D95F99" w:rsidRDefault="009E0C19" w:rsidP="00CD308A">
            <w:r w:rsidRPr="00D95F99">
              <w:t>Delegate’s Overall benefit-risk assessment and request for Advisory Committee advice</w:t>
            </w:r>
          </w:p>
        </w:tc>
        <w:tc>
          <w:tcPr>
            <w:tcW w:w="2127" w:type="dxa"/>
          </w:tcPr>
          <w:p w:rsidR="009E0C19" w:rsidRPr="00D95F99" w:rsidRDefault="001D6996" w:rsidP="00CD308A">
            <w:r>
              <w:t>28 Apr</w:t>
            </w:r>
            <w:r w:rsidR="0032797B">
              <w:t>il</w:t>
            </w:r>
            <w:r>
              <w:t xml:space="preserve"> 2017</w:t>
            </w:r>
          </w:p>
        </w:tc>
      </w:tr>
      <w:tr w:rsidR="009E0C19" w:rsidRPr="00D95F99" w:rsidTr="006A6B32">
        <w:tc>
          <w:tcPr>
            <w:tcW w:w="6345" w:type="dxa"/>
          </w:tcPr>
          <w:p w:rsidR="009E0C19" w:rsidRPr="00D95F99" w:rsidRDefault="009E0C19" w:rsidP="00CD308A">
            <w:r w:rsidRPr="00D95F99">
              <w:t>Sponsor’s pre-Advisory Committee response</w:t>
            </w:r>
          </w:p>
        </w:tc>
        <w:tc>
          <w:tcPr>
            <w:tcW w:w="2127" w:type="dxa"/>
          </w:tcPr>
          <w:p w:rsidR="009E0C19" w:rsidRPr="00D95F99" w:rsidRDefault="00A5282E" w:rsidP="00CD308A">
            <w:r>
              <w:t>15 May 2017</w:t>
            </w:r>
          </w:p>
        </w:tc>
      </w:tr>
      <w:tr w:rsidR="009E0C19" w:rsidRPr="00D95F99" w:rsidTr="006A6B32">
        <w:tc>
          <w:tcPr>
            <w:tcW w:w="6345" w:type="dxa"/>
          </w:tcPr>
          <w:p w:rsidR="009E0C19" w:rsidRPr="00D95F99" w:rsidRDefault="009E0C19" w:rsidP="00CD308A">
            <w:r w:rsidRPr="00D95F99">
              <w:t>Advisory Committee meeting</w:t>
            </w:r>
          </w:p>
        </w:tc>
        <w:tc>
          <w:tcPr>
            <w:tcW w:w="2127" w:type="dxa"/>
          </w:tcPr>
          <w:p w:rsidR="009E0C19" w:rsidRPr="00D95F99" w:rsidRDefault="00A5282E" w:rsidP="00CD308A">
            <w:r>
              <w:t>2 Jun</w:t>
            </w:r>
            <w:r w:rsidR="0032797B">
              <w:t>e</w:t>
            </w:r>
            <w:r w:rsidR="00A11A53">
              <w:t xml:space="preserve"> 2017</w:t>
            </w:r>
          </w:p>
        </w:tc>
      </w:tr>
      <w:tr w:rsidR="009E0C19" w:rsidRPr="00D95F99" w:rsidTr="006A6B32">
        <w:tc>
          <w:tcPr>
            <w:tcW w:w="6345" w:type="dxa"/>
          </w:tcPr>
          <w:p w:rsidR="009E0C19" w:rsidRPr="00D95F99" w:rsidRDefault="00377BD4" w:rsidP="00CD308A">
            <w:r w:rsidRPr="00D95F99">
              <w:t>Registration decision (Outcome)</w:t>
            </w:r>
          </w:p>
        </w:tc>
        <w:tc>
          <w:tcPr>
            <w:tcW w:w="2127" w:type="dxa"/>
          </w:tcPr>
          <w:p w:rsidR="009E0C19" w:rsidRPr="00D95F99" w:rsidRDefault="00A5282E" w:rsidP="00CD308A">
            <w:r>
              <w:t>9 Aug</w:t>
            </w:r>
            <w:r w:rsidR="0032797B">
              <w:t>ust</w:t>
            </w:r>
            <w:r w:rsidR="00291290" w:rsidRPr="00291290">
              <w:t xml:space="preserve"> 2017</w:t>
            </w:r>
          </w:p>
        </w:tc>
      </w:tr>
      <w:tr w:rsidR="009E0C19" w:rsidRPr="00D95F99" w:rsidTr="006A6B32">
        <w:tc>
          <w:tcPr>
            <w:tcW w:w="6345" w:type="dxa"/>
          </w:tcPr>
          <w:p w:rsidR="009E0C19" w:rsidRPr="00D95F99" w:rsidRDefault="00377BD4" w:rsidP="00CD308A">
            <w:r w:rsidRPr="00D95F99">
              <w:t>Completion of administrative activities and registration on ARTG</w:t>
            </w:r>
          </w:p>
        </w:tc>
        <w:tc>
          <w:tcPr>
            <w:tcW w:w="2127" w:type="dxa"/>
          </w:tcPr>
          <w:p w:rsidR="009E0C19" w:rsidRPr="00D95F99" w:rsidRDefault="00291290" w:rsidP="00CD308A">
            <w:r>
              <w:t xml:space="preserve">11 </w:t>
            </w:r>
            <w:r w:rsidR="00A5282E">
              <w:t>Aug</w:t>
            </w:r>
            <w:r w:rsidR="0032797B">
              <w:t>ust</w:t>
            </w:r>
            <w:r w:rsidRPr="00291290">
              <w:t xml:space="preserve"> 2017</w:t>
            </w:r>
          </w:p>
        </w:tc>
      </w:tr>
      <w:tr w:rsidR="009E0C19" w:rsidRPr="00D95F99" w:rsidTr="006A6B32">
        <w:tc>
          <w:tcPr>
            <w:tcW w:w="6345" w:type="dxa"/>
          </w:tcPr>
          <w:p w:rsidR="009E0C19" w:rsidRPr="00D95F99" w:rsidRDefault="00377BD4" w:rsidP="00CD308A">
            <w:r w:rsidRPr="00D95F99">
              <w:t>Number of working days from submission dossier acceptance to registration decision*</w:t>
            </w:r>
          </w:p>
        </w:tc>
        <w:tc>
          <w:tcPr>
            <w:tcW w:w="2127" w:type="dxa"/>
          </w:tcPr>
          <w:p w:rsidR="009E0C19" w:rsidRPr="00D95F99" w:rsidRDefault="00940409" w:rsidP="00CD308A">
            <w:r>
              <w:t>221</w:t>
            </w:r>
          </w:p>
        </w:tc>
      </w:tr>
    </w:tbl>
    <w:p w:rsidR="00CD308A" w:rsidRDefault="00377BD4" w:rsidP="00BE253F">
      <w:pPr>
        <w:pStyle w:val="TableDescription"/>
      </w:pPr>
      <w:r>
        <w:t>*</w:t>
      </w:r>
      <w:r w:rsidR="005C720D">
        <w:t xml:space="preserve"> </w:t>
      </w:r>
      <w:r w:rsidR="006E0498">
        <w:t>Legislative timeframe is 255 working</w:t>
      </w:r>
    </w:p>
    <w:p w:rsidR="008E7846" w:rsidRPr="003602A9" w:rsidRDefault="008E7846" w:rsidP="008E7846">
      <w:pPr>
        <w:pStyle w:val="Heading2"/>
        <w:ind w:left="-11"/>
      </w:pPr>
      <w:bookmarkStart w:id="26" w:name="_Toc524949246"/>
      <w:r>
        <w:t>II</w:t>
      </w:r>
      <w:r w:rsidR="00D05669">
        <w:t>I</w:t>
      </w:r>
      <w:r>
        <w:t>. Quality</w:t>
      </w:r>
      <w:bookmarkEnd w:id="2"/>
      <w:r>
        <w:t xml:space="preserve"> findings</w:t>
      </w:r>
      <w:bookmarkEnd w:id="23"/>
      <w:bookmarkEnd w:id="24"/>
      <w:bookmarkEnd w:id="26"/>
    </w:p>
    <w:p w:rsidR="00940A89" w:rsidRPr="00940A89" w:rsidRDefault="00940A89" w:rsidP="00940A89">
      <w:pPr>
        <w:pStyle w:val="Heading3"/>
        <w:rPr>
          <w:rFonts w:ascii="Cambria" w:eastAsia="Cambria" w:hAnsi="Cambria"/>
          <w:b w:val="0"/>
          <w:bCs w:val="0"/>
          <w:i/>
          <w:szCs w:val="22"/>
        </w:rPr>
      </w:pPr>
      <w:bookmarkStart w:id="27" w:name="_Toc247691507"/>
      <w:bookmarkStart w:id="28" w:name="_Toc314842488"/>
      <w:bookmarkStart w:id="29" w:name="_Toc524949247"/>
      <w:r w:rsidRPr="00940A89">
        <w:t>Introduction</w:t>
      </w:r>
      <w:bookmarkEnd w:id="29"/>
    </w:p>
    <w:p w:rsidR="00401961" w:rsidRPr="00401961" w:rsidRDefault="00401961" w:rsidP="00401961">
      <w:r w:rsidRPr="00401961">
        <w:t xml:space="preserve">The sponsor is proposing to register the product in </w:t>
      </w:r>
      <w:r w:rsidR="00095CCD" w:rsidRPr="00401961">
        <w:t xml:space="preserve">polyvinylchloride (PVC) / polychlorotrifluoroethylene (PCTFE) / PVC </w:t>
      </w:r>
      <w:r w:rsidRPr="00401961">
        <w:t>/Al blister packs containing 14 capsules.</w:t>
      </w:r>
    </w:p>
    <w:p w:rsidR="00401961" w:rsidRPr="00401961" w:rsidRDefault="00401961" w:rsidP="00401961">
      <w:r w:rsidRPr="00401961">
        <w:t>The recommended dosage regimen in adults and adolescents 16 years and older is 123 mg migalastat (1 capsule) orally once every other day at the same time of day. Capsules must be swallowed whole. The capsules must not be cut, crushed, or chewed.</w:t>
      </w:r>
    </w:p>
    <w:p w:rsidR="00401961" w:rsidRPr="00401961" w:rsidRDefault="00401961" w:rsidP="00401961">
      <w:r w:rsidRPr="00401961">
        <w:t>Migalastat hydrochloride is not subject to a USP or BP/Ph Eur. monographs.</w:t>
      </w:r>
    </w:p>
    <w:p w:rsidR="008E7846" w:rsidRDefault="008E7846" w:rsidP="00940A89">
      <w:pPr>
        <w:pStyle w:val="Heading3"/>
      </w:pPr>
      <w:bookmarkStart w:id="30" w:name="_Toc524949248"/>
      <w:r w:rsidRPr="008751DC">
        <w:lastRenderedPageBreak/>
        <w:t xml:space="preserve">Drug </w:t>
      </w:r>
      <w:r>
        <w:t>s</w:t>
      </w:r>
      <w:r w:rsidRPr="008751DC">
        <w:t>ubstance</w:t>
      </w:r>
      <w:bookmarkEnd w:id="27"/>
      <w:bookmarkEnd w:id="28"/>
      <w:bookmarkEnd w:id="30"/>
    </w:p>
    <w:p w:rsidR="00CD308A" w:rsidRDefault="00401961" w:rsidP="00401961">
      <w:r w:rsidRPr="00401961">
        <w:t>Migalastat hydrochloride is a white to almost white crystalline solid. It is freely soluble between pH 1.2 and pH 7.5 in aqueous media</w:t>
      </w:r>
      <w:r w:rsidR="00CD308A">
        <w:t>.</w:t>
      </w:r>
    </w:p>
    <w:p w:rsidR="00A3645D" w:rsidRDefault="00401961" w:rsidP="00A3645D">
      <w:r w:rsidRPr="00401961">
        <w:t>Migalastat hydrochloride is made by chemical synthesis. The API contains 4 stereogenic centres and is the isomer with the 2R</w:t>
      </w:r>
      <w:proofErr w:type="gramStart"/>
      <w:r w:rsidRPr="00401961">
        <w:t>,3S,4R,5S</w:t>
      </w:r>
      <w:proofErr w:type="gramEnd"/>
      <w:r w:rsidRPr="00401961">
        <w:t xml:space="preserve"> configuration as proven by single crystal X-ray crystallography. A single solid state form, Form 1, has been identified for migalastat </w:t>
      </w:r>
      <w:proofErr w:type="gramStart"/>
      <w:r w:rsidRPr="00401961">
        <w:t>hydrochloride,</w:t>
      </w:r>
      <w:proofErr w:type="gramEnd"/>
      <w:r w:rsidRPr="00401961">
        <w:t xml:space="preserve"> no other p</w:t>
      </w:r>
      <w:r w:rsidR="00A3645D">
        <w:t>olymorphs have been identified.</w:t>
      </w:r>
    </w:p>
    <w:p w:rsidR="00401961" w:rsidRPr="008F7363" w:rsidRDefault="00401961" w:rsidP="00A3645D">
      <w:pPr>
        <w:pStyle w:val="FigureTitle"/>
        <w:rPr>
          <w:rFonts w:eastAsia="Times New Roman"/>
        </w:rPr>
      </w:pPr>
      <w:r>
        <w:t>Figure 1:</w:t>
      </w:r>
      <w:r w:rsidRPr="00401961">
        <w:t xml:space="preserve"> Migalastat hydrochloride</w:t>
      </w:r>
      <w:r>
        <w:t>.</w:t>
      </w:r>
    </w:p>
    <w:p w:rsidR="00CD308A" w:rsidRPr="00CD308A" w:rsidRDefault="00401961" w:rsidP="00401961">
      <w:pPr>
        <w:spacing w:before="60" w:after="60" w:line="240" w:lineRule="auto"/>
        <w:rPr>
          <w:rFonts w:ascii="Arial" w:eastAsia="Times New Roman" w:hAnsi="Arial" w:cs="Arial"/>
          <w:noProof/>
          <w:sz w:val="21"/>
          <w:szCs w:val="21"/>
          <w:lang w:eastAsia="en-AU"/>
        </w:rPr>
      </w:pPr>
      <w:r>
        <w:rPr>
          <w:noProof/>
          <w:lang w:eastAsia="en-AU"/>
        </w:rPr>
        <w:drawing>
          <wp:inline distT="0" distB="0" distL="0" distR="0" wp14:anchorId="6D249D95" wp14:editId="30BE5C22">
            <wp:extent cx="1368796" cy="1163476"/>
            <wp:effectExtent l="0" t="0" r="3175" b="0"/>
            <wp:docPr id="2" name="Picture 2" descr="Figure 1: Migalastat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67118" cy="1162050"/>
                    </a:xfrm>
                    <a:prstGeom prst="rect">
                      <a:avLst/>
                    </a:prstGeom>
                  </pic:spPr>
                </pic:pic>
              </a:graphicData>
            </a:graphic>
          </wp:inline>
        </w:drawing>
      </w:r>
    </w:p>
    <w:p w:rsidR="00401961" w:rsidRPr="00401961" w:rsidRDefault="00401961" w:rsidP="00401961">
      <w:r w:rsidRPr="00401961">
        <w:t>Related substances, residual solvents and heavy metal impurities have been controlled according to the ICH guidelines.</w:t>
      </w:r>
    </w:p>
    <w:p w:rsidR="008E7846" w:rsidRDefault="008E7846" w:rsidP="008E7846">
      <w:pPr>
        <w:pStyle w:val="Heading3"/>
      </w:pPr>
      <w:bookmarkStart w:id="31" w:name="_Toc247691508"/>
      <w:bookmarkStart w:id="32" w:name="_Toc314842490"/>
      <w:bookmarkStart w:id="33" w:name="_Toc524949249"/>
      <w:r w:rsidRPr="008751DC">
        <w:t xml:space="preserve">Drug </w:t>
      </w:r>
      <w:r>
        <w:t>p</w:t>
      </w:r>
      <w:r w:rsidRPr="008751DC">
        <w:t>roduct</w:t>
      </w:r>
      <w:bookmarkEnd w:id="31"/>
      <w:bookmarkEnd w:id="32"/>
      <w:bookmarkEnd w:id="33"/>
    </w:p>
    <w:p w:rsidR="00401961" w:rsidRPr="00401961" w:rsidRDefault="00401961" w:rsidP="00401961">
      <w:r w:rsidRPr="00401961">
        <w:t xml:space="preserve">Migalastat 123 mg </w:t>
      </w:r>
      <w:r w:rsidR="00E321D8">
        <w:t>c</w:t>
      </w:r>
      <w:r w:rsidRPr="00401961">
        <w:t xml:space="preserve">apsules are size 2 hard capsules with an opaque blue cap and opaque white body printed with the identifying code </w:t>
      </w:r>
      <w:r w:rsidR="001B2F5C">
        <w:t>‘</w:t>
      </w:r>
      <w:r w:rsidRPr="00401961">
        <w:t>A1001</w:t>
      </w:r>
      <w:r w:rsidR="001B2F5C">
        <w:t>’</w:t>
      </w:r>
      <w:r w:rsidRPr="00401961">
        <w:t xml:space="preserve"> printed in black containing white to pale brown powder. The formulation for each capsule is conventional and the capsule powder is composed of pregelatinised maize starch and magnesium stearate.</w:t>
      </w:r>
    </w:p>
    <w:p w:rsidR="00401961" w:rsidRPr="00401961" w:rsidRDefault="00401961" w:rsidP="00401961">
      <w:r w:rsidRPr="00401961">
        <w:t>The container/closure system pro</w:t>
      </w:r>
      <w:r w:rsidR="00095CCD">
        <w:t>posed is polyvinylchloride PVC/</w:t>
      </w:r>
      <w:r w:rsidRPr="00401961">
        <w:t>PCTFE/PVC blister packs with aluminium foil lidding of 14 tablets.</w:t>
      </w:r>
    </w:p>
    <w:p w:rsidR="00401961" w:rsidRPr="00401961" w:rsidRDefault="00E321D8" w:rsidP="00401961">
      <w:r>
        <w:t>The manufacturing process for migalastat c</w:t>
      </w:r>
      <w:r w:rsidR="00401961" w:rsidRPr="00401961">
        <w:t>apsules consists of milling, dry mixing, encapsulating and packaging.</w:t>
      </w:r>
    </w:p>
    <w:p w:rsidR="00401961" w:rsidRPr="00401961" w:rsidRDefault="00401961" w:rsidP="00401961">
      <w:r w:rsidRPr="00401961">
        <w:t>The finished product is appropriately controlled using the finished product specifications. The specifications include acceptable tests and limits for appearance, identity (IR and HPLC), uniformity of dosage units, assay, related substances, dissolution and microbial limits. No degradation impurities have been identified in the finished product and all individual degradation products are controlled according to the ICH identification threshold.</w:t>
      </w:r>
    </w:p>
    <w:p w:rsidR="00401961" w:rsidRPr="00401961" w:rsidRDefault="00401961" w:rsidP="00401961">
      <w:r w:rsidRPr="00401961">
        <w:t>The dissolution method employs a paddle apparatus at 50 rpm in 900 mL with 0.1 N HCl. A dissolution limit of NLT 80% (Q) in 15 minutes was set and this is considered appropriate.</w:t>
      </w:r>
    </w:p>
    <w:p w:rsidR="00401961" w:rsidRPr="00401961" w:rsidRDefault="00401961" w:rsidP="00401961">
      <w:r w:rsidRPr="00401961">
        <w:t>A shelf-life</w:t>
      </w:r>
      <w:r w:rsidR="00F73CDE">
        <w:t xml:space="preserve"> of 48 months </w:t>
      </w:r>
      <w:r w:rsidR="001B2F5C">
        <w:t>‘</w:t>
      </w:r>
      <w:r w:rsidR="00F73CDE">
        <w:t>Store below 30°C</w:t>
      </w:r>
      <w:r w:rsidR="001B2F5C">
        <w:t>’</w:t>
      </w:r>
      <w:r w:rsidRPr="00401961">
        <w:t xml:space="preserve"> is recommended in </w:t>
      </w:r>
      <w:r w:rsidR="00A3645D" w:rsidRPr="00A3645D">
        <w:t>PVC/PCTFE/PVC/Al blister packs</w:t>
      </w:r>
      <w:r w:rsidRPr="00401961">
        <w:t>.</w:t>
      </w:r>
    </w:p>
    <w:p w:rsidR="00401961" w:rsidRPr="00401961" w:rsidRDefault="00401961" w:rsidP="00401961">
      <w:r w:rsidRPr="00401961">
        <w:t>Chemistry and quality control aspects are considered acceptable.</w:t>
      </w:r>
    </w:p>
    <w:p w:rsidR="008E7846" w:rsidRDefault="008E7846" w:rsidP="008E7846">
      <w:pPr>
        <w:pStyle w:val="Heading3"/>
      </w:pPr>
      <w:bookmarkStart w:id="34" w:name="_Toc314842491"/>
      <w:bookmarkStart w:id="35" w:name="_Toc524949250"/>
      <w:r>
        <w:t>Biopharmaceutics</w:t>
      </w:r>
      <w:bookmarkEnd w:id="34"/>
      <w:bookmarkEnd w:id="35"/>
    </w:p>
    <w:p w:rsidR="00401961" w:rsidRPr="00633DF4" w:rsidRDefault="00401961" w:rsidP="00401961">
      <w:pPr>
        <w:pStyle w:val="Heading4"/>
      </w:pPr>
      <w:r w:rsidRPr="00633DF4">
        <w:t>Absolute bioavailability [Study AT1001-018]</w:t>
      </w:r>
    </w:p>
    <w:p w:rsidR="00CD308A" w:rsidRDefault="00401961" w:rsidP="00401961">
      <w:r w:rsidRPr="00401961">
        <w:t>Exposures following IV infusion of single ascending doses of 0.3, 1.0, and 10 mg/kg migalastat HCl were dose proportional</w:t>
      </w:r>
      <w:r w:rsidR="00CD308A">
        <w:t>.</w:t>
      </w:r>
    </w:p>
    <w:p w:rsidR="00CD308A" w:rsidRDefault="00401961" w:rsidP="00401961">
      <w:r w:rsidRPr="00401961">
        <w:lastRenderedPageBreak/>
        <w:t xml:space="preserve">After a single oral dose of 150 mg migalastat HCl, the median </w:t>
      </w:r>
      <w:r w:rsidR="001B2F5C" w:rsidRPr="00401961">
        <w:t>t</w:t>
      </w:r>
      <w:r w:rsidR="001B2F5C" w:rsidRPr="00A55E04">
        <w:rPr>
          <w:vertAlign w:val="subscript"/>
        </w:rPr>
        <w:t>max</w:t>
      </w:r>
      <w:r w:rsidRPr="00401961">
        <w:t xml:space="preserve"> of migalastat was 2.75</w:t>
      </w:r>
      <w:r w:rsidR="001B2F5C">
        <w:t> </w:t>
      </w:r>
      <w:r w:rsidRPr="00401961">
        <w:t xml:space="preserve">h post-dose. After a single IV infusion of 150 mg migalastat HCl, the median </w:t>
      </w:r>
      <w:r w:rsidR="001B2F5C" w:rsidRPr="00401961">
        <w:t>t</w:t>
      </w:r>
      <w:r w:rsidR="001B2F5C" w:rsidRPr="00A55E04">
        <w:rPr>
          <w:vertAlign w:val="subscript"/>
        </w:rPr>
        <w:t>max</w:t>
      </w:r>
      <w:r w:rsidRPr="00401961">
        <w:t xml:space="preserve"> of migalastat was at the end of infusion (approximately 2 h post start of the infusion). The absolute bioavailability arm of the study demonstrated that exposures after IV infusion of 150 mg migalastat HCl were approximately 1.3-fold higher than the exposures observed after oral administration of the same dose. The absolute bioavailability was approximately 75% for the 150 mg oral dose of migalastat HCl</w:t>
      </w:r>
      <w:r w:rsidR="00CD308A">
        <w:t>.</w:t>
      </w:r>
    </w:p>
    <w:p w:rsidR="00CD308A" w:rsidRDefault="00401961" w:rsidP="00401961">
      <w:pPr>
        <w:pStyle w:val="Heading4"/>
      </w:pPr>
      <w:r w:rsidRPr="00633DF4">
        <w:t>Effect of food</w:t>
      </w:r>
    </w:p>
    <w:p w:rsidR="00401961" w:rsidRPr="001818BC" w:rsidRDefault="00401961" w:rsidP="00401961">
      <w:pPr>
        <w:pStyle w:val="Heading5"/>
      </w:pPr>
      <w:r w:rsidRPr="001818BC">
        <w:t>Study FAB-CL-103</w:t>
      </w:r>
    </w:p>
    <w:p w:rsidR="00CD308A" w:rsidRDefault="00401961" w:rsidP="00401961">
      <w:r w:rsidRPr="00401961">
        <w:t>This study investigated a migalastat HCl solution and migalastat HCl capsule formulations and to assess the effect of food on the 100 mg single oral dose of migalastat HCl capsules</w:t>
      </w:r>
      <w:r w:rsidR="00CD308A">
        <w:t>.</w:t>
      </w:r>
    </w:p>
    <w:p w:rsidR="00401961" w:rsidRPr="00401961" w:rsidRDefault="001B2F5C" w:rsidP="00401961">
      <w:proofErr w:type="gramStart"/>
      <w:r w:rsidRPr="00401961">
        <w:t>t</w:t>
      </w:r>
      <w:r w:rsidRPr="00A55E04">
        <w:rPr>
          <w:vertAlign w:val="subscript"/>
        </w:rPr>
        <w:t>max</w:t>
      </w:r>
      <w:proofErr w:type="gramEnd"/>
      <w:r w:rsidR="00401961" w:rsidRPr="00401961">
        <w:t xml:space="preserve"> was delayed by approximately 28% (from 3.067 to 3.929 hrs) when migalastat HCl capsules were administered with food in healthy male volunteers. In addition, the rate and extent of migalastat biovailability (</w:t>
      </w:r>
      <w:r w:rsidRPr="00401961">
        <w:t>C</w:t>
      </w:r>
      <w:r w:rsidRPr="00A55E04">
        <w:rPr>
          <w:vertAlign w:val="subscript"/>
        </w:rPr>
        <w:t>max</w:t>
      </w:r>
      <w:r w:rsidR="00401961" w:rsidRPr="00401961">
        <w:t>) and total systemic biovailability of migalastat (AUC) significantly decreased by approximately 40 and 38%, respectively, as compared to the fasting state.</w:t>
      </w:r>
    </w:p>
    <w:p w:rsidR="00401961" w:rsidRPr="001818BC" w:rsidRDefault="00401961" w:rsidP="00401961">
      <w:pPr>
        <w:pStyle w:val="Heading5"/>
      </w:pPr>
      <w:r w:rsidRPr="001818BC">
        <w:t>Study AT1001-016</w:t>
      </w:r>
    </w:p>
    <w:p w:rsidR="00401961" w:rsidRPr="00401961" w:rsidRDefault="00401961" w:rsidP="00401961">
      <w:r w:rsidRPr="00401961">
        <w:t>This study investigated a single 150</w:t>
      </w:r>
      <w:r w:rsidR="0014503E">
        <w:t xml:space="preserve"> </w:t>
      </w:r>
      <w:r w:rsidRPr="00401961">
        <w:t>mg oral dose of migalastat HCl administered either in the fasting state, with a glucose drink, 1 hour before a high-fat meal, 1 hour before a light meal, or 1 hour after a light meal.</w:t>
      </w:r>
    </w:p>
    <w:p w:rsidR="00401961" w:rsidRPr="00401961" w:rsidRDefault="00401961" w:rsidP="00401961">
      <w:r w:rsidRPr="00401961">
        <w:t>After coadministration of 50 g of glucose and migalastat, minor reductions of 14% in mean total exposure (</w:t>
      </w:r>
      <w:proofErr w:type="gramStart"/>
      <w:r w:rsidRPr="00401961">
        <w:t>AUC</w:t>
      </w:r>
      <w:r w:rsidRPr="006A6B32">
        <w:rPr>
          <w:vertAlign w:val="subscript"/>
        </w:rPr>
        <w:t>[</w:t>
      </w:r>
      <w:proofErr w:type="gramEnd"/>
      <w:r w:rsidRPr="006A6B32">
        <w:rPr>
          <w:vertAlign w:val="subscript"/>
        </w:rPr>
        <w:t>0-inf]</w:t>
      </w:r>
      <w:r w:rsidRPr="00401961">
        <w:t>) and 10% in mean peak exposure (</w:t>
      </w:r>
      <w:r w:rsidR="001B2F5C" w:rsidRPr="00401961">
        <w:t>C</w:t>
      </w:r>
      <w:r w:rsidR="001B2F5C" w:rsidRPr="00A55E04">
        <w:rPr>
          <w:vertAlign w:val="subscript"/>
        </w:rPr>
        <w:t>max</w:t>
      </w:r>
      <w:r w:rsidRPr="00401961">
        <w:t xml:space="preserve">) were observed compared with the fasting state, and were considered clinically inconsequential. No difference in median </w:t>
      </w:r>
      <w:r w:rsidR="001B2F5C" w:rsidRPr="00401961">
        <w:t>t</w:t>
      </w:r>
      <w:r w:rsidR="001B2F5C" w:rsidRPr="00A55E04">
        <w:rPr>
          <w:vertAlign w:val="subscript"/>
        </w:rPr>
        <w:t>max</w:t>
      </w:r>
      <w:r w:rsidRPr="00401961">
        <w:t xml:space="preserve"> was observed after the administration of a glucose drink compared with the fasting state.</w:t>
      </w:r>
    </w:p>
    <w:p w:rsidR="00401961" w:rsidRPr="00401961" w:rsidRDefault="00401961" w:rsidP="00CD308A">
      <w:pPr>
        <w:ind w:right="-143"/>
      </w:pPr>
      <w:r w:rsidRPr="00401961">
        <w:t>When migalastat was administered 1 hour before consumption of a high-fat meal or 1</w:t>
      </w:r>
      <w:r w:rsidR="001B2F5C">
        <w:t> </w:t>
      </w:r>
      <w:r w:rsidRPr="00401961">
        <w:t xml:space="preserve">hour before consumption of a light meal, significant reductions of 37% and 42% were observed in mean total exposure and reductions of 15% and 18% were observed in mean peak exposure of migalastat, respectively. The administration of migalastat 1 hour before either a high-fat or a light meal resulted in a statistically significant reduction in median </w:t>
      </w:r>
      <w:r w:rsidR="001B2F5C" w:rsidRPr="00401961">
        <w:t>t</w:t>
      </w:r>
      <w:r w:rsidR="001B2F5C" w:rsidRPr="00A55E04">
        <w:rPr>
          <w:vertAlign w:val="subscript"/>
        </w:rPr>
        <w:t>max</w:t>
      </w:r>
      <w:r w:rsidRPr="00401961">
        <w:t>.</w:t>
      </w:r>
    </w:p>
    <w:p w:rsidR="00401961" w:rsidRPr="00401961" w:rsidRDefault="00401961" w:rsidP="00401961">
      <w:r w:rsidRPr="00401961">
        <w:t xml:space="preserve">The timing of the meal was an important consideration, as a reduction of 39% was observed in mean peak exposure when migalastat was administered 1 hour after the consumption of a light meal. No effect was observed on median </w:t>
      </w:r>
      <w:r w:rsidR="001B2F5C" w:rsidRPr="00401961">
        <w:t>t</w:t>
      </w:r>
      <w:r w:rsidR="001B2F5C" w:rsidRPr="00A55E04">
        <w:rPr>
          <w:vertAlign w:val="subscript"/>
        </w:rPr>
        <w:t>max</w:t>
      </w:r>
      <w:r w:rsidRPr="00401961">
        <w:t xml:space="preserve"> when migalastat was administered 1 hour after the consumption of a light meal when compared with the fasting state.</w:t>
      </w:r>
    </w:p>
    <w:p w:rsidR="008E7846" w:rsidRPr="008751DC" w:rsidRDefault="008E7846" w:rsidP="008E7846">
      <w:pPr>
        <w:pStyle w:val="Heading3"/>
      </w:pPr>
      <w:bookmarkStart w:id="36" w:name="_Toc247691509"/>
      <w:bookmarkStart w:id="37" w:name="_Toc314842493"/>
      <w:bookmarkStart w:id="38" w:name="_Toc524949251"/>
      <w:r>
        <w:t>Quality s</w:t>
      </w:r>
      <w:r w:rsidRPr="008751DC">
        <w:t>ummary</w:t>
      </w:r>
      <w:r>
        <w:t xml:space="preserve"> and conclusions</w:t>
      </w:r>
      <w:bookmarkEnd w:id="36"/>
      <w:bookmarkEnd w:id="37"/>
      <w:bookmarkEnd w:id="38"/>
    </w:p>
    <w:p w:rsidR="008E7846" w:rsidRDefault="00401961" w:rsidP="008E7846">
      <w:r w:rsidRPr="00401961">
        <w:t>Registration of the product with respect to chemistry and quality control is recommended.</w:t>
      </w:r>
    </w:p>
    <w:p w:rsidR="008E7846" w:rsidRDefault="00D05669" w:rsidP="008E7846">
      <w:pPr>
        <w:pStyle w:val="Heading2"/>
      </w:pPr>
      <w:bookmarkStart w:id="39" w:name="_Toc196046439"/>
      <w:bookmarkStart w:id="40" w:name="_Toc247691510"/>
      <w:bookmarkStart w:id="41" w:name="_Toc314842494"/>
      <w:bookmarkStart w:id="42" w:name="_Toc524949252"/>
      <w:r>
        <w:t>IV</w:t>
      </w:r>
      <w:r w:rsidR="008E7846">
        <w:t>. Nonclinical</w:t>
      </w:r>
      <w:bookmarkEnd w:id="39"/>
      <w:r w:rsidR="008E7846">
        <w:t xml:space="preserve"> findings</w:t>
      </w:r>
      <w:bookmarkEnd w:id="40"/>
      <w:bookmarkEnd w:id="41"/>
      <w:bookmarkEnd w:id="42"/>
    </w:p>
    <w:p w:rsidR="008E7846" w:rsidRDefault="008E7846" w:rsidP="00940A89">
      <w:pPr>
        <w:pStyle w:val="Heading3"/>
      </w:pPr>
      <w:bookmarkStart w:id="43" w:name="_Toc247691511"/>
      <w:bookmarkStart w:id="44" w:name="_Toc314842495"/>
      <w:bookmarkStart w:id="45" w:name="_Toc524949253"/>
      <w:r>
        <w:t>Introduction</w:t>
      </w:r>
      <w:bookmarkEnd w:id="43"/>
      <w:bookmarkEnd w:id="44"/>
      <w:bookmarkEnd w:id="45"/>
    </w:p>
    <w:p w:rsidR="00CD308A" w:rsidRDefault="00CC67CF" w:rsidP="00CC67CF">
      <w:r w:rsidRPr="00CC67CF">
        <w:t>The quality of the nonclinical dossier was generally good. The range of studies was consistent with ICH guidelines. Pivotal studies examining safety pharmacology, repeat</w:t>
      </w:r>
      <w:r w:rsidR="0014503E">
        <w:t>-</w:t>
      </w:r>
      <w:r w:rsidR="0014503E">
        <w:lastRenderedPageBreak/>
        <w:t>dose toxicity and reproduction</w:t>
      </w:r>
      <w:r w:rsidRPr="00CC67CF">
        <w:t>/development were c</w:t>
      </w:r>
      <w:r w:rsidR="00A549A1">
        <w:t xml:space="preserve">onducted under GLP conditions. </w:t>
      </w:r>
      <w:r w:rsidRPr="00CC67CF">
        <w:t>The exposure ratios are adequate to assess the potential toxicological profile of the drug</w:t>
      </w:r>
      <w:r w:rsidR="00CD308A">
        <w:t>.</w:t>
      </w:r>
    </w:p>
    <w:p w:rsidR="008E7846" w:rsidRDefault="008E7846" w:rsidP="008E7846">
      <w:pPr>
        <w:pStyle w:val="Heading3"/>
      </w:pPr>
      <w:bookmarkStart w:id="46" w:name="_Toc247691512"/>
      <w:bookmarkStart w:id="47" w:name="_Toc314842496"/>
      <w:bookmarkStart w:id="48" w:name="_Toc524949254"/>
      <w:r w:rsidRPr="00020030">
        <w:t>Pharmacology</w:t>
      </w:r>
      <w:bookmarkEnd w:id="46"/>
      <w:bookmarkEnd w:id="47"/>
      <w:bookmarkEnd w:id="48"/>
    </w:p>
    <w:p w:rsidR="00CC67CF" w:rsidRPr="008130C8" w:rsidRDefault="00CC67CF" w:rsidP="00CC67CF">
      <w:pPr>
        <w:pStyle w:val="Heading4"/>
      </w:pPr>
      <w:r w:rsidRPr="008130C8">
        <w:t>Primary pharmacology</w:t>
      </w:r>
    </w:p>
    <w:p w:rsidR="00CD308A" w:rsidRDefault="00CC67CF" w:rsidP="00CC67CF">
      <w:pPr>
        <w:rPr>
          <w:snapToGrid w:val="0"/>
        </w:rPr>
      </w:pPr>
      <w:r>
        <w:rPr>
          <w:snapToGrid w:val="0"/>
        </w:rPr>
        <w:t xml:space="preserve">The effects of migalastat on the binding, inhibition and stabilisation of </w:t>
      </w:r>
      <w:r w:rsidRPr="008130C8">
        <w:rPr>
          <w:snapToGrid w:val="0"/>
        </w:rPr>
        <w:t>α-Gal</w:t>
      </w:r>
      <w:r>
        <w:rPr>
          <w:snapToGrid w:val="0"/>
        </w:rPr>
        <w:t>actosidase</w:t>
      </w:r>
      <w:r w:rsidRPr="008130C8">
        <w:rPr>
          <w:snapToGrid w:val="0"/>
        </w:rPr>
        <w:t xml:space="preserve"> </w:t>
      </w:r>
      <w:proofErr w:type="gramStart"/>
      <w:r w:rsidRPr="008130C8">
        <w:rPr>
          <w:snapToGrid w:val="0"/>
        </w:rPr>
        <w:t>A</w:t>
      </w:r>
      <w:proofErr w:type="gramEnd"/>
      <w:r w:rsidRPr="008130C8">
        <w:rPr>
          <w:snapToGrid w:val="0"/>
        </w:rPr>
        <w:t xml:space="preserve"> </w:t>
      </w:r>
      <w:r>
        <w:rPr>
          <w:snapToGrid w:val="0"/>
        </w:rPr>
        <w:t>(</w:t>
      </w:r>
      <w:r w:rsidRPr="008130C8">
        <w:rPr>
          <w:snapToGrid w:val="0"/>
        </w:rPr>
        <w:t>α-Gal A</w:t>
      </w:r>
      <w:r>
        <w:rPr>
          <w:snapToGrid w:val="0"/>
        </w:rPr>
        <w:t xml:space="preserve">) were investigated </w:t>
      </w:r>
      <w:r w:rsidRPr="006A6B32">
        <w:rPr>
          <w:snapToGrid w:val="0"/>
        </w:rPr>
        <w:t>in vitro</w:t>
      </w:r>
      <w:r>
        <w:rPr>
          <w:snapToGrid w:val="0"/>
        </w:rPr>
        <w:t xml:space="preserve">. </w:t>
      </w:r>
      <w:r w:rsidRPr="008130C8">
        <w:rPr>
          <w:snapToGrid w:val="0"/>
        </w:rPr>
        <w:t>Migalastat binds to recombinant human α-Gal A (rhα</w:t>
      </w:r>
      <w:r w:rsidR="001B2F5C">
        <w:rPr>
          <w:snapToGrid w:val="0"/>
        </w:rPr>
        <w:noBreakHyphen/>
      </w:r>
      <w:r w:rsidRPr="008130C8">
        <w:rPr>
          <w:snapToGrid w:val="0"/>
        </w:rPr>
        <w:t>GAL</w:t>
      </w:r>
      <w:r w:rsidR="001B2F5C">
        <w:rPr>
          <w:snapToGrid w:val="0"/>
        </w:rPr>
        <w:t> </w:t>
      </w:r>
      <w:r w:rsidRPr="008130C8">
        <w:rPr>
          <w:snapToGrid w:val="0"/>
        </w:rPr>
        <w:t>A) and α-Gal A from tissues from mouse, rat, monkey and human with high affinity (</w:t>
      </w:r>
      <w:proofErr w:type="gramStart"/>
      <w:r w:rsidRPr="008130C8">
        <w:rPr>
          <w:snapToGrid w:val="0"/>
        </w:rPr>
        <w:t>K</w:t>
      </w:r>
      <w:r w:rsidRPr="00BE1732">
        <w:rPr>
          <w:snapToGrid w:val="0"/>
          <w:vertAlign w:val="subscript"/>
        </w:rPr>
        <w:t>i</w:t>
      </w:r>
      <w:r w:rsidRPr="008130C8">
        <w:rPr>
          <w:snapToGrid w:val="0"/>
        </w:rPr>
        <w:t xml:space="preserve"> </w:t>
      </w:r>
      <w:r w:rsidR="001B2F5C">
        <w:rPr>
          <w:snapToGrid w:val="0"/>
        </w:rPr>
        <w:t xml:space="preserve"> around</w:t>
      </w:r>
      <w:proofErr w:type="gramEnd"/>
      <w:r w:rsidR="001B2F5C">
        <w:rPr>
          <w:snapToGrid w:val="0"/>
        </w:rPr>
        <w:t xml:space="preserve"> </w:t>
      </w:r>
      <w:r>
        <w:rPr>
          <w:snapToGrid w:val="0"/>
        </w:rPr>
        <w:t>10 nM)</w:t>
      </w:r>
      <w:r w:rsidR="00CD308A">
        <w:rPr>
          <w:snapToGrid w:val="0"/>
        </w:rPr>
        <w:t>.</w:t>
      </w:r>
    </w:p>
    <w:p w:rsidR="00CC67CF" w:rsidRPr="008130C8" w:rsidRDefault="00CC67CF" w:rsidP="00CC67CF">
      <w:pPr>
        <w:rPr>
          <w:snapToGrid w:val="0"/>
        </w:rPr>
      </w:pPr>
      <w:r w:rsidRPr="008130C8">
        <w:rPr>
          <w:snapToGrid w:val="0"/>
        </w:rPr>
        <w:t xml:space="preserve">Migalastat was shown to </w:t>
      </w:r>
      <w:r w:rsidR="001B2F5C" w:rsidRPr="008130C8">
        <w:rPr>
          <w:snapToGrid w:val="0"/>
        </w:rPr>
        <w:t>stabili</w:t>
      </w:r>
      <w:r w:rsidR="001B2F5C">
        <w:rPr>
          <w:snapToGrid w:val="0"/>
        </w:rPr>
        <w:t>s</w:t>
      </w:r>
      <w:r w:rsidR="001B2F5C" w:rsidRPr="008130C8">
        <w:rPr>
          <w:snapToGrid w:val="0"/>
        </w:rPr>
        <w:t xml:space="preserve">e </w:t>
      </w:r>
      <w:r w:rsidRPr="008130C8">
        <w:rPr>
          <w:snapToGrid w:val="0"/>
        </w:rPr>
        <w:t xml:space="preserve">degradation of rhα-GAL </w:t>
      </w:r>
      <w:proofErr w:type="gramStart"/>
      <w:r w:rsidRPr="008130C8">
        <w:rPr>
          <w:snapToGrid w:val="0"/>
        </w:rPr>
        <w:t>A</w:t>
      </w:r>
      <w:proofErr w:type="gramEnd"/>
      <w:r w:rsidRPr="008130C8">
        <w:rPr>
          <w:snapToGrid w:val="0"/>
        </w:rPr>
        <w:t xml:space="preserve"> enzymes preparations (agalsidase alpha and beta) at different pH</w:t>
      </w:r>
      <w:r>
        <w:rPr>
          <w:snapToGrid w:val="0"/>
        </w:rPr>
        <w:t xml:space="preserve"> and temperatures</w:t>
      </w:r>
      <w:r w:rsidRPr="008130C8">
        <w:rPr>
          <w:snapToGrid w:val="0"/>
        </w:rPr>
        <w:t>.</w:t>
      </w:r>
      <w:r>
        <w:rPr>
          <w:snapToGrid w:val="0"/>
        </w:rPr>
        <w:t xml:space="preserve"> </w:t>
      </w:r>
      <w:r w:rsidRPr="008130C8">
        <w:rPr>
          <w:snapToGrid w:val="0"/>
        </w:rPr>
        <w:t xml:space="preserve">Increased levels of α-Gal A were measured in studies using cell lines from human volunteers and Fabry patients, demonstrating that migalastat can reach intracellular α-Gal A and bind to both wild-type and mutant forms of the enzyme. </w:t>
      </w:r>
      <w:r>
        <w:rPr>
          <w:snapToGrid w:val="0"/>
        </w:rPr>
        <w:t xml:space="preserve">Migalastat increased </w:t>
      </w:r>
      <w:r w:rsidRPr="008130C8">
        <w:rPr>
          <w:snapToGrid w:val="0"/>
        </w:rPr>
        <w:t xml:space="preserve">α-Gal A </w:t>
      </w:r>
      <w:r>
        <w:rPr>
          <w:snapToGrid w:val="0"/>
        </w:rPr>
        <w:t xml:space="preserve">protein levels in fibroblasts from Fabry patients; </w:t>
      </w:r>
      <w:r w:rsidRPr="008130C8">
        <w:rPr>
          <w:spacing w:val="-1"/>
        </w:rPr>
        <w:t>half of the missense mutant forms associated with classic (early-onset) Fabry disease</w:t>
      </w:r>
      <w:r>
        <w:rPr>
          <w:spacing w:val="-1"/>
        </w:rPr>
        <w:t>,</w:t>
      </w:r>
      <w:r w:rsidRPr="008130C8">
        <w:rPr>
          <w:spacing w:val="-1"/>
        </w:rPr>
        <w:t xml:space="preserve"> and 90% of those associated with later-onset Fabry disease</w:t>
      </w:r>
      <w:r>
        <w:rPr>
          <w:spacing w:val="-1"/>
        </w:rPr>
        <w:t>,</w:t>
      </w:r>
      <w:r w:rsidRPr="008130C8">
        <w:rPr>
          <w:spacing w:val="-1"/>
        </w:rPr>
        <w:t xml:space="preserve"> were responsive (</w:t>
      </w:r>
      <w:r w:rsidRPr="00D06EE2">
        <w:rPr>
          <w:spacing w:val="-1"/>
        </w:rPr>
        <w:t>EC</w:t>
      </w:r>
      <w:r w:rsidRPr="00D06EE2">
        <w:rPr>
          <w:spacing w:val="-1"/>
          <w:vertAlign w:val="subscript"/>
        </w:rPr>
        <w:t>50</w:t>
      </w:r>
      <w:r>
        <w:rPr>
          <w:spacing w:val="-1"/>
        </w:rPr>
        <w:t xml:space="preserve"> </w:t>
      </w:r>
      <w:r w:rsidRPr="008130C8">
        <w:rPr>
          <w:spacing w:val="-1"/>
        </w:rPr>
        <w:t>values of 820 nM to &gt;1 mM).</w:t>
      </w:r>
      <w:r>
        <w:rPr>
          <w:spacing w:val="-1"/>
        </w:rPr>
        <w:t xml:space="preserve"> </w:t>
      </w:r>
      <w:r>
        <w:rPr>
          <w:snapToGrid w:val="0"/>
        </w:rPr>
        <w:t xml:space="preserve">In a separate study, migalastat bound to </w:t>
      </w:r>
      <w:r w:rsidRPr="008130C8">
        <w:rPr>
          <w:snapToGrid w:val="0"/>
        </w:rPr>
        <w:t>23</w:t>
      </w:r>
      <w:r>
        <w:rPr>
          <w:snapToGrid w:val="0"/>
        </w:rPr>
        <w:t xml:space="preserve"> of </w:t>
      </w:r>
      <w:r w:rsidRPr="008130C8">
        <w:rPr>
          <w:snapToGrid w:val="0"/>
        </w:rPr>
        <w:t xml:space="preserve">29 mutants </w:t>
      </w:r>
      <w:r>
        <w:rPr>
          <w:snapToGrid w:val="0"/>
        </w:rPr>
        <w:t>with similar affinity as wild-type α</w:t>
      </w:r>
      <w:r>
        <w:rPr>
          <w:snapToGrid w:val="0"/>
        </w:rPr>
        <w:noBreakHyphen/>
      </w:r>
      <w:r w:rsidRPr="008130C8">
        <w:rPr>
          <w:snapToGrid w:val="0"/>
        </w:rPr>
        <w:t>Gal A.</w:t>
      </w:r>
    </w:p>
    <w:p w:rsidR="00CD308A" w:rsidRDefault="00CC67CF" w:rsidP="00CC67CF">
      <w:pPr>
        <w:rPr>
          <w:snapToGrid w:val="0"/>
        </w:rPr>
      </w:pPr>
      <w:r>
        <w:rPr>
          <w:snapToGrid w:val="0"/>
        </w:rPr>
        <w:t xml:space="preserve">Migalastat inhibits </w:t>
      </w:r>
      <w:r w:rsidRPr="008130C8">
        <w:rPr>
          <w:snapToGrid w:val="0"/>
        </w:rPr>
        <w:t xml:space="preserve">α-Gal </w:t>
      </w:r>
      <w:proofErr w:type="gramStart"/>
      <w:r w:rsidRPr="008130C8">
        <w:rPr>
          <w:snapToGrid w:val="0"/>
        </w:rPr>
        <w:t>A</w:t>
      </w:r>
      <w:proofErr w:type="gramEnd"/>
      <w:r>
        <w:rPr>
          <w:snapToGrid w:val="0"/>
        </w:rPr>
        <w:t xml:space="preserve"> activity with </w:t>
      </w:r>
      <w:r w:rsidRPr="00BE1732">
        <w:rPr>
          <w:snapToGrid w:val="0"/>
        </w:rPr>
        <w:t>IC</w:t>
      </w:r>
      <w:r w:rsidRPr="00BE1732">
        <w:rPr>
          <w:snapToGrid w:val="0"/>
          <w:vertAlign w:val="subscript"/>
        </w:rPr>
        <w:t>50</w:t>
      </w:r>
      <w:r>
        <w:rPr>
          <w:snapToGrid w:val="0"/>
        </w:rPr>
        <w:t xml:space="preserve"> values of </w:t>
      </w:r>
      <w:r w:rsidRPr="008130C8">
        <w:rPr>
          <w:snapToGrid w:val="0"/>
        </w:rPr>
        <w:t>~20</w:t>
      </w:r>
      <w:r w:rsidR="0014503E">
        <w:rPr>
          <w:snapToGrid w:val="0"/>
        </w:rPr>
        <w:t>-</w:t>
      </w:r>
      <w:r>
        <w:rPr>
          <w:snapToGrid w:val="0"/>
        </w:rPr>
        <w:t>90</w:t>
      </w:r>
      <w:r w:rsidRPr="008130C8">
        <w:rPr>
          <w:snapToGrid w:val="0"/>
        </w:rPr>
        <w:t xml:space="preserve"> nM</w:t>
      </w:r>
      <w:r>
        <w:rPr>
          <w:snapToGrid w:val="0"/>
        </w:rPr>
        <w:t xml:space="preserve"> for wild-type </w:t>
      </w:r>
      <w:r w:rsidRPr="008130C8">
        <w:rPr>
          <w:snapToGrid w:val="0"/>
        </w:rPr>
        <w:t>α-Gal A</w:t>
      </w:r>
      <w:r>
        <w:rPr>
          <w:snapToGrid w:val="0"/>
        </w:rPr>
        <w:t xml:space="preserve"> from </w:t>
      </w:r>
      <w:r w:rsidRPr="008130C8">
        <w:rPr>
          <w:snapToGrid w:val="0"/>
        </w:rPr>
        <w:t xml:space="preserve">mouse, rat, monkey and human. </w:t>
      </w:r>
      <w:r>
        <w:rPr>
          <w:snapToGrid w:val="0"/>
        </w:rPr>
        <w:t xml:space="preserve">The activity of some mutant forms of </w:t>
      </w:r>
      <w:r w:rsidRPr="008130C8">
        <w:rPr>
          <w:snapToGrid w:val="0"/>
        </w:rPr>
        <w:t>α-Gal A</w:t>
      </w:r>
      <w:r>
        <w:rPr>
          <w:snapToGrid w:val="0"/>
        </w:rPr>
        <w:t xml:space="preserve"> were also inhibited by migalastat </w:t>
      </w:r>
      <w:r w:rsidRPr="008130C8">
        <w:rPr>
          <w:snapToGrid w:val="0"/>
        </w:rPr>
        <w:t>(</w:t>
      </w:r>
      <w:r>
        <w:rPr>
          <w:snapToGrid w:val="0"/>
        </w:rPr>
        <w:t>24 of 29 tested</w:t>
      </w:r>
      <w:r w:rsidRPr="008130C8">
        <w:rPr>
          <w:snapToGrid w:val="0"/>
        </w:rPr>
        <w:t xml:space="preserve"> mutant forms had an </w:t>
      </w:r>
      <w:r w:rsidRPr="00AF6101">
        <w:rPr>
          <w:snapToGrid w:val="0"/>
        </w:rPr>
        <w:t>IC</w:t>
      </w:r>
      <w:r w:rsidRPr="00AF6101">
        <w:rPr>
          <w:snapToGrid w:val="0"/>
          <w:vertAlign w:val="subscript"/>
        </w:rPr>
        <w:t>50</w:t>
      </w:r>
      <w:r>
        <w:rPr>
          <w:snapToGrid w:val="0"/>
        </w:rPr>
        <w:t xml:space="preserve"> </w:t>
      </w:r>
      <w:r w:rsidRPr="008130C8">
        <w:rPr>
          <w:snapToGrid w:val="0"/>
        </w:rPr>
        <w:t xml:space="preserve">&lt; 180 nM, </w:t>
      </w:r>
      <w:r>
        <w:rPr>
          <w:snapToGrid w:val="0"/>
        </w:rPr>
        <w:t xml:space="preserve">with the remaining 5 having an </w:t>
      </w:r>
      <w:r w:rsidRPr="00AF6101">
        <w:rPr>
          <w:snapToGrid w:val="0"/>
        </w:rPr>
        <w:t>IC</w:t>
      </w:r>
      <w:r w:rsidRPr="00AF6101">
        <w:rPr>
          <w:snapToGrid w:val="0"/>
          <w:vertAlign w:val="subscript"/>
        </w:rPr>
        <w:t>50</w:t>
      </w:r>
      <w:r w:rsidRPr="008130C8">
        <w:rPr>
          <w:snapToGrid w:val="0"/>
        </w:rPr>
        <w:t xml:space="preserve"> of 289-441 nM)</w:t>
      </w:r>
      <w:r>
        <w:rPr>
          <w:snapToGrid w:val="0"/>
        </w:rPr>
        <w:t>. Inhibitory effects were also demonstrated in fibroblasts from Fabry patients. Fibroblasts</w:t>
      </w:r>
      <w:r w:rsidRPr="008130C8">
        <w:rPr>
          <w:snapToGrid w:val="0"/>
        </w:rPr>
        <w:t xml:space="preserve"> with two specific mutations showed a decrease in GL-3 levels when treated for 7 days with a 3 day wash-out period</w:t>
      </w:r>
      <w:r>
        <w:rPr>
          <w:snapToGrid w:val="0"/>
        </w:rPr>
        <w:t>. However,</w:t>
      </w:r>
      <w:r w:rsidRPr="008130C8">
        <w:rPr>
          <w:snapToGrid w:val="0"/>
        </w:rPr>
        <w:t xml:space="preserve"> GL-3 </w:t>
      </w:r>
      <w:r>
        <w:rPr>
          <w:snapToGrid w:val="0"/>
        </w:rPr>
        <w:t xml:space="preserve">was not </w:t>
      </w:r>
      <w:r w:rsidRPr="008130C8">
        <w:rPr>
          <w:snapToGrid w:val="0"/>
        </w:rPr>
        <w:t>decrease</w:t>
      </w:r>
      <w:r>
        <w:rPr>
          <w:snapToGrid w:val="0"/>
        </w:rPr>
        <w:t>d</w:t>
      </w:r>
      <w:r w:rsidRPr="008130C8">
        <w:rPr>
          <w:snapToGrid w:val="0"/>
        </w:rPr>
        <w:t xml:space="preserve"> after 10 days of continuous treatment. When GL-3 turnover was measured in normal human fibroblasts, rapid removal of migalastat from the enzyme was observed when treatment was stopped (half-life of α-Gal </w:t>
      </w:r>
      <w:proofErr w:type="gramStart"/>
      <w:r w:rsidRPr="008130C8">
        <w:rPr>
          <w:snapToGrid w:val="0"/>
        </w:rPr>
        <w:t>A</w:t>
      </w:r>
      <w:proofErr w:type="gramEnd"/>
      <w:r w:rsidRPr="008130C8">
        <w:rPr>
          <w:snapToGrid w:val="0"/>
        </w:rPr>
        <w:t xml:space="preserve"> inhibition by migalastat was 2</w:t>
      </w:r>
      <w:r w:rsidR="001B2F5C">
        <w:rPr>
          <w:snapToGrid w:val="0"/>
        </w:rPr>
        <w:t xml:space="preserve"> to </w:t>
      </w:r>
      <w:r w:rsidRPr="008130C8">
        <w:rPr>
          <w:snapToGrid w:val="0"/>
        </w:rPr>
        <w:t>5 hours).</w:t>
      </w:r>
      <w:r>
        <w:rPr>
          <w:snapToGrid w:val="0"/>
        </w:rPr>
        <w:t xml:space="preserve"> In contrast, h</w:t>
      </w:r>
      <w:r w:rsidRPr="008130C8">
        <w:rPr>
          <w:snapToGrid w:val="0"/>
        </w:rPr>
        <w:t>alf-lives of sustained increased enzyme activity (after removal of migalastat from the medium) varied depending on the sp</w:t>
      </w:r>
      <w:r>
        <w:rPr>
          <w:snapToGrid w:val="0"/>
        </w:rPr>
        <w:t>ecific mutation (11 to &gt;</w:t>
      </w:r>
      <w:r w:rsidR="001B2F5C">
        <w:rPr>
          <w:snapToGrid w:val="0"/>
        </w:rPr>
        <w:t xml:space="preserve"> </w:t>
      </w:r>
      <w:r>
        <w:rPr>
          <w:snapToGrid w:val="0"/>
        </w:rPr>
        <w:t>120h)</w:t>
      </w:r>
      <w:r w:rsidR="00CD308A">
        <w:rPr>
          <w:snapToGrid w:val="0"/>
        </w:rPr>
        <w:t>.</w:t>
      </w:r>
    </w:p>
    <w:p w:rsidR="00CC67CF" w:rsidRDefault="00CC67CF" w:rsidP="00CC67CF">
      <w:pPr>
        <w:rPr>
          <w:snapToGrid w:val="0"/>
        </w:rPr>
      </w:pPr>
      <w:r w:rsidRPr="006A6B32">
        <w:rPr>
          <w:snapToGrid w:val="0"/>
        </w:rPr>
        <w:t>In vivo</w:t>
      </w:r>
      <w:r w:rsidRPr="008130C8">
        <w:rPr>
          <w:snapToGrid w:val="0"/>
        </w:rPr>
        <w:t xml:space="preserve"> pharmacodynamic studies</w:t>
      </w:r>
      <w:r>
        <w:rPr>
          <w:snapToGrid w:val="0"/>
        </w:rPr>
        <w:t xml:space="preserve"> used a </w:t>
      </w:r>
      <w:r w:rsidRPr="008130C8">
        <w:rPr>
          <w:snapToGrid w:val="0"/>
        </w:rPr>
        <w:t xml:space="preserve">Fabry mouse model </w:t>
      </w:r>
      <w:r>
        <w:rPr>
          <w:snapToGrid w:val="0"/>
        </w:rPr>
        <w:t>that expresses</w:t>
      </w:r>
      <w:r w:rsidRPr="008130C8">
        <w:rPr>
          <w:snapToGrid w:val="0"/>
        </w:rPr>
        <w:t xml:space="preserve"> a human mutant α-Gal A transgene on a mouse Gla knockout background (hR</w:t>
      </w:r>
      <w:r>
        <w:rPr>
          <w:snapToGrid w:val="0"/>
        </w:rPr>
        <w:t>301Q α-GAL A Tg/KO)</w:t>
      </w:r>
      <w:r w:rsidRPr="008130C8">
        <w:rPr>
          <w:snapToGrid w:val="0"/>
        </w:rPr>
        <w:t>. These animals display age-dependent accumulation of GL-3 in disease-relevant tissues</w:t>
      </w:r>
      <w:r>
        <w:rPr>
          <w:snapToGrid w:val="0"/>
        </w:rPr>
        <w:t xml:space="preserve"> (skin, heart, kidney, brain)</w:t>
      </w:r>
      <w:r w:rsidRPr="008130C8">
        <w:rPr>
          <w:snapToGrid w:val="0"/>
        </w:rPr>
        <w:t xml:space="preserve">. </w:t>
      </w:r>
      <w:proofErr w:type="gramStart"/>
      <w:r w:rsidRPr="008130C8">
        <w:rPr>
          <w:snapToGrid w:val="0"/>
        </w:rPr>
        <w:t>α-G</w:t>
      </w:r>
      <w:r>
        <w:rPr>
          <w:snapToGrid w:val="0"/>
        </w:rPr>
        <w:t>al</w:t>
      </w:r>
      <w:proofErr w:type="gramEnd"/>
      <w:r w:rsidRPr="008130C8">
        <w:rPr>
          <w:snapToGrid w:val="0"/>
        </w:rPr>
        <w:t xml:space="preserve"> A tissue levels were increased</w:t>
      </w:r>
      <w:r>
        <w:rPr>
          <w:snapToGrid w:val="0"/>
        </w:rPr>
        <w:t xml:space="preserve">, with a concomitant decrease in GL-3, </w:t>
      </w:r>
      <w:r w:rsidRPr="008130C8">
        <w:rPr>
          <w:snapToGrid w:val="0"/>
        </w:rPr>
        <w:t>in skin, heart and kidney, dose-dependently up to 300 mg/kg/day</w:t>
      </w:r>
      <w:r w:rsidRPr="00964800">
        <w:rPr>
          <w:snapToGrid w:val="0"/>
        </w:rPr>
        <w:t xml:space="preserve"> </w:t>
      </w:r>
      <w:r>
        <w:rPr>
          <w:snapToGrid w:val="0"/>
        </w:rPr>
        <w:t xml:space="preserve">following </w:t>
      </w:r>
      <w:r w:rsidRPr="008130C8">
        <w:rPr>
          <w:snapToGrid w:val="0"/>
        </w:rPr>
        <w:t>4 weeks continuous treatment (Study RR1001-06). Evaluation of different dosing regimens demonstrated that dosing for 4 days followed by 3 days wash-out resulted in a greater reduction in tissue GL-3 than daily dosing at 300 mg/kg/day (Study RR1001-13). Administration of migalastat for 6 months (4 days on/3 days off) produced even greater GL-3 reductions in heart and skin, in both young (4-week-old) and older (24</w:t>
      </w:r>
      <w:r w:rsidR="001B2F5C">
        <w:rPr>
          <w:snapToGrid w:val="0"/>
        </w:rPr>
        <w:t> </w:t>
      </w:r>
      <w:r w:rsidRPr="008130C8">
        <w:rPr>
          <w:snapToGrid w:val="0"/>
        </w:rPr>
        <w:t>week</w:t>
      </w:r>
      <w:r w:rsidR="001B2F5C">
        <w:rPr>
          <w:snapToGrid w:val="0"/>
        </w:rPr>
        <w:t xml:space="preserve"> </w:t>
      </w:r>
      <w:r w:rsidRPr="008130C8">
        <w:rPr>
          <w:snapToGrid w:val="0"/>
        </w:rPr>
        <w:t xml:space="preserve">old) hR301Q α-Gal A Tg/KO mice, demonstrating </w:t>
      </w:r>
      <w:r>
        <w:rPr>
          <w:snapToGrid w:val="0"/>
        </w:rPr>
        <w:t>both</w:t>
      </w:r>
      <w:r w:rsidRPr="008130C8">
        <w:rPr>
          <w:snapToGrid w:val="0"/>
        </w:rPr>
        <w:t xml:space="preserve"> prophylactic and therapeutic</w:t>
      </w:r>
      <w:r>
        <w:rPr>
          <w:snapToGrid w:val="0"/>
        </w:rPr>
        <w:t xml:space="preserve"> effects</w:t>
      </w:r>
      <w:r w:rsidRPr="008130C8">
        <w:rPr>
          <w:snapToGrid w:val="0"/>
        </w:rPr>
        <w:t xml:space="preserve">. </w:t>
      </w:r>
      <w:r>
        <w:rPr>
          <w:snapToGrid w:val="0"/>
        </w:rPr>
        <w:t xml:space="preserve">In contrast, migalastat did not affect </w:t>
      </w:r>
      <w:r w:rsidRPr="008130C8">
        <w:rPr>
          <w:snapToGrid w:val="0"/>
        </w:rPr>
        <w:t xml:space="preserve">α-Gal </w:t>
      </w:r>
      <w:proofErr w:type="gramStart"/>
      <w:r w:rsidRPr="008130C8">
        <w:rPr>
          <w:snapToGrid w:val="0"/>
        </w:rPr>
        <w:t>A</w:t>
      </w:r>
      <w:proofErr w:type="gramEnd"/>
      <w:r w:rsidRPr="008130C8">
        <w:rPr>
          <w:snapToGrid w:val="0"/>
        </w:rPr>
        <w:t xml:space="preserve"> </w:t>
      </w:r>
      <w:r>
        <w:rPr>
          <w:snapToGrid w:val="0"/>
        </w:rPr>
        <w:t xml:space="preserve">activity or GL-3 levels in </w:t>
      </w:r>
      <w:r w:rsidRPr="008130C8">
        <w:rPr>
          <w:snapToGrid w:val="0"/>
        </w:rPr>
        <w:t>Gla Knock-out Mice (RR1001-12)</w:t>
      </w:r>
      <w:r>
        <w:rPr>
          <w:snapToGrid w:val="0"/>
        </w:rPr>
        <w:t xml:space="preserve">. This indicates that </w:t>
      </w:r>
      <w:r w:rsidRPr="008130C8">
        <w:rPr>
          <w:snapToGrid w:val="0"/>
        </w:rPr>
        <w:t>the α-Gal A protein (even if defective) needs to be present in order for migalastat to exert its pharmacological properties.</w:t>
      </w:r>
    </w:p>
    <w:p w:rsidR="00CC67CF" w:rsidRPr="008130C8" w:rsidRDefault="00CC67CF" w:rsidP="00CC67CF">
      <w:pPr>
        <w:rPr>
          <w:snapToGrid w:val="0"/>
        </w:rPr>
      </w:pPr>
      <w:r>
        <w:rPr>
          <w:snapToGrid w:val="0"/>
        </w:rPr>
        <w:t xml:space="preserve">Together, the </w:t>
      </w:r>
      <w:r w:rsidRPr="006A6B32">
        <w:rPr>
          <w:snapToGrid w:val="0"/>
        </w:rPr>
        <w:t>in vitro</w:t>
      </w:r>
      <w:r w:rsidRPr="001B2F5C">
        <w:rPr>
          <w:snapToGrid w:val="0"/>
        </w:rPr>
        <w:t xml:space="preserve"> and </w:t>
      </w:r>
      <w:r w:rsidRPr="006A6B32">
        <w:rPr>
          <w:snapToGrid w:val="0"/>
        </w:rPr>
        <w:t>in vivo</w:t>
      </w:r>
      <w:r>
        <w:rPr>
          <w:snapToGrid w:val="0"/>
        </w:rPr>
        <w:t xml:space="preserve"> data indicate that migalastat binds to, stabilises and inhibits </w:t>
      </w:r>
      <w:r w:rsidRPr="008130C8">
        <w:rPr>
          <w:snapToGrid w:val="0"/>
        </w:rPr>
        <w:t>α-Gal A</w:t>
      </w:r>
      <w:r>
        <w:rPr>
          <w:snapToGrid w:val="0"/>
        </w:rPr>
        <w:t xml:space="preserve">. As the half-life for inhibition is markedly shorter than the half-life for the effect on enzyme stability, there is a net increase in </w:t>
      </w:r>
      <w:r w:rsidRPr="008130C8">
        <w:rPr>
          <w:snapToGrid w:val="0"/>
        </w:rPr>
        <w:t xml:space="preserve">α-Gal </w:t>
      </w:r>
      <w:proofErr w:type="gramStart"/>
      <w:r w:rsidRPr="008130C8">
        <w:rPr>
          <w:snapToGrid w:val="0"/>
        </w:rPr>
        <w:t>A</w:t>
      </w:r>
      <w:proofErr w:type="gramEnd"/>
      <w:r>
        <w:rPr>
          <w:snapToGrid w:val="0"/>
        </w:rPr>
        <w:t xml:space="preserve"> activity following treatment with migalastat. The balance between stabilisation and inhibition appears to be optimised by non-continuous dosing.</w:t>
      </w:r>
    </w:p>
    <w:p w:rsidR="00CC67CF" w:rsidRPr="008130C8" w:rsidRDefault="00CC67CF" w:rsidP="00CC67CF">
      <w:pPr>
        <w:pStyle w:val="Heading4"/>
      </w:pPr>
      <w:r w:rsidRPr="008130C8">
        <w:lastRenderedPageBreak/>
        <w:t>Secondary pharmacodynamics and safety pharmacology</w:t>
      </w:r>
    </w:p>
    <w:p w:rsidR="00CD308A" w:rsidRDefault="00CC67CF" w:rsidP="00CC67CF">
      <w:r w:rsidRPr="008130C8">
        <w:t>A</w:t>
      </w:r>
      <w:r w:rsidRPr="008130C8">
        <w:rPr>
          <w:spacing w:val="-7"/>
        </w:rPr>
        <w:t xml:space="preserve"> </w:t>
      </w:r>
      <w:r w:rsidRPr="008130C8">
        <w:t>standard</w:t>
      </w:r>
      <w:r w:rsidRPr="008130C8">
        <w:rPr>
          <w:spacing w:val="-6"/>
        </w:rPr>
        <w:t xml:space="preserve"> </w:t>
      </w:r>
      <w:r w:rsidRPr="008130C8">
        <w:t>assay</w:t>
      </w:r>
      <w:r w:rsidRPr="008130C8">
        <w:rPr>
          <w:spacing w:val="-4"/>
        </w:rPr>
        <w:t xml:space="preserve"> </w:t>
      </w:r>
      <w:r w:rsidRPr="008130C8">
        <w:t>showed</w:t>
      </w:r>
      <w:r w:rsidRPr="008130C8">
        <w:rPr>
          <w:spacing w:val="-5"/>
        </w:rPr>
        <w:t xml:space="preserve"> </w:t>
      </w:r>
      <w:r w:rsidRPr="008130C8">
        <w:t>no</w:t>
      </w:r>
      <w:r w:rsidRPr="008130C8">
        <w:rPr>
          <w:spacing w:val="-5"/>
        </w:rPr>
        <w:t xml:space="preserve"> </w:t>
      </w:r>
      <w:r w:rsidRPr="008130C8">
        <w:t xml:space="preserve">significant binding by migalastat to 83 receptors and enzymes, demonstrating selective binding to α-Gal </w:t>
      </w:r>
      <w:proofErr w:type="gramStart"/>
      <w:r w:rsidRPr="008130C8">
        <w:t>A</w:t>
      </w:r>
      <w:proofErr w:type="gramEnd"/>
      <w:r w:rsidRPr="008130C8">
        <w:t xml:space="preserve"> (Study MDS1080607)</w:t>
      </w:r>
      <w:r w:rsidR="00CD308A">
        <w:t>.</w:t>
      </w:r>
    </w:p>
    <w:p w:rsidR="00CC67CF" w:rsidRPr="008130C8" w:rsidRDefault="00CC67CF" w:rsidP="00CC67CF">
      <w:r w:rsidRPr="008130C8">
        <w:t>In evaluations using other lysosomal enzymes and lysates from human blood (Study</w:t>
      </w:r>
      <w:r w:rsidR="001B2F5C">
        <w:t> </w:t>
      </w:r>
      <w:r w:rsidRPr="008130C8">
        <w:t>RR1001-01) significant binding by migalastat was only shown for the lysosomal enzyme α-N-</w:t>
      </w:r>
      <w:r w:rsidR="001B2F5C">
        <w:t>a</w:t>
      </w:r>
      <w:r w:rsidR="001B2F5C" w:rsidRPr="008130C8">
        <w:t xml:space="preserve">cetylgalactosaminidase </w:t>
      </w:r>
      <w:r w:rsidRPr="008130C8">
        <w:t xml:space="preserve">(NAGA) with an </w:t>
      </w:r>
      <w:r w:rsidRPr="00964800">
        <w:t>IC</w:t>
      </w:r>
      <w:r w:rsidRPr="00964800">
        <w:rPr>
          <w:vertAlign w:val="subscript"/>
        </w:rPr>
        <w:t>50</w:t>
      </w:r>
      <w:r>
        <w:t xml:space="preserve"> </w:t>
      </w:r>
      <w:r w:rsidRPr="008130C8">
        <w:t>of 6.94</w:t>
      </w:r>
      <w:r w:rsidR="001B2F5C">
        <w:t> </w:t>
      </w:r>
      <w:r w:rsidRPr="008130C8">
        <w:t>µM (1.4 µg/mL)</w:t>
      </w:r>
      <w:r>
        <w:t xml:space="preserve">. Similarly, </w:t>
      </w:r>
      <w:r w:rsidRPr="008130C8">
        <w:t xml:space="preserve">migalastat </w:t>
      </w:r>
      <w:r>
        <w:t xml:space="preserve">inhibited NAGA from </w:t>
      </w:r>
      <w:r w:rsidRPr="008130C8">
        <w:t xml:space="preserve">human and rat </w:t>
      </w:r>
      <w:r>
        <w:t xml:space="preserve">liver with </w:t>
      </w:r>
      <w:r w:rsidRPr="00964800">
        <w:t>IC</w:t>
      </w:r>
      <w:r w:rsidRPr="00964800">
        <w:rPr>
          <w:vertAlign w:val="subscript"/>
        </w:rPr>
        <w:t>50</w:t>
      </w:r>
      <w:r w:rsidRPr="008130C8">
        <w:t xml:space="preserve"> </w:t>
      </w:r>
      <w:r>
        <w:t xml:space="preserve">values of </w:t>
      </w:r>
      <w:r w:rsidRPr="008130C8">
        <w:t xml:space="preserve">7.7 and 8.5 </w:t>
      </w:r>
      <w:r w:rsidR="001B2F5C">
        <w:t>µ</w:t>
      </w:r>
      <w:r w:rsidRPr="008130C8">
        <w:t>M, respectively</w:t>
      </w:r>
      <w:r>
        <w:t xml:space="preserve">. While this inhibition is </w:t>
      </w:r>
      <w:r w:rsidRPr="008130C8">
        <w:t>120</w:t>
      </w:r>
      <w:r w:rsidR="001B2F5C">
        <w:t xml:space="preserve"> x</w:t>
      </w:r>
      <w:r>
        <w:t xml:space="preserve"> </w:t>
      </w:r>
      <w:r w:rsidRPr="008130C8">
        <w:t>lower than the affinity for α-Gal A (</w:t>
      </w:r>
      <w:r w:rsidRPr="00964800">
        <w:t>IC</w:t>
      </w:r>
      <w:r w:rsidRPr="00964800">
        <w:rPr>
          <w:vertAlign w:val="subscript"/>
        </w:rPr>
        <w:t>50</w:t>
      </w:r>
      <w:r>
        <w:t xml:space="preserve"> </w:t>
      </w:r>
      <w:r w:rsidRPr="008130C8">
        <w:t xml:space="preserve">of 57.7 nM), </w:t>
      </w:r>
      <w:r>
        <w:t xml:space="preserve">it </w:t>
      </w:r>
      <w:r w:rsidRPr="008130C8">
        <w:t xml:space="preserve">is </w:t>
      </w:r>
      <w:r>
        <w:t>similar to the predicted</w:t>
      </w:r>
      <w:r w:rsidRPr="008130C8">
        <w:t xml:space="preserve"> clinical </w:t>
      </w:r>
      <w:r w:rsidR="001B2F5C" w:rsidRPr="00401961">
        <w:t>C</w:t>
      </w:r>
      <w:r w:rsidR="001B2F5C" w:rsidRPr="00A55E04">
        <w:rPr>
          <w:vertAlign w:val="subscript"/>
        </w:rPr>
        <w:t>max</w:t>
      </w:r>
      <w:r>
        <w:t xml:space="preserve"> </w:t>
      </w:r>
      <w:r w:rsidRPr="008130C8">
        <w:t>(</w:t>
      </w:r>
      <w:r w:rsidRPr="000109DA">
        <w:t>1.2 µg/mL</w:t>
      </w:r>
      <w:r w:rsidRPr="008130C8">
        <w:t>). NAGA is a lysosomal enzyme that cleaves α-N-acetylgalactosaminyl moieties from glycoproteins and glycolipids, and patients with Schindler disease display extreme NAGA deficiency (98% persistent loss of activity).</w:t>
      </w:r>
    </w:p>
    <w:p w:rsidR="00CC67CF" w:rsidRPr="008130C8" w:rsidRDefault="00CC67CF" w:rsidP="00CC67CF">
      <w:r w:rsidRPr="008130C8">
        <w:t>Since there is high homology between human and rat NAGA, the rat is a suitable species to investigate inhibitory effects on NAGA by migalastat. Signs of Schindler disease (such as hepatomegaly, muscular weakness or motor problems) were not present in rats, suggesting a lack of significant inhibition of NAGA.</w:t>
      </w:r>
      <w:r>
        <w:t xml:space="preserve"> Furthermore, the dosing regimen is unlikely to lead to persistent inhibition of NAGA clinically.</w:t>
      </w:r>
    </w:p>
    <w:p w:rsidR="00CC67CF" w:rsidRPr="008130C8" w:rsidRDefault="00CC67CF" w:rsidP="00CC67CF">
      <w:r w:rsidRPr="008130C8">
        <w:t>Migalastat is a low affinity substrate and inhibitor of SGLT1 (a sodium-glucose linked transporter found predominantly in the intestinal mucosa)</w:t>
      </w:r>
      <w:r>
        <w:t xml:space="preserve">, with </w:t>
      </w:r>
      <w:r w:rsidRPr="0069218B">
        <w:t>EC</w:t>
      </w:r>
      <w:r w:rsidRPr="0069218B">
        <w:rPr>
          <w:vertAlign w:val="subscript"/>
        </w:rPr>
        <w:t>50</w:t>
      </w:r>
      <w:r>
        <w:t xml:space="preserve"> </w:t>
      </w:r>
      <w:r w:rsidRPr="008130C8">
        <w:t xml:space="preserve">and </w:t>
      </w:r>
      <w:r w:rsidRPr="0069218B">
        <w:t>IC</w:t>
      </w:r>
      <w:r w:rsidRPr="0069218B">
        <w:rPr>
          <w:vertAlign w:val="subscript"/>
        </w:rPr>
        <w:t>50</w:t>
      </w:r>
      <w:r>
        <w:t xml:space="preserve"> values markedly higher than the expected clinical </w:t>
      </w:r>
      <w:r w:rsidR="001B2F5C" w:rsidRPr="00401961">
        <w:t>C</w:t>
      </w:r>
      <w:r w:rsidR="001B2F5C" w:rsidRPr="00A55E04">
        <w:rPr>
          <w:vertAlign w:val="subscript"/>
        </w:rPr>
        <w:t>max</w:t>
      </w:r>
      <w:r>
        <w:t xml:space="preserve"> and predicted intestinal concentration (</w:t>
      </w:r>
      <w:r w:rsidRPr="008130C8">
        <w:t>&gt;</w:t>
      </w:r>
      <w:r w:rsidR="001B2F5C">
        <w:t> </w:t>
      </w:r>
      <w:r w:rsidRPr="008130C8">
        <w:t>60 mM</w:t>
      </w:r>
      <w:r>
        <w:t xml:space="preserve"> </w:t>
      </w:r>
      <w:r w:rsidR="001B2F5C">
        <w:t xml:space="preserve">(around </w:t>
      </w:r>
      <w:r>
        <w:t>12 mg/mL</w:t>
      </w:r>
      <w:r w:rsidR="001B2F5C">
        <w:t>)</w:t>
      </w:r>
      <w:r>
        <w:t xml:space="preserve"> </w:t>
      </w:r>
      <w:r w:rsidR="001B2F5C" w:rsidRPr="006A6B32">
        <w:t>compared with</w:t>
      </w:r>
      <w:r w:rsidR="001B2F5C">
        <w:rPr>
          <w:i/>
        </w:rPr>
        <w:t xml:space="preserve"> </w:t>
      </w:r>
      <w:proofErr w:type="gramStart"/>
      <w:r w:rsidRPr="000109DA">
        <w:t xml:space="preserve">1.2 </w:t>
      </w:r>
      <w:r w:rsidR="001B2F5C">
        <w:t>µ</w:t>
      </w:r>
      <w:r w:rsidRPr="000109DA">
        <w:t>g/mL</w:t>
      </w:r>
      <w:proofErr w:type="gramEnd"/>
      <w:r>
        <w:t xml:space="preserve"> and </w:t>
      </w:r>
      <w:r w:rsidR="001B2F5C">
        <w:t xml:space="preserve">around </w:t>
      </w:r>
      <w:r>
        <w:t xml:space="preserve">300 </w:t>
      </w:r>
      <w:r w:rsidR="001B2F5C">
        <w:t>µ</w:t>
      </w:r>
      <w:r>
        <w:t>M, respectively)</w:t>
      </w:r>
      <w:r w:rsidRPr="008130C8">
        <w:t>. The Sponsor has stated that a clinical study investigating the effects of a high-glucose drink on the pharmacokinetics of migalastat showed minor reductions in absorption (</w:t>
      </w:r>
      <w:r w:rsidR="001B2F5C" w:rsidRPr="00401961">
        <w:t>C</w:t>
      </w:r>
      <w:r w:rsidR="001B2F5C" w:rsidRPr="00A55E04">
        <w:rPr>
          <w:vertAlign w:val="subscript"/>
        </w:rPr>
        <w:t>max</w:t>
      </w:r>
      <w:r>
        <w:t xml:space="preserve"> </w:t>
      </w:r>
      <w:r w:rsidRPr="008130C8">
        <w:t>and AUC) which were considered clinically inconsequential.</w:t>
      </w:r>
    </w:p>
    <w:p w:rsidR="00CC67CF" w:rsidRPr="008130C8" w:rsidRDefault="00CC67CF" w:rsidP="00CC67CF">
      <w:r>
        <w:t>Migalastat did not affect l</w:t>
      </w:r>
      <w:r w:rsidRPr="008130C8">
        <w:t xml:space="preserve">evels of mutant acid α-glucosidase (GAA) or acid β-glucosidase (GCase) in Pompe or Gaucher patient fibroblast lines. </w:t>
      </w:r>
      <w:r>
        <w:t xml:space="preserve">Similarly, </w:t>
      </w:r>
      <w:r w:rsidRPr="008130C8">
        <w:t xml:space="preserve">GCase and GAA were not affected in an </w:t>
      </w:r>
      <w:r w:rsidRPr="00B45DDE">
        <w:rPr>
          <w:i/>
        </w:rPr>
        <w:t>in vivo</w:t>
      </w:r>
      <w:r w:rsidRPr="008130C8">
        <w:t xml:space="preserve"> study where administration of migalastat HCl to wild-type C57BL/6 mice resulted in selective, dose-dependent increases in tissue α-Gal </w:t>
      </w:r>
      <w:proofErr w:type="gramStart"/>
      <w:r w:rsidRPr="008130C8">
        <w:t>A</w:t>
      </w:r>
      <w:proofErr w:type="gramEnd"/>
      <w:r w:rsidRPr="008130C8">
        <w:t xml:space="preserve"> activity (Study</w:t>
      </w:r>
      <w:r w:rsidR="001B2F5C">
        <w:t> </w:t>
      </w:r>
      <w:r w:rsidRPr="008130C8">
        <w:t>RR1001-05). Migalastat HCl did not modify the activity of galactokinase, galactose-1-phosphate uridyltransferase, or UDP-galactose-4-epimerase (Study 2012N137381_00), demonstrating that the pathways i</w:t>
      </w:r>
      <w:r>
        <w:t>nvolved in galactose metabolism</w:t>
      </w:r>
      <w:r w:rsidRPr="008130C8">
        <w:t xml:space="preserve"> are not affected by </w:t>
      </w:r>
      <w:r>
        <w:t>≤</w:t>
      </w:r>
      <w:r w:rsidR="001B2F5C">
        <w:t> </w:t>
      </w:r>
      <w:r>
        <w:t>1</w:t>
      </w:r>
      <w:r w:rsidR="001B2F5C">
        <w:t> </w:t>
      </w:r>
      <w:r>
        <w:t xml:space="preserve">mM </w:t>
      </w:r>
      <w:r w:rsidRPr="008130C8">
        <w:t>migalastat. Migalastat was not cytotoxic to normal human fibroblasts or human liver HepG2 cells (</w:t>
      </w:r>
      <w:r>
        <w:t xml:space="preserve">≤ 1 mM; </w:t>
      </w:r>
      <w:r w:rsidRPr="008130C8">
        <w:t>Study RR1001-09).</w:t>
      </w:r>
    </w:p>
    <w:p w:rsidR="00CC67CF" w:rsidRPr="008130C8" w:rsidRDefault="00CC67CF" w:rsidP="00CC67CF">
      <w:r w:rsidRPr="008130C8">
        <w:t>Dedicated safety pharmacology studies examined effects</w:t>
      </w:r>
      <w:r>
        <w:t xml:space="preserve"> of migalastat</w:t>
      </w:r>
      <w:r w:rsidRPr="008130C8">
        <w:t xml:space="preserve"> </w:t>
      </w:r>
      <w:r>
        <w:t xml:space="preserve">on the </w:t>
      </w:r>
      <w:r w:rsidRPr="008130C8">
        <w:t xml:space="preserve">cardiovascular system </w:t>
      </w:r>
      <w:r w:rsidRPr="006A6B32">
        <w:t>in vitro</w:t>
      </w:r>
      <w:r>
        <w:t xml:space="preserve"> and in </w:t>
      </w:r>
      <w:r w:rsidRPr="008130C8">
        <w:t>dogs</w:t>
      </w:r>
      <w:r>
        <w:t>, and</w:t>
      </w:r>
      <w:r w:rsidRPr="00B45DDE">
        <w:t xml:space="preserve"> </w:t>
      </w:r>
      <w:r w:rsidRPr="008130C8">
        <w:t xml:space="preserve">on the CNS </w:t>
      </w:r>
      <w:r>
        <w:t>and</w:t>
      </w:r>
      <w:r w:rsidRPr="008130C8">
        <w:t xml:space="preserve"> pulmonary function in rats. Migalastat had no effect on the hERG cur</w:t>
      </w:r>
      <w:r>
        <w:t>rents when tested up to 47.5 µM (</w:t>
      </w:r>
      <w:r w:rsidRPr="008130C8">
        <w:t>9.5 µg/</w:t>
      </w:r>
      <w:r>
        <w:t xml:space="preserve">mL; </w:t>
      </w:r>
      <w:r w:rsidR="001B2F5C">
        <w:t xml:space="preserve">around </w:t>
      </w:r>
      <w:r>
        <w:t>8</w:t>
      </w:r>
      <w:r w:rsidR="001B2F5C">
        <w:t xml:space="preserve"> x </w:t>
      </w:r>
      <w:r w:rsidRPr="008130C8">
        <w:t xml:space="preserve">the clinical </w:t>
      </w:r>
      <w:r w:rsidR="001B2F5C" w:rsidRPr="00401961">
        <w:t>C</w:t>
      </w:r>
      <w:r w:rsidR="001B2F5C" w:rsidRPr="00A55E04">
        <w:rPr>
          <w:vertAlign w:val="subscript"/>
        </w:rPr>
        <w:t>max</w:t>
      </w:r>
      <w:r>
        <w:t xml:space="preserve"> </w:t>
      </w:r>
      <w:r w:rsidRPr="008130C8">
        <w:t xml:space="preserve">of </w:t>
      </w:r>
      <w:r>
        <w:t>1.</w:t>
      </w:r>
      <w:r w:rsidRPr="000109DA">
        <w:t>2 µg/mL</w:t>
      </w:r>
      <w:r w:rsidRPr="008130C8">
        <w:t xml:space="preserve">). When administered to dogs at up to 100 mg/kg/day, migalastat caused no cardiovascular effects (including in mean, diastolic, or systolic arterial blood pressure, heart rate, or ECGs, including the QT and corrected QT intervals).  Exposure </w:t>
      </w:r>
      <w:proofErr w:type="gramStart"/>
      <w:r w:rsidRPr="008130C8">
        <w:t>extrapolation from other dog studies indicate</w:t>
      </w:r>
      <w:proofErr w:type="gramEnd"/>
      <w:r w:rsidRPr="008130C8">
        <w:t xml:space="preserve"> that </w:t>
      </w:r>
      <w:r w:rsidR="001B2F5C" w:rsidRPr="00401961">
        <w:t>C</w:t>
      </w:r>
      <w:r w:rsidR="001B2F5C" w:rsidRPr="00A55E04">
        <w:rPr>
          <w:vertAlign w:val="subscript"/>
        </w:rPr>
        <w:t>max</w:t>
      </w:r>
      <w:r>
        <w:t xml:space="preserve"> </w:t>
      </w:r>
      <w:r w:rsidRPr="008130C8">
        <w:t>and AUC at 100</w:t>
      </w:r>
      <w:r w:rsidR="001B2F5C">
        <w:t> </w:t>
      </w:r>
      <w:r w:rsidRPr="008130C8">
        <w:t>mg/kg/day is &gt;</w:t>
      </w:r>
      <w:r w:rsidR="001B2F5C">
        <w:t xml:space="preserve"> </w:t>
      </w:r>
      <w:r w:rsidRPr="006D2345">
        <w:t>60 and &gt;</w:t>
      </w:r>
      <w:r w:rsidR="001B2F5C">
        <w:t xml:space="preserve"> </w:t>
      </w:r>
      <w:r w:rsidRPr="006D2345">
        <w:t>40</w:t>
      </w:r>
      <w:r w:rsidRPr="008130C8">
        <w:t xml:space="preserve"> times higher than those in the clinical studies with MRHD of migalastat.</w:t>
      </w:r>
      <w:r w:rsidR="001B2F5C" w:rsidRPr="006D2345">
        <w:rPr>
          <w:rStyle w:val="FootnoteReference"/>
          <w:spacing w:val="-1"/>
        </w:rPr>
        <w:footnoteReference w:id="3"/>
      </w:r>
    </w:p>
    <w:p w:rsidR="00CC67CF" w:rsidRPr="008130C8" w:rsidRDefault="00CC67CF" w:rsidP="00CC67CF">
      <w:r w:rsidRPr="008130C8">
        <w:t xml:space="preserve">In rats, no effect on the central nervous system was observed at doses tested up to 100 mg/kg, with an achieved exposure of around </w:t>
      </w:r>
      <w:r w:rsidRPr="006D2345">
        <w:t>8 (</w:t>
      </w:r>
      <w:r w:rsidR="001B2F5C" w:rsidRPr="00401961">
        <w:t>C</w:t>
      </w:r>
      <w:r w:rsidR="001B2F5C" w:rsidRPr="00A55E04">
        <w:rPr>
          <w:vertAlign w:val="subscript"/>
        </w:rPr>
        <w:t>max</w:t>
      </w:r>
      <w:r w:rsidRPr="006D2345">
        <w:t>)</w:t>
      </w:r>
      <w:r w:rsidR="0014503E">
        <w:rPr>
          <w:rStyle w:val="FootnoteReference"/>
        </w:rPr>
        <w:footnoteReference w:id="4"/>
      </w:r>
      <w:r w:rsidRPr="008130C8">
        <w:t xml:space="preserve"> and </w:t>
      </w:r>
      <w:r>
        <w:t>4</w:t>
      </w:r>
      <w:r w:rsidRPr="008130C8">
        <w:t xml:space="preserve"> (AUC) times higher than those in the clinical studies with </w:t>
      </w:r>
      <w:r>
        <w:t xml:space="preserve">the </w:t>
      </w:r>
      <w:r w:rsidRPr="008130C8">
        <w:t xml:space="preserve">MRHD of migalastat. In rats, no respiratory effects were </w:t>
      </w:r>
      <w:r w:rsidRPr="008130C8">
        <w:lastRenderedPageBreak/>
        <w:t>observed after treatment with up to 100 mg/kg.</w:t>
      </w:r>
      <w:r>
        <w:t xml:space="preserve"> In addition, no adverse CNS effects were observed in rat repeat-dose toxicity studies with doses up to 1500 mg/kg/day (relative exposures of 18 and 27 based on </w:t>
      </w:r>
      <w:r w:rsidR="001B2F5C" w:rsidRPr="00401961">
        <w:t>C</w:t>
      </w:r>
      <w:r w:rsidR="001B2F5C" w:rsidRPr="00A55E04">
        <w:rPr>
          <w:vertAlign w:val="subscript"/>
        </w:rPr>
        <w:t>max</w:t>
      </w:r>
      <w:r>
        <w:t xml:space="preserve"> and AUC, respectively).</w:t>
      </w:r>
    </w:p>
    <w:p w:rsidR="00CC67CF" w:rsidRPr="008130C8" w:rsidRDefault="00CC67CF" w:rsidP="00CC67CF">
      <w:pPr>
        <w:pStyle w:val="Heading4"/>
      </w:pPr>
      <w:r w:rsidRPr="008130C8">
        <w:t>Pharmacodynamic drug interactions</w:t>
      </w:r>
    </w:p>
    <w:p w:rsidR="00CD308A" w:rsidRDefault="00CC67CF" w:rsidP="00CC67CF">
      <w:pPr>
        <w:rPr>
          <w:snapToGrid w:val="0"/>
        </w:rPr>
      </w:pPr>
      <w:r>
        <w:rPr>
          <w:snapToGrid w:val="0"/>
        </w:rPr>
        <w:t>The effects of combination therapy of migalastat with enzyme replacement therapy were investigated in</w:t>
      </w:r>
      <w:r w:rsidRPr="008130C8">
        <w:rPr>
          <w:snapToGrid w:val="0"/>
        </w:rPr>
        <w:t xml:space="preserve"> Fabry patient-derived fibroblast cell lines</w:t>
      </w:r>
      <w:r>
        <w:rPr>
          <w:snapToGrid w:val="0"/>
        </w:rPr>
        <w:t>. M</w:t>
      </w:r>
      <w:r w:rsidRPr="008130C8">
        <w:rPr>
          <w:snapToGrid w:val="0"/>
        </w:rPr>
        <w:t xml:space="preserve">igalastat </w:t>
      </w:r>
      <w:r>
        <w:rPr>
          <w:snapToGrid w:val="0"/>
        </w:rPr>
        <w:t xml:space="preserve">enhanced the effects of </w:t>
      </w:r>
      <w:r w:rsidRPr="008130C8">
        <w:rPr>
          <w:snapToGrid w:val="0"/>
        </w:rPr>
        <w:t xml:space="preserve">agalsidase alfa </w:t>
      </w:r>
      <w:r>
        <w:rPr>
          <w:snapToGrid w:val="0"/>
        </w:rPr>
        <w:t xml:space="preserve">and </w:t>
      </w:r>
      <w:r w:rsidRPr="008130C8">
        <w:rPr>
          <w:snapToGrid w:val="0"/>
        </w:rPr>
        <w:t>agalsidase beta</w:t>
      </w:r>
      <w:r>
        <w:rPr>
          <w:snapToGrid w:val="0"/>
        </w:rPr>
        <w:t xml:space="preserve"> on</w:t>
      </w:r>
      <w:r w:rsidRPr="008130C8">
        <w:rPr>
          <w:snapToGrid w:val="0"/>
        </w:rPr>
        <w:t xml:space="preserve"> </w:t>
      </w:r>
      <w:r w:rsidR="00210058">
        <w:rPr>
          <w:snapToGrid w:val="0"/>
        </w:rPr>
        <w:t>increa</w:t>
      </w:r>
      <w:r>
        <w:rPr>
          <w:snapToGrid w:val="0"/>
        </w:rPr>
        <w:t xml:space="preserve">sing </w:t>
      </w:r>
      <w:r w:rsidRPr="008130C8">
        <w:rPr>
          <w:snapToGrid w:val="0"/>
        </w:rPr>
        <w:t xml:space="preserve">cellular α-Gal </w:t>
      </w:r>
      <w:proofErr w:type="gramStart"/>
      <w:r w:rsidRPr="008130C8">
        <w:rPr>
          <w:snapToGrid w:val="0"/>
        </w:rPr>
        <w:t>A</w:t>
      </w:r>
      <w:proofErr w:type="gramEnd"/>
      <w:r w:rsidRPr="008130C8">
        <w:rPr>
          <w:snapToGrid w:val="0"/>
        </w:rPr>
        <w:t xml:space="preserve"> levels</w:t>
      </w:r>
      <w:r>
        <w:rPr>
          <w:snapToGrid w:val="0"/>
        </w:rPr>
        <w:t xml:space="preserve"> and </w:t>
      </w:r>
      <w:r w:rsidRPr="008130C8">
        <w:rPr>
          <w:snapToGrid w:val="0"/>
        </w:rPr>
        <w:t xml:space="preserve">activity, and </w:t>
      </w:r>
      <w:r>
        <w:rPr>
          <w:snapToGrid w:val="0"/>
        </w:rPr>
        <w:t xml:space="preserve">reducing </w:t>
      </w:r>
      <w:r w:rsidRPr="008130C8">
        <w:rPr>
          <w:snapToGrid w:val="0"/>
        </w:rPr>
        <w:t xml:space="preserve">GL-3 </w:t>
      </w:r>
      <w:r>
        <w:rPr>
          <w:snapToGrid w:val="0"/>
        </w:rPr>
        <w:t>levels</w:t>
      </w:r>
      <w:r w:rsidRPr="008130C8">
        <w:rPr>
          <w:snapToGrid w:val="0"/>
        </w:rPr>
        <w:t xml:space="preserve"> (Studies RR1001-17</w:t>
      </w:r>
      <w:r w:rsidR="002E70A2">
        <w:rPr>
          <w:snapToGrid w:val="0"/>
        </w:rPr>
        <w:t xml:space="preserve"> and</w:t>
      </w:r>
      <w:r w:rsidRPr="008130C8">
        <w:rPr>
          <w:snapToGrid w:val="0"/>
        </w:rPr>
        <w:t xml:space="preserve"> RR1001-37)</w:t>
      </w:r>
      <w:r w:rsidR="00CD308A">
        <w:rPr>
          <w:snapToGrid w:val="0"/>
        </w:rPr>
        <w:t>.</w:t>
      </w:r>
    </w:p>
    <w:p w:rsidR="00CD308A" w:rsidRDefault="00CC67CF" w:rsidP="00CC67CF">
      <w:r w:rsidRPr="008130C8">
        <w:t>In a murine Fabry disease model (Gla KO) and in SD rats, co-ad</w:t>
      </w:r>
      <w:r>
        <w:t>ministration of oral migalastat</w:t>
      </w:r>
      <w:r w:rsidRPr="008130C8">
        <w:t xml:space="preserve"> with intravenous agalsidase alfa </w:t>
      </w:r>
      <w:r>
        <w:t xml:space="preserve">or beta </w:t>
      </w:r>
      <w:r w:rsidRPr="008130C8">
        <w:t xml:space="preserve">increased the plasma half-life and protein levels of both enzymes (Study RR1001-16). In the GLA KO mice, co-administration of migalastat with </w:t>
      </w:r>
      <w:r>
        <w:t>either enzyme</w:t>
      </w:r>
      <w:r w:rsidRPr="008130C8">
        <w:t xml:space="preserve"> increased the extent of the enzymes effects, i.e. increased α-Gal A activity and reduced GL-3 levels in disease-relevant tissues (plasma, skin, heart, kidney) (Studies RR1001-20, RR1001-18, RR1001-31). Migalastat HCl also increased the potency of a 10-fold lower dose of agalsidase beta when administered 30 minutes prior to and</w:t>
      </w:r>
      <w:r>
        <w:t xml:space="preserve"> 2 hours after agalsidase beta (</w:t>
      </w:r>
      <w:r w:rsidRPr="008130C8">
        <w:t>Study RR1001-18)</w:t>
      </w:r>
      <w:r w:rsidR="00CD308A">
        <w:t>.</w:t>
      </w:r>
    </w:p>
    <w:p w:rsidR="00CD308A" w:rsidRDefault="00CC67CF" w:rsidP="00CC67CF">
      <w:r w:rsidRPr="008130C8">
        <w:t>In summary, concurrent treatment with enzyme replacement therapies (agalsidase alfa and agalsidase beta) and migalastat has an additive therapeutic effect</w:t>
      </w:r>
      <w:r w:rsidR="00CD308A">
        <w:t>.</w:t>
      </w:r>
    </w:p>
    <w:p w:rsidR="008E7846" w:rsidRDefault="008E7846" w:rsidP="008E7846">
      <w:pPr>
        <w:pStyle w:val="Heading3"/>
      </w:pPr>
      <w:bookmarkStart w:id="49" w:name="_Toc247691513"/>
      <w:bookmarkStart w:id="50" w:name="_Toc314842497"/>
      <w:bookmarkStart w:id="51" w:name="_Toc524949255"/>
      <w:r>
        <w:t>Pharmacokinetics</w:t>
      </w:r>
      <w:bookmarkEnd w:id="49"/>
      <w:bookmarkEnd w:id="50"/>
      <w:bookmarkEnd w:id="51"/>
    </w:p>
    <w:p w:rsidR="00CD308A" w:rsidRDefault="00CC67CF" w:rsidP="00CC67CF">
      <w:bookmarkStart w:id="52" w:name="_Toc247691514"/>
      <w:bookmarkStart w:id="53" w:name="_Toc314842498"/>
      <w:r w:rsidRPr="008130C8">
        <w:t xml:space="preserve">The pharmacokinetics of migalastat in species that are involved in toxicity assessment have been adequately evaluated in the current dossier. All of the plasma kinetics </w:t>
      </w:r>
      <w:proofErr w:type="gramStart"/>
      <w:r>
        <w:t>were</w:t>
      </w:r>
      <w:proofErr w:type="gramEnd"/>
      <w:r w:rsidRPr="008130C8">
        <w:t xml:space="preserve"> determined using validated assays</w:t>
      </w:r>
      <w:r w:rsidR="00CD308A">
        <w:t>.</w:t>
      </w:r>
    </w:p>
    <w:p w:rsidR="00CD308A" w:rsidRDefault="00CC67CF" w:rsidP="00CC67CF">
      <w:r w:rsidRPr="008130C8">
        <w:t>Oral bioavailability was high (</w:t>
      </w:r>
      <w:r>
        <w:t>66 to &gt;</w:t>
      </w:r>
      <w:r w:rsidR="002E70A2">
        <w:t xml:space="preserve"> </w:t>
      </w:r>
      <w:r w:rsidRPr="008130C8">
        <w:t>100%) in mice (</w:t>
      </w:r>
      <w:r>
        <w:t>bioavailability was not assessed in any other species</w:t>
      </w:r>
      <w:r w:rsidRPr="008130C8">
        <w:t xml:space="preserve">). Absorption </w:t>
      </w:r>
      <w:r>
        <w:t xml:space="preserve">was rapid </w:t>
      </w:r>
      <w:r w:rsidRPr="008130C8">
        <w:t>in the nonclinic</w:t>
      </w:r>
      <w:r>
        <w:t xml:space="preserve">al species and humans, with </w:t>
      </w:r>
      <w:r w:rsidR="001B2F5C" w:rsidRPr="00401961">
        <w:t>t</w:t>
      </w:r>
      <w:r w:rsidR="001B2F5C" w:rsidRPr="00A55E04">
        <w:rPr>
          <w:vertAlign w:val="subscript"/>
        </w:rPr>
        <w:t>max</w:t>
      </w:r>
      <w:r>
        <w:t xml:space="preserve"> values of </w:t>
      </w:r>
      <w:r w:rsidRPr="008130C8">
        <w:t>0.25</w:t>
      </w:r>
      <w:r w:rsidR="002E70A2">
        <w:t xml:space="preserve"> to </w:t>
      </w:r>
      <w:r w:rsidRPr="008130C8">
        <w:t>1 h in mice, rats and rabbits</w:t>
      </w:r>
      <w:r>
        <w:t>,</w:t>
      </w:r>
      <w:r w:rsidRPr="008130C8">
        <w:t xml:space="preserve"> 1</w:t>
      </w:r>
      <w:r w:rsidR="002E70A2">
        <w:t xml:space="preserve"> to </w:t>
      </w:r>
      <w:r w:rsidRPr="008130C8">
        <w:t xml:space="preserve">2 h in dogs and monkeys, and </w:t>
      </w:r>
      <w:r>
        <w:t>2</w:t>
      </w:r>
      <w:r w:rsidR="002E70A2">
        <w:t xml:space="preserve"> to </w:t>
      </w:r>
      <w:r>
        <w:t xml:space="preserve">4.5 h </w:t>
      </w:r>
      <w:r w:rsidRPr="008130C8">
        <w:t>in humans after oral administration</w:t>
      </w:r>
      <w:r w:rsidR="00CD308A">
        <w:t>.</w:t>
      </w:r>
    </w:p>
    <w:p w:rsidR="00CC67CF" w:rsidRPr="008130C8" w:rsidRDefault="00CC67CF" w:rsidP="00CC67CF">
      <w:r w:rsidRPr="008130C8">
        <w:t>The increase of AUC was generally less than dose-proportional, with no gender differences</w:t>
      </w:r>
      <w:r>
        <w:t xml:space="preserve"> in rats, dogs or monkeys. Exposure was higher in female mice, but only at doses ≥</w:t>
      </w:r>
      <w:r w:rsidR="002E70A2">
        <w:t> </w:t>
      </w:r>
      <w:r>
        <w:t>1000</w:t>
      </w:r>
      <w:r w:rsidR="002E70A2">
        <w:t> </w:t>
      </w:r>
      <w:r>
        <w:t>mg/kg/day.</w:t>
      </w:r>
      <w:r w:rsidRPr="008130C8">
        <w:t xml:space="preserve"> Plasma migalastat concentrations declined rapidly (</w:t>
      </w:r>
      <w:r w:rsidRPr="00AB0002">
        <w:t>t</w:t>
      </w:r>
      <w:r w:rsidRPr="00AB0002">
        <w:rPr>
          <w:vertAlign w:val="subscript"/>
        </w:rPr>
        <w:t>½</w:t>
      </w:r>
      <w:r>
        <w:t xml:space="preserve"> </w:t>
      </w:r>
      <w:r w:rsidRPr="008130C8">
        <w:t xml:space="preserve">&lt; </w:t>
      </w:r>
      <w:r>
        <w:t>9</w:t>
      </w:r>
      <w:r w:rsidRPr="008130C8">
        <w:t xml:space="preserve"> h), and accordingly, it did not accumulate in plasma after repeat dosing. Saturated oral absorption of migalastat was only observed over the dose ranges studied in monkeys, where exposure was only 1.1</w:t>
      </w:r>
      <w:r w:rsidR="002E70A2">
        <w:t xml:space="preserve"> to </w:t>
      </w:r>
      <w:r w:rsidRPr="008130C8">
        <w:t>1.4 times after receiving 500 mg/kg/day for 14 days cf. 200 mg/kg/day.</w:t>
      </w:r>
    </w:p>
    <w:p w:rsidR="00CC67CF" w:rsidRPr="008130C8" w:rsidRDefault="00CC67CF" w:rsidP="00CC67CF">
      <w:r w:rsidRPr="008130C8">
        <w:t>Volume of distribution was less than or equal to body water in mice, whereas in humans it exceeded the volume of body water (&gt;</w:t>
      </w:r>
      <w:r w:rsidR="002E70A2">
        <w:t xml:space="preserve"> </w:t>
      </w:r>
      <w:r w:rsidRPr="008130C8">
        <w:t xml:space="preserve">77 L </w:t>
      </w:r>
      <w:r w:rsidR="002E70A2">
        <w:t>compared with</w:t>
      </w:r>
      <w:r w:rsidRPr="008130C8">
        <w:t xml:space="preserve"> 44 L), suggesting extensive distribution into tiss</w:t>
      </w:r>
      <w:r>
        <w:t>ues. The short elimination half-</w:t>
      </w:r>
      <w:r w:rsidRPr="008130C8">
        <w:t xml:space="preserve">life observed in male mice after IV administration was considered due to the relatively low distribution volume. There was no significant plasma protein binding in the nonclinical species (mouse, rat, </w:t>
      </w:r>
      <w:proofErr w:type="gramStart"/>
      <w:r w:rsidRPr="008130C8">
        <w:t>monkey</w:t>
      </w:r>
      <w:proofErr w:type="gramEnd"/>
      <w:r w:rsidRPr="008130C8">
        <w:t xml:space="preserve">) and humans, therefore distribution into tissues can be readily achieved. Migalastat did not distribute readily into blood cells, indicated by </w:t>
      </w:r>
      <w:r>
        <w:t xml:space="preserve">the blood to plasma ratio of </w:t>
      </w:r>
      <w:r w:rsidRPr="007E1081">
        <w:rPr>
          <w:vertAlign w:val="superscript"/>
        </w:rPr>
        <w:t>14</w:t>
      </w:r>
      <w:r w:rsidRPr="007E1081">
        <w:t>C</w:t>
      </w:r>
      <w:r w:rsidRPr="007E1081">
        <w:noBreakHyphen/>
      </w:r>
      <w:r w:rsidRPr="008130C8">
        <w:t>Migalastat related radioactivity in male rats.</w:t>
      </w:r>
    </w:p>
    <w:p w:rsidR="00CC67CF" w:rsidRPr="008130C8" w:rsidRDefault="00CC67CF" w:rsidP="00CC67CF">
      <w:r w:rsidRPr="008130C8">
        <w:t>In mice and rats, distribution to the major excretory organs was observed, as well as to organs/tissues which are relevant to the clinical indication, such as heart, kidney, skin, spleen, liver, and brain. In rats,</w:t>
      </w:r>
      <w:r>
        <w:t xml:space="preserve"> brain to plasma ratio was 0.1 </w:t>
      </w:r>
      <w:r w:rsidRPr="008130C8">
        <w:t xml:space="preserve">and the </w:t>
      </w:r>
      <w:r w:rsidR="001B2F5C" w:rsidRPr="00401961">
        <w:t>t</w:t>
      </w:r>
      <w:r w:rsidR="001B2F5C" w:rsidRPr="00A55E04">
        <w:rPr>
          <w:vertAlign w:val="subscript"/>
        </w:rPr>
        <w:t>max</w:t>
      </w:r>
      <w:r>
        <w:t xml:space="preserve"> </w:t>
      </w:r>
      <w:r w:rsidRPr="008130C8">
        <w:t>was slower than for other tissues, indicating slower penetration of the brain compared to the other tissues. However, migalastat crossed the blood-brain barrier and caused pharmacological effects in the brain. The uptake or retention of migalastat in melanin, or in organs of the reproductive or GI tract was not investigated.</w:t>
      </w:r>
    </w:p>
    <w:p w:rsidR="00CC67CF" w:rsidRPr="008130C8" w:rsidRDefault="00CC67CF" w:rsidP="00CC67CF">
      <w:r w:rsidRPr="008130C8">
        <w:lastRenderedPageBreak/>
        <w:t>Significant distribution of migalastat to rat milk was observed in the pre-postnatal rat toxicity study. There was placental tr</w:t>
      </w:r>
      <w:r>
        <w:t>ansfer of migalastat into the f</w:t>
      </w:r>
      <w:r w:rsidRPr="008130C8">
        <w:t>etus of pregnant SD rats</w:t>
      </w:r>
      <w:r>
        <w:t>, with fetal plasma levels generally ≤</w:t>
      </w:r>
      <w:r w:rsidR="002E70A2">
        <w:t xml:space="preserve"> </w:t>
      </w:r>
      <w:r>
        <w:t>30% of maternal plasma levels</w:t>
      </w:r>
      <w:r w:rsidRPr="008130C8">
        <w:t>.</w:t>
      </w:r>
    </w:p>
    <w:p w:rsidR="00CC67CF" w:rsidRPr="008130C8" w:rsidRDefault="00CC67CF" w:rsidP="00CC67CF">
      <w:r w:rsidRPr="008130C8">
        <w:t>Comp</w:t>
      </w:r>
      <w:r>
        <w:t xml:space="preserve">aring a single oral dose of </w:t>
      </w:r>
      <w:r w:rsidRPr="007E1081">
        <w:rPr>
          <w:vertAlign w:val="superscript"/>
        </w:rPr>
        <w:t>14</w:t>
      </w:r>
      <w:r w:rsidRPr="007E1081">
        <w:t>C</w:t>
      </w:r>
      <w:r w:rsidRPr="007E1081">
        <w:noBreakHyphen/>
      </w:r>
      <w:r w:rsidRPr="008130C8">
        <w:t>migalastat/kg to the same dose of no</w:t>
      </w:r>
      <w:r>
        <w:t xml:space="preserve">n-labelled migalastat in rats, </w:t>
      </w:r>
      <w:r w:rsidRPr="008130C8">
        <w:t xml:space="preserve">it was found that at </w:t>
      </w:r>
      <w:r w:rsidR="001B2F5C" w:rsidRPr="00401961">
        <w:t>t</w:t>
      </w:r>
      <w:r w:rsidR="001B2F5C" w:rsidRPr="00A55E04">
        <w:rPr>
          <w:vertAlign w:val="subscript"/>
        </w:rPr>
        <w:t>max</w:t>
      </w:r>
      <w:r>
        <w:t xml:space="preserve"> </w:t>
      </w:r>
      <w:r w:rsidRPr="008130C8">
        <w:t xml:space="preserve">most of the circulating material consists of unchanged migalastat. In </w:t>
      </w:r>
      <w:r w:rsidRPr="006A6B32">
        <w:t>in vitro</w:t>
      </w:r>
      <w:r w:rsidR="002E70A2">
        <w:t>;</w:t>
      </w:r>
      <w:r w:rsidRPr="006A6B32">
        <w:rPr>
          <w:rStyle w:val="FootnoteReference"/>
        </w:rPr>
        <w:footnoteReference w:id="5"/>
      </w:r>
      <w:r w:rsidRPr="002E70A2">
        <w:t xml:space="preserve"> </w:t>
      </w:r>
      <w:r w:rsidRPr="008130C8">
        <w:t xml:space="preserve">and </w:t>
      </w:r>
      <w:r w:rsidRPr="006A6B32">
        <w:t>in vivo</w:t>
      </w:r>
      <w:r w:rsidRPr="008130C8">
        <w:t xml:space="preserve"> metabolic</w:t>
      </w:r>
      <w:r>
        <w:t xml:space="preserve"> profiling studies using </w:t>
      </w:r>
      <w:r w:rsidRPr="00A95979">
        <w:rPr>
          <w:vertAlign w:val="superscript"/>
        </w:rPr>
        <w:t>14</w:t>
      </w:r>
      <w:r w:rsidRPr="00A95979">
        <w:t>C</w:t>
      </w:r>
      <w:r w:rsidRPr="00A95979">
        <w:noBreakHyphen/>
      </w:r>
      <w:r w:rsidRPr="008130C8">
        <w:t>migalastat, unchanged migalastat was the predominant radioactive component</w:t>
      </w:r>
      <w:r>
        <w:t xml:space="preserve">, including in </w:t>
      </w:r>
      <w:r w:rsidRPr="008130C8">
        <w:t xml:space="preserve">rat plasma, urine, and faeces. In both rats and humans, </w:t>
      </w:r>
      <w:r w:rsidR="002E70A2">
        <w:t xml:space="preserve">around </w:t>
      </w:r>
      <w:r w:rsidRPr="008130C8">
        <w:t>20% of an oral dose was excreted as metabolites. Rats excreted most of the dose in faeces (followed by urine), whereas humans excreted most of an oral radioactive dose in urine. Since excretion in bile was not studied, it is not known if the material excreted in faeces had been absorbed.</w:t>
      </w:r>
    </w:p>
    <w:p w:rsidR="00CD308A" w:rsidRDefault="00CC67CF" w:rsidP="00CC67CF">
      <w:r w:rsidRPr="008130C8">
        <w:t>According to ICH Guideline M3</w:t>
      </w:r>
      <w:r w:rsidR="002E70A2">
        <w:t xml:space="preserve"> </w:t>
      </w:r>
      <w:r w:rsidRPr="008130C8">
        <w:t>(R2)</w:t>
      </w:r>
      <w:r w:rsidR="002E70A2">
        <w:t>;</w:t>
      </w:r>
      <w:r w:rsidR="003A06CF">
        <w:rPr>
          <w:rStyle w:val="FootnoteReference"/>
        </w:rPr>
        <w:footnoteReference w:id="6"/>
      </w:r>
      <w:r w:rsidRPr="008130C8">
        <w:t xml:space="preserve"> nonclinical characterisation </w:t>
      </w:r>
      <w:proofErr w:type="gramStart"/>
      <w:r w:rsidRPr="008130C8">
        <w:t>of a</w:t>
      </w:r>
      <w:proofErr w:type="gramEnd"/>
      <w:r w:rsidRPr="008130C8">
        <w:t xml:space="preserve"> human metabolites is only warranted when that metabolite(s) is observed at exposures greater than 10% of total drug-related exposure. Since no metabolite accounted to more than </w:t>
      </w:r>
      <w:r>
        <w:t>6</w:t>
      </w:r>
      <w:r w:rsidRPr="008130C8">
        <w:t xml:space="preserve">% of the dose, the lack of metabolite characterisation is acceptable. Also, since no major metabolites were identified in human plasma, it is acceptable that </w:t>
      </w:r>
      <w:r w:rsidRPr="006A6B32">
        <w:t>in vivo</w:t>
      </w:r>
      <w:r w:rsidRPr="008130C8">
        <w:t xml:space="preserve"> metabolism was only studied in rats</w:t>
      </w:r>
      <w:r w:rsidR="00CD308A">
        <w:t>.</w:t>
      </w:r>
    </w:p>
    <w:p w:rsidR="00CC67CF" w:rsidRPr="008130C8" w:rsidRDefault="00CC67CF" w:rsidP="00CC67CF">
      <w:r w:rsidRPr="008130C8">
        <w:t>The toxicokinetic data demonstrated that all doses evaluated in the various toxicology studies elicited significant plasma exposure to the drug. No consistent gender differences in the pharmacokinetics of, or systemic exposure to, migalastat were observed. Overall, based on the available pharmacokinetic data, sufficient similarities between the pharmacokinetic profiles of animal species (rats, mice and monkeys) in toxicity testing and of patients allow these species to serve as adequate models of drug toxicity in humans.</w:t>
      </w:r>
    </w:p>
    <w:p w:rsidR="00CC67CF" w:rsidRPr="00EB69F1" w:rsidRDefault="00CC67CF" w:rsidP="00CC67CF">
      <w:pPr>
        <w:pStyle w:val="Heading4"/>
      </w:pPr>
      <w:bookmarkStart w:id="54" w:name="_Toc294861725"/>
      <w:r w:rsidRPr="00CE60B5">
        <w:t>Pharmacokinetic drug interactions</w:t>
      </w:r>
      <w:bookmarkEnd w:id="54"/>
    </w:p>
    <w:p w:rsidR="00CC67CF" w:rsidRPr="008130C8" w:rsidRDefault="00CC67CF" w:rsidP="00CC67CF">
      <w:r w:rsidRPr="008130C8">
        <w:t xml:space="preserve">No significant migalastat-related </w:t>
      </w:r>
      <w:r w:rsidRPr="006A6B32">
        <w:t>in vitro</w:t>
      </w:r>
      <w:r w:rsidRPr="003A280C">
        <w:t xml:space="preserve"> </w:t>
      </w:r>
      <w:r w:rsidRPr="008130C8">
        <w:t>inhibition of CYP1A2, CYP2A6, CYP2B6, CYP2C8, CYP2C9, CYP2C19, CYP2D6, CYP2E1, or CYP3A4/5 was observed in human liver microsomes. No induction of CYP1A2 or CYP3A4 was caused by migalastat in human hepatocytes.</w:t>
      </w:r>
    </w:p>
    <w:p w:rsidR="00CD308A" w:rsidRDefault="00CC67CF" w:rsidP="00CC67CF">
      <w:r w:rsidRPr="008130C8">
        <w:t>Migalastat did not inhibit BCRP, MDR1, or BSEP human efflux transporters, or OATP1B1, OATP1B3, OAT1, OAT3, OCT1, OCT2, MATE1, or MATE2-K human uptake transporters in vitro. Migalastat was not a substrate for P-glycoprotein</w:t>
      </w:r>
      <w:r w:rsidRPr="006A6B32">
        <w:rPr>
          <w:i/>
        </w:rPr>
        <w:t xml:space="preserve"> </w:t>
      </w:r>
      <w:r w:rsidRPr="006A6B32">
        <w:t>in vitro</w:t>
      </w:r>
      <w:r w:rsidR="00CD308A">
        <w:t>.</w:t>
      </w:r>
    </w:p>
    <w:p w:rsidR="00CC67CF" w:rsidRPr="008130C8" w:rsidRDefault="00CC67CF" w:rsidP="00CC67CF">
      <w:r w:rsidRPr="008130C8">
        <w:t>Co-administration of migalastat with agalsidase beta and agalsidase alfa increased the potency of both enzyme replacement therapy (ERT) drugs, increasing α-Gal A activity and reducing GL-3 levels in disease-relevant tissues of Gla knockout mice, beyond those effects observed with the individual drugs</w:t>
      </w:r>
      <w:r>
        <w:t xml:space="preserve"> (see </w:t>
      </w:r>
      <w:r w:rsidRPr="006629CB">
        <w:rPr>
          <w:i/>
        </w:rPr>
        <w:t>Pharmacodynamic drug interactions</w:t>
      </w:r>
      <w:r>
        <w:t>)</w:t>
      </w:r>
      <w:r w:rsidRPr="008130C8">
        <w:t>.</w:t>
      </w:r>
    </w:p>
    <w:p w:rsidR="00C9747E" w:rsidRDefault="008E7846" w:rsidP="00CC0AE6">
      <w:pPr>
        <w:pStyle w:val="Heading3"/>
      </w:pPr>
      <w:bookmarkStart w:id="55" w:name="_Toc524949256"/>
      <w:r>
        <w:t>Toxicology</w:t>
      </w:r>
      <w:bookmarkEnd w:id="52"/>
      <w:bookmarkEnd w:id="53"/>
      <w:bookmarkEnd w:id="55"/>
    </w:p>
    <w:p w:rsidR="00CC0AE6" w:rsidRPr="008130C8" w:rsidRDefault="00CC0AE6" w:rsidP="00784F60">
      <w:pPr>
        <w:pStyle w:val="Heading4"/>
      </w:pPr>
      <w:bookmarkStart w:id="56" w:name="_Toc294861727"/>
      <w:r w:rsidRPr="008130C8">
        <w:t>Acute toxicity</w:t>
      </w:r>
      <w:bookmarkEnd w:id="56"/>
    </w:p>
    <w:p w:rsidR="00CC0AE6" w:rsidRPr="008130C8" w:rsidRDefault="00CC0AE6" w:rsidP="00F2244C">
      <w:pPr>
        <w:rPr>
          <w:color w:val="FF6600"/>
        </w:rPr>
      </w:pPr>
      <w:r w:rsidRPr="008130C8">
        <w:t xml:space="preserve">Acute toxicity of migalastat was examined in rats and dogs using the PO route. No mortalities occurred in either species, with a maximum non-lethal dose of 1500 mg/kg in rats and 316 mg/kg in dogs. No clinical signs were observed within 3 days of dosing. Although higher doses </w:t>
      </w:r>
      <w:r>
        <w:t xml:space="preserve">and a longer observation phase </w:t>
      </w:r>
      <w:r w:rsidRPr="008130C8">
        <w:t xml:space="preserve">could have been used, the extent of </w:t>
      </w:r>
      <w:r w:rsidRPr="008130C8">
        <w:lastRenderedPageBreak/>
        <w:t>acute oral toxicity is readily discerned from repeat-dose toxicity study findings, as discussed below.</w:t>
      </w:r>
      <w:r>
        <w:t xml:space="preserve"> M</w:t>
      </w:r>
      <w:r w:rsidRPr="008130C8">
        <w:t>igalastat displays a low order of acute</w:t>
      </w:r>
      <w:r>
        <w:t xml:space="preserve"> toxicity by the clinical route.</w:t>
      </w:r>
      <w:hyperlink r:id="rId16" w:history="1"/>
    </w:p>
    <w:p w:rsidR="00CC0AE6" w:rsidRPr="008130C8" w:rsidRDefault="00CC0AE6" w:rsidP="00784F60">
      <w:pPr>
        <w:pStyle w:val="Heading4"/>
      </w:pPr>
      <w:bookmarkStart w:id="57" w:name="_Toc294861728"/>
      <w:r w:rsidRPr="008130C8">
        <w:t>Repeat-dose toxicity</w:t>
      </w:r>
      <w:bookmarkEnd w:id="57"/>
    </w:p>
    <w:p w:rsidR="00CC0AE6" w:rsidRPr="008130C8" w:rsidRDefault="00CC0AE6" w:rsidP="00F2244C">
      <w:r w:rsidRPr="008130C8">
        <w:t>The sponsor submitted 9 repeat dose toxicity studies that were up to 2 weeks in dogs, 4</w:t>
      </w:r>
      <w:r w:rsidR="002E70A2">
        <w:t> </w:t>
      </w:r>
      <w:r w:rsidRPr="008130C8">
        <w:t>weeks in mice, 6 months in rats and 9 months in monkeys. Studies used the clinical (PO) route and all pivotal studies were GLP-</w:t>
      </w:r>
      <w:r>
        <w:t xml:space="preserve">compliant. Consistent with ICH </w:t>
      </w:r>
      <w:proofErr w:type="gramStart"/>
      <w:r>
        <w:t>M3(</w:t>
      </w:r>
      <w:proofErr w:type="gramEnd"/>
      <w:r>
        <w:t>R2)</w:t>
      </w:r>
      <w:r w:rsidR="003A280C">
        <w:t>;</w:t>
      </w:r>
      <w:r w:rsidR="004117E3">
        <w:rPr>
          <w:rStyle w:val="FootnoteReference"/>
        </w:rPr>
        <w:footnoteReference w:id="7"/>
      </w:r>
      <w:r w:rsidRPr="008130C8">
        <w:t xml:space="preserve"> duration of pivotal studies (</w:t>
      </w:r>
      <w:r w:rsidR="003A280C">
        <w:t>that is</w:t>
      </w:r>
      <w:r w:rsidRPr="008130C8">
        <w:t xml:space="preserve"> ≥ 6 months) were sufficient to support a product intended for long-term use. For the 6-month study in rat</w:t>
      </w:r>
      <w:r>
        <w:t>s</w:t>
      </w:r>
      <w:r w:rsidRPr="008130C8">
        <w:t xml:space="preserve"> and both studies in monkeys (of 2 and 39</w:t>
      </w:r>
      <w:r w:rsidR="003A280C">
        <w:t> </w:t>
      </w:r>
      <w:r w:rsidRPr="008130C8">
        <w:t>weeks</w:t>
      </w:r>
      <w:r w:rsidR="003A280C">
        <w:t xml:space="preserve"> </w:t>
      </w:r>
      <w:r w:rsidRPr="008130C8">
        <w:t>duration), daily dosing was divided in 2 occasions (BID, 6 hours apart) in order to increase exposure due to the relatively short plasma half-life (&lt;</w:t>
      </w:r>
      <w:r w:rsidR="003A280C">
        <w:t xml:space="preserve"> </w:t>
      </w:r>
      <w:r>
        <w:t>9</w:t>
      </w:r>
      <w:r w:rsidRPr="008130C8">
        <w:t xml:space="preserve"> hours) of migalastat in nonclinical species. In a 4-week combination study in Gla </w:t>
      </w:r>
      <w:r>
        <w:t>null</w:t>
      </w:r>
      <w:r w:rsidRPr="008130C8">
        <w:t xml:space="preserve"> mi</w:t>
      </w:r>
      <w:r>
        <w:t>ce, migalastat was administered</w:t>
      </w:r>
      <w:r w:rsidRPr="008130C8">
        <w:t xml:space="preserve"> orally 3 times a week, together with agalsidase beta intravenously once per week. </w:t>
      </w:r>
      <w:r>
        <w:t>The c</w:t>
      </w:r>
      <w:r w:rsidRPr="008130C8">
        <w:t xml:space="preserve">hoice of species used is acceptable, due to good bioavailability via the oral route, </w:t>
      </w:r>
      <w:r>
        <w:t>similar metabolic profile,</w:t>
      </w:r>
      <w:r w:rsidRPr="008130C8">
        <w:t xml:space="preserve"> and 98% α-Gal A protein homology between humans and monkeys. In all nonclinical studies, the hydrochloride salt of migalastat was used, which is the form of the drug used in the manufacture of the final drug product. Recovery periods were appropriately employed in the rat and monkey pivotal studies.</w:t>
      </w:r>
    </w:p>
    <w:p w:rsidR="00CC0AE6" w:rsidRPr="008130C8" w:rsidRDefault="00CC0AE6" w:rsidP="00784F60">
      <w:pPr>
        <w:pStyle w:val="Heading5"/>
      </w:pPr>
      <w:r w:rsidRPr="008130C8">
        <w:t>Relative exposure</w:t>
      </w:r>
    </w:p>
    <w:p w:rsidR="00CC0AE6" w:rsidRPr="008130C8" w:rsidRDefault="00CC0AE6" w:rsidP="00F2244C">
      <w:r>
        <w:t>Adjustments to AUC values have been made to calculate relative exposures to account for differences in dosing regimens between the proposed human use (every other day) and daily administration in toxicity studies. R</w:t>
      </w:r>
      <w:r w:rsidRPr="008130C8">
        <w:t xml:space="preserve">elative exposures were calculated by multiplying the animal </w:t>
      </w:r>
      <w:r w:rsidRPr="00A95979">
        <w:t>AUC</w:t>
      </w:r>
      <w:r w:rsidRPr="00A95979">
        <w:rPr>
          <w:vertAlign w:val="subscript"/>
        </w:rPr>
        <w:t>0‒24h</w:t>
      </w:r>
      <w:r>
        <w:t xml:space="preserve"> </w:t>
      </w:r>
      <w:r w:rsidRPr="008130C8">
        <w:t xml:space="preserve">by 2 and comparing the resulting value with human </w:t>
      </w:r>
      <w:r w:rsidRPr="00A95979">
        <w:t>AUC</w:t>
      </w:r>
      <w:r>
        <w:rPr>
          <w:vertAlign w:val="subscript"/>
        </w:rPr>
        <w:t>0‒</w:t>
      </w:r>
      <w:r w:rsidRPr="00A95979">
        <w:rPr>
          <w:vertAlign w:val="subscript"/>
        </w:rPr>
        <w:t>4</w:t>
      </w:r>
      <w:r>
        <w:rPr>
          <w:vertAlign w:val="subscript"/>
        </w:rPr>
        <w:t>8</w:t>
      </w:r>
      <w:r w:rsidRPr="00A95979">
        <w:rPr>
          <w:vertAlign w:val="subscript"/>
        </w:rPr>
        <w:t>h</w:t>
      </w:r>
      <w:r w:rsidRPr="008130C8">
        <w:t xml:space="preserve">. Human reference AUC values were from population PK values from </w:t>
      </w:r>
      <w:r w:rsidR="003A280C">
        <w:t>S</w:t>
      </w:r>
      <w:r w:rsidRPr="008130C8">
        <w:t xml:space="preserve">tudy MGM 116016. </w:t>
      </w:r>
      <w:r>
        <w:t xml:space="preserve">Total AUC values were used as the plasma protein binding was negligible in human and nonclinical species. </w:t>
      </w:r>
      <w:r w:rsidRPr="008130C8">
        <w:t>All doses evaluated in the various toxicology studies elicited sufficiently high plasma exposure to migalastat.</w:t>
      </w:r>
    </w:p>
    <w:p w:rsidR="00CC0AE6" w:rsidRPr="008130C8" w:rsidRDefault="00D04A41" w:rsidP="00CC0AE6">
      <w:pPr>
        <w:pStyle w:val="TableTitle"/>
      </w:pPr>
      <w:r>
        <w:t xml:space="preserve">Table 1: </w:t>
      </w:r>
      <w:r w:rsidR="00CC0AE6" w:rsidRPr="008130C8">
        <w:t>Relative exposure in oral repeat-dose toxicity and carcinogenicity studies</w:t>
      </w:r>
    </w:p>
    <w:tbl>
      <w:tblPr>
        <w:tblStyle w:val="TableTGAblue"/>
        <w:tblW w:w="8603" w:type="dxa"/>
        <w:tblLayout w:type="fixed"/>
        <w:tblLook w:val="01E0" w:firstRow="1" w:lastRow="1" w:firstColumn="1" w:lastColumn="1" w:noHBand="0" w:noVBand="0"/>
      </w:tblPr>
      <w:tblGrid>
        <w:gridCol w:w="1326"/>
        <w:gridCol w:w="1920"/>
        <w:gridCol w:w="548"/>
        <w:gridCol w:w="1143"/>
        <w:gridCol w:w="1833"/>
        <w:gridCol w:w="1833"/>
      </w:tblGrid>
      <w:tr w:rsidR="00CC0AE6" w:rsidRPr="00CD308A" w:rsidTr="00CD308A">
        <w:trPr>
          <w:cnfStyle w:val="100000000000" w:firstRow="1" w:lastRow="0" w:firstColumn="0" w:lastColumn="0" w:oddVBand="0" w:evenVBand="0" w:oddHBand="0" w:evenHBand="0" w:firstRowFirstColumn="0" w:firstRowLastColumn="0" w:lastRowFirstColumn="0" w:lastRowLastColumn="0"/>
        </w:trPr>
        <w:tc>
          <w:tcPr>
            <w:tcW w:w="1326" w:type="dxa"/>
          </w:tcPr>
          <w:p w:rsidR="00CC0AE6" w:rsidRPr="00CD308A" w:rsidRDefault="00CC0AE6" w:rsidP="00CD308A">
            <w:pPr>
              <w:rPr>
                <w:sz w:val="20"/>
                <w:szCs w:val="20"/>
              </w:rPr>
            </w:pPr>
            <w:r w:rsidRPr="00CD308A">
              <w:rPr>
                <w:sz w:val="20"/>
                <w:szCs w:val="20"/>
              </w:rPr>
              <w:t>Species</w:t>
            </w:r>
          </w:p>
        </w:tc>
        <w:tc>
          <w:tcPr>
            <w:tcW w:w="1920" w:type="dxa"/>
          </w:tcPr>
          <w:p w:rsidR="00CC0AE6" w:rsidRPr="00CD308A" w:rsidRDefault="007A4503" w:rsidP="00CD308A">
            <w:pPr>
              <w:rPr>
                <w:sz w:val="20"/>
                <w:szCs w:val="20"/>
              </w:rPr>
            </w:pPr>
            <w:r w:rsidRPr="00CD308A">
              <w:rPr>
                <w:sz w:val="20"/>
                <w:szCs w:val="20"/>
              </w:rPr>
              <w:t xml:space="preserve">Study </w:t>
            </w:r>
            <w:r w:rsidR="00CC0AE6" w:rsidRPr="00CD308A">
              <w:rPr>
                <w:sz w:val="20"/>
                <w:szCs w:val="20"/>
              </w:rPr>
              <w:t>duration</w:t>
            </w:r>
            <w:r w:rsidR="00CD308A">
              <w:rPr>
                <w:sz w:val="20"/>
                <w:szCs w:val="20"/>
              </w:rPr>
              <w:t xml:space="preserve"> </w:t>
            </w:r>
            <w:r w:rsidR="00CC0AE6" w:rsidRPr="00CD308A">
              <w:rPr>
                <w:sz w:val="20"/>
                <w:szCs w:val="20"/>
              </w:rPr>
              <w:t>[Study no.]</w:t>
            </w:r>
          </w:p>
        </w:tc>
        <w:tc>
          <w:tcPr>
            <w:tcW w:w="1691" w:type="dxa"/>
            <w:gridSpan w:val="2"/>
          </w:tcPr>
          <w:p w:rsidR="00CC0AE6" w:rsidRPr="00CD308A" w:rsidRDefault="00CC0AE6" w:rsidP="00CD308A">
            <w:pPr>
              <w:rPr>
                <w:sz w:val="20"/>
                <w:szCs w:val="20"/>
              </w:rPr>
            </w:pPr>
            <w:r w:rsidRPr="00CD308A">
              <w:rPr>
                <w:sz w:val="20"/>
                <w:szCs w:val="20"/>
              </w:rPr>
              <w:t>Dose</w:t>
            </w:r>
            <w:r w:rsidR="00CD308A">
              <w:rPr>
                <w:sz w:val="20"/>
                <w:szCs w:val="20"/>
              </w:rPr>
              <w:t xml:space="preserve"> </w:t>
            </w:r>
            <w:r w:rsidRPr="00CD308A">
              <w:rPr>
                <w:sz w:val="20"/>
                <w:szCs w:val="20"/>
              </w:rPr>
              <w:t>(mg/kg/day PO)</w:t>
            </w:r>
          </w:p>
        </w:tc>
        <w:tc>
          <w:tcPr>
            <w:tcW w:w="1833" w:type="dxa"/>
          </w:tcPr>
          <w:p w:rsidR="00CC0AE6" w:rsidRPr="00CD308A" w:rsidRDefault="00CC0AE6" w:rsidP="00CD308A">
            <w:pPr>
              <w:rPr>
                <w:sz w:val="20"/>
                <w:szCs w:val="20"/>
              </w:rPr>
            </w:pPr>
            <w:r w:rsidRPr="00CD308A">
              <w:rPr>
                <w:sz w:val="20"/>
                <w:szCs w:val="20"/>
              </w:rPr>
              <w:t>AUC</w:t>
            </w:r>
            <w:r w:rsidRPr="00CD308A">
              <w:rPr>
                <w:sz w:val="20"/>
                <w:szCs w:val="20"/>
                <w:vertAlign w:val="subscript"/>
              </w:rPr>
              <w:t>0–t</w:t>
            </w:r>
            <w:r w:rsidRPr="00CD308A">
              <w:rPr>
                <w:sz w:val="20"/>
                <w:szCs w:val="20"/>
              </w:rPr>
              <w:t>^</w:t>
            </w:r>
            <w:r w:rsidR="00CD308A">
              <w:rPr>
                <w:sz w:val="20"/>
                <w:szCs w:val="20"/>
              </w:rPr>
              <w:t xml:space="preserve"> </w:t>
            </w:r>
            <w:r w:rsidRPr="00CD308A">
              <w:rPr>
                <w:sz w:val="20"/>
                <w:szCs w:val="20"/>
              </w:rPr>
              <w:t>(ng∙h/mL)</w:t>
            </w:r>
          </w:p>
        </w:tc>
        <w:tc>
          <w:tcPr>
            <w:tcW w:w="1833" w:type="dxa"/>
          </w:tcPr>
          <w:p w:rsidR="00CC0AE6" w:rsidRPr="00CD308A" w:rsidRDefault="00CC0AE6" w:rsidP="00CD308A">
            <w:pPr>
              <w:rPr>
                <w:sz w:val="20"/>
                <w:szCs w:val="20"/>
              </w:rPr>
            </w:pPr>
            <w:r w:rsidRPr="00CD308A">
              <w:rPr>
                <w:sz w:val="20"/>
                <w:szCs w:val="20"/>
              </w:rPr>
              <w:t>Exposure ratio</w:t>
            </w:r>
            <w:r w:rsidRPr="00CD308A">
              <w:rPr>
                <w:sz w:val="20"/>
                <w:szCs w:val="20"/>
                <w:vertAlign w:val="superscript"/>
              </w:rPr>
              <w:t>#</w:t>
            </w:r>
          </w:p>
        </w:tc>
      </w:tr>
      <w:tr w:rsidR="00CC0AE6" w:rsidRPr="00CD308A" w:rsidTr="00CD308A">
        <w:trPr>
          <w:trHeight w:val="227"/>
        </w:trPr>
        <w:tc>
          <w:tcPr>
            <w:tcW w:w="1326" w:type="dxa"/>
            <w:vMerge w:val="restart"/>
          </w:tcPr>
          <w:p w:rsidR="00CC0AE6" w:rsidRPr="00CD308A" w:rsidRDefault="00CC0AE6" w:rsidP="00CD308A">
            <w:pPr>
              <w:rPr>
                <w:kern w:val="2"/>
                <w:sz w:val="20"/>
                <w:szCs w:val="20"/>
              </w:rPr>
            </w:pPr>
            <w:r w:rsidRPr="00CD308A">
              <w:rPr>
                <w:kern w:val="2"/>
                <w:sz w:val="20"/>
                <w:szCs w:val="20"/>
              </w:rPr>
              <w:t>CByB6F1 mice</w:t>
            </w:r>
          </w:p>
        </w:tc>
        <w:tc>
          <w:tcPr>
            <w:tcW w:w="1920" w:type="dxa"/>
            <w:vMerge w:val="restart"/>
          </w:tcPr>
          <w:p w:rsidR="00CC0AE6" w:rsidRPr="00CD308A" w:rsidRDefault="00CC0AE6" w:rsidP="00CD308A">
            <w:pPr>
              <w:rPr>
                <w:kern w:val="2"/>
                <w:sz w:val="20"/>
                <w:szCs w:val="20"/>
              </w:rPr>
            </w:pPr>
            <w:r w:rsidRPr="00CD308A">
              <w:rPr>
                <w:kern w:val="2"/>
                <w:sz w:val="20"/>
                <w:szCs w:val="20"/>
              </w:rPr>
              <w:t>1 month</w:t>
            </w:r>
            <w:r w:rsidR="00CD308A">
              <w:rPr>
                <w:kern w:val="2"/>
                <w:sz w:val="20"/>
                <w:szCs w:val="20"/>
              </w:rPr>
              <w:t xml:space="preserve"> </w:t>
            </w:r>
            <w:r w:rsidRPr="00CD308A">
              <w:rPr>
                <w:kern w:val="2"/>
                <w:sz w:val="20"/>
                <w:szCs w:val="20"/>
              </w:rPr>
              <w:t>[Study No. ITR70575]</w:t>
            </w:r>
          </w:p>
        </w:tc>
        <w:tc>
          <w:tcPr>
            <w:tcW w:w="1691" w:type="dxa"/>
            <w:gridSpan w:val="2"/>
          </w:tcPr>
          <w:p w:rsidR="00CC0AE6" w:rsidRPr="00CD308A" w:rsidRDefault="00CC0AE6" w:rsidP="00CD308A">
            <w:pPr>
              <w:rPr>
                <w:kern w:val="2"/>
                <w:sz w:val="20"/>
                <w:szCs w:val="20"/>
              </w:rPr>
            </w:pPr>
            <w:r w:rsidRPr="00CD308A">
              <w:rPr>
                <w:kern w:val="2"/>
                <w:sz w:val="20"/>
                <w:szCs w:val="20"/>
              </w:rPr>
              <w:t>500</w:t>
            </w:r>
          </w:p>
        </w:tc>
        <w:tc>
          <w:tcPr>
            <w:tcW w:w="1833" w:type="dxa"/>
          </w:tcPr>
          <w:p w:rsidR="00CC0AE6" w:rsidRPr="00CD308A" w:rsidRDefault="00CC0AE6" w:rsidP="00CD308A">
            <w:pPr>
              <w:rPr>
                <w:kern w:val="2"/>
                <w:sz w:val="20"/>
                <w:szCs w:val="20"/>
              </w:rPr>
            </w:pPr>
            <w:r w:rsidRPr="00CD308A">
              <w:rPr>
                <w:kern w:val="2"/>
                <w:sz w:val="20"/>
                <w:szCs w:val="20"/>
              </w:rPr>
              <w:t>47,200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10.5</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1,000</w:t>
            </w:r>
          </w:p>
        </w:tc>
        <w:tc>
          <w:tcPr>
            <w:tcW w:w="1833" w:type="dxa"/>
          </w:tcPr>
          <w:p w:rsidR="00CC0AE6" w:rsidRPr="00CD308A" w:rsidRDefault="00CC0AE6" w:rsidP="00CD308A">
            <w:pPr>
              <w:rPr>
                <w:kern w:val="2"/>
                <w:sz w:val="20"/>
                <w:szCs w:val="20"/>
              </w:rPr>
            </w:pPr>
            <w:r w:rsidRPr="00CD308A">
              <w:rPr>
                <w:kern w:val="2"/>
                <w:sz w:val="20"/>
                <w:szCs w:val="20"/>
              </w:rPr>
              <w:t>101,000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22.4</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2,000</w:t>
            </w:r>
          </w:p>
        </w:tc>
        <w:tc>
          <w:tcPr>
            <w:tcW w:w="1833" w:type="dxa"/>
          </w:tcPr>
          <w:p w:rsidR="00CC0AE6" w:rsidRPr="00CD308A" w:rsidRDefault="00CC0AE6" w:rsidP="00CD308A">
            <w:pPr>
              <w:rPr>
                <w:kern w:val="2"/>
                <w:sz w:val="20"/>
                <w:szCs w:val="20"/>
              </w:rPr>
            </w:pPr>
            <w:r w:rsidRPr="00CD308A">
              <w:rPr>
                <w:kern w:val="2"/>
                <w:sz w:val="20"/>
                <w:szCs w:val="20"/>
              </w:rPr>
              <w:t>373,000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82.6</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val="restart"/>
          </w:tcPr>
          <w:p w:rsidR="00CC0AE6" w:rsidRPr="00CD308A" w:rsidRDefault="00CC0AE6" w:rsidP="00CD308A">
            <w:pPr>
              <w:rPr>
                <w:kern w:val="2"/>
                <w:sz w:val="20"/>
                <w:szCs w:val="20"/>
              </w:rPr>
            </w:pPr>
            <w:r w:rsidRPr="00CD308A">
              <w:rPr>
                <w:kern w:val="2"/>
                <w:sz w:val="20"/>
                <w:szCs w:val="20"/>
              </w:rPr>
              <w:t xml:space="preserve">6 months; </w:t>
            </w:r>
            <w:proofErr w:type="gramStart"/>
            <w:r w:rsidRPr="00CD308A">
              <w:rPr>
                <w:kern w:val="2"/>
                <w:sz w:val="20"/>
                <w:szCs w:val="20"/>
              </w:rPr>
              <w:t xml:space="preserve">carcinogenicity </w:t>
            </w:r>
            <w:r w:rsidR="00CD308A">
              <w:rPr>
                <w:kern w:val="2"/>
                <w:sz w:val="20"/>
                <w:szCs w:val="20"/>
              </w:rPr>
              <w:t xml:space="preserve"> </w:t>
            </w:r>
            <w:r w:rsidRPr="00CD308A">
              <w:rPr>
                <w:kern w:val="2"/>
                <w:sz w:val="20"/>
                <w:szCs w:val="20"/>
              </w:rPr>
              <w:t>[</w:t>
            </w:r>
            <w:proofErr w:type="gramEnd"/>
            <w:r w:rsidRPr="00CD308A">
              <w:rPr>
                <w:kern w:val="2"/>
                <w:sz w:val="20"/>
                <w:szCs w:val="20"/>
              </w:rPr>
              <w:t>Study No. ITR70576]</w:t>
            </w:r>
          </w:p>
        </w:tc>
        <w:tc>
          <w:tcPr>
            <w:tcW w:w="548" w:type="dxa"/>
            <w:vMerge w:val="restart"/>
          </w:tcPr>
          <w:p w:rsidR="00CC0AE6" w:rsidRPr="00CD308A" w:rsidRDefault="00CC0AE6" w:rsidP="00CD308A">
            <w:pPr>
              <w:rPr>
                <w:kern w:val="2"/>
                <w:sz w:val="20"/>
                <w:szCs w:val="20"/>
              </w:rPr>
            </w:pPr>
            <w:r w:rsidRPr="00CD308A">
              <w:rPr>
                <w:kern w:val="2"/>
                <w:sz w:val="20"/>
                <w:szCs w:val="20"/>
              </w:rPr>
              <w:t>F</w:t>
            </w:r>
          </w:p>
        </w:tc>
        <w:tc>
          <w:tcPr>
            <w:tcW w:w="1143" w:type="dxa"/>
          </w:tcPr>
          <w:p w:rsidR="00CC0AE6" w:rsidRPr="00CD308A" w:rsidRDefault="00CC0AE6" w:rsidP="00CD308A">
            <w:pPr>
              <w:rPr>
                <w:kern w:val="2"/>
                <w:sz w:val="20"/>
                <w:szCs w:val="20"/>
              </w:rPr>
            </w:pPr>
            <w:r w:rsidRPr="00CD308A">
              <w:rPr>
                <w:kern w:val="2"/>
                <w:sz w:val="20"/>
                <w:szCs w:val="20"/>
              </w:rPr>
              <w:t xml:space="preserve">50 </w:t>
            </w:r>
          </w:p>
        </w:tc>
        <w:tc>
          <w:tcPr>
            <w:tcW w:w="1833" w:type="dxa"/>
          </w:tcPr>
          <w:p w:rsidR="00CC0AE6" w:rsidRPr="00CD308A" w:rsidRDefault="00CC0AE6" w:rsidP="00CD308A">
            <w:pPr>
              <w:rPr>
                <w:kern w:val="2"/>
                <w:sz w:val="20"/>
                <w:szCs w:val="20"/>
              </w:rPr>
            </w:pPr>
            <w:r w:rsidRPr="00CD308A">
              <w:rPr>
                <w:kern w:val="2"/>
                <w:sz w:val="20"/>
                <w:szCs w:val="20"/>
              </w:rPr>
              <w:t>13,500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3.0</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548" w:type="dxa"/>
            <w:vMerge/>
          </w:tcPr>
          <w:p w:rsidR="00CC0AE6" w:rsidRPr="00CD308A" w:rsidRDefault="00CC0AE6" w:rsidP="00CD308A">
            <w:pPr>
              <w:rPr>
                <w:kern w:val="2"/>
                <w:sz w:val="20"/>
                <w:szCs w:val="20"/>
              </w:rPr>
            </w:pPr>
          </w:p>
        </w:tc>
        <w:tc>
          <w:tcPr>
            <w:tcW w:w="1143" w:type="dxa"/>
          </w:tcPr>
          <w:p w:rsidR="00CC0AE6" w:rsidRPr="00CD308A" w:rsidRDefault="00CC0AE6" w:rsidP="00CD308A">
            <w:pPr>
              <w:rPr>
                <w:kern w:val="2"/>
                <w:sz w:val="20"/>
                <w:szCs w:val="20"/>
              </w:rPr>
            </w:pPr>
            <w:r w:rsidRPr="00CD308A">
              <w:rPr>
                <w:kern w:val="2"/>
                <w:sz w:val="20"/>
                <w:szCs w:val="20"/>
              </w:rPr>
              <w:t>150</w:t>
            </w:r>
          </w:p>
        </w:tc>
        <w:tc>
          <w:tcPr>
            <w:tcW w:w="1833" w:type="dxa"/>
          </w:tcPr>
          <w:p w:rsidR="00CC0AE6" w:rsidRPr="00CD308A" w:rsidRDefault="00CC0AE6" w:rsidP="00CD308A">
            <w:pPr>
              <w:rPr>
                <w:kern w:val="2"/>
                <w:sz w:val="20"/>
                <w:szCs w:val="20"/>
              </w:rPr>
            </w:pPr>
            <w:r w:rsidRPr="00CD308A">
              <w:rPr>
                <w:kern w:val="2"/>
                <w:sz w:val="20"/>
                <w:szCs w:val="20"/>
              </w:rPr>
              <w:t>31,800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7.0</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548" w:type="dxa"/>
            <w:vMerge/>
          </w:tcPr>
          <w:p w:rsidR="00CC0AE6" w:rsidRPr="00CD308A" w:rsidRDefault="00CC0AE6" w:rsidP="00CD308A">
            <w:pPr>
              <w:rPr>
                <w:kern w:val="2"/>
                <w:sz w:val="20"/>
                <w:szCs w:val="20"/>
              </w:rPr>
            </w:pPr>
          </w:p>
        </w:tc>
        <w:tc>
          <w:tcPr>
            <w:tcW w:w="1143" w:type="dxa"/>
          </w:tcPr>
          <w:p w:rsidR="00CC0AE6" w:rsidRPr="00CD308A" w:rsidRDefault="00CC0AE6" w:rsidP="00CD308A">
            <w:pPr>
              <w:rPr>
                <w:kern w:val="2"/>
                <w:sz w:val="20"/>
                <w:szCs w:val="20"/>
              </w:rPr>
            </w:pPr>
            <w:r w:rsidRPr="00CD308A">
              <w:rPr>
                <w:kern w:val="2"/>
                <w:sz w:val="20"/>
                <w:szCs w:val="20"/>
              </w:rPr>
              <w:t xml:space="preserve">500 </w:t>
            </w:r>
          </w:p>
        </w:tc>
        <w:tc>
          <w:tcPr>
            <w:tcW w:w="1833" w:type="dxa"/>
          </w:tcPr>
          <w:p w:rsidR="00CC0AE6" w:rsidRPr="00CD308A" w:rsidRDefault="00CC0AE6" w:rsidP="00CD308A">
            <w:pPr>
              <w:rPr>
                <w:kern w:val="2"/>
                <w:sz w:val="20"/>
                <w:szCs w:val="20"/>
              </w:rPr>
            </w:pPr>
            <w:r w:rsidRPr="00CD308A">
              <w:rPr>
                <w:kern w:val="2"/>
                <w:sz w:val="20"/>
                <w:szCs w:val="20"/>
              </w:rPr>
              <w:t>94,400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20.9</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548" w:type="dxa"/>
            <w:vMerge w:val="restart"/>
          </w:tcPr>
          <w:p w:rsidR="00CC0AE6" w:rsidRPr="00CD308A" w:rsidRDefault="00CC0AE6" w:rsidP="00CD308A">
            <w:pPr>
              <w:rPr>
                <w:kern w:val="2"/>
                <w:sz w:val="20"/>
                <w:szCs w:val="20"/>
              </w:rPr>
            </w:pPr>
            <w:r w:rsidRPr="00CD308A">
              <w:rPr>
                <w:kern w:val="2"/>
                <w:sz w:val="20"/>
                <w:szCs w:val="20"/>
              </w:rPr>
              <w:t>M</w:t>
            </w:r>
          </w:p>
        </w:tc>
        <w:tc>
          <w:tcPr>
            <w:tcW w:w="1143" w:type="dxa"/>
          </w:tcPr>
          <w:p w:rsidR="00CC0AE6" w:rsidRPr="00CD308A" w:rsidRDefault="00CC0AE6" w:rsidP="00CD308A">
            <w:pPr>
              <w:rPr>
                <w:kern w:val="2"/>
                <w:sz w:val="20"/>
                <w:szCs w:val="20"/>
              </w:rPr>
            </w:pPr>
            <w:r w:rsidRPr="00CD308A">
              <w:rPr>
                <w:kern w:val="2"/>
                <w:sz w:val="20"/>
                <w:szCs w:val="20"/>
              </w:rPr>
              <w:t>100</w:t>
            </w:r>
          </w:p>
        </w:tc>
        <w:tc>
          <w:tcPr>
            <w:tcW w:w="1833" w:type="dxa"/>
          </w:tcPr>
          <w:p w:rsidR="00CC0AE6" w:rsidRPr="00CD308A" w:rsidRDefault="00CC0AE6" w:rsidP="00CD308A">
            <w:pPr>
              <w:rPr>
                <w:kern w:val="2"/>
                <w:sz w:val="20"/>
                <w:szCs w:val="20"/>
              </w:rPr>
            </w:pPr>
            <w:r w:rsidRPr="00CD308A">
              <w:rPr>
                <w:kern w:val="2"/>
                <w:sz w:val="20"/>
                <w:szCs w:val="20"/>
              </w:rPr>
              <w:t>25,800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5.7</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548" w:type="dxa"/>
            <w:vMerge/>
          </w:tcPr>
          <w:p w:rsidR="00CC0AE6" w:rsidRPr="00CD308A" w:rsidRDefault="00CC0AE6" w:rsidP="00CD308A">
            <w:pPr>
              <w:rPr>
                <w:kern w:val="2"/>
                <w:sz w:val="20"/>
                <w:szCs w:val="20"/>
              </w:rPr>
            </w:pPr>
          </w:p>
        </w:tc>
        <w:tc>
          <w:tcPr>
            <w:tcW w:w="1143" w:type="dxa"/>
          </w:tcPr>
          <w:p w:rsidR="00CC0AE6" w:rsidRPr="00CD308A" w:rsidRDefault="00CC0AE6" w:rsidP="00CD308A">
            <w:pPr>
              <w:rPr>
                <w:kern w:val="2"/>
                <w:sz w:val="20"/>
                <w:szCs w:val="20"/>
              </w:rPr>
            </w:pPr>
            <w:r w:rsidRPr="00CD308A">
              <w:rPr>
                <w:kern w:val="2"/>
                <w:sz w:val="20"/>
                <w:szCs w:val="20"/>
              </w:rPr>
              <w:t>300</w:t>
            </w:r>
          </w:p>
        </w:tc>
        <w:tc>
          <w:tcPr>
            <w:tcW w:w="1833" w:type="dxa"/>
          </w:tcPr>
          <w:p w:rsidR="00CC0AE6" w:rsidRPr="00CD308A" w:rsidRDefault="00CC0AE6" w:rsidP="00CD308A">
            <w:pPr>
              <w:rPr>
                <w:kern w:val="2"/>
                <w:sz w:val="20"/>
                <w:szCs w:val="20"/>
              </w:rPr>
            </w:pPr>
            <w:r w:rsidRPr="00CD308A">
              <w:rPr>
                <w:kern w:val="2"/>
                <w:sz w:val="20"/>
                <w:szCs w:val="20"/>
              </w:rPr>
              <w:t>38,900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8.6</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548" w:type="dxa"/>
            <w:vMerge/>
          </w:tcPr>
          <w:p w:rsidR="00CC0AE6" w:rsidRPr="00CD308A" w:rsidRDefault="00CC0AE6" w:rsidP="00CD308A">
            <w:pPr>
              <w:rPr>
                <w:kern w:val="2"/>
                <w:sz w:val="20"/>
                <w:szCs w:val="20"/>
              </w:rPr>
            </w:pPr>
          </w:p>
        </w:tc>
        <w:tc>
          <w:tcPr>
            <w:tcW w:w="1143" w:type="dxa"/>
          </w:tcPr>
          <w:p w:rsidR="00CC0AE6" w:rsidRPr="00CD308A" w:rsidRDefault="00CC0AE6" w:rsidP="00CD308A">
            <w:pPr>
              <w:rPr>
                <w:kern w:val="2"/>
                <w:sz w:val="20"/>
                <w:szCs w:val="20"/>
              </w:rPr>
            </w:pPr>
            <w:r w:rsidRPr="00CD308A">
              <w:rPr>
                <w:kern w:val="2"/>
                <w:sz w:val="20"/>
                <w:szCs w:val="20"/>
              </w:rPr>
              <w:t>1,000</w:t>
            </w:r>
          </w:p>
        </w:tc>
        <w:tc>
          <w:tcPr>
            <w:tcW w:w="1833" w:type="dxa"/>
          </w:tcPr>
          <w:p w:rsidR="00CC0AE6" w:rsidRPr="00CD308A" w:rsidRDefault="00CC0AE6" w:rsidP="00CD308A">
            <w:pPr>
              <w:rPr>
                <w:kern w:val="2"/>
                <w:sz w:val="20"/>
                <w:szCs w:val="20"/>
              </w:rPr>
            </w:pPr>
            <w:r w:rsidRPr="00CD308A">
              <w:rPr>
                <w:kern w:val="2"/>
                <w:sz w:val="20"/>
                <w:szCs w:val="20"/>
              </w:rPr>
              <w:t>121,000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26.8</w:t>
            </w:r>
          </w:p>
        </w:tc>
      </w:tr>
      <w:tr w:rsidR="00CC0AE6" w:rsidRPr="00CD308A" w:rsidTr="00CD308A">
        <w:trPr>
          <w:trHeight w:val="227"/>
        </w:trPr>
        <w:tc>
          <w:tcPr>
            <w:tcW w:w="1326" w:type="dxa"/>
            <w:vMerge w:val="restart"/>
          </w:tcPr>
          <w:p w:rsidR="00CC0AE6" w:rsidRPr="00CD308A" w:rsidRDefault="00CC0AE6" w:rsidP="00CD308A">
            <w:pPr>
              <w:rPr>
                <w:kern w:val="2"/>
                <w:sz w:val="20"/>
                <w:szCs w:val="20"/>
              </w:rPr>
            </w:pPr>
            <w:r w:rsidRPr="00CD308A">
              <w:rPr>
                <w:kern w:val="2"/>
                <w:sz w:val="20"/>
                <w:szCs w:val="20"/>
              </w:rPr>
              <w:t>SD rats</w:t>
            </w:r>
          </w:p>
        </w:tc>
        <w:tc>
          <w:tcPr>
            <w:tcW w:w="1920" w:type="dxa"/>
            <w:vMerge w:val="restart"/>
          </w:tcPr>
          <w:p w:rsidR="00CD308A" w:rsidRPr="00CD308A" w:rsidRDefault="00CC0AE6" w:rsidP="00CD308A">
            <w:pPr>
              <w:rPr>
                <w:kern w:val="2"/>
                <w:sz w:val="20"/>
                <w:szCs w:val="20"/>
              </w:rPr>
            </w:pPr>
            <w:r w:rsidRPr="00CD308A">
              <w:rPr>
                <w:kern w:val="2"/>
                <w:sz w:val="20"/>
                <w:szCs w:val="20"/>
              </w:rPr>
              <w:t>6 months</w:t>
            </w:r>
          </w:p>
          <w:p w:rsidR="00CC0AE6" w:rsidRPr="00CD308A" w:rsidRDefault="00CC0AE6" w:rsidP="00CD308A">
            <w:pPr>
              <w:rPr>
                <w:kern w:val="2"/>
                <w:sz w:val="20"/>
                <w:szCs w:val="20"/>
              </w:rPr>
            </w:pPr>
            <w:r w:rsidRPr="00CD308A">
              <w:rPr>
                <w:kern w:val="2"/>
                <w:sz w:val="20"/>
                <w:szCs w:val="20"/>
              </w:rPr>
              <w:t>[Study No. AA17017]</w:t>
            </w:r>
          </w:p>
        </w:tc>
        <w:tc>
          <w:tcPr>
            <w:tcW w:w="1691" w:type="dxa"/>
            <w:gridSpan w:val="2"/>
          </w:tcPr>
          <w:p w:rsidR="00CC0AE6" w:rsidRPr="00CD308A" w:rsidRDefault="00CC0AE6" w:rsidP="00CD308A">
            <w:pPr>
              <w:rPr>
                <w:kern w:val="2"/>
                <w:sz w:val="20"/>
                <w:szCs w:val="20"/>
              </w:rPr>
            </w:pPr>
            <w:r w:rsidRPr="00CD308A">
              <w:rPr>
                <w:kern w:val="2"/>
                <w:sz w:val="20"/>
                <w:szCs w:val="20"/>
              </w:rPr>
              <w:t>100 (A)</w:t>
            </w:r>
          </w:p>
        </w:tc>
        <w:tc>
          <w:tcPr>
            <w:tcW w:w="1833" w:type="dxa"/>
          </w:tcPr>
          <w:p w:rsidR="00CC0AE6" w:rsidRPr="00CD308A" w:rsidRDefault="00CC0AE6" w:rsidP="00CD308A">
            <w:pPr>
              <w:rPr>
                <w:kern w:val="2"/>
                <w:sz w:val="20"/>
                <w:szCs w:val="20"/>
              </w:rPr>
            </w:pPr>
            <w:r w:rsidRPr="00CD308A">
              <w:rPr>
                <w:kern w:val="2"/>
                <w:sz w:val="20"/>
                <w:szCs w:val="20"/>
              </w:rPr>
              <w:t>30,147</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6.7</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500 (A)</w:t>
            </w:r>
          </w:p>
        </w:tc>
        <w:tc>
          <w:tcPr>
            <w:tcW w:w="1833" w:type="dxa"/>
          </w:tcPr>
          <w:p w:rsidR="00CC0AE6" w:rsidRPr="00CD308A" w:rsidRDefault="00CC0AE6" w:rsidP="00CD308A">
            <w:pPr>
              <w:rPr>
                <w:kern w:val="2"/>
                <w:sz w:val="20"/>
                <w:szCs w:val="20"/>
              </w:rPr>
            </w:pPr>
            <w:r w:rsidRPr="00CD308A">
              <w:rPr>
                <w:kern w:val="2"/>
                <w:sz w:val="20"/>
                <w:szCs w:val="20"/>
              </w:rPr>
              <w:t>96,659</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21.4</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1,500 (A)</w:t>
            </w:r>
          </w:p>
        </w:tc>
        <w:tc>
          <w:tcPr>
            <w:tcW w:w="1833" w:type="dxa"/>
          </w:tcPr>
          <w:p w:rsidR="00CC0AE6" w:rsidRPr="00CD308A" w:rsidRDefault="00CC0AE6" w:rsidP="00CD308A">
            <w:pPr>
              <w:rPr>
                <w:kern w:val="2"/>
                <w:sz w:val="20"/>
                <w:szCs w:val="20"/>
              </w:rPr>
            </w:pPr>
            <w:r w:rsidRPr="00CD308A">
              <w:rPr>
                <w:kern w:val="2"/>
                <w:sz w:val="20"/>
                <w:szCs w:val="20"/>
              </w:rPr>
              <w:t>248,355</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55.0</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val="restart"/>
          </w:tcPr>
          <w:p w:rsidR="00CD308A" w:rsidRPr="00CD308A" w:rsidRDefault="00CC0AE6" w:rsidP="00CD308A">
            <w:pPr>
              <w:rPr>
                <w:kern w:val="2"/>
                <w:sz w:val="20"/>
                <w:szCs w:val="20"/>
              </w:rPr>
            </w:pPr>
            <w:r w:rsidRPr="00CD308A">
              <w:rPr>
                <w:kern w:val="2"/>
                <w:sz w:val="20"/>
                <w:szCs w:val="20"/>
              </w:rPr>
              <w:t>24 months; carcinogenicity</w:t>
            </w:r>
          </w:p>
          <w:p w:rsidR="00CC0AE6" w:rsidRPr="00CD308A" w:rsidRDefault="00CC0AE6" w:rsidP="00CD308A">
            <w:pPr>
              <w:rPr>
                <w:kern w:val="2"/>
                <w:sz w:val="20"/>
                <w:szCs w:val="20"/>
              </w:rPr>
            </w:pPr>
            <w:r w:rsidRPr="00CD308A">
              <w:rPr>
                <w:kern w:val="2"/>
                <w:sz w:val="20"/>
                <w:szCs w:val="20"/>
              </w:rPr>
              <w:t>[Study No. G4970]</w:t>
            </w:r>
          </w:p>
        </w:tc>
        <w:tc>
          <w:tcPr>
            <w:tcW w:w="1691" w:type="dxa"/>
            <w:gridSpan w:val="2"/>
          </w:tcPr>
          <w:p w:rsidR="00CC0AE6" w:rsidRPr="00CD308A" w:rsidRDefault="00CC0AE6" w:rsidP="00CD308A">
            <w:pPr>
              <w:rPr>
                <w:kern w:val="2"/>
                <w:sz w:val="20"/>
                <w:szCs w:val="20"/>
              </w:rPr>
            </w:pPr>
            <w:r w:rsidRPr="00CD308A">
              <w:rPr>
                <w:kern w:val="2"/>
                <w:sz w:val="20"/>
                <w:szCs w:val="20"/>
              </w:rPr>
              <w:t>50 (A)</w:t>
            </w:r>
          </w:p>
        </w:tc>
        <w:tc>
          <w:tcPr>
            <w:tcW w:w="1833" w:type="dxa"/>
          </w:tcPr>
          <w:p w:rsidR="00CC0AE6" w:rsidRPr="00CD308A" w:rsidRDefault="00CC0AE6" w:rsidP="00CD308A">
            <w:pPr>
              <w:rPr>
                <w:kern w:val="2"/>
                <w:sz w:val="20"/>
                <w:szCs w:val="20"/>
              </w:rPr>
            </w:pPr>
            <w:r w:rsidRPr="00CD308A">
              <w:rPr>
                <w:kern w:val="2"/>
                <w:sz w:val="20"/>
                <w:szCs w:val="20"/>
              </w:rPr>
              <w:t>13,800 (B)</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3.1</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200 (A)</w:t>
            </w:r>
          </w:p>
        </w:tc>
        <w:tc>
          <w:tcPr>
            <w:tcW w:w="1833" w:type="dxa"/>
          </w:tcPr>
          <w:p w:rsidR="00CC0AE6" w:rsidRPr="00CD308A" w:rsidRDefault="00CC0AE6" w:rsidP="00CD308A">
            <w:pPr>
              <w:rPr>
                <w:kern w:val="2"/>
                <w:sz w:val="20"/>
                <w:szCs w:val="20"/>
              </w:rPr>
            </w:pPr>
            <w:r w:rsidRPr="00CD308A">
              <w:rPr>
                <w:kern w:val="2"/>
                <w:sz w:val="20"/>
                <w:szCs w:val="20"/>
              </w:rPr>
              <w:t>33,300 (B)</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7.4</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800 (A)</w:t>
            </w:r>
          </w:p>
        </w:tc>
        <w:tc>
          <w:tcPr>
            <w:tcW w:w="1833" w:type="dxa"/>
          </w:tcPr>
          <w:p w:rsidR="00CC0AE6" w:rsidRPr="00CD308A" w:rsidRDefault="00CC0AE6" w:rsidP="00CD308A">
            <w:pPr>
              <w:rPr>
                <w:kern w:val="2"/>
                <w:sz w:val="20"/>
                <w:szCs w:val="20"/>
              </w:rPr>
            </w:pPr>
            <w:r w:rsidRPr="00CD308A">
              <w:rPr>
                <w:kern w:val="2"/>
                <w:sz w:val="20"/>
                <w:szCs w:val="20"/>
              </w:rPr>
              <w:t>103,000 (B)</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22.8</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1,200 (A)</w:t>
            </w:r>
          </w:p>
        </w:tc>
        <w:tc>
          <w:tcPr>
            <w:tcW w:w="1833" w:type="dxa"/>
          </w:tcPr>
          <w:p w:rsidR="00CC0AE6" w:rsidRPr="00CD308A" w:rsidRDefault="00CC0AE6" w:rsidP="00CD308A">
            <w:pPr>
              <w:rPr>
                <w:kern w:val="2"/>
                <w:sz w:val="20"/>
                <w:szCs w:val="20"/>
              </w:rPr>
            </w:pPr>
            <w:r w:rsidRPr="00CD308A">
              <w:rPr>
                <w:kern w:val="2"/>
                <w:sz w:val="20"/>
                <w:szCs w:val="20"/>
              </w:rPr>
              <w:t>176,000 (C)</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39.0</w:t>
            </w:r>
          </w:p>
        </w:tc>
      </w:tr>
      <w:tr w:rsidR="00CC0AE6" w:rsidRPr="00CD308A" w:rsidTr="00CD308A">
        <w:trPr>
          <w:trHeight w:val="227"/>
        </w:trPr>
        <w:tc>
          <w:tcPr>
            <w:tcW w:w="1326" w:type="dxa"/>
            <w:vMerge w:val="restart"/>
          </w:tcPr>
          <w:p w:rsidR="00CC0AE6" w:rsidRPr="00CD308A" w:rsidRDefault="00CC0AE6" w:rsidP="00CD308A">
            <w:pPr>
              <w:rPr>
                <w:kern w:val="2"/>
                <w:sz w:val="20"/>
                <w:szCs w:val="20"/>
              </w:rPr>
            </w:pPr>
            <w:r w:rsidRPr="00CD308A">
              <w:rPr>
                <w:kern w:val="2"/>
                <w:sz w:val="20"/>
                <w:szCs w:val="20"/>
              </w:rPr>
              <w:t>Beagle dogs</w:t>
            </w:r>
          </w:p>
        </w:tc>
        <w:tc>
          <w:tcPr>
            <w:tcW w:w="1920" w:type="dxa"/>
            <w:vMerge w:val="restart"/>
          </w:tcPr>
          <w:p w:rsidR="00CC0AE6" w:rsidRPr="00CD308A" w:rsidRDefault="00CC0AE6" w:rsidP="00CD308A">
            <w:pPr>
              <w:rPr>
                <w:kern w:val="2"/>
                <w:sz w:val="20"/>
                <w:szCs w:val="20"/>
              </w:rPr>
            </w:pPr>
            <w:r w:rsidRPr="00CD308A">
              <w:rPr>
                <w:kern w:val="2"/>
                <w:sz w:val="20"/>
                <w:szCs w:val="20"/>
              </w:rPr>
              <w:t>2 weeks</w:t>
            </w:r>
          </w:p>
          <w:p w:rsidR="00CC0AE6" w:rsidRPr="00CD308A" w:rsidRDefault="00CC0AE6" w:rsidP="00CD308A">
            <w:pPr>
              <w:rPr>
                <w:kern w:val="2"/>
                <w:sz w:val="20"/>
                <w:szCs w:val="20"/>
              </w:rPr>
            </w:pPr>
            <w:r w:rsidRPr="00CD308A">
              <w:rPr>
                <w:kern w:val="2"/>
                <w:sz w:val="20"/>
                <w:szCs w:val="20"/>
              </w:rPr>
              <w:t>[Study No. ITR2978]</w:t>
            </w:r>
          </w:p>
        </w:tc>
        <w:tc>
          <w:tcPr>
            <w:tcW w:w="1691" w:type="dxa"/>
            <w:gridSpan w:val="2"/>
          </w:tcPr>
          <w:p w:rsidR="00CC0AE6" w:rsidRPr="00CD308A" w:rsidRDefault="00CC0AE6" w:rsidP="00CD308A">
            <w:pPr>
              <w:rPr>
                <w:kern w:val="2"/>
                <w:sz w:val="20"/>
                <w:szCs w:val="20"/>
              </w:rPr>
            </w:pPr>
            <w:r w:rsidRPr="00CD308A">
              <w:rPr>
                <w:kern w:val="2"/>
                <w:sz w:val="20"/>
                <w:szCs w:val="20"/>
              </w:rPr>
              <w:t>50</w:t>
            </w:r>
          </w:p>
        </w:tc>
        <w:tc>
          <w:tcPr>
            <w:tcW w:w="1833" w:type="dxa"/>
          </w:tcPr>
          <w:p w:rsidR="00CC0AE6" w:rsidRPr="00CD308A" w:rsidRDefault="00CC0AE6" w:rsidP="00CD308A">
            <w:pPr>
              <w:rPr>
                <w:kern w:val="2"/>
                <w:sz w:val="20"/>
                <w:szCs w:val="20"/>
              </w:rPr>
            </w:pPr>
            <w:r w:rsidRPr="00CD308A">
              <w:rPr>
                <w:kern w:val="2"/>
                <w:sz w:val="20"/>
                <w:szCs w:val="20"/>
              </w:rPr>
              <w:t>100,920</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22.3</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200</w:t>
            </w:r>
          </w:p>
        </w:tc>
        <w:tc>
          <w:tcPr>
            <w:tcW w:w="1833" w:type="dxa"/>
          </w:tcPr>
          <w:p w:rsidR="00CC0AE6" w:rsidRPr="00CD308A" w:rsidRDefault="00CC0AE6" w:rsidP="00CD308A">
            <w:pPr>
              <w:rPr>
                <w:kern w:val="2"/>
                <w:sz w:val="20"/>
                <w:szCs w:val="20"/>
              </w:rPr>
            </w:pPr>
            <w:r w:rsidRPr="00CD308A">
              <w:rPr>
                <w:kern w:val="2"/>
                <w:sz w:val="20"/>
                <w:szCs w:val="20"/>
              </w:rPr>
              <w:t>347,363</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76.9</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500</w:t>
            </w:r>
          </w:p>
        </w:tc>
        <w:tc>
          <w:tcPr>
            <w:tcW w:w="1833" w:type="dxa"/>
          </w:tcPr>
          <w:p w:rsidR="00CC0AE6" w:rsidRPr="00CD308A" w:rsidRDefault="00CC0AE6" w:rsidP="00CD308A">
            <w:pPr>
              <w:rPr>
                <w:kern w:val="2"/>
                <w:sz w:val="20"/>
                <w:szCs w:val="20"/>
              </w:rPr>
            </w:pPr>
            <w:r w:rsidRPr="00CD308A">
              <w:rPr>
                <w:kern w:val="2"/>
                <w:sz w:val="20"/>
                <w:szCs w:val="20"/>
              </w:rPr>
              <w:t>513,332</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114</w:t>
            </w:r>
          </w:p>
        </w:tc>
      </w:tr>
      <w:tr w:rsidR="00CC0AE6" w:rsidRPr="00CD308A" w:rsidTr="00CD308A">
        <w:trPr>
          <w:trHeight w:val="227"/>
        </w:trPr>
        <w:tc>
          <w:tcPr>
            <w:tcW w:w="1326" w:type="dxa"/>
            <w:vMerge w:val="restart"/>
          </w:tcPr>
          <w:p w:rsidR="00CC0AE6" w:rsidRPr="00CD308A" w:rsidRDefault="00CC0AE6" w:rsidP="00CD308A">
            <w:pPr>
              <w:rPr>
                <w:kern w:val="2"/>
                <w:sz w:val="20"/>
                <w:szCs w:val="20"/>
              </w:rPr>
            </w:pPr>
            <w:r w:rsidRPr="00CD308A">
              <w:rPr>
                <w:kern w:val="2"/>
                <w:sz w:val="20"/>
                <w:szCs w:val="20"/>
              </w:rPr>
              <w:t>Cynomolgus monkeys</w:t>
            </w:r>
          </w:p>
        </w:tc>
        <w:tc>
          <w:tcPr>
            <w:tcW w:w="1920" w:type="dxa"/>
            <w:vMerge w:val="restart"/>
          </w:tcPr>
          <w:p w:rsidR="00CC0AE6" w:rsidRPr="00CD308A" w:rsidRDefault="00CC0AE6" w:rsidP="00CD308A">
            <w:pPr>
              <w:rPr>
                <w:kern w:val="2"/>
                <w:sz w:val="20"/>
                <w:szCs w:val="20"/>
              </w:rPr>
            </w:pPr>
            <w:r w:rsidRPr="00CD308A">
              <w:rPr>
                <w:kern w:val="2"/>
                <w:sz w:val="20"/>
                <w:szCs w:val="20"/>
              </w:rPr>
              <w:t>9 months</w:t>
            </w:r>
          </w:p>
          <w:p w:rsidR="00CC0AE6" w:rsidRPr="00CD308A" w:rsidRDefault="00CC0AE6" w:rsidP="00CD308A">
            <w:pPr>
              <w:rPr>
                <w:kern w:val="2"/>
                <w:sz w:val="20"/>
                <w:szCs w:val="20"/>
              </w:rPr>
            </w:pPr>
            <w:r w:rsidRPr="00CD308A">
              <w:rPr>
                <w:kern w:val="2"/>
                <w:sz w:val="20"/>
                <w:szCs w:val="20"/>
              </w:rPr>
              <w:t>[Study No. AA17227]</w:t>
            </w:r>
          </w:p>
        </w:tc>
        <w:tc>
          <w:tcPr>
            <w:tcW w:w="1691" w:type="dxa"/>
            <w:gridSpan w:val="2"/>
          </w:tcPr>
          <w:p w:rsidR="00CC0AE6" w:rsidRPr="00CD308A" w:rsidRDefault="00CC0AE6" w:rsidP="00CD308A">
            <w:pPr>
              <w:rPr>
                <w:kern w:val="2"/>
                <w:sz w:val="20"/>
                <w:szCs w:val="20"/>
              </w:rPr>
            </w:pPr>
            <w:r w:rsidRPr="00CD308A">
              <w:rPr>
                <w:kern w:val="2"/>
                <w:sz w:val="20"/>
                <w:szCs w:val="20"/>
              </w:rPr>
              <w:t>50 (A)</w:t>
            </w:r>
          </w:p>
        </w:tc>
        <w:tc>
          <w:tcPr>
            <w:tcW w:w="1833" w:type="dxa"/>
          </w:tcPr>
          <w:p w:rsidR="00CC0AE6" w:rsidRPr="00CD308A" w:rsidRDefault="00CC0AE6" w:rsidP="00CD308A">
            <w:pPr>
              <w:rPr>
                <w:kern w:val="2"/>
                <w:sz w:val="20"/>
                <w:szCs w:val="20"/>
              </w:rPr>
            </w:pPr>
            <w:r w:rsidRPr="00CD308A">
              <w:rPr>
                <w:kern w:val="2"/>
                <w:sz w:val="20"/>
                <w:szCs w:val="20"/>
              </w:rPr>
              <w:t>71,849</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15.9</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200 (A)</w:t>
            </w:r>
          </w:p>
        </w:tc>
        <w:tc>
          <w:tcPr>
            <w:tcW w:w="1833" w:type="dxa"/>
          </w:tcPr>
          <w:p w:rsidR="00CC0AE6" w:rsidRPr="00CD308A" w:rsidRDefault="00CC0AE6" w:rsidP="00CD308A">
            <w:pPr>
              <w:rPr>
                <w:kern w:val="2"/>
                <w:sz w:val="20"/>
                <w:szCs w:val="20"/>
              </w:rPr>
            </w:pPr>
            <w:r w:rsidRPr="00CD308A">
              <w:rPr>
                <w:kern w:val="2"/>
                <w:sz w:val="20"/>
                <w:szCs w:val="20"/>
              </w:rPr>
              <w:t>184,705</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40.9</w:t>
            </w:r>
          </w:p>
        </w:tc>
      </w:tr>
      <w:tr w:rsidR="00CC0AE6" w:rsidRPr="00CD308A" w:rsidTr="00CD308A">
        <w:trPr>
          <w:trHeight w:val="227"/>
        </w:trPr>
        <w:tc>
          <w:tcPr>
            <w:tcW w:w="1326" w:type="dxa"/>
            <w:vMerge/>
          </w:tcPr>
          <w:p w:rsidR="00CC0AE6" w:rsidRPr="00CD308A" w:rsidRDefault="00CC0AE6" w:rsidP="00CD308A">
            <w:pPr>
              <w:rPr>
                <w:kern w:val="2"/>
                <w:sz w:val="20"/>
                <w:szCs w:val="20"/>
              </w:rPr>
            </w:pPr>
          </w:p>
        </w:tc>
        <w:tc>
          <w:tcPr>
            <w:tcW w:w="1920" w:type="dxa"/>
            <w:vMerge/>
          </w:tcPr>
          <w:p w:rsidR="00CC0AE6" w:rsidRPr="00CD308A" w:rsidRDefault="00CC0AE6" w:rsidP="00CD308A">
            <w:pPr>
              <w:rPr>
                <w:kern w:val="2"/>
                <w:sz w:val="20"/>
                <w:szCs w:val="20"/>
              </w:rPr>
            </w:pPr>
          </w:p>
        </w:tc>
        <w:tc>
          <w:tcPr>
            <w:tcW w:w="1691" w:type="dxa"/>
            <w:gridSpan w:val="2"/>
          </w:tcPr>
          <w:p w:rsidR="00CC0AE6" w:rsidRPr="00CD308A" w:rsidRDefault="00CC0AE6" w:rsidP="00CD308A">
            <w:pPr>
              <w:rPr>
                <w:kern w:val="2"/>
                <w:sz w:val="20"/>
                <w:szCs w:val="20"/>
              </w:rPr>
            </w:pPr>
            <w:r w:rsidRPr="00CD308A">
              <w:rPr>
                <w:kern w:val="2"/>
                <w:sz w:val="20"/>
                <w:szCs w:val="20"/>
              </w:rPr>
              <w:t>500 (A)</w:t>
            </w:r>
          </w:p>
        </w:tc>
        <w:tc>
          <w:tcPr>
            <w:tcW w:w="1833" w:type="dxa"/>
          </w:tcPr>
          <w:p w:rsidR="00CC0AE6" w:rsidRPr="00CD308A" w:rsidRDefault="00CC0AE6" w:rsidP="00CD308A">
            <w:pPr>
              <w:rPr>
                <w:kern w:val="2"/>
                <w:sz w:val="20"/>
                <w:szCs w:val="20"/>
              </w:rPr>
            </w:pPr>
            <w:r w:rsidRPr="00CD308A">
              <w:rPr>
                <w:kern w:val="2"/>
                <w:sz w:val="20"/>
                <w:szCs w:val="20"/>
              </w:rPr>
              <w:t>305,823</w:t>
            </w:r>
          </w:p>
        </w:tc>
        <w:tc>
          <w:tcPr>
            <w:tcW w:w="1833" w:type="dxa"/>
          </w:tcPr>
          <w:p w:rsidR="00CC0AE6" w:rsidRPr="00CD308A" w:rsidRDefault="00CC0AE6" w:rsidP="00CD308A">
            <w:pPr>
              <w:rPr>
                <w:rFonts w:eastAsia="Times New Roman"/>
                <w:snapToGrid w:val="0"/>
                <w:kern w:val="2"/>
                <w:sz w:val="20"/>
                <w:szCs w:val="20"/>
              </w:rPr>
            </w:pPr>
            <w:r w:rsidRPr="00CD308A">
              <w:rPr>
                <w:rFonts w:eastAsia="Times New Roman"/>
                <w:snapToGrid w:val="0"/>
                <w:kern w:val="2"/>
                <w:sz w:val="20"/>
                <w:szCs w:val="20"/>
              </w:rPr>
              <w:t>67.7</w:t>
            </w:r>
          </w:p>
        </w:tc>
      </w:tr>
      <w:tr w:rsidR="00CC0AE6" w:rsidRPr="00CD308A" w:rsidTr="00CD308A">
        <w:trPr>
          <w:trHeight w:val="227"/>
        </w:trPr>
        <w:tc>
          <w:tcPr>
            <w:tcW w:w="1326" w:type="dxa"/>
          </w:tcPr>
          <w:p w:rsidR="00CC0AE6" w:rsidRPr="00CD308A" w:rsidRDefault="00CC0AE6" w:rsidP="00CD308A">
            <w:pPr>
              <w:rPr>
                <w:kern w:val="2"/>
                <w:sz w:val="20"/>
                <w:szCs w:val="20"/>
              </w:rPr>
            </w:pPr>
            <w:r w:rsidRPr="00CD308A">
              <w:rPr>
                <w:kern w:val="2"/>
                <w:sz w:val="20"/>
                <w:szCs w:val="20"/>
              </w:rPr>
              <w:t>Human</w:t>
            </w:r>
          </w:p>
        </w:tc>
        <w:tc>
          <w:tcPr>
            <w:tcW w:w="1920" w:type="dxa"/>
          </w:tcPr>
          <w:p w:rsidR="00CC0AE6" w:rsidRPr="00CD308A" w:rsidRDefault="00CC0AE6" w:rsidP="00CD308A">
            <w:pPr>
              <w:rPr>
                <w:kern w:val="2"/>
                <w:sz w:val="20"/>
                <w:szCs w:val="20"/>
              </w:rPr>
            </w:pPr>
            <w:r w:rsidRPr="00CD308A">
              <w:rPr>
                <w:kern w:val="2"/>
                <w:sz w:val="20"/>
                <w:szCs w:val="20"/>
              </w:rPr>
              <w:t>Predicted PK from AT1001- 011 (MGM 116016)</w:t>
            </w:r>
          </w:p>
        </w:tc>
        <w:tc>
          <w:tcPr>
            <w:tcW w:w="1691" w:type="dxa"/>
            <w:gridSpan w:val="2"/>
          </w:tcPr>
          <w:p w:rsidR="00CC0AE6" w:rsidRPr="00CD308A" w:rsidRDefault="00CC0AE6" w:rsidP="00CD308A">
            <w:pPr>
              <w:rPr>
                <w:kern w:val="2"/>
                <w:sz w:val="20"/>
                <w:szCs w:val="20"/>
              </w:rPr>
            </w:pPr>
            <w:r w:rsidRPr="00CD308A">
              <w:rPr>
                <w:kern w:val="2"/>
                <w:sz w:val="20"/>
                <w:szCs w:val="20"/>
              </w:rPr>
              <w:t>150 mg every other day</w:t>
            </w:r>
          </w:p>
        </w:tc>
        <w:tc>
          <w:tcPr>
            <w:tcW w:w="1833" w:type="dxa"/>
          </w:tcPr>
          <w:p w:rsidR="00CC0AE6" w:rsidRPr="00CD308A" w:rsidRDefault="00CC0AE6" w:rsidP="00CD308A">
            <w:pPr>
              <w:rPr>
                <w:kern w:val="2"/>
                <w:sz w:val="20"/>
                <w:szCs w:val="20"/>
              </w:rPr>
            </w:pPr>
            <w:r w:rsidRPr="00CD308A">
              <w:rPr>
                <w:kern w:val="2"/>
                <w:sz w:val="20"/>
                <w:szCs w:val="20"/>
              </w:rPr>
              <w:t>9,033</w:t>
            </w:r>
          </w:p>
        </w:tc>
        <w:tc>
          <w:tcPr>
            <w:tcW w:w="1833" w:type="dxa"/>
          </w:tcPr>
          <w:p w:rsidR="00CC0AE6" w:rsidRPr="00CD308A" w:rsidRDefault="00CC0AE6" w:rsidP="00CD308A">
            <w:pPr>
              <w:rPr>
                <w:kern w:val="2"/>
                <w:sz w:val="20"/>
                <w:szCs w:val="20"/>
              </w:rPr>
            </w:pPr>
            <w:r w:rsidRPr="00CD308A">
              <w:rPr>
                <w:kern w:val="2"/>
                <w:sz w:val="20"/>
                <w:szCs w:val="20"/>
              </w:rPr>
              <w:t>–</w:t>
            </w:r>
          </w:p>
        </w:tc>
      </w:tr>
    </w:tbl>
    <w:p w:rsidR="00CC0AE6" w:rsidRPr="00A56B24" w:rsidRDefault="00CC0AE6" w:rsidP="00D04A41">
      <w:pPr>
        <w:pStyle w:val="TableDescription"/>
        <w:rPr>
          <w:sz w:val="18"/>
        </w:rPr>
      </w:pPr>
      <w:r w:rsidRPr="00A56B24">
        <w:rPr>
          <w:position w:val="-2"/>
          <w:sz w:val="18"/>
          <w:vertAlign w:val="superscript"/>
        </w:rPr>
        <w:t>#</w:t>
      </w:r>
      <w:r w:rsidRPr="00A56B24">
        <w:rPr>
          <w:sz w:val="18"/>
        </w:rPr>
        <w:t xml:space="preserve"> = animal 2xAUC</w:t>
      </w:r>
      <w:r w:rsidRPr="00A56B24">
        <w:rPr>
          <w:sz w:val="18"/>
          <w:vertAlign w:val="subscript"/>
        </w:rPr>
        <w:t>0-24</w:t>
      </w:r>
      <w:r w:rsidRPr="00A56B24">
        <w:rPr>
          <w:w w:val="50"/>
          <w:sz w:val="18"/>
          <w:vertAlign w:val="subscript"/>
        </w:rPr>
        <w:t> </w:t>
      </w:r>
      <w:r w:rsidRPr="00A56B24">
        <w:rPr>
          <w:sz w:val="18"/>
          <w:vertAlign w:val="subscript"/>
        </w:rPr>
        <w:t>h</w:t>
      </w:r>
      <w:proofErr w:type="gramStart"/>
      <w:r w:rsidRPr="00A56B24">
        <w:rPr>
          <w:sz w:val="18"/>
        </w:rPr>
        <w:t>:1xhuman</w:t>
      </w:r>
      <w:proofErr w:type="gramEnd"/>
      <w:r w:rsidRPr="00A56B24">
        <w:rPr>
          <w:sz w:val="18"/>
        </w:rPr>
        <w:t xml:space="preserve"> AUC</w:t>
      </w:r>
      <w:r w:rsidRPr="00A56B24">
        <w:rPr>
          <w:sz w:val="18"/>
          <w:vertAlign w:val="subscript"/>
        </w:rPr>
        <w:t>0-48</w:t>
      </w:r>
      <w:r w:rsidRPr="00A56B24">
        <w:rPr>
          <w:w w:val="50"/>
          <w:sz w:val="18"/>
          <w:vertAlign w:val="subscript"/>
        </w:rPr>
        <w:t> </w:t>
      </w:r>
      <w:r w:rsidRPr="00A56B24">
        <w:rPr>
          <w:sz w:val="18"/>
          <w:vertAlign w:val="subscript"/>
        </w:rPr>
        <w:t>h</w:t>
      </w:r>
      <w:r w:rsidRPr="00A56B24">
        <w:rPr>
          <w:sz w:val="18"/>
        </w:rPr>
        <w:t xml:space="preserve"> ( since the animals were treated daily (AUC0-24) whereas the clinical dosing regimen is once every other day); ^ = data are for the sexes combined at the last sampling occasion; A = daily dose given BID 6 hours apart; B = sampling on week 29; C = sampling on week 37.</w:t>
      </w:r>
    </w:p>
    <w:p w:rsidR="00FA2CB9" w:rsidRDefault="00CC0AE6" w:rsidP="00FA2CB9">
      <w:pPr>
        <w:pStyle w:val="Heading5"/>
      </w:pPr>
      <w:r w:rsidRPr="00FA2CB9">
        <w:t>Major toxicities</w:t>
      </w:r>
    </w:p>
    <w:p w:rsidR="00CC0AE6" w:rsidRPr="00FA2CB9" w:rsidRDefault="00CC0AE6" w:rsidP="00FA2CB9">
      <w:r w:rsidRPr="00FA2CB9">
        <w:t xml:space="preserve">No consistent changes were noted in toxicity studies irrespective of animal species and duration of treatment.  Mortalities were only observed when oral migalastat was administered in combination with intravenous agalsidase beta in Gla (-/-) knockout mice. Repeated administration of migalastat at up to 500 mg/kg/day for 9 months in monkeys did not cause toxicity (at a relative exposure </w:t>
      </w:r>
      <w:r w:rsidR="003A280C">
        <w:t>(</w:t>
      </w:r>
      <w:r w:rsidRPr="00FA2CB9">
        <w:t>RE</w:t>
      </w:r>
      <w:r w:rsidR="003A280C">
        <w:t>)</w:t>
      </w:r>
      <w:r w:rsidRPr="00FA2CB9">
        <w:t xml:space="preserve"> of 68). Target organs in rodents and dogs included the male reproductive system, gastrointestinal tract, spleen and kidneys, as discussed below.</w:t>
      </w:r>
    </w:p>
    <w:p w:rsidR="00FA2CB9" w:rsidRDefault="00CC0AE6" w:rsidP="00FA2CB9">
      <w:pPr>
        <w:pStyle w:val="Heading5"/>
      </w:pPr>
      <w:r w:rsidRPr="00FA2CB9">
        <w:t>Male reproductive system</w:t>
      </w:r>
    </w:p>
    <w:p w:rsidR="00CD308A" w:rsidRDefault="00CC0AE6" w:rsidP="00FA2CB9">
      <w:r w:rsidRPr="00FA2CB9">
        <w:t>Administration of migalastat at doses of ≥</w:t>
      </w:r>
      <w:r w:rsidR="003A280C">
        <w:t xml:space="preserve"> </w:t>
      </w:r>
      <w:r w:rsidRPr="00FA2CB9">
        <w:t>2.5 mg/kg/day (subclinical exposure) was associated with reversible infertility in male rats. Infertility may be observed in male patients receiving migalastat. See ‘Reproductive toxicity’.</w:t>
      </w:r>
    </w:p>
    <w:p w:rsidR="00FA2CB9" w:rsidRDefault="00CC0AE6" w:rsidP="00FA2CB9">
      <w:pPr>
        <w:pStyle w:val="Heading5"/>
      </w:pPr>
      <w:r w:rsidRPr="00FA2CB9">
        <w:lastRenderedPageBreak/>
        <w:t>Gastrointestinal tract</w:t>
      </w:r>
      <w:r w:rsidR="00E43927" w:rsidRPr="00FA2CB9">
        <w:rPr>
          <w:rFonts w:eastAsia="Cambria"/>
        </w:rPr>
        <w:t xml:space="preserve"> (GIT</w:t>
      </w:r>
      <w:r w:rsidR="00E43927" w:rsidRPr="00FA2CB9">
        <w:t>)</w:t>
      </w:r>
    </w:p>
    <w:p w:rsidR="00CC0AE6" w:rsidRPr="00FA2CB9" w:rsidRDefault="00CC0AE6" w:rsidP="00E43927">
      <w:r w:rsidRPr="008130C8">
        <w:t>Minimal to mild, diffuse mucosal inflammation of the large intestine (caecum, colon, and rectum) was observed in female mice receiving ≥</w:t>
      </w:r>
      <w:r w:rsidR="003A280C">
        <w:t xml:space="preserve"> </w:t>
      </w:r>
      <w:r w:rsidRPr="008130C8">
        <w:t>1000 mg/kg/day migalastat for 4 weeks and in males at 2000 mg/kg/day</w:t>
      </w:r>
      <w:r>
        <w:t xml:space="preserve"> (RE of 22 and 86, respectively</w:t>
      </w:r>
      <w:r w:rsidRPr="008130C8">
        <w:t xml:space="preserve">). Increased apoptosis of the mesenteric lymph node was also noted in 2/10 males at 2000 mg/kg/day and was considered to be a secondary response to the gastrointestinal tract changes. Due to the highly concentrated solutions used in the mouse study, this local irritation is </w:t>
      </w:r>
      <w:r>
        <w:t xml:space="preserve">likely to be </w:t>
      </w:r>
      <w:proofErr w:type="gramStart"/>
      <w:r w:rsidRPr="008130C8">
        <w:t>direct</w:t>
      </w:r>
      <w:proofErr w:type="gramEnd"/>
      <w:r w:rsidRPr="008130C8">
        <w:t xml:space="preserve"> contact-mediated and unlikely to be clinically relevant.</w:t>
      </w:r>
    </w:p>
    <w:p w:rsidR="00CC0AE6" w:rsidRPr="008130C8" w:rsidRDefault="00CC0AE6" w:rsidP="00E43927">
      <w:pPr>
        <w:rPr>
          <w:rFonts w:eastAsia="Times New Roman"/>
          <w:snapToGrid w:val="0"/>
        </w:rPr>
      </w:pPr>
      <w:r w:rsidRPr="008130C8">
        <w:rPr>
          <w:rFonts w:eastAsia="Times New Roman"/>
          <w:snapToGrid w:val="0"/>
        </w:rPr>
        <w:t xml:space="preserve">In rats receiving 1500 mg/kg/day for 14 days, eosinophil infiltrates in the glandular stomach and oedema at the junction of the glandular and non-glandular stomachs (changes consistent with irritation were also observed in the stomach) were observed. However, these findings were not observed in rats receiving similar doses (and with </w:t>
      </w:r>
      <w:r>
        <w:rPr>
          <w:rFonts w:eastAsia="Times New Roman"/>
          <w:snapToGrid w:val="0"/>
        </w:rPr>
        <w:t>RE ≤</w:t>
      </w:r>
      <w:r w:rsidR="003A280C">
        <w:rPr>
          <w:rFonts w:eastAsia="Times New Roman"/>
          <w:snapToGrid w:val="0"/>
        </w:rPr>
        <w:t> </w:t>
      </w:r>
      <w:r w:rsidRPr="008130C8">
        <w:rPr>
          <w:rFonts w:eastAsia="Times New Roman"/>
          <w:snapToGrid w:val="0"/>
        </w:rPr>
        <w:t>55) for 6</w:t>
      </w:r>
      <w:r w:rsidR="003A280C">
        <w:rPr>
          <w:rFonts w:eastAsia="Times New Roman"/>
          <w:snapToGrid w:val="0"/>
        </w:rPr>
        <w:t xml:space="preserve"> to </w:t>
      </w:r>
      <w:r w:rsidRPr="008130C8">
        <w:rPr>
          <w:rFonts w:eastAsia="Times New Roman"/>
          <w:snapToGrid w:val="0"/>
        </w:rPr>
        <w:t xml:space="preserve">24 months. Gastrointestinal irritation was not observed in monkeys (at </w:t>
      </w:r>
      <w:r>
        <w:rPr>
          <w:rFonts w:eastAsia="Times New Roman"/>
          <w:snapToGrid w:val="0"/>
        </w:rPr>
        <w:t>RE &lt;</w:t>
      </w:r>
      <w:r w:rsidR="003A280C">
        <w:rPr>
          <w:rFonts w:eastAsia="Times New Roman"/>
          <w:snapToGrid w:val="0"/>
        </w:rPr>
        <w:t> </w:t>
      </w:r>
      <w:r w:rsidRPr="008130C8">
        <w:rPr>
          <w:rFonts w:eastAsia="Times New Roman"/>
          <w:snapToGrid w:val="0"/>
        </w:rPr>
        <w:t>68).</w:t>
      </w:r>
    </w:p>
    <w:p w:rsidR="00CC0AE6" w:rsidRPr="008130C8" w:rsidRDefault="00CC0AE6" w:rsidP="00E43927">
      <w:pPr>
        <w:rPr>
          <w:rFonts w:eastAsia="Times New Roman"/>
        </w:rPr>
      </w:pPr>
      <w:r w:rsidRPr="008130C8">
        <w:rPr>
          <w:rFonts w:eastAsia="Times New Roman"/>
          <w:snapToGrid w:val="0"/>
        </w:rPr>
        <w:t xml:space="preserve">Considering the lack of consistency of the GIT effects within and among species, and </w:t>
      </w:r>
      <w:r>
        <w:rPr>
          <w:rFonts w:eastAsia="Times New Roman"/>
          <w:snapToGrid w:val="0"/>
        </w:rPr>
        <w:t>its association with daily or twice-daily administration of high concentration formulations,</w:t>
      </w:r>
      <w:r w:rsidRPr="008130C8">
        <w:rPr>
          <w:rFonts w:eastAsia="Times New Roman"/>
          <w:snapToGrid w:val="0"/>
        </w:rPr>
        <w:t xml:space="preserve"> </w:t>
      </w:r>
      <w:r>
        <w:rPr>
          <w:rFonts w:eastAsia="Times New Roman"/>
          <w:snapToGrid w:val="0"/>
        </w:rPr>
        <w:t xml:space="preserve">this GIT </w:t>
      </w:r>
      <w:r w:rsidRPr="008130C8">
        <w:rPr>
          <w:rFonts w:eastAsia="Times New Roman"/>
          <w:snapToGrid w:val="0"/>
        </w:rPr>
        <w:t xml:space="preserve">toxicity is </w:t>
      </w:r>
      <w:r>
        <w:rPr>
          <w:rFonts w:eastAsia="Times New Roman"/>
          <w:snapToGrid w:val="0"/>
        </w:rPr>
        <w:t xml:space="preserve">not </w:t>
      </w:r>
      <w:r w:rsidRPr="008130C8">
        <w:rPr>
          <w:rFonts w:eastAsia="Times New Roman"/>
          <w:snapToGrid w:val="0"/>
        </w:rPr>
        <w:t xml:space="preserve">expected to </w:t>
      </w:r>
      <w:r>
        <w:rPr>
          <w:rFonts w:eastAsia="Times New Roman"/>
          <w:snapToGrid w:val="0"/>
        </w:rPr>
        <w:t>be clinically relevant</w:t>
      </w:r>
      <w:r w:rsidRPr="008130C8">
        <w:rPr>
          <w:rFonts w:eastAsia="Times New Roman"/>
          <w:snapToGrid w:val="0"/>
        </w:rPr>
        <w:t>.</w:t>
      </w:r>
      <w:r>
        <w:rPr>
          <w:rFonts w:eastAsia="Times New Roman"/>
          <w:snapToGrid w:val="0"/>
        </w:rPr>
        <w:t xml:space="preserve"> In addition, given that </w:t>
      </w:r>
      <w:r w:rsidRPr="008130C8">
        <w:rPr>
          <w:rFonts w:eastAsia="Times New Roman"/>
          <w:snapToGrid w:val="0"/>
        </w:rPr>
        <w:t xml:space="preserve">Fabry disease </w:t>
      </w:r>
      <w:r>
        <w:rPr>
          <w:rFonts w:eastAsia="Times New Roman"/>
          <w:snapToGrid w:val="0"/>
        </w:rPr>
        <w:t xml:space="preserve">itself </w:t>
      </w:r>
      <w:r w:rsidRPr="008130C8">
        <w:rPr>
          <w:rFonts w:eastAsia="Times New Roman"/>
          <w:snapToGrid w:val="0"/>
        </w:rPr>
        <w:t>causes GIT symptoms</w:t>
      </w:r>
      <w:r>
        <w:rPr>
          <w:rFonts w:eastAsia="Times New Roman"/>
          <w:snapToGrid w:val="0"/>
        </w:rPr>
        <w:t xml:space="preserve"> (such as diarrhoea, abdominal pain)</w:t>
      </w:r>
      <w:proofErr w:type="gramStart"/>
      <w:r>
        <w:rPr>
          <w:rFonts w:eastAsia="Times New Roman"/>
          <w:snapToGrid w:val="0"/>
        </w:rPr>
        <w:t>,</w:t>
      </w:r>
      <w:proofErr w:type="gramEnd"/>
      <w:r>
        <w:rPr>
          <w:rFonts w:eastAsia="Times New Roman"/>
          <w:snapToGrid w:val="0"/>
        </w:rPr>
        <w:t xml:space="preserve"> improved disease management with migalastat may improve GI symptoms.</w:t>
      </w:r>
    </w:p>
    <w:p w:rsidR="00E43927" w:rsidRDefault="00CC0AE6" w:rsidP="00E43927">
      <w:pPr>
        <w:pStyle w:val="Heading5"/>
      </w:pPr>
      <w:r w:rsidRPr="00E43927">
        <w:t>Spleen</w:t>
      </w:r>
    </w:p>
    <w:p w:rsidR="00E43927" w:rsidRDefault="00CC0AE6" w:rsidP="00E43927">
      <w:r w:rsidRPr="00E43927">
        <w:t xml:space="preserve">Minimal to slight increases in the number of lymphoid follicles were observed microscopically in the spleens of rats treated with ≥ 100 mg/kg/day for 26 weeks (RE </w:t>
      </w:r>
      <w:r w:rsidR="003A280C">
        <w:t> </w:t>
      </w:r>
      <w:r w:rsidRPr="00E43927">
        <w:t>≥</w:t>
      </w:r>
      <w:r w:rsidR="003A280C">
        <w:t> </w:t>
      </w:r>
      <w:r w:rsidRPr="00E43927">
        <w:t>7), and this finding was associated with an increase in the spleen weight (relative to body weight) at 1500 mg/kg/day (RE 55). Although both of the findings were non-reversible, there were no secondary immunotoxic effects, and no evidence of drug-related histopathology findings in the spleen in the 2-year rat carcinogenicity study at doses up to 800/1200 mg/kg/day (REs ≥</w:t>
      </w:r>
      <w:r w:rsidR="003A280C">
        <w:t> </w:t>
      </w:r>
      <w:r w:rsidRPr="00E43927">
        <w:t>23). No drug-related effects were observed in the spleen of monkeys receiving migalastat at 500 mg/kg/day for 39 weeks (68-fold the clinical exposure). No toxicity to the spleen is expected due to clinical use.</w:t>
      </w:r>
    </w:p>
    <w:p w:rsidR="00E43927" w:rsidRDefault="00CC0AE6" w:rsidP="00E43927">
      <w:pPr>
        <w:pStyle w:val="Heading5"/>
      </w:pPr>
      <w:r w:rsidRPr="00E43927">
        <w:t>Kidneys</w:t>
      </w:r>
    </w:p>
    <w:p w:rsidR="00CC0AE6" w:rsidRPr="00E43927" w:rsidRDefault="00CC0AE6" w:rsidP="00E43927">
      <w:r w:rsidRPr="00E43927">
        <w:t>Urinary chloride and potassium were elevated in rats and dogs but only in short-duration studies. These findings are unlikely to be of clinical relevance due to fact that the effects were not consistently observed, and were not accompanied by any histopathological changes to the kidneys.</w:t>
      </w:r>
    </w:p>
    <w:p w:rsidR="00CC0AE6" w:rsidRPr="008130C8" w:rsidRDefault="00CC0AE6" w:rsidP="00784F60">
      <w:pPr>
        <w:pStyle w:val="Heading4"/>
      </w:pPr>
      <w:bookmarkStart w:id="58" w:name="_Toc294861729"/>
      <w:r w:rsidRPr="008130C8">
        <w:t>Genotoxicity</w:t>
      </w:r>
      <w:bookmarkEnd w:id="58"/>
    </w:p>
    <w:p w:rsidR="00CC0AE6" w:rsidRPr="008130C8" w:rsidRDefault="00CC0AE6" w:rsidP="00E43927">
      <w:r w:rsidRPr="008130C8">
        <w:t>The genotoxicity of migalastat was investigated in a bacterial mutation assay (up to 5000</w:t>
      </w:r>
      <w:r w:rsidR="003A280C">
        <w:t> </w:t>
      </w:r>
      <w:r w:rsidRPr="008130C8">
        <w:t xml:space="preserve">µg/plate), an </w:t>
      </w:r>
      <w:r w:rsidRPr="006A6B32">
        <w:t>in vitro</w:t>
      </w:r>
      <w:r w:rsidRPr="008130C8">
        <w:t xml:space="preserve"> forward mutation test (in mouse lymphocytes, up to 5000</w:t>
      </w:r>
      <w:r w:rsidR="003A280C">
        <w:t> </w:t>
      </w:r>
      <w:r w:rsidRPr="008130C8">
        <w:t>µg/mL) and in rat micronucleus test (up to 2000 mg/kg/day). The studies were compliant with the recommended guidelines and the tested concentrations were appropriate. Migalastat was not genotoxic when tested up to the limit doses in the above studies.</w:t>
      </w:r>
    </w:p>
    <w:p w:rsidR="00CC0AE6" w:rsidRPr="008130C8" w:rsidRDefault="00CC0AE6" w:rsidP="00784F60">
      <w:pPr>
        <w:pStyle w:val="Heading4"/>
      </w:pPr>
      <w:bookmarkStart w:id="59" w:name="_Toc294861730"/>
      <w:r w:rsidRPr="008130C8">
        <w:t>Carcinogenicity</w:t>
      </w:r>
      <w:bookmarkEnd w:id="59"/>
    </w:p>
    <w:p w:rsidR="00CD308A" w:rsidRDefault="00CC0AE6" w:rsidP="00E43927">
      <w:r w:rsidRPr="008130C8">
        <w:t xml:space="preserve">The carcinogenic potential of migalastat was assessed in a 6 month transgenic Tg.rasH2 mouse study and in a 2 year rat study. Administration was by the clinical route (oral) in both studies.  The design of the studies was consistent with relevant ICH/EU guidelines </w:t>
      </w:r>
      <w:r w:rsidRPr="008130C8">
        <w:lastRenderedPageBreak/>
        <w:t>(CPMP/ICH/140/95 [ICH S1A];</w:t>
      </w:r>
      <w:r w:rsidR="00E15204">
        <w:rPr>
          <w:rStyle w:val="FootnoteReference"/>
        </w:rPr>
        <w:footnoteReference w:id="8"/>
      </w:r>
      <w:r w:rsidRPr="008130C8">
        <w:t xml:space="preserve"> CPMP/SWP/2877/00):</w:t>
      </w:r>
      <w:r w:rsidR="00E15204">
        <w:rPr>
          <w:rStyle w:val="FootnoteReference"/>
        </w:rPr>
        <w:footnoteReference w:id="9"/>
      </w:r>
      <w:r w:rsidRPr="008130C8">
        <w:t xml:space="preserve"> the group sizes used (25/sex and 50/sex in the mouse and rat studies, respectively) and duration of dosing (26 weeks and 2 years in the mouse and rat studies, respectively) </w:t>
      </w:r>
      <w:proofErr w:type="gramStart"/>
      <w:r w:rsidRPr="008130C8">
        <w:t>were</w:t>
      </w:r>
      <w:proofErr w:type="gramEnd"/>
      <w:r w:rsidRPr="008130C8">
        <w:t xml:space="preserve"> appropriate. A concurrent positive control group (urethane-treated) was included in the transgenic mouse study and the expected increased incidence in neoplastic findings was observed, confirming the validity of the study</w:t>
      </w:r>
      <w:r w:rsidR="00CD308A">
        <w:t>.</w:t>
      </w:r>
    </w:p>
    <w:p w:rsidR="00CC0AE6" w:rsidRPr="008130C8" w:rsidRDefault="00CC0AE6" w:rsidP="00E43927">
      <w:r w:rsidRPr="008130C8">
        <w:t>The exposure ratios achieved in the mouse study (</w:t>
      </w:r>
      <w:r>
        <w:t>27</w:t>
      </w:r>
      <w:r w:rsidRPr="008130C8">
        <w:t xml:space="preserve"> and</w:t>
      </w:r>
      <w:r>
        <w:t xml:space="preserve"> 21</w:t>
      </w:r>
      <w:r w:rsidRPr="008130C8">
        <w:t xml:space="preserve"> for HD males and females, respectively) were adequate (human AUC values were from population PK values from </w:t>
      </w:r>
      <w:r w:rsidR="003A280C">
        <w:t>S</w:t>
      </w:r>
      <w:r w:rsidRPr="008130C8">
        <w:t xml:space="preserve">tudy MGM 116016). In the 2-year rat study, the high dose was increased from 800 to 1200 mg/kg/day from week 36 to achieve a higher exposure ratio (the 50 and 200 mg/kg/day low- and mid-doses remained unchained). The </w:t>
      </w:r>
      <w:r>
        <w:t>dose adjustment increased the relative exposure from 22 to 39</w:t>
      </w:r>
      <w:r w:rsidR="003A280C">
        <w:t xml:space="preserve"> </w:t>
      </w:r>
      <w:proofErr w:type="gramStart"/>
      <w:r w:rsidR="003A280C">
        <w:t>x</w:t>
      </w:r>
      <w:proofErr w:type="gramEnd"/>
      <w:r>
        <w:t>, thereby achieving a relative exposure &gt;</w:t>
      </w:r>
      <w:r w:rsidR="003A280C">
        <w:t xml:space="preserve"> </w:t>
      </w:r>
      <w:r>
        <w:t>25</w:t>
      </w:r>
      <w:r w:rsidR="003A280C">
        <w:t xml:space="preserve"> x</w:t>
      </w:r>
      <w:r>
        <w:t xml:space="preserve"> expected clinical </w:t>
      </w:r>
      <w:r w:rsidRPr="008130C8">
        <w:t>AU</w:t>
      </w:r>
      <w:r>
        <w:t xml:space="preserve">C values. The high dose is therefore considered adequate as it is consistent with the recommended exposure margins as described in ICH guidance </w:t>
      </w:r>
      <w:proofErr w:type="gramStart"/>
      <w:r>
        <w:t>S1C(</w:t>
      </w:r>
      <w:proofErr w:type="gramEnd"/>
      <w:r>
        <w:t>R2).</w:t>
      </w:r>
      <w:r w:rsidR="00A05C09">
        <w:rPr>
          <w:rStyle w:val="FootnoteReference"/>
        </w:rPr>
        <w:footnoteReference w:id="10"/>
      </w:r>
    </w:p>
    <w:p w:rsidR="00CD308A" w:rsidRDefault="00CC0AE6" w:rsidP="00E43927">
      <w:r w:rsidRPr="008130C8">
        <w:t xml:space="preserve">While the two year rat study ultimately showed no migalastat-related carcinogenicity, a higher incidence of pancreatic islet-cell adenomas was noted in the 800/1200 mg/kg/day male treatment group </w:t>
      </w:r>
      <w:r w:rsidR="003A280C">
        <w:t xml:space="preserve">compared with </w:t>
      </w:r>
      <w:r w:rsidRPr="008130C8">
        <w:t xml:space="preserve">vehicle control males (20% </w:t>
      </w:r>
      <w:r w:rsidR="003A280C" w:rsidRPr="006A6B32">
        <w:t>compared with</w:t>
      </w:r>
      <w:r w:rsidRPr="008130C8">
        <w:t xml:space="preserve"> 6%). The increased incidence of islet-cell adenomas was also statistically significant and above the historical rate for spontaneous occurrences, and was therefore considered test article-related by the initial contract research organisation. However, in the absence of a statistically significant correlation in the trend test for a linear dose-relatedness, the absence of increased islet cell hyperplasia, the absence of increased islet cell carcinomas, or islet cell adenomas and carcinomas combined, and in the absence of accelerated onset of adenomas, the sponsor concluded the increase in islet-cell adenomas to be incidental. This conclusion is plausible given the absence of increased islet-cell adenomas in female treatment groups, the absence of histological differences in adenomas across all the male treatment groups, and the absence of macro- or microscopic findings</w:t>
      </w:r>
      <w:r w:rsidR="00CD308A">
        <w:t>.</w:t>
      </w:r>
    </w:p>
    <w:p w:rsidR="00CC0AE6" w:rsidRPr="008130C8" w:rsidRDefault="00CC0AE6" w:rsidP="00E43927">
      <w:r w:rsidRPr="008130C8">
        <w:t xml:space="preserve">The 26-week mouse carcinogenicity study used 100, 300 and 1000 mg/kg/day doses of migalastat </w:t>
      </w:r>
      <w:r>
        <w:t>in males, and 50, 150 and 500 mg/kg/day in females (RE of ≤</w:t>
      </w:r>
      <w:r w:rsidR="003A280C">
        <w:t> </w:t>
      </w:r>
      <w:r>
        <w:t>27 in males and ≤</w:t>
      </w:r>
      <w:r w:rsidR="003A280C">
        <w:t> </w:t>
      </w:r>
      <w:r>
        <w:t>21 in females). Some</w:t>
      </w:r>
      <w:r w:rsidRPr="008130C8">
        <w:t xml:space="preserve"> mic</w:t>
      </w:r>
      <w:r>
        <w:t xml:space="preserve">roscopic pre-neoplastic changes were observed. However, </w:t>
      </w:r>
      <w:r w:rsidRPr="008130C8">
        <w:t>the incidence was low</w:t>
      </w:r>
      <w:r>
        <w:t>, not dose-related</w:t>
      </w:r>
      <w:r w:rsidRPr="008130C8">
        <w:t xml:space="preserve"> and did not reach statistical significance. </w:t>
      </w:r>
      <w:r>
        <w:t>In addition, the observed changes were generally consistent with background lesions commonly reported in this transgenic mouse strain.</w:t>
      </w:r>
      <w:r>
        <w:rPr>
          <w:rStyle w:val="FootnoteReference"/>
          <w:kern w:val="2"/>
          <w:szCs w:val="20"/>
        </w:rPr>
        <w:footnoteReference w:id="11"/>
      </w:r>
      <w:r>
        <w:t xml:space="preserve"> </w:t>
      </w:r>
      <w:r w:rsidRPr="008130C8">
        <w:t>No increases in islet cell adenomas were observed in the mouse study.</w:t>
      </w:r>
    </w:p>
    <w:p w:rsidR="00CD308A" w:rsidRDefault="00CC0AE6" w:rsidP="00E43927">
      <w:r w:rsidRPr="008130C8">
        <w:t>Taken together, the two carcinogenicity studies indicate that migalastat is unlikely to be carcinogenic at up to 21 and 39 times the clinical exposures, in mouse and rat respectively.</w:t>
      </w:r>
    </w:p>
    <w:p w:rsidR="00CC0AE6" w:rsidRPr="008130C8" w:rsidRDefault="00CC0AE6" w:rsidP="00784F60">
      <w:pPr>
        <w:pStyle w:val="Heading4"/>
      </w:pPr>
      <w:r w:rsidRPr="008130C8">
        <w:t>Reproductive toxicity</w:t>
      </w:r>
    </w:p>
    <w:p w:rsidR="00CC0AE6" w:rsidRPr="008130C8" w:rsidRDefault="00CC0AE6" w:rsidP="00E43927">
      <w:r w:rsidRPr="008130C8">
        <w:t xml:space="preserve">Seven reproductive toxicity studies encompassing </w:t>
      </w:r>
      <w:proofErr w:type="gramStart"/>
      <w:r>
        <w:t>three</w:t>
      </w:r>
      <w:r w:rsidRPr="008130C8">
        <w:t xml:space="preserve"> fertility (rat),</w:t>
      </w:r>
      <w:proofErr w:type="gramEnd"/>
      <w:r w:rsidRPr="008130C8">
        <w:t xml:space="preserve"> </w:t>
      </w:r>
      <w:r>
        <w:t>three</w:t>
      </w:r>
      <w:r w:rsidRPr="008130C8">
        <w:t xml:space="preserve"> embryofetal development (rat and rabbit) and </w:t>
      </w:r>
      <w:r>
        <w:t>one</w:t>
      </w:r>
      <w:r w:rsidRPr="008130C8">
        <w:t xml:space="preserve"> postnatal development study (rat) were submitted. All </w:t>
      </w:r>
      <w:r>
        <w:t xml:space="preserve">pivotal </w:t>
      </w:r>
      <w:r w:rsidRPr="008130C8">
        <w:t>studies were GLP compliant, conducted in accordance with the relevant ICH guidelines, included appropriate test group sizes, and initiated test article administration at appropriate time points and for appropriate duration.</w:t>
      </w:r>
    </w:p>
    <w:p w:rsidR="00CC0AE6" w:rsidRDefault="00CC0AE6" w:rsidP="00784F60">
      <w:pPr>
        <w:pStyle w:val="Heading5"/>
      </w:pPr>
      <w:r w:rsidRPr="008130C8">
        <w:t>Relative exposure</w:t>
      </w:r>
    </w:p>
    <w:p w:rsidR="00870B34" w:rsidRPr="00870B34" w:rsidRDefault="00870B34" w:rsidP="00870B34">
      <w:r>
        <w:t>See Table 2.</w:t>
      </w:r>
    </w:p>
    <w:p w:rsidR="00CC0AE6" w:rsidRPr="00870B34" w:rsidRDefault="006D7C3C" w:rsidP="00870B34">
      <w:pPr>
        <w:pStyle w:val="TableTitle"/>
      </w:pPr>
      <w:r w:rsidRPr="00870B34">
        <w:lastRenderedPageBreak/>
        <w:t xml:space="preserve">Table 2: </w:t>
      </w:r>
      <w:r w:rsidR="00CC0AE6" w:rsidRPr="00870B34">
        <w:t>Relative exposure in reproductive toxicity studies</w:t>
      </w:r>
    </w:p>
    <w:tbl>
      <w:tblPr>
        <w:tblStyle w:val="TableTGAblue"/>
        <w:tblW w:w="8419" w:type="dxa"/>
        <w:tblLayout w:type="fixed"/>
        <w:tblLook w:val="01E0" w:firstRow="1" w:lastRow="1" w:firstColumn="1" w:lastColumn="1" w:noHBand="0" w:noVBand="0"/>
      </w:tblPr>
      <w:tblGrid>
        <w:gridCol w:w="1242"/>
        <w:gridCol w:w="1678"/>
        <w:gridCol w:w="1833"/>
        <w:gridCol w:w="1833"/>
        <w:gridCol w:w="1833"/>
      </w:tblGrid>
      <w:tr w:rsidR="00CC0AE6" w:rsidRPr="00CD308A" w:rsidTr="00F5175D">
        <w:trPr>
          <w:cnfStyle w:val="100000000000" w:firstRow="1" w:lastRow="0" w:firstColumn="0" w:lastColumn="0" w:oddVBand="0" w:evenVBand="0" w:oddHBand="0" w:evenHBand="0" w:firstRowFirstColumn="0" w:firstRowLastColumn="0" w:lastRowFirstColumn="0" w:lastRowLastColumn="0"/>
          <w:cantSplit/>
        </w:trPr>
        <w:tc>
          <w:tcPr>
            <w:tcW w:w="1242" w:type="dxa"/>
          </w:tcPr>
          <w:p w:rsidR="00CC0AE6" w:rsidRPr="00CD308A" w:rsidRDefault="00CC0AE6" w:rsidP="00CD308A">
            <w:pPr>
              <w:rPr>
                <w:sz w:val="20"/>
                <w:szCs w:val="20"/>
              </w:rPr>
            </w:pPr>
            <w:r w:rsidRPr="00CD308A">
              <w:rPr>
                <w:sz w:val="20"/>
                <w:szCs w:val="20"/>
              </w:rPr>
              <w:t>Species</w:t>
            </w:r>
          </w:p>
        </w:tc>
        <w:tc>
          <w:tcPr>
            <w:tcW w:w="1678" w:type="dxa"/>
          </w:tcPr>
          <w:p w:rsidR="00CC0AE6" w:rsidRPr="00CD308A" w:rsidRDefault="00CC0AE6" w:rsidP="00CD308A">
            <w:pPr>
              <w:rPr>
                <w:sz w:val="20"/>
                <w:szCs w:val="20"/>
              </w:rPr>
            </w:pPr>
            <w:r w:rsidRPr="00CD308A">
              <w:rPr>
                <w:sz w:val="20"/>
                <w:szCs w:val="20"/>
              </w:rPr>
              <w:t>Study</w:t>
            </w:r>
            <w:r w:rsidR="00CD308A">
              <w:rPr>
                <w:sz w:val="20"/>
                <w:szCs w:val="20"/>
              </w:rPr>
              <w:t xml:space="preserve"> </w:t>
            </w:r>
            <w:r w:rsidRPr="00CD308A">
              <w:rPr>
                <w:sz w:val="20"/>
                <w:szCs w:val="20"/>
              </w:rPr>
              <w:t>[Study no.]</w:t>
            </w:r>
          </w:p>
        </w:tc>
        <w:tc>
          <w:tcPr>
            <w:tcW w:w="1833" w:type="dxa"/>
          </w:tcPr>
          <w:p w:rsidR="00CC0AE6" w:rsidRPr="00CD308A" w:rsidRDefault="00CC0AE6" w:rsidP="00CD308A">
            <w:pPr>
              <w:rPr>
                <w:sz w:val="20"/>
                <w:szCs w:val="20"/>
              </w:rPr>
            </w:pPr>
            <w:r w:rsidRPr="00CD308A">
              <w:rPr>
                <w:sz w:val="20"/>
                <w:szCs w:val="20"/>
              </w:rPr>
              <w:t>Dose</w:t>
            </w:r>
            <w:r w:rsidR="00CD308A">
              <w:rPr>
                <w:sz w:val="20"/>
                <w:szCs w:val="20"/>
              </w:rPr>
              <w:t xml:space="preserve"> </w:t>
            </w:r>
            <w:r w:rsidRPr="00CD308A">
              <w:rPr>
                <w:sz w:val="20"/>
                <w:szCs w:val="20"/>
              </w:rPr>
              <w:t>(mg/kg/day)</w:t>
            </w:r>
          </w:p>
        </w:tc>
        <w:tc>
          <w:tcPr>
            <w:tcW w:w="1833" w:type="dxa"/>
          </w:tcPr>
          <w:p w:rsidR="00CC0AE6" w:rsidRPr="00CD308A" w:rsidRDefault="00CC0AE6" w:rsidP="00CD308A">
            <w:pPr>
              <w:rPr>
                <w:sz w:val="20"/>
                <w:szCs w:val="20"/>
              </w:rPr>
            </w:pPr>
            <w:r w:rsidRPr="00CD308A">
              <w:rPr>
                <w:sz w:val="20"/>
                <w:szCs w:val="20"/>
              </w:rPr>
              <w:t>AUC</w:t>
            </w:r>
            <w:r w:rsidRPr="00CD308A">
              <w:rPr>
                <w:sz w:val="20"/>
                <w:szCs w:val="20"/>
                <w:vertAlign w:val="subscript"/>
              </w:rPr>
              <w:t>0–24</w:t>
            </w:r>
            <w:r w:rsidRPr="00CD308A">
              <w:rPr>
                <w:w w:val="50"/>
                <w:sz w:val="20"/>
                <w:szCs w:val="20"/>
                <w:vertAlign w:val="subscript"/>
              </w:rPr>
              <w:t> </w:t>
            </w:r>
            <w:r w:rsidRPr="00CD308A">
              <w:rPr>
                <w:sz w:val="20"/>
                <w:szCs w:val="20"/>
                <w:vertAlign w:val="subscript"/>
              </w:rPr>
              <w:t>h</w:t>
            </w:r>
            <w:r w:rsidR="00CD308A">
              <w:rPr>
                <w:sz w:val="20"/>
                <w:szCs w:val="20"/>
                <w:vertAlign w:val="subscript"/>
              </w:rPr>
              <w:t xml:space="preserve"> </w:t>
            </w:r>
            <w:r w:rsidRPr="00CD308A">
              <w:rPr>
                <w:sz w:val="20"/>
                <w:szCs w:val="20"/>
              </w:rPr>
              <w:t>(ng∙h/mL)</w:t>
            </w:r>
          </w:p>
        </w:tc>
        <w:tc>
          <w:tcPr>
            <w:tcW w:w="1833" w:type="dxa"/>
          </w:tcPr>
          <w:p w:rsidR="00CC0AE6" w:rsidRPr="00CD308A" w:rsidRDefault="00CC0AE6" w:rsidP="00CD308A">
            <w:pPr>
              <w:rPr>
                <w:sz w:val="20"/>
                <w:szCs w:val="20"/>
              </w:rPr>
            </w:pPr>
            <w:r w:rsidRPr="00CD308A">
              <w:rPr>
                <w:sz w:val="20"/>
                <w:szCs w:val="20"/>
              </w:rPr>
              <w:t>Exposure ratio</w:t>
            </w:r>
            <w:r w:rsidRPr="00CD308A">
              <w:rPr>
                <w:sz w:val="20"/>
                <w:szCs w:val="20"/>
                <w:vertAlign w:val="superscript"/>
              </w:rPr>
              <w:t>#</w:t>
            </w:r>
          </w:p>
        </w:tc>
      </w:tr>
      <w:tr w:rsidR="00CC0AE6" w:rsidRPr="00CD308A" w:rsidTr="00F5175D">
        <w:trPr>
          <w:trHeight w:val="227"/>
        </w:trPr>
        <w:tc>
          <w:tcPr>
            <w:tcW w:w="1242" w:type="dxa"/>
            <w:vMerge w:val="restart"/>
          </w:tcPr>
          <w:p w:rsidR="00CC0AE6" w:rsidRPr="00CD308A" w:rsidRDefault="00CC0AE6" w:rsidP="00F5175D">
            <w:pPr>
              <w:rPr>
                <w:kern w:val="2"/>
                <w:sz w:val="20"/>
                <w:szCs w:val="20"/>
              </w:rPr>
            </w:pPr>
            <w:r w:rsidRPr="00CD308A">
              <w:rPr>
                <w:kern w:val="2"/>
                <w:sz w:val="20"/>
                <w:szCs w:val="20"/>
              </w:rPr>
              <w:t>Rat</w:t>
            </w:r>
            <w:r w:rsidR="00F5175D">
              <w:rPr>
                <w:kern w:val="2"/>
                <w:sz w:val="20"/>
                <w:szCs w:val="20"/>
              </w:rPr>
              <w:t xml:space="preserve"> </w:t>
            </w:r>
            <w:r w:rsidRPr="00CD308A">
              <w:rPr>
                <w:kern w:val="2"/>
                <w:sz w:val="20"/>
                <w:szCs w:val="20"/>
              </w:rPr>
              <w:t>(SD)</w:t>
            </w:r>
          </w:p>
        </w:tc>
        <w:tc>
          <w:tcPr>
            <w:tcW w:w="1678" w:type="dxa"/>
            <w:vMerge w:val="restart"/>
          </w:tcPr>
          <w:p w:rsidR="00CC0AE6" w:rsidRPr="00CD308A" w:rsidRDefault="00CC0AE6" w:rsidP="00F5175D">
            <w:pPr>
              <w:rPr>
                <w:kern w:val="2"/>
                <w:sz w:val="20"/>
                <w:szCs w:val="20"/>
              </w:rPr>
            </w:pPr>
            <w:r w:rsidRPr="00CD308A">
              <w:rPr>
                <w:kern w:val="2"/>
                <w:sz w:val="20"/>
                <w:szCs w:val="20"/>
              </w:rPr>
              <w:t>Male fertility</w:t>
            </w:r>
            <w:r w:rsidR="00F5175D">
              <w:rPr>
                <w:kern w:val="2"/>
                <w:sz w:val="20"/>
                <w:szCs w:val="20"/>
              </w:rPr>
              <w:t xml:space="preserve"> </w:t>
            </w:r>
            <w:r w:rsidRPr="00CD308A">
              <w:rPr>
                <w:kern w:val="2"/>
                <w:sz w:val="20"/>
                <w:szCs w:val="20"/>
              </w:rPr>
              <w:t>[Study AA31159]</w:t>
            </w:r>
          </w:p>
        </w:tc>
        <w:tc>
          <w:tcPr>
            <w:tcW w:w="1833" w:type="dxa"/>
          </w:tcPr>
          <w:p w:rsidR="00CC0AE6" w:rsidRPr="00CD308A" w:rsidRDefault="00CC0AE6" w:rsidP="00CD308A">
            <w:pPr>
              <w:rPr>
                <w:sz w:val="20"/>
                <w:szCs w:val="20"/>
              </w:rPr>
            </w:pPr>
            <w:r w:rsidRPr="00CD308A">
              <w:rPr>
                <w:sz w:val="20"/>
                <w:szCs w:val="20"/>
              </w:rPr>
              <w:t>2.5</w:t>
            </w:r>
          </w:p>
        </w:tc>
        <w:tc>
          <w:tcPr>
            <w:tcW w:w="1833" w:type="dxa"/>
          </w:tcPr>
          <w:p w:rsidR="00CC0AE6" w:rsidRPr="00CD308A" w:rsidRDefault="00CC0AE6" w:rsidP="00CD308A">
            <w:pPr>
              <w:rPr>
                <w:sz w:val="20"/>
                <w:szCs w:val="20"/>
              </w:rPr>
            </w:pPr>
            <w:r w:rsidRPr="00CD308A">
              <w:rPr>
                <w:sz w:val="20"/>
                <w:szCs w:val="20"/>
              </w:rPr>
              <w:t>736</w:t>
            </w:r>
          </w:p>
        </w:tc>
        <w:tc>
          <w:tcPr>
            <w:tcW w:w="1833" w:type="dxa"/>
          </w:tcPr>
          <w:p w:rsidR="00CC0AE6" w:rsidRPr="00CD308A" w:rsidRDefault="00CC0AE6" w:rsidP="00CD308A">
            <w:pPr>
              <w:rPr>
                <w:kern w:val="2"/>
                <w:sz w:val="20"/>
                <w:szCs w:val="20"/>
              </w:rPr>
            </w:pPr>
            <w:r w:rsidRPr="00CD308A">
              <w:rPr>
                <w:kern w:val="2"/>
                <w:sz w:val="20"/>
                <w:szCs w:val="20"/>
              </w:rPr>
              <w:t>0.2</w:t>
            </w:r>
          </w:p>
        </w:tc>
      </w:tr>
      <w:tr w:rsidR="00CC0AE6" w:rsidRPr="00CD308A" w:rsidTr="00F5175D">
        <w:trPr>
          <w:trHeight w:val="227"/>
        </w:trPr>
        <w:tc>
          <w:tcPr>
            <w:tcW w:w="1242" w:type="dxa"/>
            <w:vMerge/>
          </w:tcPr>
          <w:p w:rsidR="00CC0AE6" w:rsidRPr="00CD308A" w:rsidRDefault="00CC0AE6" w:rsidP="00CD308A">
            <w:pPr>
              <w:rPr>
                <w:kern w:val="2"/>
                <w:sz w:val="20"/>
                <w:szCs w:val="20"/>
              </w:rPr>
            </w:pPr>
          </w:p>
        </w:tc>
        <w:tc>
          <w:tcPr>
            <w:tcW w:w="1678" w:type="dxa"/>
            <w:vMerge/>
          </w:tcPr>
          <w:p w:rsidR="00CC0AE6" w:rsidRPr="00CD308A" w:rsidRDefault="00CC0AE6" w:rsidP="00CD308A">
            <w:pPr>
              <w:rPr>
                <w:kern w:val="2"/>
                <w:sz w:val="20"/>
                <w:szCs w:val="20"/>
              </w:rPr>
            </w:pPr>
          </w:p>
        </w:tc>
        <w:tc>
          <w:tcPr>
            <w:tcW w:w="1833" w:type="dxa"/>
          </w:tcPr>
          <w:p w:rsidR="00CC0AE6" w:rsidRPr="00CD308A" w:rsidRDefault="00CC0AE6" w:rsidP="00CD308A">
            <w:pPr>
              <w:rPr>
                <w:sz w:val="20"/>
                <w:szCs w:val="20"/>
              </w:rPr>
            </w:pPr>
            <w:r w:rsidRPr="00CD308A">
              <w:rPr>
                <w:sz w:val="20"/>
                <w:szCs w:val="20"/>
              </w:rPr>
              <w:t>10</w:t>
            </w:r>
          </w:p>
        </w:tc>
        <w:tc>
          <w:tcPr>
            <w:tcW w:w="1833" w:type="dxa"/>
          </w:tcPr>
          <w:p w:rsidR="00CC0AE6" w:rsidRPr="00CD308A" w:rsidRDefault="00CC0AE6" w:rsidP="00CD308A">
            <w:pPr>
              <w:rPr>
                <w:sz w:val="20"/>
                <w:szCs w:val="20"/>
              </w:rPr>
            </w:pPr>
            <w:r w:rsidRPr="00CD308A">
              <w:rPr>
                <w:sz w:val="20"/>
                <w:szCs w:val="20"/>
              </w:rPr>
              <w:t>2030</w:t>
            </w:r>
          </w:p>
        </w:tc>
        <w:tc>
          <w:tcPr>
            <w:tcW w:w="1833" w:type="dxa"/>
          </w:tcPr>
          <w:p w:rsidR="00CC0AE6" w:rsidRPr="00CD308A" w:rsidRDefault="00CC0AE6" w:rsidP="00CD308A">
            <w:pPr>
              <w:rPr>
                <w:kern w:val="2"/>
                <w:sz w:val="20"/>
                <w:szCs w:val="20"/>
              </w:rPr>
            </w:pPr>
            <w:r w:rsidRPr="00CD308A">
              <w:rPr>
                <w:kern w:val="2"/>
                <w:sz w:val="20"/>
                <w:szCs w:val="20"/>
              </w:rPr>
              <w:t>0.4</w:t>
            </w:r>
          </w:p>
        </w:tc>
      </w:tr>
      <w:tr w:rsidR="00CC0AE6" w:rsidRPr="00CD308A" w:rsidTr="00F5175D">
        <w:trPr>
          <w:trHeight w:val="227"/>
        </w:trPr>
        <w:tc>
          <w:tcPr>
            <w:tcW w:w="1242" w:type="dxa"/>
            <w:vMerge/>
          </w:tcPr>
          <w:p w:rsidR="00CC0AE6" w:rsidRPr="00CD308A" w:rsidRDefault="00CC0AE6" w:rsidP="00CD308A">
            <w:pPr>
              <w:rPr>
                <w:kern w:val="2"/>
                <w:sz w:val="20"/>
                <w:szCs w:val="20"/>
              </w:rPr>
            </w:pPr>
          </w:p>
        </w:tc>
        <w:tc>
          <w:tcPr>
            <w:tcW w:w="1678" w:type="dxa"/>
            <w:vMerge/>
          </w:tcPr>
          <w:p w:rsidR="00CC0AE6" w:rsidRPr="00CD308A" w:rsidRDefault="00CC0AE6" w:rsidP="00CD308A">
            <w:pPr>
              <w:rPr>
                <w:kern w:val="2"/>
                <w:sz w:val="20"/>
                <w:szCs w:val="20"/>
              </w:rPr>
            </w:pPr>
          </w:p>
        </w:tc>
        <w:tc>
          <w:tcPr>
            <w:tcW w:w="1833" w:type="dxa"/>
          </w:tcPr>
          <w:p w:rsidR="00CC0AE6" w:rsidRPr="00CD308A" w:rsidRDefault="00CC0AE6" w:rsidP="00CD308A">
            <w:pPr>
              <w:rPr>
                <w:sz w:val="20"/>
                <w:szCs w:val="20"/>
              </w:rPr>
            </w:pPr>
            <w:r w:rsidRPr="00CD308A">
              <w:rPr>
                <w:sz w:val="20"/>
                <w:szCs w:val="20"/>
              </w:rPr>
              <w:t>25</w:t>
            </w:r>
          </w:p>
        </w:tc>
        <w:tc>
          <w:tcPr>
            <w:tcW w:w="1833" w:type="dxa"/>
          </w:tcPr>
          <w:p w:rsidR="00CC0AE6" w:rsidRPr="00CD308A" w:rsidRDefault="00CC0AE6" w:rsidP="00CD308A">
            <w:pPr>
              <w:rPr>
                <w:sz w:val="20"/>
                <w:szCs w:val="20"/>
              </w:rPr>
            </w:pPr>
            <w:r w:rsidRPr="00CD308A">
              <w:rPr>
                <w:sz w:val="20"/>
                <w:szCs w:val="20"/>
              </w:rPr>
              <w:t>6663</w:t>
            </w:r>
          </w:p>
        </w:tc>
        <w:tc>
          <w:tcPr>
            <w:tcW w:w="1833" w:type="dxa"/>
          </w:tcPr>
          <w:p w:rsidR="00CC0AE6" w:rsidRPr="00CD308A" w:rsidRDefault="00CC0AE6" w:rsidP="00CD308A">
            <w:pPr>
              <w:rPr>
                <w:kern w:val="2"/>
                <w:sz w:val="20"/>
                <w:szCs w:val="20"/>
              </w:rPr>
            </w:pPr>
            <w:r w:rsidRPr="00CD308A">
              <w:rPr>
                <w:kern w:val="2"/>
                <w:sz w:val="20"/>
                <w:szCs w:val="20"/>
              </w:rPr>
              <w:t>1.5</w:t>
            </w:r>
          </w:p>
        </w:tc>
      </w:tr>
      <w:tr w:rsidR="00CC0AE6" w:rsidRPr="00CD308A" w:rsidTr="00F5175D">
        <w:trPr>
          <w:trHeight w:val="227"/>
        </w:trPr>
        <w:tc>
          <w:tcPr>
            <w:tcW w:w="1242" w:type="dxa"/>
            <w:vMerge w:val="restart"/>
          </w:tcPr>
          <w:p w:rsidR="00CC0AE6" w:rsidRPr="00CD308A" w:rsidRDefault="00CC0AE6" w:rsidP="00F5175D">
            <w:pPr>
              <w:rPr>
                <w:kern w:val="2"/>
                <w:sz w:val="20"/>
                <w:szCs w:val="20"/>
              </w:rPr>
            </w:pPr>
            <w:r w:rsidRPr="00CD308A">
              <w:rPr>
                <w:kern w:val="2"/>
                <w:sz w:val="20"/>
                <w:szCs w:val="20"/>
              </w:rPr>
              <w:t>Rabbit</w:t>
            </w:r>
            <w:r w:rsidR="00F5175D">
              <w:rPr>
                <w:kern w:val="2"/>
                <w:sz w:val="20"/>
                <w:szCs w:val="20"/>
              </w:rPr>
              <w:t xml:space="preserve"> </w:t>
            </w:r>
            <w:r w:rsidRPr="00CD308A">
              <w:rPr>
                <w:kern w:val="2"/>
                <w:sz w:val="20"/>
                <w:szCs w:val="20"/>
              </w:rPr>
              <w:t>(NZW)</w:t>
            </w:r>
          </w:p>
        </w:tc>
        <w:tc>
          <w:tcPr>
            <w:tcW w:w="1678" w:type="dxa"/>
            <w:vMerge w:val="restart"/>
          </w:tcPr>
          <w:p w:rsidR="00CC0AE6" w:rsidRPr="00CD308A" w:rsidRDefault="00CC0AE6" w:rsidP="00F5175D">
            <w:pPr>
              <w:rPr>
                <w:kern w:val="2"/>
                <w:sz w:val="20"/>
                <w:szCs w:val="20"/>
              </w:rPr>
            </w:pPr>
            <w:r w:rsidRPr="00CD308A">
              <w:rPr>
                <w:kern w:val="2"/>
                <w:sz w:val="20"/>
                <w:szCs w:val="20"/>
              </w:rPr>
              <w:t>Embryofetal development</w:t>
            </w:r>
            <w:r w:rsidR="00F5175D">
              <w:rPr>
                <w:kern w:val="2"/>
                <w:sz w:val="20"/>
                <w:szCs w:val="20"/>
              </w:rPr>
              <w:t xml:space="preserve"> </w:t>
            </w:r>
            <w:r w:rsidRPr="00CD308A">
              <w:rPr>
                <w:kern w:val="2"/>
                <w:sz w:val="20"/>
                <w:szCs w:val="20"/>
              </w:rPr>
              <w:t>[Study AA26552]</w:t>
            </w:r>
          </w:p>
        </w:tc>
        <w:tc>
          <w:tcPr>
            <w:tcW w:w="1833" w:type="dxa"/>
          </w:tcPr>
          <w:p w:rsidR="00CC0AE6" w:rsidRPr="00CD308A" w:rsidRDefault="00CC0AE6" w:rsidP="00CD308A">
            <w:pPr>
              <w:rPr>
                <w:sz w:val="20"/>
                <w:szCs w:val="20"/>
              </w:rPr>
            </w:pPr>
            <w:r w:rsidRPr="00CD308A">
              <w:rPr>
                <w:sz w:val="20"/>
                <w:szCs w:val="20"/>
              </w:rPr>
              <w:t>120</w:t>
            </w:r>
          </w:p>
        </w:tc>
        <w:tc>
          <w:tcPr>
            <w:tcW w:w="1833" w:type="dxa"/>
          </w:tcPr>
          <w:p w:rsidR="00CC0AE6" w:rsidRPr="00CD308A" w:rsidRDefault="00CC0AE6" w:rsidP="00CD308A">
            <w:pPr>
              <w:rPr>
                <w:sz w:val="20"/>
                <w:szCs w:val="20"/>
              </w:rPr>
            </w:pPr>
            <w:r w:rsidRPr="00CD308A">
              <w:rPr>
                <w:sz w:val="20"/>
                <w:szCs w:val="20"/>
              </w:rPr>
              <w:t>334988</w:t>
            </w:r>
          </w:p>
        </w:tc>
        <w:tc>
          <w:tcPr>
            <w:tcW w:w="1833" w:type="dxa"/>
          </w:tcPr>
          <w:p w:rsidR="00CC0AE6" w:rsidRPr="00CD308A" w:rsidRDefault="00CC0AE6" w:rsidP="00CD308A">
            <w:pPr>
              <w:rPr>
                <w:kern w:val="2"/>
                <w:sz w:val="20"/>
                <w:szCs w:val="20"/>
              </w:rPr>
            </w:pPr>
            <w:r w:rsidRPr="00CD308A">
              <w:rPr>
                <w:kern w:val="2"/>
                <w:sz w:val="20"/>
                <w:szCs w:val="20"/>
              </w:rPr>
              <w:t>74</w:t>
            </w:r>
          </w:p>
        </w:tc>
      </w:tr>
      <w:tr w:rsidR="00CC0AE6" w:rsidRPr="00CD308A" w:rsidTr="00F5175D">
        <w:trPr>
          <w:trHeight w:val="227"/>
        </w:trPr>
        <w:tc>
          <w:tcPr>
            <w:tcW w:w="1242" w:type="dxa"/>
            <w:vMerge/>
          </w:tcPr>
          <w:p w:rsidR="00CC0AE6" w:rsidRPr="00CD308A" w:rsidRDefault="00CC0AE6" w:rsidP="00CD308A">
            <w:pPr>
              <w:rPr>
                <w:kern w:val="2"/>
                <w:sz w:val="20"/>
                <w:szCs w:val="20"/>
              </w:rPr>
            </w:pPr>
          </w:p>
        </w:tc>
        <w:tc>
          <w:tcPr>
            <w:tcW w:w="1678" w:type="dxa"/>
            <w:vMerge/>
          </w:tcPr>
          <w:p w:rsidR="00CC0AE6" w:rsidRPr="00CD308A" w:rsidRDefault="00CC0AE6" w:rsidP="00CD308A">
            <w:pPr>
              <w:rPr>
                <w:kern w:val="2"/>
                <w:sz w:val="20"/>
                <w:szCs w:val="20"/>
              </w:rPr>
            </w:pPr>
          </w:p>
        </w:tc>
        <w:tc>
          <w:tcPr>
            <w:tcW w:w="1833" w:type="dxa"/>
          </w:tcPr>
          <w:p w:rsidR="00CC0AE6" w:rsidRPr="00CD308A" w:rsidRDefault="00CC0AE6" w:rsidP="00CD308A">
            <w:pPr>
              <w:rPr>
                <w:sz w:val="20"/>
                <w:szCs w:val="20"/>
              </w:rPr>
            </w:pPr>
            <w:r w:rsidRPr="00CD308A">
              <w:rPr>
                <w:sz w:val="20"/>
                <w:szCs w:val="20"/>
              </w:rPr>
              <w:t>300</w:t>
            </w:r>
          </w:p>
        </w:tc>
        <w:tc>
          <w:tcPr>
            <w:tcW w:w="1833" w:type="dxa"/>
          </w:tcPr>
          <w:p w:rsidR="00CC0AE6" w:rsidRPr="00CD308A" w:rsidRDefault="00CC0AE6" w:rsidP="00CD308A">
            <w:pPr>
              <w:rPr>
                <w:sz w:val="20"/>
                <w:szCs w:val="20"/>
              </w:rPr>
            </w:pPr>
            <w:r w:rsidRPr="00CD308A">
              <w:rPr>
                <w:sz w:val="20"/>
                <w:szCs w:val="20"/>
              </w:rPr>
              <w:t>1101185</w:t>
            </w:r>
          </w:p>
        </w:tc>
        <w:tc>
          <w:tcPr>
            <w:tcW w:w="1833" w:type="dxa"/>
          </w:tcPr>
          <w:p w:rsidR="00CC0AE6" w:rsidRPr="00CD308A" w:rsidRDefault="00CC0AE6" w:rsidP="00CD308A">
            <w:pPr>
              <w:rPr>
                <w:kern w:val="2"/>
                <w:sz w:val="20"/>
                <w:szCs w:val="20"/>
              </w:rPr>
            </w:pPr>
            <w:r w:rsidRPr="00CD308A">
              <w:rPr>
                <w:kern w:val="2"/>
                <w:sz w:val="20"/>
                <w:szCs w:val="20"/>
              </w:rPr>
              <w:t>244</w:t>
            </w:r>
          </w:p>
        </w:tc>
      </w:tr>
      <w:tr w:rsidR="00CC0AE6" w:rsidRPr="00CD308A" w:rsidTr="00F5175D">
        <w:trPr>
          <w:trHeight w:val="227"/>
        </w:trPr>
        <w:tc>
          <w:tcPr>
            <w:tcW w:w="1242" w:type="dxa"/>
            <w:vMerge/>
          </w:tcPr>
          <w:p w:rsidR="00CC0AE6" w:rsidRPr="00CD308A" w:rsidRDefault="00CC0AE6" w:rsidP="00CD308A">
            <w:pPr>
              <w:rPr>
                <w:kern w:val="2"/>
                <w:sz w:val="20"/>
                <w:szCs w:val="20"/>
              </w:rPr>
            </w:pPr>
          </w:p>
        </w:tc>
        <w:tc>
          <w:tcPr>
            <w:tcW w:w="1678" w:type="dxa"/>
            <w:vMerge/>
          </w:tcPr>
          <w:p w:rsidR="00CC0AE6" w:rsidRPr="00CD308A" w:rsidRDefault="00CC0AE6" w:rsidP="00CD308A">
            <w:pPr>
              <w:rPr>
                <w:kern w:val="2"/>
                <w:sz w:val="20"/>
                <w:szCs w:val="20"/>
              </w:rPr>
            </w:pPr>
          </w:p>
        </w:tc>
        <w:tc>
          <w:tcPr>
            <w:tcW w:w="1833" w:type="dxa"/>
          </w:tcPr>
          <w:p w:rsidR="00CC0AE6" w:rsidRPr="00CD308A" w:rsidRDefault="00CC0AE6" w:rsidP="00CD308A">
            <w:pPr>
              <w:rPr>
                <w:sz w:val="20"/>
                <w:szCs w:val="20"/>
              </w:rPr>
            </w:pPr>
            <w:r w:rsidRPr="00CD308A">
              <w:rPr>
                <w:sz w:val="20"/>
                <w:szCs w:val="20"/>
              </w:rPr>
              <w:t>750</w:t>
            </w:r>
          </w:p>
        </w:tc>
        <w:tc>
          <w:tcPr>
            <w:tcW w:w="1833" w:type="dxa"/>
          </w:tcPr>
          <w:p w:rsidR="00CC0AE6" w:rsidRPr="00CD308A" w:rsidRDefault="00CC0AE6" w:rsidP="00CD308A">
            <w:pPr>
              <w:rPr>
                <w:sz w:val="20"/>
                <w:szCs w:val="20"/>
              </w:rPr>
            </w:pPr>
            <w:r w:rsidRPr="00CD308A">
              <w:rPr>
                <w:sz w:val="20"/>
                <w:szCs w:val="20"/>
              </w:rPr>
              <w:t>1962625</w:t>
            </w:r>
          </w:p>
        </w:tc>
        <w:tc>
          <w:tcPr>
            <w:tcW w:w="1833" w:type="dxa"/>
          </w:tcPr>
          <w:p w:rsidR="00CC0AE6" w:rsidRPr="00CD308A" w:rsidRDefault="00CC0AE6" w:rsidP="00CD308A">
            <w:pPr>
              <w:rPr>
                <w:kern w:val="2"/>
                <w:sz w:val="20"/>
                <w:szCs w:val="20"/>
              </w:rPr>
            </w:pPr>
            <w:r w:rsidRPr="00CD308A">
              <w:rPr>
                <w:kern w:val="2"/>
                <w:sz w:val="20"/>
                <w:szCs w:val="20"/>
              </w:rPr>
              <w:t>435</w:t>
            </w:r>
          </w:p>
        </w:tc>
      </w:tr>
      <w:tr w:rsidR="00CC0AE6" w:rsidRPr="00CD308A" w:rsidTr="00F5175D">
        <w:trPr>
          <w:trHeight w:val="227"/>
        </w:trPr>
        <w:tc>
          <w:tcPr>
            <w:tcW w:w="1242" w:type="dxa"/>
          </w:tcPr>
          <w:p w:rsidR="00CC0AE6" w:rsidRPr="00CD308A" w:rsidRDefault="00CC0AE6" w:rsidP="00CD308A">
            <w:pPr>
              <w:rPr>
                <w:kern w:val="2"/>
                <w:sz w:val="20"/>
                <w:szCs w:val="20"/>
              </w:rPr>
            </w:pPr>
            <w:r w:rsidRPr="00CD308A">
              <w:rPr>
                <w:kern w:val="2"/>
                <w:sz w:val="20"/>
                <w:szCs w:val="20"/>
              </w:rPr>
              <w:t>Human (capsule)</w:t>
            </w:r>
          </w:p>
        </w:tc>
        <w:tc>
          <w:tcPr>
            <w:tcW w:w="1678" w:type="dxa"/>
          </w:tcPr>
          <w:p w:rsidR="00CC0AE6" w:rsidRPr="00CD308A" w:rsidRDefault="00CC0AE6" w:rsidP="00CD308A">
            <w:pPr>
              <w:rPr>
                <w:kern w:val="2"/>
                <w:sz w:val="20"/>
                <w:szCs w:val="20"/>
              </w:rPr>
            </w:pPr>
            <w:r w:rsidRPr="00CD308A">
              <w:rPr>
                <w:kern w:val="2"/>
                <w:sz w:val="20"/>
                <w:szCs w:val="20"/>
              </w:rPr>
              <w:t>Predicted PK from AT1001- 011 (MGM 116016)</w:t>
            </w:r>
          </w:p>
        </w:tc>
        <w:tc>
          <w:tcPr>
            <w:tcW w:w="1833" w:type="dxa"/>
          </w:tcPr>
          <w:p w:rsidR="00CC0AE6" w:rsidRPr="00CD308A" w:rsidRDefault="00CC0AE6" w:rsidP="00CD308A">
            <w:pPr>
              <w:rPr>
                <w:kern w:val="2"/>
                <w:sz w:val="20"/>
                <w:szCs w:val="20"/>
              </w:rPr>
            </w:pPr>
            <w:r w:rsidRPr="00CD308A">
              <w:rPr>
                <w:kern w:val="2"/>
                <w:sz w:val="20"/>
                <w:szCs w:val="20"/>
              </w:rPr>
              <w:t>150 mg every other day</w:t>
            </w:r>
          </w:p>
        </w:tc>
        <w:tc>
          <w:tcPr>
            <w:tcW w:w="1833" w:type="dxa"/>
          </w:tcPr>
          <w:p w:rsidR="00CC0AE6" w:rsidRPr="00CD308A" w:rsidRDefault="00CC0AE6" w:rsidP="00CD308A">
            <w:pPr>
              <w:rPr>
                <w:kern w:val="2"/>
                <w:sz w:val="20"/>
                <w:szCs w:val="20"/>
              </w:rPr>
            </w:pPr>
            <w:r w:rsidRPr="00CD308A">
              <w:rPr>
                <w:kern w:val="2"/>
                <w:sz w:val="20"/>
                <w:szCs w:val="20"/>
              </w:rPr>
              <w:t>9,033</w:t>
            </w:r>
          </w:p>
        </w:tc>
        <w:tc>
          <w:tcPr>
            <w:tcW w:w="1833" w:type="dxa"/>
          </w:tcPr>
          <w:p w:rsidR="00CC0AE6" w:rsidRPr="00CD308A" w:rsidRDefault="00CC0AE6" w:rsidP="00CD308A">
            <w:pPr>
              <w:rPr>
                <w:kern w:val="2"/>
                <w:sz w:val="20"/>
                <w:szCs w:val="20"/>
              </w:rPr>
            </w:pPr>
            <w:r w:rsidRPr="00CD308A">
              <w:rPr>
                <w:kern w:val="2"/>
                <w:sz w:val="20"/>
                <w:szCs w:val="20"/>
              </w:rPr>
              <w:t>–</w:t>
            </w:r>
          </w:p>
        </w:tc>
      </w:tr>
    </w:tbl>
    <w:p w:rsidR="00CC0AE6" w:rsidRPr="00A56B24" w:rsidRDefault="00CC0AE6" w:rsidP="006D7C3C">
      <w:pPr>
        <w:pStyle w:val="TableDescription"/>
        <w:rPr>
          <w:sz w:val="18"/>
        </w:rPr>
      </w:pPr>
      <w:r w:rsidRPr="00A56B24">
        <w:rPr>
          <w:sz w:val="18"/>
        </w:rPr>
        <w:t># = animal 2× AUC</w:t>
      </w:r>
      <w:r w:rsidRPr="00A56B24">
        <w:rPr>
          <w:sz w:val="18"/>
          <w:vertAlign w:val="subscript"/>
        </w:rPr>
        <w:t>0‒24h</w:t>
      </w:r>
      <w:r w:rsidRPr="00A56B24">
        <w:rPr>
          <w:sz w:val="18"/>
        </w:rPr>
        <w:t>:1× human AUC</w:t>
      </w:r>
      <w:r w:rsidRPr="00A56B24">
        <w:rPr>
          <w:sz w:val="18"/>
          <w:vertAlign w:val="subscript"/>
        </w:rPr>
        <w:t>0‒48h</w:t>
      </w:r>
      <w:r w:rsidRPr="00A56B24">
        <w:rPr>
          <w:sz w:val="18"/>
        </w:rPr>
        <w:t xml:space="preserve"> </w:t>
      </w:r>
      <w:proofErr w:type="gramStart"/>
      <w:r w:rsidRPr="00A56B24">
        <w:rPr>
          <w:sz w:val="18"/>
        </w:rPr>
        <w:t>( since</w:t>
      </w:r>
      <w:proofErr w:type="gramEnd"/>
      <w:r w:rsidRPr="00A56B24">
        <w:rPr>
          <w:sz w:val="18"/>
        </w:rPr>
        <w:t xml:space="preserve"> the animals were treated daily (AUC</w:t>
      </w:r>
      <w:r w:rsidRPr="00A56B24">
        <w:rPr>
          <w:sz w:val="18"/>
          <w:vertAlign w:val="subscript"/>
        </w:rPr>
        <w:t>0-24</w:t>
      </w:r>
      <w:r w:rsidRPr="00A56B24">
        <w:rPr>
          <w:sz w:val="18"/>
        </w:rPr>
        <w:t>) whereas the clinical dosing regimen is once every other day)</w:t>
      </w:r>
    </w:p>
    <w:p w:rsidR="00CC0AE6" w:rsidRPr="008130C8" w:rsidRDefault="00CC0AE6" w:rsidP="006D7C3C">
      <w:r w:rsidRPr="008130C8">
        <w:t>The pre- and postnatal study indicated placental transfer and secretion into milk in rats, with fetal</w:t>
      </w:r>
      <w:proofErr w:type="gramStart"/>
      <w:r w:rsidRPr="008130C8">
        <w:t>:maternal</w:t>
      </w:r>
      <w:proofErr w:type="gramEnd"/>
      <w:r w:rsidRPr="008130C8">
        <w:t xml:space="preserve"> plasma ratios between 0.1 to 0.8 and milk:plasma ratios between 2.5 and 8.1.</w:t>
      </w:r>
    </w:p>
    <w:p w:rsidR="00CD308A" w:rsidRDefault="00CC0AE6" w:rsidP="006D7C3C">
      <w:r w:rsidRPr="008130C8">
        <w:t>The rat fertility and early development studies demonstrated a significant reduction in fertility of treated males at all doses leading to a presumptive NO</w:t>
      </w:r>
      <w:r>
        <w:t>A</w:t>
      </w:r>
      <w:r w:rsidRPr="008130C8">
        <w:t>EL below 2.5</w:t>
      </w:r>
      <w:r w:rsidR="003A280C">
        <w:t> </w:t>
      </w:r>
      <w:r w:rsidRPr="008130C8">
        <w:t xml:space="preserve">mg/kg/day for male fertility. The decrease in male fertility however did not correlate to changes in sperm counts, morphology, or motility, suggesting a possible effect on mature sperm. The macro- and microscopic findings of male and female reproductive tissue was also unremarkable. The loss of fertility was restored following a 4-week recovery period. </w:t>
      </w:r>
      <w:r>
        <w:t>The fertility index appeared lower w</w:t>
      </w:r>
      <w:r w:rsidRPr="008130C8">
        <w:t xml:space="preserve">hen treated male rats were </w:t>
      </w:r>
      <w:r>
        <w:t xml:space="preserve">mated with treated female rats </w:t>
      </w:r>
      <w:r w:rsidRPr="008130C8">
        <w:t>compared to mating of treated males with untreated females. While this observation is suggestive of a possible additive effect when both sexes were under treatment, the female fertility study revealed no migalastat-related fertility effects at up to 100 mg/kg/day</w:t>
      </w:r>
      <w:r w:rsidR="00CD308A">
        <w:t>.</w:t>
      </w:r>
    </w:p>
    <w:p w:rsidR="00CD308A" w:rsidRDefault="00CC0AE6" w:rsidP="006D7C3C">
      <w:r w:rsidRPr="008130C8">
        <w:t>Decrease</w:t>
      </w:r>
      <w:r>
        <w:t>d</w:t>
      </w:r>
      <w:r w:rsidRPr="008130C8">
        <w:t xml:space="preserve"> male fertility has been associated with miglustat (another imino sugar). Although in the case of migalastat spermatogenesis did not seem to be affected, imino sugars may impair spermatogenesis due to their potential to attenuate the biosynthesis of glucosylceramide-ba</w:t>
      </w:r>
      <w:r w:rsidR="00A05C09">
        <w:t>sed sphingolipids</w:t>
      </w:r>
      <w:r w:rsidRPr="008130C8">
        <w:t>.</w:t>
      </w:r>
      <w:r w:rsidR="00A05C09">
        <w:rPr>
          <w:rStyle w:val="FootnoteReference"/>
        </w:rPr>
        <w:footnoteReference w:id="12"/>
      </w:r>
      <w:r w:rsidRPr="008130C8">
        <w:t xml:space="preserve"> </w:t>
      </w:r>
      <w:r>
        <w:t xml:space="preserve">Impairment of </w:t>
      </w:r>
      <w:r w:rsidRPr="008130C8">
        <w:t xml:space="preserve">fertility, </w:t>
      </w:r>
      <w:r>
        <w:t xml:space="preserve">which may be </w:t>
      </w:r>
      <w:r w:rsidRPr="008130C8">
        <w:t xml:space="preserve">reversible, </w:t>
      </w:r>
      <w:r>
        <w:t>is likely</w:t>
      </w:r>
      <w:r w:rsidRPr="008130C8">
        <w:t xml:space="preserve"> in male patients receiving migalastat</w:t>
      </w:r>
      <w:r>
        <w:t xml:space="preserve"> given that it was observed at subclinical exposures in rats</w:t>
      </w:r>
      <w:r w:rsidR="00CD308A">
        <w:t>.</w:t>
      </w:r>
    </w:p>
    <w:p w:rsidR="00CD308A" w:rsidRDefault="00CC0AE6" w:rsidP="006D7C3C">
      <w:r w:rsidRPr="008130C8">
        <w:t>No migalastat-related embryofetal development issues were reporte</w:t>
      </w:r>
      <w:r>
        <w:t>d up to 1500</w:t>
      </w:r>
      <w:r w:rsidR="003A280C">
        <w:t> </w:t>
      </w:r>
      <w:r>
        <w:t xml:space="preserve">mg/kg/day in rats </w:t>
      </w:r>
      <w:r w:rsidRPr="008130C8">
        <w:t xml:space="preserve">or 120 mg/kg/day in rabbits (74 times clinical exposure). Upon administration of higher doses of 300 and 750 mg/kg/day in rabbits, embryofetal toxicity was observed in </w:t>
      </w:r>
      <w:r>
        <w:t>association with maternal toxicity</w:t>
      </w:r>
      <w:r w:rsidRPr="00244055">
        <w:t xml:space="preserve"> </w:t>
      </w:r>
      <w:r>
        <w:t xml:space="preserve">which manifested as anorexia. There was a dose-related increase in spontaneous abortions, </w:t>
      </w:r>
      <w:r w:rsidRPr="008130C8">
        <w:t>post-implantation loss</w:t>
      </w:r>
      <w:r>
        <w:t>,</w:t>
      </w:r>
      <w:r w:rsidRPr="008130C8">
        <w:t xml:space="preserve"> </w:t>
      </w:r>
      <w:r>
        <w:t xml:space="preserve">mainly as early resorptions, which led to a reduction in the number of live foetuses and also fetal </w:t>
      </w:r>
      <w:r>
        <w:lastRenderedPageBreak/>
        <w:t>weight. These effects were generally significant in the high dose group (RE 435)</w:t>
      </w:r>
      <w:r w:rsidRPr="008130C8">
        <w:t>.</w:t>
      </w:r>
      <w:r>
        <w:t xml:space="preserve"> There were no treatment-related external or skeletal malformation, but there were increased skeletal variations in the mid and high dose groups which exceeded the historical control range. These variations were mainly incomplete or no ossification in the paws, pelvis and/or sternum which is consistent with the observed maternal toxicity. Visceral malformations were observed at low incidence in the mid dose (malformed eye) and high dose (hydrocephaly and absent kidney), with malpositioned kidneys also observed at the high dose</w:t>
      </w:r>
      <w:r w:rsidR="00CD308A">
        <w:t>.</w:t>
      </w:r>
    </w:p>
    <w:p w:rsidR="00CC0AE6" w:rsidRPr="008130C8" w:rsidRDefault="00CC0AE6" w:rsidP="006D7C3C">
      <w:r w:rsidRPr="008130C8">
        <w:t>A rat postnatal study was conducted with migalastat doses of 50, 200 and 1000 mg/kg/day. No pre- or post-natal toxicity was noted in any of the treatment groups.</w:t>
      </w:r>
    </w:p>
    <w:p w:rsidR="008C5B00" w:rsidRDefault="00CC0AE6" w:rsidP="008C5B00">
      <w:pPr>
        <w:pStyle w:val="Heading5"/>
      </w:pPr>
      <w:r w:rsidRPr="008130C8">
        <w:t>Pregnancy classification</w:t>
      </w:r>
    </w:p>
    <w:p w:rsidR="00CC0AE6" w:rsidRPr="008130C8" w:rsidRDefault="00CC0AE6" w:rsidP="008C5B00">
      <w:r w:rsidRPr="008130C8">
        <w:t>The sponsor has proposed Pregnancy Category B3</w:t>
      </w:r>
      <w:r w:rsidR="003A280C">
        <w:t>;</w:t>
      </w:r>
      <w:r w:rsidR="006D7C3C">
        <w:rPr>
          <w:rStyle w:val="FootnoteReference"/>
        </w:rPr>
        <w:footnoteReference w:id="13"/>
      </w:r>
      <w:r w:rsidRPr="008130C8">
        <w:t xml:space="preserve"> which is </w:t>
      </w:r>
      <w:r>
        <w:t>appropriate given the findings in the rabbit embryofetal development study</w:t>
      </w:r>
      <w:r w:rsidRPr="008130C8">
        <w:t>. Furthermore, the s</w:t>
      </w:r>
      <w:r w:rsidR="001B5890">
        <w:t xml:space="preserve">ponsor recommends that </w:t>
      </w:r>
      <w:proofErr w:type="gramStart"/>
      <w:r w:rsidR="001B5890">
        <w:t>Galafold</w:t>
      </w:r>
      <w:proofErr w:type="gramEnd"/>
      <w:r w:rsidRPr="008130C8">
        <w:t xml:space="preserve"> not </w:t>
      </w:r>
      <w:r>
        <w:t xml:space="preserve">be used </w:t>
      </w:r>
      <w:r w:rsidRPr="008130C8">
        <w:t>during pregnancy.</w:t>
      </w:r>
    </w:p>
    <w:p w:rsidR="00CD308A" w:rsidRDefault="00CC0AE6" w:rsidP="00784F60">
      <w:pPr>
        <w:pStyle w:val="Heading4"/>
      </w:pPr>
      <w:r w:rsidRPr="008130C8">
        <w:t>Phototoxicity</w:t>
      </w:r>
    </w:p>
    <w:p w:rsidR="00CC0AE6" w:rsidRPr="00EB69F1" w:rsidRDefault="00CC0AE6" w:rsidP="001B5890">
      <w:r w:rsidRPr="008130C8">
        <w:t>Phototoxicity studies were not conducted using migalastat. This is acceptable since the drug had a molar extinction coefficient of &lt;1000 L∙mol</w:t>
      </w:r>
      <w:r w:rsidRPr="008130C8">
        <w:rPr>
          <w:vertAlign w:val="superscript"/>
        </w:rPr>
        <w:t>-1</w:t>
      </w:r>
      <w:r w:rsidRPr="008130C8">
        <w:t>cm</w:t>
      </w:r>
      <w:r w:rsidRPr="008130C8">
        <w:rPr>
          <w:vertAlign w:val="superscript"/>
        </w:rPr>
        <w:t>-1</w:t>
      </w:r>
      <w:r w:rsidRPr="008130C8">
        <w:t>, which indicate that it is unlikely to be photoreactive.</w:t>
      </w:r>
    </w:p>
    <w:p w:rsidR="00CC0AE6" w:rsidRPr="006B6085" w:rsidRDefault="00CC0AE6" w:rsidP="00784F60">
      <w:pPr>
        <w:pStyle w:val="Heading4"/>
      </w:pPr>
      <w:r w:rsidRPr="006B6085">
        <w:t>Impurities</w:t>
      </w:r>
    </w:p>
    <w:p w:rsidR="00CC0AE6" w:rsidRPr="006B6085" w:rsidRDefault="00CC0AE6" w:rsidP="00CC0AE6">
      <w:pPr>
        <w:pStyle w:val="Standard"/>
        <w:spacing w:after="0"/>
        <w:rPr>
          <w:sz w:val="6"/>
          <w:szCs w:val="6"/>
        </w:rPr>
      </w:pPr>
    </w:p>
    <w:p w:rsidR="00CD308A" w:rsidRDefault="00CC0AE6" w:rsidP="00784F60">
      <w:r w:rsidRPr="006B6085">
        <w:t>The proposed specifications for impurities/degradants in the drug substance/product are below the ICH qualification thresholds</w:t>
      </w:r>
      <w:r w:rsidR="00CD308A">
        <w:t>.</w:t>
      </w:r>
    </w:p>
    <w:p w:rsidR="00CC0AE6" w:rsidRPr="008130C8" w:rsidRDefault="00CC0AE6" w:rsidP="00784F60">
      <w:pPr>
        <w:pStyle w:val="Heading4"/>
      </w:pPr>
      <w:r w:rsidRPr="008130C8">
        <w:t>Paediatric use</w:t>
      </w:r>
    </w:p>
    <w:p w:rsidR="00CD308A" w:rsidRDefault="00784F60" w:rsidP="00784F60">
      <w:r>
        <w:t>Galafold</w:t>
      </w:r>
      <w:r w:rsidR="00CC0AE6" w:rsidRPr="008130C8">
        <w:t xml:space="preserve"> is indicated for long-term treatment of adult and adolescent patients 16 years and older, as such, no juvenile studies were submitted, which is acceptable</w:t>
      </w:r>
      <w:r w:rsidR="00CD308A">
        <w:t>.</w:t>
      </w:r>
    </w:p>
    <w:p w:rsidR="008E7846" w:rsidRDefault="008E7846" w:rsidP="008E7846">
      <w:pPr>
        <w:pStyle w:val="Heading3"/>
      </w:pPr>
      <w:bookmarkStart w:id="60" w:name="_Toc247691515"/>
      <w:bookmarkStart w:id="61" w:name="_Toc314842499"/>
      <w:bookmarkStart w:id="62" w:name="_Toc524949257"/>
      <w:r>
        <w:t>Nonclinical summary and conclusions</w:t>
      </w:r>
      <w:bookmarkEnd w:id="60"/>
      <w:bookmarkEnd w:id="61"/>
      <w:bookmarkEnd w:id="62"/>
    </w:p>
    <w:p w:rsidR="008E7846" w:rsidRDefault="00401961" w:rsidP="00401961">
      <w:pPr>
        <w:pStyle w:val="Heading4"/>
      </w:pPr>
      <w:r>
        <w:t>Summary</w:t>
      </w:r>
    </w:p>
    <w:p w:rsidR="00CD308A" w:rsidRDefault="00401961" w:rsidP="00401961">
      <w:pPr>
        <w:pStyle w:val="ListBullet"/>
      </w:pPr>
      <w:r w:rsidRPr="0032452D">
        <w:t>The data provided were adequate for evaluation and were in general accordance with the ICH guidelines (</w:t>
      </w:r>
      <w:proofErr w:type="gramStart"/>
      <w:r w:rsidRPr="0032452D">
        <w:t>M3(</w:t>
      </w:r>
      <w:proofErr w:type="gramEnd"/>
      <w:r w:rsidRPr="0032452D">
        <w:t>R2)).</w:t>
      </w:r>
      <w:r w:rsidR="004117E3">
        <w:rPr>
          <w:rStyle w:val="FootnoteReference"/>
        </w:rPr>
        <w:footnoteReference w:id="14"/>
      </w:r>
      <w:r w:rsidRPr="0032452D">
        <w:t xml:space="preserve"> The pivotal studies were GLP compliant and conducted with the proposed clinical formulation and achieved adequate relative exposures</w:t>
      </w:r>
      <w:r w:rsidR="00CD308A">
        <w:t>.</w:t>
      </w:r>
    </w:p>
    <w:p w:rsidR="00401961" w:rsidRPr="0032452D" w:rsidRDefault="00401961" w:rsidP="00401961">
      <w:pPr>
        <w:pStyle w:val="ListBullet"/>
      </w:pPr>
      <w:r w:rsidRPr="0032452D">
        <w:t>Migalastat is an</w:t>
      </w:r>
      <w:r w:rsidRPr="0032452D">
        <w:rPr>
          <w:spacing w:val="-4"/>
        </w:rPr>
        <w:t xml:space="preserve"> </w:t>
      </w:r>
      <w:r w:rsidRPr="0032452D">
        <w:t xml:space="preserve">iminosugar. </w:t>
      </w:r>
      <w:r w:rsidRPr="0032452D">
        <w:rPr>
          <w:spacing w:val="-5"/>
        </w:rPr>
        <w:t>M</w:t>
      </w:r>
      <w:r w:rsidRPr="0032452D">
        <w:t>igalastat</w:t>
      </w:r>
      <w:r w:rsidRPr="0032452D">
        <w:rPr>
          <w:spacing w:val="-5"/>
        </w:rPr>
        <w:t xml:space="preserve"> </w:t>
      </w:r>
      <w:r w:rsidRPr="0032452D">
        <w:t>selectively</w:t>
      </w:r>
      <w:r w:rsidRPr="0032452D">
        <w:rPr>
          <w:spacing w:val="-5"/>
        </w:rPr>
        <w:t xml:space="preserve"> </w:t>
      </w:r>
      <w:r w:rsidRPr="0032452D">
        <w:t>and</w:t>
      </w:r>
      <w:r w:rsidRPr="0032452D">
        <w:rPr>
          <w:spacing w:val="-4"/>
        </w:rPr>
        <w:t xml:space="preserve"> </w:t>
      </w:r>
      <w:r w:rsidRPr="0032452D">
        <w:t>reversibly</w:t>
      </w:r>
      <w:r w:rsidRPr="0032452D">
        <w:rPr>
          <w:spacing w:val="-5"/>
        </w:rPr>
        <w:t xml:space="preserve"> </w:t>
      </w:r>
      <w:r w:rsidRPr="0032452D">
        <w:t>binds</w:t>
      </w:r>
      <w:r w:rsidRPr="0032452D">
        <w:rPr>
          <w:spacing w:val="-4"/>
        </w:rPr>
        <w:t xml:space="preserve"> </w:t>
      </w:r>
      <w:r w:rsidRPr="0032452D">
        <w:t>with</w:t>
      </w:r>
      <w:r w:rsidRPr="0032452D">
        <w:rPr>
          <w:spacing w:val="-5"/>
        </w:rPr>
        <w:t xml:space="preserve"> </w:t>
      </w:r>
      <w:r w:rsidRPr="0032452D">
        <w:t>high</w:t>
      </w:r>
      <w:r w:rsidRPr="0032452D">
        <w:rPr>
          <w:spacing w:val="-5"/>
        </w:rPr>
        <w:t xml:space="preserve"> </w:t>
      </w:r>
      <w:r w:rsidRPr="0032452D">
        <w:t>affinity (Ki and IC</w:t>
      </w:r>
      <w:r w:rsidRPr="0032452D">
        <w:rPr>
          <w:vertAlign w:val="subscript"/>
        </w:rPr>
        <w:t>50</w:t>
      </w:r>
      <w:r w:rsidRPr="0032452D">
        <w:t xml:space="preserve"> </w:t>
      </w:r>
      <w:r w:rsidR="003A280C">
        <w:t xml:space="preserve">around </w:t>
      </w:r>
      <w:r w:rsidRPr="0032452D">
        <w:t>10</w:t>
      </w:r>
      <w:r w:rsidR="003A280C">
        <w:t xml:space="preserve"> to </w:t>
      </w:r>
      <w:r w:rsidRPr="0032452D">
        <w:t>20 nM) to</w:t>
      </w:r>
      <w:r w:rsidRPr="0032452D">
        <w:rPr>
          <w:spacing w:val="-5"/>
        </w:rPr>
        <w:t xml:space="preserve"> </w:t>
      </w:r>
      <w:r w:rsidRPr="0032452D">
        <w:t>wild-type</w:t>
      </w:r>
      <w:r w:rsidRPr="0032452D">
        <w:rPr>
          <w:spacing w:val="-4"/>
        </w:rPr>
        <w:t xml:space="preserve"> and mutant forms of </w:t>
      </w:r>
      <w:r w:rsidRPr="0032452D">
        <w:t>α-Gal</w:t>
      </w:r>
      <w:r w:rsidRPr="0032452D">
        <w:rPr>
          <w:spacing w:val="-4"/>
        </w:rPr>
        <w:t xml:space="preserve"> </w:t>
      </w:r>
      <w:proofErr w:type="gramStart"/>
      <w:r w:rsidRPr="0032452D">
        <w:t>A</w:t>
      </w:r>
      <w:proofErr w:type="gramEnd"/>
      <w:r w:rsidRPr="0032452D">
        <w:t xml:space="preserve"> (known as amenable</w:t>
      </w:r>
      <w:r w:rsidRPr="0032452D">
        <w:rPr>
          <w:spacing w:val="-2"/>
        </w:rPr>
        <w:t xml:space="preserve"> </w:t>
      </w:r>
      <w:r w:rsidRPr="0032452D">
        <w:t>mutations).</w:t>
      </w:r>
      <w:r w:rsidRPr="0032452D">
        <w:rPr>
          <w:spacing w:val="-3"/>
        </w:rPr>
        <w:t xml:space="preserve"> </w:t>
      </w:r>
      <w:r w:rsidRPr="0032452D">
        <w:t>Migalastat</w:t>
      </w:r>
      <w:r w:rsidRPr="0032452D">
        <w:rPr>
          <w:spacing w:val="-2"/>
        </w:rPr>
        <w:t xml:space="preserve"> </w:t>
      </w:r>
      <w:r w:rsidRPr="0032452D">
        <w:t>binding</w:t>
      </w:r>
      <w:r w:rsidRPr="0032452D">
        <w:rPr>
          <w:spacing w:val="-3"/>
        </w:rPr>
        <w:t xml:space="preserve"> </w:t>
      </w:r>
      <w:r w:rsidRPr="0032452D">
        <w:t>stabilises</w:t>
      </w:r>
      <w:r w:rsidRPr="0032452D">
        <w:rPr>
          <w:spacing w:val="-2"/>
        </w:rPr>
        <w:t xml:space="preserve"> </w:t>
      </w:r>
      <w:r w:rsidRPr="0032452D">
        <w:t>these</w:t>
      </w:r>
      <w:r w:rsidRPr="0032452D">
        <w:rPr>
          <w:spacing w:val="-2"/>
        </w:rPr>
        <w:t xml:space="preserve"> </w:t>
      </w:r>
      <w:r w:rsidRPr="0032452D">
        <w:t>mutant forms,</w:t>
      </w:r>
      <w:r w:rsidRPr="0032452D">
        <w:rPr>
          <w:spacing w:val="-3"/>
        </w:rPr>
        <w:t xml:space="preserve"> </w:t>
      </w:r>
      <w:r w:rsidRPr="0032452D">
        <w:t>allowing normal function</w:t>
      </w:r>
      <w:r w:rsidRPr="0032452D">
        <w:rPr>
          <w:spacing w:val="-3"/>
        </w:rPr>
        <w:t>.</w:t>
      </w:r>
      <w:r>
        <w:rPr>
          <w:spacing w:val="-3"/>
        </w:rPr>
        <w:t xml:space="preserve"> Migalastat also inhibits </w:t>
      </w:r>
      <w:r w:rsidRPr="0032452D">
        <w:t>α-Gal</w:t>
      </w:r>
      <w:r w:rsidRPr="0032452D">
        <w:rPr>
          <w:spacing w:val="-4"/>
        </w:rPr>
        <w:t xml:space="preserve"> </w:t>
      </w:r>
      <w:r w:rsidRPr="0032452D">
        <w:t>A</w:t>
      </w:r>
      <w:r>
        <w:t>, but the inhibitory effect has a markedly shorter half-life compared to effects on activity.</w:t>
      </w:r>
    </w:p>
    <w:p w:rsidR="00CD308A" w:rsidRDefault="00401961" w:rsidP="00401961">
      <w:pPr>
        <w:pStyle w:val="ListBullet"/>
      </w:pPr>
      <w:r w:rsidRPr="006A6B32">
        <w:t>In vitro,</w:t>
      </w:r>
      <w:r w:rsidRPr="0032452D">
        <w:rPr>
          <w:i/>
        </w:rPr>
        <w:t xml:space="preserve"> </w:t>
      </w:r>
      <w:r w:rsidRPr="0032452D">
        <w:t>migalastat</w:t>
      </w:r>
      <w:r w:rsidRPr="0032452D">
        <w:rPr>
          <w:i/>
        </w:rPr>
        <w:t xml:space="preserve"> </w:t>
      </w:r>
      <w:r w:rsidRPr="0032452D">
        <w:t xml:space="preserve">bound to, and increased levels of, α-Gal </w:t>
      </w:r>
      <w:proofErr w:type="gramStart"/>
      <w:r w:rsidRPr="0032452D">
        <w:t>A</w:t>
      </w:r>
      <w:proofErr w:type="gramEnd"/>
      <w:r w:rsidRPr="0032452D">
        <w:t xml:space="preserve"> in 49/75 mutant forms (from Fabry patients), with similar affinity to wild-type α-Gal A. </w:t>
      </w:r>
      <w:r w:rsidRPr="006A6B32">
        <w:t>In vivo</w:t>
      </w:r>
      <w:r w:rsidRPr="0032452D">
        <w:t xml:space="preserve">, migalastat </w:t>
      </w:r>
      <w:r w:rsidRPr="0032452D">
        <w:lastRenderedPageBreak/>
        <w:t xml:space="preserve">increased α-Gal </w:t>
      </w:r>
      <w:proofErr w:type="gramStart"/>
      <w:r w:rsidRPr="0032452D">
        <w:t>A</w:t>
      </w:r>
      <w:proofErr w:type="gramEnd"/>
      <w:r w:rsidRPr="0032452D">
        <w:t xml:space="preserve"> activity and reduced GL-3 levels in mice which express a human mutant α-Gal A transgene on a mouse Gla knockout background. After 4 weeks, there was a dose-dependent increase in α-Gal </w:t>
      </w:r>
      <w:proofErr w:type="gramStart"/>
      <w:r w:rsidRPr="0032452D">
        <w:t>A</w:t>
      </w:r>
      <w:proofErr w:type="gramEnd"/>
      <w:r w:rsidRPr="0032452D">
        <w:t xml:space="preserve"> tissue levels in skin, heart and kidney.</w:t>
      </w:r>
      <w:r w:rsidR="004117E3">
        <w:t xml:space="preserve"> A dosing regimen of 4 days on/</w:t>
      </w:r>
      <w:r w:rsidRPr="0032452D">
        <w:t>3 days off resulted in a greater reduction in tissue GL-3 than daily dosing. Migalastat also decreased GL-3 in both young and old transgenic mice, suggesting both prophylactic and therapeutic effects</w:t>
      </w:r>
      <w:r w:rsidR="00CD308A">
        <w:t>.</w:t>
      </w:r>
    </w:p>
    <w:p w:rsidR="00401961" w:rsidRPr="00135E7B" w:rsidRDefault="00401961" w:rsidP="00401961">
      <w:pPr>
        <w:pStyle w:val="ListBullet"/>
      </w:pPr>
      <w:r w:rsidRPr="00135E7B">
        <w:t>Concurrent treatment with enzyme (α -Gal A) replacement therapies (agalsidase alfa and agalsidase beta) and migalastat had additive therapeutic effects in a number of nonclinical models.</w:t>
      </w:r>
    </w:p>
    <w:p w:rsidR="00401961" w:rsidRPr="0032452D" w:rsidRDefault="00401961" w:rsidP="00401961">
      <w:pPr>
        <w:pStyle w:val="ListBullet"/>
      </w:pPr>
      <w:r w:rsidRPr="0032452D">
        <w:t>Migalastat was shown to be selective for α-Gal A in Fabry, Pompe and Gaucher disease patient-derived fibroblast cell lines, and in mice. In addition, migalastat did not affect galactose metabolism and was not cytotoxic to normal human fibroblasts or human liver HepG2 cells.</w:t>
      </w:r>
    </w:p>
    <w:p w:rsidR="00401961" w:rsidRPr="0032452D" w:rsidRDefault="00401961" w:rsidP="00401961">
      <w:pPr>
        <w:pStyle w:val="ListBullet"/>
      </w:pPr>
      <w:r w:rsidRPr="0032452D">
        <w:t>Secondary pharmacology studies identified significant binding by migalastat only for the lysosomal enzyme α-N-Acetylgalactosaminidase (NAGA), with an IC</w:t>
      </w:r>
      <w:r w:rsidRPr="0032452D">
        <w:rPr>
          <w:vertAlign w:val="subscript"/>
        </w:rPr>
        <w:t>50</w:t>
      </w:r>
      <w:r w:rsidRPr="0032452D">
        <w:t xml:space="preserve"> in the range of migalastat’s clinical </w:t>
      </w:r>
      <w:r w:rsidR="001B2F5C" w:rsidRPr="00401961">
        <w:t>C</w:t>
      </w:r>
      <w:r w:rsidR="001B2F5C" w:rsidRPr="00A55E04">
        <w:rPr>
          <w:vertAlign w:val="subscript"/>
        </w:rPr>
        <w:t>max</w:t>
      </w:r>
      <w:r w:rsidRPr="0032452D">
        <w:t>. Migalastat’s affinity for NAGA was 120 times less than that for α-Gal A</w:t>
      </w:r>
      <w:r>
        <w:t>, and given the short half-life and every other day dosing regimen it is unlikely that persistent NAGA inhibition would be observed clinically</w:t>
      </w:r>
      <w:r w:rsidRPr="0032452D">
        <w:t>. Signs of NAGA inhibition (</w:t>
      </w:r>
      <w:r w:rsidR="003A280C">
        <w:t>for example,</w:t>
      </w:r>
      <w:r w:rsidRPr="0032452D">
        <w:t xml:space="preserve"> hepatomegaly, muscular weakness or motor problems) were not observed in rats, despite homology between rat and human NAGA.</w:t>
      </w:r>
    </w:p>
    <w:p w:rsidR="00401961" w:rsidRPr="00135E7B" w:rsidRDefault="00401961" w:rsidP="00401961">
      <w:pPr>
        <w:pStyle w:val="ListBullet"/>
      </w:pPr>
      <w:r w:rsidRPr="0032452D">
        <w:t>Migalastat i</w:t>
      </w:r>
      <w:r>
        <w:t xml:space="preserve">s a low affinity substrate for, </w:t>
      </w:r>
      <w:r w:rsidRPr="0032452D">
        <w:t>and inhibitor of</w:t>
      </w:r>
      <w:r>
        <w:t>, SGLT1.</w:t>
      </w:r>
      <w:r w:rsidRPr="0032452D">
        <w:t xml:space="preserve"> EC</w:t>
      </w:r>
      <w:r w:rsidRPr="0032452D">
        <w:rPr>
          <w:vertAlign w:val="subscript"/>
        </w:rPr>
        <w:t>50</w:t>
      </w:r>
      <w:r w:rsidRPr="0032452D">
        <w:t xml:space="preserve"> and IC</w:t>
      </w:r>
      <w:r w:rsidRPr="0032452D">
        <w:rPr>
          <w:vertAlign w:val="subscript"/>
        </w:rPr>
        <w:t>50</w:t>
      </w:r>
      <w:r w:rsidRPr="0032452D">
        <w:t xml:space="preserve"> </w:t>
      </w:r>
      <w:r>
        <w:t xml:space="preserve">values were markedly higher </w:t>
      </w:r>
      <w:r w:rsidRPr="00135E7B">
        <w:t xml:space="preserve">than the clinical </w:t>
      </w:r>
      <w:r w:rsidR="001B2F5C" w:rsidRPr="00401961">
        <w:t>C</w:t>
      </w:r>
      <w:r w:rsidR="001B2F5C" w:rsidRPr="00A55E04">
        <w:rPr>
          <w:vertAlign w:val="subscript"/>
        </w:rPr>
        <w:t>max</w:t>
      </w:r>
      <w:r w:rsidRPr="00135E7B">
        <w:t>. Adverse glycaemic effects were not observed in repeated dose toxicity studies.</w:t>
      </w:r>
    </w:p>
    <w:p w:rsidR="00CD308A" w:rsidRDefault="00401961" w:rsidP="00401961">
      <w:pPr>
        <w:pStyle w:val="ListBullet"/>
      </w:pPr>
      <w:r w:rsidRPr="006A6B32">
        <w:t>In vitro</w:t>
      </w:r>
      <w:r w:rsidRPr="003A280C">
        <w:t>,</w:t>
      </w:r>
      <w:r w:rsidRPr="0032452D">
        <w:t xml:space="preserve"> migalastat did not show any significant interaction (inhibition, induction, or a substrate for) any of the relevant drug transporters or drug metabolising enzymes</w:t>
      </w:r>
      <w:r w:rsidR="00CD308A">
        <w:t>.</w:t>
      </w:r>
    </w:p>
    <w:p w:rsidR="00CD308A" w:rsidRDefault="00401961" w:rsidP="00401961">
      <w:pPr>
        <w:pStyle w:val="ListBullet"/>
      </w:pPr>
      <w:r w:rsidRPr="0032452D">
        <w:t xml:space="preserve">Overall, the pharmacokinetic profile in animals was qualitatively similar to that of humans. Oral bioavailability was high (80-100%) in mice, with rapid and extensive absorption in the nonclinical species and humans. The increase </w:t>
      </w:r>
      <w:r>
        <w:t>in</w:t>
      </w:r>
      <w:r w:rsidRPr="0032452D">
        <w:t xml:space="preserve"> AUC was generally less than dose-proportional, with no gender differences. Migal</w:t>
      </w:r>
      <w:r>
        <w:t>a</w:t>
      </w:r>
      <w:r w:rsidRPr="0032452D">
        <w:t xml:space="preserve">stat displayed extensive distribution into tissues, including those relevant to the clinical indication (heart, kidney, skin, spleen, liver, and brain). Penetration into the brain was relatively slow. Plasma protein binding was negligible and distribution to red cells was limited. Elimination after oral administration was similar between nonclinical species and </w:t>
      </w:r>
      <w:r w:rsidRPr="00344290">
        <w:t>humans (t</w:t>
      </w:r>
      <w:r w:rsidRPr="00344290">
        <w:rPr>
          <w:vertAlign w:val="subscript"/>
        </w:rPr>
        <w:t>½</w:t>
      </w:r>
      <w:r w:rsidRPr="00344290">
        <w:t xml:space="preserve"> of </w:t>
      </w:r>
      <w:r w:rsidR="003A280C" w:rsidRPr="00344290">
        <w:t xml:space="preserve">around </w:t>
      </w:r>
      <w:r w:rsidRPr="00344290">
        <w:t xml:space="preserve">1.5 </w:t>
      </w:r>
      <w:r w:rsidR="003A280C" w:rsidRPr="00344290">
        <w:t>to</w:t>
      </w:r>
      <w:r w:rsidRPr="00344290">
        <w:t xml:space="preserve"> 7 h </w:t>
      </w:r>
      <w:r w:rsidR="00344290" w:rsidRPr="006A6B32">
        <w:t xml:space="preserve">compared to around </w:t>
      </w:r>
      <w:r w:rsidRPr="00344290">
        <w:t>3</w:t>
      </w:r>
      <w:r w:rsidR="00344290" w:rsidRPr="00344290">
        <w:t xml:space="preserve"> to </w:t>
      </w:r>
      <w:r w:rsidRPr="00344290">
        <w:t>5 h)</w:t>
      </w:r>
      <w:r w:rsidR="00CD308A">
        <w:t>.</w:t>
      </w:r>
    </w:p>
    <w:p w:rsidR="00CD308A" w:rsidRDefault="00401961" w:rsidP="00401961">
      <w:pPr>
        <w:pStyle w:val="ListBullet"/>
      </w:pPr>
      <w:r w:rsidRPr="0032452D">
        <w:t xml:space="preserve">Migalastat did not undergo extensive metabolism </w:t>
      </w:r>
      <w:r w:rsidR="00344290" w:rsidRPr="0032452D">
        <w:t>(</w:t>
      </w:r>
      <w:r w:rsidR="00344290">
        <w:t xml:space="preserve">around </w:t>
      </w:r>
      <w:r w:rsidRPr="0032452D">
        <w:t>80% excreted unchanged in rats and humans). Faecal excretion was predominant in rats, compared to renal excretion in humans. Nonclinical characterisation of metabolites was not performed or warranted</w:t>
      </w:r>
      <w:r w:rsidR="00CD308A">
        <w:t>.</w:t>
      </w:r>
    </w:p>
    <w:p w:rsidR="00CD308A" w:rsidRDefault="00401961" w:rsidP="00401961">
      <w:pPr>
        <w:pStyle w:val="ListBullet"/>
        <w:rPr>
          <w:spacing w:val="-1"/>
        </w:rPr>
      </w:pPr>
      <w:r w:rsidRPr="0032452D">
        <w:rPr>
          <w:spacing w:val="-1"/>
        </w:rPr>
        <w:t xml:space="preserve">Safety pharmacology studies found no respiratory or CNS effects in rats at relative exposures of </w:t>
      </w:r>
      <w:r w:rsidR="00344290">
        <w:rPr>
          <w:spacing w:val="-1"/>
        </w:rPr>
        <w:t xml:space="preserve">around </w:t>
      </w:r>
      <w:r w:rsidRPr="00135E7B">
        <w:rPr>
          <w:spacing w:val="-1"/>
        </w:rPr>
        <w:t xml:space="preserve">8 and 4 based on </w:t>
      </w:r>
      <w:r w:rsidR="001B2F5C" w:rsidRPr="00401961">
        <w:t>C</w:t>
      </w:r>
      <w:r w:rsidR="001B2F5C" w:rsidRPr="00A55E04">
        <w:rPr>
          <w:vertAlign w:val="subscript"/>
        </w:rPr>
        <w:t>max</w:t>
      </w:r>
      <w:r w:rsidRPr="00135E7B">
        <w:rPr>
          <w:spacing w:val="-1"/>
        </w:rPr>
        <w:t xml:space="preserve"> and AUC, respectively. No adverse effects were observed in these systems in repeat dose toxicity studies with higher exposures. Migalastat had no effect on the hERG currents at concentrations </w:t>
      </w:r>
      <w:r w:rsidR="00344290">
        <w:rPr>
          <w:spacing w:val="-1"/>
        </w:rPr>
        <w:t xml:space="preserve">around </w:t>
      </w:r>
      <w:r w:rsidRPr="00135E7B">
        <w:rPr>
          <w:spacing w:val="-1"/>
        </w:rPr>
        <w:t xml:space="preserve">8 times the clinical </w:t>
      </w:r>
      <w:r w:rsidR="001B2F5C" w:rsidRPr="00401961">
        <w:t>C</w:t>
      </w:r>
      <w:r w:rsidR="001B2F5C" w:rsidRPr="00A55E04">
        <w:rPr>
          <w:vertAlign w:val="subscript"/>
        </w:rPr>
        <w:t>max</w:t>
      </w:r>
      <w:r w:rsidRPr="00135E7B">
        <w:rPr>
          <w:spacing w:val="-1"/>
        </w:rPr>
        <w:t>. There was no cardiovascular effects in dogs at exposures &gt;</w:t>
      </w:r>
      <w:r w:rsidR="00344290">
        <w:rPr>
          <w:spacing w:val="-1"/>
        </w:rPr>
        <w:t> </w:t>
      </w:r>
      <w:r w:rsidRPr="00135E7B">
        <w:rPr>
          <w:spacing w:val="-1"/>
        </w:rPr>
        <w:t>40 times those in the clinical</w:t>
      </w:r>
      <w:r w:rsidRPr="0032452D">
        <w:rPr>
          <w:spacing w:val="-1"/>
        </w:rPr>
        <w:t xml:space="preserve"> studies with MRHD of migalastat</w:t>
      </w:r>
      <w:r w:rsidR="00CD308A">
        <w:rPr>
          <w:spacing w:val="-1"/>
        </w:rPr>
        <w:t>.</w:t>
      </w:r>
    </w:p>
    <w:p w:rsidR="00CD308A" w:rsidRDefault="00401961" w:rsidP="00401961">
      <w:pPr>
        <w:pStyle w:val="ListBullet"/>
      </w:pPr>
      <w:r w:rsidRPr="0032452D">
        <w:t>Single dose studies demonstrated that migalastat</w:t>
      </w:r>
      <w:r w:rsidRPr="0032452D">
        <w:rPr>
          <w:color w:val="FF0000"/>
        </w:rPr>
        <w:t xml:space="preserve"> </w:t>
      </w:r>
      <w:r w:rsidRPr="0032452D">
        <w:t>has low acute toxicity via the oral route</w:t>
      </w:r>
      <w:r w:rsidR="00CD308A">
        <w:t>.</w:t>
      </w:r>
    </w:p>
    <w:p w:rsidR="00401961" w:rsidRPr="0032452D" w:rsidRDefault="00401961" w:rsidP="00401961">
      <w:pPr>
        <w:pStyle w:val="ListBullet"/>
      </w:pPr>
      <w:r w:rsidRPr="0032452D">
        <w:t>Repeat dose toxicity studies were conducted in dogs (2 weeks), mice (≤</w:t>
      </w:r>
      <w:r w:rsidR="00344290">
        <w:t> </w:t>
      </w:r>
      <w:r w:rsidRPr="0032452D">
        <w:t>4 weeks), rats (≤</w:t>
      </w:r>
      <w:r w:rsidR="00344290">
        <w:t> </w:t>
      </w:r>
      <w:r w:rsidRPr="0032452D">
        <w:t>6 months) and monkeys (≤</w:t>
      </w:r>
      <w:r w:rsidR="00344290">
        <w:t> </w:t>
      </w:r>
      <w:r w:rsidRPr="0032452D">
        <w:t>9 months). Maximum exposures were high based on AUC (≥</w:t>
      </w:r>
      <w:r w:rsidR="00344290">
        <w:t> </w:t>
      </w:r>
      <w:r w:rsidRPr="0032452D">
        <w:t>39</w:t>
      </w:r>
      <w:r w:rsidR="00344290">
        <w:t xml:space="preserve"> times</w:t>
      </w:r>
      <w:r w:rsidR="00344290" w:rsidRPr="0032452D">
        <w:t>).</w:t>
      </w:r>
    </w:p>
    <w:p w:rsidR="00CD308A" w:rsidRDefault="00401961" w:rsidP="00401961">
      <w:pPr>
        <w:pStyle w:val="ListBullet"/>
      </w:pPr>
      <w:r w:rsidRPr="0032452D">
        <w:lastRenderedPageBreak/>
        <w:t xml:space="preserve">Signs of gastrointestinal irritation were observed in mice receiving large oral doses of migalastat but were considered likely to be </w:t>
      </w:r>
      <w:proofErr w:type="gramStart"/>
      <w:r w:rsidRPr="0032452D">
        <w:t>direct</w:t>
      </w:r>
      <w:proofErr w:type="gramEnd"/>
      <w:r w:rsidRPr="0032452D">
        <w:t xml:space="preserve"> contact-mediated. Microscopic splenic abnormalities (increased lymphoid follicles) occurred in the 26 week rat study. These effects are not considered clinically relevant since GIT irritation and splenic changes were not observed in the 2 year rat study or 9 month monkey study, both of which achieved exposure ratios of &gt;</w:t>
      </w:r>
      <w:r w:rsidR="00344290">
        <w:t> </w:t>
      </w:r>
      <w:r w:rsidRPr="0032452D">
        <w:t>50</w:t>
      </w:r>
      <w:r w:rsidR="00CD308A">
        <w:t>.</w:t>
      </w:r>
    </w:p>
    <w:p w:rsidR="00CD308A" w:rsidRDefault="00401961" w:rsidP="00401961">
      <w:pPr>
        <w:pStyle w:val="ListBullet"/>
        <w:rPr>
          <w:color w:val="000000"/>
        </w:rPr>
      </w:pPr>
      <w:r w:rsidRPr="0032452D">
        <w:t xml:space="preserve">Migalastat </w:t>
      </w:r>
      <w:r w:rsidRPr="0032452D">
        <w:rPr>
          <w:color w:val="000000"/>
        </w:rPr>
        <w:t>was not genotoxic based on a bacterial mutation assay, forward mutation test and a rat micronucleus test</w:t>
      </w:r>
      <w:r w:rsidR="00CD308A">
        <w:rPr>
          <w:color w:val="000000"/>
        </w:rPr>
        <w:t>.</w:t>
      </w:r>
    </w:p>
    <w:p w:rsidR="00401961" w:rsidRPr="0032452D" w:rsidRDefault="00401961" w:rsidP="00401961">
      <w:pPr>
        <w:pStyle w:val="ListBullet"/>
      </w:pPr>
      <w:r w:rsidRPr="0032452D">
        <w:t xml:space="preserve">There were no migalastat-related neoplastic findings in a 6 month carcinogenicity study in transgenic Tg.rasH2 mice. </w:t>
      </w:r>
      <w:r>
        <w:t xml:space="preserve">There was an </w:t>
      </w:r>
      <w:r w:rsidRPr="0032452D">
        <w:t xml:space="preserve">increased incidence of pancreatic islet cell adenoma in HD males in the 2 year rat study (relative exposure </w:t>
      </w:r>
      <w:r w:rsidR="00344290">
        <w:t xml:space="preserve">around </w:t>
      </w:r>
      <w:r w:rsidRPr="0032452D">
        <w:t xml:space="preserve">23). </w:t>
      </w:r>
      <w:r>
        <w:t>However, i</w:t>
      </w:r>
      <w:r w:rsidRPr="0032452D">
        <w:t xml:space="preserve">slet cell hyperplasia or morphologic islet changes </w:t>
      </w:r>
      <w:r>
        <w:t xml:space="preserve">were not observed </w:t>
      </w:r>
      <w:r w:rsidRPr="0032452D">
        <w:t>in chronic toxicity studies, the finding was not present in females, and proliferative endocrine lesions are a common background finding in rats. Therefore, this finding is not expected to be clinically relevant.</w:t>
      </w:r>
    </w:p>
    <w:p w:rsidR="00CD308A" w:rsidRDefault="00401961" w:rsidP="00401961">
      <w:pPr>
        <w:pStyle w:val="ListBullet"/>
      </w:pPr>
      <w:r w:rsidRPr="0032452D">
        <w:t xml:space="preserve">Migalastat was excreted into milk and crossed the placenta in rats. The rat fertility and early development studies demonstrated a significant, but reversible, </w:t>
      </w:r>
      <w:r>
        <w:t>impairment of</w:t>
      </w:r>
      <w:r w:rsidRPr="0032452D">
        <w:t xml:space="preserve"> male fertility at subclinical relative exposures. Female fertility was not impaired</w:t>
      </w:r>
      <w:r w:rsidR="00CD308A">
        <w:t>.</w:t>
      </w:r>
    </w:p>
    <w:p w:rsidR="00401961" w:rsidRPr="0032452D" w:rsidRDefault="00401961" w:rsidP="00401961">
      <w:pPr>
        <w:pStyle w:val="ListBullet"/>
      </w:pPr>
      <w:r w:rsidRPr="0032452D">
        <w:t>While no embryofetal toxicity was noted in rats, embryofetal toxicity subsequent to maternal toxicity was reported in rabbits at &gt;</w:t>
      </w:r>
      <w:r w:rsidR="00344290">
        <w:t xml:space="preserve"> </w:t>
      </w:r>
      <w:r w:rsidRPr="0032452D">
        <w:t>75</w:t>
      </w:r>
      <w:r w:rsidR="00344290">
        <w:t xml:space="preserve"> times</w:t>
      </w:r>
      <w:r w:rsidRPr="0032452D">
        <w:t xml:space="preserve"> the clinical exposure. The observed embryofetal toxicities included </w:t>
      </w:r>
      <w:r>
        <w:t xml:space="preserve">spontaneous abortion, </w:t>
      </w:r>
      <w:r w:rsidRPr="0032452D">
        <w:t xml:space="preserve">post-implantation loss, decreased mean foetal body weights, and increased incidences of </w:t>
      </w:r>
      <w:r>
        <w:t xml:space="preserve">skeletal variation such as </w:t>
      </w:r>
      <w:r w:rsidRPr="0032452D">
        <w:t xml:space="preserve">delayed ossification. </w:t>
      </w:r>
      <w:r>
        <w:t>There was also an apparent increase in visceral malformations and variations (eye, brain and kidney).</w:t>
      </w:r>
    </w:p>
    <w:p w:rsidR="00401961" w:rsidRDefault="00401961" w:rsidP="00401961">
      <w:pPr>
        <w:pStyle w:val="Heading4"/>
      </w:pPr>
      <w:r>
        <w:t>Conclusions and recommendation</w:t>
      </w:r>
    </w:p>
    <w:p w:rsidR="00CD308A" w:rsidRDefault="00401961" w:rsidP="00CC67CF">
      <w:pPr>
        <w:pStyle w:val="ListBullet"/>
      </w:pPr>
      <w:r w:rsidRPr="0032452D">
        <w:t xml:space="preserve">There were no </w:t>
      </w:r>
      <w:r w:rsidRPr="008130C8">
        <w:t>major deficiencies in the nonclinical dossier</w:t>
      </w:r>
      <w:r w:rsidR="00CD308A">
        <w:t>.</w:t>
      </w:r>
    </w:p>
    <w:p w:rsidR="00401961" w:rsidRPr="008130C8" w:rsidRDefault="00401961" w:rsidP="00CC67CF">
      <w:pPr>
        <w:pStyle w:val="ListBullet"/>
      </w:pPr>
      <w:r w:rsidRPr="008130C8">
        <w:t>Results from pharmacological studies on migalastat support its use for the proposed indication and did not identify any clinically relevant off-target binding sites.</w:t>
      </w:r>
    </w:p>
    <w:p w:rsidR="00401961" w:rsidRPr="008130C8" w:rsidRDefault="00401961" w:rsidP="00CC67CF">
      <w:pPr>
        <w:pStyle w:val="ListBullet"/>
      </w:pPr>
      <w:r w:rsidRPr="008130C8">
        <w:t>The safety pharmacology and repeat dose toxicity studies did not reveal any treatment-related adverse effects of concern.</w:t>
      </w:r>
    </w:p>
    <w:p w:rsidR="00CD308A" w:rsidRDefault="00401961" w:rsidP="00CC67CF">
      <w:pPr>
        <w:pStyle w:val="ListBullet"/>
      </w:pPr>
      <w:r w:rsidRPr="008130C8">
        <w:t>Migalastat is not considered to have any genotoxic or carcinogenic potential.</w:t>
      </w:r>
    </w:p>
    <w:p w:rsidR="00401961" w:rsidRPr="008130C8" w:rsidRDefault="00401961" w:rsidP="00CC67CF">
      <w:pPr>
        <w:pStyle w:val="ListBullet"/>
      </w:pPr>
      <w:r w:rsidRPr="008130C8">
        <w:t>Migalastat is expected to impair fertility in male patients. The effect was reversible in rats.</w:t>
      </w:r>
    </w:p>
    <w:p w:rsidR="00401961" w:rsidRPr="008130C8" w:rsidRDefault="00401961" w:rsidP="00CC67CF">
      <w:pPr>
        <w:pStyle w:val="ListBullet"/>
        <w:rPr>
          <w:b/>
          <w:bCs/>
        </w:rPr>
      </w:pPr>
      <w:r w:rsidRPr="008130C8">
        <w:rPr>
          <w:lang w:eastAsia="en-AU"/>
        </w:rPr>
        <w:t>T</w:t>
      </w:r>
      <w:r w:rsidRPr="008130C8">
        <w:t>he proposed pregnancy category of B3 is considered appropriate based on the observed embryofetal toxicity in rabbits.</w:t>
      </w:r>
    </w:p>
    <w:p w:rsidR="00CD308A" w:rsidRDefault="00401961" w:rsidP="00CC67CF">
      <w:pPr>
        <w:pStyle w:val="ListBullet"/>
      </w:pPr>
      <w:r w:rsidRPr="008130C8">
        <w:t>There are no nonclinical objections to the registration of migalastat as proposed.</w:t>
      </w:r>
    </w:p>
    <w:p w:rsidR="00401961" w:rsidRPr="008130C8" w:rsidRDefault="00401961" w:rsidP="00CC67CF">
      <w:pPr>
        <w:pStyle w:val="ListBullet"/>
        <w:rPr>
          <w:kern w:val="2"/>
        </w:rPr>
      </w:pPr>
      <w:r w:rsidRPr="008130C8">
        <w:t xml:space="preserve">The draft </w:t>
      </w:r>
      <w:r>
        <w:t>PI</w:t>
      </w:r>
      <w:r w:rsidRPr="008130C8">
        <w:t xml:space="preserve"> should be amended as directed.</w:t>
      </w:r>
    </w:p>
    <w:p w:rsidR="008E7846" w:rsidRPr="00254787" w:rsidRDefault="008E7846" w:rsidP="008E7846">
      <w:pPr>
        <w:pStyle w:val="Heading2"/>
      </w:pPr>
      <w:bookmarkStart w:id="63" w:name="_Toc196046462"/>
      <w:bookmarkStart w:id="64" w:name="_Toc247691516"/>
      <w:bookmarkStart w:id="65" w:name="_Toc314842500"/>
      <w:bookmarkStart w:id="66" w:name="_Toc163441353"/>
      <w:bookmarkStart w:id="67" w:name="_Toc163441348"/>
      <w:bookmarkStart w:id="68" w:name="_Toc524949258"/>
      <w:r>
        <w:t xml:space="preserve">V. </w:t>
      </w:r>
      <w:r w:rsidRPr="00254787">
        <w:t>Clinical</w:t>
      </w:r>
      <w:bookmarkEnd w:id="63"/>
      <w:r>
        <w:t xml:space="preserve"> </w:t>
      </w:r>
      <w:r w:rsidR="003A7F6C">
        <w:t>f</w:t>
      </w:r>
      <w:r>
        <w:t>indings</w:t>
      </w:r>
      <w:bookmarkEnd w:id="64"/>
      <w:bookmarkEnd w:id="65"/>
      <w:bookmarkEnd w:id="68"/>
    </w:p>
    <w:p w:rsidR="00C80137" w:rsidRDefault="00C80137" w:rsidP="00D425BB">
      <w:bookmarkStart w:id="6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0" w:name="_Toc247691517"/>
      <w:bookmarkStart w:id="71" w:name="_Toc314842501"/>
      <w:bookmarkStart w:id="72" w:name="_Toc524949259"/>
      <w:r w:rsidRPr="00254787">
        <w:lastRenderedPageBreak/>
        <w:t>Introduction</w:t>
      </w:r>
      <w:bookmarkEnd w:id="69"/>
      <w:bookmarkEnd w:id="70"/>
      <w:bookmarkEnd w:id="71"/>
      <w:bookmarkEnd w:id="72"/>
    </w:p>
    <w:p w:rsidR="00605AD4" w:rsidRDefault="00605AD4" w:rsidP="00605AD4">
      <w:pPr>
        <w:pStyle w:val="Heading4"/>
      </w:pPr>
      <w:bookmarkStart w:id="73" w:name="_Toc196046464"/>
      <w:bookmarkStart w:id="74" w:name="_Toc247691518"/>
      <w:bookmarkStart w:id="75" w:name="_Toc314842502"/>
      <w:r w:rsidRPr="00605AD4">
        <w:t xml:space="preserve">Clinical </w:t>
      </w:r>
      <w:r w:rsidR="00EF59DC">
        <w:t>r</w:t>
      </w:r>
      <w:r w:rsidRPr="00605AD4">
        <w:t>ationale</w:t>
      </w:r>
    </w:p>
    <w:p w:rsidR="00CD308A" w:rsidRDefault="00FA32B1" w:rsidP="00FA32B1">
      <w:r w:rsidRPr="00FA32B1">
        <w:t xml:space="preserve">The Clinical Overview outlined the clinical spectrum of Fabry disease, and noted that enzyme replacement therapy with Replagal </w:t>
      </w:r>
      <w:r w:rsidR="004117E3">
        <w:t>and Fabrazyme administered by IV</w:t>
      </w:r>
      <w:r w:rsidRPr="00FA32B1">
        <w:t xml:space="preserve"> infusion every 2 weeks is the only authorised treatment available for patients with the condition. The sponsor stated that in clinical trials, migalastat increased α-Gal A activity, reduced disease substrates, stabilised renal function and was comparable to ERT, significantly reduced left ventricular mass, improved gastrointestinal symptoms, and showed frequencies of Fabry-associated renal, cardiac, and cerebrovascular events that compared favourably to ERT. Migalastat was generally safe and well tolerated following short and long-term treatment. With its unique mechanism of action and convenient oral route of administration, migalastat addresses unmet needs that re</w:t>
      </w:r>
      <w:r w:rsidR="006A6B32">
        <w:t>main for patients receiving ERT</w:t>
      </w:r>
      <w:r w:rsidR="00CD308A">
        <w:t>.</w:t>
      </w:r>
    </w:p>
    <w:p w:rsidR="00CD308A" w:rsidRDefault="00FA32B1" w:rsidP="00FA32B1">
      <w:r w:rsidRPr="00FA32B1">
        <w:t>The sponsor notes the following features of migalastat, which offer potential benefits compared with currently available ERT: (1) avoids the burden of chronic lifelong ERT infusion therapy for the patient and the patients’ families; (2) avoids the risks of ERT infusion-associated reactions and infections, and removes the need for pre-infusion medications; (3) avoids the immune response associated with ERT; (4) has broader tissue distribution than ERT; and (5) chaperones endogenous α-Gal A, which more closely mimics natural enzyme trafficking than the every-other-week infusions of exogenous ERT</w:t>
      </w:r>
      <w:r w:rsidR="00CD308A">
        <w:t>.</w:t>
      </w:r>
    </w:p>
    <w:p w:rsidR="00605AD4" w:rsidRDefault="00605AD4" w:rsidP="00605AD4">
      <w:pPr>
        <w:pStyle w:val="Heading4"/>
      </w:pPr>
      <w:r w:rsidRPr="00605AD4">
        <w:t>Guidance</w:t>
      </w:r>
    </w:p>
    <w:p w:rsidR="00FA32B1" w:rsidRPr="00CE56A1" w:rsidRDefault="00FA32B1" w:rsidP="00FA32B1">
      <w:r w:rsidRPr="00FA32B1">
        <w:t xml:space="preserve">A pre-submission meeting was held between the </w:t>
      </w:r>
      <w:r w:rsidRPr="00CE56A1">
        <w:t xml:space="preserve">TGA and the sponsor in February 2016. </w:t>
      </w:r>
      <w:r w:rsidR="007406B0" w:rsidRPr="00CE56A1">
        <w:t>The dossier</w:t>
      </w:r>
      <w:r w:rsidRPr="00CE56A1">
        <w:t xml:space="preserve"> included a tabulated summary of the main issues discussed at the meeting, and the relevant outcomes relating to these issues. These are summarised immediately below:</w:t>
      </w:r>
    </w:p>
    <w:p w:rsidR="00CD308A" w:rsidRDefault="00FA32B1" w:rsidP="003C2260">
      <w:pPr>
        <w:pStyle w:val="ListBullet"/>
        <w:rPr>
          <w:i/>
        </w:rPr>
      </w:pPr>
      <w:r w:rsidRPr="006A6B32">
        <w:rPr>
          <w:i/>
        </w:rPr>
        <w:t xml:space="preserve">TGA requested the information be provided on the source of the comparator enzyme replacement therapy (ERT) product included in the Phase </w:t>
      </w:r>
      <w:r w:rsidR="00344290" w:rsidRPr="006A6B32">
        <w:rPr>
          <w:i/>
        </w:rPr>
        <w:t>III</w:t>
      </w:r>
      <w:r w:rsidRPr="006A6B32">
        <w:rPr>
          <w:i/>
        </w:rPr>
        <w:t xml:space="preserve"> </w:t>
      </w:r>
      <w:r w:rsidR="00344290" w:rsidRPr="006A6B32">
        <w:rPr>
          <w:i/>
        </w:rPr>
        <w:t>S</w:t>
      </w:r>
      <w:r w:rsidRPr="006A6B32">
        <w:rPr>
          <w:i/>
        </w:rPr>
        <w:t>tudy</w:t>
      </w:r>
      <w:r w:rsidR="00344290" w:rsidRPr="006A6B32">
        <w:rPr>
          <w:i/>
        </w:rPr>
        <w:t> </w:t>
      </w:r>
      <w:r w:rsidRPr="006A6B32">
        <w:rPr>
          <w:i/>
        </w:rPr>
        <w:t>AT1001-12. The sponsor indicated that the available information has been provided in the dossier and identified the location of the data</w:t>
      </w:r>
      <w:r w:rsidR="00CD308A">
        <w:rPr>
          <w:i/>
        </w:rPr>
        <w:t>.</w:t>
      </w:r>
    </w:p>
    <w:p w:rsidR="00CD308A" w:rsidRDefault="00FA32B1" w:rsidP="006A6B32">
      <w:r w:rsidRPr="00FA32B1">
        <w:t xml:space="preserve">The sponsor provided listings of the ERT lot numbers for each of the individual subjects in the safety population of </w:t>
      </w:r>
      <w:r w:rsidR="00CE56A1">
        <w:t>S</w:t>
      </w:r>
      <w:r w:rsidR="00CE56A1" w:rsidRPr="00FA32B1">
        <w:t xml:space="preserve">tudy </w:t>
      </w:r>
      <w:r w:rsidRPr="00FA32B1">
        <w:t>AT1001-012. However, it is unclear whether the different lots represent the same formulation of the comparator ERT products used in the study and whether formulations of the comparator ERT products used in the study are the same as the relevant Australian formulations. The sponsor also stated that the available information was to be discussed</w:t>
      </w:r>
      <w:r w:rsidR="00CD308A">
        <w:t>.</w:t>
      </w:r>
    </w:p>
    <w:p w:rsidR="00CD308A" w:rsidRDefault="00FA32B1" w:rsidP="000C0E69">
      <w:pPr>
        <w:pStyle w:val="ListBullet"/>
        <w:rPr>
          <w:i/>
        </w:rPr>
      </w:pPr>
      <w:r w:rsidRPr="006A6B32">
        <w:rPr>
          <w:i/>
        </w:rPr>
        <w:t>TGA requested discussion on the amenable mutations studied in the clinical trials and on the responder analyses. The sponsor indicated that the available information has been provided in the dossier and identified the location of the data</w:t>
      </w:r>
      <w:r w:rsidR="00CD308A">
        <w:rPr>
          <w:i/>
        </w:rPr>
        <w:t>.</w:t>
      </w:r>
    </w:p>
    <w:p w:rsidR="00CD308A" w:rsidRDefault="00FA32B1" w:rsidP="008A2B12">
      <w:pPr>
        <w:pStyle w:val="Comment"/>
      </w:pPr>
      <w:r w:rsidRPr="00FA32B1">
        <w:t>The information has been reviewed and relevant comment has been provided</w:t>
      </w:r>
      <w:r w:rsidR="00CD308A">
        <w:t>.</w:t>
      </w:r>
    </w:p>
    <w:p w:rsidR="00FA32B1" w:rsidRPr="006A6B32" w:rsidRDefault="00FA32B1" w:rsidP="00950543">
      <w:pPr>
        <w:pStyle w:val="ListBullet"/>
        <w:rPr>
          <w:i/>
        </w:rPr>
      </w:pPr>
      <w:r w:rsidRPr="006A6B32">
        <w:rPr>
          <w:i/>
        </w:rPr>
        <w:t xml:space="preserve">TGA requested clinical data for the Phase </w:t>
      </w:r>
      <w:r w:rsidR="00CE56A1" w:rsidRPr="006A6B32">
        <w:rPr>
          <w:i/>
        </w:rPr>
        <w:t>III</w:t>
      </w:r>
      <w:r w:rsidRPr="006A6B32">
        <w:rPr>
          <w:i/>
        </w:rPr>
        <w:t xml:space="preserve"> </w:t>
      </w:r>
      <w:r w:rsidR="00CE56A1" w:rsidRPr="006A6B32">
        <w:rPr>
          <w:i/>
        </w:rPr>
        <w:t xml:space="preserve">Study </w:t>
      </w:r>
      <w:r w:rsidRPr="006A6B32">
        <w:rPr>
          <w:i/>
        </w:rPr>
        <w:t>AT1001-012 30 month extension. The sponsor indicated that the available information has been provided in the dossier and identified the location of the data.</w:t>
      </w:r>
    </w:p>
    <w:p w:rsidR="00CD308A" w:rsidRDefault="00FA32B1" w:rsidP="008A2B12">
      <w:pPr>
        <w:pStyle w:val="Comment"/>
      </w:pPr>
      <w:r w:rsidRPr="00FA32B1">
        <w:t>The information has been reviewed and relevant comment has been provided</w:t>
      </w:r>
      <w:r w:rsidR="00CD308A">
        <w:t>.</w:t>
      </w:r>
    </w:p>
    <w:p w:rsidR="00FA32B1" w:rsidRPr="00FA32B1" w:rsidRDefault="005B1EAC" w:rsidP="00FA32B1">
      <w:r>
        <w:t>The s</w:t>
      </w:r>
      <w:r w:rsidR="00FA32B1" w:rsidRPr="00FA32B1">
        <w:t xml:space="preserve">ponsor declared that the submission was consistent with the pre-submission planning form submitted to the TGA </w:t>
      </w:r>
      <w:r>
        <w:t xml:space="preserve">in </w:t>
      </w:r>
      <w:r w:rsidR="00FA32B1" w:rsidRPr="00FA32B1">
        <w:t xml:space="preserve">March 2016, with the exception of identified Sections that have been updated or revised in accordance with agreements during the pre-submission meeting, or as a result of the compilation of the final dossier. The sponsor </w:t>
      </w:r>
      <w:r w:rsidR="00FA32B1" w:rsidRPr="00FA32B1">
        <w:lastRenderedPageBreak/>
        <w:t>stated</w:t>
      </w:r>
      <w:r w:rsidR="0047665C">
        <w:t xml:space="preserve"> that the TGA’s Planning Letter of </w:t>
      </w:r>
      <w:r w:rsidR="00FA32B1" w:rsidRPr="00FA32B1">
        <w:t>May 2016 did not include any requests for additional information or revision to the proposed dossier content.</w:t>
      </w:r>
    </w:p>
    <w:p w:rsidR="00605AD4" w:rsidRDefault="00605AD4" w:rsidP="00605AD4">
      <w:pPr>
        <w:pStyle w:val="Heading4"/>
      </w:pPr>
      <w:r w:rsidRPr="00605AD4">
        <w:t>Contents of the clinical dossier</w:t>
      </w:r>
    </w:p>
    <w:p w:rsidR="00CD308A" w:rsidRDefault="00B5501B" w:rsidP="00B5501B">
      <w:pPr>
        <w:rPr>
          <w:lang w:eastAsia="ja-JP"/>
        </w:rPr>
      </w:pPr>
      <w:r>
        <w:rPr>
          <w:lang w:eastAsia="ja-JP"/>
        </w:rPr>
        <w:t>The dossier documented a full clinical development program for migalastat comprising 20</w:t>
      </w:r>
      <w:r w:rsidR="00CE56A1">
        <w:rPr>
          <w:lang w:eastAsia="ja-JP"/>
        </w:rPr>
        <w:t> </w:t>
      </w:r>
      <w:r>
        <w:rPr>
          <w:lang w:eastAsia="ja-JP"/>
        </w:rPr>
        <w:t>studies relating to pharmacology, clinical efficacy and safety</w:t>
      </w:r>
      <w:r w:rsidR="00CD308A">
        <w:rPr>
          <w:lang w:eastAsia="ja-JP"/>
        </w:rPr>
        <w:t>.</w:t>
      </w:r>
    </w:p>
    <w:p w:rsidR="00CD308A" w:rsidRDefault="00B5501B" w:rsidP="00B5501B">
      <w:pPr>
        <w:pStyle w:val="ListBullet"/>
      </w:pPr>
      <w:r w:rsidRPr="00B5501B">
        <w:t xml:space="preserve">10 Phase </w:t>
      </w:r>
      <w:r w:rsidR="00CE56A1">
        <w:t>I</w:t>
      </w:r>
      <w:r w:rsidRPr="00B5501B">
        <w:t xml:space="preserve"> studies evaluating the clinical pharmacology and initial safety and tolerability of migalastat</w:t>
      </w:r>
      <w:r w:rsidR="00CD308A">
        <w:t>.</w:t>
      </w:r>
    </w:p>
    <w:p w:rsidR="00CD308A" w:rsidRDefault="00B5501B" w:rsidP="00B5501B">
      <w:pPr>
        <w:pStyle w:val="ListBullet"/>
      </w:pPr>
      <w:r w:rsidRPr="00B5501B">
        <w:t xml:space="preserve">5 Phase </w:t>
      </w:r>
      <w:r w:rsidR="00CE56A1">
        <w:t>II</w:t>
      </w:r>
      <w:r w:rsidRPr="00B5501B">
        <w:t xml:space="preserve"> studies evaluating the safety and tolerability of various migalastat doses and dosage regimens in subjects with Fabry disease.</w:t>
      </w:r>
    </w:p>
    <w:p w:rsidR="00CD308A" w:rsidRDefault="00B5501B" w:rsidP="00B5501B">
      <w:pPr>
        <w:pStyle w:val="ListBullet"/>
      </w:pPr>
      <w:r w:rsidRPr="00B5501B">
        <w:t xml:space="preserve">1 Phase </w:t>
      </w:r>
      <w:r w:rsidR="00CE56A1">
        <w:t>II</w:t>
      </w:r>
      <w:r w:rsidRPr="00B5501B">
        <w:t xml:space="preserve"> study in subjects with Fabry disease evaluating the pharmacokinetic drug-drug interaction between co-administered migalastat and agalsidase</w:t>
      </w:r>
      <w:r w:rsidR="00CD308A">
        <w:t>.</w:t>
      </w:r>
    </w:p>
    <w:p w:rsidR="00CD308A" w:rsidRDefault="00B5501B" w:rsidP="00B5501B">
      <w:pPr>
        <w:pStyle w:val="ListBullet"/>
      </w:pPr>
      <w:r w:rsidRPr="00B5501B">
        <w:t xml:space="preserve">2 Phase </w:t>
      </w:r>
      <w:r w:rsidR="00CE56A1">
        <w:t>III</w:t>
      </w:r>
      <w:r w:rsidR="00CE56A1" w:rsidRPr="00B5501B">
        <w:t xml:space="preserve"> </w:t>
      </w:r>
      <w:r w:rsidRPr="00B5501B">
        <w:t xml:space="preserve">studies which were identified by the sponsor as being the pivotal efficacy and safety studies </w:t>
      </w:r>
      <w:r w:rsidR="00CE56A1">
        <w:t xml:space="preserve">(Study </w:t>
      </w:r>
      <w:r w:rsidRPr="00B5501B">
        <w:t>AT1001-011 migalastat v</w:t>
      </w:r>
      <w:r w:rsidR="00CE56A1">
        <w:t>ersus</w:t>
      </w:r>
      <w:r w:rsidRPr="00B5501B">
        <w:t xml:space="preserve">s placebo; </w:t>
      </w:r>
      <w:r w:rsidR="00CE56A1">
        <w:t>Study </w:t>
      </w:r>
      <w:r w:rsidRPr="00B5501B">
        <w:t>AT1001</w:t>
      </w:r>
      <w:r w:rsidR="00CE56A1">
        <w:noBreakHyphen/>
      </w:r>
      <w:r w:rsidRPr="00B5501B">
        <w:t>012 migalastat v</w:t>
      </w:r>
      <w:r w:rsidR="00CE56A1">
        <w:t>ersu</w:t>
      </w:r>
      <w:r w:rsidRPr="00B5501B">
        <w:t>s ERT</w:t>
      </w:r>
      <w:r w:rsidR="00CE56A1">
        <w:t>)</w:t>
      </w:r>
      <w:r w:rsidR="00CD308A">
        <w:t>.</w:t>
      </w:r>
    </w:p>
    <w:p w:rsidR="00CD308A" w:rsidRDefault="00B5501B" w:rsidP="00B5501B">
      <w:pPr>
        <w:pStyle w:val="ListBullet"/>
      </w:pPr>
      <w:r w:rsidRPr="00B5501B">
        <w:t xml:space="preserve">2 Phase </w:t>
      </w:r>
      <w:r w:rsidR="00CE56A1">
        <w:t>III</w:t>
      </w:r>
      <w:r w:rsidRPr="00B5501B">
        <w:t xml:space="preserve"> studies which were open-label long-term extension trials and enrolled subjects who had successfully completed selected Phase </w:t>
      </w:r>
      <w:r w:rsidR="00CE56A1">
        <w:t>II</w:t>
      </w:r>
      <w:r w:rsidR="00CE56A1" w:rsidRPr="00B5501B">
        <w:t xml:space="preserve"> </w:t>
      </w:r>
      <w:r w:rsidRPr="00B5501B">
        <w:t xml:space="preserve">and </w:t>
      </w:r>
      <w:r w:rsidR="00CE56A1">
        <w:t>III</w:t>
      </w:r>
      <w:r w:rsidRPr="00B5501B">
        <w:t xml:space="preserve"> studies</w:t>
      </w:r>
      <w:r w:rsidR="00CD308A">
        <w:t>.</w:t>
      </w:r>
    </w:p>
    <w:p w:rsidR="00B5501B" w:rsidRPr="00B5501B" w:rsidRDefault="007756A0" w:rsidP="00B5501B">
      <w:pPr>
        <w:pStyle w:val="ListBullet"/>
      </w:pPr>
      <w:r>
        <w:t xml:space="preserve">Other data included </w:t>
      </w:r>
      <w:r w:rsidR="00B5501B" w:rsidRPr="00B5501B">
        <w:t>tables, figures and listings relating to the Summary of Safety and the Summary of Efficacy provided.</w:t>
      </w:r>
    </w:p>
    <w:p w:rsidR="00B5501B" w:rsidRPr="00B5501B" w:rsidRDefault="00B5501B" w:rsidP="00B5501B">
      <w:pPr>
        <w:pStyle w:val="ListBullet"/>
      </w:pPr>
      <w:r w:rsidRPr="00B5501B">
        <w:t>Literature references</w:t>
      </w:r>
    </w:p>
    <w:p w:rsidR="00605AD4" w:rsidRDefault="00605AD4" w:rsidP="00605AD4">
      <w:pPr>
        <w:pStyle w:val="Heading4"/>
      </w:pPr>
      <w:r w:rsidRPr="00605AD4">
        <w:t>Paediatric data</w:t>
      </w:r>
    </w:p>
    <w:p w:rsidR="00CD308A" w:rsidRDefault="00B5501B" w:rsidP="006A6B32">
      <w:r w:rsidRPr="00B5501B">
        <w:t>The dossier included data supporting use of migalastat in adolescent subjects aged 16 and 17 years. The sponsor stated that it had submitted data to the EU supporting approval of migalastat in subjects aged 16 and 17 years. The sponsor stated that it had an agreed Paediatric Investigation Plan in Europe. No data have been submitted to the US FDA for paediatric or adolescent subjects and the sponsor does not have an agreed paediatric plan under the relevant US legislation. The sponsor does not have a US waiver from submitting paediatric data.</w:t>
      </w:r>
      <w:r w:rsidR="00A56B24">
        <w:t xml:space="preserve"> </w:t>
      </w:r>
      <w:r w:rsidRPr="00B5501B">
        <w:t>Information provided by the sponsor in the EU Risk Management Plan (RMP) indicated that the clinical development programme for migalastat focused on adults and adolescents at least 16 years of age. The sponsor stated that a planned open-label, non-comparative, multicentre trial will evaluate the pharmacokinetics, pharmacodynamics, safety, and activity of migalastat in children from 2 years to less than 18 years of age with Fabry disease and amenable GLA mutations as part of an agreed Paediatric Investigation Plan. The sponsor stated that an EU waiver has been granted for all subsets of the paediatric population from birth to 2 years of age based on the grounds that clinical studies cannot be expected to be of significant therapeutic benefit or to fulfil a therapeutic need in this subset. The sponsor should indicate whether it intends submitting data to the TGA supporting approval in children and adolescents younger than 16 years of age</w:t>
      </w:r>
      <w:r w:rsidR="00CD308A">
        <w:t>.</w:t>
      </w:r>
    </w:p>
    <w:p w:rsidR="00605AD4" w:rsidRDefault="00605AD4" w:rsidP="00605AD4">
      <w:pPr>
        <w:pStyle w:val="Heading4"/>
      </w:pPr>
      <w:r w:rsidRPr="00605AD4">
        <w:t>Good clinical practice</w:t>
      </w:r>
    </w:p>
    <w:p w:rsidR="00CD308A" w:rsidRDefault="00FF196A" w:rsidP="00FF196A">
      <w:pPr>
        <w:rPr>
          <w:lang w:eastAsia="ja-JP"/>
        </w:rPr>
      </w:pPr>
      <w:r>
        <w:rPr>
          <w:lang w:eastAsia="ja-JP"/>
        </w:rPr>
        <w:t>The clinical studies are stated by the sponsor to have been conducted in compliance with Good Clinical Practice (GCP), including the archiving of essential documents</w:t>
      </w:r>
      <w:r w:rsidR="00CD308A">
        <w:rPr>
          <w:lang w:eastAsia="ja-JP"/>
        </w:rPr>
        <w:t>.</w:t>
      </w:r>
    </w:p>
    <w:p w:rsidR="008E7846" w:rsidRDefault="008E7846" w:rsidP="00605AD4">
      <w:pPr>
        <w:pStyle w:val="Heading3"/>
      </w:pPr>
      <w:bookmarkStart w:id="76" w:name="_Toc524949260"/>
      <w:r w:rsidRPr="00254787">
        <w:lastRenderedPageBreak/>
        <w:t>Pharmacokinetics</w:t>
      </w:r>
      <w:bookmarkEnd w:id="66"/>
      <w:bookmarkEnd w:id="73"/>
      <w:bookmarkEnd w:id="74"/>
      <w:bookmarkEnd w:id="75"/>
      <w:bookmarkEnd w:id="76"/>
    </w:p>
    <w:p w:rsidR="00605AD4" w:rsidRDefault="00605AD4" w:rsidP="00605AD4">
      <w:pPr>
        <w:pStyle w:val="Heading4"/>
      </w:pPr>
      <w:r>
        <w:t>Studies</w:t>
      </w:r>
      <w:r w:rsidR="00CD53B2">
        <w:t xml:space="preserve"> providing pharmacokinetic data</w:t>
      </w:r>
    </w:p>
    <w:p w:rsidR="0008773C" w:rsidRPr="00A3790E" w:rsidRDefault="0008773C" w:rsidP="0008773C">
      <w:r w:rsidRPr="00A3790E">
        <w:t xml:space="preserve">The </w:t>
      </w:r>
      <w:r>
        <w:t>PK</w:t>
      </w:r>
      <w:r w:rsidRPr="00A3790E">
        <w:t xml:space="preserve"> of migalastat have been evaluated in ten Phase 1 studies conducted in 242 subjects (218 healthy volunteers and 24 subjects with renal impairment), of whom 218 received migalastat and 24 received placebo (</w:t>
      </w:r>
      <w:r w:rsidR="007171F0">
        <w:t xml:space="preserve">across Studies </w:t>
      </w:r>
      <w:r w:rsidRPr="00A3790E">
        <w:t>FAB-CL-1</w:t>
      </w:r>
      <w:r>
        <w:t>03, AT1001-016, FAB-CL-101, FAB-</w:t>
      </w:r>
      <w:r w:rsidRPr="00A3790E">
        <w:t>CL-102, FAB-CL-104, AT1001-014, MGM115806, AT1001-015, AT1001-010, and AT1001-018)</w:t>
      </w:r>
      <w:r w:rsidR="007171F0">
        <w:t>.</w:t>
      </w:r>
    </w:p>
    <w:p w:rsidR="00CD308A" w:rsidRDefault="0008773C" w:rsidP="0008773C">
      <w:r w:rsidRPr="00A3790E">
        <w:t xml:space="preserve">In addition, the </w:t>
      </w:r>
      <w:r>
        <w:t>PK</w:t>
      </w:r>
      <w:r w:rsidRPr="00A3790E">
        <w:t xml:space="preserve"> of migal</w:t>
      </w:r>
      <w:r>
        <w:t>a</w:t>
      </w:r>
      <w:r w:rsidRPr="00A3790E">
        <w:t xml:space="preserve">stat </w:t>
      </w:r>
      <w:proofErr w:type="gramStart"/>
      <w:r w:rsidRPr="00A3790E">
        <w:t>have</w:t>
      </w:r>
      <w:proofErr w:type="gramEnd"/>
      <w:r w:rsidRPr="00A3790E">
        <w:t xml:space="preserve"> been evaluated in 126 patients with Fabry disease. These studies included two Phase </w:t>
      </w:r>
      <w:r w:rsidR="007171F0">
        <w:t>II</w:t>
      </w:r>
      <w:r w:rsidRPr="00A3790E">
        <w:t xml:space="preserve"> studies in 18 patients following dense PK sampling </w:t>
      </w:r>
      <w:r w:rsidR="007171F0">
        <w:t>(S</w:t>
      </w:r>
      <w:r w:rsidRPr="00A3790E">
        <w:t>tudie</w:t>
      </w:r>
      <w:r>
        <w:t>s FAB-CL-201 and FAB-CL-204</w:t>
      </w:r>
      <w:r w:rsidR="007171F0">
        <w:t>)</w:t>
      </w:r>
      <w:r w:rsidRPr="00A3790E">
        <w:t xml:space="preserve">, one Phase </w:t>
      </w:r>
      <w:r w:rsidR="007171F0">
        <w:t>II</w:t>
      </w:r>
      <w:r w:rsidRPr="00A3790E">
        <w:t xml:space="preserve"> study in 23 patients following sparse PK sampling </w:t>
      </w:r>
      <w:r w:rsidR="007171F0">
        <w:t>(Study</w:t>
      </w:r>
      <w:r w:rsidRPr="00A3790E">
        <w:t>FAB-CL-205</w:t>
      </w:r>
      <w:r w:rsidR="007171F0">
        <w:t>)</w:t>
      </w:r>
      <w:r w:rsidRPr="00A3790E">
        <w:t xml:space="preserve">, one Phase </w:t>
      </w:r>
      <w:r w:rsidR="007171F0">
        <w:t>II</w:t>
      </w:r>
      <w:r w:rsidR="007171F0" w:rsidRPr="00A3790E">
        <w:t xml:space="preserve"> </w:t>
      </w:r>
      <w:r w:rsidRPr="00A3790E">
        <w:t xml:space="preserve">study in 23 patients exploring PK interactions between migalastat and agalsidase </w:t>
      </w:r>
      <w:r w:rsidR="007171F0">
        <w:t>(St</w:t>
      </w:r>
      <w:r w:rsidRPr="00A3790E">
        <w:t xml:space="preserve">udy </w:t>
      </w:r>
      <w:r>
        <w:t>AT1001-103</w:t>
      </w:r>
      <w:r w:rsidR="007171F0">
        <w:t>)</w:t>
      </w:r>
      <w:r>
        <w:t xml:space="preserve">, and 62 patients </w:t>
      </w:r>
      <w:r w:rsidRPr="00A3790E">
        <w:t xml:space="preserve">in one Phase </w:t>
      </w:r>
      <w:r w:rsidR="007171F0">
        <w:t>III</w:t>
      </w:r>
      <w:r w:rsidRPr="00A3790E">
        <w:t xml:space="preserve"> study with sparse PK sampling </w:t>
      </w:r>
      <w:r w:rsidR="007171F0">
        <w:t>(S</w:t>
      </w:r>
      <w:r w:rsidRPr="00A3790E">
        <w:t>tudy AT1001-011</w:t>
      </w:r>
      <w:r w:rsidR="007171F0">
        <w:t>)</w:t>
      </w:r>
      <w:r w:rsidR="00CD308A">
        <w:t>.</w:t>
      </w:r>
    </w:p>
    <w:p w:rsidR="0008773C" w:rsidRDefault="0008773C" w:rsidP="0008773C">
      <w:r w:rsidRPr="00A3790E">
        <w:t xml:space="preserve">The </w:t>
      </w:r>
      <w:r>
        <w:t>PK</w:t>
      </w:r>
      <w:r w:rsidRPr="00A3790E">
        <w:t xml:space="preserve"> of migalastat h</w:t>
      </w:r>
      <w:r>
        <w:t xml:space="preserve">ave </w:t>
      </w:r>
      <w:r w:rsidRPr="00A3790E">
        <w:t xml:space="preserve">also been investigated in a population pharmacokinetic analysis (PPK) using pooled data from Phase </w:t>
      </w:r>
      <w:r w:rsidR="007171F0">
        <w:t>I</w:t>
      </w:r>
      <w:r w:rsidRPr="00A3790E">
        <w:t xml:space="preserve">, </w:t>
      </w:r>
      <w:r w:rsidR="007171F0">
        <w:t>II</w:t>
      </w:r>
      <w:r w:rsidRPr="00A3790E">
        <w:t xml:space="preserve">, and </w:t>
      </w:r>
      <w:r w:rsidR="007171F0">
        <w:t>III</w:t>
      </w:r>
      <w:r w:rsidRPr="00A3790E">
        <w:t xml:space="preserve"> studies at doses of 25 to 675 mg in 260 subjects (179 healthy subjects from 8 studies; 81 subjects with Fabry disease from 4 studies). </w:t>
      </w:r>
      <w:r>
        <w:t>N</w:t>
      </w:r>
      <w:r w:rsidRPr="00E81B2E">
        <w:t xml:space="preserve">o studies with PK </w:t>
      </w:r>
      <w:r>
        <w:t>data</w:t>
      </w:r>
      <w:r w:rsidRPr="00E81B2E">
        <w:t xml:space="preserve"> were excluded from consideration.</w:t>
      </w:r>
    </w:p>
    <w:p w:rsidR="0008773C" w:rsidRPr="00E81B2E" w:rsidRDefault="0008773C" w:rsidP="0008773C">
      <w:pPr>
        <w:rPr>
          <w:lang w:eastAsia="ja-JP"/>
        </w:rPr>
      </w:pPr>
      <w:r w:rsidRPr="00E81B2E">
        <w:rPr>
          <w:lang w:eastAsia="ja-JP"/>
        </w:rPr>
        <w:t>The studies wi</w:t>
      </w:r>
      <w:r w:rsidR="00CF19C7">
        <w:rPr>
          <w:lang w:eastAsia="ja-JP"/>
        </w:rPr>
        <w:t>th PK data are summarised below.</w:t>
      </w:r>
    </w:p>
    <w:p w:rsidR="0008773C" w:rsidRPr="00E81B2E" w:rsidRDefault="0008773C" w:rsidP="0008773C">
      <w:pPr>
        <w:pStyle w:val="TableTitle"/>
      </w:pPr>
      <w:bookmarkStart w:id="77" w:name="_Toc461980978"/>
      <w:proofErr w:type="gramStart"/>
      <w:r w:rsidRPr="00E81B2E">
        <w:t xml:space="preserve">Table </w:t>
      </w:r>
      <w:r w:rsidR="00DA0430">
        <w:t>3</w:t>
      </w:r>
      <w:r>
        <w:t>:</w:t>
      </w:r>
      <w:r w:rsidRPr="00E81B2E">
        <w:t xml:space="preserve"> Submitted pharmacokinetic studies.</w:t>
      </w:r>
      <w:bookmarkEnd w:id="77"/>
      <w:proofErr w:type="gramEnd"/>
    </w:p>
    <w:tbl>
      <w:tblPr>
        <w:tblStyle w:val="TableTGAblue"/>
        <w:tblW w:w="8931" w:type="dxa"/>
        <w:tblInd w:w="108" w:type="dxa"/>
        <w:tblLayout w:type="fixed"/>
        <w:tblLook w:val="04A0" w:firstRow="1" w:lastRow="0" w:firstColumn="1" w:lastColumn="0" w:noHBand="0" w:noVBand="1"/>
      </w:tblPr>
      <w:tblGrid>
        <w:gridCol w:w="1985"/>
        <w:gridCol w:w="3685"/>
        <w:gridCol w:w="1843"/>
        <w:gridCol w:w="1418"/>
      </w:tblGrid>
      <w:tr w:rsidR="0008773C" w:rsidRPr="00F5175D" w:rsidTr="00CF19C7">
        <w:trPr>
          <w:cnfStyle w:val="100000000000" w:firstRow="1" w:lastRow="0" w:firstColumn="0" w:lastColumn="0" w:oddVBand="0" w:evenVBand="0" w:oddHBand="0" w:evenHBand="0" w:firstRowFirstColumn="0" w:firstRowLastColumn="0" w:lastRowFirstColumn="0" w:lastRowLastColumn="0"/>
        </w:trPr>
        <w:tc>
          <w:tcPr>
            <w:tcW w:w="1985" w:type="dxa"/>
          </w:tcPr>
          <w:p w:rsidR="0008773C" w:rsidRPr="00F5175D" w:rsidRDefault="0008773C" w:rsidP="00F5175D">
            <w:pPr>
              <w:rPr>
                <w:b w:val="0"/>
                <w:sz w:val="20"/>
                <w:szCs w:val="20"/>
              </w:rPr>
            </w:pPr>
            <w:r w:rsidRPr="00F5175D">
              <w:rPr>
                <w:sz w:val="20"/>
                <w:szCs w:val="20"/>
              </w:rPr>
              <w:t>PK topic</w:t>
            </w:r>
          </w:p>
        </w:tc>
        <w:tc>
          <w:tcPr>
            <w:tcW w:w="3685" w:type="dxa"/>
          </w:tcPr>
          <w:p w:rsidR="0008773C" w:rsidRPr="00F5175D" w:rsidRDefault="0008773C" w:rsidP="00F5175D">
            <w:pPr>
              <w:rPr>
                <w:b w:val="0"/>
                <w:sz w:val="20"/>
                <w:szCs w:val="20"/>
              </w:rPr>
            </w:pPr>
            <w:r w:rsidRPr="00F5175D">
              <w:rPr>
                <w:sz w:val="20"/>
                <w:szCs w:val="20"/>
              </w:rPr>
              <w:t>Subtopic</w:t>
            </w:r>
          </w:p>
        </w:tc>
        <w:tc>
          <w:tcPr>
            <w:tcW w:w="1843" w:type="dxa"/>
          </w:tcPr>
          <w:p w:rsidR="0008773C" w:rsidRPr="00F5175D" w:rsidRDefault="0008773C" w:rsidP="00F5175D">
            <w:pPr>
              <w:rPr>
                <w:b w:val="0"/>
                <w:sz w:val="20"/>
                <w:szCs w:val="20"/>
              </w:rPr>
            </w:pPr>
            <w:r w:rsidRPr="00F5175D">
              <w:rPr>
                <w:sz w:val="20"/>
                <w:szCs w:val="20"/>
              </w:rPr>
              <w:t>Study ID</w:t>
            </w:r>
          </w:p>
        </w:tc>
        <w:tc>
          <w:tcPr>
            <w:tcW w:w="1418" w:type="dxa"/>
          </w:tcPr>
          <w:p w:rsidR="0008773C" w:rsidRPr="00F5175D" w:rsidRDefault="0008773C" w:rsidP="00F5175D">
            <w:pPr>
              <w:rPr>
                <w:b w:val="0"/>
                <w:sz w:val="20"/>
                <w:szCs w:val="20"/>
              </w:rPr>
            </w:pPr>
            <w:r w:rsidRPr="00F5175D">
              <w:rPr>
                <w:sz w:val="20"/>
                <w:szCs w:val="20"/>
              </w:rPr>
              <w:t>N *</w:t>
            </w:r>
          </w:p>
        </w:tc>
      </w:tr>
      <w:tr w:rsidR="0008773C" w:rsidRPr="00F5175D" w:rsidTr="00CF19C7">
        <w:tc>
          <w:tcPr>
            <w:tcW w:w="1985" w:type="dxa"/>
            <w:vMerge w:val="restart"/>
          </w:tcPr>
          <w:p w:rsidR="0008773C" w:rsidRPr="00F5175D" w:rsidRDefault="0008773C" w:rsidP="00F5175D">
            <w:pPr>
              <w:rPr>
                <w:sz w:val="20"/>
                <w:szCs w:val="20"/>
              </w:rPr>
            </w:pPr>
            <w:r w:rsidRPr="00F5175D">
              <w:rPr>
                <w:sz w:val="20"/>
                <w:szCs w:val="20"/>
              </w:rPr>
              <w:t>PK in healthy adults</w:t>
            </w:r>
          </w:p>
        </w:tc>
        <w:tc>
          <w:tcPr>
            <w:tcW w:w="3685" w:type="dxa"/>
          </w:tcPr>
          <w:p w:rsidR="0008773C" w:rsidRPr="00F5175D" w:rsidRDefault="0008773C" w:rsidP="00F5175D">
            <w:pPr>
              <w:rPr>
                <w:sz w:val="20"/>
                <w:szCs w:val="20"/>
              </w:rPr>
            </w:pPr>
            <w:r w:rsidRPr="00F5175D">
              <w:rPr>
                <w:sz w:val="20"/>
                <w:szCs w:val="20"/>
              </w:rPr>
              <w:t>General PK</w:t>
            </w:r>
            <w:r w:rsidRPr="00F5175D">
              <w:rPr>
                <w:sz w:val="20"/>
                <w:szCs w:val="20"/>
              </w:rPr>
              <w:tab/>
              <w:t>- Single dose</w:t>
            </w:r>
          </w:p>
        </w:tc>
        <w:tc>
          <w:tcPr>
            <w:tcW w:w="1843" w:type="dxa"/>
          </w:tcPr>
          <w:p w:rsidR="0008773C" w:rsidRPr="00F5175D" w:rsidRDefault="0008773C" w:rsidP="00F5175D">
            <w:pPr>
              <w:rPr>
                <w:sz w:val="20"/>
                <w:szCs w:val="20"/>
              </w:rPr>
            </w:pPr>
            <w:r w:rsidRPr="00F5175D">
              <w:rPr>
                <w:sz w:val="20"/>
                <w:szCs w:val="20"/>
              </w:rPr>
              <w:t>FAB-CL-101</w:t>
            </w:r>
          </w:p>
          <w:p w:rsidR="0008773C" w:rsidRPr="00F5175D" w:rsidRDefault="0008773C" w:rsidP="00F5175D">
            <w:pPr>
              <w:rPr>
                <w:sz w:val="20"/>
                <w:szCs w:val="20"/>
              </w:rPr>
            </w:pPr>
            <w:r w:rsidRPr="00F5175D">
              <w:rPr>
                <w:sz w:val="20"/>
                <w:szCs w:val="20"/>
              </w:rPr>
              <w:t>FAB-CL-104</w:t>
            </w:r>
          </w:p>
        </w:tc>
        <w:tc>
          <w:tcPr>
            <w:tcW w:w="1418" w:type="dxa"/>
          </w:tcPr>
          <w:p w:rsidR="0008773C" w:rsidRPr="00F5175D" w:rsidRDefault="0008773C" w:rsidP="00F5175D">
            <w:pPr>
              <w:rPr>
                <w:sz w:val="20"/>
                <w:szCs w:val="20"/>
              </w:rPr>
            </w:pPr>
            <w:r w:rsidRPr="00F5175D">
              <w:rPr>
                <w:sz w:val="20"/>
                <w:szCs w:val="20"/>
              </w:rPr>
              <w:t>32</w:t>
            </w:r>
          </w:p>
          <w:p w:rsidR="0008773C" w:rsidRPr="00F5175D" w:rsidRDefault="0008773C" w:rsidP="00F5175D">
            <w:pPr>
              <w:rPr>
                <w:sz w:val="20"/>
                <w:szCs w:val="20"/>
              </w:rPr>
            </w:pPr>
            <w:r w:rsidRPr="00F5175D">
              <w:rPr>
                <w:sz w:val="20"/>
                <w:szCs w:val="20"/>
              </w:rPr>
              <w:t>24</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ab/>
              <w:t>- Multi-dose</w:t>
            </w:r>
          </w:p>
        </w:tc>
        <w:tc>
          <w:tcPr>
            <w:tcW w:w="1843" w:type="dxa"/>
          </w:tcPr>
          <w:p w:rsidR="0008773C" w:rsidRPr="00F5175D" w:rsidRDefault="0008773C" w:rsidP="00F5175D">
            <w:pPr>
              <w:rPr>
                <w:sz w:val="20"/>
                <w:szCs w:val="20"/>
              </w:rPr>
            </w:pPr>
            <w:r w:rsidRPr="00F5175D">
              <w:rPr>
                <w:sz w:val="20"/>
                <w:szCs w:val="20"/>
              </w:rPr>
              <w:t>FAB-CL-102</w:t>
            </w:r>
          </w:p>
        </w:tc>
        <w:tc>
          <w:tcPr>
            <w:tcW w:w="1418" w:type="dxa"/>
          </w:tcPr>
          <w:p w:rsidR="0008773C" w:rsidRPr="00F5175D" w:rsidRDefault="0008773C" w:rsidP="00F5175D">
            <w:pPr>
              <w:rPr>
                <w:sz w:val="20"/>
                <w:szCs w:val="20"/>
              </w:rPr>
            </w:pPr>
            <w:r w:rsidRPr="00F5175D">
              <w:rPr>
                <w:sz w:val="20"/>
                <w:szCs w:val="20"/>
              </w:rPr>
              <w:t>16</w:t>
            </w:r>
          </w:p>
        </w:tc>
      </w:tr>
      <w:tr w:rsidR="0008773C" w:rsidRPr="00F5175D" w:rsidTr="00CF19C7">
        <w:trPr>
          <w:trHeight w:val="505"/>
        </w:trPr>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 xml:space="preserve">Absolute Bioavailability </w:t>
            </w:r>
          </w:p>
        </w:tc>
        <w:tc>
          <w:tcPr>
            <w:tcW w:w="1843" w:type="dxa"/>
          </w:tcPr>
          <w:p w:rsidR="0008773C" w:rsidRPr="00F5175D" w:rsidRDefault="0008773C" w:rsidP="00F5175D">
            <w:pPr>
              <w:rPr>
                <w:sz w:val="20"/>
                <w:szCs w:val="20"/>
              </w:rPr>
            </w:pPr>
            <w:r w:rsidRPr="00F5175D">
              <w:rPr>
                <w:sz w:val="20"/>
                <w:szCs w:val="20"/>
              </w:rPr>
              <w:t>AT1001-018</w:t>
            </w:r>
          </w:p>
        </w:tc>
        <w:tc>
          <w:tcPr>
            <w:tcW w:w="1418" w:type="dxa"/>
          </w:tcPr>
          <w:p w:rsidR="0008773C" w:rsidRPr="00F5175D" w:rsidRDefault="0008773C" w:rsidP="00F5175D">
            <w:pPr>
              <w:rPr>
                <w:sz w:val="20"/>
                <w:szCs w:val="20"/>
              </w:rPr>
            </w:pPr>
            <w:r w:rsidRPr="00F5175D">
              <w:rPr>
                <w:sz w:val="20"/>
                <w:szCs w:val="20"/>
              </w:rPr>
              <w:t>10</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Bioequivalence †</w:t>
            </w:r>
            <w:r w:rsidRPr="00F5175D">
              <w:rPr>
                <w:sz w:val="20"/>
                <w:szCs w:val="20"/>
              </w:rPr>
              <w:tab/>
              <w:t>- Single dose</w:t>
            </w:r>
          </w:p>
        </w:tc>
        <w:tc>
          <w:tcPr>
            <w:tcW w:w="1843" w:type="dxa"/>
          </w:tcPr>
          <w:p w:rsidR="0008773C" w:rsidRPr="00F5175D" w:rsidRDefault="0008773C" w:rsidP="00F5175D">
            <w:pPr>
              <w:rPr>
                <w:sz w:val="20"/>
                <w:szCs w:val="20"/>
              </w:rPr>
            </w:pPr>
            <w:r w:rsidRPr="00F5175D">
              <w:rPr>
                <w:sz w:val="20"/>
                <w:szCs w:val="20"/>
              </w:rPr>
              <w:t xml:space="preserve">FAB-CL-103 </w:t>
            </w:r>
          </w:p>
        </w:tc>
        <w:tc>
          <w:tcPr>
            <w:tcW w:w="1418" w:type="dxa"/>
          </w:tcPr>
          <w:p w:rsidR="0008773C" w:rsidRPr="00F5175D" w:rsidRDefault="0008773C" w:rsidP="00F5175D">
            <w:pPr>
              <w:rPr>
                <w:sz w:val="20"/>
                <w:szCs w:val="20"/>
              </w:rPr>
            </w:pPr>
            <w:r w:rsidRPr="00F5175D">
              <w:rPr>
                <w:sz w:val="20"/>
                <w:szCs w:val="20"/>
              </w:rPr>
              <w:t>15</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ab/>
              <w:t>- Multi-dose</w:t>
            </w:r>
          </w:p>
        </w:tc>
        <w:tc>
          <w:tcPr>
            <w:tcW w:w="1843" w:type="dxa"/>
          </w:tcPr>
          <w:p w:rsidR="0008773C" w:rsidRPr="00F5175D" w:rsidRDefault="0008773C" w:rsidP="00F5175D">
            <w:pPr>
              <w:rPr>
                <w:sz w:val="20"/>
                <w:szCs w:val="20"/>
              </w:rPr>
            </w:pPr>
            <w:r w:rsidRPr="00F5175D">
              <w:rPr>
                <w:sz w:val="20"/>
                <w:szCs w:val="20"/>
              </w:rPr>
              <w:t>No studies</w:t>
            </w:r>
          </w:p>
        </w:tc>
        <w:tc>
          <w:tcPr>
            <w:tcW w:w="1418" w:type="dxa"/>
          </w:tcPr>
          <w:p w:rsidR="0008773C" w:rsidRPr="00F5175D" w:rsidRDefault="0008773C" w:rsidP="00F5175D">
            <w:pPr>
              <w:rPr>
                <w:sz w:val="20"/>
                <w:szCs w:val="20"/>
              </w:rPr>
            </w:pPr>
            <w:r w:rsidRPr="00F5175D">
              <w:rPr>
                <w:sz w:val="20"/>
                <w:szCs w:val="20"/>
              </w:rPr>
              <w:t>-</w:t>
            </w:r>
          </w:p>
        </w:tc>
      </w:tr>
      <w:tr w:rsidR="0008773C" w:rsidRPr="00F5175D" w:rsidTr="00CF19C7">
        <w:trPr>
          <w:trHeight w:val="480"/>
        </w:trPr>
        <w:tc>
          <w:tcPr>
            <w:tcW w:w="1985" w:type="dxa"/>
            <w:vMerge/>
            <w:tcBorders>
              <w:bottom w:val="nil"/>
            </w:tcBorders>
          </w:tcPr>
          <w:p w:rsidR="0008773C" w:rsidRPr="00F5175D" w:rsidRDefault="0008773C" w:rsidP="00F5175D">
            <w:pPr>
              <w:rPr>
                <w:sz w:val="20"/>
                <w:szCs w:val="20"/>
              </w:rPr>
            </w:pPr>
          </w:p>
        </w:tc>
        <w:tc>
          <w:tcPr>
            <w:tcW w:w="3685" w:type="dxa"/>
            <w:tcBorders>
              <w:bottom w:val="single" w:sz="4" w:space="0" w:color="auto"/>
            </w:tcBorders>
          </w:tcPr>
          <w:p w:rsidR="0008773C" w:rsidRPr="00F5175D" w:rsidRDefault="0008773C" w:rsidP="00F5175D">
            <w:pPr>
              <w:rPr>
                <w:sz w:val="20"/>
                <w:szCs w:val="20"/>
              </w:rPr>
            </w:pPr>
            <w:r w:rsidRPr="00F5175D">
              <w:rPr>
                <w:sz w:val="20"/>
                <w:szCs w:val="20"/>
              </w:rPr>
              <w:t xml:space="preserve">Food effect – Single-dose </w:t>
            </w:r>
          </w:p>
        </w:tc>
        <w:tc>
          <w:tcPr>
            <w:tcW w:w="1843" w:type="dxa"/>
            <w:tcBorders>
              <w:bottom w:val="single" w:sz="4" w:space="0" w:color="auto"/>
            </w:tcBorders>
          </w:tcPr>
          <w:p w:rsidR="0008773C" w:rsidRPr="00F5175D" w:rsidRDefault="0008773C" w:rsidP="00F5175D">
            <w:pPr>
              <w:rPr>
                <w:sz w:val="20"/>
                <w:szCs w:val="20"/>
              </w:rPr>
            </w:pPr>
            <w:r w:rsidRPr="00F5175D">
              <w:rPr>
                <w:sz w:val="20"/>
                <w:szCs w:val="20"/>
              </w:rPr>
              <w:t>FAB-CL-103</w:t>
            </w:r>
          </w:p>
          <w:p w:rsidR="0008773C" w:rsidRPr="00F5175D" w:rsidRDefault="0008773C" w:rsidP="00F5175D">
            <w:pPr>
              <w:rPr>
                <w:sz w:val="20"/>
                <w:szCs w:val="20"/>
              </w:rPr>
            </w:pPr>
            <w:r w:rsidRPr="00F5175D">
              <w:rPr>
                <w:sz w:val="20"/>
                <w:szCs w:val="20"/>
              </w:rPr>
              <w:t>AT-1001-016</w:t>
            </w:r>
          </w:p>
        </w:tc>
        <w:tc>
          <w:tcPr>
            <w:tcW w:w="1418" w:type="dxa"/>
            <w:tcBorders>
              <w:bottom w:val="single" w:sz="4" w:space="0" w:color="auto"/>
            </w:tcBorders>
          </w:tcPr>
          <w:p w:rsidR="0008773C" w:rsidRPr="00F5175D" w:rsidRDefault="0008773C" w:rsidP="00F5175D">
            <w:pPr>
              <w:rPr>
                <w:sz w:val="20"/>
                <w:szCs w:val="20"/>
              </w:rPr>
            </w:pPr>
            <w:r w:rsidRPr="00F5175D">
              <w:rPr>
                <w:sz w:val="20"/>
                <w:szCs w:val="20"/>
              </w:rPr>
              <w:t>14</w:t>
            </w:r>
          </w:p>
          <w:p w:rsidR="0008773C" w:rsidRPr="00F5175D" w:rsidRDefault="0008773C" w:rsidP="00F5175D">
            <w:pPr>
              <w:rPr>
                <w:sz w:val="20"/>
                <w:szCs w:val="20"/>
              </w:rPr>
            </w:pPr>
            <w:r w:rsidRPr="00F5175D">
              <w:rPr>
                <w:sz w:val="20"/>
                <w:szCs w:val="20"/>
              </w:rPr>
              <w:t>20</w:t>
            </w:r>
          </w:p>
        </w:tc>
      </w:tr>
      <w:tr w:rsidR="0008773C" w:rsidRPr="00F5175D" w:rsidTr="00CF19C7">
        <w:trPr>
          <w:trHeight w:val="480"/>
        </w:trPr>
        <w:tc>
          <w:tcPr>
            <w:tcW w:w="1985" w:type="dxa"/>
            <w:tcBorders>
              <w:top w:val="nil"/>
              <w:bottom w:val="nil"/>
            </w:tcBorders>
          </w:tcPr>
          <w:p w:rsidR="0008773C" w:rsidRPr="00F5175D" w:rsidRDefault="0008773C" w:rsidP="00F5175D">
            <w:pPr>
              <w:rPr>
                <w:sz w:val="20"/>
                <w:szCs w:val="20"/>
              </w:rPr>
            </w:pPr>
          </w:p>
        </w:tc>
        <w:tc>
          <w:tcPr>
            <w:tcW w:w="3685" w:type="dxa"/>
            <w:tcBorders>
              <w:bottom w:val="single" w:sz="4" w:space="0" w:color="auto"/>
            </w:tcBorders>
          </w:tcPr>
          <w:p w:rsidR="0008773C" w:rsidRPr="00F5175D" w:rsidRDefault="0008773C" w:rsidP="00F5175D">
            <w:pPr>
              <w:rPr>
                <w:sz w:val="20"/>
                <w:szCs w:val="20"/>
              </w:rPr>
            </w:pPr>
            <w:r w:rsidRPr="00F5175D">
              <w:rPr>
                <w:sz w:val="20"/>
                <w:szCs w:val="20"/>
              </w:rPr>
              <w:t>Mass balance / ADME – Single-dose</w:t>
            </w:r>
          </w:p>
        </w:tc>
        <w:tc>
          <w:tcPr>
            <w:tcW w:w="1843" w:type="dxa"/>
            <w:tcBorders>
              <w:bottom w:val="single" w:sz="4" w:space="0" w:color="auto"/>
            </w:tcBorders>
          </w:tcPr>
          <w:p w:rsidR="0008773C" w:rsidRPr="00F5175D" w:rsidRDefault="0008773C" w:rsidP="00F5175D">
            <w:pPr>
              <w:rPr>
                <w:sz w:val="20"/>
                <w:szCs w:val="20"/>
              </w:rPr>
            </w:pPr>
            <w:r w:rsidRPr="00F5175D">
              <w:rPr>
                <w:sz w:val="20"/>
                <w:szCs w:val="20"/>
              </w:rPr>
              <w:t>AT 1001-014</w:t>
            </w:r>
          </w:p>
        </w:tc>
        <w:tc>
          <w:tcPr>
            <w:tcW w:w="1418" w:type="dxa"/>
            <w:tcBorders>
              <w:bottom w:val="single" w:sz="4" w:space="0" w:color="auto"/>
            </w:tcBorders>
          </w:tcPr>
          <w:p w:rsidR="0008773C" w:rsidRPr="00F5175D" w:rsidRDefault="0008773C" w:rsidP="00F5175D">
            <w:pPr>
              <w:rPr>
                <w:sz w:val="20"/>
                <w:szCs w:val="20"/>
              </w:rPr>
            </w:pPr>
            <w:r w:rsidRPr="00F5175D">
              <w:rPr>
                <w:sz w:val="20"/>
                <w:szCs w:val="20"/>
              </w:rPr>
              <w:t>6</w:t>
            </w:r>
          </w:p>
        </w:tc>
      </w:tr>
      <w:tr w:rsidR="0008773C" w:rsidRPr="00F5175D" w:rsidTr="00CF19C7">
        <w:tc>
          <w:tcPr>
            <w:tcW w:w="1985" w:type="dxa"/>
            <w:vMerge w:val="restart"/>
          </w:tcPr>
          <w:p w:rsidR="0008773C" w:rsidRPr="00F5175D" w:rsidRDefault="0008773C" w:rsidP="00F5175D">
            <w:pPr>
              <w:rPr>
                <w:sz w:val="20"/>
                <w:szCs w:val="20"/>
              </w:rPr>
            </w:pPr>
            <w:r w:rsidRPr="00F5175D">
              <w:rPr>
                <w:sz w:val="20"/>
                <w:szCs w:val="20"/>
              </w:rPr>
              <w:t>PK in special populations</w:t>
            </w:r>
          </w:p>
        </w:tc>
        <w:tc>
          <w:tcPr>
            <w:tcW w:w="3685" w:type="dxa"/>
          </w:tcPr>
          <w:p w:rsidR="0008773C" w:rsidRPr="00F5175D" w:rsidRDefault="0008773C" w:rsidP="00F5175D">
            <w:pPr>
              <w:rPr>
                <w:sz w:val="20"/>
                <w:szCs w:val="20"/>
              </w:rPr>
            </w:pPr>
            <w:r w:rsidRPr="00F5175D">
              <w:rPr>
                <w:sz w:val="20"/>
                <w:szCs w:val="20"/>
              </w:rPr>
              <w:t xml:space="preserve">Target population - Fabry Disease </w:t>
            </w:r>
          </w:p>
        </w:tc>
        <w:tc>
          <w:tcPr>
            <w:tcW w:w="1843" w:type="dxa"/>
          </w:tcPr>
          <w:p w:rsidR="00CD308A" w:rsidRPr="00F5175D" w:rsidRDefault="0008773C" w:rsidP="00F5175D">
            <w:pPr>
              <w:rPr>
                <w:sz w:val="20"/>
                <w:szCs w:val="20"/>
              </w:rPr>
            </w:pPr>
            <w:r w:rsidRPr="00F5175D">
              <w:rPr>
                <w:sz w:val="20"/>
                <w:szCs w:val="20"/>
              </w:rPr>
              <w:t>FAB-CL-201</w:t>
            </w:r>
          </w:p>
          <w:p w:rsidR="0008773C" w:rsidRPr="00F5175D" w:rsidRDefault="0008773C" w:rsidP="00F5175D">
            <w:pPr>
              <w:rPr>
                <w:sz w:val="20"/>
                <w:szCs w:val="20"/>
              </w:rPr>
            </w:pPr>
            <w:r w:rsidRPr="00F5175D">
              <w:rPr>
                <w:sz w:val="20"/>
                <w:szCs w:val="20"/>
              </w:rPr>
              <w:t>FAB-CL-204</w:t>
            </w:r>
          </w:p>
          <w:p w:rsidR="0008773C" w:rsidRPr="00F5175D" w:rsidRDefault="0008773C" w:rsidP="00F5175D">
            <w:pPr>
              <w:rPr>
                <w:sz w:val="20"/>
                <w:szCs w:val="20"/>
              </w:rPr>
            </w:pPr>
            <w:r w:rsidRPr="00F5175D">
              <w:rPr>
                <w:sz w:val="20"/>
                <w:szCs w:val="20"/>
              </w:rPr>
              <w:t>FABCL-205</w:t>
            </w:r>
          </w:p>
          <w:p w:rsidR="0008773C" w:rsidRPr="00F5175D" w:rsidRDefault="0008773C" w:rsidP="00F5175D">
            <w:pPr>
              <w:rPr>
                <w:sz w:val="20"/>
                <w:szCs w:val="20"/>
              </w:rPr>
            </w:pPr>
            <w:r w:rsidRPr="00F5175D">
              <w:rPr>
                <w:sz w:val="20"/>
                <w:szCs w:val="20"/>
              </w:rPr>
              <w:t>AT1001-103</w:t>
            </w:r>
          </w:p>
          <w:p w:rsidR="0008773C" w:rsidRPr="00F5175D" w:rsidRDefault="0008773C" w:rsidP="00F5175D">
            <w:pPr>
              <w:rPr>
                <w:sz w:val="20"/>
                <w:szCs w:val="20"/>
              </w:rPr>
            </w:pPr>
            <w:r w:rsidRPr="00F5175D">
              <w:rPr>
                <w:sz w:val="20"/>
                <w:szCs w:val="20"/>
              </w:rPr>
              <w:t>AT1001-011</w:t>
            </w:r>
          </w:p>
        </w:tc>
        <w:tc>
          <w:tcPr>
            <w:tcW w:w="1418" w:type="dxa"/>
          </w:tcPr>
          <w:p w:rsidR="0008773C" w:rsidRPr="00F5175D" w:rsidRDefault="0008773C" w:rsidP="00F5175D">
            <w:pPr>
              <w:rPr>
                <w:sz w:val="20"/>
                <w:szCs w:val="20"/>
              </w:rPr>
            </w:pPr>
            <w:r w:rsidRPr="00F5175D">
              <w:rPr>
                <w:sz w:val="20"/>
                <w:szCs w:val="20"/>
              </w:rPr>
              <w:t>9</w:t>
            </w:r>
          </w:p>
          <w:p w:rsidR="0008773C" w:rsidRPr="00F5175D" w:rsidRDefault="0008773C" w:rsidP="00F5175D">
            <w:pPr>
              <w:rPr>
                <w:sz w:val="20"/>
                <w:szCs w:val="20"/>
              </w:rPr>
            </w:pPr>
            <w:r w:rsidRPr="00F5175D">
              <w:rPr>
                <w:sz w:val="20"/>
                <w:szCs w:val="20"/>
              </w:rPr>
              <w:t>9</w:t>
            </w:r>
          </w:p>
          <w:p w:rsidR="0008773C" w:rsidRPr="00F5175D" w:rsidRDefault="0008773C" w:rsidP="00F5175D">
            <w:pPr>
              <w:rPr>
                <w:sz w:val="20"/>
                <w:szCs w:val="20"/>
              </w:rPr>
            </w:pPr>
            <w:r w:rsidRPr="00F5175D">
              <w:rPr>
                <w:sz w:val="20"/>
                <w:szCs w:val="20"/>
              </w:rPr>
              <w:t>23</w:t>
            </w:r>
          </w:p>
          <w:p w:rsidR="0008773C" w:rsidRPr="00F5175D" w:rsidRDefault="0008773C" w:rsidP="00F5175D">
            <w:pPr>
              <w:rPr>
                <w:sz w:val="20"/>
                <w:szCs w:val="20"/>
              </w:rPr>
            </w:pPr>
            <w:r w:rsidRPr="00F5175D">
              <w:rPr>
                <w:sz w:val="20"/>
                <w:szCs w:val="20"/>
              </w:rPr>
              <w:t>23</w:t>
            </w:r>
          </w:p>
          <w:p w:rsidR="0008773C" w:rsidRPr="00F5175D" w:rsidRDefault="0008773C" w:rsidP="00F5175D">
            <w:pPr>
              <w:rPr>
                <w:sz w:val="20"/>
                <w:szCs w:val="20"/>
              </w:rPr>
            </w:pPr>
            <w:r w:rsidRPr="00F5175D">
              <w:rPr>
                <w:sz w:val="20"/>
                <w:szCs w:val="20"/>
              </w:rPr>
              <w:t>62</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Hepatic impairment</w:t>
            </w:r>
          </w:p>
        </w:tc>
        <w:tc>
          <w:tcPr>
            <w:tcW w:w="1843" w:type="dxa"/>
          </w:tcPr>
          <w:p w:rsidR="0008773C" w:rsidRPr="00F5175D" w:rsidRDefault="0008773C" w:rsidP="00F5175D">
            <w:pPr>
              <w:rPr>
                <w:sz w:val="20"/>
                <w:szCs w:val="20"/>
              </w:rPr>
            </w:pPr>
            <w:r w:rsidRPr="00F5175D">
              <w:rPr>
                <w:sz w:val="20"/>
                <w:szCs w:val="20"/>
              </w:rPr>
              <w:t>No studies</w:t>
            </w:r>
          </w:p>
        </w:tc>
        <w:tc>
          <w:tcPr>
            <w:tcW w:w="1418" w:type="dxa"/>
          </w:tcPr>
          <w:p w:rsidR="0008773C" w:rsidRPr="00F5175D" w:rsidRDefault="0008773C" w:rsidP="00F5175D">
            <w:pPr>
              <w:rPr>
                <w:sz w:val="20"/>
                <w:szCs w:val="20"/>
              </w:rPr>
            </w:pPr>
            <w:r w:rsidRPr="00F5175D">
              <w:rPr>
                <w:sz w:val="20"/>
                <w:szCs w:val="20"/>
              </w:rPr>
              <w:t>-</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Renal impairment</w:t>
            </w:r>
          </w:p>
        </w:tc>
        <w:tc>
          <w:tcPr>
            <w:tcW w:w="1843" w:type="dxa"/>
          </w:tcPr>
          <w:p w:rsidR="0008773C" w:rsidRPr="00F5175D" w:rsidRDefault="0008773C" w:rsidP="00F5175D">
            <w:pPr>
              <w:rPr>
                <w:sz w:val="20"/>
                <w:szCs w:val="20"/>
              </w:rPr>
            </w:pPr>
            <w:r w:rsidRPr="00F5175D">
              <w:rPr>
                <w:sz w:val="20"/>
                <w:szCs w:val="20"/>
              </w:rPr>
              <w:t>AT1001-015</w:t>
            </w:r>
          </w:p>
        </w:tc>
        <w:tc>
          <w:tcPr>
            <w:tcW w:w="1418" w:type="dxa"/>
          </w:tcPr>
          <w:p w:rsidR="0008773C" w:rsidRPr="00F5175D" w:rsidRDefault="0008773C" w:rsidP="00F5175D">
            <w:pPr>
              <w:rPr>
                <w:sz w:val="20"/>
                <w:szCs w:val="20"/>
              </w:rPr>
            </w:pPr>
            <w:r w:rsidRPr="00F5175D">
              <w:rPr>
                <w:sz w:val="20"/>
                <w:szCs w:val="20"/>
              </w:rPr>
              <w:t>32</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Neonates/infants/children/adolescents</w:t>
            </w:r>
          </w:p>
        </w:tc>
        <w:tc>
          <w:tcPr>
            <w:tcW w:w="1843" w:type="dxa"/>
          </w:tcPr>
          <w:p w:rsidR="0008773C" w:rsidRPr="00F5175D" w:rsidRDefault="0008773C" w:rsidP="00F5175D">
            <w:pPr>
              <w:rPr>
                <w:sz w:val="20"/>
                <w:szCs w:val="20"/>
              </w:rPr>
            </w:pPr>
            <w:r w:rsidRPr="00F5175D">
              <w:rPr>
                <w:sz w:val="20"/>
                <w:szCs w:val="20"/>
              </w:rPr>
              <w:t>No studies</w:t>
            </w:r>
          </w:p>
        </w:tc>
        <w:tc>
          <w:tcPr>
            <w:tcW w:w="1418" w:type="dxa"/>
          </w:tcPr>
          <w:p w:rsidR="0008773C" w:rsidRPr="00F5175D" w:rsidRDefault="0008773C" w:rsidP="00F5175D">
            <w:pPr>
              <w:rPr>
                <w:sz w:val="20"/>
                <w:szCs w:val="20"/>
              </w:rPr>
            </w:pPr>
            <w:r w:rsidRPr="00F5175D">
              <w:rPr>
                <w:sz w:val="20"/>
                <w:szCs w:val="20"/>
              </w:rPr>
              <w:t>-</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Elderly</w:t>
            </w:r>
          </w:p>
        </w:tc>
        <w:tc>
          <w:tcPr>
            <w:tcW w:w="1843" w:type="dxa"/>
          </w:tcPr>
          <w:p w:rsidR="0008773C" w:rsidRPr="00F5175D" w:rsidRDefault="0008773C" w:rsidP="00F5175D">
            <w:pPr>
              <w:rPr>
                <w:sz w:val="20"/>
                <w:szCs w:val="20"/>
              </w:rPr>
            </w:pPr>
            <w:r w:rsidRPr="00F5175D">
              <w:rPr>
                <w:sz w:val="20"/>
                <w:szCs w:val="20"/>
              </w:rPr>
              <w:t>No studies</w:t>
            </w:r>
          </w:p>
        </w:tc>
        <w:tc>
          <w:tcPr>
            <w:tcW w:w="1418" w:type="dxa"/>
          </w:tcPr>
          <w:p w:rsidR="0008773C" w:rsidRPr="00F5175D" w:rsidRDefault="0008773C" w:rsidP="00F5175D">
            <w:pPr>
              <w:rPr>
                <w:sz w:val="20"/>
                <w:szCs w:val="20"/>
              </w:rPr>
            </w:pPr>
            <w:r w:rsidRPr="00F5175D">
              <w:rPr>
                <w:sz w:val="20"/>
                <w:szCs w:val="20"/>
              </w:rPr>
              <w:t>-</w:t>
            </w:r>
          </w:p>
        </w:tc>
      </w:tr>
      <w:tr w:rsidR="0008773C" w:rsidRPr="00F5175D" w:rsidTr="00CF19C7">
        <w:tc>
          <w:tcPr>
            <w:tcW w:w="1985" w:type="dxa"/>
            <w:vMerge/>
            <w:tcBorders>
              <w:bottom w:val="nil"/>
            </w:tcBorders>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 xml:space="preserve">Healthy Japanese volunteers </w:t>
            </w:r>
          </w:p>
        </w:tc>
        <w:tc>
          <w:tcPr>
            <w:tcW w:w="1843" w:type="dxa"/>
          </w:tcPr>
          <w:p w:rsidR="0008773C" w:rsidRPr="00F5175D" w:rsidRDefault="0008773C" w:rsidP="00F5175D">
            <w:pPr>
              <w:rPr>
                <w:sz w:val="20"/>
                <w:szCs w:val="20"/>
              </w:rPr>
            </w:pPr>
            <w:r w:rsidRPr="00F5175D">
              <w:rPr>
                <w:sz w:val="20"/>
                <w:szCs w:val="20"/>
              </w:rPr>
              <w:t xml:space="preserve">   MGM115806</w:t>
            </w:r>
          </w:p>
        </w:tc>
        <w:tc>
          <w:tcPr>
            <w:tcW w:w="1418" w:type="dxa"/>
          </w:tcPr>
          <w:p w:rsidR="0008773C" w:rsidRPr="00F5175D" w:rsidRDefault="0008773C" w:rsidP="00F5175D">
            <w:pPr>
              <w:rPr>
                <w:sz w:val="20"/>
                <w:szCs w:val="20"/>
              </w:rPr>
            </w:pPr>
            <w:r w:rsidRPr="00F5175D">
              <w:rPr>
                <w:sz w:val="20"/>
                <w:szCs w:val="20"/>
              </w:rPr>
              <w:t>14</w:t>
            </w:r>
          </w:p>
        </w:tc>
      </w:tr>
      <w:tr w:rsidR="0008773C" w:rsidRPr="00F5175D" w:rsidTr="00CF19C7">
        <w:tc>
          <w:tcPr>
            <w:tcW w:w="1985" w:type="dxa"/>
            <w:tcBorders>
              <w:top w:val="nil"/>
            </w:tcBorders>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 xml:space="preserve">QT/QTc study – healthy volunteers </w:t>
            </w:r>
          </w:p>
        </w:tc>
        <w:tc>
          <w:tcPr>
            <w:tcW w:w="1843" w:type="dxa"/>
          </w:tcPr>
          <w:p w:rsidR="0008773C" w:rsidRPr="00F5175D" w:rsidRDefault="0008773C" w:rsidP="00F5175D">
            <w:pPr>
              <w:rPr>
                <w:sz w:val="20"/>
                <w:szCs w:val="20"/>
              </w:rPr>
            </w:pPr>
            <w:r w:rsidRPr="00F5175D">
              <w:rPr>
                <w:sz w:val="20"/>
                <w:szCs w:val="20"/>
              </w:rPr>
              <w:t>QT1001-010</w:t>
            </w:r>
          </w:p>
        </w:tc>
        <w:tc>
          <w:tcPr>
            <w:tcW w:w="1418" w:type="dxa"/>
          </w:tcPr>
          <w:p w:rsidR="0008773C" w:rsidRPr="00F5175D" w:rsidRDefault="0008773C" w:rsidP="00F5175D">
            <w:pPr>
              <w:rPr>
                <w:sz w:val="20"/>
                <w:szCs w:val="20"/>
              </w:rPr>
            </w:pPr>
            <w:r w:rsidRPr="00F5175D">
              <w:rPr>
                <w:sz w:val="20"/>
                <w:szCs w:val="20"/>
              </w:rPr>
              <w:t>52</w:t>
            </w:r>
          </w:p>
        </w:tc>
      </w:tr>
      <w:tr w:rsidR="0008773C" w:rsidRPr="00F5175D" w:rsidTr="00CF19C7">
        <w:tc>
          <w:tcPr>
            <w:tcW w:w="1985" w:type="dxa"/>
            <w:vMerge w:val="restart"/>
          </w:tcPr>
          <w:p w:rsidR="0008773C" w:rsidRPr="00F5175D" w:rsidRDefault="0008773C" w:rsidP="00F5175D">
            <w:pPr>
              <w:rPr>
                <w:sz w:val="20"/>
                <w:szCs w:val="20"/>
              </w:rPr>
            </w:pPr>
            <w:r w:rsidRPr="00F5175D">
              <w:rPr>
                <w:sz w:val="20"/>
                <w:szCs w:val="20"/>
              </w:rPr>
              <w:t>Genetic/gender related PK</w:t>
            </w:r>
          </w:p>
        </w:tc>
        <w:tc>
          <w:tcPr>
            <w:tcW w:w="3685" w:type="dxa"/>
          </w:tcPr>
          <w:p w:rsidR="0008773C" w:rsidRPr="00F5175D" w:rsidRDefault="0008773C" w:rsidP="00F5175D">
            <w:pPr>
              <w:rPr>
                <w:sz w:val="20"/>
                <w:szCs w:val="20"/>
              </w:rPr>
            </w:pPr>
            <w:r w:rsidRPr="00F5175D">
              <w:rPr>
                <w:sz w:val="20"/>
                <w:szCs w:val="20"/>
              </w:rPr>
              <w:t>Males versus females</w:t>
            </w:r>
          </w:p>
        </w:tc>
        <w:tc>
          <w:tcPr>
            <w:tcW w:w="1843" w:type="dxa"/>
          </w:tcPr>
          <w:p w:rsidR="0008773C" w:rsidRPr="00F5175D" w:rsidRDefault="0008773C" w:rsidP="00F5175D">
            <w:pPr>
              <w:rPr>
                <w:sz w:val="20"/>
                <w:szCs w:val="20"/>
              </w:rPr>
            </w:pPr>
            <w:r w:rsidRPr="00F5175D">
              <w:rPr>
                <w:sz w:val="20"/>
                <w:szCs w:val="20"/>
              </w:rPr>
              <w:t xml:space="preserve">No studies </w:t>
            </w:r>
          </w:p>
        </w:tc>
        <w:tc>
          <w:tcPr>
            <w:tcW w:w="1418" w:type="dxa"/>
          </w:tcPr>
          <w:p w:rsidR="0008773C" w:rsidRPr="00F5175D" w:rsidRDefault="0008773C" w:rsidP="00F5175D">
            <w:pPr>
              <w:rPr>
                <w:sz w:val="20"/>
                <w:szCs w:val="20"/>
              </w:rPr>
            </w:pPr>
            <w:r w:rsidRPr="00F5175D">
              <w:rPr>
                <w:sz w:val="20"/>
                <w:szCs w:val="20"/>
              </w:rPr>
              <w:t>-</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Other genetic variable</w:t>
            </w:r>
          </w:p>
        </w:tc>
        <w:tc>
          <w:tcPr>
            <w:tcW w:w="1843" w:type="dxa"/>
          </w:tcPr>
          <w:p w:rsidR="0008773C" w:rsidRPr="00F5175D" w:rsidRDefault="0008773C" w:rsidP="00F5175D">
            <w:pPr>
              <w:rPr>
                <w:sz w:val="20"/>
                <w:szCs w:val="20"/>
              </w:rPr>
            </w:pPr>
            <w:r w:rsidRPr="00F5175D">
              <w:rPr>
                <w:sz w:val="20"/>
                <w:szCs w:val="20"/>
              </w:rPr>
              <w:t>No studies</w:t>
            </w:r>
          </w:p>
        </w:tc>
        <w:tc>
          <w:tcPr>
            <w:tcW w:w="1418" w:type="dxa"/>
          </w:tcPr>
          <w:p w:rsidR="0008773C" w:rsidRPr="00F5175D" w:rsidRDefault="0008773C" w:rsidP="00F5175D">
            <w:pPr>
              <w:rPr>
                <w:sz w:val="20"/>
                <w:szCs w:val="20"/>
              </w:rPr>
            </w:pPr>
            <w:r w:rsidRPr="00F5175D">
              <w:rPr>
                <w:sz w:val="20"/>
                <w:szCs w:val="20"/>
              </w:rPr>
              <w:t>-</w:t>
            </w:r>
          </w:p>
        </w:tc>
      </w:tr>
      <w:tr w:rsidR="0008773C" w:rsidRPr="00F5175D" w:rsidTr="00CF19C7">
        <w:tc>
          <w:tcPr>
            <w:tcW w:w="1985" w:type="dxa"/>
          </w:tcPr>
          <w:p w:rsidR="0008773C" w:rsidRPr="00F5175D" w:rsidRDefault="0008773C" w:rsidP="00F5175D">
            <w:pPr>
              <w:rPr>
                <w:sz w:val="20"/>
                <w:szCs w:val="20"/>
              </w:rPr>
            </w:pPr>
            <w:r w:rsidRPr="00F5175D">
              <w:rPr>
                <w:sz w:val="20"/>
                <w:szCs w:val="20"/>
              </w:rPr>
              <w:t>PK interactions</w:t>
            </w:r>
          </w:p>
        </w:tc>
        <w:tc>
          <w:tcPr>
            <w:tcW w:w="3685" w:type="dxa"/>
          </w:tcPr>
          <w:p w:rsidR="0008773C" w:rsidRPr="00F5175D" w:rsidRDefault="0008773C" w:rsidP="00F5175D">
            <w:pPr>
              <w:rPr>
                <w:sz w:val="20"/>
                <w:szCs w:val="20"/>
              </w:rPr>
            </w:pPr>
            <w:r w:rsidRPr="00F5175D">
              <w:rPr>
                <w:sz w:val="20"/>
                <w:szCs w:val="20"/>
              </w:rPr>
              <w:t xml:space="preserve">Migalastat – agalsidase (Fabry disease) </w:t>
            </w:r>
          </w:p>
        </w:tc>
        <w:tc>
          <w:tcPr>
            <w:tcW w:w="1843" w:type="dxa"/>
          </w:tcPr>
          <w:p w:rsidR="0008773C" w:rsidRPr="00F5175D" w:rsidRDefault="0008773C" w:rsidP="00F5175D">
            <w:pPr>
              <w:rPr>
                <w:sz w:val="20"/>
                <w:szCs w:val="20"/>
              </w:rPr>
            </w:pPr>
            <w:r w:rsidRPr="00F5175D">
              <w:rPr>
                <w:sz w:val="20"/>
                <w:szCs w:val="20"/>
              </w:rPr>
              <w:t>AT1001-013</w:t>
            </w:r>
          </w:p>
        </w:tc>
        <w:tc>
          <w:tcPr>
            <w:tcW w:w="1418" w:type="dxa"/>
          </w:tcPr>
          <w:p w:rsidR="0008773C" w:rsidRPr="00F5175D" w:rsidRDefault="0008773C" w:rsidP="00F5175D">
            <w:pPr>
              <w:rPr>
                <w:sz w:val="20"/>
                <w:szCs w:val="20"/>
              </w:rPr>
            </w:pPr>
            <w:r w:rsidRPr="00F5175D">
              <w:rPr>
                <w:sz w:val="20"/>
                <w:szCs w:val="20"/>
              </w:rPr>
              <w:t>23</w:t>
            </w:r>
          </w:p>
        </w:tc>
      </w:tr>
      <w:tr w:rsidR="0008773C" w:rsidRPr="00F5175D" w:rsidTr="00CF19C7">
        <w:tc>
          <w:tcPr>
            <w:tcW w:w="1985" w:type="dxa"/>
            <w:vMerge w:val="restart"/>
          </w:tcPr>
          <w:p w:rsidR="0008773C" w:rsidRPr="00F5175D" w:rsidRDefault="0008773C" w:rsidP="00F5175D">
            <w:pPr>
              <w:rPr>
                <w:sz w:val="20"/>
                <w:szCs w:val="20"/>
              </w:rPr>
            </w:pPr>
            <w:r w:rsidRPr="00F5175D">
              <w:rPr>
                <w:sz w:val="20"/>
                <w:szCs w:val="20"/>
              </w:rPr>
              <w:t>Population PK analyses</w:t>
            </w:r>
          </w:p>
        </w:tc>
        <w:tc>
          <w:tcPr>
            <w:tcW w:w="3685" w:type="dxa"/>
          </w:tcPr>
          <w:p w:rsidR="0008773C" w:rsidRPr="00F5175D" w:rsidRDefault="0008773C" w:rsidP="00F5175D">
            <w:pPr>
              <w:rPr>
                <w:sz w:val="20"/>
                <w:szCs w:val="20"/>
              </w:rPr>
            </w:pPr>
            <w:r w:rsidRPr="00F5175D">
              <w:rPr>
                <w:sz w:val="20"/>
                <w:szCs w:val="20"/>
              </w:rPr>
              <w:t xml:space="preserve">Non Fabry Disease  </w:t>
            </w:r>
          </w:p>
        </w:tc>
        <w:tc>
          <w:tcPr>
            <w:tcW w:w="1843" w:type="dxa"/>
          </w:tcPr>
          <w:p w:rsidR="0008773C" w:rsidRPr="00F5175D" w:rsidRDefault="0008773C" w:rsidP="00F5175D">
            <w:pPr>
              <w:rPr>
                <w:sz w:val="20"/>
                <w:szCs w:val="20"/>
              </w:rPr>
            </w:pPr>
            <w:r w:rsidRPr="00F5175D">
              <w:rPr>
                <w:sz w:val="20"/>
                <w:szCs w:val="20"/>
              </w:rPr>
              <w:t>MGM116016</w:t>
            </w:r>
          </w:p>
        </w:tc>
        <w:tc>
          <w:tcPr>
            <w:tcW w:w="1418" w:type="dxa"/>
          </w:tcPr>
          <w:p w:rsidR="0008773C" w:rsidRPr="00F5175D" w:rsidRDefault="0008773C" w:rsidP="00F5175D">
            <w:pPr>
              <w:rPr>
                <w:sz w:val="20"/>
                <w:szCs w:val="20"/>
              </w:rPr>
            </w:pPr>
            <w:r w:rsidRPr="00F5175D">
              <w:rPr>
                <w:sz w:val="20"/>
                <w:szCs w:val="20"/>
              </w:rPr>
              <w:t>179 (HV=155; RI=24)</w:t>
            </w:r>
          </w:p>
        </w:tc>
      </w:tr>
      <w:tr w:rsidR="0008773C" w:rsidRPr="00F5175D" w:rsidTr="00CF19C7">
        <w:tc>
          <w:tcPr>
            <w:tcW w:w="1985" w:type="dxa"/>
            <w:vMerge/>
          </w:tcPr>
          <w:p w:rsidR="0008773C" w:rsidRPr="00F5175D" w:rsidRDefault="0008773C" w:rsidP="00F5175D">
            <w:pPr>
              <w:rPr>
                <w:sz w:val="20"/>
                <w:szCs w:val="20"/>
              </w:rPr>
            </w:pPr>
          </w:p>
        </w:tc>
        <w:tc>
          <w:tcPr>
            <w:tcW w:w="3685" w:type="dxa"/>
          </w:tcPr>
          <w:p w:rsidR="0008773C" w:rsidRPr="00F5175D" w:rsidRDefault="0008773C" w:rsidP="00F5175D">
            <w:pPr>
              <w:rPr>
                <w:sz w:val="20"/>
                <w:szCs w:val="20"/>
              </w:rPr>
            </w:pPr>
            <w:r w:rsidRPr="00F5175D">
              <w:rPr>
                <w:sz w:val="20"/>
                <w:szCs w:val="20"/>
              </w:rPr>
              <w:t>Target population</w:t>
            </w:r>
          </w:p>
        </w:tc>
        <w:tc>
          <w:tcPr>
            <w:tcW w:w="1843" w:type="dxa"/>
          </w:tcPr>
          <w:p w:rsidR="0008773C" w:rsidRPr="00F5175D" w:rsidRDefault="0008773C" w:rsidP="00F5175D">
            <w:pPr>
              <w:rPr>
                <w:sz w:val="20"/>
                <w:szCs w:val="20"/>
              </w:rPr>
            </w:pPr>
            <w:r w:rsidRPr="00F5175D">
              <w:rPr>
                <w:sz w:val="20"/>
                <w:szCs w:val="20"/>
              </w:rPr>
              <w:t>MGM11606</w:t>
            </w:r>
          </w:p>
        </w:tc>
        <w:tc>
          <w:tcPr>
            <w:tcW w:w="1418" w:type="dxa"/>
          </w:tcPr>
          <w:p w:rsidR="0008773C" w:rsidRPr="00F5175D" w:rsidRDefault="0008773C" w:rsidP="00F5175D">
            <w:pPr>
              <w:rPr>
                <w:sz w:val="20"/>
                <w:szCs w:val="20"/>
              </w:rPr>
            </w:pPr>
            <w:r w:rsidRPr="00F5175D">
              <w:rPr>
                <w:sz w:val="20"/>
                <w:szCs w:val="20"/>
              </w:rPr>
              <w:t>81</w:t>
            </w:r>
          </w:p>
        </w:tc>
      </w:tr>
    </w:tbl>
    <w:p w:rsidR="0008773C" w:rsidRPr="00A56B24" w:rsidRDefault="0008773C" w:rsidP="005C3AAA">
      <w:pPr>
        <w:pStyle w:val="TableDescription"/>
        <w:rPr>
          <w:sz w:val="18"/>
        </w:rPr>
      </w:pPr>
      <w:r w:rsidRPr="00A56B24">
        <w:rPr>
          <w:sz w:val="18"/>
        </w:rPr>
        <w:t>* Indicates the primary PK aim of the study.</w:t>
      </w:r>
    </w:p>
    <w:p w:rsidR="0008773C" w:rsidRPr="00A56B24" w:rsidRDefault="0008773C" w:rsidP="005C3AAA">
      <w:pPr>
        <w:pStyle w:val="TableDescription"/>
        <w:rPr>
          <w:sz w:val="18"/>
        </w:rPr>
      </w:pPr>
      <w:r w:rsidRPr="00A56B24">
        <w:rPr>
          <w:sz w:val="18"/>
        </w:rPr>
        <w:t>† Bioequivalence of different formulations.</w:t>
      </w:r>
    </w:p>
    <w:p w:rsidR="0008773C" w:rsidRPr="00A56B24" w:rsidRDefault="0008773C" w:rsidP="005C3AAA">
      <w:pPr>
        <w:pStyle w:val="TableDescription"/>
        <w:rPr>
          <w:sz w:val="18"/>
        </w:rPr>
      </w:pPr>
      <w:r w:rsidRPr="00A56B24">
        <w:rPr>
          <w:sz w:val="18"/>
        </w:rPr>
        <w:t>§ Subjects who would be eligible to receive the drug if approved for the proposed indication.</w:t>
      </w:r>
    </w:p>
    <w:p w:rsidR="0008773C" w:rsidRPr="00241D6B" w:rsidRDefault="005C3AAA" w:rsidP="005C3AAA">
      <w:pPr>
        <w:pStyle w:val="Heading5"/>
      </w:pPr>
      <w:r>
        <w:t>P</w:t>
      </w:r>
      <w:r w:rsidR="00440F1A">
        <w:t>K p</w:t>
      </w:r>
      <w:r w:rsidR="0008773C" w:rsidRPr="00241D6B">
        <w:t>arameters</w:t>
      </w:r>
    </w:p>
    <w:p w:rsidR="0008773C" w:rsidRDefault="0008773C" w:rsidP="0008773C">
      <w:r>
        <w:t xml:space="preserve">In the individual Phase I studies with PK information, PK parameters were calculated using standard non-compartmental methods and appropriate computer software. The range of PK parameters calculated in the individual Phase I </w:t>
      </w:r>
      <w:proofErr w:type="gramStart"/>
      <w:r>
        <w:t>studies was</w:t>
      </w:r>
      <w:proofErr w:type="gramEnd"/>
      <w:r>
        <w:t xml:space="preserve"> comprehensive and allowed adequate characterisation of the PK of migalastat in plasma, urine and f</w:t>
      </w:r>
      <w:r w:rsidR="007171F0">
        <w:t>a</w:t>
      </w:r>
      <w:r>
        <w:t>eces.</w:t>
      </w:r>
    </w:p>
    <w:p w:rsidR="00CD308A" w:rsidRDefault="0008773C" w:rsidP="00440F1A">
      <w:pPr>
        <w:pStyle w:val="Heading5"/>
      </w:pPr>
      <w:r w:rsidRPr="00241D6B">
        <w:t xml:space="preserve">Analytical </w:t>
      </w:r>
      <w:r w:rsidR="007171F0" w:rsidRPr="00241D6B">
        <w:t>methods for migalastat in plasma and urine</w:t>
      </w:r>
    </w:p>
    <w:p w:rsidR="00CD308A" w:rsidRDefault="0008773C" w:rsidP="00440F1A">
      <w:r w:rsidRPr="00440F1A">
        <w:t xml:space="preserve">The plasma and urine concentrations of migalastat were quantified using validated liquid chromatography with tandem mass spectrometry (LC-MS/MS) methods. The LC-MS/MS assay to quantify migalastat in plasma was linear over the calibration range 5.88 to 2940 ng/mL. The assay was validated to a lower limit of quantitation (LLOQ) </w:t>
      </w:r>
      <w:proofErr w:type="gramStart"/>
      <w:r w:rsidRPr="00440F1A">
        <w:t>of 5.88 ng/mL</w:t>
      </w:r>
      <w:proofErr w:type="gramEnd"/>
      <w:r w:rsidRPr="00440F1A">
        <w:t xml:space="preserve">. The LLOQ was reported to be sufficient to characterise the PK of migalastat in the clinical studies. The initial LC-MS/MS assay to quantify migalastat in urine was validated to a LLOQ </w:t>
      </w:r>
      <w:proofErr w:type="gramStart"/>
      <w:r w:rsidRPr="00440F1A">
        <w:t>of 10.0 mcg/mL</w:t>
      </w:r>
      <w:proofErr w:type="gramEnd"/>
      <w:r w:rsidRPr="00440F1A">
        <w:t xml:space="preserve">. However, a more sensitive LC-MS/MS method was subsequently developed to quantify migalastat in urine validated to a LLOQ </w:t>
      </w:r>
      <w:proofErr w:type="gramStart"/>
      <w:r w:rsidRPr="00440F1A">
        <w:t>of 100 ng/mL</w:t>
      </w:r>
      <w:proofErr w:type="gramEnd"/>
      <w:r w:rsidR="00CD308A">
        <w:t>.</w:t>
      </w:r>
    </w:p>
    <w:p w:rsidR="00605AD4" w:rsidRDefault="00605AD4" w:rsidP="00605AD4">
      <w:pPr>
        <w:pStyle w:val="Heading4"/>
      </w:pPr>
      <w:r>
        <w:t>Evaluator’s conclusions on pharmacokinetics</w:t>
      </w:r>
    </w:p>
    <w:p w:rsidR="00CE4671" w:rsidRPr="001A6D87" w:rsidRDefault="00CE4671" w:rsidP="00CE4671">
      <w:pPr>
        <w:pStyle w:val="Heading5"/>
        <w:rPr>
          <w:lang w:eastAsia="ja-JP"/>
        </w:rPr>
      </w:pPr>
      <w:r w:rsidRPr="001A6D87">
        <w:rPr>
          <w:lang w:eastAsia="ja-JP"/>
        </w:rPr>
        <w:t>Overview</w:t>
      </w:r>
    </w:p>
    <w:p w:rsidR="00CD308A" w:rsidRDefault="00CE4671" w:rsidP="00CE4671">
      <w:r>
        <w:t xml:space="preserve">The PK of migalastat have been satisfactorily characterised in ten Phase </w:t>
      </w:r>
      <w:r w:rsidR="007171F0">
        <w:t>I</w:t>
      </w:r>
      <w:r>
        <w:t xml:space="preserve"> studies conducted in 242 subjects (218 healthy volunteers and 24 subjects with renal impairment), of whom 218 received migalastat and 24 received placebo. In addition, the PK of migalastat </w:t>
      </w:r>
      <w:proofErr w:type="gramStart"/>
      <w:r>
        <w:t>have</w:t>
      </w:r>
      <w:proofErr w:type="gramEnd"/>
      <w:r>
        <w:t xml:space="preserve"> been investigated in four Phase </w:t>
      </w:r>
      <w:r w:rsidR="007171F0">
        <w:t>II</w:t>
      </w:r>
      <w:r>
        <w:t xml:space="preserve"> and </w:t>
      </w:r>
      <w:r w:rsidR="007171F0">
        <w:t>III</w:t>
      </w:r>
      <w:r>
        <w:t xml:space="preserve"> studies conducted in 126</w:t>
      </w:r>
      <w:r w:rsidR="007171F0">
        <w:t> </w:t>
      </w:r>
      <w:r>
        <w:t xml:space="preserve">patients with Fabry disease. The PK of migalastat in healthy subjects and in patients with Fabry disease </w:t>
      </w:r>
      <w:proofErr w:type="gramStart"/>
      <w:r>
        <w:t>were</w:t>
      </w:r>
      <w:proofErr w:type="gramEnd"/>
      <w:r>
        <w:t xml:space="preserve"> similar, allowing the PK data from healthy subjects to be satisfactorily extrapolated to patients with Fabry disease</w:t>
      </w:r>
      <w:r w:rsidR="00CD308A">
        <w:t>.</w:t>
      </w:r>
    </w:p>
    <w:p w:rsidR="00CD308A" w:rsidRDefault="00CE4671" w:rsidP="00CE4671">
      <w:pPr>
        <w:pStyle w:val="Heading5"/>
      </w:pPr>
      <w:r w:rsidRPr="00DB7E4D">
        <w:lastRenderedPageBreak/>
        <w:t>Absorption</w:t>
      </w:r>
    </w:p>
    <w:p w:rsidR="00CD308A" w:rsidRDefault="00CE4671" w:rsidP="00CE4671">
      <w:r w:rsidRPr="006D150E">
        <w:t>The sponsor reports that migalastat HCl is categorised as a BCS Class III compound (</w:t>
      </w:r>
      <w:r w:rsidR="00135FCB">
        <w:t>that is,</w:t>
      </w:r>
      <w:r w:rsidRPr="006D150E">
        <w:t xml:space="preserve"> high solubility, low permeability). Despite low </w:t>
      </w:r>
      <w:r w:rsidRPr="006A6B32">
        <w:t>in vitro</w:t>
      </w:r>
      <w:r w:rsidRPr="006D150E">
        <w:t xml:space="preserve"> permeability, migal</w:t>
      </w:r>
      <w:r>
        <w:t>a</w:t>
      </w:r>
      <w:r w:rsidRPr="006D150E">
        <w:t xml:space="preserve">stat HCl 150 mg capsules are rapidly absorbed following </w:t>
      </w:r>
      <w:r>
        <w:t xml:space="preserve">oral </w:t>
      </w:r>
      <w:r w:rsidRPr="006D150E">
        <w:t xml:space="preserve">single-dose administration in healthy </w:t>
      </w:r>
      <w:r>
        <w:t>subjects</w:t>
      </w:r>
      <w:r w:rsidRPr="006D150E">
        <w:t xml:space="preserve">, with median </w:t>
      </w:r>
      <w:r w:rsidR="001B2F5C" w:rsidRPr="00401961">
        <w:t>t</w:t>
      </w:r>
      <w:r w:rsidR="001B2F5C" w:rsidRPr="00A55E04">
        <w:rPr>
          <w:vertAlign w:val="subscript"/>
        </w:rPr>
        <w:t>max</w:t>
      </w:r>
      <w:r w:rsidRPr="006D150E">
        <w:t xml:space="preserve"> values being approximately 3 hours </w:t>
      </w:r>
      <w:r>
        <w:t xml:space="preserve">in the fasted state </w:t>
      </w:r>
      <w:r w:rsidR="00135FCB">
        <w:t>(S</w:t>
      </w:r>
      <w:r w:rsidRPr="006D150E">
        <w:t>tudies AT1000-016 and AT1001-018). Geometric mean AUC</w:t>
      </w:r>
      <w:r w:rsidRPr="006A6B32">
        <w:rPr>
          <w:sz w:val="20"/>
          <w:szCs w:val="20"/>
          <w:vertAlign w:val="subscript"/>
        </w:rPr>
        <w:t>inf</w:t>
      </w:r>
      <w:r w:rsidRPr="0053478A">
        <w:rPr>
          <w:sz w:val="20"/>
          <w:szCs w:val="20"/>
        </w:rPr>
        <w:t xml:space="preserve"> </w:t>
      </w:r>
      <w:r w:rsidRPr="006D150E">
        <w:t>values were approximately 9800 to 9900</w:t>
      </w:r>
      <w:r>
        <w:t xml:space="preserve"> ng·</w:t>
      </w:r>
      <w:r w:rsidRPr="006D150E">
        <w:t xml:space="preserve">h/mL and geometric mean </w:t>
      </w:r>
      <w:r w:rsidR="001B2F5C" w:rsidRPr="00401961">
        <w:t>C</w:t>
      </w:r>
      <w:r w:rsidR="001B2F5C" w:rsidRPr="00A55E04">
        <w:rPr>
          <w:vertAlign w:val="subscript"/>
        </w:rPr>
        <w:t>max</w:t>
      </w:r>
      <w:r w:rsidRPr="006D150E">
        <w:t xml:space="preserve"> values were approximately </w:t>
      </w:r>
      <w:r>
        <w:t xml:space="preserve">1550 to </w:t>
      </w:r>
      <w:r w:rsidRPr="006D150E">
        <w:t>1880 ng/mL following oral administration of single-dose</w:t>
      </w:r>
      <w:r>
        <w:t xml:space="preserve"> migalastat HCl capsules to healthy subjects in the fasted state </w:t>
      </w:r>
      <w:r w:rsidR="00135FCB">
        <w:t>(S</w:t>
      </w:r>
      <w:r>
        <w:t>tudies AT1000-</w:t>
      </w:r>
      <w:r w:rsidRPr="007756A0">
        <w:t>016 and AT1001-018</w:t>
      </w:r>
      <w:r w:rsidR="00135FCB">
        <w:t>)</w:t>
      </w:r>
      <w:r w:rsidRPr="007756A0">
        <w:t>. Inter-subject variability in the exposure parameters of AUC</w:t>
      </w:r>
      <w:r w:rsidRPr="006A6B32">
        <w:rPr>
          <w:sz w:val="20"/>
          <w:szCs w:val="20"/>
          <w:vertAlign w:val="subscript"/>
        </w:rPr>
        <w:t>inf</w:t>
      </w:r>
      <w:r w:rsidRPr="007756A0">
        <w:t xml:space="preserve"> and </w:t>
      </w:r>
      <w:r w:rsidR="001B2F5C" w:rsidRPr="00401961">
        <w:t>C</w:t>
      </w:r>
      <w:r w:rsidR="001B2F5C" w:rsidRPr="00A55E04">
        <w:rPr>
          <w:vertAlign w:val="subscript"/>
        </w:rPr>
        <w:t>max</w:t>
      </w:r>
      <w:r w:rsidRPr="007756A0">
        <w:t xml:space="preserve"> was moderate, with CV% values ranging from 25% to 34% for the parameters in </w:t>
      </w:r>
      <w:r w:rsidR="00135FCB">
        <w:t>S</w:t>
      </w:r>
      <w:r w:rsidRPr="007756A0">
        <w:t>tudies</w:t>
      </w:r>
      <w:r w:rsidR="00135FCB">
        <w:t> </w:t>
      </w:r>
      <w:r w:rsidRPr="007756A0">
        <w:t>AT1000-016 and AT1001-018. There were no data on intra-subject variability for the PK parameters of migalastat</w:t>
      </w:r>
      <w:r w:rsidR="00CD308A">
        <w:t>.</w:t>
      </w:r>
    </w:p>
    <w:p w:rsidR="00CD308A" w:rsidRDefault="00CE4671" w:rsidP="00CE4671">
      <w:r w:rsidRPr="006D150E">
        <w:t xml:space="preserve">In healthy </w:t>
      </w:r>
      <w:r>
        <w:t>subjects</w:t>
      </w:r>
      <w:r w:rsidRPr="006D150E">
        <w:t>, the absolute oral bioavailability of migal</w:t>
      </w:r>
      <w:r>
        <w:t>a</w:t>
      </w:r>
      <w:r w:rsidRPr="006D150E">
        <w:t>stat based on AUC</w:t>
      </w:r>
      <w:r w:rsidRPr="0053478A">
        <w:rPr>
          <w:sz w:val="20"/>
          <w:szCs w:val="20"/>
        </w:rPr>
        <w:t>inf</w:t>
      </w:r>
      <w:r w:rsidRPr="006D150E">
        <w:t xml:space="preserve"> values was 74.6% (90% CI: 67.2, 82.7) following single-dose oral and IV administration of migalastat HCl 150 mg </w:t>
      </w:r>
      <w:r w:rsidR="00135FCB">
        <w:t>(S</w:t>
      </w:r>
      <w:r w:rsidRPr="006D150E">
        <w:t>tudy AT1001-018</w:t>
      </w:r>
      <w:r w:rsidR="00135FCB">
        <w:t>)</w:t>
      </w:r>
      <w:r w:rsidRPr="006D150E">
        <w:t xml:space="preserve">. In healthy </w:t>
      </w:r>
      <w:r>
        <w:t>subjects</w:t>
      </w:r>
      <w:r w:rsidRPr="006D150E">
        <w:t>, the relative oral bioavailability of migalastat HCl capsule (100 mg = 4 x 25 mg) and solution (100 mg) formulations was 98% (90% CI: 89%, 108%) based on AUC</w:t>
      </w:r>
      <w:r w:rsidRPr="006A6B32">
        <w:rPr>
          <w:sz w:val="20"/>
          <w:szCs w:val="20"/>
          <w:vertAlign w:val="subscript"/>
        </w:rPr>
        <w:t>inf</w:t>
      </w:r>
      <w:r w:rsidRPr="006D150E">
        <w:t xml:space="preserve"> values and 97% (90% CI: 87%, 109%) based on </w:t>
      </w:r>
      <w:r w:rsidR="001B2F5C" w:rsidRPr="00401961">
        <w:t>C</w:t>
      </w:r>
      <w:r w:rsidR="001B2F5C" w:rsidRPr="00A55E04">
        <w:rPr>
          <w:vertAlign w:val="subscript"/>
        </w:rPr>
        <w:t>max</w:t>
      </w:r>
      <w:r w:rsidRPr="006D150E">
        <w:t xml:space="preserve"> values. The relative bioavailability data indicate that the capsules have been optimally formulated</w:t>
      </w:r>
      <w:r w:rsidR="00CD308A">
        <w:t>.</w:t>
      </w:r>
    </w:p>
    <w:p w:rsidR="00CD308A" w:rsidRDefault="00CE4671" w:rsidP="00CE4671">
      <w:r>
        <w:t xml:space="preserve">There were no clinical studies comparing the relative oral bioavailability of the migalastat HCl formulation proposed for marketing to the migalastat HCl formulation used in the pivotal Phase </w:t>
      </w:r>
      <w:r w:rsidR="00135FCB">
        <w:t>III</w:t>
      </w:r>
      <w:r>
        <w:t xml:space="preserve"> </w:t>
      </w:r>
      <w:r w:rsidR="00135FCB">
        <w:t>S</w:t>
      </w:r>
      <w:r>
        <w:t xml:space="preserve">tudy AT1001-011. However, </w:t>
      </w:r>
      <w:r w:rsidRPr="006A6B32">
        <w:t>in vitro</w:t>
      </w:r>
      <w:r>
        <w:t xml:space="preserve"> dissolution data suggest that the two formulations are likely to be clinically bioequivalent. Nevertheless, the sponsor is requested to provide a formal justification for not submitting a relative bioavailability study comparing the proposed marketing and the Phase </w:t>
      </w:r>
      <w:r w:rsidR="00135FCB">
        <w:t>III</w:t>
      </w:r>
      <w:r>
        <w:t xml:space="preserve"> migalastat HCl formulations.</w:t>
      </w:r>
      <w:r w:rsidR="00A72860">
        <w:rPr>
          <w:rStyle w:val="FootnoteReference"/>
        </w:rPr>
        <w:footnoteReference w:id="15"/>
      </w:r>
    </w:p>
    <w:p w:rsidR="00CD308A" w:rsidRDefault="00CE4671" w:rsidP="00CE4671">
      <w:r w:rsidRPr="00051A04">
        <w:t xml:space="preserve">The administration </w:t>
      </w:r>
      <w:r>
        <w:t xml:space="preserve">of migalastat </w:t>
      </w:r>
      <w:r w:rsidRPr="00051A04">
        <w:t xml:space="preserve">in association with </w:t>
      </w:r>
      <w:r>
        <w:t xml:space="preserve">food </w:t>
      </w:r>
      <w:r w:rsidRPr="00051A04">
        <w:t>significantly decreased the bioavailability of migalastat</w:t>
      </w:r>
      <w:r>
        <w:t xml:space="preserve"> by approximately 40%</w:t>
      </w:r>
      <w:r w:rsidRPr="00051A04">
        <w:t xml:space="preserve">. In healthy </w:t>
      </w:r>
      <w:r>
        <w:t>subjects</w:t>
      </w:r>
      <w:r w:rsidRPr="00051A04">
        <w:t>, a high-fat meal administered with a</w:t>
      </w:r>
      <w:r>
        <w:t>n</w:t>
      </w:r>
      <w:r w:rsidRPr="00051A04">
        <w:t xml:space="preserve"> oral </w:t>
      </w:r>
      <w:r>
        <w:t>single-</w:t>
      </w:r>
      <w:r w:rsidRPr="00051A04">
        <w:t>dose of migal</w:t>
      </w:r>
      <w:r>
        <w:t>a</w:t>
      </w:r>
      <w:r w:rsidRPr="00051A04">
        <w:t>stat HCl 100 mg (4 x 25 mg capsules) significantly decreased the plasma AUC</w:t>
      </w:r>
      <w:r w:rsidRPr="006A6B32">
        <w:rPr>
          <w:sz w:val="20"/>
          <w:szCs w:val="20"/>
          <w:vertAlign w:val="subscript"/>
        </w:rPr>
        <w:t>inf</w:t>
      </w:r>
      <w:r w:rsidRPr="00051A04">
        <w:t xml:space="preserve"> and </w:t>
      </w:r>
      <w:r w:rsidR="001B2F5C" w:rsidRPr="00401961">
        <w:t>C</w:t>
      </w:r>
      <w:r w:rsidR="001B2F5C" w:rsidRPr="00A55E04">
        <w:rPr>
          <w:vertAlign w:val="subscript"/>
        </w:rPr>
        <w:t>max</w:t>
      </w:r>
      <w:r>
        <w:t xml:space="preserve"> values by 37% </w:t>
      </w:r>
      <w:r w:rsidRPr="00051A04">
        <w:t>and 40%, respectively</w:t>
      </w:r>
      <w:r>
        <w:t xml:space="preserve">, and delayed the median </w:t>
      </w:r>
      <w:r w:rsidR="001B2F5C" w:rsidRPr="00401961">
        <w:t>t</w:t>
      </w:r>
      <w:r w:rsidR="001B2F5C" w:rsidRPr="00A55E04">
        <w:rPr>
          <w:vertAlign w:val="subscript"/>
        </w:rPr>
        <w:t>max</w:t>
      </w:r>
      <w:r>
        <w:t xml:space="preserve"> from 3.1 to 3.9 hours </w:t>
      </w:r>
      <w:r w:rsidR="00135FCB">
        <w:t>(S</w:t>
      </w:r>
      <w:r w:rsidRPr="00051A04">
        <w:t>tudy FAB-CL-103</w:t>
      </w:r>
      <w:r w:rsidR="00135FCB">
        <w:t>)</w:t>
      </w:r>
      <w:r>
        <w:t xml:space="preserve">. </w:t>
      </w:r>
      <w:r w:rsidRPr="00051A04">
        <w:t>In this study, subjects received migal</w:t>
      </w:r>
      <w:r>
        <w:t xml:space="preserve">astat HCl within 30 minutes of </w:t>
      </w:r>
      <w:r w:rsidRPr="00051A04">
        <w:t>the administration of a standard high-fat breakfast</w:t>
      </w:r>
      <w:r>
        <w:t xml:space="preserve"> during the fed period</w:t>
      </w:r>
      <w:r w:rsidRPr="00051A04">
        <w:t xml:space="preserve">. The effect of meal type and timing of the meal on the </w:t>
      </w:r>
      <w:r w:rsidRPr="007756A0">
        <w:t xml:space="preserve">PK of single oral doses of migalastat HCl 150 mg capsules in healthy volunteers was investigated in </w:t>
      </w:r>
      <w:r w:rsidR="00135FCB">
        <w:t>S</w:t>
      </w:r>
      <w:r w:rsidRPr="007756A0">
        <w:t>tudy A</w:t>
      </w:r>
      <w:r w:rsidR="00135FCB">
        <w:t>T-</w:t>
      </w:r>
      <w:r w:rsidRPr="007756A0">
        <w:t>1001-016. In this study</w:t>
      </w:r>
      <w:r w:rsidRPr="00051A04">
        <w:t xml:space="preserve">, reductions in bioavailability </w:t>
      </w:r>
      <w:r>
        <w:t xml:space="preserve">of approximately 40% </w:t>
      </w:r>
      <w:r w:rsidRPr="00051A04">
        <w:t>based on AUC</w:t>
      </w:r>
      <w:r w:rsidRPr="006A6B32">
        <w:rPr>
          <w:sz w:val="20"/>
          <w:szCs w:val="20"/>
          <w:vertAlign w:val="subscript"/>
        </w:rPr>
        <w:t>inf</w:t>
      </w:r>
      <w:r w:rsidRPr="00051A04">
        <w:t xml:space="preserve"> </w:t>
      </w:r>
      <w:r>
        <w:t xml:space="preserve">values </w:t>
      </w:r>
      <w:r w:rsidRPr="00051A04">
        <w:t>were observed when migalastat HCl 150 mg was administered 1 hour before</w:t>
      </w:r>
      <w:r>
        <w:t xml:space="preserve"> or 1 after a light meal</w:t>
      </w:r>
      <w:r w:rsidR="00CD308A">
        <w:t>.</w:t>
      </w:r>
    </w:p>
    <w:p w:rsidR="00CD308A" w:rsidRDefault="00CE4671" w:rsidP="00CE4671">
      <w:r w:rsidRPr="00051A04">
        <w:t>The sponsor proposes that migal</w:t>
      </w:r>
      <w:r>
        <w:t>a</w:t>
      </w:r>
      <w:r w:rsidRPr="00051A04">
        <w:t xml:space="preserve">stat HCl </w:t>
      </w:r>
      <w:r w:rsidRPr="001A6D87">
        <w:t>should not</w:t>
      </w:r>
      <w:r w:rsidRPr="00051A04">
        <w:t xml:space="preserve"> be taken within </w:t>
      </w:r>
      <w:r>
        <w:t xml:space="preserve">the </w:t>
      </w:r>
      <w:r w:rsidRPr="00051A04">
        <w:t xml:space="preserve">2 hours before </w:t>
      </w:r>
      <w:r>
        <w:t>or</w:t>
      </w:r>
      <w:r w:rsidRPr="00051A04">
        <w:t xml:space="preserve"> </w:t>
      </w:r>
      <w:r>
        <w:t xml:space="preserve">the 2 hours </w:t>
      </w:r>
      <w:r w:rsidRPr="00051A04">
        <w:t>after a meal</w:t>
      </w:r>
      <w:r>
        <w:t xml:space="preserve">. </w:t>
      </w:r>
      <w:r w:rsidRPr="00051A04">
        <w:t xml:space="preserve"> In the pivotal Phase </w:t>
      </w:r>
      <w:r w:rsidR="00135FCB">
        <w:t>III</w:t>
      </w:r>
      <w:r w:rsidRPr="00051A04">
        <w:t xml:space="preserve"> </w:t>
      </w:r>
      <w:r w:rsidR="00135FCB">
        <w:t>S</w:t>
      </w:r>
      <w:r w:rsidRPr="00051A04">
        <w:t xml:space="preserve">tudy AT1001-011, subjects were required to fast for 2 hours before and 2 hours after taking each dose of migalastat HCl. In the sponsor’s response to the Day 150 clinical questions raised by the EMA relating to the proposed dosing recommendation, the sponsor commented that a 40% reduction in exposure from concomitant intake of food is generally regarded as clinically meaningful. In the PK food studies, the food effect was seen with meals given 1 hour before or 1 after dosing. Therefore, the sponsor states that dosing with migalastat </w:t>
      </w:r>
      <w:r w:rsidR="006A0F1B">
        <w:t>±</w:t>
      </w:r>
      <w:r w:rsidRPr="00051A04">
        <w:t xml:space="preserve"> 2 hours around meals is considered necessary to address the food effect. Furthermore, the sponsor noted that the 2-hour fasting window </w:t>
      </w:r>
      <w:r>
        <w:t xml:space="preserve">(before and after food) </w:t>
      </w:r>
      <w:r w:rsidRPr="00051A04">
        <w:t xml:space="preserve">appeared to be adequate, based on predicted exposures from </w:t>
      </w:r>
      <w:r>
        <w:t>the P</w:t>
      </w:r>
      <w:r w:rsidRPr="00051A04">
        <w:t xml:space="preserve">PK analysis performed on sparse blood sampling for plasma migalastat concentrations in the pivotal Phase </w:t>
      </w:r>
      <w:r w:rsidR="00135FCB">
        <w:t>III</w:t>
      </w:r>
      <w:r w:rsidR="00135FCB" w:rsidRPr="00051A04">
        <w:t xml:space="preserve"> </w:t>
      </w:r>
      <w:r w:rsidR="00135FCB">
        <w:t>S</w:t>
      </w:r>
      <w:r w:rsidR="00135FCB" w:rsidRPr="00051A04">
        <w:t xml:space="preserve">tudy </w:t>
      </w:r>
      <w:r w:rsidRPr="00051A04">
        <w:t xml:space="preserve">AT1001-011. Predicted exposures based on the 2-hour fasting window (before and after food) were reported to be approximately similar to those observed in healthy volunteers in the fasted condition. </w:t>
      </w:r>
      <w:r w:rsidRPr="00051A04">
        <w:lastRenderedPageBreak/>
        <w:t xml:space="preserve">The alternative to the 2-hour fasting window around </w:t>
      </w:r>
      <w:r>
        <w:t>food</w:t>
      </w:r>
      <w:r w:rsidRPr="00051A04">
        <w:t xml:space="preserve"> would be to recommend standard fasting dosing. However, based on the PK data and the efficacy data from the pivotal Phase </w:t>
      </w:r>
      <w:r w:rsidR="00135FCB">
        <w:t>III</w:t>
      </w:r>
      <w:r w:rsidRPr="00051A04">
        <w:t xml:space="preserve"> study, the proposed dosing regimen is considered to be acceptable</w:t>
      </w:r>
      <w:r w:rsidR="00CD308A">
        <w:t>.</w:t>
      </w:r>
    </w:p>
    <w:p w:rsidR="00CE4671" w:rsidRDefault="00CE4671" w:rsidP="00CE4671">
      <w:pPr>
        <w:rPr>
          <w:rFonts w:cs="Verdana"/>
          <w:lang w:val="en-US"/>
        </w:rPr>
      </w:pPr>
      <w:r>
        <w:rPr>
          <w:rFonts w:cs="Verdana"/>
          <w:lang w:val="en-US"/>
        </w:rPr>
        <w:t xml:space="preserve">The bioavailability of migalastat </w:t>
      </w:r>
      <w:r w:rsidRPr="007756A0">
        <w:rPr>
          <w:rFonts w:cs="Verdana"/>
          <w:lang w:val="en-US"/>
        </w:rPr>
        <w:t xml:space="preserve">following multiple BD dosing was consistent with bioavailability following single dosing. In </w:t>
      </w:r>
      <w:r w:rsidR="00135FCB">
        <w:rPr>
          <w:rFonts w:cs="Verdana"/>
          <w:lang w:val="en-US"/>
        </w:rPr>
        <w:t>S</w:t>
      </w:r>
      <w:r w:rsidR="00135FCB" w:rsidRPr="007756A0">
        <w:rPr>
          <w:rFonts w:cs="Verdana"/>
          <w:lang w:val="en-US"/>
        </w:rPr>
        <w:t xml:space="preserve">tudy </w:t>
      </w:r>
      <w:r w:rsidRPr="007756A0">
        <w:rPr>
          <w:rFonts w:cs="Verdana"/>
          <w:lang w:val="en-US"/>
        </w:rPr>
        <w:t>FAB-CL-102, the geometric</w:t>
      </w:r>
      <w:r>
        <w:rPr>
          <w:rFonts w:cs="Verdana"/>
          <w:lang w:val="en-US"/>
        </w:rPr>
        <w:t xml:space="preserve"> mean AUC values following single and multiple (BD x 7 days) dosing with migalastat HCl capsules 150 mg were </w:t>
      </w:r>
      <w:proofErr w:type="gramStart"/>
      <w:r>
        <w:rPr>
          <w:rFonts w:cs="Verdana"/>
          <w:lang w:val="en-US"/>
        </w:rPr>
        <w:t>9,482 µg.h/mL (AUC</w:t>
      </w:r>
      <w:r w:rsidRPr="006A6B32">
        <w:rPr>
          <w:rFonts w:cs="Verdana"/>
          <w:sz w:val="20"/>
          <w:szCs w:val="20"/>
          <w:vertAlign w:val="subscript"/>
          <w:lang w:val="en-US"/>
        </w:rPr>
        <w:t>inf</w:t>
      </w:r>
      <w:r>
        <w:rPr>
          <w:rFonts w:cs="Verdana"/>
          <w:lang w:val="en-US"/>
        </w:rPr>
        <w:t>)</w:t>
      </w:r>
      <w:proofErr w:type="gramEnd"/>
      <w:r>
        <w:rPr>
          <w:rFonts w:cs="Verdana"/>
          <w:lang w:val="en-US"/>
        </w:rPr>
        <w:t xml:space="preserve"> and 10,680 µg.h/mL (AUC</w:t>
      </w:r>
      <w:r w:rsidRPr="006A6B32">
        <w:rPr>
          <w:rFonts w:cs="Verdana"/>
          <w:sz w:val="20"/>
          <w:szCs w:val="20"/>
          <w:vertAlign w:val="subscript"/>
          <w:lang w:val="en-US"/>
        </w:rPr>
        <w:t>0-t</w:t>
      </w:r>
      <w:r>
        <w:rPr>
          <w:rFonts w:cs="Verdana"/>
          <w:lang w:val="en-US"/>
        </w:rPr>
        <w:t xml:space="preserve">), respectively, and the corresponding geometric mean </w:t>
      </w:r>
      <w:r w:rsidR="001B2F5C" w:rsidRPr="00401961">
        <w:t>C</w:t>
      </w:r>
      <w:r w:rsidR="001B2F5C" w:rsidRPr="00A55E04">
        <w:rPr>
          <w:vertAlign w:val="subscript"/>
        </w:rPr>
        <w:t>max</w:t>
      </w:r>
      <w:r>
        <w:rPr>
          <w:rFonts w:cs="Verdana"/>
          <w:lang w:val="en-US"/>
        </w:rPr>
        <w:t xml:space="preserve"> values were 1,723 µg/L and 1,659 µg/L, respectively. The AUC results showed that no significant accumulation of migalastat occurred following multiple migalastat 150 mg BD dosing for 7 days. However, statistical analysis of C</w:t>
      </w:r>
      <w:r w:rsidRPr="006A6B32">
        <w:rPr>
          <w:rFonts w:cs="Verdana"/>
          <w:sz w:val="20"/>
          <w:szCs w:val="20"/>
          <w:vertAlign w:val="subscript"/>
          <w:lang w:val="en-US"/>
        </w:rPr>
        <w:t>min</w:t>
      </w:r>
      <w:r>
        <w:rPr>
          <w:rFonts w:cs="Verdana"/>
          <w:lang w:val="en-US"/>
        </w:rPr>
        <w:t xml:space="preserve"> values indicated that steady state had not been reached on Day 7, which was an unexpected finding given that the mean terminal half-life of migalastat following single dose administration was 2.4 hours. The sponsor is requested to comm</w:t>
      </w:r>
      <w:r w:rsidR="009504F3">
        <w:rPr>
          <w:rFonts w:cs="Verdana"/>
          <w:lang w:val="en-US"/>
        </w:rPr>
        <w:t>ent on this unexpected finding.</w:t>
      </w:r>
      <w:r w:rsidR="009504F3">
        <w:rPr>
          <w:rStyle w:val="FootnoteReference"/>
          <w:rFonts w:cs="Verdana"/>
          <w:lang w:val="en-US"/>
        </w:rPr>
        <w:footnoteReference w:id="16"/>
      </w:r>
    </w:p>
    <w:p w:rsidR="00CD308A" w:rsidRDefault="00CE4671" w:rsidP="00CE4671">
      <w:pPr>
        <w:rPr>
          <w:rFonts w:cs="Verdana"/>
          <w:lang w:val="en-US"/>
        </w:rPr>
      </w:pPr>
      <w:r>
        <w:rPr>
          <w:rFonts w:cs="Verdana"/>
          <w:lang w:val="en-US"/>
        </w:rPr>
        <w:t xml:space="preserve">Exposure to migalastat was dose proportional over the dose range 75 to 1250 mg following single-dose oral administration of migalastat HCl to healthy subjects </w:t>
      </w:r>
      <w:r w:rsidR="00135FCB">
        <w:rPr>
          <w:rFonts w:cs="Verdana"/>
          <w:lang w:val="en-US"/>
        </w:rPr>
        <w:t>(S</w:t>
      </w:r>
      <w:r>
        <w:rPr>
          <w:rFonts w:cs="Verdana"/>
          <w:lang w:val="en-US"/>
        </w:rPr>
        <w:t>tudies FAB-CL-101, FAB-CL-104, and MGM115806</w:t>
      </w:r>
      <w:r w:rsidR="00135FCB">
        <w:rPr>
          <w:rFonts w:cs="Verdana"/>
          <w:lang w:val="en-US"/>
        </w:rPr>
        <w:t>)</w:t>
      </w:r>
      <w:r>
        <w:rPr>
          <w:rFonts w:cs="Verdana"/>
          <w:lang w:val="en-US"/>
        </w:rPr>
        <w:t xml:space="preserve">. However, less than dose proportionality in exposure was demonstrated between doses of 1250 and 2000 mg </w:t>
      </w:r>
      <w:r w:rsidR="00135FCB">
        <w:rPr>
          <w:rFonts w:cs="Verdana"/>
          <w:lang w:val="en-US"/>
        </w:rPr>
        <w:t>(S</w:t>
      </w:r>
      <w:r>
        <w:rPr>
          <w:rFonts w:cs="Verdana"/>
          <w:lang w:val="en-US"/>
        </w:rPr>
        <w:t>tudy FAB-CL-104</w:t>
      </w:r>
      <w:r w:rsidR="00135FCB">
        <w:rPr>
          <w:rFonts w:cs="Verdana"/>
          <w:lang w:val="en-US"/>
        </w:rPr>
        <w:t>)</w:t>
      </w:r>
      <w:r w:rsidR="00CD308A">
        <w:rPr>
          <w:rFonts w:cs="Verdana"/>
          <w:lang w:val="en-US"/>
        </w:rPr>
        <w:t>.</w:t>
      </w:r>
    </w:p>
    <w:p w:rsidR="00CD308A" w:rsidRDefault="00CE4671" w:rsidP="00CE4671">
      <w:pPr>
        <w:pStyle w:val="Heading5"/>
        <w:rPr>
          <w:lang w:val="en-US"/>
        </w:rPr>
      </w:pPr>
      <w:r w:rsidRPr="006B26A3">
        <w:rPr>
          <w:lang w:val="en-US"/>
        </w:rPr>
        <w:t>Distribution</w:t>
      </w:r>
    </w:p>
    <w:p w:rsidR="00CD308A" w:rsidRDefault="00CE4671" w:rsidP="00CE4671">
      <w:r>
        <w:t xml:space="preserve">In a crossover design in healthy subjects, </w:t>
      </w:r>
      <w:r w:rsidRPr="00E96772">
        <w:t xml:space="preserve">the mean (CV%) volume of distribution (Vz) was 59.4 </w:t>
      </w:r>
      <w:r>
        <w:t xml:space="preserve">L </w:t>
      </w:r>
      <w:r w:rsidRPr="00E96772">
        <w:t xml:space="preserve">(33.7%) following IV migalastat 150 mg and the mean (CV%) apparent volume of distribution </w:t>
      </w:r>
      <w:r>
        <w:t xml:space="preserve">(CL/Vz) </w:t>
      </w:r>
      <w:r w:rsidRPr="00E96772">
        <w:t xml:space="preserve">was 123 </w:t>
      </w:r>
      <w:r>
        <w:t xml:space="preserve">L (46.0%) </w:t>
      </w:r>
      <w:r w:rsidRPr="00E96772">
        <w:t xml:space="preserve">following oral migalastat HCl </w:t>
      </w:r>
      <w:r>
        <w:t xml:space="preserve">150 mg </w:t>
      </w:r>
      <w:r w:rsidR="00135FCB">
        <w:t>(S</w:t>
      </w:r>
      <w:r>
        <w:t>tudy</w:t>
      </w:r>
      <w:r w:rsidR="00135FCB">
        <w:t> </w:t>
      </w:r>
      <w:r>
        <w:t>AT1001-018</w:t>
      </w:r>
      <w:r w:rsidR="00135FCB">
        <w:t>)</w:t>
      </w:r>
      <w:r>
        <w:t xml:space="preserve">. </w:t>
      </w:r>
      <w:r w:rsidRPr="00E96772">
        <w:t>The values for volume of distribution were greater than the volume of total body water (approximately 42 L for a 70 kg subject), indicating that migalastat is distributed into the extravascular tissues.</w:t>
      </w:r>
    </w:p>
    <w:p w:rsidR="00CD308A" w:rsidRDefault="00CE4671" w:rsidP="00CE4671">
      <w:r>
        <w:t>G</w:t>
      </w:r>
      <w:r w:rsidRPr="00E96772">
        <w:t>eometric mean [</w:t>
      </w:r>
      <w:r w:rsidRPr="00D36D68">
        <w:rPr>
          <w:vertAlign w:val="superscript"/>
        </w:rPr>
        <w:t>14</w:t>
      </w:r>
      <w:r w:rsidRPr="00E96772">
        <w:t>C] blood/plasma ratios were relatively constant between 2 and 6 hours post-dose (</w:t>
      </w:r>
      <w:r>
        <w:t xml:space="preserve">ranging between 0.76 and 0.82), with the ratio increasing </w:t>
      </w:r>
      <w:r w:rsidRPr="00E96772">
        <w:t>to 1.12 at 24 hours post-dose</w:t>
      </w:r>
      <w:r>
        <w:t xml:space="preserve"> and being unable to be calculated at </w:t>
      </w:r>
      <w:r w:rsidRPr="00E96772">
        <w:t>48 hours post-dose</w:t>
      </w:r>
      <w:r>
        <w:t xml:space="preserve"> </w:t>
      </w:r>
      <w:r w:rsidR="00135FCB">
        <w:t>(S</w:t>
      </w:r>
      <w:r>
        <w:t>tudy AT1001-014</w:t>
      </w:r>
      <w:r w:rsidR="00135FCB">
        <w:t>)</w:t>
      </w:r>
      <w:r w:rsidRPr="00E96772">
        <w:t>.</w:t>
      </w:r>
      <w:r w:rsidRPr="00F424AA">
        <w:t xml:space="preserve"> </w:t>
      </w:r>
      <w:r>
        <w:t xml:space="preserve">Overall, the </w:t>
      </w:r>
      <w:r w:rsidRPr="00E96772">
        <w:t>data suggest that [</w:t>
      </w:r>
      <w:r w:rsidRPr="00D36D68">
        <w:rPr>
          <w:vertAlign w:val="superscript"/>
        </w:rPr>
        <w:t>14</w:t>
      </w:r>
      <w:r w:rsidRPr="00E96772">
        <w:t>C]-radioactivity equilibrated slowly between plasma and red blood cells and may have reached equilibrium by 24 hours post-dose with some preferential association of [</w:t>
      </w:r>
      <w:r w:rsidRPr="00D36D68">
        <w:rPr>
          <w:vertAlign w:val="superscript"/>
        </w:rPr>
        <w:t>14</w:t>
      </w:r>
      <w:r w:rsidRPr="00E96772">
        <w:t>C]-radioactivity with red blood cells</w:t>
      </w:r>
      <w:r w:rsidR="00CD308A">
        <w:t>.</w:t>
      </w:r>
    </w:p>
    <w:p w:rsidR="00CD308A" w:rsidRDefault="00CE4671" w:rsidP="00CE4671">
      <w:r w:rsidRPr="006A6B32">
        <w:t>In vitro</w:t>
      </w:r>
      <w:r w:rsidRPr="003D6B1D">
        <w:t xml:space="preserve"> protein binding evaluation using equilibrium dialysis over a concentration range of 1 to 100 </w:t>
      </w:r>
      <w:r w:rsidR="001B2F5C">
        <w:t>µ</w:t>
      </w:r>
      <w:r w:rsidRPr="003D6B1D">
        <w:t>M (</w:t>
      </w:r>
      <w:r w:rsidR="00135FCB">
        <w:t>that is,</w:t>
      </w:r>
      <w:r w:rsidRPr="003D6B1D">
        <w:t xml:space="preserve"> 163 to 16300 ng/m</w:t>
      </w:r>
      <w:r w:rsidR="00135FCB">
        <w:t>L</w:t>
      </w:r>
      <w:r w:rsidRPr="003D6B1D">
        <w:t xml:space="preserve"> free base) showed that migalastat did not bind to plasma proteins </w:t>
      </w:r>
      <w:r w:rsidR="00135FCB">
        <w:t>(S</w:t>
      </w:r>
      <w:r w:rsidRPr="003D6B1D">
        <w:t>tudy 0332-145-02</w:t>
      </w:r>
      <w:r w:rsidR="00135FCB">
        <w:t>)</w:t>
      </w:r>
      <w:r w:rsidR="00CD308A">
        <w:t>.</w:t>
      </w:r>
    </w:p>
    <w:p w:rsidR="00CD308A" w:rsidRDefault="00CE4671" w:rsidP="00CE4671">
      <w:r w:rsidRPr="00EF784A">
        <w:t xml:space="preserve">Uptake of migalastat into clinically relevant tissues such as skin, leucocytes, and kidney was demonstrated in Fabry patients from observed increases in α-Gal </w:t>
      </w:r>
      <w:proofErr w:type="gramStart"/>
      <w:r w:rsidRPr="00EF784A">
        <w:t>A</w:t>
      </w:r>
      <w:proofErr w:type="gramEnd"/>
      <w:r w:rsidRPr="00EF784A">
        <w:t xml:space="preserve"> activity and/or substrate (GL-3) reduction </w:t>
      </w:r>
      <w:r w:rsidR="00135FCB">
        <w:t xml:space="preserve">(Study </w:t>
      </w:r>
      <w:r w:rsidRPr="00EF784A">
        <w:t>AT1001-103</w:t>
      </w:r>
      <w:r w:rsidR="00135FCB">
        <w:t>)</w:t>
      </w:r>
      <w:r>
        <w:t>.</w:t>
      </w:r>
    </w:p>
    <w:p w:rsidR="00CD308A" w:rsidRDefault="00CE4671" w:rsidP="00CE4671">
      <w:pPr>
        <w:pStyle w:val="Heading5"/>
      </w:pPr>
      <w:r w:rsidRPr="003D6B1D">
        <w:t>Metabolism</w:t>
      </w:r>
    </w:p>
    <w:p w:rsidR="00CD308A" w:rsidRDefault="00CE4671" w:rsidP="00CE4671">
      <w:r w:rsidRPr="003D6B1D">
        <w:t xml:space="preserve">Metabolism is a minor route of clearance for migalastat. </w:t>
      </w:r>
      <w:r w:rsidRPr="00135FCB">
        <w:t>I</w:t>
      </w:r>
      <w:r w:rsidRPr="006A6B32">
        <w:t>n vitro</w:t>
      </w:r>
      <w:r w:rsidRPr="003D6B1D">
        <w:t xml:space="preserve"> studies in human hepatocytes demonstrated that migalastat was not metabolised by CYP450 isoenzymes </w:t>
      </w:r>
      <w:r w:rsidR="00135FCB">
        <w:t>(S</w:t>
      </w:r>
      <w:r w:rsidRPr="003D6B1D">
        <w:t>tudy 0322-145-01</w:t>
      </w:r>
      <w:r w:rsidR="00135FCB">
        <w:t>)</w:t>
      </w:r>
      <w:r w:rsidRPr="003D6B1D">
        <w:t xml:space="preserve">. </w:t>
      </w:r>
      <w:r w:rsidRPr="006A6B32">
        <w:t>In vivo</w:t>
      </w:r>
      <w:r w:rsidRPr="003D6B1D">
        <w:t xml:space="preserve">, three dehydrogenated O-glucuronide metabolites of migalastat (M1, M2, M3) have been identified </w:t>
      </w:r>
      <w:r w:rsidR="00135FCB">
        <w:t xml:space="preserve">(Study </w:t>
      </w:r>
      <w:r w:rsidRPr="003D6B1D">
        <w:t>AT1001-014</w:t>
      </w:r>
      <w:r w:rsidR="00135FCB">
        <w:t>)</w:t>
      </w:r>
      <w:r w:rsidRPr="003D6B1D">
        <w:t>. This results indicates that migalastat is a substrate for UGT (uridine 5’-diphospho-gluuronyl transferase), and undergoes glucuronidation which is most likely to occur primarily in the liver</w:t>
      </w:r>
      <w:r w:rsidR="00CD308A">
        <w:t>.</w:t>
      </w:r>
    </w:p>
    <w:p w:rsidR="00CD308A" w:rsidRDefault="00CE4671" w:rsidP="00CE4671">
      <w:r w:rsidRPr="003D6B1D">
        <w:t xml:space="preserve">In the mass balance </w:t>
      </w:r>
      <w:r w:rsidR="00135FCB">
        <w:t xml:space="preserve">Study </w:t>
      </w:r>
      <w:r w:rsidRPr="003D6B1D">
        <w:t>AT1001-014, the major circulating component of the plasma radioactivity following administration of [</w:t>
      </w:r>
      <w:r w:rsidRPr="003D6B1D">
        <w:rPr>
          <w:vertAlign w:val="superscript"/>
        </w:rPr>
        <w:t>14</w:t>
      </w:r>
      <w:r w:rsidRPr="003D6B1D">
        <w:t xml:space="preserve">C]-labelled migalastat HCl to healthy subjects was unchanged migalastat, which accounted for 77% of the plasma radioactivity. The </w:t>
      </w:r>
      <w:r w:rsidRPr="003D6B1D">
        <w:lastRenderedPageBreak/>
        <w:t>three dehydrogenated O-glucuronide metabolites of migalastat (M1, M2, and M3) accounted for 13% of the total radioactivity in the plasma with approximately 9% of the total radioactivity in the plasma being unassigned. Total recovered radioactivity in the plasma (unchanged migalastat, metabolites, unassigned) accounted for 99% of the total radiolabelled dose recovered in the plasma</w:t>
      </w:r>
      <w:r w:rsidR="00CD308A">
        <w:t>.</w:t>
      </w:r>
    </w:p>
    <w:p w:rsidR="00CD308A" w:rsidRDefault="00CE4671" w:rsidP="00CE4671">
      <w:pPr>
        <w:pStyle w:val="Heading5"/>
      </w:pPr>
      <w:r w:rsidRPr="003D6B1D">
        <w:t>Excretion</w:t>
      </w:r>
    </w:p>
    <w:p w:rsidR="00CE4671" w:rsidRPr="00EF784A" w:rsidRDefault="00CE4671" w:rsidP="00CE4671">
      <w:r w:rsidRPr="00EF784A">
        <w:t xml:space="preserve">In the human mass-balance </w:t>
      </w:r>
      <w:r w:rsidR="00135FCB">
        <w:t>S</w:t>
      </w:r>
      <w:r w:rsidR="00135FCB" w:rsidRPr="00EF784A">
        <w:t xml:space="preserve">tudy </w:t>
      </w:r>
      <w:r w:rsidRPr="00EF784A">
        <w:t xml:space="preserve">AT1001-014, 77% of the administered dose of migalastat HCl was excreted in urine (parent plus metabolites) and </w:t>
      </w:r>
      <w:r>
        <w:t>20% was excreted unchanged in f</w:t>
      </w:r>
      <w:r w:rsidR="00590DCC">
        <w:t>a</w:t>
      </w:r>
      <w:r w:rsidRPr="00EF784A">
        <w:t>eces. Of the administered dose excreted in the urine, 55% was excreted as unchanged migalastat and 4% was excreted as the combined metabolites (M1, M2, and M3). No radioactivity was detected in expired air.</w:t>
      </w:r>
    </w:p>
    <w:p w:rsidR="00CD308A" w:rsidRDefault="00CE4671" w:rsidP="00CE4671">
      <w:r w:rsidRPr="003D6B1D">
        <w:t xml:space="preserve">In </w:t>
      </w:r>
      <w:r w:rsidR="00135FCB">
        <w:t>S</w:t>
      </w:r>
      <w:r w:rsidR="00135FCB" w:rsidRPr="007756A0">
        <w:t xml:space="preserve">tudy </w:t>
      </w:r>
      <w:r w:rsidRPr="007756A0">
        <w:t>AT-1001-018, mean (</w:t>
      </w:r>
      <w:proofErr w:type="gramStart"/>
      <w:r w:rsidRPr="007756A0">
        <w:t>CV%</w:t>
      </w:r>
      <w:proofErr w:type="gramEnd"/>
      <w:r w:rsidRPr="007756A0">
        <w:t>) CL following IV administration of migalastat HCl 150 mg was 9.34 L/h (14.6%) and mean (</w:t>
      </w:r>
      <w:proofErr w:type="gramStart"/>
      <w:r w:rsidRPr="007756A0">
        <w:t>CV%</w:t>
      </w:r>
      <w:proofErr w:type="gramEnd"/>
      <w:r w:rsidRPr="007756A0">
        <w:t>) CL/F following oral administration of migalastat HCl 150 mg was 12.8 L/h (26.1%). The mean (</w:t>
      </w:r>
      <w:proofErr w:type="gramStart"/>
      <w:r w:rsidRPr="007756A0">
        <w:t>CV%</w:t>
      </w:r>
      <w:proofErr w:type="gramEnd"/>
      <w:r w:rsidRPr="007756A0">
        <w:t>) terminal half-life was 4.54</w:t>
      </w:r>
      <w:r w:rsidR="00135FCB">
        <w:t> </w:t>
      </w:r>
      <w:r w:rsidRPr="007756A0">
        <w:t>h (44.8%) following IV administration and 7.28 h (59.2%) following oral administration</w:t>
      </w:r>
      <w:r w:rsidR="00CD308A">
        <w:t>.</w:t>
      </w:r>
    </w:p>
    <w:p w:rsidR="00CD308A" w:rsidRDefault="00CE4671" w:rsidP="00CE4671">
      <w:pPr>
        <w:rPr>
          <w:lang w:val="en-US"/>
        </w:rPr>
      </w:pPr>
      <w:r w:rsidRPr="007756A0">
        <w:rPr>
          <w:lang w:val="en-US"/>
        </w:rPr>
        <w:t xml:space="preserve">In </w:t>
      </w:r>
      <w:r w:rsidR="00135FCB">
        <w:rPr>
          <w:lang w:val="en-US"/>
        </w:rPr>
        <w:t>S</w:t>
      </w:r>
      <w:r w:rsidR="00135FCB" w:rsidRPr="007756A0">
        <w:rPr>
          <w:lang w:val="en-US"/>
        </w:rPr>
        <w:t xml:space="preserve">tudy </w:t>
      </w:r>
      <w:r w:rsidRPr="007756A0">
        <w:rPr>
          <w:lang w:val="en-US"/>
        </w:rPr>
        <w:t>FAB-CL-101, total</w:t>
      </w:r>
      <w:r w:rsidRPr="003D6B1D">
        <w:rPr>
          <w:lang w:val="en-US"/>
        </w:rPr>
        <w:t xml:space="preserve"> clearance ranged from 13.0 to 19.0 L/h across the dose range 25 mg to 625 mg in healthy subjects, while the mean renal clearance ranged from 5.90 L/h to 7.66 L/h (comparable to the normal filtration rate)</w:t>
      </w:r>
      <w:r w:rsidR="00CD308A">
        <w:rPr>
          <w:lang w:val="en-US"/>
        </w:rPr>
        <w:t>.</w:t>
      </w:r>
    </w:p>
    <w:p w:rsidR="00CE4671" w:rsidRPr="003D6B1D" w:rsidRDefault="00CE4671" w:rsidP="00CE4671">
      <w:pPr>
        <w:pStyle w:val="Heading5"/>
      </w:pPr>
      <w:r w:rsidRPr="003D6B1D">
        <w:t>Renal impairment</w:t>
      </w:r>
    </w:p>
    <w:p w:rsidR="00CD308A" w:rsidRDefault="00CE4671" w:rsidP="00CE4671">
      <w:pPr>
        <w:widowControl w:val="0"/>
        <w:autoSpaceDE w:val="0"/>
        <w:autoSpaceDN w:val="0"/>
        <w:adjustRightInd w:val="0"/>
        <w:spacing w:line="240" w:lineRule="auto"/>
        <w:rPr>
          <w:rFonts w:asciiTheme="minorHAnsi" w:hAnsiTheme="minorHAnsi"/>
        </w:rPr>
      </w:pPr>
      <w:r w:rsidRPr="00590DCC">
        <w:rPr>
          <w:rFonts w:asciiTheme="minorHAnsi" w:hAnsiTheme="minorHAnsi"/>
        </w:rPr>
        <w:t xml:space="preserve">In </w:t>
      </w:r>
      <w:r w:rsidR="00135FCB">
        <w:rPr>
          <w:rFonts w:asciiTheme="minorHAnsi" w:hAnsiTheme="minorHAnsi"/>
        </w:rPr>
        <w:t>S</w:t>
      </w:r>
      <w:r w:rsidRPr="00590DCC">
        <w:rPr>
          <w:rFonts w:asciiTheme="minorHAnsi" w:hAnsiTheme="minorHAnsi"/>
        </w:rPr>
        <w:t>tudy AT1001-015, after a single oral dose of migalastat HCl 150 mg to subjects with</w:t>
      </w:r>
      <w:r w:rsidRPr="003D6B1D">
        <w:rPr>
          <w:rFonts w:asciiTheme="minorHAnsi" w:hAnsiTheme="minorHAnsi"/>
        </w:rPr>
        <w:t xml:space="preserve"> mild, moderate and severe renal impairment the AUC</w:t>
      </w:r>
      <w:r w:rsidRPr="006A6B32">
        <w:rPr>
          <w:rFonts w:asciiTheme="minorHAnsi" w:hAnsiTheme="minorHAnsi"/>
          <w:sz w:val="20"/>
          <w:szCs w:val="20"/>
          <w:vertAlign w:val="subscript"/>
        </w:rPr>
        <w:t>0-t</w:t>
      </w:r>
      <w:r w:rsidR="00135FCB" w:rsidRPr="00135FCB">
        <w:rPr>
          <w:rFonts w:asciiTheme="minorHAnsi" w:hAnsiTheme="minorHAnsi"/>
        </w:rPr>
        <w:t xml:space="preserve"> </w:t>
      </w:r>
      <w:r w:rsidRPr="003D6B1D">
        <w:rPr>
          <w:rFonts w:asciiTheme="minorHAnsi" w:hAnsiTheme="minorHAnsi"/>
        </w:rPr>
        <w:t>values were 1.2-, 1.8- and 4.3-fold greater, respectively, compared to subjects with normal renal function. In addition, plasma migalastat concentrations at 48 hours after dosing (C</w:t>
      </w:r>
      <w:r w:rsidRPr="006A6B32">
        <w:rPr>
          <w:rFonts w:asciiTheme="minorHAnsi" w:hAnsiTheme="minorHAnsi"/>
          <w:vertAlign w:val="subscript"/>
        </w:rPr>
        <w:t>48</w:t>
      </w:r>
      <w:r w:rsidR="00135FCB" w:rsidRPr="006A6B32">
        <w:rPr>
          <w:rFonts w:asciiTheme="minorHAnsi" w:hAnsiTheme="minorHAnsi"/>
          <w:vertAlign w:val="subscript"/>
        </w:rPr>
        <w:t>h</w:t>
      </w:r>
      <w:r w:rsidRPr="003D6B1D">
        <w:rPr>
          <w:rFonts w:asciiTheme="minorHAnsi" w:hAnsiTheme="minorHAnsi"/>
        </w:rPr>
        <w:t>) were notably greater in subjects with severe and moderate renal impairment compared to subjects with normal renal function. Terminal elimination half-live values were 6.4, 7.7, 22.1 and 32 .3 hours for subjects with normal renal function, mild renal impairment, moderate renal impairment and severe renal impairment, respectively</w:t>
      </w:r>
      <w:r w:rsidR="00CD308A">
        <w:rPr>
          <w:rFonts w:asciiTheme="minorHAnsi" w:hAnsiTheme="minorHAnsi"/>
        </w:rPr>
        <w:t>.</w:t>
      </w:r>
    </w:p>
    <w:p w:rsidR="00CD308A" w:rsidRDefault="00CE4671" w:rsidP="00CE4671">
      <w:r w:rsidRPr="00EF1F1D">
        <w:t xml:space="preserve">In the PPK analysis MGM116016, renal function was the most important determinant of variability in the exposure of migalastat, with an average 3-fold range in exposure occurring for baseline </w:t>
      </w:r>
      <w:r>
        <w:t xml:space="preserve">eGFR values between </w:t>
      </w:r>
      <w:r w:rsidRPr="00EF1F1D">
        <w:t>30 and 120 mL/min/1.73 m</w:t>
      </w:r>
      <w:r w:rsidRPr="00EF1F1D">
        <w:rPr>
          <w:vertAlign w:val="superscript"/>
        </w:rPr>
        <w:t>2</w:t>
      </w:r>
      <w:r>
        <w:t xml:space="preserve"> (</w:t>
      </w:r>
      <w:r w:rsidR="00135FCB">
        <w:t>that is</w:t>
      </w:r>
      <w:r>
        <w:t>, subjects with low eGFR values have higher exposures than patients with high eGFR values)</w:t>
      </w:r>
      <w:r w:rsidR="00CD308A">
        <w:t>.</w:t>
      </w:r>
    </w:p>
    <w:p w:rsidR="00CE4671" w:rsidRPr="00590DCC" w:rsidRDefault="00CE4671" w:rsidP="00CE4671">
      <w:pPr>
        <w:widowControl w:val="0"/>
        <w:autoSpaceDE w:val="0"/>
        <w:autoSpaceDN w:val="0"/>
        <w:adjustRightInd w:val="0"/>
        <w:spacing w:line="240" w:lineRule="auto"/>
        <w:rPr>
          <w:rFonts w:asciiTheme="minorHAnsi" w:hAnsiTheme="minorHAnsi"/>
        </w:rPr>
      </w:pPr>
      <w:r w:rsidRPr="003D6B1D">
        <w:rPr>
          <w:rFonts w:asciiTheme="minorHAnsi" w:hAnsiTheme="minorHAnsi"/>
        </w:rPr>
        <w:t>The sponsor considers that treatment with migalastat is not recommended in patient</w:t>
      </w:r>
      <w:r>
        <w:rPr>
          <w:rFonts w:asciiTheme="minorHAnsi" w:hAnsiTheme="minorHAnsi"/>
        </w:rPr>
        <w:t>s with severe renal impairment, but proposes n</w:t>
      </w:r>
      <w:r w:rsidRPr="003D6B1D">
        <w:rPr>
          <w:rFonts w:asciiTheme="minorHAnsi" w:hAnsiTheme="minorHAnsi"/>
        </w:rPr>
        <w:t xml:space="preserve">o dosage </w:t>
      </w:r>
      <w:r>
        <w:rPr>
          <w:rFonts w:asciiTheme="minorHAnsi" w:hAnsiTheme="minorHAnsi"/>
        </w:rPr>
        <w:t>adjustment</w:t>
      </w:r>
      <w:r w:rsidRPr="003D6B1D">
        <w:rPr>
          <w:rFonts w:asciiTheme="minorHAnsi" w:hAnsiTheme="minorHAnsi"/>
        </w:rPr>
        <w:t xml:space="preserve"> for patients with mild or moderate renal </w:t>
      </w:r>
      <w:r w:rsidRPr="00590DCC">
        <w:rPr>
          <w:rFonts w:asciiTheme="minorHAnsi" w:hAnsiTheme="minorHAnsi"/>
        </w:rPr>
        <w:t>impairment. However, the sponsor is requested to justify its proposal not to adjust the dosage in patients with moderate renal impairment, given the exposure data for this pati</w:t>
      </w:r>
      <w:r w:rsidR="009504F3">
        <w:rPr>
          <w:rFonts w:asciiTheme="minorHAnsi" w:hAnsiTheme="minorHAnsi"/>
        </w:rPr>
        <w:t xml:space="preserve">ent group in </w:t>
      </w:r>
      <w:r w:rsidR="00135FCB">
        <w:rPr>
          <w:rFonts w:asciiTheme="minorHAnsi" w:hAnsiTheme="minorHAnsi"/>
        </w:rPr>
        <w:t xml:space="preserve">Study </w:t>
      </w:r>
      <w:r w:rsidR="009504F3">
        <w:rPr>
          <w:rFonts w:asciiTheme="minorHAnsi" w:hAnsiTheme="minorHAnsi"/>
        </w:rPr>
        <w:t>AT1001-015.</w:t>
      </w:r>
      <w:r w:rsidR="009504F3">
        <w:rPr>
          <w:rStyle w:val="FootnoteReference"/>
          <w:rFonts w:asciiTheme="minorHAnsi" w:hAnsiTheme="minorHAnsi"/>
        </w:rPr>
        <w:footnoteReference w:id="17"/>
      </w:r>
    </w:p>
    <w:p w:rsidR="00CE4671" w:rsidRPr="00EF1F1D" w:rsidRDefault="00CE4671" w:rsidP="00CE4671">
      <w:pPr>
        <w:pStyle w:val="Heading5"/>
      </w:pPr>
      <w:r w:rsidRPr="00EF1F1D">
        <w:t>Hepatic impairment</w:t>
      </w:r>
    </w:p>
    <w:p w:rsidR="00CE4671" w:rsidRPr="003D6B1D" w:rsidRDefault="00CE4671" w:rsidP="00CE4671">
      <w:pPr>
        <w:widowControl w:val="0"/>
        <w:autoSpaceDE w:val="0"/>
        <w:autoSpaceDN w:val="0"/>
        <w:adjustRightInd w:val="0"/>
        <w:spacing w:line="240" w:lineRule="auto"/>
        <w:rPr>
          <w:rFonts w:asciiTheme="minorHAnsi" w:hAnsiTheme="minorHAnsi"/>
        </w:rPr>
      </w:pPr>
      <w:r w:rsidRPr="003D6B1D">
        <w:rPr>
          <w:rFonts w:asciiTheme="minorHAnsi" w:hAnsiTheme="minorHAnsi"/>
        </w:rPr>
        <w:t xml:space="preserve">No dedicated PK studies have been undertaken in subjects with hepatic impairment. However, based on the </w:t>
      </w:r>
      <w:r w:rsidRPr="006A6B32">
        <w:rPr>
          <w:rFonts w:asciiTheme="minorHAnsi" w:hAnsiTheme="minorHAnsi"/>
        </w:rPr>
        <w:t>in vitro</w:t>
      </w:r>
      <w:r w:rsidRPr="003D6B1D">
        <w:rPr>
          <w:rFonts w:asciiTheme="minorHAnsi" w:hAnsiTheme="minorHAnsi"/>
        </w:rPr>
        <w:t xml:space="preserve"> metabolic studies </w:t>
      </w:r>
      <w:r>
        <w:rPr>
          <w:rFonts w:asciiTheme="minorHAnsi" w:hAnsiTheme="minorHAnsi"/>
        </w:rPr>
        <w:t xml:space="preserve">and the </w:t>
      </w:r>
      <w:r w:rsidRPr="003D6B1D">
        <w:rPr>
          <w:rFonts w:asciiTheme="minorHAnsi" w:hAnsiTheme="minorHAnsi"/>
        </w:rPr>
        <w:t xml:space="preserve">mass-balance study in humans, clinically significant increased exposure to migalastat in patients with hepatic impairment is unlikely. </w:t>
      </w:r>
      <w:r>
        <w:rPr>
          <w:rFonts w:asciiTheme="minorHAnsi" w:hAnsiTheme="minorHAnsi"/>
        </w:rPr>
        <w:t>Nevertheless, the sponsor is requested to formally justify its decision not to submit a dedicated PK study in su</w:t>
      </w:r>
      <w:r w:rsidR="009504F3">
        <w:rPr>
          <w:rFonts w:asciiTheme="minorHAnsi" w:hAnsiTheme="minorHAnsi"/>
        </w:rPr>
        <w:t>bjects with hepatic impairment.</w:t>
      </w:r>
      <w:r w:rsidR="009504F3">
        <w:rPr>
          <w:rStyle w:val="FootnoteReference"/>
          <w:rFonts w:asciiTheme="minorHAnsi" w:hAnsiTheme="minorHAnsi"/>
        </w:rPr>
        <w:footnoteReference w:id="18"/>
      </w:r>
    </w:p>
    <w:p w:rsidR="00CE4671" w:rsidRPr="00EF1F1D" w:rsidRDefault="00CE4671" w:rsidP="00CE4671">
      <w:pPr>
        <w:pStyle w:val="Heading5"/>
      </w:pPr>
      <w:r w:rsidRPr="00EF1F1D">
        <w:t>Elderly subjects</w:t>
      </w:r>
    </w:p>
    <w:p w:rsidR="00CD308A" w:rsidRDefault="00CE4671" w:rsidP="00CE4671">
      <w:pPr>
        <w:rPr>
          <w:rFonts w:asciiTheme="minorHAnsi" w:hAnsiTheme="minorHAnsi"/>
        </w:rPr>
      </w:pPr>
      <w:r w:rsidRPr="00EF1F1D">
        <w:rPr>
          <w:rFonts w:asciiTheme="minorHAnsi" w:hAnsiTheme="minorHAnsi"/>
        </w:rPr>
        <w:t>The submission included no dedicated PK studies in elderly subjects. In the PPK analysis</w:t>
      </w:r>
      <w:r>
        <w:rPr>
          <w:rFonts w:asciiTheme="minorHAnsi" w:hAnsiTheme="minorHAnsi"/>
        </w:rPr>
        <w:t xml:space="preserve"> </w:t>
      </w:r>
      <w:r>
        <w:t>MGM116016</w:t>
      </w:r>
      <w:r w:rsidRPr="00EF1F1D">
        <w:rPr>
          <w:rFonts w:asciiTheme="minorHAnsi" w:hAnsiTheme="minorHAnsi"/>
        </w:rPr>
        <w:t>, no clinically relevant effect of age on exposure was observed</w:t>
      </w:r>
      <w:r w:rsidR="00CD308A">
        <w:rPr>
          <w:rFonts w:asciiTheme="minorHAnsi" w:hAnsiTheme="minorHAnsi"/>
        </w:rPr>
        <w:t>.</w:t>
      </w:r>
    </w:p>
    <w:p w:rsidR="00CE4671" w:rsidRPr="00EF1F1D" w:rsidRDefault="00CE4671" w:rsidP="00CE4671">
      <w:pPr>
        <w:pStyle w:val="Heading5"/>
      </w:pPr>
      <w:r w:rsidRPr="00EF1F1D">
        <w:lastRenderedPageBreak/>
        <w:t>Children and adolescents</w:t>
      </w:r>
    </w:p>
    <w:p w:rsidR="00CD308A" w:rsidRDefault="00CE4671" w:rsidP="00CE4671">
      <w:pPr>
        <w:widowControl w:val="0"/>
        <w:autoSpaceDE w:val="0"/>
        <w:autoSpaceDN w:val="0"/>
        <w:adjustRightInd w:val="0"/>
        <w:spacing w:line="240" w:lineRule="auto"/>
        <w:rPr>
          <w:rFonts w:asciiTheme="minorHAnsi" w:hAnsiTheme="minorHAnsi"/>
        </w:rPr>
      </w:pPr>
      <w:r w:rsidRPr="003D6B1D">
        <w:rPr>
          <w:rFonts w:asciiTheme="minorHAnsi" w:hAnsiTheme="minorHAnsi"/>
        </w:rPr>
        <w:t>The submission included no dedicated PK studies in children and adolescents. Treatment with migalastat HCl is not being proposed for treatment of patients younger than 16 years</w:t>
      </w:r>
      <w:r w:rsidR="00CD308A">
        <w:rPr>
          <w:rFonts w:asciiTheme="minorHAnsi" w:hAnsiTheme="minorHAnsi"/>
        </w:rPr>
        <w:t>.</w:t>
      </w:r>
    </w:p>
    <w:p w:rsidR="00CE4671" w:rsidRPr="00EF1F1D" w:rsidRDefault="00CE4671" w:rsidP="00CE4671">
      <w:pPr>
        <w:pStyle w:val="Heading5"/>
      </w:pPr>
      <w:r w:rsidRPr="00EF1F1D">
        <w:t>Gender</w:t>
      </w:r>
    </w:p>
    <w:p w:rsidR="00CE4671" w:rsidRDefault="00CE4671" w:rsidP="00CE4671">
      <w:r w:rsidRPr="003D6B1D">
        <w:rPr>
          <w:rFonts w:asciiTheme="minorHAnsi" w:hAnsiTheme="minorHAnsi"/>
        </w:rPr>
        <w:t>The submission included no dedicated PK studies specifically comparing male and female patients. The PPK analysis indicated that gender had no effect on the PK of migalastat</w:t>
      </w:r>
      <w:r>
        <w:rPr>
          <w:rFonts w:asciiTheme="minorHAnsi" w:hAnsiTheme="minorHAnsi"/>
        </w:rPr>
        <w:t xml:space="preserve"> </w:t>
      </w:r>
      <w:r w:rsidR="00135FCB">
        <w:t xml:space="preserve">(PPK analysis </w:t>
      </w:r>
      <w:r>
        <w:t>MGM116016</w:t>
      </w:r>
      <w:r w:rsidR="00135FCB">
        <w:t>)</w:t>
      </w:r>
      <w:r>
        <w:t>.</w:t>
      </w:r>
    </w:p>
    <w:p w:rsidR="00CE4671" w:rsidRPr="00EF1F1D" w:rsidRDefault="00CE4671" w:rsidP="00CE4671">
      <w:pPr>
        <w:pStyle w:val="Heading5"/>
      </w:pPr>
      <w:r w:rsidRPr="00EF1F1D">
        <w:t>Race</w:t>
      </w:r>
    </w:p>
    <w:p w:rsidR="00CD308A" w:rsidRDefault="00CE4671" w:rsidP="00CE4671">
      <w:pPr>
        <w:widowControl w:val="0"/>
        <w:autoSpaceDE w:val="0"/>
        <w:autoSpaceDN w:val="0"/>
        <w:adjustRightInd w:val="0"/>
        <w:spacing w:line="240" w:lineRule="auto"/>
        <w:rPr>
          <w:rFonts w:asciiTheme="minorHAnsi" w:hAnsiTheme="minorHAnsi"/>
        </w:rPr>
      </w:pPr>
      <w:r w:rsidRPr="003D6B1D">
        <w:rPr>
          <w:rFonts w:asciiTheme="minorHAnsi" w:hAnsiTheme="minorHAnsi"/>
        </w:rPr>
        <w:t xml:space="preserve">The PK </w:t>
      </w:r>
      <w:r w:rsidR="00135FCB">
        <w:rPr>
          <w:rFonts w:asciiTheme="minorHAnsi" w:hAnsiTheme="minorHAnsi"/>
        </w:rPr>
        <w:t xml:space="preserve">in </w:t>
      </w:r>
      <w:r w:rsidRPr="003D6B1D">
        <w:rPr>
          <w:rFonts w:asciiTheme="minorHAnsi" w:hAnsiTheme="minorHAnsi"/>
        </w:rPr>
        <w:t xml:space="preserve">healthy Japanese subjects </w:t>
      </w:r>
      <w:r w:rsidR="00135FCB">
        <w:rPr>
          <w:rFonts w:asciiTheme="minorHAnsi" w:hAnsiTheme="minorHAnsi"/>
        </w:rPr>
        <w:t>(S</w:t>
      </w:r>
      <w:r w:rsidR="00135FCB" w:rsidRPr="003D6B1D">
        <w:rPr>
          <w:rFonts w:asciiTheme="minorHAnsi" w:hAnsiTheme="minorHAnsi"/>
        </w:rPr>
        <w:t xml:space="preserve">tudy </w:t>
      </w:r>
      <w:r w:rsidRPr="003D6B1D">
        <w:rPr>
          <w:rFonts w:asciiTheme="minorHAnsi" w:hAnsiTheme="minorHAnsi"/>
        </w:rPr>
        <w:t>MGM115806</w:t>
      </w:r>
      <w:r w:rsidR="00135FCB">
        <w:rPr>
          <w:rFonts w:asciiTheme="minorHAnsi" w:hAnsiTheme="minorHAnsi"/>
        </w:rPr>
        <w:t>)</w:t>
      </w:r>
      <w:r w:rsidRPr="003D6B1D">
        <w:rPr>
          <w:rFonts w:asciiTheme="minorHAnsi" w:hAnsiTheme="minorHAnsi"/>
        </w:rPr>
        <w:t xml:space="preserve"> </w:t>
      </w:r>
      <w:proofErr w:type="gramStart"/>
      <w:r w:rsidRPr="003D6B1D">
        <w:rPr>
          <w:rFonts w:asciiTheme="minorHAnsi" w:hAnsiTheme="minorHAnsi"/>
        </w:rPr>
        <w:t>were</w:t>
      </w:r>
      <w:proofErr w:type="gramEnd"/>
      <w:r w:rsidRPr="003D6B1D">
        <w:rPr>
          <w:rFonts w:asciiTheme="minorHAnsi" w:hAnsiTheme="minorHAnsi"/>
        </w:rPr>
        <w:t xml:space="preserve"> similar to the PK of healthy Caucasian subjects</w:t>
      </w:r>
      <w:r w:rsidR="00CD308A">
        <w:rPr>
          <w:rFonts w:asciiTheme="minorHAnsi" w:hAnsiTheme="minorHAnsi"/>
        </w:rPr>
        <w:t>.</w:t>
      </w:r>
    </w:p>
    <w:p w:rsidR="00CD308A" w:rsidRDefault="00CE4671" w:rsidP="00CE4671">
      <w:pPr>
        <w:pStyle w:val="Heading5"/>
      </w:pPr>
      <w:r w:rsidRPr="00EF1F1D">
        <w:t>Weight</w:t>
      </w:r>
    </w:p>
    <w:p w:rsidR="00CD308A" w:rsidRDefault="00CE4671" w:rsidP="00CE4671">
      <w:r>
        <w:rPr>
          <w:rFonts w:asciiTheme="minorHAnsi" w:hAnsiTheme="minorHAnsi"/>
        </w:rPr>
        <w:t xml:space="preserve">The PPK analysis indicated that, after baseline creatinine clearance, baseline </w:t>
      </w:r>
      <w:r w:rsidRPr="003D6B1D">
        <w:rPr>
          <w:rFonts w:asciiTheme="minorHAnsi" w:hAnsiTheme="minorHAnsi"/>
          <w:lang w:val="en-US"/>
        </w:rPr>
        <w:t xml:space="preserve">weight was the second largest determinant of variability in exposure to migalastat, </w:t>
      </w:r>
      <w:r>
        <w:rPr>
          <w:rFonts w:asciiTheme="minorHAnsi" w:hAnsiTheme="minorHAnsi"/>
          <w:lang w:val="en-US"/>
        </w:rPr>
        <w:t xml:space="preserve">with subjects with lower weight having higher exposures. There was </w:t>
      </w:r>
      <w:r w:rsidRPr="003D6B1D">
        <w:rPr>
          <w:rFonts w:asciiTheme="minorHAnsi" w:hAnsiTheme="minorHAnsi"/>
          <w:lang w:val="en-US"/>
        </w:rPr>
        <w:t>a less than 2-fold average difference in exposure for baseline body weights between 50 and 170 kg</w:t>
      </w:r>
      <w:r>
        <w:rPr>
          <w:rFonts w:asciiTheme="minorHAnsi" w:hAnsiTheme="minorHAnsi"/>
          <w:lang w:val="en-US"/>
        </w:rPr>
        <w:t xml:space="preserve"> </w:t>
      </w:r>
      <w:r w:rsidR="00135FCB">
        <w:t xml:space="preserve">(PPK analysis </w:t>
      </w:r>
      <w:r>
        <w:t>MGM116016</w:t>
      </w:r>
      <w:r w:rsidR="00135FCB">
        <w:t>)</w:t>
      </w:r>
      <w:r>
        <w:t>, which suggests that dosage adjustments based on weight are not required</w:t>
      </w:r>
      <w:r w:rsidR="00CD308A">
        <w:t>.</w:t>
      </w:r>
    </w:p>
    <w:p w:rsidR="008E7846" w:rsidRDefault="008E7846" w:rsidP="008E7846">
      <w:pPr>
        <w:pStyle w:val="Heading3"/>
      </w:pPr>
      <w:bookmarkStart w:id="78" w:name="_Toc196046481"/>
      <w:bookmarkStart w:id="79" w:name="_Toc247691520"/>
      <w:bookmarkStart w:id="80" w:name="_Toc314842503"/>
      <w:bookmarkStart w:id="81" w:name="_Toc524949261"/>
      <w:r w:rsidRPr="00254787">
        <w:t>Pharmacodynamics</w:t>
      </w:r>
      <w:bookmarkEnd w:id="67"/>
      <w:bookmarkEnd w:id="78"/>
      <w:bookmarkEnd w:id="79"/>
      <w:bookmarkEnd w:id="80"/>
      <w:bookmarkEnd w:id="81"/>
    </w:p>
    <w:p w:rsidR="00605AD4" w:rsidRDefault="00605AD4" w:rsidP="00605AD4">
      <w:pPr>
        <w:pStyle w:val="Heading4"/>
      </w:pPr>
      <w:r>
        <w:t>Studies providing pharmacodynamic data</w:t>
      </w:r>
    </w:p>
    <w:p w:rsidR="00263EDE" w:rsidRDefault="00CE4671" w:rsidP="00E25455">
      <w:pPr>
        <w:rPr>
          <w:b/>
        </w:rPr>
      </w:pPr>
      <w:r w:rsidRPr="00E250B4">
        <w:t xml:space="preserve">The primary pharmacodynamics (PD) of migalastat </w:t>
      </w:r>
      <w:proofErr w:type="gramStart"/>
      <w:r w:rsidRPr="00E250B4">
        <w:t>were</w:t>
      </w:r>
      <w:proofErr w:type="gramEnd"/>
      <w:r w:rsidRPr="00E250B4">
        <w:t xml:space="preserve"> investigated in </w:t>
      </w:r>
      <w:r>
        <w:t xml:space="preserve">5 </w:t>
      </w:r>
      <w:r w:rsidRPr="00E250B4">
        <w:t xml:space="preserve">Phase </w:t>
      </w:r>
      <w:r w:rsidR="00135FCB">
        <w:t>II</w:t>
      </w:r>
      <w:r w:rsidRPr="00E250B4">
        <w:t xml:space="preserve"> studies in 28 subjects with Fabry disease (</w:t>
      </w:r>
      <w:r w:rsidR="00135FCB">
        <w:t xml:space="preserve">Studies </w:t>
      </w:r>
      <w:r w:rsidRPr="00E250B4">
        <w:t>FAB-CL-201, FAB-CL-202, FAB-CL-203, FAB</w:t>
      </w:r>
      <w:r w:rsidR="00135FCB">
        <w:noBreakHyphen/>
      </w:r>
      <w:r w:rsidRPr="00E250B4">
        <w:t>CL</w:t>
      </w:r>
      <w:r w:rsidR="00135FCB">
        <w:noBreakHyphen/>
      </w:r>
      <w:r w:rsidRPr="00E250B4">
        <w:t xml:space="preserve">204, FAB-CL-205). The </w:t>
      </w:r>
      <w:r>
        <w:t xml:space="preserve">primary </w:t>
      </w:r>
      <w:r w:rsidRPr="00E250B4">
        <w:t xml:space="preserve">PD outcome variables for the Phase </w:t>
      </w:r>
      <w:r w:rsidR="00135FCB">
        <w:t>II</w:t>
      </w:r>
      <w:r w:rsidRPr="00E250B4">
        <w:t xml:space="preserve"> studies a</w:t>
      </w:r>
      <w:r>
        <w:t>re summarised below.</w:t>
      </w:r>
      <w:bookmarkStart w:id="82" w:name="_Toc461981009"/>
    </w:p>
    <w:p w:rsidR="00CE4671" w:rsidRPr="00263EDE" w:rsidRDefault="00CE4671" w:rsidP="00263EDE">
      <w:pPr>
        <w:pStyle w:val="TableTitle"/>
      </w:pPr>
      <w:proofErr w:type="gramStart"/>
      <w:r w:rsidRPr="00263EDE">
        <w:t xml:space="preserve">Table 4: Primary PD outcomes in the Phase </w:t>
      </w:r>
      <w:r w:rsidR="00135FCB">
        <w:t>II</w:t>
      </w:r>
      <w:r w:rsidRPr="00263EDE">
        <w:t xml:space="preserve"> studies in patients with Fabry disease.</w:t>
      </w:r>
      <w:bookmarkEnd w:id="82"/>
      <w:proofErr w:type="gramEnd"/>
    </w:p>
    <w:tbl>
      <w:tblPr>
        <w:tblStyle w:val="TableTGAblue"/>
        <w:tblW w:w="0" w:type="auto"/>
        <w:tblLook w:val="04A0" w:firstRow="1" w:lastRow="0" w:firstColumn="1" w:lastColumn="0" w:noHBand="0" w:noVBand="1"/>
      </w:tblPr>
      <w:tblGrid>
        <w:gridCol w:w="1250"/>
        <w:gridCol w:w="778"/>
        <w:gridCol w:w="6379"/>
      </w:tblGrid>
      <w:tr w:rsidR="00263EDE" w:rsidRPr="00F5175D" w:rsidTr="00F5175D">
        <w:trPr>
          <w:cnfStyle w:val="100000000000" w:firstRow="1" w:lastRow="0" w:firstColumn="0" w:lastColumn="0" w:oddVBand="0" w:evenVBand="0" w:oddHBand="0" w:evenHBand="0" w:firstRowFirstColumn="0" w:firstRowLastColumn="0" w:lastRowFirstColumn="0" w:lastRowLastColumn="0"/>
        </w:trPr>
        <w:tc>
          <w:tcPr>
            <w:tcW w:w="1250" w:type="dxa"/>
          </w:tcPr>
          <w:p w:rsidR="00263EDE" w:rsidRPr="00F5175D" w:rsidRDefault="00263EDE" w:rsidP="00F5175D">
            <w:pPr>
              <w:rPr>
                <w:sz w:val="20"/>
                <w:szCs w:val="20"/>
              </w:rPr>
            </w:pPr>
            <w:r w:rsidRPr="00F5175D">
              <w:rPr>
                <w:sz w:val="20"/>
                <w:szCs w:val="20"/>
              </w:rPr>
              <w:t xml:space="preserve">Study ID </w:t>
            </w:r>
          </w:p>
        </w:tc>
        <w:tc>
          <w:tcPr>
            <w:tcW w:w="735" w:type="dxa"/>
          </w:tcPr>
          <w:p w:rsidR="00263EDE" w:rsidRPr="00F5175D" w:rsidRDefault="00263EDE" w:rsidP="00F5175D">
            <w:pPr>
              <w:rPr>
                <w:sz w:val="20"/>
                <w:szCs w:val="20"/>
              </w:rPr>
            </w:pPr>
            <w:r w:rsidRPr="00F5175D">
              <w:rPr>
                <w:sz w:val="20"/>
                <w:szCs w:val="20"/>
              </w:rPr>
              <w:t xml:space="preserve">N </w:t>
            </w:r>
          </w:p>
        </w:tc>
        <w:tc>
          <w:tcPr>
            <w:tcW w:w="6379" w:type="dxa"/>
          </w:tcPr>
          <w:p w:rsidR="00263EDE" w:rsidRPr="00F5175D" w:rsidRDefault="00263EDE" w:rsidP="00F5175D">
            <w:pPr>
              <w:rPr>
                <w:sz w:val="20"/>
                <w:szCs w:val="20"/>
              </w:rPr>
            </w:pPr>
            <w:r w:rsidRPr="00F5175D">
              <w:rPr>
                <w:sz w:val="20"/>
                <w:szCs w:val="20"/>
              </w:rPr>
              <w:t xml:space="preserve">Primary PD Outcome Variables </w:t>
            </w:r>
          </w:p>
        </w:tc>
      </w:tr>
      <w:tr w:rsidR="00263EDE" w:rsidRPr="00F5175D" w:rsidTr="00F5175D">
        <w:tc>
          <w:tcPr>
            <w:tcW w:w="1250" w:type="dxa"/>
          </w:tcPr>
          <w:p w:rsidR="00263EDE" w:rsidRPr="00F5175D" w:rsidRDefault="00263EDE" w:rsidP="00F5175D">
            <w:pPr>
              <w:rPr>
                <w:sz w:val="20"/>
                <w:szCs w:val="20"/>
              </w:rPr>
            </w:pPr>
            <w:r w:rsidRPr="00F5175D">
              <w:rPr>
                <w:sz w:val="20"/>
                <w:szCs w:val="20"/>
              </w:rPr>
              <w:t>FAB-CL-201</w:t>
            </w:r>
          </w:p>
        </w:tc>
        <w:tc>
          <w:tcPr>
            <w:tcW w:w="735" w:type="dxa"/>
          </w:tcPr>
          <w:p w:rsidR="00263EDE" w:rsidRPr="00F5175D" w:rsidRDefault="00263EDE" w:rsidP="00F5175D">
            <w:pPr>
              <w:rPr>
                <w:sz w:val="20"/>
                <w:szCs w:val="20"/>
              </w:rPr>
            </w:pPr>
            <w:r w:rsidRPr="00F5175D">
              <w:rPr>
                <w:sz w:val="20"/>
                <w:szCs w:val="20"/>
              </w:rPr>
              <w:t>9 M</w:t>
            </w:r>
          </w:p>
        </w:tc>
        <w:tc>
          <w:tcPr>
            <w:tcW w:w="6379" w:type="dxa"/>
          </w:tcPr>
          <w:p w:rsidR="00CD308A" w:rsidRPr="00F5175D" w:rsidRDefault="00263EDE" w:rsidP="00F5175D">
            <w:pPr>
              <w:rPr>
                <w:sz w:val="20"/>
                <w:szCs w:val="20"/>
              </w:rPr>
            </w:pPr>
            <w:r w:rsidRPr="00F5175D">
              <w:rPr>
                <w:sz w:val="20"/>
                <w:szCs w:val="20"/>
              </w:rPr>
              <w:t xml:space="preserve">• </w:t>
            </w:r>
            <w:proofErr w:type="gramStart"/>
            <w:r w:rsidRPr="00F5175D">
              <w:rPr>
                <w:sz w:val="20"/>
                <w:szCs w:val="20"/>
              </w:rPr>
              <w:t>α-Gal</w:t>
            </w:r>
            <w:proofErr w:type="gramEnd"/>
            <w:r w:rsidRPr="00F5175D">
              <w:rPr>
                <w:sz w:val="20"/>
                <w:szCs w:val="20"/>
              </w:rPr>
              <w:t xml:space="preserve"> A activity (leukocytes and skin)</w:t>
            </w:r>
            <w:r w:rsidR="00CD308A" w:rsidRPr="00F5175D">
              <w:rPr>
                <w:sz w:val="20"/>
                <w:szCs w:val="20"/>
              </w:rPr>
              <w:t>.</w:t>
            </w:r>
          </w:p>
          <w:p w:rsidR="00CD308A" w:rsidRPr="00F5175D" w:rsidRDefault="00263EDE" w:rsidP="00F5175D">
            <w:pPr>
              <w:rPr>
                <w:sz w:val="20"/>
                <w:szCs w:val="20"/>
              </w:rPr>
            </w:pPr>
            <w:r w:rsidRPr="00F5175D">
              <w:rPr>
                <w:sz w:val="20"/>
                <w:szCs w:val="20"/>
              </w:rPr>
              <w:t>• GL-3 (plasma, urine, and skin)</w:t>
            </w:r>
            <w:r w:rsidR="00CD308A" w:rsidRPr="00F5175D">
              <w:rPr>
                <w:sz w:val="20"/>
                <w:szCs w:val="20"/>
              </w:rPr>
              <w:t>.</w:t>
            </w:r>
          </w:p>
          <w:p w:rsidR="00CD308A" w:rsidRPr="00F5175D" w:rsidRDefault="00263EDE" w:rsidP="00F5175D">
            <w:pPr>
              <w:rPr>
                <w:sz w:val="20"/>
                <w:szCs w:val="20"/>
              </w:rPr>
            </w:pPr>
            <w:r w:rsidRPr="00F5175D">
              <w:rPr>
                <w:sz w:val="20"/>
                <w:szCs w:val="20"/>
              </w:rPr>
              <w:t>• Cardiac function measures (ECHO, cardiac MRI).</w:t>
            </w:r>
          </w:p>
          <w:p w:rsidR="00CD308A" w:rsidRPr="00F5175D" w:rsidRDefault="00263EDE" w:rsidP="00F5175D">
            <w:pPr>
              <w:rPr>
                <w:sz w:val="20"/>
                <w:szCs w:val="20"/>
              </w:rPr>
            </w:pPr>
            <w:r w:rsidRPr="00F5175D">
              <w:rPr>
                <w:sz w:val="20"/>
                <w:szCs w:val="20"/>
              </w:rPr>
              <w:t>• Renal function measures (serum creatinine, serum total protein, 24-hour creatinine clearance, 24-hour urine protein excretion, urine protein electrophoresis, microalbumin, urine β2-microglobulin titres).</w:t>
            </w:r>
          </w:p>
          <w:p w:rsidR="00263EDE" w:rsidRPr="00F5175D" w:rsidRDefault="00263EDE" w:rsidP="00F5175D">
            <w:pPr>
              <w:rPr>
                <w:rFonts w:cs="Times"/>
                <w:sz w:val="20"/>
                <w:szCs w:val="20"/>
                <w:lang w:val="en-US"/>
              </w:rPr>
            </w:pPr>
            <w:r w:rsidRPr="00F5175D">
              <w:rPr>
                <w:sz w:val="20"/>
                <w:szCs w:val="20"/>
              </w:rPr>
              <w:t>• Nerve conduction (Quantitative Sudomotor Axon Reflex Test [QSART] and Computer-Assisted Sensory Evaluation [CASE, also referred to as quantitative sensory testing]; both QSART and CASE were performed at the NIH site only)</w:t>
            </w:r>
            <w:r w:rsidRPr="00F5175D">
              <w:rPr>
                <w:sz w:val="20"/>
                <w:szCs w:val="20"/>
                <w:lang w:val="en-US"/>
              </w:rPr>
              <w:t xml:space="preserve">. </w:t>
            </w:r>
          </w:p>
        </w:tc>
      </w:tr>
      <w:tr w:rsidR="00263EDE" w:rsidRPr="00F5175D" w:rsidTr="00F5175D">
        <w:tc>
          <w:tcPr>
            <w:tcW w:w="1250" w:type="dxa"/>
          </w:tcPr>
          <w:p w:rsidR="00263EDE" w:rsidRPr="00F5175D" w:rsidRDefault="00263EDE" w:rsidP="00F5175D">
            <w:pPr>
              <w:rPr>
                <w:sz w:val="20"/>
                <w:szCs w:val="20"/>
              </w:rPr>
            </w:pPr>
            <w:r w:rsidRPr="00F5175D">
              <w:rPr>
                <w:sz w:val="20"/>
                <w:szCs w:val="20"/>
              </w:rPr>
              <w:t>FAB-CL-202</w:t>
            </w:r>
          </w:p>
        </w:tc>
        <w:tc>
          <w:tcPr>
            <w:tcW w:w="735" w:type="dxa"/>
          </w:tcPr>
          <w:p w:rsidR="00263EDE" w:rsidRPr="00F5175D" w:rsidRDefault="00263EDE" w:rsidP="00F5175D">
            <w:pPr>
              <w:rPr>
                <w:sz w:val="20"/>
                <w:szCs w:val="20"/>
              </w:rPr>
            </w:pPr>
            <w:r w:rsidRPr="00F5175D">
              <w:rPr>
                <w:sz w:val="20"/>
                <w:szCs w:val="20"/>
              </w:rPr>
              <w:t xml:space="preserve">4 M </w:t>
            </w:r>
          </w:p>
        </w:tc>
        <w:tc>
          <w:tcPr>
            <w:tcW w:w="6379" w:type="dxa"/>
          </w:tcPr>
          <w:p w:rsidR="00CD308A" w:rsidRPr="00F5175D" w:rsidRDefault="00263EDE" w:rsidP="00F5175D">
            <w:pPr>
              <w:rPr>
                <w:sz w:val="20"/>
                <w:szCs w:val="20"/>
              </w:rPr>
            </w:pPr>
            <w:r w:rsidRPr="00F5175D">
              <w:rPr>
                <w:sz w:val="20"/>
                <w:szCs w:val="20"/>
              </w:rPr>
              <w:t xml:space="preserve">• </w:t>
            </w:r>
            <w:proofErr w:type="gramStart"/>
            <w:r w:rsidRPr="00F5175D">
              <w:rPr>
                <w:sz w:val="20"/>
                <w:szCs w:val="20"/>
              </w:rPr>
              <w:t>α-Gal</w:t>
            </w:r>
            <w:proofErr w:type="gramEnd"/>
            <w:r w:rsidRPr="00F5175D">
              <w:rPr>
                <w:sz w:val="20"/>
                <w:szCs w:val="20"/>
              </w:rPr>
              <w:t xml:space="preserve"> A activity (PBMCs, kidney, skin)</w:t>
            </w:r>
            <w:r w:rsidR="00CD308A" w:rsidRPr="00F5175D">
              <w:rPr>
                <w:sz w:val="20"/>
                <w:szCs w:val="20"/>
              </w:rPr>
              <w:t>.</w:t>
            </w:r>
          </w:p>
          <w:p w:rsidR="00CD308A" w:rsidRPr="00F5175D" w:rsidRDefault="00263EDE" w:rsidP="00F5175D">
            <w:pPr>
              <w:rPr>
                <w:sz w:val="20"/>
                <w:szCs w:val="20"/>
              </w:rPr>
            </w:pPr>
            <w:r w:rsidRPr="00F5175D">
              <w:rPr>
                <w:sz w:val="20"/>
                <w:szCs w:val="20"/>
              </w:rPr>
              <w:t>• GL-3 (urine, kidney, plasma, skin)</w:t>
            </w:r>
            <w:r w:rsidR="00CD308A" w:rsidRPr="00F5175D">
              <w:rPr>
                <w:sz w:val="20"/>
                <w:szCs w:val="20"/>
              </w:rPr>
              <w:t>.</w:t>
            </w:r>
          </w:p>
          <w:p w:rsidR="00CD308A" w:rsidRPr="00F5175D" w:rsidRDefault="00263EDE" w:rsidP="00F5175D">
            <w:pPr>
              <w:rPr>
                <w:sz w:val="20"/>
                <w:szCs w:val="20"/>
              </w:rPr>
            </w:pPr>
            <w:r w:rsidRPr="00F5175D">
              <w:rPr>
                <w:sz w:val="20"/>
                <w:szCs w:val="20"/>
              </w:rPr>
              <w:t>• Cardiac function (cardiac MRI, ECHO, BNP level).</w:t>
            </w:r>
          </w:p>
          <w:p w:rsidR="00CD308A" w:rsidRPr="00F5175D" w:rsidRDefault="00263EDE" w:rsidP="00F5175D">
            <w:pPr>
              <w:rPr>
                <w:sz w:val="20"/>
                <w:szCs w:val="20"/>
              </w:rPr>
            </w:pPr>
            <w:r w:rsidRPr="00F5175D">
              <w:rPr>
                <w:sz w:val="20"/>
                <w:szCs w:val="20"/>
              </w:rPr>
              <w:t xml:space="preserve">• Renal assessments (serum creatinine, 24-hour creatinine clearance, 24-hour protein excretion, microalbumin, β-2 </w:t>
            </w:r>
            <w:r w:rsidRPr="00F5175D">
              <w:rPr>
                <w:sz w:val="20"/>
                <w:szCs w:val="20"/>
              </w:rPr>
              <w:lastRenderedPageBreak/>
              <w:t>microglobulin, eGFR)</w:t>
            </w:r>
            <w:r w:rsidR="00CD308A" w:rsidRPr="00F5175D">
              <w:rPr>
                <w:sz w:val="20"/>
                <w:szCs w:val="20"/>
              </w:rPr>
              <w:t>.</w:t>
            </w:r>
          </w:p>
          <w:p w:rsidR="00263EDE" w:rsidRPr="00F5175D" w:rsidRDefault="00263EDE" w:rsidP="00F5175D">
            <w:pPr>
              <w:rPr>
                <w:sz w:val="20"/>
                <w:szCs w:val="20"/>
                <w:lang w:val="en-US"/>
              </w:rPr>
            </w:pPr>
            <w:r w:rsidRPr="00F5175D">
              <w:rPr>
                <w:sz w:val="20"/>
                <w:szCs w:val="20"/>
              </w:rPr>
              <w:t xml:space="preserve">• Neurological assessments (brain MRI and, at the Porto Alegre site, transcranial Doppler ultrasound and a sympathetic skin response test). </w:t>
            </w:r>
          </w:p>
        </w:tc>
      </w:tr>
      <w:tr w:rsidR="00263EDE" w:rsidRPr="00F5175D" w:rsidTr="00F5175D">
        <w:tc>
          <w:tcPr>
            <w:tcW w:w="1250" w:type="dxa"/>
          </w:tcPr>
          <w:p w:rsidR="00263EDE" w:rsidRPr="00F5175D" w:rsidRDefault="00263EDE" w:rsidP="00F5175D">
            <w:pPr>
              <w:rPr>
                <w:sz w:val="20"/>
                <w:szCs w:val="20"/>
              </w:rPr>
            </w:pPr>
            <w:r w:rsidRPr="00F5175D">
              <w:rPr>
                <w:sz w:val="20"/>
                <w:szCs w:val="20"/>
              </w:rPr>
              <w:lastRenderedPageBreak/>
              <w:t xml:space="preserve">FAB-CL-203 </w:t>
            </w:r>
          </w:p>
        </w:tc>
        <w:tc>
          <w:tcPr>
            <w:tcW w:w="735" w:type="dxa"/>
          </w:tcPr>
          <w:p w:rsidR="00263EDE" w:rsidRPr="00F5175D" w:rsidRDefault="00263EDE" w:rsidP="00F5175D">
            <w:pPr>
              <w:rPr>
                <w:sz w:val="20"/>
                <w:szCs w:val="20"/>
              </w:rPr>
            </w:pPr>
            <w:r w:rsidRPr="00F5175D">
              <w:rPr>
                <w:sz w:val="20"/>
                <w:szCs w:val="20"/>
              </w:rPr>
              <w:t>5 M</w:t>
            </w:r>
          </w:p>
        </w:tc>
        <w:tc>
          <w:tcPr>
            <w:tcW w:w="6379" w:type="dxa"/>
          </w:tcPr>
          <w:p w:rsidR="00CD308A" w:rsidRPr="00F5175D" w:rsidRDefault="00263EDE" w:rsidP="00F5175D">
            <w:pPr>
              <w:rPr>
                <w:sz w:val="20"/>
                <w:szCs w:val="20"/>
              </w:rPr>
            </w:pPr>
            <w:r w:rsidRPr="00F5175D">
              <w:rPr>
                <w:sz w:val="20"/>
                <w:szCs w:val="20"/>
              </w:rPr>
              <w:t xml:space="preserve">• </w:t>
            </w:r>
            <w:proofErr w:type="gramStart"/>
            <w:r w:rsidRPr="00F5175D">
              <w:rPr>
                <w:sz w:val="20"/>
                <w:szCs w:val="20"/>
              </w:rPr>
              <w:t>α-Gal</w:t>
            </w:r>
            <w:proofErr w:type="gramEnd"/>
            <w:r w:rsidRPr="00F5175D">
              <w:rPr>
                <w:sz w:val="20"/>
                <w:szCs w:val="20"/>
              </w:rPr>
              <w:t xml:space="preserve"> A activity (PBMCs, kidney, skin)</w:t>
            </w:r>
            <w:r w:rsidR="00CD308A" w:rsidRPr="00F5175D">
              <w:rPr>
                <w:sz w:val="20"/>
                <w:szCs w:val="20"/>
              </w:rPr>
              <w:t>.</w:t>
            </w:r>
          </w:p>
          <w:p w:rsidR="00CD308A" w:rsidRPr="00F5175D" w:rsidRDefault="00263EDE" w:rsidP="00F5175D">
            <w:pPr>
              <w:rPr>
                <w:sz w:val="20"/>
                <w:szCs w:val="20"/>
              </w:rPr>
            </w:pPr>
            <w:r w:rsidRPr="00F5175D">
              <w:rPr>
                <w:sz w:val="20"/>
                <w:szCs w:val="20"/>
              </w:rPr>
              <w:t>• GL-3 (urine, kidney, plasma, skin)</w:t>
            </w:r>
            <w:r w:rsidR="00CD308A" w:rsidRPr="00F5175D">
              <w:rPr>
                <w:sz w:val="20"/>
                <w:szCs w:val="20"/>
              </w:rPr>
              <w:t>.</w:t>
            </w:r>
          </w:p>
          <w:p w:rsidR="00CD308A" w:rsidRPr="00F5175D" w:rsidRDefault="00263EDE" w:rsidP="00F5175D">
            <w:pPr>
              <w:rPr>
                <w:sz w:val="20"/>
                <w:szCs w:val="20"/>
              </w:rPr>
            </w:pPr>
            <w:r w:rsidRPr="00F5175D">
              <w:rPr>
                <w:sz w:val="20"/>
                <w:szCs w:val="20"/>
              </w:rPr>
              <w:t>• Cardiac function (24-hour Holter Monitor, cardiac MRI, BNP level)</w:t>
            </w:r>
            <w:r w:rsidR="00CD308A" w:rsidRPr="00F5175D">
              <w:rPr>
                <w:sz w:val="20"/>
                <w:szCs w:val="20"/>
              </w:rPr>
              <w:t>.</w:t>
            </w:r>
          </w:p>
          <w:p w:rsidR="00CD308A" w:rsidRPr="00F5175D" w:rsidRDefault="00263EDE" w:rsidP="00F5175D">
            <w:pPr>
              <w:rPr>
                <w:sz w:val="20"/>
                <w:szCs w:val="20"/>
              </w:rPr>
            </w:pPr>
            <w:r w:rsidRPr="00F5175D">
              <w:rPr>
                <w:sz w:val="20"/>
                <w:szCs w:val="20"/>
              </w:rPr>
              <w:t>• Renal assessments (serum creatinine, 24-hour creatinine clearance)</w:t>
            </w:r>
            <w:r w:rsidR="00CD308A" w:rsidRPr="00F5175D">
              <w:rPr>
                <w:sz w:val="20"/>
                <w:szCs w:val="20"/>
              </w:rPr>
              <w:t>.</w:t>
            </w:r>
          </w:p>
          <w:p w:rsidR="00263EDE" w:rsidRPr="00F5175D" w:rsidRDefault="00263EDE" w:rsidP="00F5175D">
            <w:pPr>
              <w:rPr>
                <w:sz w:val="20"/>
                <w:szCs w:val="20"/>
              </w:rPr>
            </w:pPr>
            <w:r w:rsidRPr="00F5175D">
              <w:rPr>
                <w:sz w:val="20"/>
                <w:szCs w:val="20"/>
              </w:rPr>
              <w:t xml:space="preserve">• CNS function (transcranial Doppler ultrasound).  </w:t>
            </w:r>
          </w:p>
        </w:tc>
      </w:tr>
      <w:tr w:rsidR="00263EDE" w:rsidRPr="00F5175D" w:rsidTr="00F5175D">
        <w:tc>
          <w:tcPr>
            <w:tcW w:w="1250" w:type="dxa"/>
          </w:tcPr>
          <w:p w:rsidR="00263EDE" w:rsidRPr="00F5175D" w:rsidRDefault="00263EDE" w:rsidP="00F5175D">
            <w:pPr>
              <w:rPr>
                <w:sz w:val="20"/>
                <w:szCs w:val="20"/>
              </w:rPr>
            </w:pPr>
            <w:r w:rsidRPr="00F5175D">
              <w:rPr>
                <w:sz w:val="20"/>
                <w:szCs w:val="20"/>
              </w:rPr>
              <w:t>FAB-CL-204</w:t>
            </w:r>
          </w:p>
        </w:tc>
        <w:tc>
          <w:tcPr>
            <w:tcW w:w="735" w:type="dxa"/>
          </w:tcPr>
          <w:p w:rsidR="00263EDE" w:rsidRPr="00F5175D" w:rsidRDefault="00263EDE" w:rsidP="00F5175D">
            <w:pPr>
              <w:rPr>
                <w:sz w:val="20"/>
                <w:szCs w:val="20"/>
              </w:rPr>
            </w:pPr>
            <w:r w:rsidRPr="00F5175D">
              <w:rPr>
                <w:sz w:val="20"/>
                <w:szCs w:val="20"/>
              </w:rPr>
              <w:t xml:space="preserve">9 F </w:t>
            </w:r>
          </w:p>
        </w:tc>
        <w:tc>
          <w:tcPr>
            <w:tcW w:w="6379" w:type="dxa"/>
          </w:tcPr>
          <w:p w:rsidR="00CD308A" w:rsidRPr="00F5175D" w:rsidRDefault="00263EDE" w:rsidP="00F5175D">
            <w:pPr>
              <w:rPr>
                <w:sz w:val="20"/>
                <w:szCs w:val="20"/>
              </w:rPr>
            </w:pPr>
            <w:r w:rsidRPr="00F5175D">
              <w:rPr>
                <w:sz w:val="20"/>
                <w:szCs w:val="20"/>
              </w:rPr>
              <w:t xml:space="preserve">• </w:t>
            </w:r>
            <w:proofErr w:type="gramStart"/>
            <w:r w:rsidRPr="00F5175D">
              <w:rPr>
                <w:sz w:val="20"/>
                <w:szCs w:val="20"/>
              </w:rPr>
              <w:t>α-Gal</w:t>
            </w:r>
            <w:proofErr w:type="gramEnd"/>
            <w:r w:rsidRPr="00F5175D">
              <w:rPr>
                <w:sz w:val="20"/>
                <w:szCs w:val="20"/>
              </w:rPr>
              <w:t xml:space="preserve"> A activity (leucocytes, kidney, skin)</w:t>
            </w:r>
            <w:r w:rsidR="00CD308A" w:rsidRPr="00F5175D">
              <w:rPr>
                <w:sz w:val="20"/>
                <w:szCs w:val="20"/>
              </w:rPr>
              <w:t>.</w:t>
            </w:r>
          </w:p>
          <w:p w:rsidR="00CD308A" w:rsidRPr="00F5175D" w:rsidRDefault="00263EDE" w:rsidP="00F5175D">
            <w:pPr>
              <w:rPr>
                <w:sz w:val="20"/>
                <w:szCs w:val="20"/>
              </w:rPr>
            </w:pPr>
            <w:r w:rsidRPr="00F5175D">
              <w:rPr>
                <w:sz w:val="20"/>
                <w:szCs w:val="20"/>
              </w:rPr>
              <w:t>• GL-3 (urine, kidney, plasma, skin)</w:t>
            </w:r>
            <w:r w:rsidR="00CD308A" w:rsidRPr="00F5175D">
              <w:rPr>
                <w:sz w:val="20"/>
                <w:szCs w:val="20"/>
              </w:rPr>
              <w:t>.</w:t>
            </w:r>
          </w:p>
          <w:p w:rsidR="00CD308A" w:rsidRPr="00F5175D" w:rsidRDefault="00263EDE" w:rsidP="00F5175D">
            <w:pPr>
              <w:rPr>
                <w:sz w:val="20"/>
                <w:szCs w:val="20"/>
              </w:rPr>
            </w:pPr>
            <w:r w:rsidRPr="00F5175D">
              <w:rPr>
                <w:sz w:val="20"/>
                <w:szCs w:val="20"/>
              </w:rPr>
              <w:t>• Cardiac function (e.g., cardiac MRI, Holter ECG).</w:t>
            </w:r>
          </w:p>
          <w:p w:rsidR="00CD308A" w:rsidRPr="00F5175D" w:rsidRDefault="00263EDE" w:rsidP="00F5175D">
            <w:pPr>
              <w:rPr>
                <w:sz w:val="20"/>
                <w:szCs w:val="20"/>
              </w:rPr>
            </w:pPr>
            <w:r w:rsidRPr="00F5175D">
              <w:rPr>
                <w:sz w:val="20"/>
                <w:szCs w:val="20"/>
              </w:rPr>
              <w:t>• Renal assessments (e.g., creatinine clearance, eGFR)</w:t>
            </w:r>
            <w:r w:rsidR="00CD308A" w:rsidRPr="00F5175D">
              <w:rPr>
                <w:sz w:val="20"/>
                <w:szCs w:val="20"/>
              </w:rPr>
              <w:t>.</w:t>
            </w:r>
          </w:p>
          <w:p w:rsidR="00263EDE" w:rsidRPr="00F5175D" w:rsidRDefault="00263EDE" w:rsidP="00F5175D">
            <w:pPr>
              <w:rPr>
                <w:sz w:val="20"/>
                <w:szCs w:val="20"/>
              </w:rPr>
            </w:pPr>
            <w:r w:rsidRPr="00F5175D">
              <w:rPr>
                <w:sz w:val="20"/>
                <w:szCs w:val="20"/>
              </w:rPr>
              <w:t xml:space="preserve">• Neurological assessments (e.g., cognitive testing). </w:t>
            </w:r>
          </w:p>
        </w:tc>
      </w:tr>
      <w:tr w:rsidR="00263EDE" w:rsidRPr="00F5175D" w:rsidTr="00F5175D">
        <w:tc>
          <w:tcPr>
            <w:tcW w:w="1250" w:type="dxa"/>
          </w:tcPr>
          <w:p w:rsidR="00263EDE" w:rsidRPr="00F5175D" w:rsidRDefault="00263EDE" w:rsidP="00F5175D">
            <w:pPr>
              <w:rPr>
                <w:sz w:val="20"/>
                <w:szCs w:val="20"/>
              </w:rPr>
            </w:pPr>
            <w:r w:rsidRPr="00F5175D">
              <w:rPr>
                <w:sz w:val="20"/>
                <w:szCs w:val="20"/>
              </w:rPr>
              <w:t>FAB-CL-205</w:t>
            </w:r>
          </w:p>
        </w:tc>
        <w:tc>
          <w:tcPr>
            <w:tcW w:w="735" w:type="dxa"/>
          </w:tcPr>
          <w:p w:rsidR="00CD308A" w:rsidRPr="00F5175D" w:rsidRDefault="00263EDE" w:rsidP="00F5175D">
            <w:pPr>
              <w:rPr>
                <w:sz w:val="20"/>
                <w:szCs w:val="20"/>
              </w:rPr>
            </w:pPr>
            <w:r w:rsidRPr="00F5175D">
              <w:rPr>
                <w:sz w:val="20"/>
                <w:szCs w:val="20"/>
              </w:rPr>
              <w:t>14 M</w:t>
            </w:r>
          </w:p>
          <w:p w:rsidR="00CD308A" w:rsidRPr="00F5175D" w:rsidRDefault="00263EDE" w:rsidP="00F5175D">
            <w:pPr>
              <w:rPr>
                <w:sz w:val="20"/>
                <w:szCs w:val="20"/>
              </w:rPr>
            </w:pPr>
            <w:r w:rsidRPr="00F5175D">
              <w:rPr>
                <w:sz w:val="20"/>
                <w:szCs w:val="20"/>
              </w:rPr>
              <w:t>4 F</w:t>
            </w:r>
          </w:p>
          <w:p w:rsidR="00263EDE" w:rsidRPr="00F5175D" w:rsidRDefault="00263EDE" w:rsidP="00F5175D">
            <w:pPr>
              <w:rPr>
                <w:sz w:val="20"/>
                <w:szCs w:val="20"/>
              </w:rPr>
            </w:pPr>
          </w:p>
        </w:tc>
        <w:tc>
          <w:tcPr>
            <w:tcW w:w="6379" w:type="dxa"/>
          </w:tcPr>
          <w:p w:rsidR="00CD308A" w:rsidRPr="00F5175D" w:rsidRDefault="00263EDE" w:rsidP="00F5175D">
            <w:pPr>
              <w:rPr>
                <w:sz w:val="20"/>
                <w:szCs w:val="20"/>
              </w:rPr>
            </w:pPr>
            <w:r w:rsidRPr="00F5175D">
              <w:rPr>
                <w:sz w:val="20"/>
                <w:szCs w:val="20"/>
              </w:rPr>
              <w:t xml:space="preserve">• </w:t>
            </w:r>
            <w:proofErr w:type="gramStart"/>
            <w:r w:rsidRPr="00F5175D">
              <w:rPr>
                <w:sz w:val="20"/>
                <w:szCs w:val="20"/>
              </w:rPr>
              <w:t>α-Gal</w:t>
            </w:r>
            <w:proofErr w:type="gramEnd"/>
            <w:r w:rsidRPr="00F5175D">
              <w:rPr>
                <w:sz w:val="20"/>
                <w:szCs w:val="20"/>
              </w:rPr>
              <w:t xml:space="preserve"> A activity (leucocytes)</w:t>
            </w:r>
            <w:r w:rsidR="00CD308A" w:rsidRPr="00F5175D">
              <w:rPr>
                <w:sz w:val="20"/>
                <w:szCs w:val="20"/>
              </w:rPr>
              <w:t>.</w:t>
            </w:r>
          </w:p>
          <w:p w:rsidR="00CD308A" w:rsidRPr="00F5175D" w:rsidRDefault="00263EDE" w:rsidP="00F5175D">
            <w:pPr>
              <w:rPr>
                <w:sz w:val="20"/>
                <w:szCs w:val="20"/>
              </w:rPr>
            </w:pPr>
            <w:r w:rsidRPr="00F5175D">
              <w:rPr>
                <w:sz w:val="20"/>
                <w:szCs w:val="20"/>
              </w:rPr>
              <w:t>• GL-3 (urine, plasma, kidney)</w:t>
            </w:r>
            <w:r w:rsidR="00CD308A" w:rsidRPr="00F5175D">
              <w:rPr>
                <w:sz w:val="20"/>
                <w:szCs w:val="20"/>
              </w:rPr>
              <w:t>.</w:t>
            </w:r>
          </w:p>
          <w:p w:rsidR="00263EDE" w:rsidRPr="00F5175D" w:rsidRDefault="00263EDE" w:rsidP="00F5175D">
            <w:pPr>
              <w:rPr>
                <w:sz w:val="20"/>
                <w:szCs w:val="20"/>
              </w:rPr>
            </w:pPr>
            <w:r w:rsidRPr="00F5175D">
              <w:rPr>
                <w:sz w:val="20"/>
                <w:szCs w:val="20"/>
              </w:rPr>
              <w:t xml:space="preserve">• Renal assessments (e.g., serum creatinine, creatinine clearance, eGFR). </w:t>
            </w:r>
          </w:p>
        </w:tc>
      </w:tr>
    </w:tbl>
    <w:p w:rsidR="00CD308A" w:rsidRDefault="00CE4671" w:rsidP="00263EDE">
      <w:pPr>
        <w:pStyle w:val="TableDescription"/>
        <w:rPr>
          <w:rFonts w:eastAsia="TimesNewRomanPSMT" w:cs="TimesNewRomanPSMT"/>
          <w:sz w:val="18"/>
        </w:rPr>
      </w:pPr>
      <w:r w:rsidRPr="00A56B24">
        <w:rPr>
          <w:sz w:val="18"/>
        </w:rPr>
        <w:t>Note: In the sponsor’s response to the CHMP’s Day 120 list of questions, comment was provided  that the “word ‘Leukocytes’ and ‘PMBC’ have the same meaning” and were “used interchangeably between studies</w:t>
      </w:r>
      <w:r w:rsidRPr="00A56B24">
        <w:rPr>
          <w:rFonts w:eastAsia="TimesNewRomanPSMT" w:cs="TimesNewRomanPSMT"/>
          <w:sz w:val="18"/>
        </w:rPr>
        <w:t>, but they both refer to the same validated method for measuring α-Gal A activity in white blood cell lysate</w:t>
      </w:r>
    </w:p>
    <w:p w:rsidR="00CE4671" w:rsidRPr="00CE4671" w:rsidRDefault="00CE4671" w:rsidP="00CE4671">
      <w:r w:rsidRPr="00CE4671">
        <w:t xml:space="preserve">Study FAB-CL-205 was a long-term extension study for male and female patients with Fabry disease who had completed the treatment period of one of the four Phase </w:t>
      </w:r>
      <w:r w:rsidR="00135FCB">
        <w:t>II</w:t>
      </w:r>
      <w:r w:rsidRPr="00CE4671">
        <w:t xml:space="preserve"> clinical studies. Subjects could enter this extension trial immediately upon completion of participation in their previous migalastat HCl study, or at a later time point. Therefore, some subjects did not have continuous treatment with migalastat HCl between the original Phase </w:t>
      </w:r>
      <w:r w:rsidR="00135FCB">
        <w:t>II</w:t>
      </w:r>
      <w:r w:rsidRPr="00CE4671">
        <w:t xml:space="preserve"> feeder study and the extension study. Of the 28 subjects in the four Phase </w:t>
      </w:r>
      <w:r w:rsidR="00135FCB">
        <w:t>II</w:t>
      </w:r>
      <w:r w:rsidRPr="00CE4671">
        <w:t xml:space="preserve"> feeder studies, 23 subjects entered the long-term extension Phase </w:t>
      </w:r>
      <w:r w:rsidR="00135FCB">
        <w:t>II</w:t>
      </w:r>
      <w:r w:rsidRPr="00CE4671">
        <w:t xml:space="preserve"> study.</w:t>
      </w:r>
    </w:p>
    <w:p w:rsidR="00605AD4" w:rsidRDefault="00605AD4" w:rsidP="00605AD4">
      <w:pPr>
        <w:pStyle w:val="Heading4"/>
      </w:pPr>
      <w:r>
        <w:t>Evaluator’s conclusions on pharmacodynamics</w:t>
      </w:r>
    </w:p>
    <w:p w:rsidR="00263EDE" w:rsidRDefault="00263EDE" w:rsidP="00263EDE">
      <w:pPr>
        <w:pStyle w:val="Heading5"/>
      </w:pPr>
      <w:r>
        <w:t>Primary pharmacodynamics</w:t>
      </w:r>
    </w:p>
    <w:p w:rsidR="00CD308A" w:rsidRDefault="00263EDE" w:rsidP="00263EDE">
      <w:pPr>
        <w:rPr>
          <w:rFonts w:asciiTheme="minorHAnsi" w:hAnsiTheme="minorHAnsi" w:cs="Calibri"/>
        </w:rPr>
      </w:pPr>
      <w:r w:rsidRPr="007A2E1C">
        <w:rPr>
          <w:rFonts w:asciiTheme="minorHAnsi" w:hAnsiTheme="minorHAnsi" w:cs="Calibri"/>
        </w:rPr>
        <w:t xml:space="preserve">The PD effects of migalastat were investigated in 5 Phase </w:t>
      </w:r>
      <w:r w:rsidR="00063D35">
        <w:rPr>
          <w:rFonts w:asciiTheme="minorHAnsi" w:hAnsiTheme="minorHAnsi" w:cs="Calibri"/>
        </w:rPr>
        <w:t>II</w:t>
      </w:r>
      <w:r w:rsidR="00063D35" w:rsidRPr="007A2E1C">
        <w:rPr>
          <w:rFonts w:asciiTheme="minorHAnsi" w:hAnsiTheme="minorHAnsi" w:cs="Calibri"/>
        </w:rPr>
        <w:t xml:space="preserve"> </w:t>
      </w:r>
      <w:r w:rsidRPr="007A2E1C">
        <w:rPr>
          <w:rFonts w:asciiTheme="minorHAnsi" w:hAnsiTheme="minorHAnsi" w:cs="Calibri"/>
        </w:rPr>
        <w:t xml:space="preserve">studies in subjects with Fabry disease. The most notable PD effect of migalastat HCL observed in the </w:t>
      </w:r>
      <w:r w:rsidR="00063D35">
        <w:rPr>
          <w:rFonts w:asciiTheme="minorHAnsi" w:hAnsiTheme="minorHAnsi" w:cs="Calibri"/>
        </w:rPr>
        <w:t>3</w:t>
      </w:r>
      <w:r w:rsidR="00063D35" w:rsidRPr="007A2E1C">
        <w:rPr>
          <w:rFonts w:asciiTheme="minorHAnsi" w:hAnsiTheme="minorHAnsi" w:cs="Calibri"/>
        </w:rPr>
        <w:t xml:space="preserve"> </w:t>
      </w:r>
      <w:r w:rsidRPr="007A2E1C">
        <w:rPr>
          <w:rFonts w:asciiTheme="minorHAnsi" w:hAnsiTheme="minorHAnsi" w:cs="Calibri"/>
        </w:rPr>
        <w:t>Phase</w:t>
      </w:r>
      <w:r w:rsidR="00063D35">
        <w:rPr>
          <w:rFonts w:asciiTheme="minorHAnsi" w:hAnsiTheme="minorHAnsi" w:cs="Calibri"/>
        </w:rPr>
        <w:t> II</w:t>
      </w:r>
      <w:r w:rsidR="00063D35" w:rsidRPr="007A2E1C">
        <w:rPr>
          <w:rFonts w:asciiTheme="minorHAnsi" w:hAnsiTheme="minorHAnsi" w:cs="Calibri"/>
        </w:rPr>
        <w:t xml:space="preserve"> </w:t>
      </w:r>
      <w:r w:rsidRPr="007A2E1C">
        <w:rPr>
          <w:rFonts w:asciiTheme="minorHAnsi" w:hAnsiTheme="minorHAnsi" w:cs="Calibri"/>
        </w:rPr>
        <w:t>studies in male subjects (n</w:t>
      </w:r>
      <w:r w:rsidR="00063D35">
        <w:rPr>
          <w:rFonts w:asciiTheme="minorHAnsi" w:hAnsiTheme="minorHAnsi" w:cs="Calibri"/>
        </w:rPr>
        <w:t xml:space="preserve"> </w:t>
      </w:r>
      <w:r w:rsidRPr="007A2E1C">
        <w:rPr>
          <w:rFonts w:asciiTheme="minorHAnsi" w:hAnsiTheme="minorHAnsi" w:cs="Calibri"/>
        </w:rPr>
        <w:t>=</w:t>
      </w:r>
      <w:r w:rsidR="00063D35">
        <w:rPr>
          <w:rFonts w:asciiTheme="minorHAnsi" w:hAnsiTheme="minorHAnsi" w:cs="Calibri"/>
        </w:rPr>
        <w:t xml:space="preserve"> </w:t>
      </w:r>
      <w:r w:rsidRPr="007A2E1C">
        <w:rPr>
          <w:rFonts w:asciiTheme="minorHAnsi" w:hAnsiTheme="minorHAnsi" w:cs="Calibri"/>
        </w:rPr>
        <w:t xml:space="preserve">18) with Fabry disease was an increase in leucocyte α-Gal A activity from baseline to last assessment </w:t>
      </w:r>
      <w:r w:rsidR="00063D35">
        <w:rPr>
          <w:rFonts w:asciiTheme="minorHAnsi" w:hAnsiTheme="minorHAnsi" w:cs="Calibri"/>
        </w:rPr>
        <w:t xml:space="preserve">(Studies </w:t>
      </w:r>
      <w:r w:rsidRPr="007A2E1C">
        <w:rPr>
          <w:rFonts w:asciiTheme="minorHAnsi" w:hAnsiTheme="minorHAnsi" w:cs="Calibri"/>
        </w:rPr>
        <w:t>FAB-CL-201, FAB-CL-202, FAB-CL-203</w:t>
      </w:r>
      <w:r w:rsidR="00063D35">
        <w:rPr>
          <w:rFonts w:asciiTheme="minorHAnsi" w:hAnsiTheme="minorHAnsi" w:cs="Calibri"/>
        </w:rPr>
        <w:t>)</w:t>
      </w:r>
      <w:r w:rsidRPr="007A2E1C">
        <w:rPr>
          <w:rFonts w:asciiTheme="minorHAnsi" w:hAnsiTheme="minorHAnsi" w:cs="Calibri"/>
        </w:rPr>
        <w:t>.  In each of the studies, changes in other biochemical parameters in the total male population were inconsistent both between patients and within the same patient</w:t>
      </w:r>
      <w:r>
        <w:rPr>
          <w:rFonts w:asciiTheme="minorHAnsi" w:hAnsiTheme="minorHAnsi" w:cs="Calibri"/>
        </w:rPr>
        <w:t xml:space="preserve"> over time</w:t>
      </w:r>
      <w:r w:rsidRPr="007A2E1C">
        <w:rPr>
          <w:rFonts w:asciiTheme="minorHAnsi" w:hAnsiTheme="minorHAnsi" w:cs="Calibri"/>
        </w:rPr>
        <w:t xml:space="preserve">. However, there was a trend in male subjects with migalastat amenable </w:t>
      </w:r>
      <w:r w:rsidRPr="007A2E1C">
        <w:rPr>
          <w:rFonts w:asciiTheme="minorHAnsi" w:hAnsiTheme="minorHAnsi" w:cs="Calibri"/>
          <w:i/>
        </w:rPr>
        <w:t xml:space="preserve">GLA </w:t>
      </w:r>
      <w:r w:rsidRPr="007A2E1C">
        <w:rPr>
          <w:rFonts w:asciiTheme="minorHAnsi" w:hAnsiTheme="minorHAnsi" w:cs="Calibri"/>
        </w:rPr>
        <w:t xml:space="preserve">mutations for urine GL-3 and renal interstitial cell GL-3 inclusions to respond favourably to treatment. This trend was not observed in male subjects with migalastat non-amenable </w:t>
      </w:r>
      <w:r w:rsidRPr="000A277A">
        <w:rPr>
          <w:rFonts w:asciiTheme="minorHAnsi" w:hAnsiTheme="minorHAnsi" w:cs="Calibri"/>
          <w:i/>
        </w:rPr>
        <w:t>GLA</w:t>
      </w:r>
      <w:r w:rsidRPr="007A2E1C">
        <w:rPr>
          <w:rFonts w:asciiTheme="minorHAnsi" w:hAnsiTheme="minorHAnsi" w:cs="Calibri"/>
        </w:rPr>
        <w:t xml:space="preserve"> mutations</w:t>
      </w:r>
      <w:r w:rsidR="00CD308A">
        <w:rPr>
          <w:rFonts w:asciiTheme="minorHAnsi" w:hAnsiTheme="minorHAnsi" w:cs="Calibri"/>
        </w:rPr>
        <w:t>.</w:t>
      </w:r>
    </w:p>
    <w:p w:rsidR="00CD308A" w:rsidRDefault="00263EDE" w:rsidP="00263EDE">
      <w:pPr>
        <w:rPr>
          <w:rFonts w:asciiTheme="minorHAnsi" w:hAnsiTheme="minorHAnsi"/>
        </w:rPr>
      </w:pPr>
      <w:r w:rsidRPr="007A2E1C">
        <w:rPr>
          <w:rFonts w:asciiTheme="minorHAnsi" w:hAnsiTheme="minorHAnsi" w:cs="Calibri"/>
        </w:rPr>
        <w:lastRenderedPageBreak/>
        <w:t xml:space="preserve">In the one Phase </w:t>
      </w:r>
      <w:r w:rsidR="00063D35">
        <w:rPr>
          <w:rFonts w:asciiTheme="minorHAnsi" w:hAnsiTheme="minorHAnsi" w:cs="Calibri"/>
        </w:rPr>
        <w:t>II</w:t>
      </w:r>
      <w:r w:rsidRPr="007A2E1C">
        <w:rPr>
          <w:rFonts w:asciiTheme="minorHAnsi" w:hAnsiTheme="minorHAnsi" w:cs="Calibri"/>
        </w:rPr>
        <w:t xml:space="preserve"> study in females (n</w:t>
      </w:r>
      <w:r w:rsidR="00063D35">
        <w:rPr>
          <w:rFonts w:asciiTheme="minorHAnsi" w:hAnsiTheme="minorHAnsi" w:cs="Calibri"/>
        </w:rPr>
        <w:t xml:space="preserve"> </w:t>
      </w:r>
      <w:r w:rsidRPr="007A2E1C">
        <w:rPr>
          <w:rFonts w:asciiTheme="minorHAnsi" w:hAnsiTheme="minorHAnsi" w:cs="Calibri"/>
        </w:rPr>
        <w:t>=</w:t>
      </w:r>
      <w:r w:rsidR="00063D35">
        <w:rPr>
          <w:rFonts w:asciiTheme="minorHAnsi" w:hAnsiTheme="minorHAnsi" w:cs="Calibri"/>
        </w:rPr>
        <w:t xml:space="preserve"> </w:t>
      </w:r>
      <w:r w:rsidRPr="007A2E1C">
        <w:rPr>
          <w:rFonts w:asciiTheme="minorHAnsi" w:hAnsiTheme="minorHAnsi" w:cs="Calibri"/>
        </w:rPr>
        <w:t xml:space="preserve">9) with Fabry disease </w:t>
      </w:r>
      <w:r w:rsidR="00063D35">
        <w:rPr>
          <w:rFonts w:asciiTheme="minorHAnsi" w:hAnsiTheme="minorHAnsi" w:cs="Calibri"/>
        </w:rPr>
        <w:t>(</w:t>
      </w:r>
      <w:r w:rsidRPr="007A2E1C">
        <w:rPr>
          <w:rFonts w:asciiTheme="minorHAnsi" w:hAnsiTheme="minorHAnsi" w:cs="Calibri"/>
        </w:rPr>
        <w:t>FAB-CL-204</w:t>
      </w:r>
      <w:r w:rsidR="00063D35">
        <w:rPr>
          <w:rFonts w:asciiTheme="minorHAnsi" w:hAnsiTheme="minorHAnsi" w:cs="Calibri"/>
        </w:rPr>
        <w:t>)</w:t>
      </w:r>
      <w:r w:rsidRPr="007A2E1C">
        <w:rPr>
          <w:rFonts w:asciiTheme="minorHAnsi" w:hAnsiTheme="minorHAnsi" w:cs="Calibri"/>
        </w:rPr>
        <w:t xml:space="preserve">, baseline leucocyte α-Gal A activity was lower than the upper value for the normal reference range for males (presumably also applicable for females) in all 9 subjects. </w:t>
      </w:r>
      <w:r w:rsidRPr="007A2E1C">
        <w:rPr>
          <w:rFonts w:asciiTheme="minorHAnsi" w:hAnsiTheme="minorHAnsi"/>
        </w:rPr>
        <w:t>O</w:t>
      </w:r>
      <w:r>
        <w:rPr>
          <w:rFonts w:asciiTheme="minorHAnsi" w:hAnsiTheme="minorHAnsi"/>
        </w:rPr>
        <w:t xml:space="preserve">f the 9 female subjects, </w:t>
      </w:r>
      <w:r w:rsidRPr="007A2E1C">
        <w:rPr>
          <w:rFonts w:asciiTheme="minorHAnsi" w:hAnsiTheme="minorHAnsi"/>
        </w:rPr>
        <w:t xml:space="preserve">7 </w:t>
      </w:r>
      <w:r>
        <w:rPr>
          <w:rFonts w:asciiTheme="minorHAnsi" w:hAnsiTheme="minorHAnsi"/>
        </w:rPr>
        <w:t xml:space="preserve">subjects </w:t>
      </w:r>
      <w:r w:rsidRPr="007A2E1C">
        <w:rPr>
          <w:rFonts w:asciiTheme="minorHAnsi" w:hAnsiTheme="minorHAnsi"/>
        </w:rPr>
        <w:t xml:space="preserve">had an increase in leucocyte α-Gal </w:t>
      </w:r>
      <w:proofErr w:type="gramStart"/>
      <w:r w:rsidRPr="007A2E1C">
        <w:rPr>
          <w:rFonts w:asciiTheme="minorHAnsi" w:hAnsiTheme="minorHAnsi"/>
        </w:rPr>
        <w:t>A</w:t>
      </w:r>
      <w:proofErr w:type="gramEnd"/>
      <w:r w:rsidRPr="007A2E1C">
        <w:rPr>
          <w:rFonts w:asciiTheme="minorHAnsi" w:hAnsiTheme="minorHAnsi"/>
        </w:rPr>
        <w:t xml:space="preserve"> activity following treatment with migalastat, with activity at Week 48 being greater than at </w:t>
      </w:r>
      <w:r>
        <w:rPr>
          <w:rFonts w:asciiTheme="minorHAnsi" w:hAnsiTheme="minorHAnsi"/>
        </w:rPr>
        <w:t>b</w:t>
      </w:r>
      <w:r w:rsidRPr="007A2E1C">
        <w:rPr>
          <w:rFonts w:asciiTheme="minorHAnsi" w:hAnsiTheme="minorHAnsi"/>
        </w:rPr>
        <w:t xml:space="preserve">aseline. In female subjects, increased leucocyte α-Gal </w:t>
      </w:r>
      <w:proofErr w:type="gramStart"/>
      <w:r w:rsidRPr="007A2E1C">
        <w:rPr>
          <w:rFonts w:asciiTheme="minorHAnsi" w:hAnsiTheme="minorHAnsi"/>
        </w:rPr>
        <w:t>A</w:t>
      </w:r>
      <w:proofErr w:type="gramEnd"/>
      <w:r w:rsidRPr="007A2E1C">
        <w:rPr>
          <w:rFonts w:asciiTheme="minorHAnsi" w:hAnsiTheme="minorHAnsi"/>
        </w:rPr>
        <w:t xml:space="preserve"> activity occurred irrespective of whether or not subjects had migalastat amenable </w:t>
      </w:r>
      <w:r w:rsidRPr="000A277A">
        <w:rPr>
          <w:rFonts w:asciiTheme="minorHAnsi" w:hAnsiTheme="minorHAnsi"/>
          <w:i/>
        </w:rPr>
        <w:t>GLA</w:t>
      </w:r>
      <w:r w:rsidRPr="007A2E1C">
        <w:rPr>
          <w:rFonts w:asciiTheme="minorHAnsi" w:hAnsiTheme="minorHAnsi"/>
        </w:rPr>
        <w:t xml:space="preserve"> mutations.  Of the 5 subjects with migalastat amenable </w:t>
      </w:r>
      <w:r w:rsidRPr="000A277A">
        <w:rPr>
          <w:rFonts w:asciiTheme="minorHAnsi" w:hAnsiTheme="minorHAnsi"/>
          <w:i/>
        </w:rPr>
        <w:t>GLA</w:t>
      </w:r>
      <w:r w:rsidRPr="007A2E1C">
        <w:rPr>
          <w:rFonts w:asciiTheme="minorHAnsi" w:hAnsiTheme="minorHAnsi"/>
        </w:rPr>
        <w:t xml:space="preserve"> mutations, 4 subjects had an increase level of α-Gal </w:t>
      </w:r>
      <w:proofErr w:type="gramStart"/>
      <w:r w:rsidRPr="007A2E1C">
        <w:rPr>
          <w:rFonts w:asciiTheme="minorHAnsi" w:hAnsiTheme="minorHAnsi"/>
        </w:rPr>
        <w:t>A</w:t>
      </w:r>
      <w:proofErr w:type="gramEnd"/>
      <w:r w:rsidRPr="007A2E1C">
        <w:rPr>
          <w:rFonts w:asciiTheme="minorHAnsi" w:hAnsiTheme="minorHAnsi"/>
        </w:rPr>
        <w:t xml:space="preserve"> enzyme activity at Week 48 compared to baseline. Of the 4 subjects with migalastat non-amenable </w:t>
      </w:r>
      <w:r w:rsidRPr="000A277A">
        <w:rPr>
          <w:rFonts w:asciiTheme="minorHAnsi" w:hAnsiTheme="minorHAnsi"/>
          <w:i/>
        </w:rPr>
        <w:t xml:space="preserve">GLA </w:t>
      </w:r>
      <w:r w:rsidRPr="007A2E1C">
        <w:rPr>
          <w:rFonts w:asciiTheme="minorHAnsi" w:hAnsiTheme="minorHAnsi"/>
        </w:rPr>
        <w:t>mutations, 3</w:t>
      </w:r>
      <w:r w:rsidR="00063D35">
        <w:rPr>
          <w:rFonts w:asciiTheme="minorHAnsi" w:hAnsiTheme="minorHAnsi"/>
        </w:rPr>
        <w:t> </w:t>
      </w:r>
      <w:r w:rsidRPr="007A2E1C">
        <w:rPr>
          <w:rFonts w:asciiTheme="minorHAnsi" w:hAnsiTheme="minorHAnsi"/>
        </w:rPr>
        <w:t xml:space="preserve">subjects had an increased level of α-Gal </w:t>
      </w:r>
      <w:proofErr w:type="gramStart"/>
      <w:r w:rsidRPr="007A2E1C">
        <w:rPr>
          <w:rFonts w:asciiTheme="minorHAnsi" w:hAnsiTheme="minorHAnsi"/>
        </w:rPr>
        <w:t>A</w:t>
      </w:r>
      <w:proofErr w:type="gramEnd"/>
      <w:r w:rsidRPr="007A2E1C">
        <w:rPr>
          <w:rFonts w:asciiTheme="minorHAnsi" w:hAnsiTheme="minorHAnsi"/>
        </w:rPr>
        <w:t xml:space="preserve"> enzyme activity at Week 48 compared to baseline</w:t>
      </w:r>
      <w:r w:rsidR="00CD308A">
        <w:rPr>
          <w:rFonts w:asciiTheme="minorHAnsi" w:hAnsiTheme="minorHAnsi"/>
        </w:rPr>
        <w:t>.</w:t>
      </w:r>
    </w:p>
    <w:p w:rsidR="00CD308A" w:rsidRDefault="00263EDE" w:rsidP="00263EDE">
      <w:pPr>
        <w:rPr>
          <w:rFonts w:asciiTheme="minorHAnsi" w:hAnsiTheme="minorHAnsi"/>
        </w:rPr>
      </w:pPr>
      <w:r w:rsidRPr="007A2E1C">
        <w:rPr>
          <w:rFonts w:asciiTheme="minorHAnsi" w:hAnsiTheme="minorHAnsi"/>
        </w:rPr>
        <w:t xml:space="preserve">As Fabry disease is X-linked, </w:t>
      </w:r>
      <w:r w:rsidRPr="007A2E1C">
        <w:rPr>
          <w:rFonts w:asciiTheme="minorHAnsi" w:hAnsiTheme="minorHAnsi" w:cs="Calibri"/>
        </w:rPr>
        <w:t xml:space="preserve">females with the disease are mosaic harbouring cells that express either the wild type or the mutant </w:t>
      </w:r>
      <w:r w:rsidRPr="007A2E1C">
        <w:rPr>
          <w:rFonts w:asciiTheme="minorHAnsi" w:hAnsiTheme="minorHAnsi"/>
        </w:rPr>
        <w:t xml:space="preserve">α-Gal A. It has been reported that in samples derived from female patients, the measured </w:t>
      </w:r>
      <w:r w:rsidRPr="007A2E1C">
        <w:rPr>
          <w:rFonts w:asciiTheme="minorHAnsi" w:hAnsiTheme="minorHAnsi" w:cs="Calibri"/>
        </w:rPr>
        <w:t xml:space="preserve">α-Gal </w:t>
      </w:r>
      <w:proofErr w:type="gramStart"/>
      <w:r w:rsidRPr="007A2E1C">
        <w:rPr>
          <w:rFonts w:asciiTheme="minorHAnsi" w:hAnsiTheme="minorHAnsi" w:cs="Calibri"/>
        </w:rPr>
        <w:t>A</w:t>
      </w:r>
      <w:proofErr w:type="gramEnd"/>
      <w:r w:rsidRPr="007A2E1C">
        <w:rPr>
          <w:rFonts w:asciiTheme="minorHAnsi" w:hAnsiTheme="minorHAnsi" w:cs="Calibri"/>
        </w:rPr>
        <w:t xml:space="preserve"> enzyme activity is dominated by the wild type </w:t>
      </w:r>
      <w:r w:rsidRPr="007A2E1C">
        <w:rPr>
          <w:rFonts w:asciiTheme="minorHAnsi" w:hAnsiTheme="minorHAnsi"/>
        </w:rPr>
        <w:t>α-Gal A</w:t>
      </w:r>
      <w:r>
        <w:rPr>
          <w:rFonts w:asciiTheme="minorHAnsi" w:hAnsiTheme="minorHAnsi"/>
        </w:rPr>
        <w:t>.</w:t>
      </w:r>
      <w:r w:rsidRPr="007A2E1C">
        <w:rPr>
          <w:rFonts w:asciiTheme="minorHAnsi" w:hAnsiTheme="minorHAnsi"/>
        </w:rPr>
        <w:t xml:space="preserve"> Therefore, in females with Fabry disease neither baseline leucocyte α-Gal </w:t>
      </w:r>
      <w:proofErr w:type="gramStart"/>
      <w:r w:rsidRPr="007A2E1C">
        <w:rPr>
          <w:rFonts w:asciiTheme="minorHAnsi" w:hAnsiTheme="minorHAnsi"/>
        </w:rPr>
        <w:t>A</w:t>
      </w:r>
      <w:proofErr w:type="gramEnd"/>
      <w:r w:rsidRPr="007A2E1C">
        <w:rPr>
          <w:rFonts w:asciiTheme="minorHAnsi" w:hAnsiTheme="minorHAnsi"/>
        </w:rPr>
        <w:t xml:space="preserve"> activity nor the effect of migalastat on the mutant form can be accurately determined. In contrast to female patient cell lines or samples, </w:t>
      </w:r>
      <w:r>
        <w:rPr>
          <w:rFonts w:asciiTheme="minorHAnsi" w:hAnsiTheme="minorHAnsi"/>
        </w:rPr>
        <w:t xml:space="preserve">α-Gal </w:t>
      </w:r>
      <w:proofErr w:type="gramStart"/>
      <w:r>
        <w:rPr>
          <w:rFonts w:asciiTheme="minorHAnsi" w:hAnsiTheme="minorHAnsi"/>
        </w:rPr>
        <w:t>A</w:t>
      </w:r>
      <w:proofErr w:type="gramEnd"/>
      <w:r>
        <w:rPr>
          <w:rFonts w:asciiTheme="minorHAnsi" w:hAnsiTheme="minorHAnsi"/>
        </w:rPr>
        <w:t xml:space="preserve"> activity </w:t>
      </w:r>
      <w:r w:rsidRPr="007A2E1C">
        <w:rPr>
          <w:rFonts w:asciiTheme="minorHAnsi" w:hAnsiTheme="minorHAnsi"/>
        </w:rPr>
        <w:t>determined in the HEK cell-based assay is purely due to the heterologously-expressed mutant form of the enzyme</w:t>
      </w:r>
      <w:r w:rsidR="00CD308A">
        <w:rPr>
          <w:rFonts w:asciiTheme="minorHAnsi" w:hAnsiTheme="minorHAnsi"/>
        </w:rPr>
        <w:t>.</w:t>
      </w:r>
    </w:p>
    <w:p w:rsidR="00CD308A" w:rsidRDefault="00263EDE" w:rsidP="00263EDE">
      <w:pPr>
        <w:rPr>
          <w:rFonts w:asciiTheme="minorHAnsi" w:hAnsiTheme="minorHAnsi" w:cs="Calibri"/>
        </w:rPr>
      </w:pPr>
      <w:r w:rsidRPr="007A2E1C">
        <w:rPr>
          <w:rFonts w:asciiTheme="minorHAnsi" w:hAnsiTheme="minorHAnsi"/>
        </w:rPr>
        <w:t xml:space="preserve">In contrast to baseline </w:t>
      </w:r>
      <w:r w:rsidRPr="007A2E1C">
        <w:rPr>
          <w:rFonts w:asciiTheme="minorHAnsi" w:hAnsiTheme="minorHAnsi" w:cs="Calibri"/>
        </w:rPr>
        <w:t xml:space="preserve">leucocyte α-Gal </w:t>
      </w:r>
      <w:proofErr w:type="gramStart"/>
      <w:r w:rsidRPr="007A2E1C">
        <w:rPr>
          <w:rFonts w:asciiTheme="minorHAnsi" w:hAnsiTheme="minorHAnsi" w:cs="Calibri"/>
        </w:rPr>
        <w:t>A</w:t>
      </w:r>
      <w:proofErr w:type="gramEnd"/>
      <w:r w:rsidRPr="007A2E1C">
        <w:rPr>
          <w:rFonts w:asciiTheme="minorHAnsi" w:hAnsiTheme="minorHAnsi" w:cs="Calibri"/>
        </w:rPr>
        <w:t xml:space="preserve"> activity, 8 of the 9 females in the Phase </w:t>
      </w:r>
      <w:r w:rsidR="00063D35">
        <w:rPr>
          <w:rFonts w:asciiTheme="minorHAnsi" w:hAnsiTheme="minorHAnsi" w:cs="Calibri"/>
        </w:rPr>
        <w:t>II</w:t>
      </w:r>
      <w:r w:rsidRPr="007A2E1C">
        <w:rPr>
          <w:rFonts w:asciiTheme="minorHAnsi" w:hAnsiTheme="minorHAnsi" w:cs="Calibri"/>
        </w:rPr>
        <w:t xml:space="preserve"> study had baseline urine GL-3 concentrations greater than the upper value for the normal reference range for this parameter in healthy women. Furthermore, of the 9 female subjects in the study, 7 had urine GL-3 concentrations that were lower at Week 48 compared to Baseline. All 5 subjects with a migalastat amenable </w:t>
      </w:r>
      <w:r w:rsidRPr="000A277A">
        <w:rPr>
          <w:rFonts w:asciiTheme="minorHAnsi" w:hAnsiTheme="minorHAnsi" w:cs="Calibri"/>
          <w:i/>
        </w:rPr>
        <w:t>GLA</w:t>
      </w:r>
      <w:r w:rsidRPr="007A2E1C">
        <w:rPr>
          <w:rFonts w:asciiTheme="minorHAnsi" w:hAnsiTheme="minorHAnsi" w:cs="Calibri"/>
        </w:rPr>
        <w:t xml:space="preserve"> mutation had lower urine GL-3 concentrations a</w:t>
      </w:r>
      <w:r>
        <w:rPr>
          <w:rFonts w:asciiTheme="minorHAnsi" w:hAnsiTheme="minorHAnsi" w:cs="Calibri"/>
        </w:rPr>
        <w:t>t Week 48 compared to b</w:t>
      </w:r>
      <w:r w:rsidRPr="007A2E1C">
        <w:rPr>
          <w:rFonts w:asciiTheme="minorHAnsi" w:hAnsiTheme="minorHAnsi" w:cs="Calibri"/>
        </w:rPr>
        <w:t xml:space="preserve">aseline. Of the 4 subjects with migalastat non-amenable </w:t>
      </w:r>
      <w:r w:rsidRPr="00C10674">
        <w:rPr>
          <w:rFonts w:asciiTheme="minorHAnsi" w:hAnsiTheme="minorHAnsi" w:cs="Calibri"/>
          <w:i/>
        </w:rPr>
        <w:t>GLA</w:t>
      </w:r>
      <w:r w:rsidRPr="007A2E1C">
        <w:rPr>
          <w:rFonts w:asciiTheme="minorHAnsi" w:hAnsiTheme="minorHAnsi" w:cs="Calibri"/>
        </w:rPr>
        <w:t xml:space="preserve"> mutations, 2 subjects had lower urine GL-3 concentrations at Week 48 compared to </w:t>
      </w:r>
      <w:r>
        <w:rPr>
          <w:rFonts w:asciiTheme="minorHAnsi" w:hAnsiTheme="minorHAnsi" w:cs="Calibri"/>
        </w:rPr>
        <w:t>b</w:t>
      </w:r>
      <w:r w:rsidRPr="007A2E1C">
        <w:rPr>
          <w:rFonts w:asciiTheme="minorHAnsi" w:hAnsiTheme="minorHAnsi" w:cs="Calibri"/>
        </w:rPr>
        <w:t>aseline</w:t>
      </w:r>
      <w:r w:rsidR="00CD308A">
        <w:rPr>
          <w:rFonts w:asciiTheme="minorHAnsi" w:hAnsiTheme="minorHAnsi" w:cs="Calibri"/>
        </w:rPr>
        <w:t>.</w:t>
      </w:r>
    </w:p>
    <w:p w:rsidR="00CD308A" w:rsidRDefault="00263EDE" w:rsidP="00263EDE">
      <w:pPr>
        <w:rPr>
          <w:rFonts w:asciiTheme="minorHAnsi" w:hAnsiTheme="minorHAnsi" w:cs="Calibri"/>
        </w:rPr>
      </w:pPr>
      <w:r w:rsidRPr="007A2E1C">
        <w:rPr>
          <w:rFonts w:asciiTheme="minorHAnsi" w:hAnsiTheme="minorHAnsi" w:cs="Calibri"/>
        </w:rPr>
        <w:t xml:space="preserve">Most male and female subjects in the Phase </w:t>
      </w:r>
      <w:r w:rsidR="00063D35">
        <w:rPr>
          <w:rFonts w:asciiTheme="minorHAnsi" w:hAnsiTheme="minorHAnsi" w:cs="Calibri"/>
        </w:rPr>
        <w:t>II</w:t>
      </w:r>
      <w:r w:rsidRPr="007A2E1C">
        <w:rPr>
          <w:rFonts w:asciiTheme="minorHAnsi" w:hAnsiTheme="minorHAnsi" w:cs="Calibri"/>
        </w:rPr>
        <w:t xml:space="preserve"> PD studies had at least minimal functional impairment due to Fabry disease at baseline</w:t>
      </w:r>
      <w:r>
        <w:rPr>
          <w:rFonts w:asciiTheme="minorHAnsi" w:hAnsiTheme="minorHAnsi" w:cs="Calibri"/>
        </w:rPr>
        <w:t xml:space="preserve">, and </w:t>
      </w:r>
      <w:r w:rsidRPr="007A2E1C">
        <w:rPr>
          <w:rFonts w:asciiTheme="minorHAnsi" w:hAnsiTheme="minorHAnsi" w:cs="Calibri"/>
        </w:rPr>
        <w:t>no clinically meaningful changes in baseline abnormalities were observed following treatment with migalastat</w:t>
      </w:r>
      <w:r>
        <w:rPr>
          <w:rFonts w:asciiTheme="minorHAnsi" w:hAnsiTheme="minorHAnsi" w:cs="Calibri"/>
        </w:rPr>
        <w:t>. Therefore, the limited data suggest that stabilisation of impaired function is possible with migalastat treatment.</w:t>
      </w:r>
    </w:p>
    <w:p w:rsidR="00CD308A" w:rsidRDefault="00263EDE" w:rsidP="00263EDE">
      <w:pPr>
        <w:rPr>
          <w:rFonts w:asciiTheme="minorHAnsi" w:hAnsiTheme="minorHAnsi" w:cs="Calibri"/>
        </w:rPr>
      </w:pPr>
      <w:r w:rsidRPr="007A2E1C">
        <w:rPr>
          <w:rFonts w:asciiTheme="minorHAnsi" w:hAnsiTheme="minorHAnsi" w:cs="Calibri"/>
        </w:rPr>
        <w:t xml:space="preserve">The data from the Phase </w:t>
      </w:r>
      <w:r w:rsidR="00063D35">
        <w:rPr>
          <w:rFonts w:asciiTheme="minorHAnsi" w:hAnsiTheme="minorHAnsi" w:cs="Calibri"/>
        </w:rPr>
        <w:t>II</w:t>
      </w:r>
      <w:r w:rsidRPr="007A2E1C">
        <w:rPr>
          <w:rFonts w:asciiTheme="minorHAnsi" w:hAnsiTheme="minorHAnsi" w:cs="Calibri"/>
        </w:rPr>
        <w:t xml:space="preserve"> PD studies point to the importance of patients with Fabry disease for whom treatm</w:t>
      </w:r>
      <w:r>
        <w:rPr>
          <w:rFonts w:asciiTheme="minorHAnsi" w:hAnsiTheme="minorHAnsi" w:cs="Calibri"/>
        </w:rPr>
        <w:t xml:space="preserve">ent with migalastat might be treatment </w:t>
      </w:r>
      <w:r w:rsidRPr="007A2E1C">
        <w:rPr>
          <w:rFonts w:asciiTheme="minorHAnsi" w:hAnsiTheme="minorHAnsi" w:cs="Calibri"/>
        </w:rPr>
        <w:t xml:space="preserve">option having their genotype assessed for responsiveness to migalastat. In general, the biochemical parameters associated with the disease improved to a greater extent in patients with migalastat amenable </w:t>
      </w:r>
      <w:r w:rsidRPr="007A2E1C">
        <w:rPr>
          <w:rFonts w:asciiTheme="minorHAnsi" w:hAnsiTheme="minorHAnsi" w:cs="Calibri"/>
          <w:i/>
        </w:rPr>
        <w:t>GLA</w:t>
      </w:r>
      <w:r w:rsidRPr="007A2E1C">
        <w:rPr>
          <w:rFonts w:asciiTheme="minorHAnsi" w:hAnsiTheme="minorHAnsi" w:cs="Calibri"/>
        </w:rPr>
        <w:t xml:space="preserve"> mutations compared to patients with migalastat non-amenable </w:t>
      </w:r>
      <w:r w:rsidRPr="007A2E1C">
        <w:rPr>
          <w:rFonts w:asciiTheme="minorHAnsi" w:hAnsiTheme="minorHAnsi" w:cs="Calibri"/>
          <w:i/>
        </w:rPr>
        <w:t xml:space="preserve">GLA </w:t>
      </w:r>
      <w:r w:rsidRPr="007A2E1C">
        <w:rPr>
          <w:rFonts w:asciiTheme="minorHAnsi" w:hAnsiTheme="minorHAnsi" w:cs="Calibri"/>
        </w:rPr>
        <w:t>mutations</w:t>
      </w:r>
      <w:r w:rsidR="00CD308A">
        <w:rPr>
          <w:rFonts w:asciiTheme="minorHAnsi" w:hAnsiTheme="minorHAnsi" w:cs="Calibri"/>
        </w:rPr>
        <w:t>.</w:t>
      </w:r>
    </w:p>
    <w:p w:rsidR="00CD308A" w:rsidRDefault="00263EDE" w:rsidP="00263EDE">
      <w:pPr>
        <w:rPr>
          <w:rFonts w:asciiTheme="minorHAnsi" w:hAnsiTheme="minorHAnsi" w:cs="Calibri"/>
        </w:rPr>
      </w:pPr>
      <w:r w:rsidRPr="007A2E1C">
        <w:rPr>
          <w:rFonts w:asciiTheme="minorHAnsi" w:hAnsiTheme="minorHAnsi" w:cs="Calibri"/>
        </w:rPr>
        <w:t xml:space="preserve">The long-term extension study in male and female patients with Fabry disease </w:t>
      </w:r>
      <w:r w:rsidR="00063D35">
        <w:rPr>
          <w:rFonts w:asciiTheme="minorHAnsi" w:hAnsiTheme="minorHAnsi" w:cs="Calibri"/>
        </w:rPr>
        <w:t>(Study </w:t>
      </w:r>
      <w:r w:rsidRPr="007A2E1C">
        <w:rPr>
          <w:rFonts w:asciiTheme="minorHAnsi" w:hAnsiTheme="minorHAnsi" w:cs="Calibri"/>
        </w:rPr>
        <w:t>FAB-CL-205</w:t>
      </w:r>
      <w:r w:rsidR="00063D35">
        <w:rPr>
          <w:rFonts w:asciiTheme="minorHAnsi" w:hAnsiTheme="minorHAnsi" w:cs="Calibri"/>
        </w:rPr>
        <w:t>)</w:t>
      </w:r>
      <w:r w:rsidRPr="007A2E1C">
        <w:rPr>
          <w:rFonts w:asciiTheme="minorHAnsi" w:hAnsiTheme="minorHAnsi" w:cs="Calibri"/>
        </w:rPr>
        <w:t xml:space="preserve"> showed that the benefit/risk ratio, based on the safety and PD data, was more favourable for the 50 mg QOD regimen than for the 250 mg escalating to 500 mg dose regimen of 3 days on followed by 4 days off</w:t>
      </w:r>
      <w:r w:rsidR="00CD308A">
        <w:rPr>
          <w:rFonts w:asciiTheme="minorHAnsi" w:hAnsiTheme="minorHAnsi" w:cs="Calibri"/>
        </w:rPr>
        <w:t>.</w:t>
      </w:r>
    </w:p>
    <w:p w:rsidR="00263EDE" w:rsidRDefault="00263EDE" w:rsidP="00263EDE">
      <w:pPr>
        <w:pStyle w:val="Heading5"/>
      </w:pPr>
      <w:r>
        <w:t>Secondary pharmacodynamics</w:t>
      </w:r>
    </w:p>
    <w:p w:rsidR="00CD308A" w:rsidRDefault="00263EDE" w:rsidP="00263EDE">
      <w:pPr>
        <w:rPr>
          <w:lang w:eastAsia="ja-JP"/>
        </w:rPr>
      </w:pPr>
      <w:r>
        <w:rPr>
          <w:lang w:eastAsia="ja-JP"/>
        </w:rPr>
        <w:t xml:space="preserve">The </w:t>
      </w:r>
      <w:r w:rsidR="00063D35">
        <w:rPr>
          <w:lang w:eastAsia="ja-JP"/>
        </w:rPr>
        <w:t>‘</w:t>
      </w:r>
      <w:r>
        <w:rPr>
          <w:lang w:eastAsia="ja-JP"/>
        </w:rPr>
        <w:t>thorough QT/QTc</w:t>
      </w:r>
      <w:r w:rsidR="00A56B24">
        <w:rPr>
          <w:lang w:eastAsia="ja-JP"/>
        </w:rPr>
        <w:t>’</w:t>
      </w:r>
      <w:r w:rsidR="00063D35">
        <w:rPr>
          <w:lang w:eastAsia="ja-JP"/>
        </w:rPr>
        <w:t xml:space="preserve"> </w:t>
      </w:r>
      <w:r>
        <w:rPr>
          <w:lang w:eastAsia="ja-JP"/>
        </w:rPr>
        <w:t xml:space="preserve">study in healthy subjects </w:t>
      </w:r>
      <w:r w:rsidR="00063D35">
        <w:rPr>
          <w:lang w:eastAsia="ja-JP"/>
        </w:rPr>
        <w:t xml:space="preserve">(Study </w:t>
      </w:r>
      <w:r>
        <w:rPr>
          <w:lang w:eastAsia="ja-JP"/>
        </w:rPr>
        <w:t>AT1001-010</w:t>
      </w:r>
      <w:r w:rsidR="00063D35">
        <w:rPr>
          <w:lang w:eastAsia="ja-JP"/>
        </w:rPr>
        <w:t>)</w:t>
      </w:r>
      <w:r>
        <w:rPr>
          <w:lang w:eastAsia="ja-JP"/>
        </w:rPr>
        <w:t xml:space="preserve"> showed no association between single-dose migalastat at therapeutic (150 mg) or supra-therapeutic (1250 mg) doses and QTc prolongation. The exploratory analysis showed no statistically or clinically significant differences in QTc changes following migalastat between male and female subjects. In addition, the study showed no relationship between increasing migalastat plasma concentration and QTc prolongation. No significant morphological ECG changes were observed with migalastat. The limited safety data in male and female patients with Fabry disease from the Phase </w:t>
      </w:r>
      <w:r w:rsidR="00063D35">
        <w:rPr>
          <w:lang w:eastAsia="ja-JP"/>
        </w:rPr>
        <w:t>II</w:t>
      </w:r>
      <w:r>
        <w:rPr>
          <w:lang w:eastAsia="ja-JP"/>
        </w:rPr>
        <w:t xml:space="preserve"> </w:t>
      </w:r>
      <w:r w:rsidR="00063D35">
        <w:rPr>
          <w:lang w:eastAsia="ja-JP"/>
        </w:rPr>
        <w:t>St</w:t>
      </w:r>
      <w:r>
        <w:rPr>
          <w:lang w:eastAsia="ja-JP"/>
        </w:rPr>
        <w:t>udies FAB-CL-203 (males) and FAB-CL-</w:t>
      </w:r>
      <w:r>
        <w:rPr>
          <w:lang w:eastAsia="ja-JP"/>
        </w:rPr>
        <w:lastRenderedPageBreak/>
        <w:t>204 (females) showed no clinically significant adverse events relating to QTc prolongation following treatment with migalastat at dose of 50 mg, 150 mg and 250 mg QOD</w:t>
      </w:r>
      <w:r w:rsidR="00CD308A">
        <w:rPr>
          <w:lang w:eastAsia="ja-JP"/>
        </w:rPr>
        <w:t>.</w:t>
      </w:r>
    </w:p>
    <w:p w:rsidR="008E7846" w:rsidRDefault="00605AD4" w:rsidP="00605AD4">
      <w:pPr>
        <w:pStyle w:val="Heading3"/>
      </w:pPr>
      <w:bookmarkStart w:id="83" w:name="_Toc524949262"/>
      <w:r>
        <w:t>Dosage selection for the pivotal studies</w:t>
      </w:r>
      <w:bookmarkEnd w:id="83"/>
    </w:p>
    <w:p w:rsidR="00CD308A" w:rsidRDefault="00263EDE" w:rsidP="00263EDE">
      <w:pPr>
        <w:pStyle w:val="Heading4"/>
      </w:pPr>
      <w:bookmarkStart w:id="84" w:name="_Toc474352270"/>
      <w:r>
        <w:t>Rationale</w:t>
      </w:r>
      <w:bookmarkEnd w:id="84"/>
    </w:p>
    <w:p w:rsidR="00CD308A" w:rsidRDefault="00263EDE" w:rsidP="00263EDE">
      <w:r w:rsidRPr="004478D3">
        <w:t xml:space="preserve">The sponsor </w:t>
      </w:r>
      <w:r>
        <w:t>indicates</w:t>
      </w:r>
      <w:r w:rsidRPr="004478D3">
        <w:t xml:space="preserve"> that the proposed dosage regimen (migalastat HCl 150 mg </w:t>
      </w:r>
      <w:r>
        <w:t xml:space="preserve">QOD) </w:t>
      </w:r>
      <w:r w:rsidRPr="004478D3">
        <w:t xml:space="preserve">was selected to maximise </w:t>
      </w:r>
      <w:r w:rsidRPr="006A6B32">
        <w:t>in situ</w:t>
      </w:r>
      <w:r w:rsidRPr="004478D3">
        <w:t xml:space="preserve"> α-Gal </w:t>
      </w:r>
      <w:proofErr w:type="gramStart"/>
      <w:r w:rsidRPr="004478D3">
        <w:t>A</w:t>
      </w:r>
      <w:proofErr w:type="gramEnd"/>
      <w:r w:rsidRPr="004478D3">
        <w:t xml:space="preserve"> activity and GL-3 substrate reduction</w:t>
      </w:r>
      <w:r>
        <w:t xml:space="preserve"> by balancing migalastat target organ concentration against clearance.  </w:t>
      </w:r>
      <w:r w:rsidRPr="004478D3">
        <w:t xml:space="preserve">Dose selection was stated to have been based on the findings from </w:t>
      </w:r>
      <w:r>
        <w:t xml:space="preserve">both </w:t>
      </w:r>
      <w:r w:rsidRPr="004478D3">
        <w:t xml:space="preserve">the </w:t>
      </w:r>
      <w:r>
        <w:t>non</w:t>
      </w:r>
      <w:r w:rsidRPr="004478D3">
        <w:t>clinical and clinical studies.</w:t>
      </w:r>
      <w:r>
        <w:t xml:space="preserve"> </w:t>
      </w:r>
      <w:r w:rsidRPr="004478D3">
        <w:t xml:space="preserve">The rationale for the proposed dose </w:t>
      </w:r>
      <w:r w:rsidRPr="00DB225B">
        <w:t xml:space="preserve">and regimen selected for assessment in the Phase </w:t>
      </w:r>
      <w:r w:rsidR="00063D35">
        <w:t>III</w:t>
      </w:r>
      <w:r w:rsidR="00063D35" w:rsidRPr="00DB225B">
        <w:t xml:space="preserve"> </w:t>
      </w:r>
      <w:r w:rsidRPr="00DB225B">
        <w:t>studies is outlined b</w:t>
      </w:r>
      <w:r w:rsidR="00DB225B">
        <w:t>elow. The rationale was provided</w:t>
      </w:r>
      <w:r>
        <w:t xml:space="preserve">. In addition, </w:t>
      </w:r>
      <w:r w:rsidRPr="004478D3">
        <w:t xml:space="preserve">information relating to dose selection has also been </w:t>
      </w:r>
      <w:r>
        <w:t>included in the outline below</w:t>
      </w:r>
      <w:r w:rsidRPr="004478D3">
        <w:t xml:space="preserve"> based on the evaluation of </w:t>
      </w:r>
      <w:r>
        <w:t xml:space="preserve">the </w:t>
      </w:r>
      <w:r w:rsidRPr="004478D3">
        <w:t>releva</w:t>
      </w:r>
      <w:r>
        <w:t xml:space="preserve">nt Phase </w:t>
      </w:r>
      <w:r w:rsidR="00063D35">
        <w:t>I</w:t>
      </w:r>
      <w:r>
        <w:t xml:space="preserve"> and Phase </w:t>
      </w:r>
      <w:r w:rsidR="00063D35">
        <w:t xml:space="preserve">II </w:t>
      </w:r>
      <w:r>
        <w:t>studies</w:t>
      </w:r>
      <w:r w:rsidR="00CD308A">
        <w:t>.</w:t>
      </w:r>
    </w:p>
    <w:p w:rsidR="00263EDE" w:rsidRPr="004478D3" w:rsidRDefault="00263EDE" w:rsidP="00263EDE">
      <w:r>
        <w:t xml:space="preserve">In nonclinical studies, </w:t>
      </w:r>
      <w:r w:rsidRPr="004478D3">
        <w:t>using a knock-out mouse model of Fabry disease (hR301Q α-Gal A</w:t>
      </w:r>
      <w:r w:rsidR="00063D35">
        <w:t> </w:t>
      </w:r>
      <w:r w:rsidRPr="004478D3">
        <w:t xml:space="preserve">Tg/KO) in mice lacking the endogenous murine α-Gal </w:t>
      </w:r>
      <w:proofErr w:type="gramStart"/>
      <w:r w:rsidRPr="004478D3">
        <w:t>A</w:t>
      </w:r>
      <w:proofErr w:type="gramEnd"/>
      <w:r w:rsidRPr="004478D3">
        <w:t xml:space="preserve"> gene (</w:t>
      </w:r>
      <w:r w:rsidRPr="00815A33">
        <w:rPr>
          <w:i/>
        </w:rPr>
        <w:t>GLA</w:t>
      </w:r>
      <w:r>
        <w:t xml:space="preserve">), </w:t>
      </w:r>
      <w:r w:rsidRPr="004478D3">
        <w:t xml:space="preserve">but expressing a human R301Q GLA transgene, </w:t>
      </w:r>
      <w:r>
        <w:t xml:space="preserve">the sponsor reports that </w:t>
      </w:r>
      <w:r w:rsidRPr="004478D3">
        <w:t xml:space="preserve">a 30 mg/kg dose of migalastat was </w:t>
      </w:r>
      <w:r>
        <w:t xml:space="preserve">found to be </w:t>
      </w:r>
      <w:r w:rsidRPr="004478D3">
        <w:t>optimal.</w:t>
      </w:r>
      <w:r>
        <w:t xml:space="preserve"> </w:t>
      </w:r>
      <w:r w:rsidRPr="004478D3">
        <w:t xml:space="preserve"> </w:t>
      </w:r>
      <w:r>
        <w:t>S</w:t>
      </w:r>
      <w:r w:rsidRPr="004478D3">
        <w:t xml:space="preserve">ignificant increases in α-Gal </w:t>
      </w:r>
      <w:proofErr w:type="gramStart"/>
      <w:r w:rsidRPr="004478D3">
        <w:t>A</w:t>
      </w:r>
      <w:proofErr w:type="gramEnd"/>
      <w:r w:rsidRPr="004478D3">
        <w:t xml:space="preserve"> activity and GL-3 substrate reduction were reported</w:t>
      </w:r>
      <w:r>
        <w:t xml:space="preserve"> at this dose </w:t>
      </w:r>
      <w:r w:rsidRPr="004478D3">
        <w:t xml:space="preserve">across all tissues, while at higher doses no further improvements </w:t>
      </w:r>
      <w:r>
        <w:t xml:space="preserve">in activity </w:t>
      </w:r>
      <w:r w:rsidRPr="004478D3">
        <w:t>were reported.</w:t>
      </w:r>
    </w:p>
    <w:p w:rsidR="00CD308A" w:rsidRDefault="00263EDE" w:rsidP="00263EDE">
      <w:r w:rsidRPr="009C66C5">
        <w:t xml:space="preserve">Investigation of mouse and human exposures following oral administration were reported to demonstrate </w:t>
      </w:r>
      <w:r>
        <w:t xml:space="preserve">that </w:t>
      </w:r>
      <w:r w:rsidRPr="009C66C5">
        <w:t>migalastat exposure after a 30 mg/k</w:t>
      </w:r>
      <w:r>
        <w:t>g dose in mice (AUC</w:t>
      </w:r>
      <w:r w:rsidR="00063D35">
        <w:t> </w:t>
      </w:r>
      <w:r>
        <w:t>=</w:t>
      </w:r>
      <w:r w:rsidR="00063D35">
        <w:t> </w:t>
      </w:r>
      <w:r>
        <w:t>18,400</w:t>
      </w:r>
      <w:r w:rsidR="00063D35">
        <w:t> </w:t>
      </w:r>
      <w:r>
        <w:t>ng·</w:t>
      </w:r>
      <w:r w:rsidRPr="009C66C5">
        <w:t>hr/mL</w:t>
      </w:r>
      <w:r>
        <w:t xml:space="preserve"> </w:t>
      </w:r>
      <w:r w:rsidR="00063D35">
        <w:t>(S</w:t>
      </w:r>
      <w:r w:rsidRPr="009C66C5">
        <w:t>tudy RR1001-08</w:t>
      </w:r>
      <w:r w:rsidR="00063D35">
        <w:t>)</w:t>
      </w:r>
      <w:r w:rsidRPr="009C66C5">
        <w:t xml:space="preserve">) was similar to </w:t>
      </w:r>
      <w:r>
        <w:t xml:space="preserve">migalastat exposure observed after </w:t>
      </w:r>
      <w:r w:rsidRPr="009C66C5">
        <w:t>a single oral dose of 15</w:t>
      </w:r>
      <w:r>
        <w:t>0 mg in humans (AUC = 13,521 ng·</w:t>
      </w:r>
      <w:r w:rsidRPr="009C66C5">
        <w:t xml:space="preserve">hr/mL </w:t>
      </w:r>
      <w:r w:rsidR="00063D35">
        <w:t>(S</w:t>
      </w:r>
      <w:r w:rsidRPr="009C66C5">
        <w:t>tudy AT1001-013</w:t>
      </w:r>
      <w:r w:rsidR="00063D35">
        <w:t>)</w:t>
      </w:r>
      <w:r w:rsidRPr="009C66C5">
        <w:t xml:space="preserve">). Nonclinical studies were also reported to </w:t>
      </w:r>
      <w:r>
        <w:t>show</w:t>
      </w:r>
      <w:r w:rsidRPr="009C66C5">
        <w:t xml:space="preserve"> that</w:t>
      </w:r>
      <w:r>
        <w:t xml:space="preserve"> </w:t>
      </w:r>
      <w:r w:rsidRPr="009C66C5">
        <w:t>greater GL-3 reductions were observed using less-frequent dosing regimens, including a QOD regimen</w:t>
      </w:r>
      <w:r>
        <w:t>, compared to daily administration</w:t>
      </w:r>
      <w:r w:rsidR="00CD308A">
        <w:t>.</w:t>
      </w:r>
    </w:p>
    <w:p w:rsidR="00263EDE" w:rsidRPr="009C66C5" w:rsidRDefault="00263EDE" w:rsidP="00263EDE">
      <w:r w:rsidRPr="009C66C5">
        <w:t xml:space="preserve">In the first-in-human Phase </w:t>
      </w:r>
      <w:r w:rsidR="00063D35">
        <w:t>I</w:t>
      </w:r>
      <w:r w:rsidRPr="009C66C5">
        <w:t xml:space="preserve"> dose-escalation </w:t>
      </w:r>
      <w:r w:rsidR="00063D35">
        <w:t>S</w:t>
      </w:r>
      <w:r w:rsidR="00063D35" w:rsidRPr="009C66C5">
        <w:t xml:space="preserve">tudy </w:t>
      </w:r>
      <w:r w:rsidRPr="009C66C5">
        <w:t>AT1001-101, single-dose administration of migalastat (aqueous solution) was shown to be  safe and well tolerated at doses of 25, 75, 225, and 675 mg in healthy male subjects (n</w:t>
      </w:r>
      <w:r w:rsidR="00063D35">
        <w:t xml:space="preserve"> </w:t>
      </w:r>
      <w:r w:rsidRPr="009C66C5">
        <w:t>=</w:t>
      </w:r>
      <w:r w:rsidR="00063D35">
        <w:t xml:space="preserve"> </w:t>
      </w:r>
      <w:r w:rsidRPr="009C66C5">
        <w:t xml:space="preserve">6). The starting dose of 25 mg was selected based on the </w:t>
      </w:r>
      <w:r>
        <w:t>non</w:t>
      </w:r>
      <w:r w:rsidRPr="009C66C5">
        <w:t xml:space="preserve">clinical safety data and allometric scaling suggesting that </w:t>
      </w:r>
      <w:r>
        <w:t xml:space="preserve">this dose </w:t>
      </w:r>
      <w:r w:rsidRPr="009C66C5">
        <w:t>was expected to be a safe starting dose in humans.</w:t>
      </w:r>
    </w:p>
    <w:p w:rsidR="00CD308A" w:rsidRDefault="00263EDE" w:rsidP="00263EDE">
      <w:r>
        <w:t xml:space="preserve">In the first repeat-dose </w:t>
      </w:r>
      <w:r w:rsidRPr="000A34AC">
        <w:t xml:space="preserve">Phase </w:t>
      </w:r>
      <w:r w:rsidR="00063D35">
        <w:t>I</w:t>
      </w:r>
      <w:r w:rsidRPr="000A34AC">
        <w:t xml:space="preserve"> study in humans </w:t>
      </w:r>
      <w:r w:rsidR="00063D35">
        <w:t>(Study</w:t>
      </w:r>
      <w:r w:rsidRPr="000A34AC">
        <w:t>AR1001-102</w:t>
      </w:r>
      <w:r w:rsidR="00063D35">
        <w:t>)</w:t>
      </w:r>
      <w:r w:rsidRPr="000A34AC">
        <w:t>, two doses of mig</w:t>
      </w:r>
      <w:r>
        <w:t xml:space="preserve">alastat were administered for 7 </w:t>
      </w:r>
      <w:r w:rsidRPr="000A34AC">
        <w:t>days to 16 healthy male subjects (50 mg BD and 150</w:t>
      </w:r>
      <w:r w:rsidR="00063D35">
        <w:t> </w:t>
      </w:r>
      <w:r w:rsidRPr="000A34AC">
        <w:t xml:space="preserve">mg BD). </w:t>
      </w:r>
      <w:r>
        <w:t>T</w:t>
      </w:r>
      <w:r w:rsidRPr="000A34AC">
        <w:t xml:space="preserve">he 50 mg BD dose was </w:t>
      </w:r>
      <w:r>
        <w:t xml:space="preserve">selected as, </w:t>
      </w:r>
      <w:r w:rsidRPr="000A34AC">
        <w:t>based on the non</w:t>
      </w:r>
      <w:r>
        <w:t xml:space="preserve">clinical data, it was expected to be the therapeutic dose. The </w:t>
      </w:r>
      <w:r w:rsidRPr="000A34AC">
        <w:t xml:space="preserve">150 mg BD </w:t>
      </w:r>
      <w:r>
        <w:t xml:space="preserve">dose </w:t>
      </w:r>
      <w:r w:rsidRPr="000A34AC">
        <w:t xml:space="preserve">was </w:t>
      </w:r>
      <w:r w:rsidRPr="005D1C3D">
        <w:t>selected based on the demonstrated safety and tolerability of single-doses of 25, 75, 225 and 675 mg in</w:t>
      </w:r>
      <w:r w:rsidR="00063D35">
        <w:t xml:space="preserve"> S</w:t>
      </w:r>
      <w:r w:rsidRPr="005D1C3D">
        <w:t>tudy</w:t>
      </w:r>
      <w:r w:rsidR="00063D35">
        <w:t> </w:t>
      </w:r>
      <w:r w:rsidRPr="005D1C3D">
        <w:t xml:space="preserve">AT1001-102. The sponsor reported that, in </w:t>
      </w:r>
      <w:r w:rsidR="00063D35">
        <w:t>S</w:t>
      </w:r>
      <w:r w:rsidRPr="005D1C3D">
        <w:t xml:space="preserve">tudy AT1001-102, greater increases in wild type α-Gal </w:t>
      </w:r>
      <w:proofErr w:type="gramStart"/>
      <w:r w:rsidRPr="005D1C3D">
        <w:t>A</w:t>
      </w:r>
      <w:proofErr w:type="gramEnd"/>
      <w:r w:rsidRPr="005D1C3D">
        <w:t xml:space="preserve"> activity levels were observed in white blood cells (WBC) after 7 day oral administration</w:t>
      </w:r>
      <w:r w:rsidRPr="000A34AC">
        <w:t xml:space="preserve"> of 150 mg migalastat BD </w:t>
      </w:r>
      <w:r>
        <w:t xml:space="preserve">than </w:t>
      </w:r>
      <w:r w:rsidRPr="000A34AC">
        <w:t>after mig</w:t>
      </w:r>
      <w:r>
        <w:t>a</w:t>
      </w:r>
      <w:r w:rsidRPr="000A34AC">
        <w:t xml:space="preserve">lastat 50 mg BD, indicating </w:t>
      </w:r>
      <w:r>
        <w:t>an</w:t>
      </w:r>
      <w:r w:rsidRPr="000A34AC">
        <w:t xml:space="preserve"> increased effect of the higher</w:t>
      </w:r>
      <w:r>
        <w:t xml:space="preserve"> dose compared to </w:t>
      </w:r>
      <w:r w:rsidRPr="000A34AC">
        <w:t>the lower dose</w:t>
      </w:r>
      <w:r w:rsidR="00CD308A">
        <w:t>.</w:t>
      </w:r>
    </w:p>
    <w:p w:rsidR="00CD308A" w:rsidRDefault="00263EDE" w:rsidP="00263EDE">
      <w:r w:rsidRPr="009C66C5">
        <w:t xml:space="preserve">In the five Phase </w:t>
      </w:r>
      <w:r w:rsidR="00063D35">
        <w:t>II</w:t>
      </w:r>
      <w:r w:rsidR="00063D35" w:rsidRPr="009C66C5">
        <w:t xml:space="preserve"> </w:t>
      </w:r>
      <w:r w:rsidRPr="009C66C5">
        <w:t xml:space="preserve">studies, a range of migalastat doses and regimens were explored in 27 subjects with Fabry disease </w:t>
      </w:r>
      <w:r>
        <w:t>(18</w:t>
      </w:r>
      <w:r w:rsidR="00063D35">
        <w:t xml:space="preserve"> </w:t>
      </w:r>
      <w:r>
        <w:t>M/9</w:t>
      </w:r>
      <w:r w:rsidR="00063D35">
        <w:t xml:space="preserve"> </w:t>
      </w:r>
      <w:r>
        <w:t xml:space="preserve">F). These regimens and doses were </w:t>
      </w:r>
      <w:r w:rsidRPr="009C66C5">
        <w:t>BD (25, 100, 250</w:t>
      </w:r>
      <w:r w:rsidR="00063D35">
        <w:t> </w:t>
      </w:r>
      <w:r w:rsidRPr="009C66C5">
        <w:t xml:space="preserve">mg), once daily </w:t>
      </w:r>
      <w:r w:rsidR="00063D35">
        <w:t>(</w:t>
      </w:r>
      <w:r w:rsidRPr="009C66C5">
        <w:t>QD</w:t>
      </w:r>
      <w:r w:rsidR="00063D35">
        <w:t>)</w:t>
      </w:r>
      <w:r w:rsidRPr="009C66C5">
        <w:t xml:space="preserve"> (50 mg), QOD (50, 150, 250 mg) and 3 days on/4 days off (250, 500 mg). In these studies, the sponsor considered that the </w:t>
      </w:r>
      <w:r>
        <w:t xml:space="preserve">migalastat </w:t>
      </w:r>
      <w:r w:rsidRPr="009C66C5">
        <w:t xml:space="preserve">150 mg QOD regimen resulted in the best balance of substrate reduction (urine GL-3) and safety in subjects with amenable </w:t>
      </w:r>
      <w:r w:rsidRPr="006D2263">
        <w:rPr>
          <w:i/>
        </w:rPr>
        <w:t>GLA</w:t>
      </w:r>
      <w:r>
        <w:t xml:space="preserve"> </w:t>
      </w:r>
      <w:r w:rsidRPr="009C66C5">
        <w:t xml:space="preserve">mutations, compared </w:t>
      </w:r>
      <w:r>
        <w:t>to</w:t>
      </w:r>
      <w:r w:rsidRPr="009C66C5">
        <w:t xml:space="preserve"> the other doses and regimens studied. Treatment with 150 mg QOD also resulted in decreases in kid</w:t>
      </w:r>
      <w:r>
        <w:t xml:space="preserve">ney interstitial capillary GL-3 </w:t>
      </w:r>
      <w:r w:rsidRPr="009C66C5">
        <w:t xml:space="preserve">and was associated with </w:t>
      </w:r>
      <w:r w:rsidRPr="004E72B4">
        <w:t>long-term stability of renal function</w:t>
      </w:r>
      <w:r w:rsidR="00CD308A">
        <w:t>.</w:t>
      </w:r>
    </w:p>
    <w:p w:rsidR="00CD308A" w:rsidRDefault="00263EDE" w:rsidP="00263EDE">
      <w:r w:rsidRPr="004E72B4">
        <w:lastRenderedPageBreak/>
        <w:t xml:space="preserve">In </w:t>
      </w:r>
      <w:r w:rsidR="00063D35">
        <w:t>S</w:t>
      </w:r>
      <w:r w:rsidR="00063D35" w:rsidRPr="004E72B4">
        <w:t xml:space="preserve">tudy </w:t>
      </w:r>
      <w:r w:rsidRPr="004E72B4">
        <w:t>FAB-CL-205, when subjects were switched from 150 mg QOD to higher, less-frequent doses (</w:t>
      </w:r>
      <w:r w:rsidR="00063D35">
        <w:t>that is,</w:t>
      </w:r>
      <w:r w:rsidRPr="004E72B4">
        <w:t xml:space="preserve"> 250/500 mg 3 days on/4 days off), no further increases in leucocyte α-Gal A activity or reductions in</w:t>
      </w:r>
      <w:r w:rsidRPr="009C66C5">
        <w:t xml:space="preserve"> urine GL-3 were observed. The sponsor commented that migalastat 150 mg QOD maintained migalastat plasma concentrations in a more consistent exposure range compared </w:t>
      </w:r>
      <w:r>
        <w:t>to</w:t>
      </w:r>
      <w:r w:rsidRPr="009C66C5">
        <w:t xml:space="preserve"> higher peaks and longer valleys with the migalastat 250/500 mg 3 days on/4 days off regimens. Additionally, a higher rate of treatment-related AEs was observed at the 250 mg and 500 mg doses compared </w:t>
      </w:r>
      <w:r>
        <w:t>to</w:t>
      </w:r>
      <w:r w:rsidRPr="009C66C5">
        <w:t xml:space="preserve"> the 150 mg dose. Consequently, the sponsor consider</w:t>
      </w:r>
      <w:r>
        <w:t>ed</w:t>
      </w:r>
      <w:r w:rsidRPr="009C66C5">
        <w:t xml:space="preserve"> that the migalastat 150 mg QOD regimen provide</w:t>
      </w:r>
      <w:r>
        <w:t>d</w:t>
      </w:r>
      <w:r w:rsidRPr="009C66C5">
        <w:t xml:space="preserve"> more regular and consistent ch</w:t>
      </w:r>
      <w:r>
        <w:t xml:space="preserve">aperoning of enzyme to lysosome </w:t>
      </w:r>
      <w:r w:rsidRPr="009C66C5">
        <w:t>more clos</w:t>
      </w:r>
      <w:r>
        <w:t>ely mimicking natural protein trafficking than the higher dose, less frequently administered regimens</w:t>
      </w:r>
      <w:r w:rsidR="00CD308A">
        <w:t>.</w:t>
      </w:r>
    </w:p>
    <w:p w:rsidR="00CD308A" w:rsidRDefault="00263EDE" w:rsidP="00263EDE">
      <w:r w:rsidRPr="009C66C5">
        <w:t xml:space="preserve">The sponsor concluded that, based on the collective nonclinical, Phase I and Phase </w:t>
      </w:r>
      <w:r w:rsidR="00063D35">
        <w:t>II</w:t>
      </w:r>
      <w:r w:rsidRPr="009C66C5">
        <w:t xml:space="preserve"> data, migalastat 150 mg QOD was the optimal dose and regimen for the Phase </w:t>
      </w:r>
      <w:r w:rsidR="00063D35">
        <w:t>III</w:t>
      </w:r>
      <w:r w:rsidRPr="009C66C5">
        <w:t xml:space="preserve"> studies for the treatment of Fabry disease in patients with amenable GLA mutations</w:t>
      </w:r>
      <w:r w:rsidR="00CD308A">
        <w:t>.</w:t>
      </w:r>
    </w:p>
    <w:p w:rsidR="00CD308A" w:rsidRDefault="00263EDE" w:rsidP="00263EDE">
      <w:pPr>
        <w:pStyle w:val="Heading4"/>
      </w:pPr>
      <w:bookmarkStart w:id="85" w:name="_Toc474352271"/>
      <w:r>
        <w:t>Evaluator’s conclusions on dose finding for the pivotal studies</w:t>
      </w:r>
      <w:bookmarkEnd w:id="85"/>
    </w:p>
    <w:p w:rsidR="00CD308A" w:rsidRDefault="00263EDE" w:rsidP="00263EDE">
      <w:r w:rsidRPr="00932142">
        <w:t xml:space="preserve">The rationale for the dose selection in the pivotal Phase </w:t>
      </w:r>
      <w:r w:rsidR="00063D35">
        <w:t>III</w:t>
      </w:r>
      <w:r w:rsidRPr="00932142">
        <w:t xml:space="preserve"> studies is acceptable</w:t>
      </w:r>
      <w:r w:rsidR="00CD308A">
        <w:t>.</w:t>
      </w:r>
    </w:p>
    <w:p w:rsidR="008E7846" w:rsidRPr="00254787" w:rsidRDefault="008E7846" w:rsidP="008E7846">
      <w:pPr>
        <w:pStyle w:val="Heading3"/>
      </w:pPr>
      <w:bookmarkStart w:id="86" w:name="_Toc163441372"/>
      <w:bookmarkStart w:id="87" w:name="_Toc196046485"/>
      <w:bookmarkStart w:id="88" w:name="_Toc247691521"/>
      <w:bookmarkStart w:id="89" w:name="_Toc314842504"/>
      <w:bookmarkStart w:id="90" w:name="_Toc524949263"/>
      <w:r w:rsidRPr="00254787">
        <w:t>Efficacy</w:t>
      </w:r>
      <w:bookmarkEnd w:id="86"/>
      <w:bookmarkEnd w:id="87"/>
      <w:bookmarkEnd w:id="88"/>
      <w:bookmarkEnd w:id="89"/>
      <w:bookmarkEnd w:id="90"/>
    </w:p>
    <w:p w:rsidR="00605AD4" w:rsidRDefault="00605AD4" w:rsidP="00605AD4">
      <w:pPr>
        <w:pStyle w:val="Heading4"/>
      </w:pPr>
      <w:bookmarkStart w:id="91" w:name="_Toc184439992"/>
      <w:bookmarkStart w:id="92" w:name="_Toc184440279"/>
      <w:bookmarkStart w:id="93" w:name="_Toc184444657"/>
      <w:bookmarkStart w:id="94" w:name="_Toc196046487"/>
      <w:r>
        <w:t>Studies providing efficacy data</w:t>
      </w:r>
    </w:p>
    <w:p w:rsidR="00CD308A" w:rsidRDefault="00263EDE" w:rsidP="00263EDE">
      <w:pPr>
        <w:tabs>
          <w:tab w:val="left" w:pos="284"/>
        </w:tabs>
      </w:pPr>
      <w:r w:rsidRPr="00AF35CF">
        <w:t>The</w:t>
      </w:r>
      <w:r>
        <w:t xml:space="preserve"> submission included two </w:t>
      </w:r>
      <w:r w:rsidRPr="00AF35CF">
        <w:t xml:space="preserve">Phase </w:t>
      </w:r>
      <w:r w:rsidR="00DF6945">
        <w:t>III</w:t>
      </w:r>
      <w:r w:rsidRPr="00AF35CF">
        <w:t xml:space="preserve"> studies</w:t>
      </w:r>
      <w:r>
        <w:t>, which the sponsor identified as the pivotal efficacy and safety studies:</w:t>
      </w:r>
    </w:p>
    <w:p w:rsidR="00CD308A" w:rsidRDefault="00263EDE" w:rsidP="00263EDE">
      <w:pPr>
        <w:pStyle w:val="ListBullet"/>
      </w:pPr>
      <w:r w:rsidRPr="00263EDE">
        <w:t xml:space="preserve">Study AT1001-011 is a Phase </w:t>
      </w:r>
      <w:r w:rsidR="00DF6945">
        <w:t>III</w:t>
      </w:r>
      <w:r w:rsidRPr="00263EDE">
        <w:t>, randomised, double-blind, placebo-controlled clinical trial designed to evaluate the efficacy and safety of migalastat HCl in ERT-naïve male and female patients with amenable GLA mutations. The total duration of the study was 24 months, consisting of a 6 months placebo-controlled period followed by an 18 months open-label, single-group treatment period</w:t>
      </w:r>
      <w:r w:rsidR="00CD308A">
        <w:t>.</w:t>
      </w:r>
    </w:p>
    <w:p w:rsidR="00CD308A" w:rsidRDefault="00263EDE" w:rsidP="00263EDE">
      <w:pPr>
        <w:pStyle w:val="ListBullet"/>
      </w:pPr>
      <w:r w:rsidRPr="00263EDE">
        <w:t xml:space="preserve">Study AT1001-012 is a Phase </w:t>
      </w:r>
      <w:r w:rsidR="00DF6945">
        <w:t>III</w:t>
      </w:r>
      <w:r w:rsidRPr="00263EDE">
        <w:t>, randomised, open-label active-controlled trial to evaluate the efficacy and safety of migalastat HCl compared to ERT in ERT-experienced male and female patients with amenable GLA mutations. The total duration of the study was 30 months, consisting of an 18 month open-label, active-controlled treatment period followed by a 12-month open-label, single-group treatment period</w:t>
      </w:r>
      <w:r w:rsidR="00CD308A">
        <w:t>.</w:t>
      </w:r>
    </w:p>
    <w:p w:rsidR="00CD308A" w:rsidRDefault="00263EDE" w:rsidP="00263EDE">
      <w:r w:rsidRPr="002C2142">
        <w:t xml:space="preserve">In addition to the two main Phase 3 efficacy and safety studies, the submission also included the protocols from two, Phase </w:t>
      </w:r>
      <w:r w:rsidR="00DF6945">
        <w:t>III</w:t>
      </w:r>
      <w:r w:rsidRPr="002C2142">
        <w:t xml:space="preserve">, open-label, long-term extension </w:t>
      </w:r>
      <w:r w:rsidR="00DF6945">
        <w:t>S</w:t>
      </w:r>
      <w:r w:rsidR="00DF6945" w:rsidRPr="002C2142">
        <w:t xml:space="preserve">tudies </w:t>
      </w:r>
      <w:r w:rsidRPr="002C2142">
        <w:t>AT1001-041</w:t>
      </w:r>
      <w:r w:rsidR="00DF6945">
        <w:t>, and</w:t>
      </w:r>
      <w:r w:rsidRPr="002C2142">
        <w:t xml:space="preserve">AT1001-042 stated by the sponsor to have been </w:t>
      </w:r>
      <w:r w:rsidR="00DF6945">
        <w:t>‘</w:t>
      </w:r>
      <w:r w:rsidRPr="002C2142">
        <w:t>provided for reference</w:t>
      </w:r>
      <w:r w:rsidR="00DF6945">
        <w:t>’</w:t>
      </w:r>
      <w:r w:rsidRPr="002C2142">
        <w:t>. The Clinical Study Reports (CSRs) for the two, open-label extension studies were not included in the submission. Patients completing either of the two pivotal Phase</w:t>
      </w:r>
      <w:r w:rsidR="00DF6945">
        <w:t> III</w:t>
      </w:r>
      <w:r w:rsidRPr="002C2142">
        <w:t xml:space="preserve"> studies were eligible to enrol in the two open-label extension studies. A total of 115 patients received migalastat in the two, pivotal Phase </w:t>
      </w:r>
      <w:r w:rsidR="00DF6945">
        <w:t>III</w:t>
      </w:r>
      <w:r w:rsidRPr="002C2142">
        <w:t xml:space="preserve"> studies, and 82 on-going patients continue to receive migalastat as their only treatment for Fabry disease in the Phase </w:t>
      </w:r>
      <w:r w:rsidR="00DF6945">
        <w:t>III</w:t>
      </w:r>
      <w:r w:rsidRPr="002C2142">
        <w:t xml:space="preserve"> long-term extension studies. Long-term efficacy data from </w:t>
      </w:r>
      <w:r w:rsidR="00DF6945">
        <w:t>S</w:t>
      </w:r>
      <w:r w:rsidR="00DF6945" w:rsidRPr="002C2142">
        <w:t xml:space="preserve">tudy </w:t>
      </w:r>
      <w:r w:rsidRPr="002C2142">
        <w:t xml:space="preserve">AT1001-041 relating to changes in renal and cardiac function in patients from </w:t>
      </w:r>
      <w:r w:rsidR="00DF6945">
        <w:t>S</w:t>
      </w:r>
      <w:r w:rsidRPr="002C2142">
        <w:t xml:space="preserve">tudy AT1001-011 continuing treatment with migalastat were provided in the submission. In addition, long-term safety data were provided on 85 patients in </w:t>
      </w:r>
      <w:r w:rsidR="00DF6945">
        <w:t>S</w:t>
      </w:r>
      <w:r w:rsidR="00DF6945" w:rsidRPr="002C2142">
        <w:t xml:space="preserve">tudy </w:t>
      </w:r>
      <w:r w:rsidRPr="002C2142">
        <w:t xml:space="preserve">AT1001-041 continuing treatment with migalastat from the three feeder </w:t>
      </w:r>
      <w:r w:rsidR="00DF6945">
        <w:t>s</w:t>
      </w:r>
      <w:r w:rsidRPr="002C2142">
        <w:t xml:space="preserve">tudies </w:t>
      </w:r>
      <w:r w:rsidR="00DF6945">
        <w:t xml:space="preserve">(Studies </w:t>
      </w:r>
      <w:r w:rsidRPr="002C2142">
        <w:t xml:space="preserve">FAB-CL-205, AT-1001-011, </w:t>
      </w:r>
      <w:r w:rsidR="00DF6945">
        <w:t xml:space="preserve">and </w:t>
      </w:r>
      <w:r w:rsidRPr="002C2142">
        <w:t>AT-1001-012</w:t>
      </w:r>
      <w:r w:rsidR="00DF6945">
        <w:t>)</w:t>
      </w:r>
      <w:r w:rsidRPr="002C2142">
        <w:t xml:space="preserve">. The long-term efficacy and safety data from </w:t>
      </w:r>
      <w:r w:rsidR="00DF6945">
        <w:t>S</w:t>
      </w:r>
      <w:r w:rsidRPr="002C2142">
        <w:t xml:space="preserve">tudy AT1001-041 have been discussed. The sponsor stated that </w:t>
      </w:r>
      <w:r w:rsidR="00DF6945">
        <w:t>S</w:t>
      </w:r>
      <w:r w:rsidRPr="002C2142">
        <w:t xml:space="preserve">tudy AT1001-041 has now been discontinued for administrative reasons, and patients from this study can continue treatment in the on-going long-term extension </w:t>
      </w:r>
      <w:r w:rsidR="00DF6945">
        <w:t>S</w:t>
      </w:r>
      <w:r w:rsidRPr="002C2142">
        <w:t>tudy AT1001-042</w:t>
      </w:r>
      <w:r w:rsidR="00CD308A">
        <w:t>.</w:t>
      </w:r>
    </w:p>
    <w:p w:rsidR="008E7846" w:rsidRDefault="00605AD4" w:rsidP="00605AD4">
      <w:pPr>
        <w:pStyle w:val="Heading4"/>
      </w:pPr>
      <w:r>
        <w:lastRenderedPageBreak/>
        <w:t>Evaluator’s conclusions on efficacy</w:t>
      </w:r>
    </w:p>
    <w:p w:rsidR="00CD308A" w:rsidRDefault="00E22301" w:rsidP="00E22301">
      <w:r w:rsidRPr="00E22301">
        <w:t xml:space="preserve">The two studies supporting the efficacy of migalastat were undertaken in 107 subjects with Fabry disease and amenable GLA mutations identified by the GLP HEK assay </w:t>
      </w:r>
      <w:r w:rsidR="00DF6945">
        <w:t xml:space="preserve">(Study </w:t>
      </w:r>
      <w:r w:rsidRPr="00E22301">
        <w:t>AT1001-011</w:t>
      </w:r>
      <w:r w:rsidR="00DF6945">
        <w:t xml:space="preserve"> and</w:t>
      </w:r>
      <w:r w:rsidRPr="00E22301">
        <w:t xml:space="preserve"> AT-1001-01</w:t>
      </w:r>
      <w:r w:rsidR="00DF6945">
        <w:t>2)</w:t>
      </w:r>
      <w:r w:rsidRPr="00E22301">
        <w:t xml:space="preserve">. The sponsor states that the two Phase </w:t>
      </w:r>
      <w:r w:rsidR="00DF6945">
        <w:t>III</w:t>
      </w:r>
      <w:r w:rsidRPr="00E22301">
        <w:t xml:space="preserve"> studies complement one another.  Study AT1001-012 was designed to determine the comparability of the effects of migalastat and ERT over 18 months on renal function, cardiac function assessed by ECHO parameters, composite clinical events, and plasma lyso-Gb3 levels. Study AT1001-011 focused on the effect of migalastat on disease substrate burden (kidney interstitial capillary GL-3 and plasma lyso-Gb3 levels) during a 6-month placebo controlled period, and also assessed renal function, cardiac function assessed by ECHO parameters, and gastrointestinal symptoms over the entire 24 months. The sponsor states that the two Phase 3 studies, including the inclusion of male and female Fabry patients, were designed based on multiple interactions with the EMA.</w:t>
      </w:r>
    </w:p>
    <w:p w:rsidR="00E22301" w:rsidRPr="00E22301" w:rsidRDefault="00E22301" w:rsidP="00E22301">
      <w:r w:rsidRPr="00E22301">
        <w:t xml:space="preserve">Medical history and baseline characteristics of subjects in the two studies indicated that a majority of subjects with amenable GLA mutations had Fabry disease involvement in two or more organ systems, consistent with significant disease burden (91%, 97/107). The baseline assessment of disease severity based on organ system involvement in the two studies is summarised below. It is considered that the efficacy data from the two studies can be extrapolated to the general Australian population of patients aged ≥ 16 years with Fabry disease and amenable GLA mutations, based on the GLP HEK assay, </w:t>
      </w:r>
      <w:proofErr w:type="gramStart"/>
      <w:r w:rsidRPr="00E22301">
        <w:t>who</w:t>
      </w:r>
      <w:proofErr w:type="gramEnd"/>
      <w:r w:rsidRPr="00E22301">
        <w:t xml:space="preserve"> might be offered treatment with migalastat if the medication is approved.</w:t>
      </w:r>
    </w:p>
    <w:p w:rsidR="00E22301" w:rsidRPr="001059FF" w:rsidRDefault="00E22301" w:rsidP="00E22301">
      <w:pPr>
        <w:pStyle w:val="TableTitle"/>
      </w:pPr>
      <w:bookmarkStart w:id="95" w:name="_Toc461981054"/>
      <w:r w:rsidRPr="001059FF">
        <w:t>Table</w:t>
      </w:r>
      <w:r>
        <w:t xml:space="preserve"> 5</w:t>
      </w:r>
      <w:r w:rsidRPr="001059FF">
        <w:t xml:space="preserve">: Baseline assessment of disease severity in the patients with amenable mutations in the two Phase </w:t>
      </w:r>
      <w:r w:rsidR="00DF6945">
        <w:t>III</w:t>
      </w:r>
      <w:r w:rsidRPr="001059FF">
        <w:t xml:space="preserve"> studies, percentage of patients with symptoms by organ class</w:t>
      </w:r>
      <w:bookmarkEnd w:id="95"/>
    </w:p>
    <w:tbl>
      <w:tblPr>
        <w:tblStyle w:val="TableTGAblue"/>
        <w:tblW w:w="7479" w:type="dxa"/>
        <w:tblLayout w:type="fixed"/>
        <w:tblLook w:val="04A0" w:firstRow="1" w:lastRow="0" w:firstColumn="1" w:lastColumn="0" w:noHBand="0" w:noVBand="1"/>
      </w:tblPr>
      <w:tblGrid>
        <w:gridCol w:w="1101"/>
        <w:gridCol w:w="1275"/>
        <w:gridCol w:w="1560"/>
        <w:gridCol w:w="1842"/>
        <w:gridCol w:w="1701"/>
      </w:tblGrid>
      <w:tr w:rsidR="00A549A1" w:rsidRPr="00F5175D" w:rsidTr="00F5175D">
        <w:trPr>
          <w:cnfStyle w:val="100000000000" w:firstRow="1" w:lastRow="0" w:firstColumn="0" w:lastColumn="0" w:oddVBand="0" w:evenVBand="0" w:oddHBand="0" w:evenHBand="0" w:firstRowFirstColumn="0" w:firstRowLastColumn="0" w:lastRowFirstColumn="0" w:lastRowLastColumn="0"/>
        </w:trPr>
        <w:tc>
          <w:tcPr>
            <w:tcW w:w="1101" w:type="dxa"/>
          </w:tcPr>
          <w:p w:rsidR="00A549A1" w:rsidRPr="00F5175D" w:rsidRDefault="00A549A1" w:rsidP="00F5175D">
            <w:pPr>
              <w:spacing w:before="0" w:after="40"/>
              <w:ind w:left="0"/>
              <w:rPr>
                <w:rFonts w:asciiTheme="minorHAnsi" w:hAnsiTheme="minorHAnsi"/>
                <w:sz w:val="18"/>
                <w:szCs w:val="18"/>
              </w:rPr>
            </w:pPr>
            <w:r w:rsidRPr="00F5175D">
              <w:rPr>
                <w:rFonts w:asciiTheme="minorHAnsi" w:hAnsiTheme="minorHAnsi"/>
                <w:sz w:val="18"/>
                <w:szCs w:val="18"/>
              </w:rPr>
              <w:t>Gender</w:t>
            </w:r>
          </w:p>
        </w:tc>
        <w:tc>
          <w:tcPr>
            <w:tcW w:w="1275" w:type="dxa"/>
          </w:tcPr>
          <w:p w:rsidR="00A549A1" w:rsidRPr="00F5175D" w:rsidRDefault="00A549A1" w:rsidP="00F76012">
            <w:pPr>
              <w:spacing w:before="0" w:after="40"/>
              <w:rPr>
                <w:rFonts w:asciiTheme="minorHAnsi" w:hAnsiTheme="minorHAnsi"/>
                <w:sz w:val="18"/>
                <w:szCs w:val="18"/>
              </w:rPr>
            </w:pPr>
            <w:r w:rsidRPr="00F5175D">
              <w:rPr>
                <w:rFonts w:asciiTheme="minorHAnsi" w:hAnsiTheme="minorHAnsi"/>
                <w:sz w:val="18"/>
                <w:szCs w:val="18"/>
              </w:rPr>
              <w:t xml:space="preserve">≥ 2 organ systems </w:t>
            </w:r>
          </w:p>
        </w:tc>
        <w:tc>
          <w:tcPr>
            <w:tcW w:w="1560" w:type="dxa"/>
          </w:tcPr>
          <w:p w:rsidR="00A549A1" w:rsidRPr="00F5175D" w:rsidRDefault="00A549A1" w:rsidP="00F76012">
            <w:pPr>
              <w:spacing w:before="0" w:after="40"/>
              <w:rPr>
                <w:rFonts w:asciiTheme="minorHAnsi" w:hAnsiTheme="minorHAnsi"/>
                <w:sz w:val="18"/>
                <w:szCs w:val="18"/>
              </w:rPr>
            </w:pPr>
            <w:r w:rsidRPr="00F5175D">
              <w:rPr>
                <w:rFonts w:asciiTheme="minorHAnsi" w:hAnsiTheme="minorHAnsi"/>
                <w:sz w:val="18"/>
                <w:szCs w:val="18"/>
              </w:rPr>
              <w:t xml:space="preserve">Angio-keratoma or corneal whorling  </w:t>
            </w:r>
            <w:r w:rsidRPr="00F5175D">
              <w:rPr>
                <w:rFonts w:asciiTheme="minorHAnsi" w:hAnsiTheme="minorHAnsi"/>
                <w:sz w:val="18"/>
                <w:szCs w:val="18"/>
                <w:vertAlign w:val="superscript"/>
              </w:rPr>
              <w:t>a</w:t>
            </w:r>
          </w:p>
        </w:tc>
        <w:tc>
          <w:tcPr>
            <w:tcW w:w="1842" w:type="dxa"/>
          </w:tcPr>
          <w:p w:rsidR="00A549A1" w:rsidRPr="00F5175D" w:rsidRDefault="00A549A1" w:rsidP="00F5175D">
            <w:pPr>
              <w:spacing w:before="0" w:after="40"/>
              <w:rPr>
                <w:rFonts w:asciiTheme="minorHAnsi" w:hAnsiTheme="minorHAnsi"/>
                <w:sz w:val="18"/>
                <w:szCs w:val="18"/>
              </w:rPr>
            </w:pPr>
            <w:r w:rsidRPr="00F5175D">
              <w:rPr>
                <w:rFonts w:asciiTheme="minorHAnsi" w:hAnsiTheme="minorHAnsi"/>
                <w:sz w:val="18"/>
                <w:szCs w:val="18"/>
              </w:rPr>
              <w:t xml:space="preserve">Cardiac involvement </w:t>
            </w:r>
            <w:r w:rsidRPr="00F5175D">
              <w:rPr>
                <w:rFonts w:asciiTheme="minorHAnsi" w:hAnsiTheme="minorHAnsi"/>
                <w:sz w:val="18"/>
                <w:szCs w:val="18"/>
                <w:vertAlign w:val="superscript"/>
              </w:rPr>
              <w:t>b</w:t>
            </w:r>
          </w:p>
        </w:tc>
        <w:tc>
          <w:tcPr>
            <w:tcW w:w="1701" w:type="dxa"/>
          </w:tcPr>
          <w:p w:rsidR="00A549A1" w:rsidRPr="00F5175D" w:rsidRDefault="00A549A1" w:rsidP="00F76012">
            <w:pPr>
              <w:spacing w:before="0" w:after="40"/>
              <w:rPr>
                <w:rFonts w:asciiTheme="minorHAnsi" w:hAnsiTheme="minorHAnsi"/>
                <w:sz w:val="18"/>
                <w:szCs w:val="18"/>
              </w:rPr>
            </w:pPr>
            <w:r w:rsidRPr="00F5175D">
              <w:rPr>
                <w:rFonts w:asciiTheme="minorHAnsi" w:hAnsiTheme="minorHAnsi"/>
                <w:sz w:val="18"/>
                <w:szCs w:val="18"/>
              </w:rPr>
              <w:t xml:space="preserve">CNS involvement </w:t>
            </w:r>
            <w:r w:rsidRPr="00F5175D">
              <w:rPr>
                <w:rFonts w:asciiTheme="minorHAnsi" w:hAnsiTheme="minorHAnsi"/>
                <w:sz w:val="18"/>
                <w:szCs w:val="18"/>
                <w:vertAlign w:val="superscript"/>
              </w:rPr>
              <w:t>c</w:t>
            </w:r>
          </w:p>
        </w:tc>
      </w:tr>
      <w:tr w:rsidR="00A549A1" w:rsidRPr="00F5175D" w:rsidTr="00F5175D">
        <w:tc>
          <w:tcPr>
            <w:tcW w:w="2376" w:type="dxa"/>
            <w:gridSpan w:val="2"/>
          </w:tcPr>
          <w:p w:rsidR="00A549A1" w:rsidRPr="00F5175D" w:rsidRDefault="00A549A1" w:rsidP="00F5175D">
            <w:pPr>
              <w:spacing w:before="0" w:after="40"/>
              <w:ind w:left="0"/>
              <w:rPr>
                <w:rFonts w:asciiTheme="minorHAnsi" w:hAnsiTheme="minorHAnsi"/>
                <w:b/>
                <w:sz w:val="18"/>
                <w:szCs w:val="18"/>
              </w:rPr>
            </w:pPr>
            <w:r w:rsidRPr="00F5175D">
              <w:rPr>
                <w:rFonts w:asciiTheme="minorHAnsi" w:hAnsiTheme="minorHAnsi"/>
                <w:b/>
                <w:sz w:val="18"/>
                <w:szCs w:val="18"/>
              </w:rPr>
              <w:t>Study AT1001-012 (n=57)</w:t>
            </w:r>
          </w:p>
        </w:tc>
        <w:tc>
          <w:tcPr>
            <w:tcW w:w="1560" w:type="dxa"/>
          </w:tcPr>
          <w:p w:rsidR="00A549A1" w:rsidRPr="00F5175D" w:rsidRDefault="00A549A1" w:rsidP="00F76012">
            <w:pPr>
              <w:spacing w:before="0" w:after="40"/>
              <w:rPr>
                <w:rFonts w:asciiTheme="minorHAnsi" w:hAnsiTheme="minorHAnsi"/>
                <w:b/>
                <w:sz w:val="18"/>
                <w:szCs w:val="18"/>
              </w:rPr>
            </w:pPr>
          </w:p>
        </w:tc>
        <w:tc>
          <w:tcPr>
            <w:tcW w:w="1842" w:type="dxa"/>
          </w:tcPr>
          <w:p w:rsidR="00A549A1" w:rsidRPr="00F5175D" w:rsidRDefault="00A549A1" w:rsidP="00F76012">
            <w:pPr>
              <w:spacing w:before="0" w:after="40"/>
              <w:rPr>
                <w:rFonts w:asciiTheme="minorHAnsi" w:hAnsiTheme="minorHAnsi"/>
                <w:b/>
                <w:sz w:val="18"/>
                <w:szCs w:val="18"/>
              </w:rPr>
            </w:pPr>
          </w:p>
        </w:tc>
        <w:tc>
          <w:tcPr>
            <w:tcW w:w="1701" w:type="dxa"/>
          </w:tcPr>
          <w:p w:rsidR="00A549A1" w:rsidRPr="00F5175D" w:rsidRDefault="00A549A1" w:rsidP="00F76012">
            <w:pPr>
              <w:spacing w:before="0" w:after="40"/>
              <w:rPr>
                <w:rFonts w:asciiTheme="minorHAnsi" w:hAnsiTheme="minorHAnsi"/>
                <w:b/>
                <w:sz w:val="18"/>
                <w:szCs w:val="18"/>
              </w:rPr>
            </w:pPr>
          </w:p>
        </w:tc>
      </w:tr>
      <w:tr w:rsidR="00A549A1" w:rsidRPr="00F5175D" w:rsidTr="00F5175D">
        <w:tc>
          <w:tcPr>
            <w:tcW w:w="1101" w:type="dxa"/>
          </w:tcPr>
          <w:p w:rsidR="00A549A1" w:rsidRPr="00F5175D" w:rsidRDefault="00A549A1" w:rsidP="00F5175D">
            <w:pPr>
              <w:spacing w:before="0" w:afterLines="40" w:after="96"/>
              <w:ind w:left="0"/>
              <w:rPr>
                <w:rFonts w:asciiTheme="minorHAnsi" w:hAnsiTheme="minorHAnsi"/>
                <w:sz w:val="18"/>
                <w:szCs w:val="18"/>
              </w:rPr>
            </w:pPr>
            <w:r w:rsidRPr="00F5175D">
              <w:rPr>
                <w:rFonts w:asciiTheme="minorHAnsi" w:hAnsiTheme="minorHAnsi"/>
                <w:sz w:val="18"/>
                <w:szCs w:val="18"/>
              </w:rPr>
              <w:t xml:space="preserve">Males </w:t>
            </w:r>
          </w:p>
        </w:tc>
        <w:tc>
          <w:tcPr>
            <w:tcW w:w="1275"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hAnsiTheme="minorHAnsi"/>
                <w:sz w:val="18"/>
                <w:szCs w:val="18"/>
              </w:rPr>
              <w:t>21/24 (88%)</w:t>
            </w:r>
          </w:p>
        </w:tc>
        <w:tc>
          <w:tcPr>
            <w:tcW w:w="1560"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eastAsiaTheme="minorHAnsi" w:hAnsiTheme="minorHAnsi" w:cs="Verdana"/>
                <w:spacing w:val="-1"/>
                <w:sz w:val="18"/>
                <w:szCs w:val="18"/>
              </w:rPr>
              <w:t>13/24</w:t>
            </w:r>
            <w:r w:rsidRPr="00F5175D">
              <w:rPr>
                <w:rFonts w:asciiTheme="minorHAnsi" w:eastAsiaTheme="minorHAnsi" w:hAnsiTheme="minorHAnsi" w:cs="Verdana"/>
                <w:spacing w:val="21"/>
                <w:sz w:val="18"/>
                <w:szCs w:val="18"/>
              </w:rPr>
              <w:t xml:space="preserve"> </w:t>
            </w:r>
            <w:r w:rsidRPr="00F5175D">
              <w:rPr>
                <w:rFonts w:asciiTheme="minorHAnsi" w:eastAsiaTheme="minorHAnsi" w:hAnsiTheme="minorHAnsi" w:cs="Verdana"/>
                <w:spacing w:val="-1"/>
                <w:sz w:val="18"/>
                <w:szCs w:val="18"/>
              </w:rPr>
              <w:t>(54%)</w:t>
            </w:r>
          </w:p>
        </w:tc>
        <w:tc>
          <w:tcPr>
            <w:tcW w:w="1842"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eastAsiaTheme="minorHAnsi" w:hAnsiTheme="minorHAnsi" w:cs="Verdana"/>
                <w:spacing w:val="-1"/>
                <w:sz w:val="18"/>
                <w:szCs w:val="18"/>
              </w:rPr>
              <w:t>16/24</w:t>
            </w:r>
            <w:r w:rsidRPr="00F5175D">
              <w:rPr>
                <w:rFonts w:asciiTheme="minorHAnsi" w:eastAsiaTheme="minorHAnsi" w:hAnsiTheme="minorHAnsi" w:cs="Verdana"/>
                <w:spacing w:val="21"/>
                <w:sz w:val="18"/>
                <w:szCs w:val="18"/>
              </w:rPr>
              <w:t xml:space="preserve"> </w:t>
            </w:r>
            <w:r w:rsidRPr="00F5175D">
              <w:rPr>
                <w:rFonts w:asciiTheme="minorHAnsi" w:eastAsiaTheme="minorHAnsi" w:hAnsiTheme="minorHAnsi" w:cs="Verdana"/>
                <w:spacing w:val="-1"/>
                <w:sz w:val="18"/>
                <w:szCs w:val="18"/>
              </w:rPr>
              <w:t>(67%)</w:t>
            </w:r>
          </w:p>
        </w:tc>
        <w:tc>
          <w:tcPr>
            <w:tcW w:w="1701"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eastAsiaTheme="minorHAnsi" w:hAnsiTheme="minorHAnsi" w:cs="Verdana"/>
                <w:spacing w:val="-1"/>
                <w:sz w:val="18"/>
                <w:szCs w:val="18"/>
              </w:rPr>
              <w:t>18/24</w:t>
            </w:r>
            <w:r w:rsidRPr="00F5175D">
              <w:rPr>
                <w:rFonts w:asciiTheme="minorHAnsi" w:eastAsiaTheme="minorHAnsi" w:hAnsiTheme="minorHAnsi" w:cs="Verdana"/>
                <w:spacing w:val="21"/>
                <w:sz w:val="18"/>
                <w:szCs w:val="18"/>
              </w:rPr>
              <w:t xml:space="preserve"> </w:t>
            </w:r>
            <w:r w:rsidRPr="00F5175D">
              <w:rPr>
                <w:rFonts w:asciiTheme="minorHAnsi" w:eastAsiaTheme="minorHAnsi" w:hAnsiTheme="minorHAnsi" w:cs="Verdana"/>
                <w:spacing w:val="-1"/>
                <w:sz w:val="18"/>
                <w:szCs w:val="18"/>
              </w:rPr>
              <w:t>(75%)</w:t>
            </w:r>
          </w:p>
        </w:tc>
      </w:tr>
      <w:tr w:rsidR="00A549A1" w:rsidRPr="00F5175D" w:rsidTr="00F5175D">
        <w:tc>
          <w:tcPr>
            <w:tcW w:w="1101" w:type="dxa"/>
          </w:tcPr>
          <w:p w:rsidR="00A549A1" w:rsidRPr="00F5175D" w:rsidRDefault="00A549A1" w:rsidP="00F5175D">
            <w:pPr>
              <w:spacing w:before="0" w:afterLines="40" w:after="96"/>
              <w:ind w:left="0"/>
              <w:rPr>
                <w:rFonts w:asciiTheme="minorHAnsi" w:hAnsiTheme="minorHAnsi"/>
                <w:sz w:val="18"/>
                <w:szCs w:val="18"/>
              </w:rPr>
            </w:pPr>
            <w:r w:rsidRPr="00F5175D">
              <w:rPr>
                <w:rFonts w:asciiTheme="minorHAnsi" w:hAnsiTheme="minorHAnsi"/>
                <w:sz w:val="18"/>
                <w:szCs w:val="18"/>
              </w:rPr>
              <w:t xml:space="preserve">Females </w:t>
            </w:r>
          </w:p>
        </w:tc>
        <w:tc>
          <w:tcPr>
            <w:tcW w:w="1275"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hAnsiTheme="minorHAnsi"/>
                <w:sz w:val="18"/>
                <w:szCs w:val="18"/>
              </w:rPr>
              <w:t>29/33 (88%)</w:t>
            </w:r>
          </w:p>
        </w:tc>
        <w:tc>
          <w:tcPr>
            <w:tcW w:w="1560"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hAnsiTheme="minorHAnsi"/>
                <w:sz w:val="18"/>
                <w:szCs w:val="18"/>
              </w:rPr>
              <w:t>16/33 (48%)</w:t>
            </w:r>
          </w:p>
        </w:tc>
        <w:tc>
          <w:tcPr>
            <w:tcW w:w="1842"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hAnsiTheme="minorHAnsi"/>
                <w:sz w:val="18"/>
                <w:szCs w:val="18"/>
              </w:rPr>
              <w:t>25/33 (75%)</w:t>
            </w:r>
          </w:p>
        </w:tc>
        <w:tc>
          <w:tcPr>
            <w:tcW w:w="1701" w:type="dxa"/>
          </w:tcPr>
          <w:p w:rsidR="00A549A1" w:rsidRPr="00F5175D" w:rsidRDefault="00A549A1" w:rsidP="00F76012">
            <w:pPr>
              <w:spacing w:before="0" w:afterLines="40" w:after="96"/>
              <w:rPr>
                <w:rFonts w:asciiTheme="minorHAnsi" w:hAnsiTheme="minorHAnsi"/>
                <w:sz w:val="18"/>
                <w:szCs w:val="18"/>
              </w:rPr>
            </w:pPr>
            <w:r w:rsidRPr="00F5175D">
              <w:rPr>
                <w:rFonts w:asciiTheme="minorHAnsi" w:hAnsiTheme="minorHAnsi"/>
                <w:sz w:val="18"/>
                <w:szCs w:val="18"/>
              </w:rPr>
              <w:t>12/33 (36%)</w:t>
            </w:r>
          </w:p>
        </w:tc>
      </w:tr>
      <w:tr w:rsidR="00A549A1" w:rsidRPr="00F5175D" w:rsidTr="00F5175D">
        <w:tc>
          <w:tcPr>
            <w:tcW w:w="2376" w:type="dxa"/>
            <w:gridSpan w:val="2"/>
          </w:tcPr>
          <w:p w:rsidR="00A549A1" w:rsidRPr="00F5175D" w:rsidRDefault="00A549A1" w:rsidP="00F5175D">
            <w:pPr>
              <w:autoSpaceDE w:val="0"/>
              <w:autoSpaceDN w:val="0"/>
              <w:adjustRightInd w:val="0"/>
              <w:spacing w:before="0" w:afterLines="40" w:after="96" w:line="240" w:lineRule="auto"/>
              <w:ind w:left="0"/>
              <w:rPr>
                <w:rFonts w:asciiTheme="minorHAnsi" w:eastAsiaTheme="minorHAnsi" w:hAnsiTheme="minorHAnsi" w:cs="Verdana"/>
                <w:b/>
                <w:color w:val="000000"/>
                <w:sz w:val="18"/>
                <w:szCs w:val="18"/>
              </w:rPr>
            </w:pPr>
            <w:r w:rsidRPr="00F5175D">
              <w:rPr>
                <w:rFonts w:asciiTheme="minorHAnsi" w:eastAsiaTheme="minorHAnsi" w:hAnsiTheme="minorHAnsi" w:cs="Verdana"/>
                <w:b/>
                <w:color w:val="000000"/>
                <w:sz w:val="18"/>
                <w:szCs w:val="18"/>
              </w:rPr>
              <w:t xml:space="preserve">Study AT1001-012 (n=50) </w:t>
            </w:r>
          </w:p>
        </w:tc>
        <w:tc>
          <w:tcPr>
            <w:tcW w:w="1560"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b/>
                <w:color w:val="000000"/>
                <w:sz w:val="18"/>
                <w:szCs w:val="18"/>
              </w:rPr>
            </w:pPr>
          </w:p>
        </w:tc>
        <w:tc>
          <w:tcPr>
            <w:tcW w:w="1842"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b/>
                <w:color w:val="000000"/>
                <w:sz w:val="18"/>
                <w:szCs w:val="18"/>
              </w:rPr>
            </w:pPr>
          </w:p>
        </w:tc>
        <w:tc>
          <w:tcPr>
            <w:tcW w:w="1701"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b/>
                <w:color w:val="000000"/>
                <w:sz w:val="18"/>
                <w:szCs w:val="18"/>
              </w:rPr>
            </w:pPr>
          </w:p>
        </w:tc>
      </w:tr>
      <w:tr w:rsidR="00A549A1" w:rsidRPr="00F5175D" w:rsidTr="00F5175D">
        <w:tc>
          <w:tcPr>
            <w:tcW w:w="1101" w:type="dxa"/>
          </w:tcPr>
          <w:p w:rsidR="00A549A1" w:rsidRPr="00F5175D" w:rsidRDefault="00A549A1" w:rsidP="00F5175D">
            <w:pPr>
              <w:spacing w:before="0" w:afterLines="40" w:after="96"/>
              <w:ind w:left="0"/>
              <w:rPr>
                <w:rFonts w:asciiTheme="minorHAnsi" w:hAnsiTheme="minorHAnsi"/>
                <w:sz w:val="18"/>
                <w:szCs w:val="18"/>
              </w:rPr>
            </w:pPr>
            <w:r w:rsidRPr="00F5175D">
              <w:rPr>
                <w:rFonts w:asciiTheme="minorHAnsi" w:hAnsiTheme="minorHAnsi"/>
                <w:sz w:val="18"/>
                <w:szCs w:val="18"/>
              </w:rPr>
              <w:t>Males</w:t>
            </w:r>
          </w:p>
        </w:tc>
        <w:tc>
          <w:tcPr>
            <w:tcW w:w="1275"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18/18 (100%)</w:t>
            </w:r>
          </w:p>
        </w:tc>
        <w:tc>
          <w:tcPr>
            <w:tcW w:w="1560"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12/18 (67%)</w:t>
            </w:r>
          </w:p>
        </w:tc>
        <w:tc>
          <w:tcPr>
            <w:tcW w:w="1842"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15/18 (83%)</w:t>
            </w:r>
          </w:p>
        </w:tc>
        <w:tc>
          <w:tcPr>
            <w:tcW w:w="1701"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11/18 (61%)</w:t>
            </w:r>
          </w:p>
        </w:tc>
      </w:tr>
      <w:tr w:rsidR="00A549A1" w:rsidRPr="00F5175D" w:rsidTr="00F5175D">
        <w:tc>
          <w:tcPr>
            <w:tcW w:w="1101" w:type="dxa"/>
          </w:tcPr>
          <w:p w:rsidR="00A549A1" w:rsidRPr="00F5175D" w:rsidRDefault="00A549A1" w:rsidP="00F5175D">
            <w:pPr>
              <w:spacing w:before="0" w:afterLines="40" w:after="96"/>
              <w:ind w:left="0"/>
              <w:rPr>
                <w:rFonts w:asciiTheme="minorHAnsi" w:hAnsiTheme="minorHAnsi"/>
                <w:sz w:val="18"/>
                <w:szCs w:val="18"/>
              </w:rPr>
            </w:pPr>
            <w:r w:rsidRPr="00F5175D">
              <w:rPr>
                <w:rFonts w:asciiTheme="minorHAnsi" w:hAnsiTheme="minorHAnsi"/>
                <w:sz w:val="18"/>
                <w:szCs w:val="18"/>
              </w:rPr>
              <w:t>Females</w:t>
            </w:r>
          </w:p>
        </w:tc>
        <w:tc>
          <w:tcPr>
            <w:tcW w:w="1275"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29/32 (91%)</w:t>
            </w:r>
          </w:p>
        </w:tc>
        <w:tc>
          <w:tcPr>
            <w:tcW w:w="1560"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13/32 (41%)</w:t>
            </w:r>
          </w:p>
        </w:tc>
        <w:tc>
          <w:tcPr>
            <w:tcW w:w="1842"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11/32 (35%)</w:t>
            </w:r>
          </w:p>
        </w:tc>
        <w:tc>
          <w:tcPr>
            <w:tcW w:w="1701" w:type="dxa"/>
          </w:tcPr>
          <w:p w:rsidR="00A549A1" w:rsidRPr="00F5175D" w:rsidRDefault="00A549A1" w:rsidP="00F76012">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16/32 (50%)</w:t>
            </w:r>
          </w:p>
        </w:tc>
      </w:tr>
    </w:tbl>
    <w:p w:rsidR="00A549A1" w:rsidRDefault="00A549A1" w:rsidP="00DF6945">
      <w:pPr>
        <w:pStyle w:val="TableDescription"/>
      </w:pPr>
    </w:p>
    <w:tbl>
      <w:tblPr>
        <w:tblStyle w:val="TableTGAblue"/>
        <w:tblW w:w="6062" w:type="dxa"/>
        <w:tblLayout w:type="fixed"/>
        <w:tblLook w:val="04A0" w:firstRow="1" w:lastRow="0" w:firstColumn="1" w:lastColumn="0" w:noHBand="0" w:noVBand="1"/>
      </w:tblPr>
      <w:tblGrid>
        <w:gridCol w:w="1242"/>
        <w:gridCol w:w="1560"/>
        <w:gridCol w:w="1842"/>
        <w:gridCol w:w="1418"/>
      </w:tblGrid>
      <w:tr w:rsidR="00A549A1" w:rsidRPr="00F5175D" w:rsidTr="00F5175D">
        <w:trPr>
          <w:cnfStyle w:val="100000000000" w:firstRow="1" w:lastRow="0" w:firstColumn="0" w:lastColumn="0" w:oddVBand="0" w:evenVBand="0" w:oddHBand="0" w:evenHBand="0" w:firstRowFirstColumn="0" w:firstRowLastColumn="0" w:lastRowFirstColumn="0" w:lastRowLastColumn="0"/>
        </w:trPr>
        <w:tc>
          <w:tcPr>
            <w:tcW w:w="1242" w:type="dxa"/>
          </w:tcPr>
          <w:p w:rsidR="00A549A1" w:rsidRPr="00F5175D" w:rsidRDefault="00A549A1" w:rsidP="007A4503">
            <w:pPr>
              <w:spacing w:before="0" w:after="40"/>
              <w:rPr>
                <w:rFonts w:asciiTheme="minorHAnsi" w:hAnsiTheme="minorHAnsi"/>
                <w:sz w:val="18"/>
                <w:szCs w:val="18"/>
              </w:rPr>
            </w:pPr>
            <w:r w:rsidRPr="00F5175D">
              <w:rPr>
                <w:rFonts w:asciiTheme="minorHAnsi" w:hAnsiTheme="minorHAnsi"/>
                <w:sz w:val="18"/>
                <w:szCs w:val="18"/>
              </w:rPr>
              <w:t>Gender</w:t>
            </w:r>
          </w:p>
        </w:tc>
        <w:tc>
          <w:tcPr>
            <w:tcW w:w="1560" w:type="dxa"/>
          </w:tcPr>
          <w:p w:rsidR="00A549A1" w:rsidRPr="00F5175D" w:rsidRDefault="00A549A1" w:rsidP="00F5175D">
            <w:pPr>
              <w:spacing w:before="0" w:after="40"/>
              <w:rPr>
                <w:rFonts w:asciiTheme="minorHAnsi" w:hAnsiTheme="minorHAnsi"/>
                <w:sz w:val="18"/>
                <w:szCs w:val="18"/>
              </w:rPr>
            </w:pPr>
            <w:r w:rsidRPr="00F5175D">
              <w:rPr>
                <w:rFonts w:asciiTheme="minorHAnsi" w:hAnsiTheme="minorHAnsi"/>
                <w:sz w:val="18"/>
                <w:szCs w:val="18"/>
              </w:rPr>
              <w:t xml:space="preserve">Neuropathic pain </w:t>
            </w:r>
            <w:r w:rsidRPr="00F5175D">
              <w:rPr>
                <w:rFonts w:asciiTheme="minorHAnsi" w:hAnsiTheme="minorHAnsi"/>
                <w:sz w:val="18"/>
                <w:szCs w:val="18"/>
                <w:vertAlign w:val="superscript"/>
              </w:rPr>
              <w:t xml:space="preserve">a </w:t>
            </w:r>
          </w:p>
        </w:tc>
        <w:tc>
          <w:tcPr>
            <w:tcW w:w="1842" w:type="dxa"/>
          </w:tcPr>
          <w:p w:rsidR="00A549A1" w:rsidRPr="00F5175D" w:rsidRDefault="00A549A1" w:rsidP="00F5175D">
            <w:pPr>
              <w:spacing w:before="0" w:after="40"/>
              <w:rPr>
                <w:rFonts w:asciiTheme="minorHAnsi" w:hAnsiTheme="minorHAnsi"/>
                <w:sz w:val="18"/>
                <w:szCs w:val="18"/>
              </w:rPr>
            </w:pPr>
            <w:r w:rsidRPr="00F5175D">
              <w:rPr>
                <w:rFonts w:asciiTheme="minorHAnsi" w:hAnsiTheme="minorHAnsi"/>
                <w:sz w:val="18"/>
                <w:szCs w:val="18"/>
              </w:rPr>
              <w:t xml:space="preserve">Renal </w:t>
            </w:r>
            <w:r w:rsidR="00F5175D" w:rsidRPr="00F5175D">
              <w:rPr>
                <w:rFonts w:asciiTheme="minorHAnsi" w:hAnsiTheme="minorHAnsi"/>
                <w:sz w:val="18"/>
                <w:szCs w:val="18"/>
              </w:rPr>
              <w:t>involvement</w:t>
            </w:r>
            <w:r w:rsidRPr="00F5175D">
              <w:rPr>
                <w:rFonts w:asciiTheme="minorHAnsi" w:hAnsiTheme="minorHAnsi"/>
                <w:sz w:val="18"/>
                <w:szCs w:val="18"/>
              </w:rPr>
              <w:t xml:space="preserve"> </w:t>
            </w:r>
            <w:r w:rsidRPr="00F5175D">
              <w:rPr>
                <w:rFonts w:asciiTheme="minorHAnsi" w:hAnsiTheme="minorHAnsi"/>
                <w:sz w:val="18"/>
                <w:szCs w:val="18"/>
                <w:vertAlign w:val="superscript"/>
              </w:rPr>
              <w:t>d</w:t>
            </w:r>
          </w:p>
        </w:tc>
        <w:tc>
          <w:tcPr>
            <w:tcW w:w="1418" w:type="dxa"/>
          </w:tcPr>
          <w:p w:rsidR="00A549A1" w:rsidRPr="00F5175D" w:rsidRDefault="00A549A1" w:rsidP="00F5175D">
            <w:pPr>
              <w:spacing w:before="0" w:after="40"/>
              <w:rPr>
                <w:rFonts w:asciiTheme="minorHAnsi" w:hAnsiTheme="minorHAnsi"/>
                <w:sz w:val="18"/>
                <w:szCs w:val="18"/>
              </w:rPr>
            </w:pPr>
            <w:r w:rsidRPr="00F5175D">
              <w:rPr>
                <w:rFonts w:asciiTheme="minorHAnsi" w:hAnsiTheme="minorHAnsi"/>
                <w:sz w:val="18"/>
                <w:szCs w:val="18"/>
              </w:rPr>
              <w:t xml:space="preserve">Gastro-intestinal </w:t>
            </w:r>
            <w:r w:rsidRPr="00F5175D">
              <w:rPr>
                <w:rFonts w:asciiTheme="minorHAnsi" w:hAnsiTheme="minorHAnsi"/>
                <w:sz w:val="18"/>
                <w:szCs w:val="18"/>
                <w:vertAlign w:val="superscript"/>
              </w:rPr>
              <w:t>a</w:t>
            </w:r>
          </w:p>
        </w:tc>
      </w:tr>
      <w:tr w:rsidR="00A549A1" w:rsidRPr="00F5175D" w:rsidTr="00F5175D">
        <w:tc>
          <w:tcPr>
            <w:tcW w:w="2802" w:type="dxa"/>
            <w:gridSpan w:val="2"/>
          </w:tcPr>
          <w:p w:rsidR="00A549A1" w:rsidRPr="00F5175D" w:rsidRDefault="00A549A1" w:rsidP="007A4503">
            <w:pPr>
              <w:spacing w:before="0" w:after="40"/>
              <w:rPr>
                <w:rFonts w:asciiTheme="minorHAnsi" w:hAnsiTheme="minorHAnsi"/>
                <w:b/>
                <w:sz w:val="18"/>
                <w:szCs w:val="18"/>
              </w:rPr>
            </w:pPr>
            <w:r w:rsidRPr="00F5175D">
              <w:rPr>
                <w:rFonts w:asciiTheme="minorHAnsi" w:hAnsiTheme="minorHAnsi"/>
                <w:b/>
                <w:sz w:val="18"/>
                <w:szCs w:val="18"/>
              </w:rPr>
              <w:t>Study AT1001-012 (n=57)</w:t>
            </w:r>
          </w:p>
        </w:tc>
        <w:tc>
          <w:tcPr>
            <w:tcW w:w="1842" w:type="dxa"/>
          </w:tcPr>
          <w:p w:rsidR="00A549A1" w:rsidRPr="00F5175D" w:rsidRDefault="00A549A1" w:rsidP="007A4503">
            <w:pPr>
              <w:spacing w:before="0" w:after="40"/>
              <w:rPr>
                <w:rFonts w:asciiTheme="minorHAnsi" w:hAnsiTheme="minorHAnsi"/>
                <w:b/>
                <w:sz w:val="18"/>
                <w:szCs w:val="18"/>
              </w:rPr>
            </w:pPr>
          </w:p>
        </w:tc>
        <w:tc>
          <w:tcPr>
            <w:tcW w:w="1418" w:type="dxa"/>
          </w:tcPr>
          <w:p w:rsidR="00A549A1" w:rsidRPr="00F5175D" w:rsidRDefault="00A549A1" w:rsidP="007A4503">
            <w:pPr>
              <w:spacing w:before="0" w:after="40"/>
              <w:rPr>
                <w:rFonts w:asciiTheme="minorHAnsi" w:hAnsiTheme="minorHAnsi"/>
                <w:b/>
                <w:sz w:val="18"/>
                <w:szCs w:val="18"/>
              </w:rPr>
            </w:pPr>
          </w:p>
        </w:tc>
      </w:tr>
      <w:tr w:rsidR="00A549A1" w:rsidRPr="00F5175D" w:rsidTr="00F5175D">
        <w:tc>
          <w:tcPr>
            <w:tcW w:w="1242"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hAnsiTheme="minorHAnsi"/>
                <w:sz w:val="18"/>
                <w:szCs w:val="18"/>
              </w:rPr>
              <w:t xml:space="preserve">Males </w:t>
            </w:r>
          </w:p>
        </w:tc>
        <w:tc>
          <w:tcPr>
            <w:tcW w:w="1560"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eastAsiaTheme="minorHAnsi" w:hAnsiTheme="minorHAnsi" w:cs="Verdana"/>
                <w:spacing w:val="-1"/>
                <w:sz w:val="18"/>
                <w:szCs w:val="18"/>
              </w:rPr>
              <w:t>14/24</w:t>
            </w:r>
            <w:r w:rsidRPr="00F5175D">
              <w:rPr>
                <w:rFonts w:asciiTheme="minorHAnsi" w:eastAsiaTheme="minorHAnsi" w:hAnsiTheme="minorHAnsi" w:cs="Verdana"/>
                <w:spacing w:val="21"/>
                <w:sz w:val="18"/>
                <w:szCs w:val="18"/>
              </w:rPr>
              <w:t xml:space="preserve"> </w:t>
            </w:r>
            <w:r w:rsidRPr="00F5175D">
              <w:rPr>
                <w:rFonts w:asciiTheme="minorHAnsi" w:eastAsiaTheme="minorHAnsi" w:hAnsiTheme="minorHAnsi" w:cs="Verdana"/>
                <w:spacing w:val="-1"/>
                <w:sz w:val="18"/>
                <w:szCs w:val="18"/>
              </w:rPr>
              <w:t>(58%)</w:t>
            </w:r>
          </w:p>
        </w:tc>
        <w:tc>
          <w:tcPr>
            <w:tcW w:w="1842"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eastAsiaTheme="minorHAnsi" w:hAnsiTheme="minorHAnsi" w:cs="Verdana"/>
                <w:spacing w:val="-1"/>
                <w:sz w:val="18"/>
                <w:szCs w:val="18"/>
              </w:rPr>
              <w:t>18/22 (75%)</w:t>
            </w:r>
          </w:p>
        </w:tc>
        <w:tc>
          <w:tcPr>
            <w:tcW w:w="1418" w:type="dxa"/>
          </w:tcPr>
          <w:p w:rsidR="00A549A1" w:rsidRPr="00F5175D" w:rsidRDefault="00A549A1" w:rsidP="007A4503">
            <w:pPr>
              <w:spacing w:before="0" w:afterLines="40" w:after="96"/>
              <w:jc w:val="center"/>
              <w:rPr>
                <w:rFonts w:asciiTheme="minorHAnsi" w:hAnsiTheme="minorHAnsi"/>
                <w:sz w:val="18"/>
                <w:szCs w:val="18"/>
              </w:rPr>
            </w:pPr>
            <w:r w:rsidRPr="00F5175D">
              <w:rPr>
                <w:rFonts w:asciiTheme="minorHAnsi" w:eastAsiaTheme="minorHAnsi" w:hAnsiTheme="minorHAnsi" w:cs="Verdana"/>
                <w:spacing w:val="-1"/>
                <w:sz w:val="18"/>
                <w:szCs w:val="18"/>
              </w:rPr>
              <w:t>14/22</w:t>
            </w:r>
            <w:r w:rsidRPr="00F5175D">
              <w:rPr>
                <w:rFonts w:asciiTheme="minorHAnsi" w:eastAsiaTheme="minorHAnsi" w:hAnsiTheme="minorHAnsi" w:cs="Verdana"/>
                <w:spacing w:val="21"/>
                <w:sz w:val="18"/>
                <w:szCs w:val="18"/>
              </w:rPr>
              <w:t xml:space="preserve"> </w:t>
            </w:r>
            <w:r w:rsidRPr="00F5175D">
              <w:rPr>
                <w:rFonts w:asciiTheme="minorHAnsi" w:eastAsiaTheme="minorHAnsi" w:hAnsiTheme="minorHAnsi" w:cs="Verdana"/>
                <w:spacing w:val="-1"/>
                <w:sz w:val="18"/>
                <w:szCs w:val="18"/>
              </w:rPr>
              <w:t>(64%)</w:t>
            </w:r>
          </w:p>
        </w:tc>
      </w:tr>
      <w:tr w:rsidR="00A549A1" w:rsidRPr="00F5175D" w:rsidTr="00F5175D">
        <w:tc>
          <w:tcPr>
            <w:tcW w:w="1242"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hAnsiTheme="minorHAnsi"/>
                <w:sz w:val="18"/>
                <w:szCs w:val="18"/>
              </w:rPr>
              <w:t xml:space="preserve">Females </w:t>
            </w:r>
          </w:p>
        </w:tc>
        <w:tc>
          <w:tcPr>
            <w:tcW w:w="1560"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hAnsiTheme="minorHAnsi"/>
                <w:sz w:val="18"/>
                <w:szCs w:val="18"/>
              </w:rPr>
              <w:t>22/33 (67%)</w:t>
            </w:r>
          </w:p>
        </w:tc>
        <w:tc>
          <w:tcPr>
            <w:tcW w:w="1842"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hAnsiTheme="minorHAnsi"/>
                <w:sz w:val="18"/>
                <w:szCs w:val="18"/>
              </w:rPr>
              <w:t>25/33 (76%)</w:t>
            </w:r>
          </w:p>
        </w:tc>
        <w:tc>
          <w:tcPr>
            <w:tcW w:w="1418" w:type="dxa"/>
          </w:tcPr>
          <w:p w:rsidR="00A549A1" w:rsidRPr="00F5175D" w:rsidRDefault="00A549A1" w:rsidP="007A4503">
            <w:pPr>
              <w:spacing w:before="0" w:afterLines="40" w:after="96"/>
              <w:jc w:val="center"/>
              <w:rPr>
                <w:rFonts w:asciiTheme="minorHAnsi" w:hAnsiTheme="minorHAnsi"/>
                <w:sz w:val="18"/>
                <w:szCs w:val="18"/>
              </w:rPr>
            </w:pPr>
            <w:r w:rsidRPr="00F5175D">
              <w:rPr>
                <w:rFonts w:asciiTheme="minorHAnsi" w:hAnsiTheme="minorHAnsi"/>
                <w:sz w:val="18"/>
                <w:szCs w:val="18"/>
              </w:rPr>
              <w:t>22/31 (71%)</w:t>
            </w:r>
          </w:p>
        </w:tc>
      </w:tr>
      <w:tr w:rsidR="00A549A1" w:rsidRPr="00F5175D" w:rsidTr="00F5175D">
        <w:tc>
          <w:tcPr>
            <w:tcW w:w="2802" w:type="dxa"/>
            <w:gridSpan w:val="2"/>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b/>
                <w:color w:val="000000"/>
                <w:sz w:val="18"/>
                <w:szCs w:val="18"/>
              </w:rPr>
            </w:pPr>
            <w:r w:rsidRPr="00F5175D">
              <w:rPr>
                <w:rFonts w:asciiTheme="minorHAnsi" w:eastAsiaTheme="minorHAnsi" w:hAnsiTheme="minorHAnsi" w:cs="Verdana"/>
                <w:b/>
                <w:color w:val="000000"/>
                <w:sz w:val="18"/>
                <w:szCs w:val="18"/>
              </w:rPr>
              <w:t xml:space="preserve">Study AT1001-012 (n=50) </w:t>
            </w:r>
          </w:p>
        </w:tc>
        <w:tc>
          <w:tcPr>
            <w:tcW w:w="1842" w:type="dxa"/>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b/>
                <w:color w:val="000000"/>
                <w:sz w:val="18"/>
                <w:szCs w:val="18"/>
              </w:rPr>
            </w:pPr>
          </w:p>
        </w:tc>
        <w:tc>
          <w:tcPr>
            <w:tcW w:w="1418" w:type="dxa"/>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b/>
                <w:color w:val="000000"/>
                <w:sz w:val="18"/>
                <w:szCs w:val="18"/>
              </w:rPr>
            </w:pPr>
          </w:p>
        </w:tc>
      </w:tr>
      <w:tr w:rsidR="00A549A1" w:rsidRPr="00F5175D" w:rsidTr="00F5175D">
        <w:tc>
          <w:tcPr>
            <w:tcW w:w="1242"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hAnsiTheme="minorHAnsi"/>
                <w:sz w:val="18"/>
                <w:szCs w:val="18"/>
              </w:rPr>
              <w:lastRenderedPageBreak/>
              <w:t>Males</w:t>
            </w:r>
          </w:p>
        </w:tc>
        <w:tc>
          <w:tcPr>
            <w:tcW w:w="1560" w:type="dxa"/>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13/18 (72%)</w:t>
            </w:r>
          </w:p>
        </w:tc>
        <w:tc>
          <w:tcPr>
            <w:tcW w:w="1842" w:type="dxa"/>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18/18 (100%)</w:t>
            </w:r>
          </w:p>
        </w:tc>
        <w:tc>
          <w:tcPr>
            <w:tcW w:w="1418" w:type="dxa"/>
          </w:tcPr>
          <w:p w:rsidR="00A549A1" w:rsidRPr="00F5175D" w:rsidRDefault="00A549A1" w:rsidP="007A4503">
            <w:pPr>
              <w:autoSpaceDE w:val="0"/>
              <w:autoSpaceDN w:val="0"/>
              <w:adjustRightInd w:val="0"/>
              <w:spacing w:before="0" w:afterLines="40" w:after="96" w:line="240" w:lineRule="auto"/>
              <w:jc w:val="center"/>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10/18 (56%)</w:t>
            </w:r>
          </w:p>
        </w:tc>
      </w:tr>
      <w:tr w:rsidR="00A549A1" w:rsidRPr="00F5175D" w:rsidTr="00F5175D">
        <w:tc>
          <w:tcPr>
            <w:tcW w:w="1242" w:type="dxa"/>
          </w:tcPr>
          <w:p w:rsidR="00A549A1" w:rsidRPr="00F5175D" w:rsidRDefault="00A549A1" w:rsidP="007A4503">
            <w:pPr>
              <w:spacing w:before="0" w:afterLines="40" w:after="96"/>
              <w:rPr>
                <w:rFonts w:asciiTheme="minorHAnsi" w:hAnsiTheme="minorHAnsi"/>
                <w:sz w:val="18"/>
                <w:szCs w:val="18"/>
              </w:rPr>
            </w:pPr>
            <w:r w:rsidRPr="00F5175D">
              <w:rPr>
                <w:rFonts w:asciiTheme="minorHAnsi" w:hAnsiTheme="minorHAnsi"/>
                <w:sz w:val="18"/>
                <w:szCs w:val="18"/>
              </w:rPr>
              <w:t>Females</w:t>
            </w:r>
          </w:p>
        </w:tc>
        <w:tc>
          <w:tcPr>
            <w:tcW w:w="1560" w:type="dxa"/>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25/32 (78%)</w:t>
            </w:r>
          </w:p>
        </w:tc>
        <w:tc>
          <w:tcPr>
            <w:tcW w:w="1842" w:type="dxa"/>
          </w:tcPr>
          <w:p w:rsidR="00A549A1" w:rsidRPr="00F5175D" w:rsidRDefault="00A549A1" w:rsidP="007A4503">
            <w:pPr>
              <w:autoSpaceDE w:val="0"/>
              <w:autoSpaceDN w:val="0"/>
              <w:adjustRightInd w:val="0"/>
              <w:spacing w:before="0" w:afterLines="40" w:after="96" w:line="240" w:lineRule="auto"/>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27/32 (84%)</w:t>
            </w:r>
          </w:p>
        </w:tc>
        <w:tc>
          <w:tcPr>
            <w:tcW w:w="1418" w:type="dxa"/>
          </w:tcPr>
          <w:p w:rsidR="00A549A1" w:rsidRPr="00F5175D" w:rsidRDefault="00A549A1" w:rsidP="007A4503">
            <w:pPr>
              <w:autoSpaceDE w:val="0"/>
              <w:autoSpaceDN w:val="0"/>
              <w:adjustRightInd w:val="0"/>
              <w:spacing w:before="0" w:afterLines="40" w:after="96" w:line="240" w:lineRule="auto"/>
              <w:jc w:val="center"/>
              <w:rPr>
                <w:rFonts w:asciiTheme="minorHAnsi" w:eastAsiaTheme="minorHAnsi" w:hAnsiTheme="minorHAnsi" w:cs="Verdana"/>
                <w:color w:val="000000"/>
                <w:sz w:val="18"/>
                <w:szCs w:val="18"/>
              </w:rPr>
            </w:pPr>
            <w:r w:rsidRPr="00F5175D">
              <w:rPr>
                <w:rFonts w:asciiTheme="minorHAnsi" w:eastAsiaTheme="minorHAnsi" w:hAnsiTheme="minorHAnsi" w:cs="Verdana"/>
                <w:color w:val="000000"/>
                <w:sz w:val="18"/>
                <w:szCs w:val="18"/>
              </w:rPr>
              <w:t>18/32 (56%)</w:t>
            </w:r>
          </w:p>
        </w:tc>
      </w:tr>
    </w:tbl>
    <w:p w:rsidR="00E22301" w:rsidRPr="00A56B24" w:rsidRDefault="00E22301" w:rsidP="00DF6945">
      <w:pPr>
        <w:pStyle w:val="TableDescription"/>
        <w:rPr>
          <w:sz w:val="18"/>
        </w:rPr>
      </w:pPr>
      <w:r w:rsidRPr="00A56B24">
        <w:rPr>
          <w:sz w:val="18"/>
        </w:rPr>
        <w:t>Source: Rapporteurs 195 Joint CHMP and PRAC Response Assessment Report, Q12, Table 1.  a = Based on medical history. b = Includes previous cardiac event (based on medical history), LVH, or conduction abnormality based on medical history or baseline assessment of LVMi. c = Based on medical history (stroke/TIA, tinnitus/hearing loss). d = Based on medical history or baseline eGFR &lt;</w:t>
      </w:r>
      <w:r w:rsidR="00DF6945" w:rsidRPr="00A56B24">
        <w:rPr>
          <w:sz w:val="18"/>
        </w:rPr>
        <w:t> </w:t>
      </w:r>
      <w:r w:rsidRPr="00A56B24">
        <w:rPr>
          <w:sz w:val="18"/>
        </w:rPr>
        <w:t>60</w:t>
      </w:r>
      <w:r w:rsidR="00DF6945" w:rsidRPr="00A56B24">
        <w:rPr>
          <w:sz w:val="18"/>
        </w:rPr>
        <w:t> </w:t>
      </w:r>
      <w:r w:rsidRPr="00A56B24">
        <w:rPr>
          <w:sz w:val="18"/>
        </w:rPr>
        <w:t>mL/min/1.73</w:t>
      </w:r>
      <w:r w:rsidR="00DF6945" w:rsidRPr="00A56B24">
        <w:rPr>
          <w:sz w:val="18"/>
        </w:rPr>
        <w:t> </w:t>
      </w:r>
      <w:r w:rsidRPr="00A56B24">
        <w:rPr>
          <w:sz w:val="18"/>
        </w:rPr>
        <w:t>m</w:t>
      </w:r>
      <w:r w:rsidRPr="00A56B24">
        <w:rPr>
          <w:sz w:val="18"/>
          <w:vertAlign w:val="superscript"/>
        </w:rPr>
        <w:t>2</w:t>
      </w:r>
      <w:r w:rsidRPr="00A56B24">
        <w:rPr>
          <w:sz w:val="18"/>
        </w:rPr>
        <w:t>, 24-hr Protein ≥ 300 mg.</w:t>
      </w:r>
    </w:p>
    <w:p w:rsidR="00E22301" w:rsidRPr="00275324" w:rsidRDefault="00E22301" w:rsidP="00275324">
      <w:r w:rsidRPr="00275324">
        <w:t>The sponsor stated that approximately 30% to 50% of subjects with Fabry disease have amenable GLA mutations, and that the majority of amenable GLA mutations are associated with the classic phenotype of the disease. The sponsor referred to the published literature which attributes  the classic phenotype primarily to males with undetectable to low α-Gal A activity, elevated plasma lyso-Gb3 levels, and early onset of multiple organ involvement,  and the late onset phenotype primarily to males with some residual α-Gal A activity and later onset of disease manifestations. However, as is now recognised female patients may also exhibit the classic phenotype or the late-onset phenotype. The different manifestations of the disease reflect the heterogeneity of the Fabry population.</w:t>
      </w:r>
    </w:p>
    <w:p w:rsidR="00CD308A" w:rsidRDefault="00E22301" w:rsidP="00275324">
      <w:r w:rsidRPr="00275324">
        <w:t>The sponsor indicated that at the time of the submission to the EMA, 841 GLA</w:t>
      </w:r>
      <w:r w:rsidR="00275324">
        <w:t xml:space="preserve"> mutations </w:t>
      </w:r>
      <w:r w:rsidRPr="00275324">
        <w:t xml:space="preserve">had been reported in Fabry patients identified from the Human Gene Mutation Database, the Shire Human Genetic Therapies Fabry Outcome Survey registry, clinical trials for migalastat, and other public sources. The sponsor stated that 642 mutations had been identified that qualified for testing in the GLP HEK assay, of which 600 had been tested (268 identified as amenable; 332 identified as non-amenable) and 42 were </w:t>
      </w:r>
      <w:proofErr w:type="gramStart"/>
      <w:r w:rsidRPr="00275324">
        <w:t>awaiting</w:t>
      </w:r>
      <w:proofErr w:type="gramEnd"/>
      <w:r w:rsidRPr="00275324">
        <w:t xml:space="preserve"> testing. Mutations that qualified for testing include missense mutations, nonsense mutations near the carboxyl terminus, small insertions and deletions that maintain reading frame, and complex mutations comprised of two or more of these types of mutations on a single GLA allele. There were 241 mutations that did not qualify for testing in the GLP HEK assay and were categorised as non-amenable. Mutations that did not qualify for testing include large deletions, insertions, truncations, frameshift mutations, and splice site mutations. The sponsor reported that these types of mutations often lead to the loss of entire protein domains that grossly alter the structure and function of the enzyme, and may even result in the complete loss of expression. The sponsor commented that splice site mutations, in general, can lead to incorrect processing of mRNA precursors, including exon skipping or splicing at cryptic splice points, resulting in gross structural and functional alterations. Furthermore, the sponsor stated that splice site mutations are not testable in the GLP HEK assay because the assay uses recombinant GLA cDNA; thus, the mutant α-Gal A is expressed independent of pre-mRNA splicing. Mutations that do not qualify for testing in the GLP HEK assay are categorised as non-amenable</w:t>
      </w:r>
      <w:r w:rsidR="00CD308A">
        <w:t>.</w:t>
      </w:r>
    </w:p>
    <w:p w:rsidR="00CD308A" w:rsidRDefault="00E22301" w:rsidP="00275324">
      <w:r w:rsidRPr="00275324">
        <w:t xml:space="preserve">The sponsor provided tabulated lists of the amenable mutations for 53 subjects from the mITT population from </w:t>
      </w:r>
      <w:r w:rsidR="00DF6945">
        <w:t>S</w:t>
      </w:r>
      <w:r w:rsidR="00DF6945" w:rsidRPr="00275324">
        <w:t xml:space="preserve">tudy </w:t>
      </w:r>
      <w:r w:rsidRPr="00275324">
        <w:t xml:space="preserve">AT1001-012 and for 49 subjects from the ITT population from </w:t>
      </w:r>
      <w:r w:rsidR="00DF6945">
        <w:t>S</w:t>
      </w:r>
      <w:r w:rsidRPr="00275324">
        <w:t xml:space="preserve">tudy AT1001-011, and their associated phenotype based on published reports. The amenable GLA mutations in subjects in </w:t>
      </w:r>
      <w:r w:rsidR="00DF6945">
        <w:t>S</w:t>
      </w:r>
      <w:r w:rsidRPr="00275324">
        <w:t xml:space="preserve">tudies AT1001-012 and AT1001-011 are summarised below. In </w:t>
      </w:r>
      <w:r w:rsidR="00DF6945">
        <w:t>S</w:t>
      </w:r>
      <w:r w:rsidRPr="00275324">
        <w:t>tudy AT100-012, approximately equal proportions of enrolled subjects had GLA mutations associated with the classic Fabry and late-onset Fabry phenotypes (36% v</w:t>
      </w:r>
      <w:r w:rsidR="00DF6945">
        <w:t>ersu</w:t>
      </w:r>
      <w:r w:rsidRPr="00275324">
        <w:t xml:space="preserve">s 38% respectively), while 23% of subjects had mutations not characterised in the literature. In </w:t>
      </w:r>
      <w:r w:rsidR="00DF6945">
        <w:t>S</w:t>
      </w:r>
      <w:r w:rsidRPr="00275324">
        <w:t xml:space="preserve">tudy AT1001-011, a majority (approximately 60%) of patients had mutations associated with the classic phenotype, while 2% had the late onset phenotype, 6% had both, and 32% were unclassified. Overall, among the mutations </w:t>
      </w:r>
      <w:r w:rsidRPr="00275324">
        <w:lastRenderedPageBreak/>
        <w:t xml:space="preserve">characterised in the medical literature, a majority of patients in the Phase </w:t>
      </w:r>
      <w:r w:rsidR="00DF6945">
        <w:t>III</w:t>
      </w:r>
      <w:r w:rsidRPr="00275324">
        <w:t xml:space="preserve"> studies had mutations associated with the classic Fabry phenotype</w:t>
      </w:r>
      <w:r w:rsidR="00CD308A">
        <w:t>.</w:t>
      </w:r>
    </w:p>
    <w:p w:rsidR="00E22301" w:rsidRDefault="00275324" w:rsidP="00B2534E">
      <w:pPr>
        <w:pStyle w:val="TableTitle"/>
      </w:pPr>
      <w:bookmarkStart w:id="96" w:name="_Toc461981055"/>
      <w:r>
        <w:t xml:space="preserve">Table 6: </w:t>
      </w:r>
      <w:r w:rsidR="00DF6945">
        <w:t xml:space="preserve">Study </w:t>
      </w:r>
      <w:r w:rsidR="00E22301" w:rsidRPr="00AC58B6">
        <w:t>AT1001-012 Amenable mutations of enrolled subjects and the corresponding clinical phenotype based on the medical literature, mITT population</w:t>
      </w:r>
      <w:bookmarkEnd w:id="96"/>
    </w:p>
    <w:p w:rsidR="00E22301" w:rsidRPr="00E50D1A" w:rsidRDefault="00E22301" w:rsidP="00E22301">
      <w:pPr>
        <w:pStyle w:val="Caption"/>
      </w:pPr>
      <w:r w:rsidRPr="00E50D1A">
        <w:rPr>
          <w:noProof/>
          <w:lang w:eastAsia="en-AU"/>
        </w:rPr>
        <w:drawing>
          <wp:inline distT="0" distB="0" distL="0" distR="0" wp14:anchorId="67354D17" wp14:editId="02DB5A67">
            <wp:extent cx="5270500" cy="2313352"/>
            <wp:effectExtent l="0" t="0" r="0" b="0"/>
            <wp:docPr id="191" name="Picture 191" descr="Table 6: AT1001-012 – Amenable mutations of enrolled subjects and the corresponding clinical phenotype based on the medical literature, m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0" cy="2313352"/>
                    </a:xfrm>
                    <a:prstGeom prst="rect">
                      <a:avLst/>
                    </a:prstGeom>
                    <a:noFill/>
                    <a:ln>
                      <a:noFill/>
                    </a:ln>
                  </pic:spPr>
                </pic:pic>
              </a:graphicData>
            </a:graphic>
          </wp:inline>
        </w:drawing>
      </w:r>
    </w:p>
    <w:p w:rsidR="00E22301" w:rsidRPr="00CB1D77" w:rsidRDefault="00E22301" w:rsidP="00B2534E">
      <w:pPr>
        <w:pStyle w:val="TableTitle"/>
      </w:pPr>
      <w:bookmarkStart w:id="97" w:name="_Toc461981056"/>
      <w:proofErr w:type="gramStart"/>
      <w:r w:rsidRPr="00CB1D77">
        <w:t>Table</w:t>
      </w:r>
      <w:r w:rsidR="00B2534E">
        <w:t xml:space="preserve"> 7</w:t>
      </w:r>
      <w:r w:rsidRPr="00CB1D77">
        <w:t xml:space="preserve">: </w:t>
      </w:r>
      <w:r w:rsidR="00DF6945">
        <w:t xml:space="preserve">Study </w:t>
      </w:r>
      <w:r w:rsidRPr="00CB1D77">
        <w:t>AT1001-011 Amenable mutations of enrolled subjects and the corresponding clinical phenotype based on the medical literature, ITT-amenable population</w:t>
      </w:r>
      <w:bookmarkEnd w:id="97"/>
      <w:r w:rsidR="00A549A1">
        <w:t>.</w:t>
      </w:r>
      <w:proofErr w:type="gramEnd"/>
    </w:p>
    <w:p w:rsidR="00E22301" w:rsidRPr="00E50D1A" w:rsidRDefault="00E22301" w:rsidP="00E22301">
      <w:r w:rsidRPr="00E50D1A">
        <w:rPr>
          <w:noProof/>
          <w:lang w:eastAsia="en-AU"/>
        </w:rPr>
        <w:drawing>
          <wp:inline distT="0" distB="0" distL="0" distR="0" wp14:anchorId="3427DC3D" wp14:editId="7838DA30">
            <wp:extent cx="5270500" cy="2711434"/>
            <wp:effectExtent l="0" t="0" r="6350" b="0"/>
            <wp:docPr id="226" name="Picture 226" descr="Table 7: AT1001-011 – Amenable mutations of enrolled subjects and the corresponding clinical phenotype based on the medical literature, ITT-amen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2711434"/>
                    </a:xfrm>
                    <a:prstGeom prst="rect">
                      <a:avLst/>
                    </a:prstGeom>
                    <a:noFill/>
                    <a:ln>
                      <a:noFill/>
                    </a:ln>
                  </pic:spPr>
                </pic:pic>
              </a:graphicData>
            </a:graphic>
          </wp:inline>
        </w:drawing>
      </w:r>
    </w:p>
    <w:p w:rsidR="00CD308A" w:rsidRDefault="00E22301" w:rsidP="00B2534E">
      <w:r w:rsidRPr="00B2534E">
        <w:t xml:space="preserve">The amenable GLA mutations identified in </w:t>
      </w:r>
      <w:r w:rsidR="00DF6945">
        <w:t>S</w:t>
      </w:r>
      <w:r w:rsidRPr="00B2534E">
        <w:t xml:space="preserve">tudies AT1001-011 and AT1001-012 are a subset of the 268 mutations so far identified as being amenable. This raises the question of whether the efficacy data relating to subjects with the amenable GLA mutations included in the two studies can be extrapolated to subjects with amenable GLA mutations that were not included in the two studies.  It is considered that it is biologically plausible that the efficacy data can be reasonable extrapolated to all subjects with Fabry disease with amenable GLA mutations. The subjects in </w:t>
      </w:r>
      <w:r w:rsidR="00DF6945">
        <w:t>S</w:t>
      </w:r>
      <w:r w:rsidRPr="00B2534E">
        <w:t>tudies AT1001-011 and AT1001-012 had a variety of amenable GLA mutations and it is not possible from the provided data to apportion contributions to the efficacy outcomes to individual mutations. It is considered reasonable to infer that if a subject has an amenable GLA mutation based on the GLP HEK assay then treatment with migalastat will be effective</w:t>
      </w:r>
      <w:r w:rsidR="00CD308A">
        <w:t>.</w:t>
      </w:r>
    </w:p>
    <w:p w:rsidR="00CD308A" w:rsidRDefault="00E22301" w:rsidP="00B2534E">
      <w:r w:rsidRPr="00B2534E">
        <w:t xml:space="preserve">Patients completing either Phase </w:t>
      </w:r>
      <w:r w:rsidR="00DF6945">
        <w:t>III</w:t>
      </w:r>
      <w:r w:rsidRPr="00B2534E">
        <w:t xml:space="preserve"> study were eligible to enrol in the OLE </w:t>
      </w:r>
      <w:r w:rsidR="00DF6945">
        <w:t>S</w:t>
      </w:r>
      <w:r w:rsidRPr="00B2534E">
        <w:t xml:space="preserve">tudies AT1001-041 and AT1001-042. The OLE study assessments included eGFR and ECHO parameters. A total of 115 patients received migalastat in the two Phase </w:t>
      </w:r>
      <w:r w:rsidR="00DF6945">
        <w:t>III</w:t>
      </w:r>
      <w:r w:rsidRPr="00B2534E">
        <w:t xml:space="preserve"> studies, and 82 </w:t>
      </w:r>
      <w:r w:rsidRPr="00B2534E">
        <w:lastRenderedPageBreak/>
        <w:t>patients continue to receive migalastat as their only treatment for Fabry disease in the OLE studies</w:t>
      </w:r>
      <w:r w:rsidR="00CD308A">
        <w:t>.</w:t>
      </w:r>
    </w:p>
    <w:p w:rsidR="00E22301" w:rsidRPr="00E11A90" w:rsidRDefault="00E22301" w:rsidP="00B2534E">
      <w:pPr>
        <w:pStyle w:val="Heading5"/>
      </w:pPr>
      <w:r w:rsidRPr="00E11A90">
        <w:t>Study AT1001-011</w:t>
      </w:r>
    </w:p>
    <w:p w:rsidR="00CD308A" w:rsidRDefault="00E22301" w:rsidP="00B2534E">
      <w:r w:rsidRPr="00B2534E">
        <w:t xml:space="preserve">Study AT1001-001 failed to meet its pre-specified primary efficacy endpoint. This might have been the result of approximately 25% (17/67) of subjects included in the primary efficacy analysis not having an amenable GLA mutation, based on the GLP HEK assay. However, post-hoc analysis of the Stage 1 data and pre-specified analyses of the Stage 2 and open-label extension data in subjects with amenable GLA mutations, based on the GLP HEK assay, are considered to support migalastat for the treatment Fabry disease. Limited data from the study has been recently published in the New England Journal of Medicine.6 </w:t>
      </w:r>
      <w:proofErr w:type="gramStart"/>
      <w:r w:rsidRPr="00B2534E">
        <w:t>The</w:t>
      </w:r>
      <w:proofErr w:type="gramEnd"/>
      <w:r w:rsidRPr="00B2534E">
        <w:t xml:space="preserve"> published results refer to the pre-specified Stage 1 primary and secondary efficacy endpoint analyses comparing changes between baseline and month 6 in the migalastat and placebo treatment groups</w:t>
      </w:r>
      <w:r w:rsidR="00CD308A">
        <w:t>.</w:t>
      </w:r>
    </w:p>
    <w:p w:rsidR="00CD308A" w:rsidRDefault="00E22301" w:rsidP="00B2534E">
      <w:r w:rsidRPr="00B2534E">
        <w:t xml:space="preserve">In </w:t>
      </w:r>
      <w:r w:rsidR="00DF6945">
        <w:t>S</w:t>
      </w:r>
      <w:r w:rsidR="00DF6945" w:rsidRPr="00B2534E">
        <w:t xml:space="preserve">tudy </w:t>
      </w:r>
      <w:r w:rsidRPr="00B2534E">
        <w:t>AT1001-011, male and female subjects with Fabry disease with a confirmed GLA mutation, based on the clinical trial HEK assay, and naive to ERT or not having received ERT for at least 6 months before screening were randomised to treatment with migalastat 150 mg QOD or matching placebo for 6 months (double-blind treatment period). This 6 month, randomised, double-blind treatment period was followed by a further 18 months of treatment with open-label migalastat 150 mg QOD. Therefore, the total duration of treatment with migalastat for an enrolled patient could be up to 18 months for subjects randomised to placebo (placebo-migalastat group) and up to 24 months for subjects randomised to migalastat (migalastat-migalastat group)</w:t>
      </w:r>
      <w:r w:rsidR="00CD308A">
        <w:t>.</w:t>
      </w:r>
    </w:p>
    <w:p w:rsidR="00CD308A" w:rsidRDefault="00E22301" w:rsidP="00B2534E">
      <w:r w:rsidRPr="00B2534E">
        <w:t>A total of 67 subjects entered Stage 1 (0</w:t>
      </w:r>
      <w:r w:rsidR="00DF6945">
        <w:t xml:space="preserve"> to </w:t>
      </w:r>
      <w:r w:rsidRPr="00B2534E">
        <w:t>6 months), including 34 in the migalastat group and 33 in the placebo group. A total of 63 subjects entered Stage 2 (6</w:t>
      </w:r>
      <w:r w:rsidR="00DF6945">
        <w:t xml:space="preserve"> to </w:t>
      </w:r>
      <w:r w:rsidRPr="00B2534E">
        <w:t>12 months), including 33 in the migalastat-migalastat group and 30 in the placebo-migalastat group. A total of 57 subjects entered the open-label extension period (12-24 months), including 29 in the migalastat-migalastat group and 28 in the placebo-migalastat group. Overall, 54 (95%) subjects completed 24 months of treatment, including 27 (93%) in the migalastat-migalastat group completing 24 months of treatment with migalastat and 27 (96%) in the placebo-migalastat group completing 18 months of treatment with migalastat. The number of subjects included in the study is considered to be adequate to assess the efficacy of a rare disease such as Fabry disease</w:t>
      </w:r>
      <w:r w:rsidR="00CD308A">
        <w:t>.</w:t>
      </w:r>
    </w:p>
    <w:p w:rsidR="00CD308A" w:rsidRDefault="00E22301" w:rsidP="00B2534E">
      <w:r w:rsidRPr="00B2534E">
        <w:t>The Stage 1 pre-specified efficacy endpoints were described in the Stage 1 Statistical Analysis Plan, dated 17 February 2012. In the Stage 1 pre-specified efficacy endpoint analyses (ITT population), all subjects were required to have amenable GLA mutations based on the clinical trial HEK assay. The pre-specified primary efficacy endpoint was a responder analysis in which success was defined as a ≥ 50% reduction from baseline to month 6 in the average number of renal IC GL-3 inclusions. The results showed that, although a numerically greater percentage of subjects in the migalastat group (n</w:t>
      </w:r>
      <w:r w:rsidR="00DF6945">
        <w:t xml:space="preserve"> </w:t>
      </w:r>
      <w:r w:rsidRPr="00B2534E">
        <w:t>=</w:t>
      </w:r>
      <w:r w:rsidR="00DF6945">
        <w:t xml:space="preserve"> </w:t>
      </w:r>
      <w:r w:rsidRPr="00B2534E">
        <w:t>34) were responders compared to subjects in the placebo group (n</w:t>
      </w:r>
      <w:r w:rsidR="00DF6945">
        <w:t xml:space="preserve"> </w:t>
      </w:r>
      <w:r w:rsidRPr="00B2534E">
        <w:t>=</w:t>
      </w:r>
      <w:r w:rsidR="00DF6945">
        <w:t xml:space="preserve"> </w:t>
      </w:r>
      <w:r w:rsidRPr="00B2534E">
        <w:t>33), the difference between the two groups was not statistically significant: 40.6% (13/34) v</w:t>
      </w:r>
      <w:r w:rsidR="00DF6945">
        <w:t>ersu</w:t>
      </w:r>
      <w:r w:rsidRPr="00B2534E">
        <w:t>s 28.1% (9/33), respectively; difference (migalastat minus placebo) = 12.5% (95% CI: -13.4, 37.3), p</w:t>
      </w:r>
      <w:r w:rsidR="00DF6945">
        <w:t> </w:t>
      </w:r>
      <w:r w:rsidRPr="00B2534E">
        <w:t>=</w:t>
      </w:r>
      <w:r w:rsidR="00DF6945">
        <w:t> </w:t>
      </w:r>
      <w:r w:rsidRPr="00B2534E">
        <w:t>0.2996, CMH test stratified by sex. Similar results were observed in separate analyses in female and male subjects. The study is considered to have failed to meet its pre</w:t>
      </w:r>
      <w:r w:rsidR="00DF6945">
        <w:noBreakHyphen/>
      </w:r>
      <w:r w:rsidRPr="00B2534E">
        <w:t>specified primary efficacy endpoint</w:t>
      </w:r>
      <w:r w:rsidR="00CD308A">
        <w:t>.</w:t>
      </w:r>
    </w:p>
    <w:p w:rsidR="00CD308A" w:rsidRDefault="00E22301" w:rsidP="00B2534E">
      <w:r w:rsidRPr="00B2534E">
        <w:t xml:space="preserve">The Stage 1 pre-specified secondary efficacy endpoints were change from baseline to month 6 in urine GL-3 (percent change), GFRiohexol, eGFRMDRD, 24-hour urine protein, albumin and creatinine, and IC GL-3 inclusions (percent change in average number). No statistical adjustments were made for the multiple pairwise comparisons of the pre-specified secondary efficacy endpoints. However, none of the pairwise comparisons were statistically significant. The only notable difference between the two treatment groups in </w:t>
      </w:r>
      <w:r w:rsidRPr="00B2534E">
        <w:lastRenderedPageBreak/>
        <w:t>the pre-specified secondary efficacy endpoint pairwise comparisons related to IC GL-3 inclusion. The median percent reduction from baseline to month 6 in the average number of IC GL-3 inclusions was numerically greater in the migalastat group compared to the placebo group (-40.8% v</w:t>
      </w:r>
      <w:r w:rsidR="00DF6945">
        <w:t>ersu</w:t>
      </w:r>
      <w:r w:rsidRPr="00B2534E">
        <w:t>s -5.5%, respectively), but the difference between the two groups was not statistically significant (p</w:t>
      </w:r>
      <w:r w:rsidR="00DF6945">
        <w:t xml:space="preserve"> </w:t>
      </w:r>
      <w:r w:rsidRPr="00B2534E">
        <w:t>=</w:t>
      </w:r>
      <w:r w:rsidR="00DF6945">
        <w:t xml:space="preserve"> </w:t>
      </w:r>
      <w:r w:rsidRPr="00B2534E">
        <w:t>0.0974)</w:t>
      </w:r>
      <w:r w:rsidR="00CD308A">
        <w:t>.</w:t>
      </w:r>
    </w:p>
    <w:p w:rsidR="00CD308A" w:rsidRDefault="00E22301" w:rsidP="00B2534E">
      <w:r w:rsidRPr="00B2534E">
        <w:t>Stage 1 also included a number of pre-specified tertiary efficacy endpoints analyses. The only differences of note between the two treatment groups in these endpoints related to the percent of renal ICs with zero GL-3 inclusions, and the diarrhoea subscale of the GSRS. For both of these endpoints, the changes between month 6 and baseline numerically favoured the migalastat group compared to the placebo group, and the difference between the two treatment groups was statistically significant for the percent of renal ICs with zero GL-3 inclusions. However, no statistical adjustment was made for multiplicity of pairwise testing. No notable differences between the two treatment groups were observed for the other tertiary efficacy endpoints including ECHO parameters, the BPI short form assessment, the SF-36 V2 assessment, GSRS assessments (other than diarrhoea), or WBC α-Gal A activity in males</w:t>
      </w:r>
      <w:r w:rsidR="00CD308A">
        <w:t>.</w:t>
      </w:r>
    </w:p>
    <w:p w:rsidR="00CD308A" w:rsidRDefault="00E22301" w:rsidP="00B2534E">
      <w:r w:rsidRPr="00B2534E">
        <w:t>During the conduct of study AT1001-011, a third-party validated GLP HEK assay became available and all subjects had their GLA status reassessed with the GLP HEK assay. This resulted in the α-GAL activity in 17 (25%) of the 67 subjects in the study being reclassified from responsive (clinical trial HEK assay) to non-amenable (GLP HEK assay). The 17 re</w:t>
      </w:r>
      <w:r w:rsidR="00DF6945">
        <w:noBreakHyphen/>
      </w:r>
      <w:r w:rsidRPr="00B2534E">
        <w:t>classified subjects included 6 subjects who had been randomised to migalastat and 11 subjects who had been randomised to placebo.  Following unblinding of the Stage 1 efficacy data, additional post-hoc analyses of the Stage 1 data were undertaken in subjects with amenable GLA mutations based on the GLP HEK assay. The Stage 1 (post-hoc) analysis, together with pre-specified analyses for the Stage 2 period and the OLE phase, were described in a SAP dated 26 February 2014 (</w:t>
      </w:r>
      <w:r w:rsidR="00DF6945">
        <w:t>that is,</w:t>
      </w:r>
      <w:r w:rsidRPr="00B2534E">
        <w:t xml:space="preserve"> Stage 1 (post-hoc), Stage 2, and Open-Label Extension Statistical Analysis Plan)</w:t>
      </w:r>
      <w:r w:rsidR="00CD308A">
        <w:t>.</w:t>
      </w:r>
    </w:p>
    <w:p w:rsidR="00CD308A" w:rsidRDefault="00E22301" w:rsidP="00B2534E">
      <w:r w:rsidRPr="00B2534E">
        <w:t xml:space="preserve">The ITT population for the Stage 1 (post-hoc) analysis included 28 subjects (82%) who had initially been randomised to migalastat and 22 subjects (64%) who had been initially randomised to placebo. The major difference between the Stage 1 pre-specified and post-hoc analyses related to additional assessments of the renal IC GL-3 inclusion data. In the Stage 1 (post-hoc) analysis, the average number of renal IC GL-3 inclusions was treated as a continuous variable rather than a categorical variable. This switch in focus from categorical to continuous analysis was justified by the sponsor on the grounds that quantitative differences in renal IC GL-3 inclusions from baseline </w:t>
      </w:r>
      <w:r w:rsidR="00DF6945">
        <w:t>‘</w:t>
      </w:r>
      <w:r w:rsidRPr="00B2534E">
        <w:t xml:space="preserve">more accurately assessed the biological effect of migalastat on renal IC GL-3 inclusions than the responder </w:t>
      </w:r>
      <w:proofErr w:type="gramStart"/>
      <w:r w:rsidRPr="00B2534E">
        <w:t>analysis</w:t>
      </w:r>
      <w:r w:rsidR="00DF6945">
        <w:t>’</w:t>
      </w:r>
      <w:proofErr w:type="gramEnd"/>
      <w:r w:rsidRPr="00B2534E">
        <w:t>. There were also methodological issues relating to the responder analysis of renal IC GL-3 inclusions, including a notable imbalance in the baseline mean number of renal IC GL-3 inclusions between the migalastat and placebo groups, resulting in a lower threshold required for subjects in the placebo group to meet the 50% reduction from baseline to month 6 in the average number of renal IC GL-3 inclusions compared with subjects in the migalastat group. No 50% responder analysis relating to renal IC GL-3 inclusions was undertaken in the Stage 1 (post-hoc) analysis</w:t>
      </w:r>
      <w:r w:rsidR="00CD308A">
        <w:t>.</w:t>
      </w:r>
    </w:p>
    <w:p w:rsidR="00CD308A" w:rsidRDefault="00E22301" w:rsidP="00B2534E">
      <w:r w:rsidRPr="00B2534E">
        <w:t>In the Stage 1 (post-hoc) analysis (ITT population), the reduction in the average number of renal IC GL-3 inclusions from baseline to month 6 in subjects with amenable mutations was statistically significantly greater in the migalastat group compared to the placebo group: difference in LSMs (migalastat minus placebo) = -0.3 (95% CI: -0.6, -0.1); p</w:t>
      </w:r>
      <w:r w:rsidR="00DF6945">
        <w:t> </w:t>
      </w:r>
      <w:r w:rsidRPr="00B2534E">
        <w:t>=</w:t>
      </w:r>
      <w:r w:rsidR="00DF6945">
        <w:t> </w:t>
      </w:r>
      <w:r w:rsidRPr="00B2534E">
        <w:t xml:space="preserve">0.0078. In the Stage 2 (pre-specified) analysis (mITT population), the reduction in the average number of renal IC GL-3 inclusions from month 6 to month 12 in the placebo-migalastat group was statistically significant, indicating that switching from placebo to migalastat had a beneficial effect on this parameter: difference in LSMs (month 12 minus month 6) = -0.320 (95% CI: -0.5719, -0.0677); p = 0.014. Subjects with amenable GLA </w:t>
      </w:r>
      <w:r w:rsidRPr="00B2534E">
        <w:lastRenderedPageBreak/>
        <w:t>mutations in the migalastat-migalastat group maintained reduced levels of IC GL-3 inclusions observed at 6 months through to month 12 (mean values of 0.250 and 0.239, respectively)</w:t>
      </w:r>
      <w:r w:rsidR="00CD308A">
        <w:t>.</w:t>
      </w:r>
    </w:p>
    <w:p w:rsidR="00CD308A" w:rsidRDefault="00E22301" w:rsidP="00B2534E">
      <w:r w:rsidRPr="00B2534E">
        <w:t>When data from Stages 1 and 2 were combined for the mITT population with amenable GLA mutations, there was a statistically significantly greater decrease in renal IC GL-3 inclusions after 6 months of treatment with migalastat (</w:t>
      </w:r>
      <w:r w:rsidR="008B05D5">
        <w:t xml:space="preserve">n = </w:t>
      </w:r>
      <w:r w:rsidRPr="00B2534E">
        <w:t>30), compared with 6 months of treatment with placebo (n</w:t>
      </w:r>
      <w:r w:rsidR="00DF6945">
        <w:t xml:space="preserve"> </w:t>
      </w:r>
      <w:r w:rsidRPr="00B2534E">
        <w:t>=</w:t>
      </w:r>
      <w:r w:rsidR="00DF6945">
        <w:t xml:space="preserve"> </w:t>
      </w:r>
      <w:r w:rsidRPr="00B2534E">
        <w:t>30): difference in LSMs (migalastat minus placebo) = -0.312 (95% CI: -0.5316, -0.0930); p</w:t>
      </w:r>
      <w:r w:rsidR="00DF6945">
        <w:t xml:space="preserve"> </w:t>
      </w:r>
      <w:r w:rsidRPr="00B2534E">
        <w:t>=</w:t>
      </w:r>
      <w:r w:rsidR="00DF6945">
        <w:t xml:space="preserve"> </w:t>
      </w:r>
      <w:r w:rsidRPr="00B2534E">
        <w:t>0.006. Overall, the results provide support for the efficacy of migalastat in reducing and maintaining renal IC GL-3 burden in subjects with amenable mutations. In general, these outcomes were supported by the analyses relating to changes in the percentage of subjects with IC with zero GL-3 inclusions. Exploratory qualitative analysis of GL-3 inclusions in other renal cells (podocytes, mesangial, and endothelial) provided limited support for the efficacy of migalastat compared with placebo</w:t>
      </w:r>
      <w:r w:rsidR="00CD308A">
        <w:t>.</w:t>
      </w:r>
    </w:p>
    <w:p w:rsidR="00E22301" w:rsidRPr="00B2534E" w:rsidRDefault="00E22301" w:rsidP="00B2534E">
      <w:r w:rsidRPr="00B2534E">
        <w:t>In subjects with amenable GLA mutations, mean annualised changes from baseline in eGFRCKD-EPI (n</w:t>
      </w:r>
      <w:r w:rsidR="00DF6945">
        <w:t xml:space="preserve"> </w:t>
      </w:r>
      <w:r w:rsidRPr="00B2534E">
        <w:t>=</w:t>
      </w:r>
      <w:r w:rsidR="00DF6945">
        <w:t xml:space="preserve"> </w:t>
      </w:r>
      <w:r w:rsidRPr="00B2534E">
        <w:t>31), eGFRMDRD (n</w:t>
      </w:r>
      <w:r w:rsidR="00DF6945">
        <w:t xml:space="preserve"> </w:t>
      </w:r>
      <w:r w:rsidRPr="00B2534E">
        <w:t>=</w:t>
      </w:r>
      <w:r w:rsidR="00DF6945">
        <w:t xml:space="preserve"> </w:t>
      </w:r>
      <w:r w:rsidRPr="00B2534E">
        <w:t>41), and mGFRiohexol (n</w:t>
      </w:r>
      <w:r w:rsidR="00DF6945">
        <w:t xml:space="preserve"> </w:t>
      </w:r>
      <w:r w:rsidRPr="00B2534E">
        <w:t>=</w:t>
      </w:r>
      <w:r w:rsidR="00DF6945">
        <w:t xml:space="preserve"> </w:t>
      </w:r>
      <w:r w:rsidRPr="00B2534E">
        <w:t xml:space="preserve">37), remained stable over 18 to 24 months of treatment with migalastat. These results are considered to be clinically meaningful in subjects with Fabry disease, in whom progressive deterioration in renal function can be predicted to occur in the absence of treatment. The results compared favourably with published data relating to annualised changes in eGFRCKD-EPI and mGFRiohexol in untreated patients with Fabry disease. The annualised changes in the eGFR parameters in </w:t>
      </w:r>
      <w:r w:rsidR="00DF6945">
        <w:t>S</w:t>
      </w:r>
      <w:r w:rsidR="00DF6945" w:rsidRPr="00B2534E">
        <w:t xml:space="preserve">tudy </w:t>
      </w:r>
      <w:r w:rsidRPr="00B2534E">
        <w:t xml:space="preserve">AT1001-011 were less favourable in male subjects than in female </w:t>
      </w:r>
      <w:proofErr w:type="gramStart"/>
      <w:r w:rsidRPr="00B2534E">
        <w:t>subject,</w:t>
      </w:r>
      <w:proofErr w:type="gramEnd"/>
      <w:r w:rsidRPr="00B2534E">
        <w:t xml:space="preserve"> and in subjects with higher urine 24-hour protein levels than with lower levels.</w:t>
      </w:r>
    </w:p>
    <w:p w:rsidR="00CD308A" w:rsidRDefault="00E22301" w:rsidP="00B2534E">
      <w:r w:rsidRPr="00B2534E">
        <w:t>Most subjects in the study had baseline proteinuria. There were no significant differences in urine 24-hour protein, albumin, or creatinine levels between the migalastat and placebo group for changes from baseline to month 6 in the Stage 1 (post-hoc) analysis. In the OLE population, urine 24-hour protein and albumin levels increased from baseline to month 24 in subjects who had been treated with migalastat for 18 or 24 months, while the urine 24</w:t>
      </w:r>
      <w:r w:rsidR="00DF6945">
        <w:t> </w:t>
      </w:r>
      <w:r w:rsidRPr="00B2534E">
        <w:t>hour creatinine level remained stable. Post-hoc analysis of the data indicated that the increased proteinuria observed from baseline to month 24 in subjects treated with migalastat was primarily driven by subjects with baseline proteinuria &gt; 300 mg/24h. In subjects with baseline proteinuria ≤ 300 mg/24h, urine 24-hour protein levels remained relatively stable over the course of the study. Urine GL-3 levels were highly variable throughout the study and no definite conclusions can be made about the effect on migalastat treatment on this biomarker</w:t>
      </w:r>
      <w:r w:rsidR="00CD308A">
        <w:t>.</w:t>
      </w:r>
    </w:p>
    <w:p w:rsidR="00E22301" w:rsidRPr="00B2534E" w:rsidRDefault="00E22301" w:rsidP="00B2534E">
      <w:r w:rsidRPr="00B2534E">
        <w:t>The effect of migalastat on cardiac function was primarily assessed by changes in LVMi based on ECHO, with changes in other ECHO parameters being predominantly exploratory.  In the Stage 1 (post-hoc) analysis, no notable changes from baseline to month-6 were observed in either the migalastat group or the placebo group in the LVMi (or in any other ECHO parameter). In the Stage 2 (pre-specified) analysis, no notable changes from baseline to month 12 were observed in the LVMi (or in any other ECHO parameter).  At month</w:t>
      </w:r>
      <w:r w:rsidR="00DF6945">
        <w:t xml:space="preserve"> </w:t>
      </w:r>
      <w:r w:rsidRPr="00B2534E">
        <w:t>12, all subjects with amenable GLA mutations had normal fractional shortening, and 97% had a normal ejection fraction.</w:t>
      </w:r>
    </w:p>
    <w:p w:rsidR="00E22301" w:rsidRPr="00B2534E" w:rsidRDefault="00E22301" w:rsidP="00B2534E">
      <w:r w:rsidRPr="00B2534E">
        <w:t>Gastrointestinal symptoms (diarrhoea, constipation, reflux, abdominal pain, indigestion) were assessed using GSRS subscales. In the Stage 1 (post-hoc) analysis, significant improvements in diarrhoea symptoms from baseline to month 6 were observed in GLA amenable subjects treated with migalastat compared to placebo, and significant improvements were observed in reflux symptoms in amenable subjects with baseline reflux symptoms. In the OLE population (pre-specified) analysis, significant improvements in symptoms of diarrhoea and indigestion were observed in subjects treated with migalastat for 18 to 24 months.</w:t>
      </w:r>
    </w:p>
    <w:p w:rsidR="00CD308A" w:rsidRDefault="00E22301" w:rsidP="00B2534E">
      <w:r w:rsidRPr="00B2534E">
        <w:lastRenderedPageBreak/>
        <w:t>For subjects with GLA amenable mutations and abnormal SF-36 v2 baseline values treated with migalastat for 18 to 24 months, improvements in SF-36 v2 scores were observed for the vitality subscale (mean increase, 4.0) and the general health domain (mean increase, 4.5). No other notable changes were observed during the study for any other patient reported outcomes based on SF-36 v2 assessments. There were no notable changes in pain in subjects with GLA amenable mutations assessed using the BPI.</w:t>
      </w:r>
    </w:p>
    <w:p w:rsidR="00CD308A" w:rsidRDefault="00E22301" w:rsidP="00B2534E">
      <w:r w:rsidRPr="00B2534E">
        <w:t>In a pre-specified exploratory an</w:t>
      </w:r>
      <w:r w:rsidR="007952D5">
        <w:t>alysis of plasma lyso-Gb3</w:t>
      </w:r>
      <w:r w:rsidRPr="00B2534E">
        <w:t>, levels were similar at baseline for subjects with GLA amenable mutations in both the migalastat and placebo groups, but at month 6 levels had significantly decreased in the migalastat group compared to the placebo group. In the placebo-migalastat group, plasma lyso-Gb3 levels decreased significantly from month 6 to month 12 following the switch from placebo to migalastat, while levels remained constant between the two time-points for the migalastat-migalastat group</w:t>
      </w:r>
      <w:r w:rsidR="00CD308A">
        <w:t>.</w:t>
      </w:r>
    </w:p>
    <w:p w:rsidR="00CD308A" w:rsidRDefault="00E22301" w:rsidP="00B2534E">
      <w:pPr>
        <w:pStyle w:val="Heading5"/>
      </w:pPr>
      <w:r>
        <w:t>Study</w:t>
      </w:r>
      <w:r w:rsidRPr="003D2D17">
        <w:t xml:space="preserve"> AT1001-012</w:t>
      </w:r>
    </w:p>
    <w:p w:rsidR="00CD308A" w:rsidRDefault="00E22301" w:rsidP="00B2534E">
      <w:r w:rsidRPr="00B2534E">
        <w:t xml:space="preserve">The results of </w:t>
      </w:r>
      <w:r w:rsidR="00DF6945">
        <w:t>S</w:t>
      </w:r>
      <w:r w:rsidRPr="00B2534E">
        <w:t>tudy AT1001-012 support the efficacy of migalastat in patients with Fabry disease previously treated with ERT. The results established that migalastat (n</w:t>
      </w:r>
      <w:r w:rsidR="00DF6945">
        <w:t xml:space="preserve"> </w:t>
      </w:r>
      <w:r w:rsidRPr="00B2534E">
        <w:t>=</w:t>
      </w:r>
      <w:r w:rsidR="00DF6945">
        <w:t xml:space="preserve"> </w:t>
      </w:r>
      <w:r w:rsidRPr="00B2534E">
        <w:t>34) was comparable to ERT (n</w:t>
      </w:r>
      <w:r w:rsidR="00DF6945">
        <w:t xml:space="preserve"> </w:t>
      </w:r>
      <w:r w:rsidRPr="00B2534E">
        <w:t>=</w:t>
      </w:r>
      <w:r w:rsidR="00DF6945">
        <w:t xml:space="preserve"> </w:t>
      </w:r>
      <w:r w:rsidRPr="00B2534E">
        <w:t>18), based on the pre-specified descriptive comparability criteria for the annualised rates of change from baseline to month 18 being met for the two co-primary efficacy endpoints of eGFR</w:t>
      </w:r>
      <w:r w:rsidRPr="00B2534E">
        <w:rPr>
          <w:sz w:val="18"/>
          <w:szCs w:val="18"/>
        </w:rPr>
        <w:t xml:space="preserve">CKD-EPI </w:t>
      </w:r>
      <w:r w:rsidRPr="00B2534E">
        <w:t>and mGFR</w:t>
      </w:r>
      <w:r w:rsidRPr="00B2534E">
        <w:rPr>
          <w:sz w:val="18"/>
          <w:szCs w:val="18"/>
        </w:rPr>
        <w:t>iohexol</w:t>
      </w:r>
      <w:r w:rsidRPr="00B2534E">
        <w:t>. The primary analysis of the two co-primary efficacy endpoints was based on the mITT population. Subjects with amenable GLA mutations based on the GLP HEK assay were identified after enrolment in the study, but before the data were unblinded. Therefore, the efficacy analyses in the study are based on GLA amenable subjects based on the GLP HEK assay,</w:t>
      </w:r>
    </w:p>
    <w:p w:rsidR="00E22301" w:rsidRPr="00B2534E" w:rsidRDefault="00E22301" w:rsidP="00B2534E">
      <w:r w:rsidRPr="00B2534E">
        <w:t>The difference between the two groups (migalastat minus ERT) in the LS mean annualised change from baseline to month 18 for eGFR</w:t>
      </w:r>
      <w:r w:rsidRPr="00B2534E">
        <w:rPr>
          <w:sz w:val="20"/>
          <w:szCs w:val="20"/>
        </w:rPr>
        <w:t xml:space="preserve">CKD-EPI </w:t>
      </w:r>
      <w:r w:rsidRPr="00B2534E">
        <w:t>was  +0.63 mL/min/1.73 m</w:t>
      </w:r>
      <w:r w:rsidRPr="00B2534E">
        <w:rPr>
          <w:vertAlign w:val="superscript"/>
        </w:rPr>
        <w:t>2</w:t>
      </w:r>
      <w:r w:rsidRPr="00B2534E">
        <w:t xml:space="preserve"> (in favour of migalastat) and the corresponding result for mGFR</w:t>
      </w:r>
      <w:r w:rsidRPr="00B2534E">
        <w:rPr>
          <w:sz w:val="18"/>
          <w:szCs w:val="18"/>
        </w:rPr>
        <w:t>iohexol</w:t>
      </w:r>
      <w:r w:rsidRPr="00B2534E">
        <w:t xml:space="preserve"> was -1.1 mL/min/1.73m</w:t>
      </w:r>
      <w:r w:rsidRPr="00B2534E">
        <w:rPr>
          <w:vertAlign w:val="superscript"/>
        </w:rPr>
        <w:t xml:space="preserve">2 </w:t>
      </w:r>
      <w:r w:rsidRPr="00B2534E">
        <w:t>(in favour of ERT). For both parameters, the migalastat LS mean annualised change in GFR was no greater than 2.2 mL/min/1.73 m</w:t>
      </w:r>
      <w:r w:rsidRPr="00B2534E">
        <w:rPr>
          <w:vertAlign w:val="superscript"/>
        </w:rPr>
        <w:t>2</w:t>
      </w:r>
      <w:r w:rsidRPr="00B2534E">
        <w:t xml:space="preserve"> below the corresponding ERT change (i.e. pre-specified comparability criteria). The 95% CIs for the migalastat annualised rates of change from baseline to month 18 for eGFR</w:t>
      </w:r>
      <w:r w:rsidRPr="00B2534E">
        <w:rPr>
          <w:sz w:val="18"/>
          <w:szCs w:val="18"/>
        </w:rPr>
        <w:t xml:space="preserve">CKD-EPI </w:t>
      </w:r>
      <w:r w:rsidRPr="00B2534E">
        <w:t>and mGFR</w:t>
      </w:r>
      <w:r w:rsidRPr="00B2534E">
        <w:rPr>
          <w:sz w:val="20"/>
          <w:szCs w:val="20"/>
        </w:rPr>
        <w:t>iohexol</w:t>
      </w:r>
      <w:r w:rsidRPr="00B2534E">
        <w:t xml:space="preserve"> were &gt; 50% above the lower bound of the 95% CI for the corresponding ERT change (</w:t>
      </w:r>
      <w:r w:rsidR="00F570D6">
        <w:t>that is,</w:t>
      </w:r>
      <w:r w:rsidRPr="00B2534E">
        <w:t xml:space="preserve"> pre-specified comparability criteria).</w:t>
      </w:r>
    </w:p>
    <w:p w:rsidR="00CD308A" w:rsidRDefault="00E22301" w:rsidP="00B2534E">
      <w:r w:rsidRPr="00B2534E">
        <w:t>The limitation of the primary efficacy analysis of the co-primary endpoints was that comparison of the two treatments was based on descriptive rather than inferential statistics. The sponsor commented that the rarity of Fabry disease precluded recruitment of a sample size large enough to undertake an inferential statistical analysis aimed at establishing non-inferiority of migalastat to ERT. The randomised, open-label, active-controlled (0</w:t>
      </w:r>
      <w:r w:rsidR="00F570D6">
        <w:t xml:space="preserve"> to </w:t>
      </w:r>
      <w:r w:rsidRPr="00B2534E">
        <w:t>18 month), single-group extension (18</w:t>
      </w:r>
      <w:r w:rsidR="00F570D6">
        <w:t xml:space="preserve"> to </w:t>
      </w:r>
      <w:r w:rsidRPr="00B2534E">
        <w:t xml:space="preserve">30 month), non-inferential design of </w:t>
      </w:r>
      <w:r w:rsidR="00F570D6">
        <w:t>S</w:t>
      </w:r>
      <w:r w:rsidRPr="00B2534E">
        <w:t>tudy AT1001-012 has been accepted by the EMA as being sufficient to support the efficacy of migalastat for the treatment of Fabry disease</w:t>
      </w:r>
      <w:r w:rsidR="00CD308A">
        <w:t>.</w:t>
      </w:r>
    </w:p>
    <w:p w:rsidR="00E22301" w:rsidRPr="00B2534E" w:rsidRDefault="00E22301" w:rsidP="00B2534E">
      <w:r w:rsidRPr="00B2534E">
        <w:t>The analysis of the secondary efficacy endpoints in subjects with amenable GLA mutations were summarised descriptively in the mITT population. The results for all secondary efficacy parameters relating to the GFR (</w:t>
      </w:r>
      <w:r w:rsidR="00F570D6">
        <w:t>that is,</w:t>
      </w:r>
      <w:r w:rsidRPr="00B2534E">
        <w:t xml:space="preserve"> the annualised rate of change in eGFR</w:t>
      </w:r>
      <w:r w:rsidRPr="00B2534E">
        <w:rPr>
          <w:sz w:val="18"/>
          <w:szCs w:val="18"/>
        </w:rPr>
        <w:t>MDRD</w:t>
      </w:r>
      <w:r w:rsidRPr="00B2534E">
        <w:t xml:space="preserve"> and the change from baseline in eGFR</w:t>
      </w:r>
      <w:r w:rsidRPr="00B2534E">
        <w:rPr>
          <w:sz w:val="18"/>
          <w:szCs w:val="18"/>
        </w:rPr>
        <w:t>CKD-EPI</w:t>
      </w:r>
      <w:r w:rsidRPr="00B2534E">
        <w:t>, eGFR</w:t>
      </w:r>
      <w:r w:rsidRPr="00B2534E">
        <w:rPr>
          <w:sz w:val="18"/>
          <w:szCs w:val="18"/>
        </w:rPr>
        <w:t>MDRD</w:t>
      </w:r>
      <w:r w:rsidRPr="00B2534E">
        <w:t>, and mGFR</w:t>
      </w:r>
      <w:r w:rsidRPr="00B2534E">
        <w:rPr>
          <w:sz w:val="18"/>
          <w:szCs w:val="18"/>
        </w:rPr>
        <w:t>iohexol</w:t>
      </w:r>
      <w:r w:rsidRPr="00B2534E">
        <w:t>) were consistent with the results for the co-primary primary efficacy analysis. The results for all other secondary efficacy endpoints (0 to 18 months) were similar for the two treatment groups, based on comparisons using descriptive statistics. The increases from baseline to month 18 in 24-hour urine protein and 24-hour urine albumin</w:t>
      </w:r>
      <w:proofErr w:type="gramStart"/>
      <w:r w:rsidRPr="00B2534E">
        <w:t>:creatinine</w:t>
      </w:r>
      <w:proofErr w:type="gramEnd"/>
      <w:r w:rsidRPr="00B2534E">
        <w:t xml:space="preserve"> ratio were comparable between the two treatment groups. The LVMi as assessed by ECHO decreased from baseline to 18 months in subjects in both treatment groups, but to a greater extent in the migalastat group compared to the ERT group. Levels of plasma lyso-Gb</w:t>
      </w:r>
      <w:r w:rsidRPr="00B2534E">
        <w:rPr>
          <w:vertAlign w:val="subscript"/>
        </w:rPr>
        <w:t>3</w:t>
      </w:r>
      <w:r w:rsidRPr="00B2534E">
        <w:t xml:space="preserve"> remained low </w:t>
      </w:r>
      <w:r w:rsidRPr="00B2534E">
        <w:lastRenderedPageBreak/>
        <w:t xml:space="preserve">and stable in subjects with in both treatment groups during the 18-month treatment period.  Males in the migalastat group had an increase in WBC α-Gal </w:t>
      </w:r>
      <w:proofErr w:type="gramStart"/>
      <w:r w:rsidRPr="00B2534E">
        <w:t>A</w:t>
      </w:r>
      <w:proofErr w:type="gramEnd"/>
      <w:r w:rsidRPr="00B2534E">
        <w:t xml:space="preserve"> activity from baseline to month 18. The BPI short form and SF-36 v2 remained stable throughout the 18-month treatment period in both treatment groups. During the 18-month randomised treatment period, the composite clinical outcome in subjects with amenable GLA mutations was 23% in subjects receiving migalastat and 40% in subjects receiving ERT.</w:t>
      </w:r>
    </w:p>
    <w:p w:rsidR="00CD308A" w:rsidRDefault="00E22301" w:rsidP="00B2534E">
      <w:r w:rsidRPr="00B2534E">
        <w:t xml:space="preserve">The long-terms results for </w:t>
      </w:r>
      <w:r w:rsidR="00F570D6">
        <w:t>S</w:t>
      </w:r>
      <w:r w:rsidRPr="00B2534E">
        <w:t>tudy AT1001-012 showed that renal and cardiac response to migalastat (migalastat-migalastat group) in the OLE population was durable throughout the duration of the study (0 through 30 months).  Over the 30 months of treatment, the annualised rate of change GFR parameters remained stable in the migalastat-migalastat group in the OLE population (</w:t>
      </w:r>
      <w:r w:rsidR="00F570D6">
        <w:t>that is,</w:t>
      </w:r>
      <w:r w:rsidRPr="00B2534E">
        <w:t xml:space="preserve"> eGFR</w:t>
      </w:r>
      <w:r w:rsidRPr="00B2534E">
        <w:rPr>
          <w:sz w:val="18"/>
          <w:szCs w:val="18"/>
        </w:rPr>
        <w:t>CKD-EPI</w:t>
      </w:r>
      <w:r w:rsidRPr="00B2534E">
        <w:t>, eGFR</w:t>
      </w:r>
      <w:r w:rsidRPr="00B2534E">
        <w:rPr>
          <w:sz w:val="18"/>
          <w:szCs w:val="18"/>
        </w:rPr>
        <w:t>MDRD</w:t>
      </w:r>
      <w:r w:rsidRPr="00B2534E">
        <w:t xml:space="preserve"> and mGFR</w:t>
      </w:r>
      <w:r w:rsidRPr="00B2534E">
        <w:rPr>
          <w:sz w:val="20"/>
          <w:szCs w:val="20"/>
        </w:rPr>
        <w:t>iohexo</w:t>
      </w:r>
      <w:r w:rsidRPr="00B2534E">
        <w:t>l). In addition, the results for the GFR parameters were consistent across subjects in each of the migalastat-migalastat subgroups based on sex, age, and baseline GFR severity. The LVMi based on ECHO decreased from baseline to month 30 in all subjects and in subjects with LVH at baseline.</w:t>
      </w:r>
    </w:p>
    <w:p w:rsidR="00CD308A" w:rsidRDefault="00E22301" w:rsidP="00B2534E">
      <w:pPr>
        <w:rPr>
          <w:rFonts w:asciiTheme="minorHAnsi" w:eastAsiaTheme="minorHAnsi" w:hAnsiTheme="minorHAnsi"/>
        </w:rPr>
      </w:pPr>
      <w:r w:rsidRPr="00B2534E">
        <w:rPr>
          <w:rFonts w:asciiTheme="minorHAnsi" w:hAnsiTheme="minorHAnsi"/>
        </w:rPr>
        <w:t>In subjects in the migalastat-migalastat group with amenable GLA mutations, the composite clinical outcome was 32% during the 30-months treatment period with migalastat. The percentage of subjects in the migalastat-migalastat group who had a renal, cardiac, or cerebrovascular event during the study (0 to</w:t>
      </w:r>
      <w:r w:rsidR="00F570D6">
        <w:rPr>
          <w:rFonts w:asciiTheme="minorHAnsi" w:hAnsiTheme="minorHAnsi"/>
        </w:rPr>
        <w:t xml:space="preserve"> </w:t>
      </w:r>
      <w:r w:rsidRPr="00B2534E">
        <w:rPr>
          <w:rFonts w:asciiTheme="minorHAnsi" w:hAnsiTheme="minorHAnsi"/>
        </w:rPr>
        <w:t>30 months) was 29%, 3%, and 0%, respectively.</w:t>
      </w:r>
      <w:r w:rsidRPr="00B2534E">
        <w:rPr>
          <w:rFonts w:asciiTheme="minorHAnsi" w:eastAsiaTheme="minorHAnsi" w:hAnsiTheme="minorHAnsi"/>
        </w:rPr>
        <w:t xml:space="preserve"> In subjects in the ERT-migalastat group with GLA amenable mutations, the percentage of subjects who had a composite clinical outcome was comparable during the 18-month randomised treatment period when subjects were receiving ERT (40%) and in the OLE period (40%) when subjects were receiving migalastat (18 to 30 months)</w:t>
      </w:r>
      <w:r w:rsidR="00CD308A">
        <w:rPr>
          <w:rFonts w:asciiTheme="minorHAnsi" w:eastAsiaTheme="minorHAnsi" w:hAnsiTheme="minorHAnsi"/>
        </w:rPr>
        <w:t>.</w:t>
      </w:r>
    </w:p>
    <w:p w:rsidR="00E22301" w:rsidRPr="00B2534E" w:rsidRDefault="00E22301" w:rsidP="00B2534E">
      <w:r w:rsidRPr="00B2534E">
        <w:t>Plasma lyso-Gb</w:t>
      </w:r>
      <w:r w:rsidRPr="00B2534E">
        <w:rPr>
          <w:vertAlign w:val="subscript"/>
        </w:rPr>
        <w:t>3</w:t>
      </w:r>
      <w:r w:rsidRPr="00B2534E">
        <w:t xml:space="preserve"> levels remained low throughout the study, with a slight increase from baseline to</w:t>
      </w:r>
      <w:r w:rsidRPr="00B2534E">
        <w:rPr>
          <w:rFonts w:ascii="MS Mincho" w:eastAsia="MS Mincho" w:hAnsi="MS Mincho" w:cs="MS Mincho"/>
        </w:rPr>
        <w:t xml:space="preserve"> </w:t>
      </w:r>
      <w:r w:rsidRPr="00B2534E">
        <w:t>month 30 in subjects in the migalastat-migalastat group with GLA amenable mutations. In subjects in the ERT-migalastat group with amenable mutations, plasma lyso-Gb</w:t>
      </w:r>
      <w:r w:rsidRPr="00B2534E">
        <w:rPr>
          <w:vertAlign w:val="subscript"/>
        </w:rPr>
        <w:t>3</w:t>
      </w:r>
      <w:r w:rsidRPr="00B2534E">
        <w:t xml:space="preserve"> remained low throughout the 30 month study.  The BPI short form and SF-36 v2 remained stable throughout the 30 month study in the migalastat-migalastat group. </w:t>
      </w:r>
      <w:r w:rsidRPr="00B2534E">
        <w:rPr>
          <w:rFonts w:ascii="MS Mincho" w:eastAsia="MS Mincho" w:hAnsi="MS Mincho" w:cs="MS Mincho" w:hint="eastAsia"/>
        </w:rPr>
        <w:t> </w:t>
      </w:r>
    </w:p>
    <w:p w:rsidR="008E7846" w:rsidRPr="002E238E" w:rsidRDefault="008E7846" w:rsidP="008E7846">
      <w:pPr>
        <w:pStyle w:val="Heading3"/>
      </w:pPr>
      <w:bookmarkStart w:id="98" w:name="_Toc163441378"/>
      <w:bookmarkStart w:id="99" w:name="_Toc196046495"/>
      <w:bookmarkStart w:id="100" w:name="_Toc247691522"/>
      <w:bookmarkStart w:id="101" w:name="_Toc314842505"/>
      <w:bookmarkStart w:id="102" w:name="_Toc524949264"/>
      <w:bookmarkEnd w:id="91"/>
      <w:bookmarkEnd w:id="92"/>
      <w:bookmarkEnd w:id="93"/>
      <w:bookmarkEnd w:id="94"/>
      <w:r w:rsidRPr="002E238E">
        <w:t>Safety</w:t>
      </w:r>
      <w:bookmarkEnd w:id="98"/>
      <w:bookmarkEnd w:id="99"/>
      <w:bookmarkEnd w:id="100"/>
      <w:bookmarkEnd w:id="101"/>
      <w:bookmarkEnd w:id="102"/>
    </w:p>
    <w:p w:rsidR="00605AD4" w:rsidRDefault="00605AD4" w:rsidP="00605AD4">
      <w:pPr>
        <w:pStyle w:val="Heading4"/>
      </w:pPr>
      <w:bookmarkStart w:id="103" w:name="_Toc247691524"/>
      <w:bookmarkStart w:id="104" w:name="_Toc314842508"/>
      <w:bookmarkStart w:id="105" w:name="_Toc196046504"/>
      <w:bookmarkStart w:id="106" w:name="_Toc163441390"/>
      <w:r w:rsidRPr="00605AD4">
        <w:t>Studies providing safety data</w:t>
      </w:r>
    </w:p>
    <w:p w:rsidR="00DE46F9" w:rsidRPr="00DE46F9" w:rsidRDefault="00DE46F9" w:rsidP="00DE46F9">
      <w:r w:rsidRPr="00DE46F9">
        <w:t>The submission did not include an integrated safety summary for migalastat due to differences in subject characteristics (</w:t>
      </w:r>
      <w:r w:rsidR="00231607">
        <w:t>that is</w:t>
      </w:r>
      <w:r w:rsidRPr="00DE46F9">
        <w:t>, healthy volunteers/patients with Fabry disease), study designs and dosing regimens. Therefore, the Summary of Clinical Safety (SCS) presented safety data from the individual studies included in the clinical development program.</w:t>
      </w:r>
    </w:p>
    <w:p w:rsidR="00CD308A" w:rsidRDefault="00DE46F9" w:rsidP="00DE46F9">
      <w:r w:rsidRPr="00DE46F9">
        <w:t xml:space="preserve">The key safety data in the submission are considered to be from the two Phase </w:t>
      </w:r>
      <w:r w:rsidR="00231607">
        <w:t>III</w:t>
      </w:r>
      <w:r w:rsidRPr="00DE46F9">
        <w:t xml:space="preserve"> </w:t>
      </w:r>
      <w:r w:rsidR="00231607">
        <w:t>S</w:t>
      </w:r>
      <w:r w:rsidR="00231607" w:rsidRPr="00DE46F9">
        <w:t xml:space="preserve">tudies </w:t>
      </w:r>
      <w:r w:rsidRPr="00DE46F9">
        <w:t xml:space="preserve">AT1001-011 and AT1001-012. The evaluation of the safety of migalastat in this CER focuses on the safety data from these two studies primarily identified in the individual study reports. The safety data from these two studies are considered to be pivotal because the migalastat dosage regimen and the Fabry patient population reflect the proposed usage of the drug. Furthermore, because </w:t>
      </w:r>
      <w:r w:rsidR="00231607">
        <w:t>S</w:t>
      </w:r>
      <w:r w:rsidRPr="00DE46F9">
        <w:t xml:space="preserve">tudy AT1001-011 included a placebo comparator group (initial 6 months of treatment) and </w:t>
      </w:r>
      <w:r w:rsidR="00231607">
        <w:t>S</w:t>
      </w:r>
      <w:r w:rsidRPr="00DE46F9">
        <w:t xml:space="preserve">tudy AT1001-012 included </w:t>
      </w:r>
      <w:proofErr w:type="gramStart"/>
      <w:r w:rsidRPr="00DE46F9">
        <w:t>an ERT comparator group (initial 18 months of treatment) clinically meaningful comparative assessments</w:t>
      </w:r>
      <w:proofErr w:type="gramEnd"/>
      <w:r w:rsidRPr="00DE46F9">
        <w:t xml:space="preserve"> of the safety of migalastat with placebo and ERT can be made</w:t>
      </w:r>
      <w:r w:rsidR="00CD308A">
        <w:t>.</w:t>
      </w:r>
    </w:p>
    <w:p w:rsidR="00605AD4" w:rsidRDefault="00605AD4" w:rsidP="00605AD4">
      <w:pPr>
        <w:pStyle w:val="Heading4"/>
      </w:pPr>
      <w:r w:rsidRPr="00605AD4">
        <w:t>Patient exposure</w:t>
      </w:r>
    </w:p>
    <w:p w:rsidR="00DE46F9" w:rsidRPr="00DE46F9" w:rsidRDefault="00DE46F9" w:rsidP="00DE46F9">
      <w:r w:rsidRPr="00DE46F9">
        <w:t xml:space="preserve">In the clinical development program, 386 subjects have been exposed to migalastat including 168 subjects with Fabry disease in the Phase </w:t>
      </w:r>
      <w:r w:rsidR="00231607">
        <w:t>II</w:t>
      </w:r>
      <w:r w:rsidRPr="00DE46F9">
        <w:t xml:space="preserve"> (n</w:t>
      </w:r>
      <w:r w:rsidR="00231607">
        <w:t xml:space="preserve"> </w:t>
      </w:r>
      <w:r w:rsidRPr="00DE46F9">
        <w:t>=</w:t>
      </w:r>
      <w:r w:rsidR="00231607">
        <w:t xml:space="preserve"> </w:t>
      </w:r>
      <w:r w:rsidRPr="00DE46F9">
        <w:t xml:space="preserve">53) and Phase </w:t>
      </w:r>
      <w:r w:rsidR="00231607">
        <w:t>III</w:t>
      </w:r>
      <w:r w:rsidRPr="00DE46F9">
        <w:t xml:space="preserve"> (n</w:t>
      </w:r>
      <w:r w:rsidR="00231607">
        <w:t> </w:t>
      </w:r>
      <w:r w:rsidRPr="00DE46F9">
        <w:t>=</w:t>
      </w:r>
      <w:r w:rsidR="00231607">
        <w:t> </w:t>
      </w:r>
      <w:r w:rsidRPr="00DE46F9">
        <w:t xml:space="preserve">115) </w:t>
      </w:r>
      <w:r w:rsidRPr="00DE46F9">
        <w:lastRenderedPageBreak/>
        <w:t>studies. One-hundred and nineteen (119) patients with Fabry disease have been treated for at least 1 year. The longest patient exposure at the time of the submission was 9.8 years.</w:t>
      </w:r>
    </w:p>
    <w:p w:rsidR="00CD308A" w:rsidRDefault="00DE46F9" w:rsidP="00DE46F9">
      <w:r w:rsidRPr="00DE46F9">
        <w:t xml:space="preserve">In the 10 Phase </w:t>
      </w:r>
      <w:r w:rsidR="00231607">
        <w:t>I</w:t>
      </w:r>
      <w:r w:rsidRPr="00DE46F9">
        <w:t xml:space="preserve"> studies, 218 subjects were exposed to migalastat and 24 to placebo. These studies were performed in healthy volunteers, apart from </w:t>
      </w:r>
      <w:r w:rsidR="00231607">
        <w:t>S</w:t>
      </w:r>
      <w:r w:rsidRPr="00DE46F9">
        <w:t>tudy AT1001-015 which included patients with renal impairment.</w:t>
      </w:r>
    </w:p>
    <w:p w:rsidR="00CD308A" w:rsidRDefault="00DE46F9" w:rsidP="00DE46F9">
      <w:r w:rsidRPr="00DE46F9">
        <w:t xml:space="preserve">In the 6 Phase </w:t>
      </w:r>
      <w:r w:rsidR="00231607">
        <w:t>II</w:t>
      </w:r>
      <w:r w:rsidRPr="00DE46F9">
        <w:t xml:space="preserve"> and 4 Phase </w:t>
      </w:r>
      <w:r w:rsidR="00231607">
        <w:t>III</w:t>
      </w:r>
      <w:r w:rsidRPr="00DE46F9">
        <w:t xml:space="preserve"> studies, 180 subjects with Fabry disease were assessed, including 168 subjects exposed to migalastat. The migalastat Phase </w:t>
      </w:r>
      <w:r w:rsidR="00231607">
        <w:t>III</w:t>
      </w:r>
      <w:r w:rsidRPr="00DE46F9">
        <w:t xml:space="preserve"> studies also included 21 subjects exposed to ERT and 33 subjects exposed to placebo, and of these, 15 of the ERT exposed subjects and 30 of the placebo exposed subjects were later exposed to migalastat. The exposure data for oral migalastat in patients with Fabry disease in the Phase </w:t>
      </w:r>
      <w:r w:rsidR="00231607">
        <w:t>II</w:t>
      </w:r>
      <w:r w:rsidR="00231607" w:rsidRPr="00DE46F9">
        <w:t xml:space="preserve"> </w:t>
      </w:r>
      <w:r w:rsidRPr="00DE46F9">
        <w:t xml:space="preserve">and </w:t>
      </w:r>
      <w:r w:rsidR="00231607">
        <w:t>IIII</w:t>
      </w:r>
      <w:r w:rsidR="00231607" w:rsidRPr="00DE46F9">
        <w:t xml:space="preserve"> </w:t>
      </w:r>
      <w:r w:rsidRPr="00DE46F9">
        <w:t>studies are summarised</w:t>
      </w:r>
      <w:r w:rsidR="00CD308A">
        <w:t>.</w:t>
      </w:r>
    </w:p>
    <w:p w:rsidR="00605AD4" w:rsidRDefault="00605AD4" w:rsidP="00605AD4">
      <w:pPr>
        <w:pStyle w:val="Heading4"/>
      </w:pPr>
      <w:r w:rsidRPr="00605AD4">
        <w:t>Safety issues with the potential for major regulatory impact</w:t>
      </w:r>
    </w:p>
    <w:p w:rsidR="00DE46F9" w:rsidRDefault="00DE46F9" w:rsidP="00DE46F9">
      <w:pPr>
        <w:pStyle w:val="Heading5"/>
      </w:pPr>
      <w:bookmarkStart w:id="107" w:name="_Toc272414669"/>
      <w:bookmarkStart w:id="108" w:name="_Toc290888533"/>
      <w:bookmarkStart w:id="109" w:name="_Toc416353749"/>
      <w:bookmarkStart w:id="110" w:name="_Toc421005292"/>
      <w:bookmarkStart w:id="111" w:name="_Toc432079169"/>
      <w:bookmarkStart w:id="112" w:name="_Toc432080742"/>
      <w:r w:rsidRPr="00545B14">
        <w:t>Liver function</w:t>
      </w:r>
      <w:bookmarkEnd w:id="107"/>
      <w:bookmarkEnd w:id="108"/>
      <w:bookmarkEnd w:id="109"/>
      <w:bookmarkEnd w:id="110"/>
      <w:r>
        <w:t xml:space="preserve"> and liver toxicity</w:t>
      </w:r>
      <w:bookmarkEnd w:id="111"/>
      <w:bookmarkEnd w:id="112"/>
    </w:p>
    <w:p w:rsidR="00DE46F9" w:rsidRPr="00212831" w:rsidRDefault="00231607" w:rsidP="00DE46F9">
      <w:pPr>
        <w:pStyle w:val="Heading6"/>
        <w:rPr>
          <w:lang w:eastAsia="ja-JP"/>
        </w:rPr>
      </w:pPr>
      <w:r>
        <w:rPr>
          <w:lang w:eastAsia="ja-JP"/>
        </w:rPr>
        <w:t xml:space="preserve">Study </w:t>
      </w:r>
      <w:r w:rsidR="00DE46F9" w:rsidRPr="00212831">
        <w:rPr>
          <w:lang w:eastAsia="ja-JP"/>
        </w:rPr>
        <w:t>AT1001-011</w:t>
      </w:r>
    </w:p>
    <w:p w:rsidR="00CD308A" w:rsidRDefault="00DE46F9" w:rsidP="00DE46F9">
      <w:pPr>
        <w:pStyle w:val="ListBullet"/>
        <w:rPr>
          <w:lang w:eastAsia="ja-JP"/>
        </w:rPr>
      </w:pPr>
      <w:r>
        <w:rPr>
          <w:lang w:eastAsia="ja-JP"/>
        </w:rPr>
        <w:t xml:space="preserve">In </w:t>
      </w:r>
      <w:r w:rsidRPr="00ED4723">
        <w:rPr>
          <w:lang w:eastAsia="ja-JP"/>
        </w:rPr>
        <w:t>Stages 1 and 2, there were no hepatobiliary disorders (</w:t>
      </w:r>
      <w:r w:rsidR="00231607">
        <w:rPr>
          <w:lang w:eastAsia="ja-JP"/>
        </w:rPr>
        <w:t>System Organ Class (</w:t>
      </w:r>
      <w:r w:rsidRPr="00ED4723">
        <w:rPr>
          <w:lang w:eastAsia="ja-JP"/>
        </w:rPr>
        <w:t>SOC</w:t>
      </w:r>
      <w:r w:rsidR="00231607">
        <w:rPr>
          <w:lang w:eastAsia="ja-JP"/>
        </w:rPr>
        <w:t>)</w:t>
      </w:r>
      <w:r w:rsidRPr="00ED4723">
        <w:rPr>
          <w:lang w:eastAsia="ja-JP"/>
        </w:rPr>
        <w:t>) reported in either the migalastat-migalastat group or the placebo-migalastat group. In the OLE, hepatobiliary disorders (SOC) were reported in</w:t>
      </w:r>
      <w:r>
        <w:rPr>
          <w:lang w:eastAsia="ja-JP"/>
        </w:rPr>
        <w:t xml:space="preserve"> 3% (n</w:t>
      </w:r>
      <w:r w:rsidR="00231607">
        <w:rPr>
          <w:lang w:eastAsia="ja-JP"/>
        </w:rPr>
        <w:t xml:space="preserve"> </w:t>
      </w:r>
      <w:r>
        <w:rPr>
          <w:lang w:eastAsia="ja-JP"/>
        </w:rPr>
        <w:t>=</w:t>
      </w:r>
      <w:r w:rsidR="00231607">
        <w:rPr>
          <w:lang w:eastAsia="ja-JP"/>
        </w:rPr>
        <w:t xml:space="preserve"> </w:t>
      </w:r>
      <w:r>
        <w:rPr>
          <w:lang w:eastAsia="ja-JP"/>
        </w:rPr>
        <w:t>1) of subjects in the migalastat-migalastat group (1</w:t>
      </w:r>
      <w:r w:rsidR="00231607">
        <w:rPr>
          <w:lang w:eastAsia="ja-JP"/>
        </w:rPr>
        <w:t xml:space="preserve"> </w:t>
      </w:r>
      <w:r>
        <w:rPr>
          <w:lang w:eastAsia="ja-JP"/>
        </w:rPr>
        <w:t>x hepatocellular injury) and no subjects in the placebo-migalastat group. No serious treatment-emergent hepatobiliary disorders were reported during the study</w:t>
      </w:r>
      <w:r w:rsidR="00CD308A">
        <w:rPr>
          <w:lang w:eastAsia="ja-JP"/>
        </w:rPr>
        <w:t>.</w:t>
      </w:r>
    </w:p>
    <w:p w:rsidR="00DE46F9" w:rsidRDefault="00DE46F9" w:rsidP="00DE46F9">
      <w:pPr>
        <w:pStyle w:val="ListBullet"/>
        <w:rPr>
          <w:lang w:eastAsia="ja-JP"/>
        </w:rPr>
      </w:pPr>
      <w:r>
        <w:rPr>
          <w:lang w:eastAsia="ja-JP"/>
        </w:rPr>
        <w:t xml:space="preserve">There were no clinically meaningful changes from baseline in clinical chemistry parameters relating to hepatic function. There were no potentially clinically significant results for </w:t>
      </w:r>
      <w:r w:rsidR="00231607">
        <w:rPr>
          <w:lang w:eastAsia="ja-JP"/>
        </w:rPr>
        <w:t>alanine transaminase (</w:t>
      </w:r>
      <w:r>
        <w:rPr>
          <w:lang w:eastAsia="ja-JP"/>
        </w:rPr>
        <w:t>ALT</w:t>
      </w:r>
      <w:r w:rsidR="00231607">
        <w:rPr>
          <w:lang w:eastAsia="ja-JP"/>
        </w:rPr>
        <w:t>)</w:t>
      </w:r>
      <w:r>
        <w:rPr>
          <w:lang w:eastAsia="ja-JP"/>
        </w:rPr>
        <w:t xml:space="preserve">, </w:t>
      </w:r>
      <w:r w:rsidR="00231607">
        <w:rPr>
          <w:lang w:eastAsia="ja-JP"/>
        </w:rPr>
        <w:t>aspartate transaminase (</w:t>
      </w:r>
      <w:r>
        <w:rPr>
          <w:lang w:eastAsia="ja-JP"/>
        </w:rPr>
        <w:t>AST</w:t>
      </w:r>
      <w:r w:rsidR="00231607">
        <w:rPr>
          <w:lang w:eastAsia="ja-JP"/>
        </w:rPr>
        <w:t>)</w:t>
      </w:r>
      <w:r>
        <w:rPr>
          <w:lang w:eastAsia="ja-JP"/>
        </w:rPr>
        <w:t>, alkaline phosphatase or bilirubin in any of the treatment groups during the study.</w:t>
      </w:r>
      <w:r w:rsidRPr="00352399">
        <w:rPr>
          <w:rFonts w:cs="Calibri"/>
          <w:lang w:eastAsia="ja-JP"/>
        </w:rPr>
        <w:t xml:space="preserve"> </w:t>
      </w:r>
      <w:r>
        <w:rPr>
          <w:rFonts w:cs="Calibri"/>
          <w:lang w:eastAsia="ja-JP"/>
        </w:rPr>
        <w:t>The criteria for potentially clinically significant laboratory abnormalities are summarised.</w:t>
      </w:r>
    </w:p>
    <w:p w:rsidR="00DE46F9" w:rsidRPr="00C6102C" w:rsidRDefault="00231607" w:rsidP="00DE46F9">
      <w:pPr>
        <w:pStyle w:val="Heading6"/>
        <w:rPr>
          <w:lang w:eastAsia="ja-JP"/>
        </w:rPr>
      </w:pPr>
      <w:bookmarkStart w:id="113" w:name="_Toc272414670"/>
      <w:bookmarkStart w:id="114" w:name="_Toc290888534"/>
      <w:bookmarkStart w:id="115" w:name="_Toc416353750"/>
      <w:bookmarkStart w:id="116" w:name="_Toc421005293"/>
      <w:bookmarkStart w:id="117" w:name="_Toc432079170"/>
      <w:bookmarkStart w:id="118" w:name="_Toc432080743"/>
      <w:r>
        <w:rPr>
          <w:lang w:eastAsia="ja-JP"/>
        </w:rPr>
        <w:t xml:space="preserve">Study </w:t>
      </w:r>
      <w:r w:rsidR="00DE46F9" w:rsidRPr="00C6102C">
        <w:rPr>
          <w:lang w:eastAsia="ja-JP"/>
        </w:rPr>
        <w:t>AT1001-012</w:t>
      </w:r>
    </w:p>
    <w:p w:rsidR="00DE46F9" w:rsidRPr="00ED4723" w:rsidRDefault="00DE46F9" w:rsidP="00DE46F9">
      <w:pPr>
        <w:pStyle w:val="ListBullet"/>
        <w:rPr>
          <w:lang w:eastAsia="ja-JP"/>
        </w:rPr>
      </w:pPr>
      <w:r w:rsidRPr="00ED4723">
        <w:rPr>
          <w:lang w:eastAsia="ja-JP"/>
        </w:rPr>
        <w:t>In the 18-month treatment-period, hepatobiliary disorders (SOC) were reported in 11% (n</w:t>
      </w:r>
      <w:r w:rsidR="00231607">
        <w:rPr>
          <w:lang w:eastAsia="ja-JP"/>
        </w:rPr>
        <w:t xml:space="preserve"> </w:t>
      </w:r>
      <w:r w:rsidRPr="00ED4723">
        <w:rPr>
          <w:lang w:eastAsia="ja-JP"/>
        </w:rPr>
        <w:t>=</w:t>
      </w:r>
      <w:r w:rsidR="00231607">
        <w:rPr>
          <w:lang w:eastAsia="ja-JP"/>
        </w:rPr>
        <w:t xml:space="preserve"> </w:t>
      </w:r>
      <w:r w:rsidRPr="00ED4723">
        <w:rPr>
          <w:lang w:eastAsia="ja-JP"/>
        </w:rPr>
        <w:t xml:space="preserve">4) of subjects in the migalastat group and no subjects in the ERT group. The TEAEs in the 4 subjects in the migalastat group were 1 each for bile duct stone, cholelithiasis, gall bladder disorder, gall bladder polyp, and hepatic steatosis. There was 1 hepatic disorder (SOC) treatment-emergent SAE (bile duct stone). </w:t>
      </w:r>
      <w:r w:rsidRPr="00ED4723">
        <w:t>In the safety population (0</w:t>
      </w:r>
      <w:r w:rsidR="00231607">
        <w:t xml:space="preserve"> to </w:t>
      </w:r>
      <w:r w:rsidRPr="00ED4723">
        <w:t xml:space="preserve">30 months), </w:t>
      </w:r>
      <w:r w:rsidRPr="00ED4723">
        <w:rPr>
          <w:lang w:eastAsia="ja-JP"/>
        </w:rPr>
        <w:t>hepatobiliary disorders (SOC) were reported in 8% (n</w:t>
      </w:r>
      <w:r w:rsidR="00231607">
        <w:rPr>
          <w:lang w:eastAsia="ja-JP"/>
        </w:rPr>
        <w:t> </w:t>
      </w:r>
      <w:r w:rsidRPr="00ED4723">
        <w:rPr>
          <w:lang w:eastAsia="ja-JP"/>
        </w:rPr>
        <w:t>=</w:t>
      </w:r>
      <w:r w:rsidR="00231607">
        <w:rPr>
          <w:lang w:eastAsia="ja-JP"/>
        </w:rPr>
        <w:t> </w:t>
      </w:r>
      <w:r w:rsidRPr="00ED4723">
        <w:rPr>
          <w:lang w:eastAsia="ja-JP"/>
        </w:rPr>
        <w:t>4) of subjects. The TEAEs in the 4 subjects were 1 each for cholelithiasis, gall bladder disorder, gall bladder polyp, hepatic function abnormality, and hepatic steatosis. There was 1 hepatobiliary (SOC) treatment-emergent SAE (bile duct stone).</w:t>
      </w:r>
    </w:p>
    <w:p w:rsidR="00CD308A" w:rsidRDefault="00DE46F9" w:rsidP="00DE46F9">
      <w:pPr>
        <w:pStyle w:val="ListBullet"/>
        <w:rPr>
          <w:lang w:eastAsia="ja-JP"/>
        </w:rPr>
      </w:pPr>
      <w:r>
        <w:rPr>
          <w:lang w:eastAsia="ja-JP"/>
        </w:rPr>
        <w:t xml:space="preserve">The clinical chemistry data relating to liver function testing demonstrated no clinically meaningful changes in </w:t>
      </w:r>
      <w:r w:rsidRPr="00ED4723">
        <w:rPr>
          <w:lang w:eastAsia="ja-JP"/>
        </w:rPr>
        <w:t>mean values from baseline during the study, or in shifts from normal baseline values. In the 18-month treatment period there were no potentially clinically significant abnormalities relating to liver function tests in either the migalastat or the placebo group (</w:t>
      </w:r>
      <w:r w:rsidR="00231607">
        <w:rPr>
          <w:lang w:eastAsia="ja-JP"/>
        </w:rPr>
        <w:t>that is,</w:t>
      </w:r>
      <w:r w:rsidRPr="00ED4723">
        <w:rPr>
          <w:lang w:eastAsia="ja-JP"/>
        </w:rPr>
        <w:t xml:space="preserve"> ALT, AST, </w:t>
      </w:r>
      <w:r w:rsidR="00231607">
        <w:rPr>
          <w:lang w:eastAsia="ja-JP"/>
        </w:rPr>
        <w:t>a</w:t>
      </w:r>
      <w:r w:rsidR="00231607" w:rsidRPr="00ED4723">
        <w:rPr>
          <w:lang w:eastAsia="ja-JP"/>
        </w:rPr>
        <w:t xml:space="preserve">lkaline </w:t>
      </w:r>
      <w:r w:rsidR="00231607">
        <w:rPr>
          <w:lang w:eastAsia="ja-JP"/>
        </w:rPr>
        <w:t>p</w:t>
      </w:r>
      <w:r w:rsidR="00231607" w:rsidRPr="00ED4723">
        <w:rPr>
          <w:lang w:eastAsia="ja-JP"/>
        </w:rPr>
        <w:t>hosphatase</w:t>
      </w:r>
      <w:r w:rsidRPr="00ED4723">
        <w:rPr>
          <w:lang w:eastAsia="ja-JP"/>
        </w:rPr>
        <w:t>, bilirubin). In the OLE the only potentially clinical significant abnormality relating to liver function tests was high bilirubin in 1 (3%) subject in the migalastat-migalastat group. There were no</w:t>
      </w:r>
      <w:r>
        <w:rPr>
          <w:lang w:eastAsia="ja-JP"/>
        </w:rPr>
        <w:t xml:space="preserve"> potentially clinical significant results relating to other liver function tests in the OLE (</w:t>
      </w:r>
      <w:r w:rsidR="00231607">
        <w:rPr>
          <w:lang w:eastAsia="ja-JP"/>
        </w:rPr>
        <w:t xml:space="preserve">that is, </w:t>
      </w:r>
      <w:r>
        <w:rPr>
          <w:lang w:eastAsia="ja-JP"/>
        </w:rPr>
        <w:t xml:space="preserve">ALT, AST, </w:t>
      </w:r>
      <w:r w:rsidR="00231607">
        <w:rPr>
          <w:lang w:eastAsia="ja-JP"/>
        </w:rPr>
        <w:t>alkaline phosphatase</w:t>
      </w:r>
      <w:r>
        <w:rPr>
          <w:lang w:eastAsia="ja-JP"/>
        </w:rPr>
        <w:t>). The criteria for potentially clinically significant laboratory</w:t>
      </w:r>
      <w:r w:rsidR="00A54993">
        <w:rPr>
          <w:lang w:eastAsia="ja-JP"/>
        </w:rPr>
        <w:t xml:space="preserve"> abnormalities are summarised</w:t>
      </w:r>
      <w:r w:rsidR="00CD308A">
        <w:rPr>
          <w:lang w:eastAsia="ja-JP"/>
        </w:rPr>
        <w:t>.</w:t>
      </w:r>
    </w:p>
    <w:p w:rsidR="00DE46F9" w:rsidRDefault="00DE46F9" w:rsidP="00DE46F9">
      <w:pPr>
        <w:pStyle w:val="Heading5"/>
      </w:pPr>
      <w:r>
        <w:lastRenderedPageBreak/>
        <w:t xml:space="preserve">Renal </w:t>
      </w:r>
      <w:r w:rsidRPr="00545B14">
        <w:t>function</w:t>
      </w:r>
      <w:bookmarkEnd w:id="113"/>
      <w:bookmarkEnd w:id="114"/>
      <w:bookmarkEnd w:id="115"/>
      <w:bookmarkEnd w:id="116"/>
      <w:r>
        <w:t xml:space="preserve"> and renal toxicity</w:t>
      </w:r>
      <w:bookmarkEnd w:id="117"/>
      <w:bookmarkEnd w:id="118"/>
    </w:p>
    <w:p w:rsidR="00CD308A" w:rsidRDefault="00DE46F9" w:rsidP="00DE46F9">
      <w:pPr>
        <w:pStyle w:val="Heading6"/>
        <w:rPr>
          <w:lang w:eastAsia="ja-JP"/>
        </w:rPr>
      </w:pPr>
      <w:r w:rsidRPr="00C45072">
        <w:rPr>
          <w:lang w:eastAsia="ja-JP"/>
        </w:rPr>
        <w:t>Study AT1001-011</w:t>
      </w:r>
    </w:p>
    <w:p w:rsidR="00CD308A" w:rsidRDefault="00DE46F9" w:rsidP="00DE46F9">
      <w:pPr>
        <w:pStyle w:val="ListBullet"/>
        <w:rPr>
          <w:lang w:eastAsia="ja-JP"/>
        </w:rPr>
      </w:pPr>
      <w:r w:rsidRPr="00A54993">
        <w:rPr>
          <w:lang w:eastAsia="ja-JP"/>
        </w:rPr>
        <w:t>In Stage 1, renal and urinary disorders (SOC) were reported in 12% (n</w:t>
      </w:r>
      <w:r w:rsidR="00231607">
        <w:rPr>
          <w:lang w:eastAsia="ja-JP"/>
        </w:rPr>
        <w:t xml:space="preserve"> </w:t>
      </w:r>
      <w:r w:rsidRPr="00A54993">
        <w:rPr>
          <w:lang w:eastAsia="ja-JP"/>
        </w:rPr>
        <w:t>=</w:t>
      </w:r>
      <w:r w:rsidR="00231607">
        <w:rPr>
          <w:lang w:eastAsia="ja-JP"/>
        </w:rPr>
        <w:t xml:space="preserve"> </w:t>
      </w:r>
      <w:r w:rsidRPr="00A54993">
        <w:rPr>
          <w:lang w:eastAsia="ja-JP"/>
        </w:rPr>
        <w:t>4) of subjects in both the migalastat group and the placebo group. In the migalastat group, the TEAEs were haematuria (x</w:t>
      </w:r>
      <w:r w:rsidR="00231607">
        <w:rPr>
          <w:lang w:eastAsia="ja-JP"/>
        </w:rPr>
        <w:t xml:space="preserve"> </w:t>
      </w:r>
      <w:r w:rsidRPr="00A54993">
        <w:rPr>
          <w:lang w:eastAsia="ja-JP"/>
        </w:rPr>
        <w:t>3) and 1 each for hydronephrosis, leucocyturia and renal impairment. In the placebo group, the TEAEs were 1 each for hypertonic bladder, nephrolithiasis, nephropathy, pyuria, and urine abnormality. Serious treatment-emergent renal and urinary disorders (SOC) were reported in 1 (3%) subject in the migalastat group (hydronephrosis) and no subjects in the placebo group</w:t>
      </w:r>
      <w:r w:rsidR="00CD308A">
        <w:rPr>
          <w:lang w:eastAsia="ja-JP"/>
        </w:rPr>
        <w:t>.</w:t>
      </w:r>
    </w:p>
    <w:p w:rsidR="00CD308A" w:rsidRDefault="00DE46F9" w:rsidP="00DE46F9">
      <w:pPr>
        <w:pStyle w:val="ListBullet"/>
        <w:rPr>
          <w:lang w:eastAsia="ja-JP"/>
        </w:rPr>
      </w:pPr>
      <w:r w:rsidRPr="00A54993">
        <w:rPr>
          <w:lang w:eastAsia="ja-JP"/>
        </w:rPr>
        <w:t>In Stage 2, renal and urinary disorders (SOC) were reported in 6% (n</w:t>
      </w:r>
      <w:r w:rsidR="00231607">
        <w:rPr>
          <w:lang w:eastAsia="ja-JP"/>
        </w:rPr>
        <w:t xml:space="preserve"> </w:t>
      </w:r>
      <w:r w:rsidRPr="00A54993">
        <w:rPr>
          <w:lang w:eastAsia="ja-JP"/>
        </w:rPr>
        <w:t>=</w:t>
      </w:r>
      <w:r w:rsidR="00231607">
        <w:rPr>
          <w:lang w:eastAsia="ja-JP"/>
        </w:rPr>
        <w:t xml:space="preserve"> </w:t>
      </w:r>
      <w:r w:rsidRPr="00A54993">
        <w:rPr>
          <w:lang w:eastAsia="ja-JP"/>
        </w:rPr>
        <w:t>2) of subjects in the migalastat-migalastat group and 10% (n</w:t>
      </w:r>
      <w:r w:rsidR="00231607">
        <w:rPr>
          <w:lang w:eastAsia="ja-JP"/>
        </w:rPr>
        <w:t xml:space="preserve"> </w:t>
      </w:r>
      <w:r w:rsidRPr="00A54993">
        <w:rPr>
          <w:lang w:eastAsia="ja-JP"/>
        </w:rPr>
        <w:t>=</w:t>
      </w:r>
      <w:r w:rsidR="00231607">
        <w:rPr>
          <w:lang w:eastAsia="ja-JP"/>
        </w:rPr>
        <w:t xml:space="preserve"> </w:t>
      </w:r>
      <w:r w:rsidRPr="00A54993">
        <w:rPr>
          <w:lang w:eastAsia="ja-JP"/>
        </w:rPr>
        <w:t>3) of subjects in the placebo-migalastat group. In the migalastat-migalastat group, the TEAEs were 1 each for haematuria and proteinuria. In the placebo-migalastat group, the TEAEs were 1 each for haematuria, pollakiuria, and urine abnormality. No serious treatment-emergent renal and urinary disorders (SOC) were reported in Stage 2</w:t>
      </w:r>
      <w:r w:rsidR="00CD308A">
        <w:rPr>
          <w:lang w:eastAsia="ja-JP"/>
        </w:rPr>
        <w:t>.</w:t>
      </w:r>
    </w:p>
    <w:p w:rsidR="00CD308A" w:rsidRDefault="00DE46F9" w:rsidP="00DE46F9">
      <w:pPr>
        <w:pStyle w:val="ListBullet"/>
        <w:rPr>
          <w:lang w:eastAsia="ja-JP"/>
        </w:rPr>
      </w:pPr>
      <w:r w:rsidRPr="00A54993">
        <w:rPr>
          <w:lang w:eastAsia="ja-JP"/>
        </w:rPr>
        <w:t>In the OLE, renal and urinary disorders (SOC) were reported in 28% (n</w:t>
      </w:r>
      <w:r w:rsidR="00231607">
        <w:rPr>
          <w:lang w:eastAsia="ja-JP"/>
        </w:rPr>
        <w:t xml:space="preserve"> </w:t>
      </w:r>
      <w:r w:rsidRPr="00A54993">
        <w:rPr>
          <w:lang w:eastAsia="ja-JP"/>
        </w:rPr>
        <w:t>=</w:t>
      </w:r>
      <w:r w:rsidR="00231607">
        <w:rPr>
          <w:lang w:eastAsia="ja-JP"/>
        </w:rPr>
        <w:t xml:space="preserve"> </w:t>
      </w:r>
      <w:r w:rsidRPr="00A54993">
        <w:rPr>
          <w:lang w:eastAsia="ja-JP"/>
        </w:rPr>
        <w:t>8) of subjects in the migalastat-migalastat group and 21% (n</w:t>
      </w:r>
      <w:r w:rsidR="00231607">
        <w:rPr>
          <w:lang w:eastAsia="ja-JP"/>
        </w:rPr>
        <w:t xml:space="preserve"> </w:t>
      </w:r>
      <w:r w:rsidRPr="00A54993">
        <w:rPr>
          <w:lang w:eastAsia="ja-JP"/>
        </w:rPr>
        <w:t>=</w:t>
      </w:r>
      <w:r w:rsidR="00231607">
        <w:rPr>
          <w:lang w:eastAsia="ja-JP"/>
        </w:rPr>
        <w:t xml:space="preserve"> </w:t>
      </w:r>
      <w:r w:rsidRPr="00A54993">
        <w:rPr>
          <w:lang w:eastAsia="ja-JP"/>
        </w:rPr>
        <w:t>6) of subjects in the placebo-migalastat group. In the migalastat-migalastat group, the TEAEs were proteinuria (x</w:t>
      </w:r>
      <w:r w:rsidR="00231607">
        <w:rPr>
          <w:lang w:eastAsia="ja-JP"/>
        </w:rPr>
        <w:t> </w:t>
      </w:r>
      <w:r w:rsidRPr="00A54993">
        <w:rPr>
          <w:lang w:eastAsia="ja-JP"/>
        </w:rPr>
        <w:t>4), dysuria (x</w:t>
      </w:r>
      <w:r w:rsidR="00231607">
        <w:rPr>
          <w:lang w:eastAsia="ja-JP"/>
        </w:rPr>
        <w:t> </w:t>
      </w:r>
      <w:r w:rsidRPr="00A54993">
        <w:rPr>
          <w:lang w:eastAsia="ja-JP"/>
        </w:rPr>
        <w:t>2), and 1 each for costovertebral tenderness, nephrolithiasis, and urinary retention. In the placebo-migalastat group, the TEAEs were proteinuria (x</w:t>
      </w:r>
      <w:r w:rsidR="00231607">
        <w:rPr>
          <w:lang w:eastAsia="ja-JP"/>
        </w:rPr>
        <w:t> </w:t>
      </w:r>
      <w:r w:rsidRPr="00A54993">
        <w:rPr>
          <w:lang w:eastAsia="ja-JP"/>
        </w:rPr>
        <w:t>5) and micoalbuminuria (x</w:t>
      </w:r>
      <w:r w:rsidR="00231607">
        <w:rPr>
          <w:lang w:eastAsia="ja-JP"/>
        </w:rPr>
        <w:t> </w:t>
      </w:r>
      <w:r w:rsidRPr="00A54993">
        <w:rPr>
          <w:lang w:eastAsia="ja-JP"/>
        </w:rPr>
        <w:t>3).  No serious treatment-emergent renal and urinary disorders (SOC) were reported in the OLE</w:t>
      </w:r>
      <w:r w:rsidR="00CD308A">
        <w:rPr>
          <w:lang w:eastAsia="ja-JP"/>
        </w:rPr>
        <w:t>.</w:t>
      </w:r>
    </w:p>
    <w:p w:rsidR="00DE46F9" w:rsidRPr="00A54993" w:rsidRDefault="00DE46F9" w:rsidP="00DE46F9">
      <w:pPr>
        <w:pStyle w:val="ListBullet"/>
      </w:pPr>
      <w:r w:rsidRPr="00A54993">
        <w:t>There were no clinically meaningful changes from baseline in renal function clinical chemistry parameters during the study in any of the treatment groups. In Stage 1, potentially clinically significant results for clinical chemistry parameters (migalastat v</w:t>
      </w:r>
      <w:r w:rsidR="00231607">
        <w:t>ersu</w:t>
      </w:r>
      <w:r w:rsidRPr="00A54993">
        <w:t>s placebo) were observed for high blood urea nitrogen (0% v</w:t>
      </w:r>
      <w:r w:rsidR="00231607">
        <w:t>ersu</w:t>
      </w:r>
      <w:r w:rsidRPr="00A54993">
        <w:t>s 6%, 2/33), and high creatinine (3%, 1/34 v</w:t>
      </w:r>
      <w:r w:rsidR="00231607">
        <w:t>ersu</w:t>
      </w:r>
      <w:r w:rsidRPr="00A54993">
        <w:t>s 0%). In Stage 2, the only potentially clinically significant result for clinical chemistry parameters (migalastat-migalastat</w:t>
      </w:r>
      <w:r w:rsidR="00D87C4B">
        <w:t xml:space="preserve"> versus </w:t>
      </w:r>
      <w:r w:rsidRPr="00A54993">
        <w:t>placebo-migalastat) was high blood urea nitrogen (0% v</w:t>
      </w:r>
      <w:r w:rsidR="00231607">
        <w:t>ersu</w:t>
      </w:r>
      <w:r w:rsidRPr="00A54993">
        <w:t>s 7%, 2/30). In Stage 3, the only potentially clinically significant result for clinical chemistry parameters (migalastat-migalastat v</w:t>
      </w:r>
      <w:r w:rsidR="00231607">
        <w:t>ersu</w:t>
      </w:r>
      <w:r w:rsidRPr="00A54993">
        <w:t>s placebo-migalastat) was high blood urea nitrogen (0% v</w:t>
      </w:r>
      <w:r w:rsidR="00231607">
        <w:t>ersu</w:t>
      </w:r>
      <w:r w:rsidRPr="00A54993">
        <w:t xml:space="preserve">s 4%, 1/28). </w:t>
      </w:r>
      <w:r w:rsidRPr="00A54993">
        <w:rPr>
          <w:rFonts w:cs="Calibri"/>
          <w:lang w:eastAsia="ja-JP"/>
        </w:rPr>
        <w:t>The criteria for potentially clinically significant laboratory abnor</w:t>
      </w:r>
      <w:r w:rsidR="00A54993">
        <w:rPr>
          <w:rFonts w:cs="Calibri"/>
          <w:lang w:eastAsia="ja-JP"/>
        </w:rPr>
        <w:t>malities are summarised</w:t>
      </w:r>
      <w:r w:rsidRPr="00A54993">
        <w:rPr>
          <w:rFonts w:cs="Calibri"/>
          <w:lang w:eastAsia="ja-JP"/>
        </w:rPr>
        <w:t>.</w:t>
      </w:r>
    </w:p>
    <w:p w:rsidR="00CD308A" w:rsidRDefault="00DE46F9" w:rsidP="00DE46F9">
      <w:pPr>
        <w:pStyle w:val="Heading6"/>
        <w:rPr>
          <w:lang w:eastAsia="ja-JP"/>
        </w:rPr>
      </w:pPr>
      <w:bookmarkStart w:id="119" w:name="_Toc272414671"/>
      <w:bookmarkStart w:id="120" w:name="_Toc290888535"/>
      <w:bookmarkStart w:id="121" w:name="_Toc416353751"/>
      <w:bookmarkStart w:id="122" w:name="_Toc421005294"/>
      <w:bookmarkStart w:id="123" w:name="_Toc432079171"/>
      <w:bookmarkStart w:id="124" w:name="_Toc432080744"/>
      <w:r w:rsidRPr="00711E28">
        <w:rPr>
          <w:lang w:eastAsia="ja-JP"/>
        </w:rPr>
        <w:t>Study AT</w:t>
      </w:r>
      <w:r>
        <w:rPr>
          <w:lang w:eastAsia="ja-JP"/>
        </w:rPr>
        <w:t>1</w:t>
      </w:r>
      <w:r w:rsidRPr="00711E28">
        <w:rPr>
          <w:lang w:eastAsia="ja-JP"/>
        </w:rPr>
        <w:t>00</w:t>
      </w:r>
      <w:r>
        <w:rPr>
          <w:lang w:eastAsia="ja-JP"/>
        </w:rPr>
        <w:t>1</w:t>
      </w:r>
      <w:r w:rsidRPr="00711E28">
        <w:rPr>
          <w:lang w:eastAsia="ja-JP"/>
        </w:rPr>
        <w:t>-012</w:t>
      </w:r>
    </w:p>
    <w:p w:rsidR="00CD308A" w:rsidRDefault="00DE46F9" w:rsidP="00DE46F9">
      <w:pPr>
        <w:pStyle w:val="ListBullet"/>
        <w:rPr>
          <w:lang w:eastAsia="ja-JP"/>
        </w:rPr>
      </w:pPr>
      <w:r w:rsidRPr="00A54993">
        <w:rPr>
          <w:lang w:eastAsia="ja-JP"/>
        </w:rPr>
        <w:t>In the 18-month treatment period, renal and urinary disorders (SOC) were reported in 6% (n</w:t>
      </w:r>
      <w:r w:rsidR="00231607">
        <w:rPr>
          <w:lang w:eastAsia="ja-JP"/>
        </w:rPr>
        <w:t xml:space="preserve"> </w:t>
      </w:r>
      <w:r w:rsidRPr="00A54993">
        <w:rPr>
          <w:lang w:eastAsia="ja-JP"/>
        </w:rPr>
        <w:t>=</w:t>
      </w:r>
      <w:r w:rsidR="00231607">
        <w:rPr>
          <w:lang w:eastAsia="ja-JP"/>
        </w:rPr>
        <w:t xml:space="preserve"> </w:t>
      </w:r>
      <w:r w:rsidRPr="00A54993">
        <w:rPr>
          <w:lang w:eastAsia="ja-JP"/>
        </w:rPr>
        <w:t>3) of subjects in the migalastat group and 10% (n</w:t>
      </w:r>
      <w:r w:rsidR="00231607">
        <w:rPr>
          <w:lang w:eastAsia="ja-JP"/>
        </w:rPr>
        <w:t xml:space="preserve"> </w:t>
      </w:r>
      <w:r w:rsidRPr="00A54993">
        <w:rPr>
          <w:lang w:eastAsia="ja-JP"/>
        </w:rPr>
        <w:t>=</w:t>
      </w:r>
      <w:r w:rsidR="00231607">
        <w:rPr>
          <w:lang w:eastAsia="ja-JP"/>
        </w:rPr>
        <w:t xml:space="preserve"> </w:t>
      </w:r>
      <w:r w:rsidRPr="00A54993">
        <w:rPr>
          <w:lang w:eastAsia="ja-JP"/>
        </w:rPr>
        <w:t>2) of subjects in the ERT group. The TEAEs were proteinuria (x</w:t>
      </w:r>
      <w:r w:rsidR="00231607">
        <w:rPr>
          <w:lang w:eastAsia="ja-JP"/>
        </w:rPr>
        <w:t xml:space="preserve"> </w:t>
      </w:r>
      <w:r w:rsidRPr="00A54993">
        <w:rPr>
          <w:lang w:eastAsia="ja-JP"/>
        </w:rPr>
        <w:t>1) and renal impairment (x</w:t>
      </w:r>
      <w:r w:rsidR="00231607">
        <w:rPr>
          <w:lang w:eastAsia="ja-JP"/>
        </w:rPr>
        <w:t xml:space="preserve"> </w:t>
      </w:r>
      <w:r w:rsidRPr="00A54993">
        <w:rPr>
          <w:lang w:eastAsia="ja-JP"/>
        </w:rPr>
        <w:t>1) in the migalastat group and hypertonic bladder (x</w:t>
      </w:r>
      <w:r w:rsidR="00231607">
        <w:rPr>
          <w:lang w:eastAsia="ja-JP"/>
        </w:rPr>
        <w:t xml:space="preserve"> </w:t>
      </w:r>
      <w:r w:rsidRPr="00A54993">
        <w:rPr>
          <w:lang w:eastAsia="ja-JP"/>
        </w:rPr>
        <w:t>1) and microalbuminuria (x</w:t>
      </w:r>
      <w:r w:rsidR="00231607">
        <w:rPr>
          <w:lang w:eastAsia="ja-JP"/>
        </w:rPr>
        <w:t xml:space="preserve"> </w:t>
      </w:r>
      <w:r w:rsidRPr="00A54993">
        <w:rPr>
          <w:lang w:eastAsia="ja-JP"/>
        </w:rPr>
        <w:t>1) in the ERT group. There were no serious TEAEs in either of the two treatment groups during the 18</w:t>
      </w:r>
      <w:r w:rsidR="00231607">
        <w:rPr>
          <w:lang w:eastAsia="ja-JP"/>
        </w:rPr>
        <w:t> </w:t>
      </w:r>
      <w:r w:rsidRPr="00A54993">
        <w:rPr>
          <w:lang w:eastAsia="ja-JP"/>
        </w:rPr>
        <w:t>month treatment-period</w:t>
      </w:r>
      <w:r w:rsidR="00CD308A">
        <w:rPr>
          <w:lang w:eastAsia="ja-JP"/>
        </w:rPr>
        <w:t>.</w:t>
      </w:r>
    </w:p>
    <w:p w:rsidR="00CD308A" w:rsidRDefault="00DE46F9" w:rsidP="00DE46F9">
      <w:pPr>
        <w:pStyle w:val="ListBullet"/>
        <w:rPr>
          <w:lang w:eastAsia="ja-JP"/>
        </w:rPr>
      </w:pPr>
      <w:r w:rsidRPr="00A54993">
        <w:rPr>
          <w:lang w:eastAsia="ja-JP"/>
        </w:rPr>
        <w:t>In the safety population (0</w:t>
      </w:r>
      <w:r w:rsidR="00231607">
        <w:rPr>
          <w:lang w:eastAsia="ja-JP"/>
        </w:rPr>
        <w:t xml:space="preserve"> to </w:t>
      </w:r>
      <w:r w:rsidRPr="00A54993">
        <w:rPr>
          <w:lang w:eastAsia="ja-JP"/>
        </w:rPr>
        <w:t>30 months), renal and urinary disorders (SOC) were reported in 6% (n</w:t>
      </w:r>
      <w:r w:rsidR="00231607">
        <w:rPr>
          <w:lang w:eastAsia="ja-JP"/>
        </w:rPr>
        <w:t xml:space="preserve"> </w:t>
      </w:r>
      <w:r w:rsidRPr="00A54993">
        <w:rPr>
          <w:lang w:eastAsia="ja-JP"/>
        </w:rPr>
        <w:t>=</w:t>
      </w:r>
      <w:r w:rsidR="00231607">
        <w:rPr>
          <w:lang w:eastAsia="ja-JP"/>
        </w:rPr>
        <w:t xml:space="preserve"> </w:t>
      </w:r>
      <w:r w:rsidRPr="00A54993">
        <w:rPr>
          <w:lang w:eastAsia="ja-JP"/>
        </w:rPr>
        <w:t>12) subjects in the all migalastat group. The TEAEs were proteinuria (x</w:t>
      </w:r>
      <w:r w:rsidR="00231607">
        <w:rPr>
          <w:lang w:eastAsia="ja-JP"/>
        </w:rPr>
        <w:t xml:space="preserve"> </w:t>
      </w:r>
      <w:r w:rsidRPr="00A54993">
        <w:rPr>
          <w:lang w:eastAsia="ja-JP"/>
        </w:rPr>
        <w:t>2), renal impairment (x</w:t>
      </w:r>
      <w:r w:rsidR="00231607">
        <w:rPr>
          <w:lang w:eastAsia="ja-JP"/>
        </w:rPr>
        <w:t xml:space="preserve"> </w:t>
      </w:r>
      <w:r w:rsidRPr="00A54993">
        <w:rPr>
          <w:lang w:eastAsia="ja-JP"/>
        </w:rPr>
        <w:t>2), nephrolithiasis (x</w:t>
      </w:r>
      <w:r w:rsidR="00231607">
        <w:rPr>
          <w:lang w:eastAsia="ja-JP"/>
        </w:rPr>
        <w:t xml:space="preserve"> </w:t>
      </w:r>
      <w:r w:rsidRPr="00A54993">
        <w:rPr>
          <w:lang w:eastAsia="ja-JP"/>
        </w:rPr>
        <w:t>1), and strangury (x</w:t>
      </w:r>
      <w:r w:rsidR="00231607">
        <w:rPr>
          <w:lang w:eastAsia="ja-JP"/>
        </w:rPr>
        <w:t xml:space="preserve"> </w:t>
      </w:r>
      <w:r w:rsidRPr="00A54993">
        <w:rPr>
          <w:lang w:eastAsia="ja-JP"/>
        </w:rPr>
        <w:t>1).</w:t>
      </w:r>
      <w:r w:rsidRPr="006170D7">
        <w:rPr>
          <w:lang w:eastAsia="ja-JP"/>
        </w:rPr>
        <w:t xml:space="preserve"> </w:t>
      </w:r>
      <w:r>
        <w:rPr>
          <w:lang w:eastAsia="ja-JP"/>
        </w:rPr>
        <w:t xml:space="preserve">Serious TEAEs </w:t>
      </w:r>
      <w:r w:rsidRPr="006170D7">
        <w:rPr>
          <w:lang w:eastAsia="ja-JP"/>
        </w:rPr>
        <w:t>were reported in 1 subject (proteinuria x 1)</w:t>
      </w:r>
      <w:r w:rsidR="00CD308A">
        <w:rPr>
          <w:lang w:eastAsia="ja-JP"/>
        </w:rPr>
        <w:t>.</w:t>
      </w:r>
    </w:p>
    <w:p w:rsidR="00DE46F9" w:rsidRPr="006170D7" w:rsidRDefault="00DE46F9" w:rsidP="00DE46F9">
      <w:pPr>
        <w:pStyle w:val="ListBullet"/>
        <w:rPr>
          <w:lang w:eastAsia="ja-JP"/>
        </w:rPr>
      </w:pPr>
      <w:r w:rsidRPr="006170D7">
        <w:rPr>
          <w:lang w:eastAsia="ja-JP"/>
        </w:rPr>
        <w:t>There were no clinically meaningful changes in mean values from baseline or shifts from normal baseline values in renal function chemistry parameters during the study. In the 18-month treatment period, the only potentially</w:t>
      </w:r>
      <w:r>
        <w:rPr>
          <w:lang w:eastAsia="ja-JP"/>
        </w:rPr>
        <w:t xml:space="preserve"> clinically significant result </w:t>
      </w:r>
      <w:r w:rsidRPr="006170D7">
        <w:rPr>
          <w:lang w:eastAsia="ja-JP"/>
        </w:rPr>
        <w:t xml:space="preserve">was </w:t>
      </w:r>
      <w:proofErr w:type="gramStart"/>
      <w:r w:rsidRPr="006170D7">
        <w:rPr>
          <w:lang w:eastAsia="ja-JP"/>
        </w:rPr>
        <w:t>a high</w:t>
      </w:r>
      <w:proofErr w:type="gramEnd"/>
      <w:r w:rsidRPr="006170D7">
        <w:rPr>
          <w:lang w:eastAsia="ja-JP"/>
        </w:rPr>
        <w:t xml:space="preserve"> blood urea nitrogen in 1 (3%) subject in the migalastat group. In the OLE period, high blood urea nitrogen was reported in 1 (7%) subject in the ERT-migalastat group and high serum creatinine was reported in 1 (3%) subject in the migalastat-</w:t>
      </w:r>
      <w:r w:rsidRPr="006170D7">
        <w:rPr>
          <w:lang w:eastAsia="ja-JP"/>
        </w:rPr>
        <w:lastRenderedPageBreak/>
        <w:t xml:space="preserve">migalastat group.  </w:t>
      </w:r>
      <w:r>
        <w:rPr>
          <w:lang w:eastAsia="ja-JP"/>
        </w:rPr>
        <w:t>The criteria for potentially clinically significant laboratory abnormalities are summarised.</w:t>
      </w:r>
    </w:p>
    <w:p w:rsidR="00DE46F9" w:rsidRDefault="00DE46F9" w:rsidP="00DE46F9">
      <w:pPr>
        <w:pStyle w:val="Heading5"/>
      </w:pPr>
      <w:r w:rsidRPr="00545B14">
        <w:t>Other clinical chemistry</w:t>
      </w:r>
      <w:bookmarkEnd w:id="119"/>
      <w:bookmarkEnd w:id="120"/>
      <w:bookmarkEnd w:id="121"/>
      <w:bookmarkEnd w:id="122"/>
      <w:bookmarkEnd w:id="123"/>
      <w:bookmarkEnd w:id="124"/>
    </w:p>
    <w:p w:rsidR="00CD308A" w:rsidRDefault="00DE46F9" w:rsidP="00DE46F9">
      <w:pPr>
        <w:pStyle w:val="Heading6"/>
      </w:pPr>
      <w:r w:rsidRPr="000811CF">
        <w:t>Study AT1001-011</w:t>
      </w:r>
    </w:p>
    <w:p w:rsidR="00CD308A" w:rsidRDefault="00DE46F9" w:rsidP="00DE46F9">
      <w:pPr>
        <w:pStyle w:val="ListBullet"/>
      </w:pPr>
      <w:r w:rsidRPr="007E68C3">
        <w:t xml:space="preserve">There were no clinically meaningful changes in mean values from baseline for </w:t>
      </w:r>
      <w:r>
        <w:t xml:space="preserve">clinical chemistry </w:t>
      </w:r>
      <w:r w:rsidRPr="007E68C3">
        <w:t xml:space="preserve">parameters during the study. No important treatment group differences were noted in the mean change from baseline for any </w:t>
      </w:r>
      <w:r>
        <w:t xml:space="preserve">clinical chemistry </w:t>
      </w:r>
      <w:r w:rsidRPr="007E68C3">
        <w:t>parameter.</w:t>
      </w:r>
      <w:r>
        <w:t xml:space="preserve"> </w:t>
      </w:r>
      <w:r w:rsidRPr="007E68C3">
        <w:t xml:space="preserve">Shifts from normal baseline values were rare in all treatment groups </w:t>
      </w:r>
      <w:r>
        <w:t xml:space="preserve">for clinical chemistry </w:t>
      </w:r>
      <w:r w:rsidRPr="007E68C3">
        <w:t xml:space="preserve">parameters during the study. </w:t>
      </w:r>
      <w:r>
        <w:t xml:space="preserve">The potentially clinically significant results in the renal function tests have been described above. </w:t>
      </w:r>
      <w:bookmarkStart w:id="125" w:name="_Toc272414672"/>
      <w:bookmarkStart w:id="126" w:name="_Toc290888536"/>
      <w:bookmarkStart w:id="127" w:name="_Toc416353752"/>
      <w:bookmarkStart w:id="128" w:name="_Toc421005295"/>
      <w:bookmarkStart w:id="129" w:name="_Toc432079172"/>
      <w:bookmarkStart w:id="130" w:name="_Toc432080745"/>
      <w:r>
        <w:t xml:space="preserve"> There were no clinically significant changes from baseline during the course of the study in urinalysis parameters in any of the treatment groups</w:t>
      </w:r>
      <w:r w:rsidR="00CD308A">
        <w:t>.</w:t>
      </w:r>
    </w:p>
    <w:p w:rsidR="00DE46F9" w:rsidRPr="006170D7" w:rsidRDefault="00DE46F9" w:rsidP="00DE46F9">
      <w:pPr>
        <w:pStyle w:val="Heading6"/>
      </w:pPr>
      <w:r w:rsidRPr="006170D7">
        <w:t>Study AT1001-012</w:t>
      </w:r>
    </w:p>
    <w:p w:rsidR="00CD308A" w:rsidRDefault="00DE46F9" w:rsidP="00DE46F9">
      <w:pPr>
        <w:pStyle w:val="ListBullet"/>
      </w:pPr>
      <w:r w:rsidRPr="00A54993">
        <w:t>In the 18-month treatment period, there were no clinically meaningful changes in mean</w:t>
      </w:r>
      <w:r w:rsidRPr="00D26EAE">
        <w:t xml:space="preserve"> values from b</w:t>
      </w:r>
      <w:r>
        <w:t xml:space="preserve">aseline for clinical chemistry </w:t>
      </w:r>
      <w:r w:rsidRPr="00D26EAE">
        <w:t xml:space="preserve">parameters in the migalastat group or the ERT group. Shifts from a normal baseline value were infrequent and not clinically meaningful for all clinical chemistry parameters in the migalastat </w:t>
      </w:r>
      <w:r>
        <w:t xml:space="preserve">group </w:t>
      </w:r>
      <w:r w:rsidRPr="00D26EAE">
        <w:t xml:space="preserve">and the ERT group. No potentially clinical significant abnormalities were reported in the clinical chemistry parameters in the migalastat group or the ERT group, apart from 1 report of high blood urea nitrogen in the migalastat group referred to above. There were no clinically meaningful changes in mean values </w:t>
      </w:r>
      <w:r>
        <w:t>in</w:t>
      </w:r>
      <w:r w:rsidRPr="00D26EAE">
        <w:t xml:space="preserve"> urinalysis parameters from baseline </w:t>
      </w:r>
      <w:r>
        <w:t>to month 18 in either the migalastat group or the ERT group</w:t>
      </w:r>
      <w:r w:rsidR="00CD308A">
        <w:t>.</w:t>
      </w:r>
    </w:p>
    <w:p w:rsidR="00CD308A" w:rsidRDefault="00DE46F9" w:rsidP="00DE46F9">
      <w:pPr>
        <w:pStyle w:val="ListBullet"/>
      </w:pPr>
      <w:r w:rsidRPr="00A54993">
        <w:t>In the OLE, in the OLE population there were no clinically meaningful changes in mean</w:t>
      </w:r>
      <w:r w:rsidRPr="007E68C3">
        <w:t xml:space="preserve"> values from baseline for </w:t>
      </w:r>
      <w:r>
        <w:t xml:space="preserve">clinical chemistry </w:t>
      </w:r>
      <w:r w:rsidRPr="007E68C3">
        <w:t xml:space="preserve">parameters during the study. No important treatment group differences were noted in the mean change from baseline for any </w:t>
      </w:r>
      <w:r>
        <w:t xml:space="preserve">clinical chemistry </w:t>
      </w:r>
      <w:r w:rsidRPr="007E68C3">
        <w:t>parameter.</w:t>
      </w:r>
      <w:r>
        <w:t xml:space="preserve">  </w:t>
      </w:r>
      <w:r w:rsidRPr="007E68C3">
        <w:t xml:space="preserve">Shifts from normal baseline values were rare in all treatment groups </w:t>
      </w:r>
      <w:r>
        <w:t xml:space="preserve">for clinical chemistry </w:t>
      </w:r>
      <w:r w:rsidRPr="007E68C3">
        <w:t xml:space="preserve">parameters during the study. </w:t>
      </w:r>
      <w:r>
        <w:t xml:space="preserve">No potentially clinically significant clinical chemistry abnormalities were reported in the OLE, apart the results in hepatic and renal function described above. </w:t>
      </w:r>
      <w:r>
        <w:rPr>
          <w:rFonts w:cs="Calibri"/>
          <w:lang w:eastAsia="ja-JP"/>
        </w:rPr>
        <w:t xml:space="preserve">The criteria for potentially clinically significant laboratory abnormalities are summarised. </w:t>
      </w:r>
      <w:r>
        <w:t>There were no clinically meaningful changes from baseline during the course of the study in urinalysis parameters in the OLE population</w:t>
      </w:r>
      <w:r w:rsidR="00CD308A">
        <w:t>.</w:t>
      </w:r>
    </w:p>
    <w:p w:rsidR="00DE46F9" w:rsidRDefault="00DE46F9" w:rsidP="00DE46F9">
      <w:pPr>
        <w:pStyle w:val="Heading5"/>
      </w:pPr>
      <w:r w:rsidRPr="00545B14">
        <w:t>Haematology</w:t>
      </w:r>
      <w:bookmarkEnd w:id="125"/>
      <w:bookmarkEnd w:id="126"/>
      <w:bookmarkEnd w:id="127"/>
      <w:bookmarkEnd w:id="128"/>
      <w:r>
        <w:t xml:space="preserve"> and haematological toxicity</w:t>
      </w:r>
      <w:bookmarkEnd w:id="129"/>
      <w:bookmarkEnd w:id="130"/>
    </w:p>
    <w:p w:rsidR="00CD308A" w:rsidRDefault="00DE46F9" w:rsidP="00DE46F9">
      <w:pPr>
        <w:pStyle w:val="Heading6"/>
        <w:rPr>
          <w:lang w:eastAsia="ja-JP"/>
        </w:rPr>
      </w:pPr>
      <w:r w:rsidRPr="004379C1">
        <w:rPr>
          <w:lang w:eastAsia="ja-JP"/>
        </w:rPr>
        <w:t>Study AT1001-011</w:t>
      </w:r>
    </w:p>
    <w:p w:rsidR="00DE46F9" w:rsidRDefault="00DE46F9" w:rsidP="00DE46F9">
      <w:pPr>
        <w:pStyle w:val="ListBullet"/>
        <w:rPr>
          <w:lang w:eastAsia="ja-JP"/>
        </w:rPr>
      </w:pPr>
      <w:r w:rsidRPr="007A1CCB">
        <w:rPr>
          <w:lang w:eastAsia="ja-JP"/>
        </w:rPr>
        <w:t>In Stage 1, blood and lymphatic system disorders (SOC) were reported in 3% (</w:t>
      </w:r>
      <w:r w:rsidR="008B05D5">
        <w:rPr>
          <w:lang w:eastAsia="ja-JP"/>
        </w:rPr>
        <w:t xml:space="preserve">n = </w:t>
      </w:r>
      <w:r w:rsidRPr="007A1CCB">
        <w:rPr>
          <w:lang w:eastAsia="ja-JP"/>
        </w:rPr>
        <w:t>1) of subjects in the migalastat group (1x increased tendency to bruise) and no subjects in the placebo group. In Stage 2, blood and lymphatic system disorders (SOC) were reported in 3% (n</w:t>
      </w:r>
      <w:r w:rsidR="00231607">
        <w:rPr>
          <w:lang w:eastAsia="ja-JP"/>
        </w:rPr>
        <w:t xml:space="preserve"> </w:t>
      </w:r>
      <w:r w:rsidRPr="007A1CCB">
        <w:rPr>
          <w:lang w:eastAsia="ja-JP"/>
        </w:rPr>
        <w:t>=</w:t>
      </w:r>
      <w:r w:rsidR="00231607">
        <w:rPr>
          <w:lang w:eastAsia="ja-JP"/>
        </w:rPr>
        <w:t xml:space="preserve"> </w:t>
      </w:r>
      <w:r w:rsidRPr="007A1CCB">
        <w:rPr>
          <w:lang w:eastAsia="ja-JP"/>
        </w:rPr>
        <w:t>1) of subjects in the migalastat-migalastat group (1x anaemia) and no subjects in the placebo-migalastat group. In the OLE, blood and lymphatic system disorders (SOC) were reported in 3% (n</w:t>
      </w:r>
      <w:r w:rsidR="00231607">
        <w:rPr>
          <w:lang w:eastAsia="ja-JP"/>
        </w:rPr>
        <w:t xml:space="preserve"> </w:t>
      </w:r>
      <w:r w:rsidRPr="007A1CCB">
        <w:rPr>
          <w:lang w:eastAsia="ja-JP"/>
        </w:rPr>
        <w:t>=</w:t>
      </w:r>
      <w:r w:rsidR="00231607">
        <w:rPr>
          <w:lang w:eastAsia="ja-JP"/>
        </w:rPr>
        <w:t xml:space="preserve"> </w:t>
      </w:r>
      <w:r w:rsidRPr="007A1CCB">
        <w:rPr>
          <w:lang w:eastAsia="ja-JP"/>
        </w:rPr>
        <w:t>1) of subjects in the migalastat-migalastat</w:t>
      </w:r>
      <w:r>
        <w:rPr>
          <w:lang w:eastAsia="ja-JP"/>
        </w:rPr>
        <w:t xml:space="preserve"> group (1x anaemia) and no subjects in the placebo-migalastat group. No serious treatment-emergent blood and lymphatic system disorders were reported during the study.</w:t>
      </w:r>
    </w:p>
    <w:p w:rsidR="00CD308A" w:rsidRDefault="00DE46F9" w:rsidP="00DE46F9">
      <w:pPr>
        <w:pStyle w:val="ListBullet"/>
      </w:pPr>
      <w:r w:rsidRPr="007E68C3">
        <w:t>There were no clinically meaningful changes in mean values from baseline for haematology parameters during the study. No important treatment group differences were noted in the mean change from baseline for any haematology parameter.</w:t>
      </w:r>
      <w:r>
        <w:t xml:space="preserve"> </w:t>
      </w:r>
      <w:r w:rsidRPr="007E68C3">
        <w:t>Shifts from normal baseline values were rare in all treatment groups for haematology parameters during the study</w:t>
      </w:r>
      <w:r w:rsidR="00CD308A">
        <w:t>.</w:t>
      </w:r>
    </w:p>
    <w:p w:rsidR="00DE46F9" w:rsidRPr="007E68C3" w:rsidRDefault="00DE46F9" w:rsidP="00DE46F9">
      <w:pPr>
        <w:pStyle w:val="ListBullet"/>
      </w:pPr>
      <w:r w:rsidRPr="007A1CCB">
        <w:lastRenderedPageBreak/>
        <w:t>In Stage 1, potentially clinically significant results in haematology parameters were</w:t>
      </w:r>
      <w:r w:rsidRPr="007E68C3">
        <w:t xml:space="preserve"> uncommon in both the placebo an</w:t>
      </w:r>
      <w:r>
        <w:t>d</w:t>
      </w:r>
      <w:r w:rsidRPr="007E68C3">
        <w:t xml:space="preserve"> migalastat groups. </w:t>
      </w:r>
      <w:r>
        <w:t>Potentially clinically significant</w:t>
      </w:r>
      <w:r w:rsidRPr="007E68C3">
        <w:t xml:space="preserve"> results for haematology parameters (migalastat v</w:t>
      </w:r>
      <w:r w:rsidR="00231607">
        <w:t>ersu</w:t>
      </w:r>
      <w:r w:rsidRPr="007E68C3">
        <w:t>s placebo) were low haematocrit (6%, 2/34 v</w:t>
      </w:r>
      <w:r w:rsidR="00231607">
        <w:t>ersu</w:t>
      </w:r>
      <w:r w:rsidRPr="007E68C3">
        <w:t>s 18%, 6/33), low haemoglobin (3%, 1/34 v</w:t>
      </w:r>
      <w:r w:rsidR="00231607">
        <w:t>ersu</w:t>
      </w:r>
      <w:r w:rsidRPr="007E68C3">
        <w:t>s 6%, 2/33), high leucocytes (3%, 1/34 v</w:t>
      </w:r>
      <w:r w:rsidR="00231607">
        <w:t>ersu</w:t>
      </w:r>
      <w:r w:rsidRPr="007E68C3">
        <w:t xml:space="preserve">s 0%), </w:t>
      </w:r>
      <w:r>
        <w:t xml:space="preserve">and </w:t>
      </w:r>
      <w:r w:rsidRPr="007E68C3">
        <w:t>low neutrophils (0% v</w:t>
      </w:r>
      <w:r w:rsidR="00231607">
        <w:t>ersu</w:t>
      </w:r>
      <w:r w:rsidRPr="007E68C3">
        <w:t>s 3%, 1/33).</w:t>
      </w:r>
      <w:r w:rsidRPr="00352399">
        <w:rPr>
          <w:rFonts w:cs="Calibri"/>
          <w:lang w:eastAsia="ja-JP"/>
        </w:rPr>
        <w:t xml:space="preserve"> </w:t>
      </w:r>
      <w:r>
        <w:rPr>
          <w:rFonts w:cs="Calibri"/>
          <w:lang w:eastAsia="ja-JP"/>
        </w:rPr>
        <w:t>The criteria for potentially clinically significant laboratory abnormalities are summarised.</w:t>
      </w:r>
    </w:p>
    <w:p w:rsidR="00CD308A" w:rsidRDefault="00DE46F9" w:rsidP="00DE46F9">
      <w:pPr>
        <w:pStyle w:val="ListBullet"/>
      </w:pPr>
      <w:r w:rsidRPr="007A1CCB">
        <w:t>In Stage 2, potentially clinically significant results in haematology parameters were uncommon in both the migalastat-migalastat and placebo-migalastat groups. Potentially clinically significant results for haematology parameters (migalastat-migalastat v</w:t>
      </w:r>
      <w:r w:rsidR="00231607">
        <w:t>ersu</w:t>
      </w:r>
      <w:r w:rsidRPr="007A1CCB">
        <w:t>s placebo-migalastat) were low haematocrit (9%, 3/33 v</w:t>
      </w:r>
      <w:r w:rsidR="00231607">
        <w:t>ersu</w:t>
      </w:r>
      <w:r w:rsidRPr="007A1CCB">
        <w:t>s 13%, 4/30), low haemoglobin (3%, 1/33 v</w:t>
      </w:r>
      <w:r w:rsidR="00231607">
        <w:t>ersu</w:t>
      </w:r>
      <w:r w:rsidRPr="007A1CCB">
        <w:t>s 13%, 4/30), low leucocytes (0% v</w:t>
      </w:r>
      <w:r w:rsidR="00231607">
        <w:t>ersu</w:t>
      </w:r>
      <w:r w:rsidRPr="007A1CCB">
        <w:t>s 3%, 1/28), and low neutrophils (0% v</w:t>
      </w:r>
      <w:r w:rsidR="00231607">
        <w:t>ersu</w:t>
      </w:r>
      <w:r w:rsidRPr="007A1CCB">
        <w:t>s 3%, 1/33)</w:t>
      </w:r>
      <w:r w:rsidR="00CD308A">
        <w:t>.</w:t>
      </w:r>
    </w:p>
    <w:p w:rsidR="00CD308A" w:rsidRDefault="00DE46F9" w:rsidP="00DE46F9">
      <w:pPr>
        <w:pStyle w:val="ListBullet"/>
      </w:pPr>
      <w:r w:rsidRPr="007A1CCB">
        <w:t>In the OLE, potentially clinically significant results in haematology parameters were uncommon in both the migalastat-migalastat and placebo-migalastat groups. Potentially clinically significant results for haematology parameters (migalastat-</w:t>
      </w:r>
      <w:r w:rsidRPr="007E68C3">
        <w:t>migalastat</w:t>
      </w:r>
      <w:r w:rsidR="00D87C4B">
        <w:t xml:space="preserve"> versus </w:t>
      </w:r>
      <w:r w:rsidRPr="007E68C3">
        <w:t>placebo-migalastat) were high eosinophils (0% v</w:t>
      </w:r>
      <w:r w:rsidR="00231607">
        <w:t>ersu</w:t>
      </w:r>
      <w:r w:rsidRPr="007E68C3">
        <w:t>s 4%, 1/28), low haematocrit (10%, 3/29 v</w:t>
      </w:r>
      <w:r w:rsidR="00231607">
        <w:t>ersu</w:t>
      </w:r>
      <w:r w:rsidRPr="007E68C3">
        <w:t>s 14%, 4/28),</w:t>
      </w:r>
      <w:r>
        <w:t xml:space="preserve"> </w:t>
      </w:r>
      <w:r w:rsidRPr="007E68C3">
        <w:t xml:space="preserve">and </w:t>
      </w:r>
      <w:r>
        <w:t>low haemoglobin (0% v</w:t>
      </w:r>
      <w:r w:rsidR="00231607">
        <w:t>ersu</w:t>
      </w:r>
      <w:r>
        <w:t>s 4%, 1/28)</w:t>
      </w:r>
      <w:r w:rsidR="00CD308A">
        <w:t>.</w:t>
      </w:r>
    </w:p>
    <w:p w:rsidR="00DE46F9" w:rsidRPr="0083796C" w:rsidRDefault="00DE46F9" w:rsidP="00DE46F9">
      <w:pPr>
        <w:pStyle w:val="Heading6"/>
        <w:rPr>
          <w:lang w:eastAsia="ja-JP"/>
        </w:rPr>
      </w:pPr>
      <w:r w:rsidRPr="0083796C">
        <w:rPr>
          <w:lang w:eastAsia="ja-JP"/>
        </w:rPr>
        <w:t>Study AT1001-012</w:t>
      </w:r>
    </w:p>
    <w:p w:rsidR="00DE46F9" w:rsidRDefault="00DE46F9" w:rsidP="00DE46F9">
      <w:pPr>
        <w:pStyle w:val="ListBullet"/>
        <w:rPr>
          <w:rFonts w:eastAsiaTheme="minorHAnsi" w:cs="TimesNewRoman"/>
        </w:rPr>
      </w:pPr>
      <w:r w:rsidRPr="007A1CCB">
        <w:rPr>
          <w:lang w:eastAsia="ja-JP"/>
        </w:rPr>
        <w:t>In the 18-month treatment period, blood and lymphatic system disorders (SOC) were</w:t>
      </w:r>
      <w:r w:rsidRPr="00B35EDA">
        <w:rPr>
          <w:lang w:eastAsia="ja-JP"/>
        </w:rPr>
        <w:t xml:space="preserve"> reported in no subjects in the migalastat group and 1 (5%) subject in the ERT group (anaemia x</w:t>
      </w:r>
      <w:r w:rsidR="00231607">
        <w:rPr>
          <w:lang w:eastAsia="ja-JP"/>
        </w:rPr>
        <w:t xml:space="preserve"> </w:t>
      </w:r>
      <w:r w:rsidRPr="00B35EDA">
        <w:rPr>
          <w:lang w:eastAsia="ja-JP"/>
        </w:rPr>
        <w:t xml:space="preserve">1). </w:t>
      </w:r>
      <w:r>
        <w:rPr>
          <w:lang w:eastAsia="ja-JP"/>
        </w:rPr>
        <w:t>No treatment-</w:t>
      </w:r>
      <w:r w:rsidRPr="00B35EDA">
        <w:rPr>
          <w:lang w:eastAsia="ja-JP"/>
        </w:rPr>
        <w:t xml:space="preserve">emergent SAEs were reported in either treatment group. </w:t>
      </w:r>
      <w:r w:rsidRPr="00B35EDA">
        <w:rPr>
          <w:rFonts w:eastAsiaTheme="minorHAnsi" w:cs="TimesNewRoman"/>
        </w:rPr>
        <w:t xml:space="preserve">There were no clinically meaningful changes in mean values from baseline to month 18 in haematology parameters in </w:t>
      </w:r>
      <w:r>
        <w:rPr>
          <w:rFonts w:eastAsiaTheme="minorHAnsi" w:cs="TimesNewRoman"/>
        </w:rPr>
        <w:t>either</w:t>
      </w:r>
      <w:r w:rsidRPr="00B35EDA">
        <w:rPr>
          <w:rFonts w:eastAsiaTheme="minorHAnsi" w:cs="TimesNewRoman"/>
        </w:rPr>
        <w:t xml:space="preserve"> treatment group. Shifts from a normal baseline value through to mon</w:t>
      </w:r>
      <w:r>
        <w:rPr>
          <w:rFonts w:eastAsiaTheme="minorHAnsi" w:cs="TimesNewRoman"/>
        </w:rPr>
        <w:t xml:space="preserve">th 18 were infrequent </w:t>
      </w:r>
      <w:r w:rsidRPr="00B35EDA">
        <w:rPr>
          <w:rFonts w:eastAsiaTheme="minorHAnsi" w:cs="TimesNewRoman"/>
        </w:rPr>
        <w:t xml:space="preserve">and not clinically meaningful for </w:t>
      </w:r>
      <w:r>
        <w:rPr>
          <w:rFonts w:eastAsiaTheme="minorHAnsi" w:cs="TimesNewRoman"/>
        </w:rPr>
        <w:t xml:space="preserve">the </w:t>
      </w:r>
      <w:r w:rsidRPr="00B35EDA">
        <w:rPr>
          <w:rFonts w:eastAsiaTheme="minorHAnsi" w:cs="TimesNewRoman"/>
        </w:rPr>
        <w:t xml:space="preserve">haematology parameters in both treatment groups. </w:t>
      </w:r>
      <w:r>
        <w:rPr>
          <w:rFonts w:eastAsiaTheme="minorHAnsi" w:cs="TimesNewRoman"/>
        </w:rPr>
        <w:t>P</w:t>
      </w:r>
      <w:r w:rsidRPr="00B35EDA">
        <w:rPr>
          <w:rFonts w:eastAsiaTheme="minorHAnsi" w:cs="TimesNewRoman"/>
        </w:rPr>
        <w:t>otentially clinically signif</w:t>
      </w:r>
      <w:r>
        <w:rPr>
          <w:rFonts w:eastAsiaTheme="minorHAnsi" w:cs="TimesNewRoman"/>
        </w:rPr>
        <w:t xml:space="preserve">icant haematology laboratory abnormalities were: </w:t>
      </w:r>
      <w:r w:rsidRPr="00B35EDA">
        <w:rPr>
          <w:rFonts w:eastAsiaTheme="minorHAnsi" w:cs="TimesNewRoman"/>
        </w:rPr>
        <w:t>high eosinophils</w:t>
      </w:r>
      <w:r>
        <w:rPr>
          <w:rFonts w:eastAsiaTheme="minorHAnsi" w:cs="TimesNewRoman"/>
        </w:rPr>
        <w:t xml:space="preserve"> </w:t>
      </w:r>
      <w:r w:rsidRPr="00B35EDA">
        <w:rPr>
          <w:rFonts w:eastAsiaTheme="minorHAnsi" w:cs="TimesNewRoman"/>
        </w:rPr>
        <w:t xml:space="preserve">in 1 (3%) subject in the migalastat group and 1 </w:t>
      </w:r>
      <w:r>
        <w:rPr>
          <w:rFonts w:eastAsiaTheme="minorHAnsi" w:cs="TimesNewRoman"/>
        </w:rPr>
        <w:t>(5%) subject</w:t>
      </w:r>
      <w:r w:rsidRPr="00B35EDA">
        <w:rPr>
          <w:rFonts w:eastAsiaTheme="minorHAnsi" w:cs="TimesNewRoman"/>
        </w:rPr>
        <w:t xml:space="preserve"> in the ERT group</w:t>
      </w:r>
      <w:r>
        <w:rPr>
          <w:rFonts w:eastAsiaTheme="minorHAnsi" w:cs="TimesNewRoman"/>
        </w:rPr>
        <w:t xml:space="preserve">; </w:t>
      </w:r>
      <w:r w:rsidRPr="00B35EDA">
        <w:rPr>
          <w:rFonts w:eastAsiaTheme="minorHAnsi" w:cs="TimesNewRoman"/>
        </w:rPr>
        <w:t>low haematocrit in 4 (11%) subjects in the migalastat group and 1 (5%) subject in the ERT group</w:t>
      </w:r>
      <w:r>
        <w:rPr>
          <w:rFonts w:eastAsiaTheme="minorHAnsi" w:cs="TimesNewRoman"/>
        </w:rPr>
        <w:t xml:space="preserve">; </w:t>
      </w:r>
      <w:r w:rsidRPr="00B35EDA">
        <w:rPr>
          <w:rFonts w:eastAsiaTheme="minorHAnsi" w:cs="TimesNewRoman"/>
        </w:rPr>
        <w:t>low haemoglobin in 1 (3%) subject in the migalastat group and 1 (5%) subject in the ERT group</w:t>
      </w:r>
      <w:r>
        <w:rPr>
          <w:rFonts w:eastAsiaTheme="minorHAnsi" w:cs="TimesNewRoman"/>
        </w:rPr>
        <w:t xml:space="preserve">; </w:t>
      </w:r>
      <w:r w:rsidRPr="00B35EDA">
        <w:rPr>
          <w:rFonts w:eastAsiaTheme="minorHAnsi" w:cs="TimesNewRoman"/>
        </w:rPr>
        <w:t>low leucocytes in 1 (3%) subjects in the ERT group</w:t>
      </w:r>
      <w:r>
        <w:rPr>
          <w:rFonts w:eastAsiaTheme="minorHAnsi" w:cs="TimesNewRoman"/>
        </w:rPr>
        <w:t xml:space="preserve">; </w:t>
      </w:r>
      <w:r w:rsidRPr="00B35EDA">
        <w:rPr>
          <w:rFonts w:eastAsiaTheme="minorHAnsi" w:cs="TimesNewRoman"/>
        </w:rPr>
        <w:t>high monocytes in 1 (3%) subject in the ERT group</w:t>
      </w:r>
      <w:r>
        <w:rPr>
          <w:rFonts w:eastAsiaTheme="minorHAnsi" w:cs="TimesNewRoman"/>
        </w:rPr>
        <w:t xml:space="preserve">; </w:t>
      </w:r>
      <w:r w:rsidRPr="00B35EDA">
        <w:rPr>
          <w:rFonts w:eastAsiaTheme="minorHAnsi" w:cs="TimesNewRoman"/>
        </w:rPr>
        <w:t>and low neutrophils in 1</w:t>
      </w:r>
      <w:r>
        <w:rPr>
          <w:rFonts w:eastAsiaTheme="minorHAnsi" w:cs="TimesNewRoman"/>
        </w:rPr>
        <w:t xml:space="preserve"> (3%) subject </w:t>
      </w:r>
      <w:r w:rsidRPr="00B35EDA">
        <w:rPr>
          <w:rFonts w:eastAsiaTheme="minorHAnsi" w:cs="TimesNewRoman"/>
        </w:rPr>
        <w:t>in the ERT group.</w:t>
      </w:r>
      <w:r w:rsidRPr="00352399">
        <w:rPr>
          <w:lang w:eastAsia="ja-JP"/>
        </w:rPr>
        <w:t xml:space="preserve"> </w:t>
      </w:r>
      <w:r>
        <w:rPr>
          <w:lang w:eastAsia="ja-JP"/>
        </w:rPr>
        <w:t>The criteria for potentially clinically significant laboratory abnormalities are summarised.</w:t>
      </w:r>
    </w:p>
    <w:p w:rsidR="00CD308A" w:rsidRDefault="00DE46F9" w:rsidP="00DE46F9">
      <w:pPr>
        <w:pStyle w:val="ListBullet"/>
        <w:rPr>
          <w:rFonts w:eastAsiaTheme="minorHAnsi" w:cs="TimesNewRoman"/>
        </w:rPr>
      </w:pPr>
      <w:r w:rsidRPr="007A1CCB">
        <w:t>In the safety population (0</w:t>
      </w:r>
      <w:r w:rsidR="00231607">
        <w:t xml:space="preserve"> to </w:t>
      </w:r>
      <w:r w:rsidRPr="007A1CCB">
        <w:t>30 months), there were no blood and lymphatic disorders</w:t>
      </w:r>
      <w:r>
        <w:t xml:space="preserve"> (SOC) reported in the all migalastat group. </w:t>
      </w:r>
      <w:r w:rsidRPr="00B35EDA">
        <w:rPr>
          <w:rFonts w:eastAsiaTheme="minorHAnsi" w:cs="TimesNewRoman"/>
        </w:rPr>
        <w:t xml:space="preserve">There were no clinically meaningful changes in mean values from baseline to month </w:t>
      </w:r>
      <w:r>
        <w:rPr>
          <w:rFonts w:eastAsiaTheme="minorHAnsi" w:cs="TimesNewRoman"/>
        </w:rPr>
        <w:t>30</w:t>
      </w:r>
      <w:r w:rsidRPr="00B35EDA">
        <w:rPr>
          <w:rFonts w:eastAsiaTheme="minorHAnsi" w:cs="TimesNewRoman"/>
        </w:rPr>
        <w:t xml:space="preserve"> in haematology parameters in </w:t>
      </w:r>
      <w:r>
        <w:rPr>
          <w:rFonts w:eastAsiaTheme="minorHAnsi" w:cs="TimesNewRoman"/>
        </w:rPr>
        <w:t xml:space="preserve">the all migalastat group. </w:t>
      </w:r>
      <w:r w:rsidRPr="00B35EDA">
        <w:rPr>
          <w:rFonts w:eastAsiaTheme="minorHAnsi" w:cs="TimesNewRoman"/>
        </w:rPr>
        <w:t xml:space="preserve">Shifts from a normal baseline value through to month </w:t>
      </w:r>
      <w:r>
        <w:rPr>
          <w:rFonts w:eastAsiaTheme="minorHAnsi" w:cs="TimesNewRoman"/>
        </w:rPr>
        <w:t>30</w:t>
      </w:r>
      <w:r w:rsidRPr="00B35EDA">
        <w:rPr>
          <w:rFonts w:eastAsiaTheme="minorHAnsi" w:cs="TimesNewRoman"/>
        </w:rPr>
        <w:t xml:space="preserve"> were infrequent and not clinically meaningful for all haematology parameters </w:t>
      </w:r>
      <w:r>
        <w:rPr>
          <w:rFonts w:eastAsiaTheme="minorHAnsi" w:cs="TimesNewRoman"/>
        </w:rPr>
        <w:t>in the all migalastat group. In the OLE population, potentially clinically significant haematology laboratory parameters in subjects who had received migalastat were: high eosinophils in 2 (4%) subjects; low haematocrit in 3 (6%) subjects; low haemoglobin in 2 (4%) subjects; low leucocytes in 1 (2%) subject; high leucocytes in 1 (2%) subjects; high monocytes in 2 (4%) subjects; low neutrophils in 1 (2%) subject; and high neutrophils in 1 (2%) subject</w:t>
      </w:r>
      <w:r w:rsidR="00CD308A">
        <w:rPr>
          <w:rFonts w:eastAsiaTheme="minorHAnsi" w:cs="TimesNewRoman"/>
        </w:rPr>
        <w:t>.</w:t>
      </w:r>
    </w:p>
    <w:p w:rsidR="00DE46F9" w:rsidRDefault="00DE46F9" w:rsidP="00DE46F9">
      <w:pPr>
        <w:pStyle w:val="Heading5"/>
      </w:pPr>
      <w:bookmarkStart w:id="131" w:name="_Toc272414675"/>
      <w:bookmarkStart w:id="132" w:name="_Toc290888539"/>
      <w:bookmarkStart w:id="133" w:name="_Toc416353754"/>
      <w:bookmarkStart w:id="134" w:name="_Toc421005297"/>
      <w:bookmarkStart w:id="135" w:name="_Toc432079174"/>
      <w:bookmarkStart w:id="136" w:name="_Toc432080747"/>
      <w:r w:rsidRPr="00545B14">
        <w:t>Electrocardiograph</w:t>
      </w:r>
      <w:bookmarkEnd w:id="131"/>
      <w:bookmarkEnd w:id="132"/>
      <w:bookmarkEnd w:id="133"/>
      <w:bookmarkEnd w:id="134"/>
      <w:r>
        <w:t xml:space="preserve"> findings and cardiovascular safety</w:t>
      </w:r>
      <w:bookmarkEnd w:id="135"/>
      <w:bookmarkEnd w:id="136"/>
    </w:p>
    <w:p w:rsidR="00DE46F9" w:rsidRPr="004379C1" w:rsidRDefault="00DE46F9" w:rsidP="00DE46F9">
      <w:pPr>
        <w:pStyle w:val="Heading6"/>
        <w:rPr>
          <w:lang w:eastAsia="ja-JP"/>
        </w:rPr>
      </w:pPr>
      <w:r w:rsidRPr="004379C1">
        <w:rPr>
          <w:lang w:eastAsia="ja-JP"/>
        </w:rPr>
        <w:t>Study AT1001-011</w:t>
      </w:r>
    </w:p>
    <w:p w:rsidR="00CD308A" w:rsidRDefault="00DE46F9" w:rsidP="00DE46F9">
      <w:pPr>
        <w:pStyle w:val="Heading6"/>
        <w:rPr>
          <w:lang w:eastAsia="ja-JP"/>
        </w:rPr>
      </w:pPr>
      <w:r w:rsidRPr="005C6F64">
        <w:rPr>
          <w:lang w:eastAsia="ja-JP"/>
        </w:rPr>
        <w:t>Cardiac disorders</w:t>
      </w:r>
    </w:p>
    <w:p w:rsidR="00CD308A" w:rsidRDefault="00DE46F9" w:rsidP="00DE46F9">
      <w:pPr>
        <w:pStyle w:val="ListBullet"/>
        <w:rPr>
          <w:lang w:eastAsia="ja-JP"/>
        </w:rPr>
      </w:pPr>
      <w:r w:rsidRPr="007A1CCB">
        <w:rPr>
          <w:lang w:eastAsia="ja-JP"/>
        </w:rPr>
        <w:t>In Stage 1, cardiac disorders (SOC) were reported in 15% (n</w:t>
      </w:r>
      <w:r w:rsidR="00231607">
        <w:rPr>
          <w:lang w:eastAsia="ja-JP"/>
        </w:rPr>
        <w:t xml:space="preserve"> </w:t>
      </w:r>
      <w:r w:rsidRPr="007A1CCB">
        <w:rPr>
          <w:lang w:eastAsia="ja-JP"/>
        </w:rPr>
        <w:t>=</w:t>
      </w:r>
      <w:r w:rsidR="00231607">
        <w:rPr>
          <w:lang w:eastAsia="ja-JP"/>
        </w:rPr>
        <w:t xml:space="preserve"> </w:t>
      </w:r>
      <w:r w:rsidRPr="007A1CCB">
        <w:rPr>
          <w:lang w:eastAsia="ja-JP"/>
        </w:rPr>
        <w:t>5) of subjects in the</w:t>
      </w:r>
      <w:r>
        <w:rPr>
          <w:lang w:eastAsia="ja-JP"/>
        </w:rPr>
        <w:t xml:space="preserve"> migalastat group and 12% (n</w:t>
      </w:r>
      <w:r w:rsidR="00231607">
        <w:rPr>
          <w:lang w:eastAsia="ja-JP"/>
        </w:rPr>
        <w:t xml:space="preserve"> </w:t>
      </w:r>
      <w:r>
        <w:rPr>
          <w:lang w:eastAsia="ja-JP"/>
        </w:rPr>
        <w:t>=</w:t>
      </w:r>
      <w:r w:rsidR="00231607">
        <w:rPr>
          <w:lang w:eastAsia="ja-JP"/>
        </w:rPr>
        <w:t xml:space="preserve"> </w:t>
      </w:r>
      <w:r>
        <w:rPr>
          <w:lang w:eastAsia="ja-JP"/>
        </w:rPr>
        <w:t>4) of subjects in the placebo group. In the migalastat group, the TEAEs were atrial fibrillation (x</w:t>
      </w:r>
      <w:r w:rsidR="00231607">
        <w:rPr>
          <w:lang w:eastAsia="ja-JP"/>
        </w:rPr>
        <w:t xml:space="preserve"> </w:t>
      </w:r>
      <w:r>
        <w:rPr>
          <w:lang w:eastAsia="ja-JP"/>
        </w:rPr>
        <w:t xml:space="preserve">2) and 1 each for tachycardia, right bundle </w:t>
      </w:r>
      <w:r>
        <w:rPr>
          <w:lang w:eastAsia="ja-JP"/>
        </w:rPr>
        <w:lastRenderedPageBreak/>
        <w:t>branch block, cardiomyopathy, mitral valve incompetence, sinus arrhythmia, and ventricular hypokinesia. In the placebo group, the TEAEs were 1 each for tachycardia, AV block first degree, atrial dilatation, and palpitations. There were no serious cardiac disorders (SOC) in Stage 1</w:t>
      </w:r>
      <w:r w:rsidR="00CD308A">
        <w:rPr>
          <w:lang w:eastAsia="ja-JP"/>
        </w:rPr>
        <w:t>.</w:t>
      </w:r>
    </w:p>
    <w:p w:rsidR="00CD308A" w:rsidRDefault="00DE46F9" w:rsidP="00DE46F9">
      <w:pPr>
        <w:pStyle w:val="ListBullet"/>
        <w:rPr>
          <w:lang w:eastAsia="ja-JP"/>
        </w:rPr>
      </w:pPr>
      <w:r w:rsidRPr="007A1CCB">
        <w:rPr>
          <w:lang w:eastAsia="ja-JP"/>
        </w:rPr>
        <w:t>In Stage 2, cardiac disorders (SOC) were reported in 12% (n</w:t>
      </w:r>
      <w:r w:rsidR="00231607">
        <w:rPr>
          <w:lang w:eastAsia="ja-JP"/>
        </w:rPr>
        <w:t xml:space="preserve"> </w:t>
      </w:r>
      <w:r w:rsidRPr="007A1CCB">
        <w:rPr>
          <w:lang w:eastAsia="ja-JP"/>
        </w:rPr>
        <w:t>=</w:t>
      </w:r>
      <w:r w:rsidR="00231607">
        <w:rPr>
          <w:lang w:eastAsia="ja-JP"/>
        </w:rPr>
        <w:t xml:space="preserve"> </w:t>
      </w:r>
      <w:r w:rsidRPr="007A1CCB">
        <w:rPr>
          <w:lang w:eastAsia="ja-JP"/>
        </w:rPr>
        <w:t>4) of subjects in the migalastat-migalastat group and 10% (n</w:t>
      </w:r>
      <w:r w:rsidR="00231607">
        <w:rPr>
          <w:lang w:eastAsia="ja-JP"/>
        </w:rPr>
        <w:t xml:space="preserve"> </w:t>
      </w:r>
      <w:r w:rsidRPr="007A1CCB">
        <w:rPr>
          <w:lang w:eastAsia="ja-JP"/>
        </w:rPr>
        <w:t>=</w:t>
      </w:r>
      <w:r w:rsidR="00231607">
        <w:rPr>
          <w:lang w:eastAsia="ja-JP"/>
        </w:rPr>
        <w:t xml:space="preserve"> </w:t>
      </w:r>
      <w:r w:rsidRPr="007A1CCB">
        <w:rPr>
          <w:lang w:eastAsia="ja-JP"/>
        </w:rPr>
        <w:t>3) of subjects in the placebo-migalastat group. In the migalastat-migalastat group, the TEAEs were 1 each for atrial fibrillation, bradycardia, palpitations and ventricular tachycardia. In the placebo-migalastat group the TEAEs were tachycardia (x</w:t>
      </w:r>
      <w:r w:rsidR="00231607">
        <w:rPr>
          <w:lang w:eastAsia="ja-JP"/>
        </w:rPr>
        <w:t xml:space="preserve"> </w:t>
      </w:r>
      <w:r w:rsidRPr="007A1CCB">
        <w:rPr>
          <w:lang w:eastAsia="ja-JP"/>
        </w:rPr>
        <w:t>3). Serious treatment-emergent cardiac disorders (SOC) were reported in 1 (3%) subject in the migalastat-migalastat group (1 x ventricular tachycardia) and no subjects in the placebo-migalastat group</w:t>
      </w:r>
      <w:r w:rsidR="00CD308A">
        <w:rPr>
          <w:lang w:eastAsia="ja-JP"/>
        </w:rPr>
        <w:t>.</w:t>
      </w:r>
    </w:p>
    <w:p w:rsidR="00CD308A" w:rsidRDefault="00DE46F9" w:rsidP="00DE46F9">
      <w:pPr>
        <w:pStyle w:val="ListBullet"/>
        <w:rPr>
          <w:lang w:eastAsia="ja-JP"/>
        </w:rPr>
      </w:pPr>
      <w:r w:rsidRPr="007A1CCB">
        <w:rPr>
          <w:lang w:eastAsia="ja-JP"/>
        </w:rPr>
        <w:t>In the OLE, cardiac disorders (SOC) were reported in 14% (n</w:t>
      </w:r>
      <w:r w:rsidR="00231607">
        <w:rPr>
          <w:lang w:eastAsia="ja-JP"/>
        </w:rPr>
        <w:t xml:space="preserve"> </w:t>
      </w:r>
      <w:r w:rsidRPr="007A1CCB">
        <w:rPr>
          <w:lang w:eastAsia="ja-JP"/>
        </w:rPr>
        <w:t>=</w:t>
      </w:r>
      <w:r w:rsidR="00231607">
        <w:rPr>
          <w:lang w:eastAsia="ja-JP"/>
        </w:rPr>
        <w:t xml:space="preserve"> </w:t>
      </w:r>
      <w:r w:rsidRPr="007A1CCB">
        <w:rPr>
          <w:lang w:eastAsia="ja-JP"/>
        </w:rPr>
        <w:t>4) of subjects in the migalastat-migalastat group and 14% (n</w:t>
      </w:r>
      <w:r w:rsidR="00231607">
        <w:rPr>
          <w:lang w:eastAsia="ja-JP"/>
        </w:rPr>
        <w:t xml:space="preserve"> </w:t>
      </w:r>
      <w:r w:rsidRPr="007A1CCB">
        <w:rPr>
          <w:lang w:eastAsia="ja-JP"/>
        </w:rPr>
        <w:t>=</w:t>
      </w:r>
      <w:r w:rsidR="00231607">
        <w:rPr>
          <w:lang w:eastAsia="ja-JP"/>
        </w:rPr>
        <w:t xml:space="preserve"> </w:t>
      </w:r>
      <w:r w:rsidRPr="007A1CCB">
        <w:rPr>
          <w:lang w:eastAsia="ja-JP"/>
        </w:rPr>
        <w:t>4) of subjects in the placebo-migalastat</w:t>
      </w:r>
      <w:r>
        <w:rPr>
          <w:lang w:eastAsia="ja-JP"/>
        </w:rPr>
        <w:t xml:space="preserve"> group.</w:t>
      </w:r>
      <w:r w:rsidRPr="00782BBA">
        <w:rPr>
          <w:lang w:eastAsia="ja-JP"/>
        </w:rPr>
        <w:t xml:space="preserve"> </w:t>
      </w:r>
      <w:r>
        <w:rPr>
          <w:lang w:eastAsia="ja-JP"/>
        </w:rPr>
        <w:t>In the migalastat-migalastat group, the TEAEs were 1 each for atrial fibrillation (x</w:t>
      </w:r>
      <w:r w:rsidR="00231607">
        <w:rPr>
          <w:lang w:eastAsia="ja-JP"/>
        </w:rPr>
        <w:t> </w:t>
      </w:r>
      <w:r>
        <w:rPr>
          <w:lang w:eastAsia="ja-JP"/>
        </w:rPr>
        <w:t>3), palpitations (x</w:t>
      </w:r>
      <w:r w:rsidR="00231607">
        <w:rPr>
          <w:lang w:eastAsia="ja-JP"/>
        </w:rPr>
        <w:t xml:space="preserve"> </w:t>
      </w:r>
      <w:r>
        <w:rPr>
          <w:lang w:eastAsia="ja-JP"/>
        </w:rPr>
        <w:t>2) and cyanosis (x</w:t>
      </w:r>
      <w:r w:rsidR="00231607">
        <w:rPr>
          <w:lang w:eastAsia="ja-JP"/>
        </w:rPr>
        <w:t xml:space="preserve"> </w:t>
      </w:r>
      <w:r>
        <w:rPr>
          <w:lang w:eastAsia="ja-JP"/>
        </w:rPr>
        <w:t>1). In the placebo-migalastat group, the TEAEs were sinus bradycardia (x</w:t>
      </w:r>
      <w:r w:rsidR="00231607">
        <w:rPr>
          <w:lang w:eastAsia="ja-JP"/>
        </w:rPr>
        <w:t xml:space="preserve"> </w:t>
      </w:r>
      <w:r>
        <w:rPr>
          <w:lang w:eastAsia="ja-JP"/>
        </w:rPr>
        <w:t>2) and 1 each for palpitations, left bundle branch block, and ventricular extrasystoles. Serious treatment-emergent cardiac disorders (SOC) were reported in 1 (3%) subject in the migalastat-migalastat group (1 x palpitations) and no subjects in the placebo-migalastat group</w:t>
      </w:r>
      <w:r w:rsidR="00CD308A">
        <w:rPr>
          <w:lang w:eastAsia="ja-JP"/>
        </w:rPr>
        <w:t>.</w:t>
      </w:r>
    </w:p>
    <w:p w:rsidR="00CD308A" w:rsidRDefault="00DE46F9" w:rsidP="00DE46F9">
      <w:pPr>
        <w:pStyle w:val="Heading6"/>
        <w:rPr>
          <w:lang w:eastAsia="ja-JP"/>
        </w:rPr>
      </w:pPr>
      <w:r w:rsidRPr="005C6F64">
        <w:rPr>
          <w:lang w:eastAsia="ja-JP"/>
        </w:rPr>
        <w:t>ECG results</w:t>
      </w:r>
    </w:p>
    <w:p w:rsidR="00DE46F9" w:rsidRPr="007A1CCB" w:rsidRDefault="00DE46F9" w:rsidP="00DE46F9">
      <w:pPr>
        <w:pStyle w:val="ListBullet"/>
      </w:pPr>
      <w:r w:rsidRPr="007A1CCB">
        <w:t>In Stage 1, there were no clinically meaningful changes in mean values from baseline to the end of Stage 1 (</w:t>
      </w:r>
      <w:r w:rsidR="00231607">
        <w:t>that is</w:t>
      </w:r>
      <w:r w:rsidRPr="007A1CCB">
        <w:t>, month 6) for ECG parameters in the treatment groups. No important treatment group differences were noted between the two treatment groups in the mean change from baseline for any ECG parameter.  In Stage 1, the frequency of potentially clinically significant abnormalities was low and similar across the two treatment groups. Two (2) subjects in the migalastat group had QTcF values</w:t>
      </w:r>
      <w:r w:rsidR="00231607">
        <w:t> </w:t>
      </w:r>
      <w:r w:rsidRPr="007A1CCB">
        <w:t>&gt;</w:t>
      </w:r>
      <w:r w:rsidR="00231607">
        <w:t> </w:t>
      </w:r>
      <w:r w:rsidRPr="007A1CCB">
        <w:t>450 ms and a &gt; 60 ms increase from baseline at month 6. For 1 subject, this abnormality was observed at month 1, and for the other subject, at months 3 and 6. None of these abnormalities were reported as AEs, and both subjects completed the study.</w:t>
      </w:r>
    </w:p>
    <w:p w:rsidR="00CD308A" w:rsidRDefault="00DE46F9" w:rsidP="00DE46F9">
      <w:pPr>
        <w:pStyle w:val="ListBullet"/>
      </w:pPr>
      <w:r w:rsidRPr="007A1CCB">
        <w:t>In Stage 2, there were no clinically meaningful changes in mean values from baseline to the end of Stage 2 (month 12) in the ECG parameters. In Stage 2, in the Stage 2 OLE</w:t>
      </w:r>
      <w:r>
        <w:t xml:space="preserve"> population </w:t>
      </w:r>
      <w:r w:rsidRPr="008526F6">
        <w:t>19% (n</w:t>
      </w:r>
      <w:r w:rsidR="00231607">
        <w:t xml:space="preserve"> </w:t>
      </w:r>
      <w:r w:rsidRPr="008526F6">
        <w:t>=</w:t>
      </w:r>
      <w:r w:rsidR="00231607">
        <w:t xml:space="preserve"> </w:t>
      </w:r>
      <w:r w:rsidRPr="008526F6">
        <w:t xml:space="preserve">12) of all subjects had </w:t>
      </w:r>
      <w:r>
        <w:t xml:space="preserve">potentially clinically significant </w:t>
      </w:r>
      <w:r w:rsidRPr="008526F6">
        <w:t>high QRS values, and 27% (n</w:t>
      </w:r>
      <w:r w:rsidR="00231607">
        <w:t xml:space="preserve"> </w:t>
      </w:r>
      <w:r w:rsidRPr="008526F6">
        <w:t>=</w:t>
      </w:r>
      <w:r w:rsidR="00231607">
        <w:t xml:space="preserve"> </w:t>
      </w:r>
      <w:r w:rsidRPr="008526F6">
        <w:t xml:space="preserve">17) of all subjects had </w:t>
      </w:r>
      <w:r>
        <w:t>potentially clinically significant</w:t>
      </w:r>
      <w:r w:rsidRPr="008526F6">
        <w:t xml:space="preserve"> high QTcF values. Two (2) subjects in the migalastat-migalastat group and 1 subject in the placebo-migalastat group had QTcF values &gt; 450 </w:t>
      </w:r>
      <w:r>
        <w:t xml:space="preserve">ms </w:t>
      </w:r>
      <w:r w:rsidRPr="008526F6">
        <w:t xml:space="preserve">and a &gt; 60 </w:t>
      </w:r>
      <w:r>
        <w:t xml:space="preserve">ms </w:t>
      </w:r>
      <w:r w:rsidRPr="008526F6">
        <w:t xml:space="preserve">increase from baseline during the study. For 1 subject in the migalastat-migalastat group, this abnormality was observed during Stage 1 (2 incidents), and during Stage 2 (Months 7, 9 and 12). </w:t>
      </w:r>
      <w:r>
        <w:t>For</w:t>
      </w:r>
      <w:r w:rsidRPr="008526F6">
        <w:t xml:space="preserve"> the other subject in the migalastat-migalastat</w:t>
      </w:r>
      <w:r>
        <w:t xml:space="preserve"> g</w:t>
      </w:r>
      <w:r w:rsidRPr="008526F6">
        <w:t xml:space="preserve">roup, the abnormality was noted in Stage 2 at </w:t>
      </w:r>
      <w:r>
        <w:t>m</w:t>
      </w:r>
      <w:r w:rsidRPr="008526F6">
        <w:t xml:space="preserve">onth 7. For the 1 subject in the placebo-migalastat group, the abnormality was noted in Stage 2 at </w:t>
      </w:r>
      <w:r>
        <w:t>month 9. None of the</w:t>
      </w:r>
      <w:r w:rsidRPr="008526F6">
        <w:t xml:space="preserve"> abnormalities in the 3 subjects were reported as AEs, and all 3 subjects completed the study</w:t>
      </w:r>
      <w:r w:rsidR="00CD308A">
        <w:t>.</w:t>
      </w:r>
    </w:p>
    <w:p w:rsidR="00DE46F9" w:rsidRDefault="00DE46F9" w:rsidP="00DE46F9">
      <w:pPr>
        <w:pStyle w:val="ListBullet"/>
      </w:pPr>
      <w:r w:rsidRPr="007A1CCB">
        <w:t>In the OLE, 19% (n</w:t>
      </w:r>
      <w:r w:rsidR="00231607">
        <w:t xml:space="preserve"> </w:t>
      </w:r>
      <w:r w:rsidRPr="007A1CCB">
        <w:t>=</w:t>
      </w:r>
      <w:r w:rsidR="00231607">
        <w:t xml:space="preserve"> </w:t>
      </w:r>
      <w:r w:rsidRPr="007A1CCB">
        <w:t>11) of all subjects had potentially clinically significant high QRS</w:t>
      </w:r>
      <w:r w:rsidRPr="008526F6">
        <w:t xml:space="preserve"> values, and 28% (n</w:t>
      </w:r>
      <w:r w:rsidR="00231607">
        <w:t xml:space="preserve"> </w:t>
      </w:r>
      <w:r w:rsidRPr="008526F6">
        <w:t>=</w:t>
      </w:r>
      <w:r w:rsidR="00231607">
        <w:t xml:space="preserve"> </w:t>
      </w:r>
      <w:r w:rsidRPr="008526F6">
        <w:t xml:space="preserve">16) of all subjects had </w:t>
      </w:r>
      <w:r>
        <w:t>potentially clinically significant</w:t>
      </w:r>
      <w:r w:rsidRPr="008526F6">
        <w:t xml:space="preserve"> high QTcF values. QTcF values &gt; 450 </w:t>
      </w:r>
      <w:r>
        <w:t>ms</w:t>
      </w:r>
      <w:r w:rsidRPr="008526F6">
        <w:t xml:space="preserve"> and a &gt; 60 </w:t>
      </w:r>
      <w:r>
        <w:t>ms</w:t>
      </w:r>
      <w:r w:rsidRPr="008526F6">
        <w:t xml:space="preserve"> increase from baseline during the study were observed in 1 subject in the migalastat-migalastat group (this subject also had 5 prior incidents of this abnormality in Stages 1 and 2) and 3 subjects in the placebo-migalastat group. </w:t>
      </w:r>
      <w:r>
        <w:t xml:space="preserve"> </w:t>
      </w:r>
      <w:r w:rsidRPr="008526F6">
        <w:t xml:space="preserve">For the 1 subject in the migalastat-migalastat group, </w:t>
      </w:r>
      <w:r>
        <w:t xml:space="preserve">the finding was </w:t>
      </w:r>
      <w:r w:rsidRPr="008526F6">
        <w:t xml:space="preserve">observed at </w:t>
      </w:r>
      <w:r>
        <w:t>m</w:t>
      </w:r>
      <w:r w:rsidRPr="008526F6">
        <w:t>onth</w:t>
      </w:r>
      <w:r>
        <w:t>s</w:t>
      </w:r>
      <w:r w:rsidRPr="008526F6">
        <w:t xml:space="preserve"> 18 </w:t>
      </w:r>
      <w:r>
        <w:t xml:space="preserve">and </w:t>
      </w:r>
      <w:r w:rsidRPr="008526F6">
        <w:t xml:space="preserve">24. In the placebo-migalastat group, </w:t>
      </w:r>
      <w:r>
        <w:t>the finding</w:t>
      </w:r>
      <w:r w:rsidRPr="008526F6">
        <w:t xml:space="preserve"> was observed at </w:t>
      </w:r>
      <w:r>
        <w:t>m</w:t>
      </w:r>
      <w:r w:rsidRPr="008526F6">
        <w:t xml:space="preserve">onth 18 for 1 subject, </w:t>
      </w:r>
      <w:r>
        <w:t>m</w:t>
      </w:r>
      <w:r w:rsidRPr="008526F6">
        <w:t xml:space="preserve">onth 24 for 1 </w:t>
      </w:r>
      <w:proofErr w:type="gramStart"/>
      <w:r w:rsidRPr="008526F6">
        <w:t>subject,</w:t>
      </w:r>
      <w:proofErr w:type="gramEnd"/>
      <w:r w:rsidRPr="008526F6">
        <w:t xml:space="preserve"> and at an unscheduled visit for 1 subject. None of </w:t>
      </w:r>
      <w:r>
        <w:t>the</w:t>
      </w:r>
      <w:r w:rsidRPr="008526F6">
        <w:t xml:space="preserve"> </w:t>
      </w:r>
      <w:r>
        <w:t>findings</w:t>
      </w:r>
      <w:r w:rsidRPr="008526F6">
        <w:t xml:space="preserve"> in the 4 subjects were reported as AEs, and all 4 subjects completed the study.</w:t>
      </w:r>
    </w:p>
    <w:p w:rsidR="00CD308A" w:rsidRDefault="00DE46F9" w:rsidP="00DE46F9">
      <w:pPr>
        <w:pStyle w:val="Heading6"/>
      </w:pPr>
      <w:r w:rsidRPr="006D5984">
        <w:lastRenderedPageBreak/>
        <w:t xml:space="preserve">ECHO </w:t>
      </w:r>
      <w:r>
        <w:t>(safety)</w:t>
      </w:r>
    </w:p>
    <w:p w:rsidR="00DE46F9" w:rsidRPr="002419D1" w:rsidRDefault="00DE46F9" w:rsidP="00DE46F9">
      <w:pPr>
        <w:pStyle w:val="ListBullet"/>
      </w:pPr>
      <w:r w:rsidRPr="008526F6">
        <w:t xml:space="preserve">The changes in ECHO parameters from baseline were assessed in this study as part of the efficacy assessment. Changes in cardiac ejection fraction by ECHO were reviewed as </w:t>
      </w:r>
      <w:r>
        <w:t>one</w:t>
      </w:r>
      <w:r w:rsidRPr="008526F6">
        <w:t xml:space="preserve"> of the stopping criteria for discontinuation of individual subjects. No subjects met the mandatory stopping criteria of a 25% decrease in cardiac ejection fraction</w:t>
      </w:r>
      <w:bookmarkStart w:id="137" w:name="_Toc272414676"/>
      <w:bookmarkStart w:id="138" w:name="_Toc290888540"/>
      <w:bookmarkStart w:id="139" w:name="_Toc416353755"/>
      <w:bookmarkStart w:id="140" w:name="_Toc421005298"/>
      <w:bookmarkStart w:id="141" w:name="_Toc432079175"/>
      <w:bookmarkStart w:id="142" w:name="_Toc432080748"/>
      <w:r>
        <w:t>.</w:t>
      </w:r>
    </w:p>
    <w:p w:rsidR="00DE46F9" w:rsidRPr="004379C1" w:rsidRDefault="00DE46F9" w:rsidP="00DE46F9">
      <w:pPr>
        <w:pStyle w:val="Heading6"/>
        <w:rPr>
          <w:lang w:eastAsia="ja-JP"/>
        </w:rPr>
      </w:pPr>
      <w:r w:rsidRPr="004379C1">
        <w:rPr>
          <w:lang w:eastAsia="ja-JP"/>
        </w:rPr>
        <w:t>Study AT1001-01</w:t>
      </w:r>
      <w:r>
        <w:rPr>
          <w:lang w:eastAsia="ja-JP"/>
        </w:rPr>
        <w:t>2</w:t>
      </w:r>
    </w:p>
    <w:p w:rsidR="00CD308A" w:rsidRDefault="00DE46F9" w:rsidP="00DE46F9">
      <w:pPr>
        <w:pStyle w:val="Heading6"/>
        <w:rPr>
          <w:lang w:eastAsia="ja-JP"/>
        </w:rPr>
      </w:pPr>
      <w:r w:rsidRPr="005C6F64">
        <w:rPr>
          <w:lang w:eastAsia="ja-JP"/>
        </w:rPr>
        <w:t>Cardiac disorders</w:t>
      </w:r>
    </w:p>
    <w:p w:rsidR="00DE46F9" w:rsidRPr="00C36EE9" w:rsidRDefault="00DE46F9" w:rsidP="00DE46F9">
      <w:pPr>
        <w:pStyle w:val="ListBullet"/>
      </w:pPr>
      <w:r w:rsidRPr="00C36EE9">
        <w:t>In the 18-month treatment period, cardiac disorders (SOC) were reported in 14% (n</w:t>
      </w:r>
      <w:r w:rsidR="00D87C4B">
        <w:t> </w:t>
      </w:r>
      <w:r w:rsidRPr="00C36EE9">
        <w:t>=</w:t>
      </w:r>
      <w:r w:rsidR="00D87C4B">
        <w:t> </w:t>
      </w:r>
      <w:r w:rsidRPr="00C36EE9">
        <w:t>5) of subjects in the migalastat group and 14% (n</w:t>
      </w:r>
      <w:r w:rsidR="00D87C4B">
        <w:t> </w:t>
      </w:r>
      <w:r w:rsidRPr="00C36EE9">
        <w:t>=</w:t>
      </w:r>
      <w:r w:rsidR="00D87C4B">
        <w:t> </w:t>
      </w:r>
      <w:r w:rsidRPr="00C36EE9">
        <w:t>3) of subjects in the ERT group. In the 5 subjects in the migalastat group, the TEAEs were palpitations (x</w:t>
      </w:r>
      <w:r w:rsidR="00D87C4B">
        <w:t> </w:t>
      </w:r>
      <w:r w:rsidRPr="00C36EE9">
        <w:t>2), bradycardia (x</w:t>
      </w:r>
      <w:r w:rsidR="00D87C4B">
        <w:t> </w:t>
      </w:r>
      <w:r w:rsidRPr="00C36EE9">
        <w:t>1), cyanosis (x</w:t>
      </w:r>
      <w:r w:rsidR="00D87C4B">
        <w:t> </w:t>
      </w:r>
      <w:r w:rsidRPr="00C36EE9">
        <w:t>1), ventricular extrasys</w:t>
      </w:r>
      <w:r>
        <w:t>toles (x</w:t>
      </w:r>
      <w:r w:rsidR="00D87C4B">
        <w:t> </w:t>
      </w:r>
      <w:r>
        <w:t>1) and ventricular tach</w:t>
      </w:r>
      <w:r w:rsidRPr="00C36EE9">
        <w:t>ycardia (x</w:t>
      </w:r>
      <w:r w:rsidR="00D87C4B">
        <w:t> </w:t>
      </w:r>
      <w:r w:rsidRPr="00C36EE9">
        <w:t xml:space="preserve">1). In the 3 subjects in the ERT group, the TEAEs were palpitations </w:t>
      </w:r>
      <w:r>
        <w:t>(</w:t>
      </w:r>
      <w:r w:rsidRPr="00C36EE9">
        <w:t>x</w:t>
      </w:r>
      <w:r w:rsidR="00D87C4B">
        <w:t> </w:t>
      </w:r>
      <w:r w:rsidRPr="00C36EE9">
        <w:t>1), arrhythmia (x</w:t>
      </w:r>
      <w:r w:rsidR="00D87C4B">
        <w:t> </w:t>
      </w:r>
      <w:r w:rsidRPr="00C36EE9">
        <w:t xml:space="preserve">1), </w:t>
      </w:r>
      <w:proofErr w:type="gramStart"/>
      <w:r w:rsidRPr="00C36EE9">
        <w:t>chronic</w:t>
      </w:r>
      <w:proofErr w:type="gramEnd"/>
      <w:r w:rsidRPr="00C36EE9">
        <w:t xml:space="preserve"> cardiac failure (x</w:t>
      </w:r>
      <w:r w:rsidR="00D87C4B">
        <w:t> </w:t>
      </w:r>
      <w:r w:rsidRPr="00C36EE9">
        <w:t xml:space="preserve">1). There were two </w:t>
      </w:r>
      <w:r>
        <w:t>serious TEAEs</w:t>
      </w:r>
      <w:r w:rsidRPr="00C36EE9">
        <w:t xml:space="preserve"> (1</w:t>
      </w:r>
      <w:r w:rsidR="00D87C4B">
        <w:t> </w:t>
      </w:r>
      <w:r w:rsidRPr="00C36EE9">
        <w:t>x ventricular tachycardia in the migalastat group; 1 x chronic cardiac failure in the ERT group).</w:t>
      </w:r>
    </w:p>
    <w:p w:rsidR="00CD308A" w:rsidRDefault="00DE46F9" w:rsidP="00DE46F9">
      <w:pPr>
        <w:pStyle w:val="ListBullet"/>
      </w:pPr>
      <w:r w:rsidRPr="00C36EE9">
        <w:t>In the safety population (0</w:t>
      </w:r>
      <w:r w:rsidR="00D87C4B">
        <w:t xml:space="preserve"> to </w:t>
      </w:r>
      <w:r w:rsidRPr="00C36EE9">
        <w:t>30 months), cardiac disorders (SOC) were reported in 22% (n</w:t>
      </w:r>
      <w:r w:rsidR="00D87C4B">
        <w:t> </w:t>
      </w:r>
      <w:r w:rsidRPr="00C36EE9">
        <w:t>=</w:t>
      </w:r>
      <w:r w:rsidR="00D87C4B">
        <w:t> </w:t>
      </w:r>
      <w:r w:rsidRPr="00C36EE9">
        <w:t xml:space="preserve">11) of subjects in the all migalastat group. The </w:t>
      </w:r>
      <w:r>
        <w:t xml:space="preserve">one </w:t>
      </w:r>
      <w:r w:rsidRPr="00C36EE9">
        <w:t>TEAE reported in ≥ 2 subject</w:t>
      </w:r>
      <w:r>
        <w:t>s</w:t>
      </w:r>
      <w:r w:rsidRPr="00C36EE9">
        <w:t xml:space="preserve"> was palpitations (5, 10%), and TEAEs reported in 1 subject each were angina pectoris, atrial fibrillation, bradycardia, cyanosis, extrasystoles, pericardial effusion, ventricular extrasystoles, and ventricular tachycardia. </w:t>
      </w:r>
      <w:r>
        <w:t xml:space="preserve">Serious TEAEs reported </w:t>
      </w:r>
      <w:r w:rsidRPr="00C36EE9">
        <w:t>in the migalastat-migalastat group were ventricular tachycardia (x</w:t>
      </w:r>
      <w:r w:rsidR="00D87C4B">
        <w:t> </w:t>
      </w:r>
      <w:r w:rsidRPr="00C36EE9">
        <w:t>1) and atrial fibrillation (x</w:t>
      </w:r>
      <w:r w:rsidR="00D87C4B">
        <w:t> </w:t>
      </w:r>
      <w:r w:rsidRPr="00C36EE9">
        <w:t xml:space="preserve">1). There was 1 </w:t>
      </w:r>
      <w:r>
        <w:t xml:space="preserve">serious TEAE in the ERT-migalastat group </w:t>
      </w:r>
      <w:r w:rsidRPr="00C36EE9">
        <w:t>(chronic cardiac failu</w:t>
      </w:r>
      <w:r>
        <w:t>re)</w:t>
      </w:r>
    </w:p>
    <w:p w:rsidR="00CD308A" w:rsidRDefault="00DE46F9" w:rsidP="00DE46F9">
      <w:pPr>
        <w:pStyle w:val="Heading6"/>
      </w:pPr>
      <w:r w:rsidRPr="00C36EE9">
        <w:t>ECG</w:t>
      </w:r>
    </w:p>
    <w:p w:rsidR="00CD308A" w:rsidRDefault="00DE46F9" w:rsidP="00DE46F9">
      <w:pPr>
        <w:pStyle w:val="ListBullet"/>
      </w:pPr>
      <w:r w:rsidRPr="007A1CCB">
        <w:t>In the 18-month treatment period, there were no clinically meaningful changes in mean</w:t>
      </w:r>
      <w:r w:rsidRPr="001C4596">
        <w:t xml:space="preserve"> ECG parameters over 18 months in either the migalastat or </w:t>
      </w:r>
      <w:r>
        <w:t>ERT</w:t>
      </w:r>
      <w:r w:rsidRPr="001C4596">
        <w:t xml:space="preserve"> treatment groups. At screening, more subjects in migalastat group (22%, n</w:t>
      </w:r>
      <w:r w:rsidR="00D87C4B">
        <w:t> </w:t>
      </w:r>
      <w:r w:rsidRPr="001C4596">
        <w:t>=</w:t>
      </w:r>
      <w:r w:rsidR="00D87C4B">
        <w:t> </w:t>
      </w:r>
      <w:r w:rsidRPr="001C4596">
        <w:t xml:space="preserve">8) had clinically significant abnormal ECGs compared </w:t>
      </w:r>
      <w:r>
        <w:t>to</w:t>
      </w:r>
      <w:r w:rsidRPr="001C4596">
        <w:t xml:space="preserve"> the ERT group (10%, n</w:t>
      </w:r>
      <w:r w:rsidR="00D87C4B">
        <w:t> </w:t>
      </w:r>
      <w:r w:rsidRPr="001C4596">
        <w:t>=</w:t>
      </w:r>
      <w:r w:rsidR="00D87C4B">
        <w:t> </w:t>
      </w:r>
      <w:r w:rsidRPr="001C4596">
        <w:t>2</w:t>
      </w:r>
      <w:r>
        <w:t>)</w:t>
      </w:r>
      <w:r w:rsidRPr="001C4596">
        <w:t>.  At all subsequent visits, the frequency of clinically significant abnormal ECGs was</w:t>
      </w:r>
      <w:r>
        <w:t xml:space="preserve"> lower in the migalastat group </w:t>
      </w:r>
      <w:r w:rsidRPr="001C4596">
        <w:t>compared with the frequency at</w:t>
      </w:r>
      <w:r>
        <w:t xml:space="preserve"> s</w:t>
      </w:r>
      <w:r w:rsidRPr="001C4596">
        <w:t xml:space="preserve">creening, and the frequency of clinically significant abnormalities was comparable to, or lower than, the frequency observed in the ERT group. At month 18, no subjects in either treatment group had clinically significant abnormal ECGs. At screening, the frequency of non-clinically significant abnormal ECGs was comparable between </w:t>
      </w:r>
      <w:r>
        <w:t xml:space="preserve">the two </w:t>
      </w:r>
      <w:r w:rsidRPr="001C4596">
        <w:t xml:space="preserve">treatment groups (56%, </w:t>
      </w:r>
      <w:r w:rsidR="008B05D5">
        <w:t xml:space="preserve">n = </w:t>
      </w:r>
      <w:r w:rsidRPr="001C4596">
        <w:t>20 in the migalastat group and 52%, n</w:t>
      </w:r>
      <w:r w:rsidR="00D87C4B">
        <w:t> </w:t>
      </w:r>
      <w:r w:rsidRPr="001C4596">
        <w:t>=</w:t>
      </w:r>
      <w:r w:rsidR="00D87C4B">
        <w:t> </w:t>
      </w:r>
      <w:r w:rsidRPr="001C4596">
        <w:t>11 in the ERT group). The frequency of non-clinically significant abnormal ECGs was higher in the migalastat group (64%, n</w:t>
      </w:r>
      <w:r w:rsidR="00D87C4B">
        <w:t> </w:t>
      </w:r>
      <w:r w:rsidRPr="001C4596">
        <w:t>=</w:t>
      </w:r>
      <w:r w:rsidR="00D87C4B">
        <w:t> </w:t>
      </w:r>
      <w:r w:rsidRPr="001C4596">
        <w:t>23)</w:t>
      </w:r>
      <w:r>
        <w:t xml:space="preserve"> </w:t>
      </w:r>
      <w:r w:rsidRPr="001C4596">
        <w:t xml:space="preserve">compared </w:t>
      </w:r>
      <w:r>
        <w:t xml:space="preserve">to the </w:t>
      </w:r>
      <w:r w:rsidRPr="001C4596">
        <w:t>ERT group (48%, n</w:t>
      </w:r>
      <w:r w:rsidR="00D87C4B">
        <w:t> </w:t>
      </w:r>
      <w:r w:rsidRPr="001C4596">
        <w:t>=</w:t>
      </w:r>
      <w:r w:rsidR="00D87C4B">
        <w:t> </w:t>
      </w:r>
      <w:r w:rsidRPr="001C4596">
        <w:t>10) at month 1 and at all subsequent visits, with the frequencies at month 18 being 78% (n</w:t>
      </w:r>
      <w:r w:rsidR="00D87C4B">
        <w:t> </w:t>
      </w:r>
      <w:r w:rsidRPr="001C4596">
        <w:t>=</w:t>
      </w:r>
      <w:r w:rsidR="00D87C4B">
        <w:t xml:space="preserve"> </w:t>
      </w:r>
      <w:r w:rsidRPr="001C4596">
        <w:t>28) and 52% (n</w:t>
      </w:r>
      <w:r w:rsidR="00D87C4B">
        <w:t> </w:t>
      </w:r>
      <w:r w:rsidRPr="001C4596">
        <w:t>=</w:t>
      </w:r>
      <w:r w:rsidR="00D87C4B">
        <w:t> </w:t>
      </w:r>
      <w:r w:rsidRPr="001C4596">
        <w:t>11), respectively</w:t>
      </w:r>
      <w:r w:rsidR="00CD308A">
        <w:t>.</w:t>
      </w:r>
    </w:p>
    <w:p w:rsidR="00DE46F9" w:rsidRDefault="00DE46F9" w:rsidP="00DE46F9">
      <w:pPr>
        <w:pStyle w:val="ListBullet"/>
      </w:pPr>
      <w:r w:rsidRPr="007A1CCB">
        <w:t>At month 18, in the OLE population no subjects in the migalastat-migalastat group or</w:t>
      </w:r>
      <w:r w:rsidRPr="00686CD6">
        <w:t xml:space="preserve"> the ERT-migalastat group had clinically significant abnormal ECGs. No clinically significant abnormal ECGs were recorded during subsequent visits (including month</w:t>
      </w:r>
      <w:r w:rsidR="00D87C4B">
        <w:t> </w:t>
      </w:r>
      <w:r w:rsidRPr="00686CD6">
        <w:t xml:space="preserve">30) in either the migalastat-migalastat or </w:t>
      </w:r>
      <w:r>
        <w:t xml:space="preserve">the </w:t>
      </w:r>
      <w:r w:rsidRPr="00686CD6">
        <w:t>ERT-migalastat group. At month 18, the frequency of non-clinically significant abnormal ECGs was higher in the migalastat-migalastat group (79%, n</w:t>
      </w:r>
      <w:r w:rsidR="00D87C4B">
        <w:t> </w:t>
      </w:r>
      <w:r w:rsidRPr="00686CD6">
        <w:t>=</w:t>
      </w:r>
      <w:r w:rsidR="00D87C4B">
        <w:t> </w:t>
      </w:r>
      <w:r w:rsidRPr="00686CD6">
        <w:t xml:space="preserve">26) compared </w:t>
      </w:r>
      <w:r>
        <w:t>to</w:t>
      </w:r>
      <w:r w:rsidRPr="00686CD6">
        <w:t xml:space="preserve"> the ERT-migalastat group (53%, n</w:t>
      </w:r>
      <w:r w:rsidR="00D87C4B">
        <w:t> </w:t>
      </w:r>
      <w:r w:rsidRPr="00686CD6">
        <w:t>=</w:t>
      </w:r>
      <w:r w:rsidR="00D87C4B">
        <w:t> </w:t>
      </w:r>
      <w:r w:rsidRPr="00686CD6">
        <w:t>8). At month 30, the frequency of non-clinical</w:t>
      </w:r>
      <w:r>
        <w:t>ly significant</w:t>
      </w:r>
      <w:r w:rsidRPr="00686CD6">
        <w:t xml:space="preserve"> abnormal ECGs was comparable between the migalastat-migalastat group (70%, n</w:t>
      </w:r>
      <w:r w:rsidR="00D87C4B">
        <w:t> </w:t>
      </w:r>
      <w:r w:rsidRPr="00686CD6">
        <w:t>=</w:t>
      </w:r>
      <w:r w:rsidR="00D87C4B">
        <w:t> </w:t>
      </w:r>
      <w:r w:rsidRPr="00686CD6">
        <w:t>23) and the ERT-migalastat group (67%, n</w:t>
      </w:r>
      <w:r w:rsidR="00D87C4B">
        <w:t> </w:t>
      </w:r>
      <w:r w:rsidRPr="00686CD6">
        <w:t>=</w:t>
      </w:r>
      <w:r w:rsidR="00D87C4B">
        <w:t> </w:t>
      </w:r>
      <w:r w:rsidRPr="00686CD6">
        <w:t>10).</w:t>
      </w:r>
    </w:p>
    <w:p w:rsidR="00DE46F9" w:rsidRDefault="00DE46F9" w:rsidP="00DE46F9">
      <w:pPr>
        <w:pStyle w:val="Heading5"/>
      </w:pPr>
      <w:r w:rsidRPr="00545B14">
        <w:lastRenderedPageBreak/>
        <w:t>Vital signs</w:t>
      </w:r>
      <w:bookmarkEnd w:id="137"/>
      <w:bookmarkEnd w:id="138"/>
      <w:bookmarkEnd w:id="139"/>
      <w:bookmarkEnd w:id="140"/>
      <w:r>
        <w:t xml:space="preserve"> and clinical examination findings</w:t>
      </w:r>
      <w:bookmarkEnd w:id="141"/>
      <w:bookmarkEnd w:id="142"/>
    </w:p>
    <w:p w:rsidR="00CD308A" w:rsidRDefault="00DE46F9" w:rsidP="00DE46F9">
      <w:pPr>
        <w:pStyle w:val="Heading6"/>
        <w:rPr>
          <w:lang w:eastAsia="ja-JP"/>
        </w:rPr>
      </w:pPr>
      <w:r w:rsidRPr="00943525">
        <w:rPr>
          <w:lang w:eastAsia="ja-JP"/>
        </w:rPr>
        <w:t>Study AT1001-011</w:t>
      </w:r>
    </w:p>
    <w:p w:rsidR="00DE46F9" w:rsidRPr="007A1CCB" w:rsidRDefault="00DE46F9" w:rsidP="00DE46F9">
      <w:pPr>
        <w:pStyle w:val="ListBullet"/>
      </w:pPr>
      <w:r w:rsidRPr="007A1CCB">
        <w:t>In Stage 1, there were no clinically meaningful changes in mean values from baseline to the end of Stage 1 (Month 6) for any vital signs in the two treatment groups. No clinically important differences were noted between the migalastat and placebo groups in the mean change from baseline through to month 6 for any vital sign. There were no potentially clinically significant abnormalities in systolic BP, diastolic BP or pulse rate in the migalastat group during Stage 1. The percentage of subjects with a potentially clinically significant increase in weight (≥ 7% increase) was similar in the two treatment groups (6% in the migalastat group and 9% in the placebo group).</w:t>
      </w:r>
    </w:p>
    <w:p w:rsidR="00DE46F9" w:rsidRDefault="00DE46F9" w:rsidP="00DE46F9">
      <w:pPr>
        <w:pStyle w:val="ListBullet"/>
      </w:pPr>
      <w:r w:rsidRPr="007A1CCB">
        <w:t>In Stage 2, there were no clinically meaningful changes in mean values from baseline to the end of Stage 2 (Month 12) for any vital signs. Potentially clinically significant</w:t>
      </w:r>
      <w:r w:rsidRPr="00081C5D">
        <w:t xml:space="preserve"> abnormalities in systolic</w:t>
      </w:r>
      <w:r>
        <w:t xml:space="preserve"> BP</w:t>
      </w:r>
      <w:r w:rsidRPr="00081C5D">
        <w:t xml:space="preserve"> or diastolic BP </w:t>
      </w:r>
      <w:r>
        <w:t xml:space="preserve">were uncommon </w:t>
      </w:r>
      <w:r w:rsidRPr="00081C5D">
        <w:t xml:space="preserve">(1 </w:t>
      </w:r>
      <w:r w:rsidR="00D87C4B">
        <w:t>(</w:t>
      </w:r>
      <w:r w:rsidRPr="00081C5D">
        <w:t>3%</w:t>
      </w:r>
      <w:r w:rsidR="00D87C4B">
        <w:t>)</w:t>
      </w:r>
      <w:r w:rsidRPr="00081C5D">
        <w:t xml:space="preserve"> subject in the migalastat-migalastat group with low systolic blood pressure; 1 </w:t>
      </w:r>
      <w:r w:rsidR="00D87C4B">
        <w:t>(</w:t>
      </w:r>
      <w:r w:rsidRPr="00081C5D">
        <w:t>3%</w:t>
      </w:r>
      <w:r w:rsidR="00D87C4B">
        <w:t>)</w:t>
      </w:r>
      <w:r w:rsidRPr="00081C5D">
        <w:t xml:space="preserve"> subject in the placebo-migalastat group with high systolic blood pressure)</w:t>
      </w:r>
      <w:r>
        <w:t>, as were potentially clinically significant abnormalities in pulse rate (2</w:t>
      </w:r>
      <w:r w:rsidR="00D87C4B">
        <w:t xml:space="preserve"> (</w:t>
      </w:r>
      <w:r>
        <w:t>7</w:t>
      </w:r>
      <w:r w:rsidR="00D87C4B">
        <w:t xml:space="preserve">%) </w:t>
      </w:r>
      <w:r>
        <w:t xml:space="preserve">subjects in the placebo-migalastat group with low values). Potentially clinically significant </w:t>
      </w:r>
      <w:r w:rsidRPr="00081C5D">
        <w:t xml:space="preserve"> increase in weight (≥ 7%</w:t>
      </w:r>
      <w:r>
        <w:t xml:space="preserve"> increase</w:t>
      </w:r>
      <w:r w:rsidRPr="00081C5D">
        <w:t xml:space="preserve">) </w:t>
      </w:r>
      <w:r>
        <w:t xml:space="preserve">were </w:t>
      </w:r>
      <w:r w:rsidRPr="00081C5D">
        <w:t>reported in 4 (12%) subjects in the migalast</w:t>
      </w:r>
      <w:r>
        <w:t xml:space="preserve">at-migalastat group and 4 (13%) </w:t>
      </w:r>
      <w:r w:rsidRPr="00081C5D">
        <w:t xml:space="preserve">subjects in the placebo-migalastat group, and </w:t>
      </w:r>
      <w:r>
        <w:t xml:space="preserve">potentially clinically significant </w:t>
      </w:r>
      <w:r w:rsidRPr="00081C5D">
        <w:t>decrease</w:t>
      </w:r>
      <w:r>
        <w:t>s</w:t>
      </w:r>
      <w:r w:rsidRPr="00081C5D">
        <w:t xml:space="preserve"> in weight </w:t>
      </w:r>
      <w:r>
        <w:t xml:space="preserve">(≥ 7%) were reported in 1 (3%) and 2 (7%) </w:t>
      </w:r>
      <w:r w:rsidRPr="00081C5D">
        <w:t>subjects, respectively.</w:t>
      </w:r>
    </w:p>
    <w:p w:rsidR="00DE46F9" w:rsidRDefault="00DE46F9" w:rsidP="00DE46F9">
      <w:pPr>
        <w:pStyle w:val="ListBullet"/>
      </w:pPr>
      <w:r w:rsidRPr="007A1CCB">
        <w:t>In the OLE, there were no clinically meaningful changes in mean values from baseline</w:t>
      </w:r>
      <w:r w:rsidRPr="00081C5D">
        <w:t xml:space="preserve"> to the end of the OLE (Month 24) for any vital signs</w:t>
      </w:r>
      <w:r>
        <w:t xml:space="preserve">. Potentially clinically significant </w:t>
      </w:r>
      <w:r w:rsidRPr="00081C5D">
        <w:t xml:space="preserve">abnormalities in systolic </w:t>
      </w:r>
      <w:r>
        <w:t xml:space="preserve">BP </w:t>
      </w:r>
      <w:r w:rsidRPr="00081C5D">
        <w:t>or diastolic BP were uncommon (</w:t>
      </w:r>
      <w:r>
        <w:t xml:space="preserve">decreases in systolic BP in </w:t>
      </w:r>
      <w:r w:rsidRPr="00081C5D">
        <w:t xml:space="preserve">1 </w:t>
      </w:r>
      <w:r w:rsidR="00D87C4B">
        <w:t>(</w:t>
      </w:r>
      <w:r w:rsidRPr="00081C5D">
        <w:t>3%</w:t>
      </w:r>
      <w:r w:rsidR="00D87C4B">
        <w:t>)</w:t>
      </w:r>
      <w:r>
        <w:t xml:space="preserve"> subject </w:t>
      </w:r>
      <w:r w:rsidRPr="00081C5D">
        <w:t xml:space="preserve">in the migalastat-migalastat group and 1 </w:t>
      </w:r>
      <w:r w:rsidR="00D87C4B">
        <w:t>(</w:t>
      </w:r>
      <w:r w:rsidRPr="00081C5D">
        <w:t>4%</w:t>
      </w:r>
      <w:r w:rsidR="00D87C4B">
        <w:t>)</w:t>
      </w:r>
      <w:r w:rsidRPr="00081C5D">
        <w:t xml:space="preserve"> </w:t>
      </w:r>
      <w:r>
        <w:t xml:space="preserve">subject </w:t>
      </w:r>
      <w:r w:rsidRPr="00081C5D">
        <w:t xml:space="preserve">in the placebo-migalastat group), as were </w:t>
      </w:r>
      <w:r>
        <w:t xml:space="preserve">potentially clinically significant </w:t>
      </w:r>
      <w:r w:rsidRPr="00081C5D">
        <w:t>abnormalities in pulse rate (</w:t>
      </w:r>
      <w:r>
        <w:t xml:space="preserve">decrease in </w:t>
      </w:r>
      <w:r w:rsidRPr="00081C5D">
        <w:t xml:space="preserve">1 </w:t>
      </w:r>
      <w:r w:rsidR="00D87C4B">
        <w:t>(</w:t>
      </w:r>
      <w:r w:rsidRPr="00081C5D">
        <w:t>4%</w:t>
      </w:r>
      <w:r w:rsidR="00D87C4B">
        <w:t>)</w:t>
      </w:r>
      <w:r>
        <w:t xml:space="preserve"> subject in the placebo-migalastat group</w:t>
      </w:r>
      <w:r w:rsidRPr="00081C5D">
        <w:t>).</w:t>
      </w:r>
      <w:r>
        <w:t xml:space="preserve"> Potentially clinically significant </w:t>
      </w:r>
      <w:r w:rsidRPr="00081C5D">
        <w:t>increase</w:t>
      </w:r>
      <w:r>
        <w:t>s</w:t>
      </w:r>
      <w:r w:rsidRPr="00081C5D">
        <w:t xml:space="preserve"> in weight (≥ 7%</w:t>
      </w:r>
      <w:r>
        <w:t xml:space="preserve"> increase</w:t>
      </w:r>
      <w:r w:rsidRPr="00081C5D">
        <w:t>)</w:t>
      </w:r>
      <w:r>
        <w:t xml:space="preserve"> were reported in 5 (17%) </w:t>
      </w:r>
      <w:r w:rsidRPr="00081C5D">
        <w:t>subjects in the migalastat-mig</w:t>
      </w:r>
      <w:r>
        <w:t>a</w:t>
      </w:r>
      <w:r w:rsidRPr="00081C5D">
        <w:t>lastat group and 9 (32%) subjects in the placeb</w:t>
      </w:r>
      <w:r>
        <w:t>o</w:t>
      </w:r>
      <w:r w:rsidRPr="00081C5D">
        <w:t xml:space="preserve">-migalastat group, while </w:t>
      </w:r>
      <w:r>
        <w:t xml:space="preserve">potentially clinically significant </w:t>
      </w:r>
      <w:r w:rsidRPr="00081C5D">
        <w:t>decrease</w:t>
      </w:r>
      <w:r>
        <w:t>s</w:t>
      </w:r>
      <w:r w:rsidRPr="00081C5D">
        <w:t xml:space="preserve"> in weight </w:t>
      </w:r>
      <w:r>
        <w:t xml:space="preserve">(≥ 7% decrease) were </w:t>
      </w:r>
      <w:r w:rsidRPr="00081C5D">
        <w:t>reported in 2 (7%) subjects and no subjects, respectively.</w:t>
      </w:r>
      <w:bookmarkStart w:id="143" w:name="_Toc432079176"/>
      <w:bookmarkStart w:id="144" w:name="_Toc432080749"/>
    </w:p>
    <w:p w:rsidR="00DE46F9" w:rsidRPr="005037CC" w:rsidRDefault="00DE46F9" w:rsidP="00DE46F9">
      <w:pPr>
        <w:pStyle w:val="Heading6"/>
      </w:pPr>
      <w:r w:rsidRPr="005037CC">
        <w:t>Study AT1001-012</w:t>
      </w:r>
    </w:p>
    <w:p w:rsidR="00CD308A" w:rsidRDefault="00DE46F9" w:rsidP="00DE46F9">
      <w:pPr>
        <w:pStyle w:val="ListBullet"/>
      </w:pPr>
      <w:r w:rsidRPr="007A1CCB">
        <w:t>In the 18-month treatment period, there were no clinically meaningful changes in mean</w:t>
      </w:r>
      <w:r w:rsidRPr="00547304">
        <w:t xml:space="preserve"> values from baseline through to </w:t>
      </w:r>
      <w:r>
        <w:t xml:space="preserve">month 18 </w:t>
      </w:r>
      <w:r w:rsidRPr="00547304">
        <w:t xml:space="preserve">for any vital signs in </w:t>
      </w:r>
      <w:r>
        <w:t xml:space="preserve">either the </w:t>
      </w:r>
      <w:r w:rsidRPr="00547304">
        <w:t xml:space="preserve">migalastat </w:t>
      </w:r>
      <w:r>
        <w:t xml:space="preserve">group </w:t>
      </w:r>
      <w:r w:rsidRPr="00547304">
        <w:t xml:space="preserve">or </w:t>
      </w:r>
      <w:r>
        <w:t>the ERT group</w:t>
      </w:r>
      <w:r w:rsidRPr="00547304">
        <w:t xml:space="preserve">. No important differences </w:t>
      </w:r>
      <w:r>
        <w:t xml:space="preserve">between the migalastat and ERT groups </w:t>
      </w:r>
      <w:r w:rsidRPr="00547304">
        <w:t>were noted in the mean change from baseline for any vital sign.</w:t>
      </w:r>
      <w:r w:rsidRPr="00547304">
        <w:rPr>
          <w:color w:val="000000"/>
        </w:rPr>
        <w:t xml:space="preserve"> Potentially clinically significant abnormalities in vital sign measurements were infrequent during the 18-month treatment period, with the exception of weight. </w:t>
      </w:r>
      <w:r w:rsidRPr="00547304">
        <w:t>The percentage of subjects with a potentially clinical significant increase in weight (≥ 7%</w:t>
      </w:r>
      <w:r>
        <w:t xml:space="preserve"> increase</w:t>
      </w:r>
      <w:r w:rsidRPr="00547304">
        <w:t>) was 11% (n</w:t>
      </w:r>
      <w:r w:rsidR="00D87C4B">
        <w:t xml:space="preserve"> </w:t>
      </w:r>
      <w:r w:rsidRPr="00547304">
        <w:t>=</w:t>
      </w:r>
      <w:r w:rsidR="00D87C4B">
        <w:t xml:space="preserve"> </w:t>
      </w:r>
      <w:r w:rsidRPr="00547304">
        <w:t>4) in the migalastat group and 5% (n</w:t>
      </w:r>
      <w:r w:rsidR="00D87C4B">
        <w:t xml:space="preserve"> </w:t>
      </w:r>
      <w:r w:rsidRPr="00547304">
        <w:t>=</w:t>
      </w:r>
      <w:r w:rsidR="00D87C4B">
        <w:t xml:space="preserve"> </w:t>
      </w:r>
      <w:r w:rsidRPr="00547304">
        <w:t>1) in the ERT group. The percentage of subjects with a potentially clinically si</w:t>
      </w:r>
      <w:r>
        <w:t xml:space="preserve">gnificant decrease in weight (≥ </w:t>
      </w:r>
      <w:r w:rsidRPr="00547304">
        <w:t>7% decrease) was 17% (n</w:t>
      </w:r>
      <w:r w:rsidR="00D87C4B">
        <w:t xml:space="preserve"> </w:t>
      </w:r>
      <w:r w:rsidRPr="00547304">
        <w:t>=</w:t>
      </w:r>
      <w:r w:rsidR="00D87C4B">
        <w:t xml:space="preserve"> </w:t>
      </w:r>
      <w:r w:rsidRPr="00547304">
        <w:t>6) in the migalastat group and 19%</w:t>
      </w:r>
      <w:r>
        <w:t xml:space="preserve"> </w:t>
      </w:r>
      <w:r w:rsidRPr="00547304">
        <w:t>(n</w:t>
      </w:r>
      <w:r w:rsidR="00D87C4B">
        <w:t xml:space="preserve"> </w:t>
      </w:r>
      <w:r w:rsidRPr="00547304">
        <w:t>=</w:t>
      </w:r>
      <w:r w:rsidR="00D87C4B">
        <w:t xml:space="preserve"> </w:t>
      </w:r>
      <w:r w:rsidRPr="00547304">
        <w:t xml:space="preserve">4) in the ERT group. There were no subjects with potentially clinically significant abnormalities (high or low) for systolic or </w:t>
      </w:r>
      <w:r w:rsidRPr="001B5685">
        <w:t>diastolic blood pressure, and there was 1 subject in the migalastat group with a potentially clinically significant low pulse rate in the migalastat group</w:t>
      </w:r>
      <w:r w:rsidR="00CD308A">
        <w:t>.</w:t>
      </w:r>
    </w:p>
    <w:p w:rsidR="00CD308A" w:rsidRDefault="00DE46F9" w:rsidP="00DE46F9">
      <w:pPr>
        <w:pStyle w:val="ListBullet"/>
      </w:pPr>
      <w:r w:rsidRPr="007A1CCB">
        <w:t>In the OLE, there were no clinically meaningful changes in mean values from baseline</w:t>
      </w:r>
      <w:r w:rsidRPr="001B5685">
        <w:t xml:space="preserve"> through to month 30 for any vita</w:t>
      </w:r>
      <w:r>
        <w:t xml:space="preserve">l signs in the OLE population. </w:t>
      </w:r>
      <w:r w:rsidRPr="001B5685">
        <w:t>Potentially clinically significant abnormalities in vital sign measurements were infrequent in the OLE period, with the exception of weight. The percentage of subjects with a potentially clinically significant increase in weight (≥ 7% increase in weight) was 9% (n</w:t>
      </w:r>
      <w:r w:rsidR="00D87C4B">
        <w:t xml:space="preserve"> </w:t>
      </w:r>
      <w:r w:rsidRPr="001B5685">
        <w:t>=</w:t>
      </w:r>
      <w:r w:rsidR="00D87C4B">
        <w:t xml:space="preserve"> </w:t>
      </w:r>
      <w:r w:rsidRPr="001B5685">
        <w:t xml:space="preserve">3) in the </w:t>
      </w:r>
      <w:r w:rsidRPr="001B5685">
        <w:lastRenderedPageBreak/>
        <w:t>migalastat-migalastat group and 33% (n</w:t>
      </w:r>
      <w:r w:rsidR="00D87C4B">
        <w:t xml:space="preserve"> </w:t>
      </w:r>
      <w:r w:rsidRPr="001B5685">
        <w:t>=</w:t>
      </w:r>
      <w:r w:rsidR="00D87C4B">
        <w:t xml:space="preserve"> </w:t>
      </w:r>
      <w:r w:rsidRPr="001B5685">
        <w:t>5) in the ERT-migalastat group. The percentage of subjects with a potentially clinically significant decrease in weight (≥ 7% decrease in weight) was 18% (</w:t>
      </w:r>
      <w:r w:rsidR="008B05D5">
        <w:t xml:space="preserve">n = </w:t>
      </w:r>
      <w:r w:rsidRPr="001B5685">
        <w:t>6) in the migalastat-migalastat group and 13% (n</w:t>
      </w:r>
      <w:r w:rsidR="00D87C4B">
        <w:t> </w:t>
      </w:r>
      <w:r w:rsidRPr="001B5685">
        <w:t>=</w:t>
      </w:r>
      <w:r w:rsidR="00D87C4B">
        <w:t> </w:t>
      </w:r>
      <w:r w:rsidRPr="001B5685">
        <w:t xml:space="preserve">2) in the ERT-migalastat group. There were no potentially clinically significant increases in systolic blood pressure in either the migalastat-migalastat or </w:t>
      </w:r>
      <w:r>
        <w:t xml:space="preserve">the </w:t>
      </w:r>
      <w:r w:rsidRPr="001B5685">
        <w:t xml:space="preserve">ERT-migalastat group, and there was 1 (7%) subject in the ERT-migalastat group with a potentially </w:t>
      </w:r>
      <w:r>
        <w:t>clinically significant decrease</w:t>
      </w:r>
      <w:r w:rsidRPr="001B5685">
        <w:t xml:space="preserve"> in systolic blood pressure. There were no potentially clinically significant abnormalities (high or low) in diastolic blood pressure in either the migalastat-migalastat or </w:t>
      </w:r>
      <w:r>
        <w:t xml:space="preserve">the </w:t>
      </w:r>
      <w:r w:rsidRPr="001B5685">
        <w:t xml:space="preserve">ERT-migalastat group.  There were no potentially clinically significant increases in pulse rate in either the migalastat-migalastat or </w:t>
      </w:r>
      <w:r>
        <w:t xml:space="preserve">the </w:t>
      </w:r>
      <w:r w:rsidRPr="001B5685">
        <w:t>ERT-migalastat group. Potentially clinically significant decreases in pulse rate were observed in 6% (n</w:t>
      </w:r>
      <w:r w:rsidR="00D87C4B">
        <w:t xml:space="preserve"> </w:t>
      </w:r>
      <w:r w:rsidRPr="001B5685">
        <w:t>=</w:t>
      </w:r>
      <w:r w:rsidR="00D87C4B">
        <w:t xml:space="preserve"> </w:t>
      </w:r>
      <w:r w:rsidRPr="001B5685">
        <w:t>2) of subjects in the migalastat-migalastat group and 7% (n</w:t>
      </w:r>
      <w:r w:rsidR="00D87C4B">
        <w:t xml:space="preserve"> </w:t>
      </w:r>
      <w:r w:rsidRPr="001B5685">
        <w:t>=</w:t>
      </w:r>
      <w:r w:rsidR="00D87C4B">
        <w:t xml:space="preserve"> </w:t>
      </w:r>
      <w:r w:rsidRPr="001B5685">
        <w:t>1) of subjects in the ERT-migalastat group</w:t>
      </w:r>
      <w:r w:rsidR="00CD308A">
        <w:t>.</w:t>
      </w:r>
    </w:p>
    <w:p w:rsidR="00DE46F9" w:rsidRDefault="00DE46F9" w:rsidP="00DE46F9">
      <w:pPr>
        <w:pStyle w:val="Heading5"/>
      </w:pPr>
      <w:r>
        <w:t>Immunogenicity and immunological events</w:t>
      </w:r>
      <w:bookmarkEnd w:id="143"/>
      <w:bookmarkEnd w:id="144"/>
    </w:p>
    <w:p w:rsidR="00DE46F9" w:rsidRPr="00282C9B" w:rsidRDefault="00DE46F9" w:rsidP="00DE46F9">
      <w:pPr>
        <w:pStyle w:val="Heading6"/>
        <w:rPr>
          <w:lang w:eastAsia="ja-JP"/>
        </w:rPr>
      </w:pPr>
      <w:r w:rsidRPr="00282C9B">
        <w:rPr>
          <w:lang w:eastAsia="ja-JP"/>
        </w:rPr>
        <w:t>Study AT1001-011</w:t>
      </w:r>
    </w:p>
    <w:p w:rsidR="00CD308A" w:rsidRDefault="00DE46F9" w:rsidP="00DE46F9">
      <w:pPr>
        <w:pStyle w:val="ListBullet"/>
        <w:rPr>
          <w:lang w:eastAsia="ja-JP"/>
        </w:rPr>
      </w:pPr>
      <w:r w:rsidRPr="007A1CCB">
        <w:rPr>
          <w:lang w:eastAsia="ja-JP"/>
        </w:rPr>
        <w:t>In Stage 1, no immune system disorders (SOC) were reported in either the migalastat group or the placebo group. In Stage 2, immune system disorders were reported in 1 (3%) subject in the migalastat-migalastat group (1</w:t>
      </w:r>
      <w:r w:rsidR="00D87C4B">
        <w:rPr>
          <w:lang w:eastAsia="ja-JP"/>
        </w:rPr>
        <w:t xml:space="preserve"> </w:t>
      </w:r>
      <w:r w:rsidRPr="007A1CCB">
        <w:rPr>
          <w:lang w:eastAsia="ja-JP"/>
        </w:rPr>
        <w:t>x drug hypersensitivity) and 1 (3%) subject in the migalastat-placebo group (1</w:t>
      </w:r>
      <w:r w:rsidR="00D87C4B">
        <w:rPr>
          <w:lang w:eastAsia="ja-JP"/>
        </w:rPr>
        <w:t xml:space="preserve"> </w:t>
      </w:r>
      <w:r w:rsidRPr="007A1CCB">
        <w:rPr>
          <w:lang w:eastAsia="ja-JP"/>
        </w:rPr>
        <w:t>x drug hypersensitivity). In the OLE, no immune system disorders (SOC) were reported in either the migalastat-migalastat</w:t>
      </w:r>
      <w:r>
        <w:rPr>
          <w:lang w:eastAsia="ja-JP"/>
        </w:rPr>
        <w:t xml:space="preserve"> group or the placebo-migalastat group. No serious immune disorders (SOC) were reported during the study</w:t>
      </w:r>
      <w:r w:rsidR="00CD308A">
        <w:rPr>
          <w:lang w:eastAsia="ja-JP"/>
        </w:rPr>
        <w:t>.</w:t>
      </w:r>
    </w:p>
    <w:p w:rsidR="00CD308A" w:rsidRDefault="00DE46F9" w:rsidP="00DE46F9">
      <w:pPr>
        <w:pStyle w:val="Heading6"/>
        <w:rPr>
          <w:lang w:eastAsia="ja-JP"/>
        </w:rPr>
      </w:pPr>
      <w:bookmarkStart w:id="145" w:name="_Toc432079177"/>
      <w:bookmarkStart w:id="146" w:name="_Toc432080750"/>
      <w:r w:rsidRPr="00282C9B">
        <w:rPr>
          <w:lang w:eastAsia="ja-JP"/>
        </w:rPr>
        <w:t>Study AT1001-012</w:t>
      </w:r>
    </w:p>
    <w:p w:rsidR="00DE46F9" w:rsidRPr="007A1CCB" w:rsidRDefault="00DE46F9" w:rsidP="00DE46F9">
      <w:pPr>
        <w:pStyle w:val="ListBullet"/>
        <w:rPr>
          <w:lang w:eastAsia="ja-JP"/>
        </w:rPr>
      </w:pPr>
      <w:r w:rsidRPr="007A1CCB">
        <w:rPr>
          <w:lang w:eastAsia="ja-JP"/>
        </w:rPr>
        <w:t>In the 18-month treatment period, immune system disorders (SOC) were reported in 1 (3%) subject in the migalastat group (1x seasonal allergy) and no subjects in the ERT group. In the safety population (0</w:t>
      </w:r>
      <w:r w:rsidR="00D87C4B">
        <w:rPr>
          <w:lang w:eastAsia="ja-JP"/>
        </w:rPr>
        <w:t xml:space="preserve"> to </w:t>
      </w:r>
      <w:r w:rsidRPr="007A1CCB">
        <w:rPr>
          <w:lang w:eastAsia="ja-JP"/>
        </w:rPr>
        <w:t>30 months), immune system disorders (SOC) were reported in 1 (2%) subject in the all migalastat group (1x seasonal allergy). No serious immune disorders (SOC) were reported during the study</w:t>
      </w:r>
    </w:p>
    <w:p w:rsidR="00DE46F9" w:rsidRDefault="00DE46F9" w:rsidP="00DE46F9">
      <w:pPr>
        <w:pStyle w:val="Heading5"/>
      </w:pPr>
      <w:r w:rsidRPr="00E7113A">
        <w:t>Serious skin reactions</w:t>
      </w:r>
      <w:bookmarkEnd w:id="145"/>
      <w:bookmarkEnd w:id="146"/>
    </w:p>
    <w:p w:rsidR="00DE46F9" w:rsidRPr="00081C5D" w:rsidRDefault="00DE46F9" w:rsidP="00DE46F9">
      <w:pPr>
        <w:pStyle w:val="Heading6"/>
        <w:rPr>
          <w:lang w:eastAsia="ja-JP"/>
        </w:rPr>
      </w:pPr>
      <w:r w:rsidRPr="00081C5D">
        <w:rPr>
          <w:lang w:eastAsia="ja-JP"/>
        </w:rPr>
        <w:t>Study AT1001-011</w:t>
      </w:r>
    </w:p>
    <w:p w:rsidR="00CD308A" w:rsidRDefault="00DE46F9" w:rsidP="00DE46F9">
      <w:pPr>
        <w:pStyle w:val="ListBullet"/>
        <w:rPr>
          <w:lang w:eastAsia="ja-JP"/>
        </w:rPr>
      </w:pPr>
      <w:r>
        <w:rPr>
          <w:lang w:eastAsia="ja-JP"/>
        </w:rPr>
        <w:t>No serious skin disorders (SOC) were reported during the study</w:t>
      </w:r>
      <w:r w:rsidR="00CD308A">
        <w:rPr>
          <w:lang w:eastAsia="ja-JP"/>
        </w:rPr>
        <w:t>.</w:t>
      </w:r>
    </w:p>
    <w:p w:rsidR="00CD308A" w:rsidRDefault="00DE46F9" w:rsidP="00DE46F9">
      <w:pPr>
        <w:pStyle w:val="ListBullet"/>
        <w:rPr>
          <w:lang w:eastAsia="ja-JP"/>
        </w:rPr>
      </w:pPr>
      <w:r w:rsidRPr="007A1CCB">
        <w:rPr>
          <w:lang w:eastAsia="ja-JP"/>
        </w:rPr>
        <w:t xml:space="preserve">In Stage 1, skin and subcutaneous disorders (SOC) were reported in 2 (6%) subjects in the migalastat group (1 TEAE each for dry skin and rash) and 5 (15%) subjects in the placebo group (1 TEAE each for dry skin, rash, angiokeratoma, erythema, macular </w:t>
      </w:r>
      <w:proofErr w:type="gramStart"/>
      <w:r w:rsidRPr="007A1CCB">
        <w:rPr>
          <w:lang w:eastAsia="ja-JP"/>
        </w:rPr>
        <w:t>rash,</w:t>
      </w:r>
      <w:proofErr w:type="gramEnd"/>
      <w:r w:rsidRPr="007A1CCB">
        <w:rPr>
          <w:lang w:eastAsia="ja-JP"/>
        </w:rPr>
        <w:t xml:space="preserve"> and skin burning sensation)</w:t>
      </w:r>
      <w:r w:rsidR="00CD308A">
        <w:rPr>
          <w:lang w:eastAsia="ja-JP"/>
        </w:rPr>
        <w:t>.</w:t>
      </w:r>
    </w:p>
    <w:p w:rsidR="00CD308A" w:rsidRDefault="00DE46F9" w:rsidP="00DE46F9">
      <w:pPr>
        <w:pStyle w:val="ListBullet"/>
        <w:rPr>
          <w:lang w:eastAsia="ja-JP"/>
        </w:rPr>
      </w:pPr>
      <w:r w:rsidRPr="007A1CCB">
        <w:rPr>
          <w:lang w:eastAsia="ja-JP"/>
        </w:rPr>
        <w:t>In Stage 2, skin and subcutaneous disorders (SOC) were reported in 5 (15%) subjects in the migalastat-migalastat group (1 TEAE each for angiokeratoma, alopecia, eczema, erythema, hypohidrosis, pruritic rash, and skin lesion), and 3 (10%) subjects in the placebo-migalastat group (1 TEAE each for angiokeratoma, hyperhidrosis, and pityriasis)</w:t>
      </w:r>
      <w:r w:rsidR="00CD308A">
        <w:rPr>
          <w:lang w:eastAsia="ja-JP"/>
        </w:rPr>
        <w:t>.</w:t>
      </w:r>
    </w:p>
    <w:p w:rsidR="00CD308A" w:rsidRDefault="00DE46F9" w:rsidP="00DE46F9">
      <w:pPr>
        <w:pStyle w:val="ListBullet"/>
        <w:rPr>
          <w:lang w:eastAsia="ja-JP"/>
        </w:rPr>
      </w:pPr>
      <w:r w:rsidRPr="007A1CCB">
        <w:rPr>
          <w:lang w:eastAsia="ja-JP"/>
        </w:rPr>
        <w:t>In the OLE, skin and subcutaneous disorders (SOC) were reported in 1 (3%) subjects in the migalastat-migalastat group (1 TEAE each for skin lesion and skin ulcer), and 4 (14%) subjects in the placebo-migalastat group (2 TEAEs each for angiokeratoma and</w:t>
      </w:r>
      <w:r>
        <w:rPr>
          <w:lang w:eastAsia="ja-JP"/>
        </w:rPr>
        <w:t xml:space="preserve"> erythema, 1 TEAE each for pruritus and rash)</w:t>
      </w:r>
      <w:r w:rsidR="00CD308A">
        <w:rPr>
          <w:lang w:eastAsia="ja-JP"/>
        </w:rPr>
        <w:t>.</w:t>
      </w:r>
    </w:p>
    <w:p w:rsidR="00DE46F9" w:rsidRPr="00DC628F" w:rsidRDefault="00DE46F9" w:rsidP="00DE46F9">
      <w:pPr>
        <w:pStyle w:val="Heading5"/>
        <w:rPr>
          <w:lang w:eastAsia="ja-JP"/>
        </w:rPr>
      </w:pPr>
      <w:r w:rsidRPr="00DC628F">
        <w:rPr>
          <w:lang w:eastAsia="ja-JP"/>
        </w:rPr>
        <w:t>Serious skin reactions</w:t>
      </w:r>
    </w:p>
    <w:p w:rsidR="00CD308A" w:rsidRDefault="00DE46F9" w:rsidP="00DE46F9">
      <w:pPr>
        <w:pStyle w:val="ListBullet"/>
        <w:rPr>
          <w:lang w:eastAsia="ja-JP"/>
        </w:rPr>
      </w:pPr>
      <w:r>
        <w:rPr>
          <w:lang w:eastAsia="ja-JP"/>
        </w:rPr>
        <w:t>No serious skin disorders (SOC) were reported during the study</w:t>
      </w:r>
      <w:r w:rsidR="00CD308A">
        <w:rPr>
          <w:lang w:eastAsia="ja-JP"/>
        </w:rPr>
        <w:t>.</w:t>
      </w:r>
    </w:p>
    <w:p w:rsidR="00CD308A" w:rsidRDefault="00DE46F9" w:rsidP="00DE46F9">
      <w:pPr>
        <w:pStyle w:val="ListBullet"/>
        <w:rPr>
          <w:lang w:eastAsia="ja-JP"/>
        </w:rPr>
      </w:pPr>
      <w:r w:rsidRPr="007A1CCB">
        <w:rPr>
          <w:lang w:eastAsia="ja-JP"/>
        </w:rPr>
        <w:lastRenderedPageBreak/>
        <w:t>In the 18-month treatment period, skin and subcutaneous disorders (SOC) were report</w:t>
      </w:r>
      <w:r>
        <w:rPr>
          <w:lang w:eastAsia="ja-JP"/>
        </w:rPr>
        <w:t xml:space="preserve"> in 8 (22%) subjects in the migalastat group and 4 (19%) subjects in the ERT group. In the 8 subjects in the migalastat group, the TEAEs were hyperhidrosis (x3), rash (x2)</w:t>
      </w:r>
      <w:proofErr w:type="gramStart"/>
      <w:r>
        <w:rPr>
          <w:lang w:eastAsia="ja-JP"/>
        </w:rPr>
        <w:t>,</w:t>
      </w:r>
      <w:proofErr w:type="gramEnd"/>
      <w:r>
        <w:rPr>
          <w:lang w:eastAsia="ja-JP"/>
        </w:rPr>
        <w:t xml:space="preserve"> night sweats (x2) psoriasis (</w:t>
      </w:r>
      <w:r w:rsidR="008B05D5">
        <w:rPr>
          <w:lang w:eastAsia="ja-JP"/>
        </w:rPr>
        <w:t>x 1</w:t>
      </w:r>
      <w:r>
        <w:rPr>
          <w:lang w:eastAsia="ja-JP"/>
        </w:rPr>
        <w:t>), actinic keratosis (</w:t>
      </w:r>
      <w:r w:rsidR="008B05D5">
        <w:rPr>
          <w:lang w:eastAsia="ja-JP"/>
        </w:rPr>
        <w:t>x 1</w:t>
      </w:r>
      <w:r>
        <w:rPr>
          <w:lang w:eastAsia="ja-JP"/>
        </w:rPr>
        <w:t>), alopecia (</w:t>
      </w:r>
      <w:r w:rsidR="008B05D5">
        <w:rPr>
          <w:lang w:eastAsia="ja-JP"/>
        </w:rPr>
        <w:t>x 1</w:t>
      </w:r>
      <w:r>
        <w:rPr>
          <w:lang w:eastAsia="ja-JP"/>
        </w:rPr>
        <w:t>), hyperkeratosis (</w:t>
      </w:r>
      <w:r w:rsidR="008B05D5">
        <w:rPr>
          <w:lang w:eastAsia="ja-JP"/>
        </w:rPr>
        <w:t>x 1</w:t>
      </w:r>
      <w:r>
        <w:rPr>
          <w:lang w:eastAsia="ja-JP"/>
        </w:rPr>
        <w:t>), pruritus (</w:t>
      </w:r>
      <w:r w:rsidR="008B05D5">
        <w:rPr>
          <w:lang w:eastAsia="ja-JP"/>
        </w:rPr>
        <w:t>x 1</w:t>
      </w:r>
      <w:r>
        <w:rPr>
          <w:lang w:eastAsia="ja-JP"/>
        </w:rPr>
        <w:t>), skin discolouration (</w:t>
      </w:r>
      <w:r w:rsidR="008B05D5">
        <w:rPr>
          <w:lang w:eastAsia="ja-JP"/>
        </w:rPr>
        <w:t>x 1</w:t>
      </w:r>
      <w:r>
        <w:rPr>
          <w:lang w:eastAsia="ja-JP"/>
        </w:rPr>
        <w:t>) and skin lesion (</w:t>
      </w:r>
      <w:r w:rsidR="008B05D5">
        <w:rPr>
          <w:lang w:eastAsia="ja-JP"/>
        </w:rPr>
        <w:t>x 1</w:t>
      </w:r>
      <w:r>
        <w:rPr>
          <w:lang w:eastAsia="ja-JP"/>
        </w:rPr>
        <w:t>). In the 4 subjects in the ERT group, the TEAEs were night sweats (</w:t>
      </w:r>
      <w:r w:rsidR="008B05D5">
        <w:rPr>
          <w:lang w:eastAsia="ja-JP"/>
        </w:rPr>
        <w:t>x 1</w:t>
      </w:r>
      <w:r>
        <w:rPr>
          <w:lang w:eastAsia="ja-JP"/>
        </w:rPr>
        <w:t>), psoriasis (</w:t>
      </w:r>
      <w:r w:rsidR="008B05D5">
        <w:rPr>
          <w:lang w:eastAsia="ja-JP"/>
        </w:rPr>
        <w:t>x 1</w:t>
      </w:r>
      <w:r>
        <w:rPr>
          <w:lang w:eastAsia="ja-JP"/>
        </w:rPr>
        <w:t>), acne (</w:t>
      </w:r>
      <w:r w:rsidR="008B05D5">
        <w:rPr>
          <w:lang w:eastAsia="ja-JP"/>
        </w:rPr>
        <w:t>x 1</w:t>
      </w:r>
      <w:r>
        <w:rPr>
          <w:lang w:eastAsia="ja-JP"/>
        </w:rPr>
        <w:t>) and blister (</w:t>
      </w:r>
      <w:r w:rsidR="008B05D5">
        <w:rPr>
          <w:lang w:eastAsia="ja-JP"/>
        </w:rPr>
        <w:t>x 1</w:t>
      </w:r>
      <w:r>
        <w:rPr>
          <w:lang w:eastAsia="ja-JP"/>
        </w:rPr>
        <w:t>)</w:t>
      </w:r>
      <w:r w:rsidR="00CD308A">
        <w:rPr>
          <w:lang w:eastAsia="ja-JP"/>
        </w:rPr>
        <w:t>.</w:t>
      </w:r>
    </w:p>
    <w:p w:rsidR="00CD308A" w:rsidRDefault="00DE46F9" w:rsidP="00DE46F9">
      <w:pPr>
        <w:pStyle w:val="ListBullet"/>
        <w:rPr>
          <w:lang w:eastAsia="ja-JP"/>
        </w:rPr>
      </w:pPr>
      <w:r w:rsidRPr="007A1CCB">
        <w:rPr>
          <w:lang w:eastAsia="ja-JP"/>
        </w:rPr>
        <w:t>In the safety-population (0</w:t>
      </w:r>
      <w:r w:rsidR="00D87C4B">
        <w:rPr>
          <w:lang w:eastAsia="ja-JP"/>
        </w:rPr>
        <w:t xml:space="preserve"> to </w:t>
      </w:r>
      <w:r w:rsidRPr="007A1CCB">
        <w:rPr>
          <w:lang w:eastAsia="ja-JP"/>
        </w:rPr>
        <w:t>30 months), skin and subcutaneous tissue disorders (SOC)</w:t>
      </w:r>
      <w:r>
        <w:rPr>
          <w:lang w:eastAsia="ja-JP"/>
        </w:rPr>
        <w:t xml:space="preserve"> were reported in 11 (22%) subjects in the all migalastat group. The TEAEs were hyperhidrosis (x3), night sweats (x2), rash (x2), actinic keratosis (</w:t>
      </w:r>
      <w:r w:rsidR="008B05D5">
        <w:rPr>
          <w:lang w:eastAsia="ja-JP"/>
        </w:rPr>
        <w:t>x 1</w:t>
      </w:r>
      <w:r>
        <w:rPr>
          <w:lang w:eastAsia="ja-JP"/>
        </w:rPr>
        <w:t>), alopecia (</w:t>
      </w:r>
      <w:r w:rsidR="008B05D5">
        <w:rPr>
          <w:lang w:eastAsia="ja-JP"/>
        </w:rPr>
        <w:t>x 1</w:t>
      </w:r>
      <w:r>
        <w:rPr>
          <w:lang w:eastAsia="ja-JP"/>
        </w:rPr>
        <w:t>), hyperkeratosis (</w:t>
      </w:r>
      <w:r w:rsidR="008B05D5">
        <w:rPr>
          <w:lang w:eastAsia="ja-JP"/>
        </w:rPr>
        <w:t>x 1</w:t>
      </w:r>
      <w:r>
        <w:rPr>
          <w:lang w:eastAsia="ja-JP"/>
        </w:rPr>
        <w:t>), pigmentation disorder (</w:t>
      </w:r>
      <w:r w:rsidR="008B05D5">
        <w:rPr>
          <w:lang w:eastAsia="ja-JP"/>
        </w:rPr>
        <w:t>x 1</w:t>
      </w:r>
      <w:r>
        <w:rPr>
          <w:lang w:eastAsia="ja-JP"/>
        </w:rPr>
        <w:t>), pruritus (</w:t>
      </w:r>
      <w:r w:rsidR="008B05D5">
        <w:rPr>
          <w:lang w:eastAsia="ja-JP"/>
        </w:rPr>
        <w:t>x 1</w:t>
      </w:r>
      <w:r>
        <w:rPr>
          <w:lang w:eastAsia="ja-JP"/>
        </w:rPr>
        <w:t>), psoriasis (</w:t>
      </w:r>
      <w:r w:rsidR="008B05D5">
        <w:rPr>
          <w:lang w:eastAsia="ja-JP"/>
        </w:rPr>
        <w:t>x 1</w:t>
      </w:r>
      <w:r>
        <w:rPr>
          <w:lang w:eastAsia="ja-JP"/>
        </w:rPr>
        <w:t>), skin discolouration (</w:t>
      </w:r>
      <w:r w:rsidR="008B05D5">
        <w:rPr>
          <w:lang w:eastAsia="ja-JP"/>
        </w:rPr>
        <w:t>x 1</w:t>
      </w:r>
      <w:r>
        <w:rPr>
          <w:lang w:eastAsia="ja-JP"/>
        </w:rPr>
        <w:t>), skin lesion (</w:t>
      </w:r>
      <w:r w:rsidR="008B05D5">
        <w:rPr>
          <w:lang w:eastAsia="ja-JP"/>
        </w:rPr>
        <w:t>x 1</w:t>
      </w:r>
      <w:r>
        <w:rPr>
          <w:lang w:eastAsia="ja-JP"/>
        </w:rPr>
        <w:t>), skin striae (</w:t>
      </w:r>
      <w:r w:rsidR="008B05D5">
        <w:rPr>
          <w:lang w:eastAsia="ja-JP"/>
        </w:rPr>
        <w:t>x 1</w:t>
      </w:r>
      <w:r>
        <w:rPr>
          <w:lang w:eastAsia="ja-JP"/>
        </w:rPr>
        <w:t>), skin ulcer (</w:t>
      </w:r>
      <w:r w:rsidR="008B05D5">
        <w:rPr>
          <w:lang w:eastAsia="ja-JP"/>
        </w:rPr>
        <w:t>x 1</w:t>
      </w:r>
      <w:r>
        <w:rPr>
          <w:lang w:eastAsia="ja-JP"/>
        </w:rPr>
        <w:t>) and stasis dermatitis (</w:t>
      </w:r>
      <w:r w:rsidR="008B05D5">
        <w:rPr>
          <w:lang w:eastAsia="ja-JP"/>
        </w:rPr>
        <w:t>x 1</w:t>
      </w:r>
      <w:r>
        <w:rPr>
          <w:lang w:eastAsia="ja-JP"/>
        </w:rPr>
        <w:t>).</w:t>
      </w:r>
    </w:p>
    <w:p w:rsidR="00605AD4" w:rsidRDefault="00605AD4" w:rsidP="00605AD4">
      <w:pPr>
        <w:pStyle w:val="Heading4"/>
      </w:pPr>
      <w:r w:rsidRPr="00605AD4">
        <w:t>Post</w:t>
      </w:r>
      <w:r w:rsidR="00CD53B2">
        <w:t>-</w:t>
      </w:r>
      <w:r w:rsidRPr="00605AD4">
        <w:t>marketing data</w:t>
      </w:r>
    </w:p>
    <w:p w:rsidR="00CD308A" w:rsidRDefault="00DE46F9" w:rsidP="00DE46F9">
      <w:pPr>
        <w:rPr>
          <w:lang w:eastAsia="ja-JP"/>
        </w:rPr>
      </w:pPr>
      <w:r>
        <w:rPr>
          <w:lang w:eastAsia="ja-JP"/>
        </w:rPr>
        <w:t>No post-marketing data were submitted. Migalastat was not marketed in any country at the time of submission</w:t>
      </w:r>
      <w:r w:rsidR="00CD308A">
        <w:rPr>
          <w:lang w:eastAsia="ja-JP"/>
        </w:rPr>
        <w:t>.</w:t>
      </w:r>
    </w:p>
    <w:p w:rsidR="00605AD4" w:rsidRPr="00605AD4" w:rsidRDefault="00605AD4" w:rsidP="00605AD4">
      <w:pPr>
        <w:pStyle w:val="Heading4"/>
      </w:pPr>
      <w:r w:rsidRPr="00605AD4">
        <w:t>Evaluator’s conclusions on safety</w:t>
      </w:r>
    </w:p>
    <w:p w:rsidR="00CD308A" w:rsidRDefault="00DE46F9" w:rsidP="00DE46F9">
      <w:pPr>
        <w:rPr>
          <w:lang w:val="en-US"/>
        </w:rPr>
      </w:pPr>
      <w:r>
        <w:rPr>
          <w:lang w:val="en-US"/>
        </w:rPr>
        <w:t>It is considered that the safety of migalastat for the proposed indication has been satisfactorily established in the submitted data.</w:t>
      </w:r>
      <w:r w:rsidRPr="002021E0">
        <w:rPr>
          <w:lang w:val="en-US"/>
        </w:rPr>
        <w:t xml:space="preserve"> </w:t>
      </w:r>
      <w:r>
        <w:rPr>
          <w:lang w:val="en-US"/>
        </w:rPr>
        <w:t>Overall, the number of subjects treated with migalastat and the duration of exposure to migalastat are considered to allow adequate characterisation of the safety of migalastat for the treatment of Fabry disease.  The safety profile of migalastat is considered to be inferior to placebo, but the differences between the two treatments do not give rise to significant safety concerns. Overall, the safety profile of migalastat is considered to be comparable with the safety profile of ERT, and the differences between the two treatments are considered to be not clinically significant.</w:t>
      </w:r>
    </w:p>
    <w:p w:rsidR="00CD308A" w:rsidRDefault="00DE46F9" w:rsidP="00DE46F9">
      <w:pPr>
        <w:rPr>
          <w:lang w:val="en-US"/>
        </w:rPr>
      </w:pPr>
      <w:r>
        <w:rPr>
          <w:lang w:val="en-US"/>
        </w:rPr>
        <w:t xml:space="preserve">In the 20 studies in the migalastat development program, 386 subjects have been exposed to migalastat including 168 subjects with Fabry disease. Of the 168 subjects with Fabry disease exposed to migalastat, 119 have been treated for at least 1 year. Available exposure data collected up to 2 November 2015 for 160 subjects treated with migalastat (all doses) from the Phase </w:t>
      </w:r>
      <w:r w:rsidR="00D87C4B">
        <w:rPr>
          <w:lang w:val="en-US"/>
        </w:rPr>
        <w:t>II</w:t>
      </w:r>
      <w:r>
        <w:rPr>
          <w:lang w:val="en-US"/>
        </w:rPr>
        <w:t xml:space="preserve"> and </w:t>
      </w:r>
      <w:r w:rsidR="00D87C4B">
        <w:rPr>
          <w:lang w:val="en-US"/>
        </w:rPr>
        <w:t xml:space="preserve">III </w:t>
      </w:r>
      <w:r>
        <w:rPr>
          <w:lang w:val="en-US"/>
        </w:rPr>
        <w:t>studies indicates that the mean duration of exposure is 150 weeks (median 129 weeks), with a range of 0.1 to 507 weeks</w:t>
      </w:r>
      <w:r w:rsidR="00CD308A">
        <w:rPr>
          <w:lang w:val="en-US"/>
        </w:rPr>
        <w:t>.</w:t>
      </w:r>
    </w:p>
    <w:p w:rsidR="00CD308A" w:rsidRDefault="00DE46F9" w:rsidP="00DE46F9">
      <w:pPr>
        <w:rPr>
          <w:lang w:val="en-US"/>
        </w:rPr>
      </w:pPr>
      <w:r>
        <w:rPr>
          <w:lang w:val="en-US"/>
        </w:rPr>
        <w:t xml:space="preserve">The two pivotal safety studies are the </w:t>
      </w:r>
      <w:r w:rsidRPr="007A1CCB">
        <w:rPr>
          <w:lang w:val="en-US"/>
        </w:rPr>
        <w:t xml:space="preserve">Phase </w:t>
      </w:r>
      <w:r w:rsidR="00D87C4B">
        <w:rPr>
          <w:lang w:val="en-US"/>
        </w:rPr>
        <w:t>III</w:t>
      </w:r>
      <w:r w:rsidRPr="007A1CCB">
        <w:rPr>
          <w:lang w:val="en-US"/>
        </w:rPr>
        <w:t xml:space="preserve"> </w:t>
      </w:r>
      <w:r w:rsidR="00D87C4B">
        <w:rPr>
          <w:lang w:val="en-US"/>
        </w:rPr>
        <w:t>S</w:t>
      </w:r>
      <w:r w:rsidRPr="007A1CCB">
        <w:rPr>
          <w:lang w:val="en-US"/>
        </w:rPr>
        <w:t xml:space="preserve">tudies AT1001-011 and AT1001-012. In these two studies, a total of 115 subjects with Fabry disease have been treated. These subjects included those with and without amenable GLA mutations based on the GLP HEK cell based assay. The primary analysis of safety in the two Phase </w:t>
      </w:r>
      <w:r w:rsidR="00D87C4B">
        <w:rPr>
          <w:lang w:val="en-US"/>
        </w:rPr>
        <w:t>III</w:t>
      </w:r>
      <w:r w:rsidRPr="007A1CCB">
        <w:rPr>
          <w:lang w:val="en-US"/>
        </w:rPr>
        <w:t xml:space="preserve"> studies was on all subjects treated with migalastat, irrespective of amenable GLA mutation status. The safety data in all migalastat treated subjects were consistent with the safety data in subjects with amenable GLA mutations. There is no reason to expect that the safety of migalastat will significantly differ in subjects with Fabry disease with or without amenable GLA mutations</w:t>
      </w:r>
      <w:r w:rsidR="00CD308A">
        <w:rPr>
          <w:lang w:val="en-US"/>
        </w:rPr>
        <w:t>.</w:t>
      </w:r>
    </w:p>
    <w:p w:rsidR="00CD308A" w:rsidRDefault="00DE46F9" w:rsidP="00DE46F9">
      <w:pPr>
        <w:rPr>
          <w:lang w:val="en-US"/>
        </w:rPr>
      </w:pPr>
      <w:r w:rsidRPr="007A1CCB">
        <w:rPr>
          <w:lang w:val="en-US"/>
        </w:rPr>
        <w:t xml:space="preserve">In </w:t>
      </w:r>
      <w:r w:rsidR="00D87C4B">
        <w:rPr>
          <w:lang w:val="en-US"/>
        </w:rPr>
        <w:t>S</w:t>
      </w:r>
      <w:r w:rsidRPr="007A1CCB">
        <w:rPr>
          <w:lang w:val="en-US"/>
        </w:rPr>
        <w:t>tudy AT1001-011, in Stage 1 (initial 6-month, randomised, double-blind treatment period), 34 subjects were treated with migalastat with a mean (±</w:t>
      </w:r>
      <w:r w:rsidR="00D87C4B">
        <w:rPr>
          <w:lang w:val="en-US"/>
        </w:rPr>
        <w:t xml:space="preserve"> </w:t>
      </w:r>
      <w:r w:rsidRPr="007A1CCB">
        <w:rPr>
          <w:lang w:val="en-US"/>
        </w:rPr>
        <w:t>SD) exposure of 5.9 ± 0.2 months and 32 subjects were treated with placebo with a mean (±</w:t>
      </w:r>
      <w:r w:rsidR="00D87C4B">
        <w:rPr>
          <w:lang w:val="en-US"/>
        </w:rPr>
        <w:t xml:space="preserve"> </w:t>
      </w:r>
      <w:r w:rsidRPr="007A1CCB">
        <w:rPr>
          <w:lang w:val="en-US"/>
        </w:rPr>
        <w:t>SD) exposure of 6.1 ±</w:t>
      </w:r>
      <w:r w:rsidR="00D87C4B">
        <w:rPr>
          <w:lang w:val="en-US"/>
        </w:rPr>
        <w:t> </w:t>
      </w:r>
      <w:r w:rsidRPr="007A1CCB">
        <w:rPr>
          <w:lang w:val="en-US"/>
        </w:rPr>
        <w:t>1.5 months. Over the total duration of the study (0-24 months), 66 subjects were exposed to migalastat with a mean (±SD) exposure of 22 ± 6 months. The 66 subjects included 34 in the migalastat-migalastat exposed to migalastat for a maximum of 24 months and 32 in the placebo-migalastat group exposed to migalastat for a maximum of 18 months</w:t>
      </w:r>
      <w:r w:rsidR="00CD308A">
        <w:rPr>
          <w:lang w:val="en-US"/>
        </w:rPr>
        <w:t>.</w:t>
      </w:r>
    </w:p>
    <w:p w:rsidR="00DE46F9" w:rsidRPr="007A1CCB" w:rsidRDefault="00DE46F9" w:rsidP="00DE46F9">
      <w:pPr>
        <w:rPr>
          <w:rFonts w:cstheme="minorHAnsi"/>
          <w:lang w:val="en-US"/>
        </w:rPr>
      </w:pPr>
      <w:r w:rsidRPr="007A1CCB">
        <w:rPr>
          <w:lang w:val="en-US"/>
        </w:rPr>
        <w:lastRenderedPageBreak/>
        <w:t>In Study AT1001-012, in the randomised 18-month open-label treatment period 36 subjects were treated with migalastat and 21 subjects</w:t>
      </w:r>
      <w:r>
        <w:rPr>
          <w:lang w:val="en-US"/>
        </w:rPr>
        <w:t xml:space="preserve"> were treated with ERT. The mean (</w:t>
      </w:r>
      <w:r>
        <w:rPr>
          <w:rFonts w:cstheme="minorHAnsi"/>
          <w:lang w:val="en-US"/>
        </w:rPr>
        <w:t>±SD</w:t>
      </w:r>
      <w:r>
        <w:rPr>
          <w:lang w:val="en-US"/>
        </w:rPr>
        <w:t>) exposure to migalastat in this period was 522</w:t>
      </w:r>
      <w:r>
        <w:rPr>
          <w:rFonts w:cstheme="minorHAnsi"/>
          <w:lang w:val="en-US"/>
        </w:rPr>
        <w:t xml:space="preserve"> ± 91 days and the mean (±SD) exposure to ERT was 478 ± 106 days. Over the whole duration of the study (0-30 months), the mean (±SD) exposure in the all migalastat group (n</w:t>
      </w:r>
      <w:r w:rsidR="00D87C4B">
        <w:rPr>
          <w:rFonts w:cstheme="minorHAnsi"/>
          <w:lang w:val="en-US"/>
        </w:rPr>
        <w:t xml:space="preserve"> </w:t>
      </w:r>
      <w:r>
        <w:rPr>
          <w:rFonts w:cstheme="minorHAnsi"/>
          <w:lang w:val="en-US"/>
        </w:rPr>
        <w:t>=</w:t>
      </w:r>
      <w:r w:rsidR="00D87C4B">
        <w:rPr>
          <w:rFonts w:cstheme="minorHAnsi"/>
          <w:lang w:val="en-US"/>
        </w:rPr>
        <w:t xml:space="preserve"> </w:t>
      </w:r>
      <w:r>
        <w:rPr>
          <w:rFonts w:cstheme="minorHAnsi"/>
          <w:lang w:val="en-US"/>
        </w:rPr>
        <w:t>51) was 756 ± 288 days. The all migalastat group included subjects who had been initially randomised to migalastat (0-18 months) and continued with migalastat during the OLE (18-30 months) and subjects who had been initially randomised to ERT (0-18 months), and switched to migalastat in the OLE (18-</w:t>
      </w:r>
      <w:r w:rsidRPr="007A1CCB">
        <w:rPr>
          <w:rFonts w:cstheme="minorHAnsi"/>
          <w:lang w:val="en-US"/>
        </w:rPr>
        <w:t>30 months).</w:t>
      </w:r>
    </w:p>
    <w:p w:rsidR="00CD308A" w:rsidRDefault="00DE46F9" w:rsidP="00DE46F9">
      <w:pPr>
        <w:rPr>
          <w:lang w:eastAsia="ja-JP"/>
        </w:rPr>
      </w:pPr>
      <w:r w:rsidRPr="007A1CCB">
        <w:rPr>
          <w:lang w:val="en-US"/>
        </w:rPr>
        <w:t>The mean duration of exposure for the total number of subjects (n</w:t>
      </w:r>
      <w:r w:rsidR="00D87C4B">
        <w:rPr>
          <w:lang w:val="en-US"/>
        </w:rPr>
        <w:t xml:space="preserve"> </w:t>
      </w:r>
      <w:r w:rsidRPr="007A1CCB">
        <w:rPr>
          <w:lang w:val="en-US"/>
        </w:rPr>
        <w:t>=</w:t>
      </w:r>
      <w:r w:rsidR="00D87C4B">
        <w:rPr>
          <w:lang w:val="en-US"/>
        </w:rPr>
        <w:t xml:space="preserve"> </w:t>
      </w:r>
      <w:r w:rsidRPr="007A1CCB">
        <w:rPr>
          <w:lang w:val="en-US"/>
        </w:rPr>
        <w:t xml:space="preserve">115) treated in the Phase </w:t>
      </w:r>
      <w:r w:rsidR="00D87C4B">
        <w:rPr>
          <w:lang w:val="en-US"/>
        </w:rPr>
        <w:t>III</w:t>
      </w:r>
      <w:r w:rsidRPr="007A1CCB">
        <w:rPr>
          <w:lang w:val="en-US"/>
        </w:rPr>
        <w:t xml:space="preserve"> </w:t>
      </w:r>
      <w:r w:rsidR="00D87C4B">
        <w:rPr>
          <w:lang w:val="en-US"/>
        </w:rPr>
        <w:t>S</w:t>
      </w:r>
      <w:r w:rsidR="00D87C4B" w:rsidRPr="007A1CCB">
        <w:rPr>
          <w:lang w:val="en-US"/>
        </w:rPr>
        <w:t xml:space="preserve">tudies </w:t>
      </w:r>
      <w:r w:rsidRPr="007A1CCB">
        <w:rPr>
          <w:lang w:val="en-US"/>
        </w:rPr>
        <w:t xml:space="preserve">AT1001-011, AT1001-012, and AT1001-041 is 142 weeks (range: 5, 277 weeks), based on data at the cut-off date of 2 November 2015. In the long-term extension </w:t>
      </w:r>
      <w:r w:rsidR="00D87C4B">
        <w:rPr>
          <w:lang w:val="en-US"/>
        </w:rPr>
        <w:t>S</w:t>
      </w:r>
      <w:r w:rsidRPr="007A1CCB">
        <w:rPr>
          <w:lang w:val="en-US"/>
        </w:rPr>
        <w:t xml:space="preserve">tudy AT1001-041, </w:t>
      </w:r>
      <w:r w:rsidRPr="007A1CCB">
        <w:rPr>
          <w:lang w:eastAsia="ja-JP"/>
        </w:rPr>
        <w:t xml:space="preserve">85 subjects had enrolled with 13 </w:t>
      </w:r>
      <w:proofErr w:type="gramStart"/>
      <w:r w:rsidRPr="007A1CCB">
        <w:rPr>
          <w:lang w:eastAsia="ja-JP"/>
        </w:rPr>
        <w:t>patients</w:t>
      </w:r>
      <w:proofErr w:type="gramEnd"/>
      <w:r w:rsidRPr="007A1CCB">
        <w:rPr>
          <w:lang w:eastAsia="ja-JP"/>
        </w:rPr>
        <w:t xml:space="preserve"> on-going and 71 subjects had entered </w:t>
      </w:r>
      <w:r w:rsidR="00D87C4B">
        <w:rPr>
          <w:lang w:eastAsia="ja-JP"/>
        </w:rPr>
        <w:t>S</w:t>
      </w:r>
      <w:r w:rsidRPr="007A1CCB">
        <w:rPr>
          <w:lang w:eastAsia="ja-JP"/>
        </w:rPr>
        <w:t xml:space="preserve">tudy AT1001-042 with 67 on-going as of 2 November 2015. There are no exposure data for </w:t>
      </w:r>
      <w:r w:rsidR="00D87C4B">
        <w:rPr>
          <w:lang w:eastAsia="ja-JP"/>
        </w:rPr>
        <w:t>S</w:t>
      </w:r>
      <w:r w:rsidRPr="007A1CCB">
        <w:rPr>
          <w:lang w:eastAsia="ja-JP"/>
        </w:rPr>
        <w:t>tudy AT1001-042</w:t>
      </w:r>
      <w:r w:rsidR="00CD308A">
        <w:rPr>
          <w:lang w:eastAsia="ja-JP"/>
        </w:rPr>
        <w:t>.</w:t>
      </w:r>
    </w:p>
    <w:p w:rsidR="00CD308A" w:rsidRDefault="00DE46F9" w:rsidP="00DE46F9">
      <w:pPr>
        <w:rPr>
          <w:lang w:val="en-US"/>
        </w:rPr>
      </w:pPr>
      <w:r w:rsidRPr="007A1CCB">
        <w:rPr>
          <w:lang w:val="en-US"/>
        </w:rPr>
        <w:t xml:space="preserve">The mean (±SD) age of the patients in </w:t>
      </w:r>
      <w:r w:rsidR="00D87C4B">
        <w:rPr>
          <w:lang w:val="en-US"/>
        </w:rPr>
        <w:t>S</w:t>
      </w:r>
      <w:r w:rsidRPr="007A1CCB">
        <w:rPr>
          <w:lang w:val="en-US"/>
        </w:rPr>
        <w:t>tudy AT1001-011 (n</w:t>
      </w:r>
      <w:r w:rsidR="00D87C4B">
        <w:rPr>
          <w:lang w:val="en-US"/>
        </w:rPr>
        <w:t xml:space="preserve"> </w:t>
      </w:r>
      <w:r w:rsidRPr="007A1CCB">
        <w:rPr>
          <w:lang w:val="en-US"/>
        </w:rPr>
        <w:t>=</w:t>
      </w:r>
      <w:r w:rsidR="00D87C4B">
        <w:rPr>
          <w:lang w:val="en-US"/>
        </w:rPr>
        <w:t xml:space="preserve"> </w:t>
      </w:r>
      <w:r w:rsidRPr="007A1CCB">
        <w:rPr>
          <w:lang w:val="en-US"/>
        </w:rPr>
        <w:t xml:space="preserve">67) and </w:t>
      </w:r>
      <w:r w:rsidR="00D87C4B">
        <w:rPr>
          <w:lang w:val="en-US"/>
        </w:rPr>
        <w:t>Study </w:t>
      </w:r>
      <w:r w:rsidRPr="007A1CCB">
        <w:rPr>
          <w:lang w:val="en-US"/>
        </w:rPr>
        <w:t>AT1001-012 (n</w:t>
      </w:r>
      <w:r w:rsidR="00D87C4B">
        <w:rPr>
          <w:lang w:val="en-US"/>
        </w:rPr>
        <w:t xml:space="preserve"> </w:t>
      </w:r>
      <w:r w:rsidRPr="007A1CCB">
        <w:rPr>
          <w:lang w:val="en-US"/>
        </w:rPr>
        <w:t>=</w:t>
      </w:r>
      <w:r w:rsidR="00D87C4B">
        <w:rPr>
          <w:lang w:val="en-US"/>
        </w:rPr>
        <w:t xml:space="preserve"> </w:t>
      </w:r>
      <w:r w:rsidRPr="007A1CCB">
        <w:rPr>
          <w:lang w:val="en-US"/>
        </w:rPr>
        <w:t xml:space="preserve">57) was 42 ± 12 years (range: 16, 68 years) and 49 ± 14 years (range: 18, 72), respectively. The majority of subjects in both studies were &lt; 65 years of age, with only 6 (5%) subjects in the two studies being aged ≥ 65 years. In </w:t>
      </w:r>
      <w:r w:rsidR="00D87C4B">
        <w:rPr>
          <w:lang w:val="en-US"/>
        </w:rPr>
        <w:t>S</w:t>
      </w:r>
      <w:r w:rsidR="00D87C4B" w:rsidRPr="007A1CCB">
        <w:rPr>
          <w:lang w:val="en-US"/>
        </w:rPr>
        <w:t xml:space="preserve">tudy </w:t>
      </w:r>
      <w:r w:rsidRPr="007A1CCB">
        <w:rPr>
          <w:lang w:val="en-US"/>
        </w:rPr>
        <w:t>AT1001-011 (n</w:t>
      </w:r>
      <w:r w:rsidR="00D87C4B">
        <w:rPr>
          <w:lang w:val="en-US"/>
        </w:rPr>
        <w:t xml:space="preserve"> </w:t>
      </w:r>
      <w:r w:rsidRPr="007A1CCB">
        <w:rPr>
          <w:lang w:val="en-US"/>
        </w:rPr>
        <w:t>=</w:t>
      </w:r>
      <w:r w:rsidR="00D87C4B">
        <w:rPr>
          <w:lang w:val="en-US"/>
        </w:rPr>
        <w:t xml:space="preserve"> </w:t>
      </w:r>
      <w:r w:rsidRPr="007A1CCB">
        <w:rPr>
          <w:lang w:val="en-US"/>
        </w:rPr>
        <w:t>67), 64.2% (n</w:t>
      </w:r>
      <w:r w:rsidR="00D87C4B">
        <w:rPr>
          <w:lang w:val="en-US"/>
        </w:rPr>
        <w:t xml:space="preserve"> </w:t>
      </w:r>
      <w:r w:rsidRPr="007A1CCB">
        <w:rPr>
          <w:lang w:val="en-US"/>
        </w:rPr>
        <w:t>=</w:t>
      </w:r>
      <w:r w:rsidR="00D87C4B">
        <w:rPr>
          <w:lang w:val="en-US"/>
        </w:rPr>
        <w:t xml:space="preserve"> </w:t>
      </w:r>
      <w:r w:rsidRPr="007A1CCB">
        <w:rPr>
          <w:lang w:val="en-US"/>
        </w:rPr>
        <w:t>43) were female and 35.8% (n</w:t>
      </w:r>
      <w:r w:rsidR="00D87C4B">
        <w:rPr>
          <w:lang w:val="en-US"/>
        </w:rPr>
        <w:t xml:space="preserve"> </w:t>
      </w:r>
      <w:r w:rsidRPr="007A1CCB">
        <w:rPr>
          <w:lang w:val="en-US"/>
        </w:rPr>
        <w:t>=</w:t>
      </w:r>
      <w:r w:rsidR="00D87C4B">
        <w:rPr>
          <w:lang w:val="en-US"/>
        </w:rPr>
        <w:t xml:space="preserve"> </w:t>
      </w:r>
      <w:r w:rsidRPr="007A1CCB">
        <w:rPr>
          <w:lang w:val="en-US"/>
        </w:rPr>
        <w:t xml:space="preserve">24) were male and in </w:t>
      </w:r>
      <w:r w:rsidR="00D87C4B">
        <w:rPr>
          <w:lang w:val="en-US"/>
        </w:rPr>
        <w:t>S</w:t>
      </w:r>
      <w:r w:rsidR="00D87C4B" w:rsidRPr="007A1CCB">
        <w:rPr>
          <w:lang w:val="en-US"/>
        </w:rPr>
        <w:t xml:space="preserve">tudy </w:t>
      </w:r>
      <w:r w:rsidRPr="007A1CCB">
        <w:rPr>
          <w:lang w:val="en-US"/>
        </w:rPr>
        <w:t>AT1001-012, 56.1% (n</w:t>
      </w:r>
      <w:r w:rsidR="00D87C4B">
        <w:rPr>
          <w:lang w:val="en-US"/>
        </w:rPr>
        <w:t xml:space="preserve"> </w:t>
      </w:r>
      <w:r w:rsidRPr="007A1CCB">
        <w:rPr>
          <w:lang w:val="en-US"/>
        </w:rPr>
        <w:t>=</w:t>
      </w:r>
      <w:r w:rsidR="00D87C4B">
        <w:rPr>
          <w:lang w:val="en-US"/>
        </w:rPr>
        <w:t xml:space="preserve"> </w:t>
      </w:r>
      <w:r w:rsidRPr="007A1CCB">
        <w:rPr>
          <w:lang w:val="en-US"/>
        </w:rPr>
        <w:t>32) were female and 43.9% (n</w:t>
      </w:r>
      <w:r w:rsidR="00D87C4B">
        <w:rPr>
          <w:lang w:val="en-US"/>
        </w:rPr>
        <w:t xml:space="preserve"> </w:t>
      </w:r>
      <w:r w:rsidRPr="007A1CCB">
        <w:rPr>
          <w:lang w:val="en-US"/>
        </w:rPr>
        <w:t>=</w:t>
      </w:r>
      <w:r w:rsidR="00D87C4B">
        <w:rPr>
          <w:lang w:val="en-US"/>
        </w:rPr>
        <w:t xml:space="preserve"> </w:t>
      </w:r>
      <w:r w:rsidRPr="007A1CCB">
        <w:rPr>
          <w:lang w:val="en-US"/>
        </w:rPr>
        <w:t>25) were male. The majority of the subjects in the two studies were Caucasian (91%) with</w:t>
      </w:r>
      <w:r>
        <w:rPr>
          <w:lang w:val="en-US"/>
        </w:rPr>
        <w:t xml:space="preserve"> most of the remaining subjects being Asian. Overall, the subject population in the two pivotal Phase</w:t>
      </w:r>
      <w:r w:rsidR="00D87C4B">
        <w:rPr>
          <w:lang w:val="en-US"/>
        </w:rPr>
        <w:t> III</w:t>
      </w:r>
      <w:r>
        <w:rPr>
          <w:lang w:val="en-US"/>
        </w:rPr>
        <w:t xml:space="preserve"> studies is considered to be representative of the Australian population with Fabry disease likely to be offered treatment with migalastat if the patient has an amenable </w:t>
      </w:r>
      <w:r w:rsidRPr="00161722">
        <w:rPr>
          <w:i/>
          <w:lang w:val="en-US"/>
        </w:rPr>
        <w:t xml:space="preserve">GLA </w:t>
      </w:r>
      <w:r>
        <w:rPr>
          <w:lang w:val="en-US"/>
        </w:rPr>
        <w:t>mutation and if the drug is approved</w:t>
      </w:r>
      <w:r w:rsidR="00CD308A">
        <w:rPr>
          <w:lang w:val="en-US"/>
        </w:rPr>
        <w:t>.</w:t>
      </w:r>
    </w:p>
    <w:p w:rsidR="00CD308A" w:rsidRDefault="00DE46F9" w:rsidP="00DE46F9">
      <w:pPr>
        <w:pStyle w:val="Heading5"/>
        <w:rPr>
          <w:lang w:val="en-US"/>
        </w:rPr>
      </w:pPr>
      <w:r w:rsidRPr="008E2BB0">
        <w:rPr>
          <w:lang w:val="en-US"/>
        </w:rPr>
        <w:t>Study AT1001-011</w:t>
      </w:r>
    </w:p>
    <w:p w:rsidR="00CD308A" w:rsidRDefault="00DE46F9" w:rsidP="00DE46F9">
      <w:pPr>
        <w:rPr>
          <w:lang w:eastAsia="ja-JP"/>
        </w:rPr>
      </w:pPr>
      <w:r w:rsidRPr="007A1CCB">
        <w:rPr>
          <w:lang w:val="en-US"/>
        </w:rPr>
        <w:t>In Stage 1 (0</w:t>
      </w:r>
      <w:r w:rsidR="00D87C4B">
        <w:rPr>
          <w:lang w:val="en-US"/>
        </w:rPr>
        <w:t xml:space="preserve"> to </w:t>
      </w:r>
      <w:r w:rsidRPr="007A1CCB">
        <w:rPr>
          <w:lang w:val="en-US"/>
        </w:rPr>
        <w:t xml:space="preserve">6 months, placebo-controlled), </w:t>
      </w:r>
      <w:r w:rsidRPr="007A1CCB">
        <w:rPr>
          <w:lang w:eastAsia="ja-JP"/>
        </w:rPr>
        <w:t>TEAEs were reported in 91% (n</w:t>
      </w:r>
      <w:r w:rsidR="00D87C4B">
        <w:rPr>
          <w:lang w:eastAsia="ja-JP"/>
        </w:rPr>
        <w:t xml:space="preserve"> </w:t>
      </w:r>
      <w:r w:rsidRPr="007A1CCB">
        <w:rPr>
          <w:lang w:eastAsia="ja-JP"/>
        </w:rPr>
        <w:t>=</w:t>
      </w:r>
      <w:r w:rsidR="00D87C4B">
        <w:rPr>
          <w:lang w:eastAsia="ja-JP"/>
        </w:rPr>
        <w:t xml:space="preserve"> </w:t>
      </w:r>
      <w:r w:rsidRPr="007A1CCB">
        <w:rPr>
          <w:lang w:eastAsia="ja-JP"/>
        </w:rPr>
        <w:t>31) of subjects in the migalastat group and 91% (n</w:t>
      </w:r>
      <w:r w:rsidR="00D87C4B">
        <w:rPr>
          <w:lang w:eastAsia="ja-JP"/>
        </w:rPr>
        <w:t xml:space="preserve"> </w:t>
      </w:r>
      <w:r w:rsidRPr="007A1CCB">
        <w:rPr>
          <w:lang w:eastAsia="ja-JP"/>
        </w:rPr>
        <w:t>=</w:t>
      </w:r>
      <w:r w:rsidR="00D87C4B">
        <w:rPr>
          <w:lang w:eastAsia="ja-JP"/>
        </w:rPr>
        <w:t xml:space="preserve"> </w:t>
      </w:r>
      <w:r w:rsidRPr="007A1CCB">
        <w:rPr>
          <w:lang w:eastAsia="ja-JP"/>
        </w:rPr>
        <w:t>30) of subjects in the placebo group. TEAEs reported in ≥ 10% of subjects in either treatment group (migalastat v</w:t>
      </w:r>
      <w:r w:rsidR="00D87C4B">
        <w:rPr>
          <w:lang w:eastAsia="ja-JP"/>
        </w:rPr>
        <w:t>ersu</w:t>
      </w:r>
      <w:r w:rsidRPr="007A1CCB">
        <w:rPr>
          <w:lang w:eastAsia="ja-JP"/>
        </w:rPr>
        <w:t>s placebo) were headache (35% v</w:t>
      </w:r>
      <w:r w:rsidR="00D87C4B">
        <w:rPr>
          <w:lang w:eastAsia="ja-JP"/>
        </w:rPr>
        <w:t>ersu</w:t>
      </w:r>
      <w:r w:rsidRPr="007A1CCB">
        <w:rPr>
          <w:lang w:eastAsia="ja-JP"/>
        </w:rPr>
        <w:t>s 21%), nasophyaryngitis (18% v</w:t>
      </w:r>
      <w:r w:rsidR="00D87C4B">
        <w:rPr>
          <w:lang w:eastAsia="ja-JP"/>
        </w:rPr>
        <w:t>ersu</w:t>
      </w:r>
      <w:r w:rsidRPr="007A1CCB">
        <w:rPr>
          <w:lang w:eastAsia="ja-JP"/>
        </w:rPr>
        <w:t>s 6%), fatigue (12% v</w:t>
      </w:r>
      <w:r w:rsidR="00D87C4B">
        <w:rPr>
          <w:lang w:eastAsia="ja-JP"/>
        </w:rPr>
        <w:t>ersu</w:t>
      </w:r>
      <w:r w:rsidRPr="007A1CCB">
        <w:rPr>
          <w:lang w:eastAsia="ja-JP"/>
        </w:rPr>
        <w:t>s 12%),</w:t>
      </w:r>
      <w:r>
        <w:rPr>
          <w:lang w:eastAsia="ja-JP"/>
        </w:rPr>
        <w:t xml:space="preserve"> paraesthesia (12% v</w:t>
      </w:r>
      <w:r w:rsidR="00D87C4B">
        <w:rPr>
          <w:lang w:eastAsia="ja-JP"/>
        </w:rPr>
        <w:t>ersu</w:t>
      </w:r>
      <w:r>
        <w:rPr>
          <w:lang w:eastAsia="ja-JP"/>
        </w:rPr>
        <w:t>s 12%), nausea (12% v</w:t>
      </w:r>
      <w:r w:rsidR="00D87C4B">
        <w:rPr>
          <w:lang w:eastAsia="ja-JP"/>
        </w:rPr>
        <w:t>ersu</w:t>
      </w:r>
      <w:r>
        <w:rPr>
          <w:lang w:eastAsia="ja-JP"/>
        </w:rPr>
        <w:t>s 6%), pyrexia (12% v</w:t>
      </w:r>
      <w:r w:rsidR="00D87C4B">
        <w:rPr>
          <w:lang w:eastAsia="ja-JP"/>
        </w:rPr>
        <w:t>ersu</w:t>
      </w:r>
      <w:r>
        <w:rPr>
          <w:lang w:eastAsia="ja-JP"/>
        </w:rPr>
        <w:t>s 3%), and pain in extremity (0% v</w:t>
      </w:r>
      <w:r w:rsidR="00D87C4B">
        <w:rPr>
          <w:lang w:eastAsia="ja-JP"/>
        </w:rPr>
        <w:t>ersu</w:t>
      </w:r>
      <w:r>
        <w:rPr>
          <w:lang w:eastAsia="ja-JP"/>
        </w:rPr>
        <w:t>s 12%). TEAEs reported in ≥ 10% of subjects in the migalastat group and in ≥ 5% more subjects than in the placebo group were headache (35% v</w:t>
      </w:r>
      <w:r w:rsidR="00D87C4B">
        <w:rPr>
          <w:lang w:eastAsia="ja-JP"/>
        </w:rPr>
        <w:t>ersu</w:t>
      </w:r>
      <w:r>
        <w:rPr>
          <w:lang w:eastAsia="ja-JP"/>
        </w:rPr>
        <w:t>s 21%), nasophyaryngitis (18% v</w:t>
      </w:r>
      <w:r w:rsidR="00D87C4B">
        <w:rPr>
          <w:lang w:eastAsia="ja-JP"/>
        </w:rPr>
        <w:t>ersu</w:t>
      </w:r>
      <w:r>
        <w:rPr>
          <w:lang w:eastAsia="ja-JP"/>
        </w:rPr>
        <w:t>s 6%), pyrexia (12% v</w:t>
      </w:r>
      <w:r w:rsidR="00D87C4B">
        <w:rPr>
          <w:lang w:eastAsia="ja-JP"/>
        </w:rPr>
        <w:t>ersu</w:t>
      </w:r>
      <w:r>
        <w:rPr>
          <w:lang w:eastAsia="ja-JP"/>
        </w:rPr>
        <w:t>s 3%), and nausea (12% v</w:t>
      </w:r>
      <w:r w:rsidR="00D87C4B">
        <w:rPr>
          <w:lang w:eastAsia="ja-JP"/>
        </w:rPr>
        <w:t>ersu</w:t>
      </w:r>
      <w:r>
        <w:rPr>
          <w:lang w:eastAsia="ja-JP"/>
        </w:rPr>
        <w:t>s 6%). The only TEAE reported in ≥ 10% of subjects in the placebo group and in ≥ 5% more subjects than in the migalastat group was pain in extremity (12% v</w:t>
      </w:r>
      <w:r w:rsidR="00D87C4B">
        <w:rPr>
          <w:lang w:eastAsia="ja-JP"/>
        </w:rPr>
        <w:t>ersu</w:t>
      </w:r>
      <w:r>
        <w:rPr>
          <w:lang w:eastAsia="ja-JP"/>
        </w:rPr>
        <w:t>s 0%)</w:t>
      </w:r>
      <w:r w:rsidR="00CD308A">
        <w:rPr>
          <w:lang w:eastAsia="ja-JP"/>
        </w:rPr>
        <w:t>.</w:t>
      </w:r>
    </w:p>
    <w:p w:rsidR="00CD308A" w:rsidRDefault="00DE46F9" w:rsidP="00DE46F9">
      <w:pPr>
        <w:rPr>
          <w:lang w:eastAsia="ja-JP"/>
        </w:rPr>
      </w:pPr>
      <w:r w:rsidRPr="007A1CCB">
        <w:rPr>
          <w:lang w:eastAsia="ja-JP"/>
        </w:rPr>
        <w:t>In Stage 2 (6</w:t>
      </w:r>
      <w:r w:rsidR="00D87C4B">
        <w:rPr>
          <w:lang w:eastAsia="ja-JP"/>
        </w:rPr>
        <w:t xml:space="preserve"> to </w:t>
      </w:r>
      <w:r w:rsidRPr="007A1CCB">
        <w:rPr>
          <w:lang w:eastAsia="ja-JP"/>
        </w:rPr>
        <w:t>12 months, open-label migalastat), TEAEs were reported in 79% (50/63) of the total number of subjects treated with migalastat. TEAEs reported in ≥ 10% of the total number of subjects were headache (14%) and procedural pain (11%). In the OLE (12</w:t>
      </w:r>
      <w:r w:rsidR="00D87C4B">
        <w:rPr>
          <w:lang w:eastAsia="ja-JP"/>
        </w:rPr>
        <w:t xml:space="preserve"> to </w:t>
      </w:r>
      <w:r w:rsidRPr="007A1CCB">
        <w:rPr>
          <w:lang w:eastAsia="ja-JP"/>
        </w:rPr>
        <w:t>24 months, open-label migalastat), 84% (48/57) of subjects treated with migalastat experienced TEAEs. TEAEs reported in ≥ 10% of the total number of subjects treated with migalastat in the OLE were proteinuria (16%), bronchitis (11%) and headache (11%)</w:t>
      </w:r>
      <w:r w:rsidR="00CD308A">
        <w:rPr>
          <w:lang w:eastAsia="ja-JP"/>
        </w:rPr>
        <w:t>.</w:t>
      </w:r>
    </w:p>
    <w:p w:rsidR="00CD308A" w:rsidRDefault="00DE46F9" w:rsidP="00DE46F9">
      <w:pPr>
        <w:rPr>
          <w:lang w:eastAsia="ja-JP"/>
        </w:rPr>
      </w:pPr>
      <w:r w:rsidRPr="007A1CCB">
        <w:rPr>
          <w:lang w:val="en-US"/>
        </w:rPr>
        <w:t>In Stage 1 (0</w:t>
      </w:r>
      <w:r w:rsidR="00D87C4B">
        <w:rPr>
          <w:lang w:val="en-US"/>
        </w:rPr>
        <w:t xml:space="preserve"> to </w:t>
      </w:r>
      <w:r w:rsidRPr="007A1CCB">
        <w:rPr>
          <w:lang w:val="en-US"/>
        </w:rPr>
        <w:t xml:space="preserve">6 months, placebo-controlled), </w:t>
      </w:r>
      <w:r w:rsidRPr="007A1CCB">
        <w:rPr>
          <w:lang w:eastAsia="ja-JP"/>
        </w:rPr>
        <w:t>treatment-related TEAEs were reported more frequently in the migalastat group than in the placebo group (44% v</w:t>
      </w:r>
      <w:r w:rsidR="00D87C4B">
        <w:rPr>
          <w:lang w:eastAsia="ja-JP"/>
        </w:rPr>
        <w:t>ersu</w:t>
      </w:r>
      <w:r w:rsidRPr="007A1CCB">
        <w:rPr>
          <w:lang w:eastAsia="ja-JP"/>
        </w:rPr>
        <w:t>s 27%). Treatment-related TEAE reported in ≥ 5% of subjects in either of the two treatment groups (migalastat v</w:t>
      </w:r>
      <w:r w:rsidR="00D87C4B">
        <w:rPr>
          <w:lang w:eastAsia="ja-JP"/>
        </w:rPr>
        <w:t>ersu</w:t>
      </w:r>
      <w:r w:rsidRPr="007A1CCB">
        <w:rPr>
          <w:lang w:eastAsia="ja-JP"/>
        </w:rPr>
        <w:t>s placebo) were nausea (6% v</w:t>
      </w:r>
      <w:r w:rsidR="00D87C4B">
        <w:rPr>
          <w:lang w:eastAsia="ja-JP"/>
        </w:rPr>
        <w:t>ersu</w:t>
      </w:r>
      <w:r w:rsidRPr="007A1CCB">
        <w:rPr>
          <w:lang w:eastAsia="ja-JP"/>
        </w:rPr>
        <w:t>s 0%), diarrhoea (6% v</w:t>
      </w:r>
      <w:r w:rsidR="00D87C4B">
        <w:rPr>
          <w:lang w:eastAsia="ja-JP"/>
        </w:rPr>
        <w:t>ersu</w:t>
      </w:r>
      <w:r w:rsidRPr="007A1CCB">
        <w:rPr>
          <w:lang w:eastAsia="ja-JP"/>
        </w:rPr>
        <w:t>s 0%), dry mouth (6% v</w:t>
      </w:r>
      <w:r w:rsidR="00D87C4B">
        <w:rPr>
          <w:lang w:eastAsia="ja-JP"/>
        </w:rPr>
        <w:t>ersu</w:t>
      </w:r>
      <w:r w:rsidRPr="007A1CCB">
        <w:rPr>
          <w:lang w:eastAsia="ja-JP"/>
        </w:rPr>
        <w:t>s 3%), weight increased (6% v</w:t>
      </w:r>
      <w:r w:rsidR="00D87C4B">
        <w:rPr>
          <w:lang w:eastAsia="ja-JP"/>
        </w:rPr>
        <w:t>ersu</w:t>
      </w:r>
      <w:r w:rsidRPr="007A1CCB">
        <w:rPr>
          <w:lang w:eastAsia="ja-JP"/>
        </w:rPr>
        <w:t>s 0%), torticollis (6% v</w:t>
      </w:r>
      <w:r w:rsidR="00D87C4B">
        <w:rPr>
          <w:lang w:eastAsia="ja-JP"/>
        </w:rPr>
        <w:t>ersu</w:t>
      </w:r>
      <w:r w:rsidRPr="007A1CCB">
        <w:rPr>
          <w:lang w:eastAsia="ja-JP"/>
        </w:rPr>
        <w:t>s 0%), paraesthesia (6% v</w:t>
      </w:r>
      <w:r w:rsidR="00D87C4B">
        <w:rPr>
          <w:lang w:eastAsia="ja-JP"/>
        </w:rPr>
        <w:t>ersu</w:t>
      </w:r>
      <w:r w:rsidRPr="007A1CCB">
        <w:rPr>
          <w:lang w:eastAsia="ja-JP"/>
        </w:rPr>
        <w:t>s 0%), and fatigue (0% v</w:t>
      </w:r>
      <w:r w:rsidR="00D87C4B">
        <w:rPr>
          <w:lang w:eastAsia="ja-JP"/>
        </w:rPr>
        <w:t>ersu</w:t>
      </w:r>
      <w:r w:rsidRPr="007A1CCB">
        <w:rPr>
          <w:lang w:eastAsia="ja-JP"/>
        </w:rPr>
        <w:t>s 6%). In Stage 2 (6</w:t>
      </w:r>
      <w:r w:rsidR="00D87C4B">
        <w:rPr>
          <w:lang w:eastAsia="ja-JP"/>
        </w:rPr>
        <w:t xml:space="preserve"> to </w:t>
      </w:r>
      <w:r w:rsidRPr="007A1CCB">
        <w:rPr>
          <w:lang w:eastAsia="ja-JP"/>
        </w:rPr>
        <w:t>12 months, open-label migalastat), 19% (n</w:t>
      </w:r>
      <w:r w:rsidR="00D87C4B">
        <w:rPr>
          <w:lang w:eastAsia="ja-JP"/>
        </w:rPr>
        <w:t xml:space="preserve"> </w:t>
      </w:r>
      <w:r w:rsidRPr="007A1CCB">
        <w:rPr>
          <w:lang w:eastAsia="ja-JP"/>
        </w:rPr>
        <w:t>=</w:t>
      </w:r>
      <w:r w:rsidR="00D87C4B">
        <w:rPr>
          <w:lang w:eastAsia="ja-JP"/>
        </w:rPr>
        <w:t xml:space="preserve"> </w:t>
      </w:r>
      <w:r w:rsidRPr="007A1CCB">
        <w:rPr>
          <w:lang w:eastAsia="ja-JP"/>
        </w:rPr>
        <w:t xml:space="preserve">12) of subjects treated with migalastat </w:t>
      </w:r>
      <w:r w:rsidRPr="007A1CCB">
        <w:rPr>
          <w:lang w:eastAsia="ja-JP"/>
        </w:rPr>
        <w:lastRenderedPageBreak/>
        <w:t>experienced treatment-related TEAEs. Treatment-related TEAEs reported in ≥ 5% of subjects treated with migalastat were headache (5%) and incorrect dose administered (5%). In the OLE (12</w:t>
      </w:r>
      <w:r w:rsidR="00D87C4B">
        <w:rPr>
          <w:lang w:eastAsia="ja-JP"/>
        </w:rPr>
        <w:t xml:space="preserve"> to </w:t>
      </w:r>
      <w:r w:rsidRPr="007A1CCB">
        <w:rPr>
          <w:lang w:eastAsia="ja-JP"/>
        </w:rPr>
        <w:t>24 months, open-label migalastat), 21% (12/57) of subjects treated with migalastat experienced treatment-related TEAEs and no events were reported in ≥ 5% subjects</w:t>
      </w:r>
      <w:r w:rsidR="00CD308A">
        <w:rPr>
          <w:lang w:eastAsia="ja-JP"/>
        </w:rPr>
        <w:t>.</w:t>
      </w:r>
    </w:p>
    <w:p w:rsidR="00CD308A" w:rsidRDefault="00DE46F9" w:rsidP="00DE46F9">
      <w:pPr>
        <w:rPr>
          <w:lang w:eastAsia="ja-JP"/>
        </w:rPr>
      </w:pPr>
      <w:r w:rsidRPr="007A1CCB">
        <w:rPr>
          <w:lang w:eastAsia="ja-JP"/>
        </w:rPr>
        <w:t>There were no deaths reported during the study. In the overall safety population (n</w:t>
      </w:r>
      <w:r w:rsidR="00D87C4B">
        <w:rPr>
          <w:lang w:eastAsia="ja-JP"/>
        </w:rPr>
        <w:t xml:space="preserve"> </w:t>
      </w:r>
      <w:r w:rsidRPr="007A1CCB">
        <w:rPr>
          <w:lang w:eastAsia="ja-JP"/>
        </w:rPr>
        <w:t>=</w:t>
      </w:r>
      <w:r w:rsidR="00D87C4B">
        <w:rPr>
          <w:lang w:eastAsia="ja-JP"/>
        </w:rPr>
        <w:t xml:space="preserve"> </w:t>
      </w:r>
      <w:r w:rsidRPr="007A1CCB">
        <w:rPr>
          <w:lang w:eastAsia="ja-JP"/>
        </w:rPr>
        <w:t>67), 26 treatment-emergent SAEs were reported in 19 (28%) subjects. In the overall safety population (n</w:t>
      </w:r>
      <w:r w:rsidR="00D87C4B">
        <w:rPr>
          <w:lang w:eastAsia="ja-JP"/>
        </w:rPr>
        <w:t xml:space="preserve"> </w:t>
      </w:r>
      <w:r w:rsidRPr="007A1CCB">
        <w:rPr>
          <w:lang w:eastAsia="ja-JP"/>
        </w:rPr>
        <w:t>=</w:t>
      </w:r>
      <w:r w:rsidR="00D87C4B">
        <w:rPr>
          <w:lang w:eastAsia="ja-JP"/>
        </w:rPr>
        <w:t xml:space="preserve"> </w:t>
      </w:r>
      <w:r w:rsidRPr="007A1CCB">
        <w:rPr>
          <w:lang w:eastAsia="ja-JP"/>
        </w:rPr>
        <w:t>67), discontinuations due to TEAEs (both considered unrelated to treatment) were reported in 2 (3%) subjects treated with migalastat (anaplastic large cell lymphoma and amyotrophic lateral sclerosis)</w:t>
      </w:r>
      <w:r w:rsidR="00CD308A">
        <w:rPr>
          <w:lang w:eastAsia="ja-JP"/>
        </w:rPr>
        <w:t>.</w:t>
      </w:r>
    </w:p>
    <w:p w:rsidR="00CD308A" w:rsidRDefault="00DE46F9" w:rsidP="00DE46F9">
      <w:pPr>
        <w:rPr>
          <w:lang w:eastAsia="ja-JP"/>
        </w:rPr>
      </w:pPr>
      <w:r w:rsidRPr="007A1CCB">
        <w:rPr>
          <w:lang w:eastAsia="ja-JP"/>
        </w:rPr>
        <w:t>Of the 26 treatment-emergent SAEs reported during the study, 2 events in the placebo-migalastat group were considered to be possibly related to treatment (fatigue and paraesthesia). In Stage 1 (0</w:t>
      </w:r>
      <w:r w:rsidR="00D87C4B">
        <w:rPr>
          <w:lang w:eastAsia="ja-JP"/>
        </w:rPr>
        <w:t xml:space="preserve"> to </w:t>
      </w:r>
      <w:r w:rsidRPr="007A1CCB">
        <w:rPr>
          <w:lang w:eastAsia="ja-JP"/>
        </w:rPr>
        <w:t>6 month, placebo-controlled), treatment-emergent SAEs were reported in 6% (n</w:t>
      </w:r>
      <w:r w:rsidR="00D87C4B">
        <w:rPr>
          <w:lang w:eastAsia="ja-JP"/>
        </w:rPr>
        <w:t xml:space="preserve"> </w:t>
      </w:r>
      <w:r w:rsidRPr="007A1CCB">
        <w:rPr>
          <w:lang w:eastAsia="ja-JP"/>
        </w:rPr>
        <w:t>=</w:t>
      </w:r>
      <w:r w:rsidR="00D87C4B">
        <w:rPr>
          <w:lang w:eastAsia="ja-JP"/>
        </w:rPr>
        <w:t xml:space="preserve"> </w:t>
      </w:r>
      <w:r w:rsidRPr="007A1CCB">
        <w:rPr>
          <w:lang w:eastAsia="ja-JP"/>
        </w:rPr>
        <w:t>2) of subjects in the migalastat group and 12% (n</w:t>
      </w:r>
      <w:r w:rsidR="00D87C4B">
        <w:rPr>
          <w:lang w:eastAsia="ja-JP"/>
        </w:rPr>
        <w:t xml:space="preserve"> </w:t>
      </w:r>
      <w:r w:rsidRPr="007A1CCB">
        <w:rPr>
          <w:lang w:eastAsia="ja-JP"/>
        </w:rPr>
        <w:t>=</w:t>
      </w:r>
      <w:r w:rsidR="00D87C4B">
        <w:rPr>
          <w:lang w:eastAsia="ja-JP"/>
        </w:rPr>
        <w:t xml:space="preserve"> </w:t>
      </w:r>
      <w:r w:rsidRPr="007A1CCB">
        <w:rPr>
          <w:lang w:eastAsia="ja-JP"/>
        </w:rPr>
        <w:t>4) of subjects in the placebo group. In the migalastat group, the 2 treatment-emergent SAEs were 1 each for</w:t>
      </w:r>
      <w:r>
        <w:rPr>
          <w:lang w:eastAsia="ja-JP"/>
        </w:rPr>
        <w:t xml:space="preserve"> post-procedural haematoma </w:t>
      </w:r>
      <w:r w:rsidRPr="007A1CCB">
        <w:rPr>
          <w:lang w:eastAsia="ja-JP"/>
        </w:rPr>
        <w:t>and hydronephrosis. Both treatment-emergent SAEs were considered by investigators to be unrelated to the study drug. In the placebo group, the 4 treatment-emergent SAEs were 1 each for bacterial infection, viral meningitis, post-procedural haemorrhage, anaplastic large cell lymphoma. In Stage 2 (6</w:t>
      </w:r>
      <w:r w:rsidR="00D87C4B">
        <w:rPr>
          <w:lang w:eastAsia="ja-JP"/>
        </w:rPr>
        <w:t xml:space="preserve"> to </w:t>
      </w:r>
      <w:r w:rsidRPr="007A1CCB">
        <w:rPr>
          <w:lang w:eastAsia="ja-JP"/>
        </w:rPr>
        <w:t>12 months, open-label migalastat), treatment-emergent SAEs were reported in 5 (8%) subjects in the total population treated with migalastat. The only treatment-emergent SAE reported in more than 1 subjects was pulmonary embolism (n</w:t>
      </w:r>
      <w:r w:rsidR="00D87C4B">
        <w:rPr>
          <w:lang w:eastAsia="ja-JP"/>
        </w:rPr>
        <w:t xml:space="preserve"> </w:t>
      </w:r>
      <w:r w:rsidRPr="007A1CCB">
        <w:rPr>
          <w:lang w:eastAsia="ja-JP"/>
        </w:rPr>
        <w:t>=</w:t>
      </w:r>
      <w:r w:rsidR="00D87C4B">
        <w:rPr>
          <w:lang w:eastAsia="ja-JP"/>
        </w:rPr>
        <w:t xml:space="preserve"> </w:t>
      </w:r>
      <w:r w:rsidRPr="007A1CCB">
        <w:rPr>
          <w:lang w:eastAsia="ja-JP"/>
        </w:rPr>
        <w:t>2). In the OLE (12</w:t>
      </w:r>
      <w:r w:rsidR="00D87C4B">
        <w:rPr>
          <w:lang w:eastAsia="ja-JP"/>
        </w:rPr>
        <w:t xml:space="preserve"> to </w:t>
      </w:r>
      <w:r w:rsidRPr="007A1CCB">
        <w:rPr>
          <w:lang w:eastAsia="ja-JP"/>
        </w:rPr>
        <w:t>24 months, open-label migalastat), treatment-emergent SAEs were reported in 11 (19%) subjects in the total population treated with migalastat and no events</w:t>
      </w:r>
      <w:r>
        <w:rPr>
          <w:lang w:eastAsia="ja-JP"/>
        </w:rPr>
        <w:t xml:space="preserve"> were reported in more than 1 subject</w:t>
      </w:r>
      <w:r w:rsidR="00CD308A">
        <w:rPr>
          <w:lang w:eastAsia="ja-JP"/>
        </w:rPr>
        <w:t>.</w:t>
      </w:r>
    </w:p>
    <w:p w:rsidR="00CD308A" w:rsidRDefault="00DE46F9" w:rsidP="00DE46F9">
      <w:pPr>
        <w:pStyle w:val="Heading5"/>
        <w:rPr>
          <w:lang w:eastAsia="ja-JP"/>
        </w:rPr>
      </w:pPr>
      <w:r w:rsidRPr="00FF4F86">
        <w:rPr>
          <w:lang w:eastAsia="ja-JP"/>
        </w:rPr>
        <w:t>Study AT1001-012</w:t>
      </w:r>
    </w:p>
    <w:p w:rsidR="00CD308A" w:rsidRDefault="00DE46F9" w:rsidP="00DE46F9">
      <w:pPr>
        <w:rPr>
          <w:lang w:eastAsia="ja-JP"/>
        </w:rPr>
      </w:pPr>
      <w:r w:rsidRPr="007A1CCB">
        <w:rPr>
          <w:lang w:eastAsia="ja-JP"/>
        </w:rPr>
        <w:t xml:space="preserve">In the 18-month, active-controlled treatment period, TEAEs were reported in a similar proportion of subjects in the migalastat and ERT groups (94% </w:t>
      </w:r>
      <w:r w:rsidR="008B05D5">
        <w:rPr>
          <w:lang w:eastAsia="ja-JP"/>
        </w:rPr>
        <w:t>(</w:t>
      </w:r>
      <w:r w:rsidRPr="007A1CCB">
        <w:rPr>
          <w:lang w:eastAsia="ja-JP"/>
        </w:rPr>
        <w:t>34/36</w:t>
      </w:r>
      <w:r w:rsidR="00D87C4B">
        <w:rPr>
          <w:lang w:eastAsia="ja-JP"/>
        </w:rPr>
        <w:t xml:space="preserve">) versus </w:t>
      </w:r>
      <w:r w:rsidRPr="007A1CCB">
        <w:rPr>
          <w:lang w:eastAsia="ja-JP"/>
        </w:rPr>
        <w:t xml:space="preserve">95% </w:t>
      </w:r>
      <w:r w:rsidR="008B05D5">
        <w:rPr>
          <w:lang w:eastAsia="ja-JP"/>
        </w:rPr>
        <w:t>(</w:t>
      </w:r>
      <w:r w:rsidRPr="007A1CCB">
        <w:rPr>
          <w:lang w:eastAsia="ja-JP"/>
        </w:rPr>
        <w:t>20/21</w:t>
      </w:r>
      <w:r w:rsidR="00D87C4B">
        <w:rPr>
          <w:lang w:eastAsia="ja-JP"/>
        </w:rPr>
        <w:t>)</w:t>
      </w:r>
      <w:r w:rsidRPr="007A1CCB">
        <w:rPr>
          <w:lang w:eastAsia="ja-JP"/>
        </w:rPr>
        <w:t>, respectively). TEAEs reported in ≥ 10% of subjects in the migalastat group</w:t>
      </w:r>
      <w:r w:rsidR="00D87C4B">
        <w:rPr>
          <w:lang w:eastAsia="ja-JP"/>
        </w:rPr>
        <w:t xml:space="preserve"> versus </w:t>
      </w:r>
      <w:r w:rsidRPr="007A1CCB">
        <w:rPr>
          <w:lang w:eastAsia="ja-JP"/>
        </w:rPr>
        <w:t>the ERT group, respectively, were nasophyarngitis (33%</w:t>
      </w:r>
      <w:r w:rsidR="00D87C4B">
        <w:rPr>
          <w:lang w:eastAsia="ja-JP"/>
        </w:rPr>
        <w:t xml:space="preserve"> versus </w:t>
      </w:r>
      <w:r w:rsidRPr="007A1CCB">
        <w:rPr>
          <w:lang w:eastAsia="ja-JP"/>
        </w:rPr>
        <w:t>33%), headache (25%</w:t>
      </w:r>
      <w:r w:rsidR="00D87C4B">
        <w:rPr>
          <w:lang w:eastAsia="ja-JP"/>
        </w:rPr>
        <w:t xml:space="preserve"> versus </w:t>
      </w:r>
      <w:r w:rsidRPr="007A1CCB">
        <w:rPr>
          <w:lang w:eastAsia="ja-JP"/>
        </w:rPr>
        <w:t>24%), dizziness (17%</w:t>
      </w:r>
      <w:r w:rsidR="00D87C4B">
        <w:rPr>
          <w:lang w:eastAsia="ja-JP"/>
        </w:rPr>
        <w:t xml:space="preserve"> versus </w:t>
      </w:r>
      <w:r w:rsidRPr="007A1CCB">
        <w:rPr>
          <w:lang w:eastAsia="ja-JP"/>
        </w:rPr>
        <w:t>10%), influenza (14%</w:t>
      </w:r>
      <w:r w:rsidR="00D87C4B">
        <w:rPr>
          <w:lang w:eastAsia="ja-JP"/>
        </w:rPr>
        <w:t xml:space="preserve"> versus </w:t>
      </w:r>
      <w:r w:rsidRPr="007A1CCB">
        <w:rPr>
          <w:lang w:eastAsia="ja-JP"/>
        </w:rPr>
        <w:t>19%), abdominal pain (14%</w:t>
      </w:r>
      <w:r w:rsidR="00D87C4B">
        <w:rPr>
          <w:lang w:eastAsia="ja-JP"/>
        </w:rPr>
        <w:t xml:space="preserve"> versus </w:t>
      </w:r>
      <w:r w:rsidRPr="007A1CCB">
        <w:rPr>
          <w:lang w:eastAsia="ja-JP"/>
        </w:rPr>
        <w:t>10%), diarrhoea (14%</w:t>
      </w:r>
      <w:r w:rsidR="00D87C4B">
        <w:rPr>
          <w:lang w:eastAsia="ja-JP"/>
        </w:rPr>
        <w:t xml:space="preserve"> versus </w:t>
      </w:r>
      <w:r w:rsidRPr="007A1CCB">
        <w:rPr>
          <w:lang w:eastAsia="ja-JP"/>
        </w:rPr>
        <w:t>10%), nauseas (14%</w:t>
      </w:r>
      <w:r w:rsidR="00D87C4B">
        <w:rPr>
          <w:lang w:eastAsia="ja-JP"/>
        </w:rPr>
        <w:t xml:space="preserve"> versus </w:t>
      </w:r>
      <w:r w:rsidRPr="007A1CCB">
        <w:rPr>
          <w:lang w:eastAsia="ja-JP"/>
        </w:rPr>
        <w:t>10%), back pain (11%</w:t>
      </w:r>
      <w:r w:rsidR="00D87C4B">
        <w:rPr>
          <w:lang w:eastAsia="ja-JP"/>
        </w:rPr>
        <w:t xml:space="preserve"> versus </w:t>
      </w:r>
      <w:r w:rsidRPr="007A1CCB">
        <w:rPr>
          <w:lang w:eastAsia="ja-JP"/>
        </w:rPr>
        <w:t>14%), upper respiratory tract infection (11%</w:t>
      </w:r>
      <w:r w:rsidR="00D87C4B">
        <w:rPr>
          <w:lang w:eastAsia="ja-JP"/>
        </w:rPr>
        <w:t xml:space="preserve"> versus </w:t>
      </w:r>
      <w:r w:rsidRPr="007A1CCB">
        <w:rPr>
          <w:lang w:eastAsia="ja-JP"/>
        </w:rPr>
        <w:t>5%), and urinary tract infection (11%</w:t>
      </w:r>
      <w:r w:rsidR="00D87C4B">
        <w:rPr>
          <w:lang w:eastAsia="ja-JP"/>
        </w:rPr>
        <w:t xml:space="preserve"> versus </w:t>
      </w:r>
      <w:r w:rsidRPr="007A1CCB">
        <w:rPr>
          <w:lang w:eastAsia="ja-JP"/>
        </w:rPr>
        <w:t>5%)</w:t>
      </w:r>
      <w:r w:rsidR="00CD308A">
        <w:rPr>
          <w:lang w:eastAsia="ja-JP"/>
        </w:rPr>
        <w:t>.</w:t>
      </w:r>
    </w:p>
    <w:p w:rsidR="00CD308A" w:rsidRDefault="00DE46F9" w:rsidP="00DE46F9">
      <w:pPr>
        <w:rPr>
          <w:lang w:eastAsia="ja-JP"/>
        </w:rPr>
      </w:pPr>
      <w:r w:rsidRPr="007A1CCB">
        <w:rPr>
          <w:lang w:eastAsia="ja-JP"/>
        </w:rPr>
        <w:t>In the 18-month, active –controlled treatment period, TEAEs reported in ≥ 10% of subjects in either treatment group and in ≥ 5% more subjects in the migalastat group than in the ERT group were dizziness (17%</w:t>
      </w:r>
      <w:r w:rsidR="00D87C4B">
        <w:rPr>
          <w:lang w:eastAsia="ja-JP"/>
        </w:rPr>
        <w:t xml:space="preserve"> versus </w:t>
      </w:r>
      <w:r w:rsidRPr="007A1CCB">
        <w:rPr>
          <w:lang w:eastAsia="ja-JP"/>
        </w:rPr>
        <w:t>10%), upper respiratory tract infection (11%</w:t>
      </w:r>
      <w:r w:rsidR="00D87C4B">
        <w:rPr>
          <w:lang w:eastAsia="ja-JP"/>
        </w:rPr>
        <w:t xml:space="preserve"> versus </w:t>
      </w:r>
      <w:r w:rsidRPr="007A1CCB">
        <w:rPr>
          <w:lang w:eastAsia="ja-JP"/>
        </w:rPr>
        <w:t>5%), and urinary tract infection (11%</w:t>
      </w:r>
      <w:r w:rsidR="00D87C4B">
        <w:rPr>
          <w:lang w:eastAsia="ja-JP"/>
        </w:rPr>
        <w:t xml:space="preserve"> versus </w:t>
      </w:r>
      <w:r w:rsidRPr="007A1CCB">
        <w:rPr>
          <w:lang w:eastAsia="ja-JP"/>
        </w:rPr>
        <w:t>5%). TEAEs reported in ≥ 10% of subjects in either treatment group and in ≥ 5% more subjects in the ERT group than in the migalastat group were cough (24%</w:t>
      </w:r>
      <w:r w:rsidR="00D87C4B">
        <w:rPr>
          <w:lang w:eastAsia="ja-JP"/>
        </w:rPr>
        <w:t xml:space="preserve"> versus </w:t>
      </w:r>
      <w:r w:rsidRPr="007A1CCB">
        <w:rPr>
          <w:lang w:eastAsia="ja-JP"/>
        </w:rPr>
        <w:t>8%), influenza (19%</w:t>
      </w:r>
      <w:r w:rsidR="00D87C4B">
        <w:rPr>
          <w:lang w:eastAsia="ja-JP"/>
        </w:rPr>
        <w:t xml:space="preserve"> versus </w:t>
      </w:r>
      <w:r w:rsidRPr="007A1CCB">
        <w:rPr>
          <w:lang w:eastAsia="ja-JP"/>
        </w:rPr>
        <w:t>14%), vomiting (14%</w:t>
      </w:r>
      <w:r w:rsidR="00D87C4B">
        <w:rPr>
          <w:lang w:eastAsia="ja-JP"/>
        </w:rPr>
        <w:t xml:space="preserve"> versus </w:t>
      </w:r>
      <w:r w:rsidRPr="007A1CCB">
        <w:rPr>
          <w:lang w:eastAsia="ja-JP"/>
        </w:rPr>
        <w:t>8%), sinusitis (14%</w:t>
      </w:r>
      <w:r w:rsidR="00D87C4B">
        <w:rPr>
          <w:lang w:eastAsia="ja-JP"/>
        </w:rPr>
        <w:t xml:space="preserve"> versus </w:t>
      </w:r>
      <w:r w:rsidRPr="007A1CCB">
        <w:rPr>
          <w:lang w:eastAsia="ja-JP"/>
        </w:rPr>
        <w:t>8%), bronchitis (14%</w:t>
      </w:r>
      <w:r w:rsidR="00D87C4B">
        <w:rPr>
          <w:lang w:eastAsia="ja-JP"/>
        </w:rPr>
        <w:t xml:space="preserve"> versus </w:t>
      </w:r>
      <w:r w:rsidRPr="007A1CCB">
        <w:rPr>
          <w:lang w:eastAsia="ja-JP"/>
        </w:rPr>
        <w:t>6%), vertigo (10%</w:t>
      </w:r>
      <w:r w:rsidR="00D87C4B">
        <w:rPr>
          <w:lang w:eastAsia="ja-JP"/>
        </w:rPr>
        <w:t xml:space="preserve"> versus </w:t>
      </w:r>
      <w:r w:rsidRPr="007A1CCB">
        <w:rPr>
          <w:lang w:eastAsia="ja-JP"/>
        </w:rPr>
        <w:t>3%), dry mouth (10%</w:t>
      </w:r>
      <w:r w:rsidR="00D87C4B">
        <w:rPr>
          <w:lang w:eastAsia="ja-JP"/>
        </w:rPr>
        <w:t xml:space="preserve"> versus </w:t>
      </w:r>
      <w:r w:rsidRPr="007A1CCB">
        <w:rPr>
          <w:lang w:eastAsia="ja-JP"/>
        </w:rPr>
        <w:t>3%), gastritis (10%</w:t>
      </w:r>
      <w:r w:rsidR="00D87C4B">
        <w:rPr>
          <w:lang w:eastAsia="ja-JP"/>
        </w:rPr>
        <w:t xml:space="preserve"> versus </w:t>
      </w:r>
      <w:r w:rsidRPr="007A1CCB">
        <w:rPr>
          <w:lang w:eastAsia="ja-JP"/>
        </w:rPr>
        <w:t>3%), pain in extremity (10%</w:t>
      </w:r>
      <w:r w:rsidR="00D87C4B">
        <w:rPr>
          <w:lang w:eastAsia="ja-JP"/>
        </w:rPr>
        <w:t xml:space="preserve"> versus </w:t>
      </w:r>
      <w:r w:rsidRPr="007A1CCB">
        <w:rPr>
          <w:lang w:eastAsia="ja-JP"/>
        </w:rPr>
        <w:t>3%), dyspnoea (10%</w:t>
      </w:r>
      <w:r w:rsidR="00D87C4B">
        <w:rPr>
          <w:lang w:eastAsia="ja-JP"/>
        </w:rPr>
        <w:t xml:space="preserve"> versus </w:t>
      </w:r>
      <w:r w:rsidRPr="007A1CCB">
        <w:rPr>
          <w:lang w:eastAsia="ja-JP"/>
        </w:rPr>
        <w:t>3%), and procedural pain (10%</w:t>
      </w:r>
      <w:r w:rsidR="00D87C4B">
        <w:rPr>
          <w:lang w:eastAsia="ja-JP"/>
        </w:rPr>
        <w:t xml:space="preserve"> versus </w:t>
      </w:r>
      <w:r w:rsidRPr="007A1CCB">
        <w:rPr>
          <w:lang w:eastAsia="ja-JP"/>
        </w:rPr>
        <w:t>0%)</w:t>
      </w:r>
      <w:r w:rsidR="00CD308A">
        <w:rPr>
          <w:lang w:eastAsia="ja-JP"/>
        </w:rPr>
        <w:t>.</w:t>
      </w:r>
    </w:p>
    <w:p w:rsidR="00CD308A" w:rsidRDefault="00DE46F9" w:rsidP="00DE46F9">
      <w:pPr>
        <w:rPr>
          <w:lang w:eastAsia="ja-JP"/>
        </w:rPr>
      </w:pPr>
      <w:r w:rsidRPr="007A1CCB">
        <w:rPr>
          <w:lang w:eastAsia="ja-JP"/>
        </w:rPr>
        <w:t>In the whole study period (0-30 months), TEAEs were reported in 98% (50/51) of subjects in the all migalastat group. The pattern of TEAEs in the all migalastat group (0-30 months) was consistent with the pattern of TEAEs in the migalastat group (0-18 months). TEAEs</w:t>
      </w:r>
      <w:r>
        <w:rPr>
          <w:lang w:eastAsia="ja-JP"/>
        </w:rPr>
        <w:t xml:space="preserve"> reported in ≥ 20% of subjects in the all migalastat group (0-30 months) were nasophyarngitis (41%), headache (31%), influenza (24%), and diarrhoea (22%)</w:t>
      </w:r>
      <w:r w:rsidR="00CD308A">
        <w:rPr>
          <w:lang w:eastAsia="ja-JP"/>
        </w:rPr>
        <w:t>.</w:t>
      </w:r>
    </w:p>
    <w:p w:rsidR="00CD308A" w:rsidRDefault="00DE46F9" w:rsidP="00DE46F9">
      <w:pPr>
        <w:rPr>
          <w:lang w:eastAsia="ja-JP"/>
        </w:rPr>
      </w:pPr>
      <w:r w:rsidRPr="007A1CCB">
        <w:rPr>
          <w:lang w:eastAsia="ja-JP"/>
        </w:rPr>
        <w:t>In the 18-month, active-controlled treatment period, treatment-related TEAEs were</w:t>
      </w:r>
      <w:r>
        <w:rPr>
          <w:lang w:eastAsia="ja-JP"/>
        </w:rPr>
        <w:t xml:space="preserve"> reported notably more frequently in the migalastat group than in the ERT group (39% </w:t>
      </w:r>
      <w:r w:rsidR="008B05D5">
        <w:rPr>
          <w:lang w:eastAsia="ja-JP"/>
        </w:rPr>
        <w:t>(</w:t>
      </w:r>
      <w:r>
        <w:rPr>
          <w:lang w:eastAsia="ja-JP"/>
        </w:rPr>
        <w:t>14/36</w:t>
      </w:r>
      <w:r w:rsidR="00D87C4B">
        <w:rPr>
          <w:lang w:eastAsia="ja-JP"/>
        </w:rPr>
        <w:t xml:space="preserve">) versus </w:t>
      </w:r>
      <w:r>
        <w:rPr>
          <w:lang w:eastAsia="ja-JP"/>
        </w:rPr>
        <w:t xml:space="preserve">14% </w:t>
      </w:r>
      <w:r w:rsidR="008B05D5">
        <w:rPr>
          <w:lang w:eastAsia="ja-JP"/>
        </w:rPr>
        <w:t>(</w:t>
      </w:r>
      <w:r>
        <w:rPr>
          <w:lang w:eastAsia="ja-JP"/>
        </w:rPr>
        <w:t>3/21</w:t>
      </w:r>
      <w:r w:rsidR="00D87C4B">
        <w:rPr>
          <w:lang w:eastAsia="ja-JP"/>
        </w:rPr>
        <w:t>)</w:t>
      </w:r>
      <w:r>
        <w:rPr>
          <w:lang w:eastAsia="ja-JP"/>
        </w:rPr>
        <w:t xml:space="preserve">). Treatment-related TEAEs reported in ≥ 5% of subjects in </w:t>
      </w:r>
      <w:r>
        <w:rPr>
          <w:lang w:eastAsia="ja-JP"/>
        </w:rPr>
        <w:lastRenderedPageBreak/>
        <w:t>either treatment group (migalastat</w:t>
      </w:r>
      <w:r w:rsidR="00D87C4B">
        <w:rPr>
          <w:lang w:eastAsia="ja-JP"/>
        </w:rPr>
        <w:t xml:space="preserve"> versus </w:t>
      </w:r>
      <w:r>
        <w:rPr>
          <w:lang w:eastAsia="ja-JP"/>
        </w:rPr>
        <w:t>ERT, respectively) were headache (17%</w:t>
      </w:r>
      <w:r w:rsidR="00D87C4B">
        <w:rPr>
          <w:lang w:eastAsia="ja-JP"/>
        </w:rPr>
        <w:t xml:space="preserve"> versus </w:t>
      </w:r>
      <w:r>
        <w:rPr>
          <w:lang w:eastAsia="ja-JP"/>
        </w:rPr>
        <w:t>0%), dizziness (6%</w:t>
      </w:r>
      <w:r w:rsidR="00D87C4B">
        <w:rPr>
          <w:lang w:eastAsia="ja-JP"/>
        </w:rPr>
        <w:t xml:space="preserve"> versus </w:t>
      </w:r>
      <w:r>
        <w:rPr>
          <w:lang w:eastAsia="ja-JP"/>
        </w:rPr>
        <w:t>0%), diarrhoea (8%</w:t>
      </w:r>
      <w:r w:rsidR="00D87C4B">
        <w:rPr>
          <w:lang w:eastAsia="ja-JP"/>
        </w:rPr>
        <w:t xml:space="preserve"> versus </w:t>
      </w:r>
      <w:r>
        <w:rPr>
          <w:lang w:eastAsia="ja-JP"/>
        </w:rPr>
        <w:t>0%), abdominal pain (6%</w:t>
      </w:r>
      <w:r w:rsidR="00D87C4B">
        <w:rPr>
          <w:lang w:eastAsia="ja-JP"/>
        </w:rPr>
        <w:t xml:space="preserve"> versus </w:t>
      </w:r>
      <w:r>
        <w:rPr>
          <w:lang w:eastAsia="ja-JP"/>
        </w:rPr>
        <w:t>0%), nausea (6%</w:t>
      </w:r>
      <w:r w:rsidR="00D87C4B">
        <w:rPr>
          <w:lang w:eastAsia="ja-JP"/>
        </w:rPr>
        <w:t xml:space="preserve"> versus </w:t>
      </w:r>
      <w:r>
        <w:rPr>
          <w:lang w:eastAsia="ja-JP"/>
        </w:rPr>
        <w:t>0%), dyspepsia (6%</w:t>
      </w:r>
      <w:r w:rsidR="00D87C4B">
        <w:rPr>
          <w:lang w:eastAsia="ja-JP"/>
        </w:rPr>
        <w:t xml:space="preserve"> versus </w:t>
      </w:r>
      <w:r>
        <w:rPr>
          <w:lang w:eastAsia="ja-JP"/>
        </w:rPr>
        <w:t>1%), CK increased (6%</w:t>
      </w:r>
      <w:r w:rsidR="00D87C4B">
        <w:rPr>
          <w:lang w:eastAsia="ja-JP"/>
        </w:rPr>
        <w:t xml:space="preserve"> versus </w:t>
      </w:r>
      <w:r>
        <w:rPr>
          <w:lang w:eastAsia="ja-JP"/>
        </w:rPr>
        <w:t>0%), fatigue (3%</w:t>
      </w:r>
      <w:r w:rsidR="00D87C4B">
        <w:rPr>
          <w:lang w:eastAsia="ja-JP"/>
        </w:rPr>
        <w:t xml:space="preserve"> versus </w:t>
      </w:r>
      <w:r>
        <w:rPr>
          <w:lang w:eastAsia="ja-JP"/>
        </w:rPr>
        <w:t>5%), dry mouth (0%</w:t>
      </w:r>
      <w:r w:rsidR="00D87C4B">
        <w:rPr>
          <w:lang w:eastAsia="ja-JP"/>
        </w:rPr>
        <w:t xml:space="preserve"> versus </w:t>
      </w:r>
      <w:r>
        <w:rPr>
          <w:lang w:eastAsia="ja-JP"/>
        </w:rPr>
        <w:t>5%), infusion site inflammation (0%</w:t>
      </w:r>
      <w:r w:rsidR="00D87C4B">
        <w:rPr>
          <w:lang w:eastAsia="ja-JP"/>
        </w:rPr>
        <w:t xml:space="preserve"> versus </w:t>
      </w:r>
      <w:r>
        <w:rPr>
          <w:lang w:eastAsia="ja-JP"/>
        </w:rPr>
        <w:t>5%), blood glucose increased (0%</w:t>
      </w:r>
      <w:r w:rsidR="00D87C4B">
        <w:rPr>
          <w:lang w:eastAsia="ja-JP"/>
        </w:rPr>
        <w:t xml:space="preserve"> versus </w:t>
      </w:r>
      <w:r>
        <w:rPr>
          <w:lang w:eastAsia="ja-JP"/>
        </w:rPr>
        <w:t>5%), gamma GT increased (0%</w:t>
      </w:r>
      <w:r w:rsidR="00D87C4B">
        <w:rPr>
          <w:lang w:eastAsia="ja-JP"/>
        </w:rPr>
        <w:t xml:space="preserve"> versus </w:t>
      </w:r>
      <w:r>
        <w:rPr>
          <w:lang w:eastAsia="ja-JP"/>
        </w:rPr>
        <w:t>5%), glucose urine present (0%</w:t>
      </w:r>
      <w:r w:rsidR="00D87C4B">
        <w:rPr>
          <w:lang w:eastAsia="ja-JP"/>
        </w:rPr>
        <w:t xml:space="preserve"> versus </w:t>
      </w:r>
      <w:r>
        <w:rPr>
          <w:lang w:eastAsia="ja-JP"/>
        </w:rPr>
        <w:t>5%), and cough 5% v</w:t>
      </w:r>
      <w:r w:rsidR="00D87C4B">
        <w:rPr>
          <w:lang w:eastAsia="ja-JP"/>
        </w:rPr>
        <w:t>ersu</w:t>
      </w:r>
      <w:r>
        <w:rPr>
          <w:lang w:eastAsia="ja-JP"/>
        </w:rPr>
        <w:t>s 0%).</w:t>
      </w:r>
    </w:p>
    <w:p w:rsidR="00CD308A" w:rsidRDefault="00DE46F9" w:rsidP="00DE46F9">
      <w:pPr>
        <w:rPr>
          <w:lang w:eastAsia="ja-JP"/>
        </w:rPr>
      </w:pPr>
      <w:r w:rsidRPr="007A1CCB">
        <w:rPr>
          <w:lang w:eastAsia="ja-JP"/>
        </w:rPr>
        <w:t>In the whole study period (0</w:t>
      </w:r>
      <w:r w:rsidR="008B05D5">
        <w:rPr>
          <w:lang w:eastAsia="ja-JP"/>
        </w:rPr>
        <w:t xml:space="preserve"> to </w:t>
      </w:r>
      <w:r w:rsidRPr="007A1CCB">
        <w:rPr>
          <w:lang w:eastAsia="ja-JP"/>
        </w:rPr>
        <w:t>30 months), treatment-related TEAEs were reported in 37% (19/51) of subjects in the all migalastat group. The pattern of treatment-related TEAEs in the all migalastat group (0</w:t>
      </w:r>
      <w:r w:rsidR="008B05D5">
        <w:rPr>
          <w:lang w:eastAsia="ja-JP"/>
        </w:rPr>
        <w:t xml:space="preserve"> to </w:t>
      </w:r>
      <w:r w:rsidRPr="007A1CCB">
        <w:rPr>
          <w:lang w:eastAsia="ja-JP"/>
        </w:rPr>
        <w:t>30 months) was consistent with the pattern of treatment-related TEAEs in the migalastat group (0</w:t>
      </w:r>
      <w:r w:rsidR="008B05D5">
        <w:rPr>
          <w:lang w:eastAsia="ja-JP"/>
        </w:rPr>
        <w:t xml:space="preserve"> to </w:t>
      </w:r>
      <w:r w:rsidRPr="007A1CCB">
        <w:rPr>
          <w:lang w:eastAsia="ja-JP"/>
        </w:rPr>
        <w:t>18 months). Treatment-related TEAEs reported in ≥ 5% of subjects in the all migalastat group were headache (14%), diarrhoea (8%), CK increased (6%), and dizziness (6%)</w:t>
      </w:r>
    </w:p>
    <w:p w:rsidR="00CD308A" w:rsidRDefault="00DE46F9" w:rsidP="00DE46F9">
      <w:pPr>
        <w:rPr>
          <w:lang w:eastAsia="ja-JP"/>
        </w:rPr>
      </w:pPr>
      <w:r w:rsidRPr="007A1CCB">
        <w:rPr>
          <w:lang w:eastAsia="ja-JP"/>
        </w:rPr>
        <w:t xml:space="preserve">No deaths were reported during the study. </w:t>
      </w:r>
      <w:r w:rsidRPr="007A1CCB">
        <w:rPr>
          <w:lang w:val="en-US"/>
        </w:rPr>
        <w:t xml:space="preserve">No subjects discontinued treatment during the study due to TEAEs.  </w:t>
      </w:r>
      <w:r w:rsidRPr="007A1CCB">
        <w:rPr>
          <w:lang w:eastAsia="ja-JP"/>
        </w:rPr>
        <w:t>In the 18-month, active-controlled treatment period, a total of 24 treatment-emergent SAES (all unrelated to treatment) were reported in 19% (7/36) of subjects in the migalastat group (9 events) and 33% (7/21) of subjects in the ERT group (15 events). In the whole study period (0-30 months), 20 treatment-emergent SAEs were reported in 31% (16/51) of subjects in the all migalastat group. In the whole study period (0-30 months), 1 treatment-emergent SAE was reported to be possibly related to treatment in the all migalastat group (proteinuria in 1 subject in the migalastat-migalastat</w:t>
      </w:r>
      <w:r>
        <w:rPr>
          <w:lang w:eastAsia="ja-JP"/>
        </w:rPr>
        <w:t xml:space="preserve"> group)</w:t>
      </w:r>
      <w:r w:rsidR="00CD308A">
        <w:rPr>
          <w:lang w:eastAsia="ja-JP"/>
        </w:rPr>
        <w:t>.</w:t>
      </w:r>
    </w:p>
    <w:p w:rsidR="00CD308A" w:rsidRDefault="00DE46F9" w:rsidP="00DE46F9">
      <w:pPr>
        <w:pStyle w:val="Heading5"/>
        <w:rPr>
          <w:lang w:eastAsia="ja-JP"/>
        </w:rPr>
      </w:pPr>
      <w:r w:rsidRPr="00FF4F86">
        <w:rPr>
          <w:lang w:eastAsia="ja-JP"/>
        </w:rPr>
        <w:t>Studies AT1001-011 and AT1001-012</w:t>
      </w:r>
    </w:p>
    <w:p w:rsidR="00CD308A" w:rsidRDefault="00DE46F9" w:rsidP="00DE46F9">
      <w:pPr>
        <w:rPr>
          <w:lang w:eastAsia="ja-JP"/>
        </w:rPr>
      </w:pPr>
      <w:r>
        <w:rPr>
          <w:lang w:eastAsia="ja-JP"/>
        </w:rPr>
        <w:t>No safety issues with possible regulatory impact were identified in subjects treated with migalastat in the two Phase 3 studies : i.e., no hepatic toxicity; no renal toxicity; no haematological toxicity; no significant cardiac disorders or changes in ECG parameters including QTc prolongation; no significant immune system disorders; no serious skin reactions (including no cases of Stevens-Johnson syndrome or toxic epidermal necrolysis); no clinically meaningful laboratory abnormalities relating to haematological parameters, liver function tests, renal function tests, or other clinical chemistry parameters; and no clinically significant changes in vital signs</w:t>
      </w:r>
      <w:r w:rsidR="00CD308A">
        <w:rPr>
          <w:lang w:eastAsia="ja-JP"/>
        </w:rPr>
        <w:t>.</w:t>
      </w:r>
    </w:p>
    <w:p w:rsidR="00CD308A" w:rsidRDefault="00DE46F9" w:rsidP="00DE46F9">
      <w:pPr>
        <w:rPr>
          <w:lang w:eastAsia="ja-JP"/>
        </w:rPr>
      </w:pPr>
      <w:r>
        <w:rPr>
          <w:lang w:eastAsia="ja-JP"/>
        </w:rPr>
        <w:t>In special populations: the safety profile of migalastat appeared to be generally similar in males and females, and the reported differences are considered to be not clinically significant: the number of patients aged &gt; 65 years was too small to compare the safety of migalastat in this population with the safety of migalastat in subjects aged ≤ 65 years; there were no safety data in subjects aged &lt; 16 years of age, but migalastat is not being proposed for registration in subjects younger than 16 years of age; the number of non-Caucasian subjects was too small to adequately access the efficacy of migalastat in this population; the safety of migalastat appeared to be similar in subjects with baseline moderate renal impairment and subjects with baseline mild renal impairment/normal renal function, but subject numbers in the moderate renal impairment group were too small to allow definitive conclusions to be made; there were no safety data in subjects with severe baseline renal impairment and no separate safety data in subjects with mild baseline renal impairment; and there were no safety data in subjects with baseline hepatic impairment</w:t>
      </w:r>
      <w:r w:rsidR="00CD308A">
        <w:rPr>
          <w:lang w:eastAsia="ja-JP"/>
        </w:rPr>
        <w:t>.</w:t>
      </w:r>
    </w:p>
    <w:p w:rsidR="00DE46F9" w:rsidRDefault="00DE46F9" w:rsidP="00DE46F9">
      <w:pPr>
        <w:pStyle w:val="Heading5"/>
        <w:rPr>
          <w:lang w:eastAsia="ja-JP"/>
        </w:rPr>
      </w:pPr>
      <w:r>
        <w:rPr>
          <w:lang w:eastAsia="ja-JP"/>
        </w:rPr>
        <w:t>Study AT1001-041 long</w:t>
      </w:r>
      <w:r w:rsidRPr="00900A12">
        <w:rPr>
          <w:lang w:eastAsia="ja-JP"/>
        </w:rPr>
        <w:t>-term safety</w:t>
      </w:r>
    </w:p>
    <w:p w:rsidR="00CD308A" w:rsidRDefault="00DE46F9" w:rsidP="00DE46F9">
      <w:r>
        <w:rPr>
          <w:lang w:eastAsia="ja-JP"/>
        </w:rPr>
        <w:t xml:space="preserve">There were data for 85 subjects enrolled in the long-term safety study </w:t>
      </w:r>
      <w:r w:rsidR="00D87C4B">
        <w:rPr>
          <w:lang w:eastAsia="ja-JP"/>
        </w:rPr>
        <w:t>(</w:t>
      </w:r>
      <w:r>
        <w:rPr>
          <w:lang w:eastAsia="ja-JP"/>
        </w:rPr>
        <w:t>AT1001-041</w:t>
      </w:r>
      <w:r w:rsidR="00D87C4B">
        <w:rPr>
          <w:lang w:eastAsia="ja-JP"/>
        </w:rPr>
        <w:t>)</w:t>
      </w:r>
      <w:r>
        <w:rPr>
          <w:lang w:eastAsia="ja-JP"/>
        </w:rPr>
        <w:t xml:space="preserve">, continuing treatment with migalastat. The 85 subjects are from the three feeder studies </w:t>
      </w:r>
      <w:r w:rsidR="00D87C4B">
        <w:rPr>
          <w:lang w:eastAsia="ja-JP"/>
        </w:rPr>
        <w:t>(</w:t>
      </w:r>
      <w:r>
        <w:rPr>
          <w:lang w:eastAsia="ja-JP"/>
        </w:rPr>
        <w:t xml:space="preserve">FAB-CL-205, AT1001-011, </w:t>
      </w:r>
      <w:proofErr w:type="gramStart"/>
      <w:r>
        <w:rPr>
          <w:lang w:eastAsia="ja-JP"/>
        </w:rPr>
        <w:t>AT1001</w:t>
      </w:r>
      <w:proofErr w:type="gramEnd"/>
      <w:r>
        <w:rPr>
          <w:lang w:eastAsia="ja-JP"/>
        </w:rPr>
        <w:t>-012</w:t>
      </w:r>
      <w:r w:rsidR="00D87C4B">
        <w:rPr>
          <w:lang w:eastAsia="ja-JP"/>
        </w:rPr>
        <w:t>)</w:t>
      </w:r>
      <w:r>
        <w:rPr>
          <w:lang w:eastAsia="ja-JP"/>
        </w:rPr>
        <w:t xml:space="preserve">. </w:t>
      </w:r>
      <w:r w:rsidRPr="00FF4F86">
        <w:rPr>
          <w:lang w:eastAsia="ja-JP"/>
        </w:rPr>
        <w:t>Of the 85 subjects</w:t>
      </w:r>
      <w:r>
        <w:rPr>
          <w:lang w:eastAsia="ja-JP"/>
        </w:rPr>
        <w:t xml:space="preserve"> enrolled in </w:t>
      </w:r>
      <w:r w:rsidRPr="00030B24">
        <w:rPr>
          <w:i/>
          <w:lang w:eastAsia="ja-JP"/>
        </w:rPr>
        <w:t>study AT1001-041</w:t>
      </w:r>
      <w:r w:rsidRPr="00FF4F86">
        <w:rPr>
          <w:lang w:eastAsia="ja-JP"/>
        </w:rPr>
        <w:t>, 81% (</w:t>
      </w:r>
      <w:r w:rsidR="008B05D5">
        <w:rPr>
          <w:lang w:eastAsia="ja-JP"/>
        </w:rPr>
        <w:t xml:space="preserve">n = </w:t>
      </w:r>
      <w:r w:rsidRPr="00FF4F86">
        <w:rPr>
          <w:lang w:eastAsia="ja-JP"/>
        </w:rPr>
        <w:t xml:space="preserve">69) had experienced at least one TEAE. The TEAEs reported in this study were consistent with those reported in the two Phase 3 studies, and no new safety signals associated with migalastat emerged with long-term treatment. </w:t>
      </w:r>
      <w:r w:rsidRPr="00FF4F86">
        <w:t xml:space="preserve">TEAEs, reported in ≥ 10% </w:t>
      </w:r>
      <w:r w:rsidRPr="00FF4F86">
        <w:lastRenderedPageBreak/>
        <w:t xml:space="preserve">of subjects were diarrhoea (16%, </w:t>
      </w:r>
      <w:r w:rsidR="008B05D5">
        <w:t xml:space="preserve">n = </w:t>
      </w:r>
      <w:r w:rsidRPr="00FF4F86">
        <w:t xml:space="preserve">14), arthralgia (13%, </w:t>
      </w:r>
      <w:r w:rsidR="008B05D5">
        <w:t xml:space="preserve">n = </w:t>
      </w:r>
      <w:r w:rsidRPr="00FF4F86">
        <w:t xml:space="preserve">11), fatigue (12%, </w:t>
      </w:r>
      <w:r w:rsidR="008B05D5">
        <w:t xml:space="preserve">n = </w:t>
      </w:r>
      <w:r w:rsidRPr="00FF4F86">
        <w:t xml:space="preserve">10), headache (12%, </w:t>
      </w:r>
      <w:r w:rsidR="008B05D5">
        <w:t xml:space="preserve">n = </w:t>
      </w:r>
      <w:r w:rsidRPr="00FF4F86">
        <w:t xml:space="preserve">10), pain in extremity (12%, </w:t>
      </w:r>
      <w:r w:rsidR="008B05D5">
        <w:t xml:space="preserve">n = </w:t>
      </w:r>
      <w:r w:rsidRPr="00FF4F86">
        <w:t xml:space="preserve">10), and nasophyaryngitis (11%, </w:t>
      </w:r>
      <w:r w:rsidR="008B05D5">
        <w:t xml:space="preserve">n = </w:t>
      </w:r>
      <w:r w:rsidRPr="00FF4F86">
        <w:t>9). Of the 662 TEAEs reported in the study, 56 were assessed to be related to treatment. Treatment-related TEAEs reported in ≥ 2 patients were diarrhoea (4, 5%), dizziness (2, 2%), fatigue (2, 2%), glomerular filtration rate decreased (2, 2%), urinary tract deficiency (2, 2%), and vitamin deficiency. All other treatment-related TEAEs were each reported once, and consisted of a variety of events</w:t>
      </w:r>
      <w:r w:rsidR="00CD308A">
        <w:t>.</w:t>
      </w:r>
    </w:p>
    <w:p w:rsidR="00DE46F9" w:rsidRPr="001B7C8D" w:rsidRDefault="00DE46F9" w:rsidP="00DE46F9">
      <w:r w:rsidRPr="001B7C8D">
        <w:t xml:space="preserve">There were 31 treatment-emergent SAEs reported by 22 subjects, none of which were related to migalastat. The treatment-emergent SAEs were: cardiac disorders (atrial fibrillation x 2; angina pectoris </w:t>
      </w:r>
      <w:r w:rsidR="008B05D5">
        <w:t>x 1</w:t>
      </w:r>
      <w:r w:rsidRPr="001B7C8D">
        <w:t xml:space="preserve">); gastrointestinal disorders (abdominal pain upper x 1; hiatus hernia </w:t>
      </w:r>
      <w:r w:rsidR="008B05D5">
        <w:t>x 1</w:t>
      </w:r>
      <w:r w:rsidRPr="001B7C8D">
        <w:t xml:space="preserve">; pancreatitis </w:t>
      </w:r>
      <w:r w:rsidR="008B05D5">
        <w:t>x 1</w:t>
      </w:r>
      <w:r w:rsidRPr="001B7C8D">
        <w:t xml:space="preserve">); general disorders and administration site conditions (death x 1; device malfunction </w:t>
      </w:r>
      <w:r w:rsidR="008B05D5">
        <w:t>x 1</w:t>
      </w:r>
      <w:r w:rsidRPr="001B7C8D">
        <w:t xml:space="preserve">); hepatobiliary disorder (hepatic infarction </w:t>
      </w:r>
      <w:r w:rsidR="008B05D5">
        <w:t>x 1</w:t>
      </w:r>
      <w:r w:rsidRPr="001B7C8D">
        <w:t xml:space="preserve">); infections and infestations (pneumonia x2; lobar pneumonia </w:t>
      </w:r>
      <w:r w:rsidR="008B05D5">
        <w:t>x 1</w:t>
      </w:r>
      <w:r w:rsidRPr="001B7C8D">
        <w:t xml:space="preserve">); injury poisoning and procedural complication (foot fracture </w:t>
      </w:r>
      <w:r w:rsidR="008B05D5">
        <w:t>x 1</w:t>
      </w:r>
      <w:r w:rsidRPr="001B7C8D">
        <w:t>); muscul</w:t>
      </w:r>
      <w:r>
        <w:t>o</w:t>
      </w:r>
      <w:r w:rsidRPr="001B7C8D">
        <w:t xml:space="preserve">skeletal and connective tissue disorders (muscle spasms </w:t>
      </w:r>
      <w:r w:rsidR="008B05D5">
        <w:t>x 1</w:t>
      </w:r>
      <w:r w:rsidRPr="001B7C8D">
        <w:t>;</w:t>
      </w:r>
      <w:r w:rsidRPr="00296295">
        <w:t xml:space="preserve"> </w:t>
      </w:r>
      <w:r w:rsidRPr="001B7C8D">
        <w:t xml:space="preserve">musculoskeletal chest pain </w:t>
      </w:r>
      <w:r w:rsidR="008B05D5">
        <w:t>x 1</w:t>
      </w:r>
      <w:r w:rsidRPr="001B7C8D">
        <w:t xml:space="preserve">); neoplasms, benign, malignant and unspecified, including cysts and polyps (breast cancer metastatic </w:t>
      </w:r>
      <w:r w:rsidR="008B05D5">
        <w:t>x 1</w:t>
      </w:r>
      <w:r w:rsidRPr="001B7C8D">
        <w:t xml:space="preserve">; malignant melanoma </w:t>
      </w:r>
      <w:r w:rsidR="008B05D5">
        <w:t>x 1</w:t>
      </w:r>
      <w:r w:rsidRPr="001B7C8D">
        <w:t xml:space="preserve">; meningioma </w:t>
      </w:r>
      <w:r w:rsidR="008B05D5">
        <w:t>x 1</w:t>
      </w:r>
      <w:r w:rsidRPr="001B7C8D">
        <w:t xml:space="preserve">; papillary thyroid cancer </w:t>
      </w:r>
      <w:r w:rsidR="008B05D5">
        <w:t>x 1</w:t>
      </w:r>
      <w:r w:rsidRPr="001B7C8D">
        <w:t xml:space="preserve">; thyroid neoplasm </w:t>
      </w:r>
      <w:r w:rsidR="008B05D5">
        <w:t>x 1</w:t>
      </w:r>
      <w:r w:rsidRPr="001B7C8D">
        <w:t xml:space="preserve">); nervous system disorders (brain stem ischaemia </w:t>
      </w:r>
      <w:r w:rsidR="008B05D5">
        <w:t>x 1</w:t>
      </w:r>
      <w:r w:rsidRPr="001B7C8D">
        <w:t xml:space="preserve">; pre-syncope </w:t>
      </w:r>
      <w:r w:rsidR="008B05D5">
        <w:t>x 1</w:t>
      </w:r>
      <w:r w:rsidRPr="001B7C8D">
        <w:t xml:space="preserve">); not coded (insertion of implantable cardioverter defibrillator x2); psychiatric disorder (conversion disorder </w:t>
      </w:r>
      <w:r w:rsidR="008B05D5">
        <w:t>x 1</w:t>
      </w:r>
      <w:r w:rsidRPr="001B7C8D">
        <w:t xml:space="preserve">);  renal an urinary disorders (urinary calculus </w:t>
      </w:r>
      <w:r w:rsidR="008B05D5">
        <w:t>x 1</w:t>
      </w:r>
      <w:r w:rsidRPr="001B7C8D">
        <w:t xml:space="preserve">); reproductive and breast disorders (priapism x 1; uterine polyp </w:t>
      </w:r>
      <w:r w:rsidR="008B05D5">
        <w:t>x 1</w:t>
      </w:r>
      <w:r w:rsidRPr="001B7C8D">
        <w:t xml:space="preserve">); and skin and subcutaneous tissue disorders (angioedema </w:t>
      </w:r>
      <w:r w:rsidR="008B05D5">
        <w:t>x 1</w:t>
      </w:r>
      <w:r w:rsidRPr="001B7C8D">
        <w:t>).</w:t>
      </w:r>
    </w:p>
    <w:p w:rsidR="00CD308A" w:rsidRDefault="00DE46F9" w:rsidP="00DE46F9">
      <w:r w:rsidRPr="001B7C8D">
        <w:t>There 2 deaths in the study; 1 (1%) subject died from a TEAE (Stage III Breast Cancer) during the study deemed to be unrelated to treatment; 1 (1%) subject was foun</w:t>
      </w:r>
      <w:r>
        <w:t>d</w:t>
      </w:r>
      <w:r w:rsidRPr="001B7C8D">
        <w:t xml:space="preserve"> dead at home</w:t>
      </w:r>
      <w:r>
        <w:t xml:space="preserve"> (unknown cause, unrelated to treatment)</w:t>
      </w:r>
      <w:r w:rsidRPr="001B7C8D">
        <w:t>, the subject’s medical history included transient ischaemic attack, obesity, type 2 diabetes mellitus, hypercholesterolemia, cardiac stent placement, triple bypass surgery, and cardiac pacemaker insertion</w:t>
      </w:r>
      <w:r>
        <w:t>. These two deaths were the only deaths reported in the migalastat clinical program at the time of the submission. Discontinuations as of 2 November 2015 due to TEAEs were reported in 1 (1.2%) subject (metastatic squamous cell carcinoma considered to be unrelated to treatment)</w:t>
      </w:r>
      <w:r w:rsidR="00CD308A">
        <w:t>.</w:t>
      </w:r>
    </w:p>
    <w:p w:rsidR="00605AD4" w:rsidRPr="00605AD4" w:rsidRDefault="00605AD4" w:rsidP="00605AD4">
      <w:pPr>
        <w:pStyle w:val="Heading3"/>
        <w:rPr>
          <w:rFonts w:eastAsia="Cambria"/>
        </w:rPr>
      </w:pPr>
      <w:bookmarkStart w:id="147" w:name="_Toc524949265"/>
      <w:r w:rsidRPr="00605AD4">
        <w:rPr>
          <w:rFonts w:eastAsia="Cambria"/>
        </w:rPr>
        <w:t xml:space="preserve">First </w:t>
      </w:r>
      <w:r w:rsidR="00F5175D" w:rsidRPr="00605AD4">
        <w:rPr>
          <w:rFonts w:eastAsia="Cambria"/>
        </w:rPr>
        <w:t>round benefit-risk assessment</w:t>
      </w:r>
      <w:bookmarkEnd w:id="147"/>
    </w:p>
    <w:p w:rsidR="00605AD4" w:rsidRDefault="00605AD4" w:rsidP="00605AD4">
      <w:pPr>
        <w:pStyle w:val="Heading4"/>
      </w:pPr>
      <w:r w:rsidRPr="00605AD4">
        <w:t>First round assessment of benefits</w:t>
      </w:r>
    </w:p>
    <w:p w:rsidR="00CD308A" w:rsidRDefault="00B9675F" w:rsidP="00B9675F">
      <w:r w:rsidRPr="00E515D3">
        <w:t xml:space="preserve">The benefits of treatment with migalastat for patients with Fabry disease with amenable </w:t>
      </w:r>
      <w:r w:rsidRPr="007A1CCB">
        <w:t>GLA mutations based on the GLP HEK assay have been adequately demonstrated in 1 pivotal Phase 3 study comparing migalastat 150 mg QOD with ERT over 18 months of randomised, open-label, treatment (study AT1001-012), and in 1 supportive Phase 3 study comparing migalastat 150 mg QOD with placebo over 6 months randomised, double-blind treatment in a post-hoc analysis undertaken after unblinding of the data (study AT1001-011). In both Phase 3 studies, long-term durability of response with migalastat 150 mg QOD was satisfactorily demonstrated. In addition, the long-term data from study AT1001-014 demonstrated that the eGFR</w:t>
      </w:r>
      <w:r w:rsidRPr="007A1CCB">
        <w:rPr>
          <w:sz w:val="18"/>
          <w:szCs w:val="18"/>
        </w:rPr>
        <w:t xml:space="preserve">CKD-EPI </w:t>
      </w:r>
      <w:r w:rsidRPr="007A1CCB">
        <w:t>remained stable over an average of 36 months in subjects from study AT1001-011 continuing in the long-term extension study, while reductions from baseline in LVMi were observed in subjects with normal LV function and with LVH</w:t>
      </w:r>
      <w:r w:rsidR="00CD308A">
        <w:t>.</w:t>
      </w:r>
    </w:p>
    <w:p w:rsidR="00CD308A" w:rsidRDefault="00B9675F" w:rsidP="00B9675F">
      <w:r w:rsidRPr="007A1CCB">
        <w:t xml:space="preserve">The available data indicate that the benefits of treatment with migalastat are limited to those patients with an amenable GLA mutation. Therefore, if migalastat is approved for registration it will be essential to confirm that all potential patients have an amenable GLA </w:t>
      </w:r>
      <w:r w:rsidRPr="007A1CCB">
        <w:lastRenderedPageBreak/>
        <w:t>mutation prior to initiating treatment. As of 27 October 2015, the GLP HEK assays was the only existing method available to identify the target patient population.</w:t>
      </w:r>
    </w:p>
    <w:p w:rsidR="00CD308A" w:rsidRDefault="00B9675F" w:rsidP="00B9675F">
      <w:r w:rsidRPr="007A1CCB">
        <w:t xml:space="preserve">It is noted that inter-subject variability in all baseline efficacy parameters was high in both </w:t>
      </w:r>
      <w:r w:rsidR="008B05D5">
        <w:t>S</w:t>
      </w:r>
      <w:r w:rsidR="008B05D5" w:rsidRPr="007A1CCB">
        <w:t xml:space="preserve">tudy </w:t>
      </w:r>
      <w:r w:rsidRPr="007A1CCB">
        <w:t xml:space="preserve">AT1001-011 and </w:t>
      </w:r>
      <w:r w:rsidR="008B05D5">
        <w:t>S</w:t>
      </w:r>
      <w:r w:rsidR="008B05D5" w:rsidRPr="007A1CCB">
        <w:t xml:space="preserve">tudy </w:t>
      </w:r>
      <w:r w:rsidRPr="007A1CCB">
        <w:t>AT1001-012, suggesting that the clinical phenotype of Fabry disease in the subject population in these studies</w:t>
      </w:r>
      <w:r>
        <w:t xml:space="preserve"> is heterogeneous. Furthermore, it is noted that inter-subject variability in the efficacy endpoints following treatment with migalastat, ERT and placebo was high. High baseline inter-subject variability in the efficacy variables and high post-treatment inter-subject variability in the efficacy outcomes suggests that there is likely to be considerable individual variability in response to treatment in patients with Fabry disease and amenable </w:t>
      </w:r>
      <w:r w:rsidRPr="00D3718A">
        <w:rPr>
          <w:i/>
        </w:rPr>
        <w:t>GLA</w:t>
      </w:r>
      <w:r>
        <w:t xml:space="preserve"> mutations treated with migalastat. The submitted data have not identified a particular subgroup of patients with Fabry disease and amenable </w:t>
      </w:r>
      <w:r w:rsidRPr="007A1CCB">
        <w:t>GLA mutations for whom treatment with migalastat is likely to be most beneficial. However, the disease burden was high in the total population with amenable GLA mutations in the two studies, with the majority of subjects having disease involving two or more organ systems (91%, 97/107)</w:t>
      </w:r>
      <w:r w:rsidR="00CD308A">
        <w:t>.</w:t>
      </w:r>
    </w:p>
    <w:p w:rsidR="00CD308A" w:rsidRDefault="00B9675F" w:rsidP="00B9675F">
      <w:r w:rsidRPr="007A1CCB">
        <w:t xml:space="preserve">There are limited data on the benefits of migalastat in elderly subjects. In study AT1001-011, the mean age of the 67 enrolled subjects was 42.2 years (range: 16, 68 years). In study AT1001-012 the mean age of the 57 enrolled subjects was 48.9 years (range: 18, 72 years), with only 5 subjects being aged &gt; 65 years. The sponsor states that “elderly subjects are not expected to respond differently to </w:t>
      </w:r>
      <w:proofErr w:type="gramStart"/>
      <w:r w:rsidRPr="007A1CCB">
        <w:t>Galafold</w:t>
      </w:r>
      <w:proofErr w:type="gramEnd"/>
      <w:r w:rsidRPr="007A1CCB">
        <w:t xml:space="preserve"> than younger patients”, but provides no data supporting this claim</w:t>
      </w:r>
      <w:r w:rsidR="00CD308A">
        <w:t>.</w:t>
      </w:r>
    </w:p>
    <w:p w:rsidR="00CD308A" w:rsidRDefault="00B9675F" w:rsidP="00B9675F">
      <w:r w:rsidRPr="007A1CCB">
        <w:t>The benefits associated with migalastat treatment in the proposed patient population are described below. The results refer to subjects</w:t>
      </w:r>
      <w:r>
        <w:t xml:space="preserve"> with amenable </w:t>
      </w:r>
      <w:r w:rsidRPr="00D3718A">
        <w:rPr>
          <w:i/>
        </w:rPr>
        <w:t>GLA</w:t>
      </w:r>
      <w:r>
        <w:t xml:space="preserve"> mutations based on the GLP HEK assay, unless otherwise stated</w:t>
      </w:r>
      <w:r w:rsidR="00CD308A">
        <w:t>.</w:t>
      </w:r>
    </w:p>
    <w:p w:rsidR="00B9675F" w:rsidRPr="0040361F" w:rsidRDefault="00580188" w:rsidP="00B9675F">
      <w:pPr>
        <w:pStyle w:val="Heading5"/>
      </w:pPr>
      <w:r>
        <w:t>Renal benefits</w:t>
      </w:r>
    </w:p>
    <w:p w:rsidR="00CD308A" w:rsidRDefault="00B9675F" w:rsidP="00B9675F">
      <w:r w:rsidRPr="007D1C01">
        <w:t>Fabry disease is associated with progressive decline in renal function</w:t>
      </w:r>
      <w:r>
        <w:t xml:space="preserve">, which can lead to ESRD.  </w:t>
      </w:r>
      <w:r w:rsidRPr="007D1C01">
        <w:t xml:space="preserve">Therefore, improvement or stabilisation of renal function is considered to be a clinically </w:t>
      </w:r>
      <w:r>
        <w:t>important</w:t>
      </w:r>
      <w:r w:rsidRPr="007D1C01">
        <w:t xml:space="preserve"> treatment </w:t>
      </w:r>
      <w:r w:rsidRPr="007A1CCB">
        <w:t xml:space="preserve">outcome. In </w:t>
      </w:r>
      <w:r w:rsidR="008B05D5">
        <w:t>S</w:t>
      </w:r>
      <w:r w:rsidR="008B05D5" w:rsidRPr="007A1CCB">
        <w:t xml:space="preserve">tudy </w:t>
      </w:r>
      <w:r w:rsidRPr="007A1CCB">
        <w:t>AT1001-012, 66% of patients had baseline mGFR</w:t>
      </w:r>
      <w:r w:rsidRPr="007A1CCB">
        <w:rPr>
          <w:sz w:val="18"/>
          <w:szCs w:val="18"/>
        </w:rPr>
        <w:t>iohexol</w:t>
      </w:r>
      <w:r w:rsidRPr="007A1CCB">
        <w:t xml:space="preserve"> &lt; 90 mL/min/1.73 m</w:t>
      </w:r>
      <w:r w:rsidRPr="007A1CCB">
        <w:rPr>
          <w:vertAlign w:val="superscript"/>
        </w:rPr>
        <w:t>2</w:t>
      </w:r>
      <w:r w:rsidRPr="007A1CCB">
        <w:t>, and 48% of patients had baseline eGFR</w:t>
      </w:r>
      <w:r w:rsidRPr="007A1CCB">
        <w:rPr>
          <w:sz w:val="18"/>
          <w:szCs w:val="18"/>
        </w:rPr>
        <w:t xml:space="preserve">CKD-EPI </w:t>
      </w:r>
      <w:r w:rsidRPr="007A1CCB">
        <w:t>&lt; 90 mL/min/1.73 m</w:t>
      </w:r>
      <w:r w:rsidRPr="007A1CCB">
        <w:rPr>
          <w:vertAlign w:val="superscript"/>
        </w:rPr>
        <w:t>2</w:t>
      </w:r>
      <w:r w:rsidRPr="007A1CCB">
        <w:t xml:space="preserve">. In </w:t>
      </w:r>
      <w:r w:rsidR="008B05D5">
        <w:t>S</w:t>
      </w:r>
      <w:r w:rsidR="008B05D5" w:rsidRPr="007A1CCB">
        <w:t xml:space="preserve">tudy </w:t>
      </w:r>
      <w:r w:rsidRPr="007A1CCB">
        <w:t>AT1001-011, 52% of patients had baseline mGFR</w:t>
      </w:r>
      <w:r w:rsidRPr="007A1CCB">
        <w:rPr>
          <w:sz w:val="18"/>
          <w:szCs w:val="18"/>
        </w:rPr>
        <w:t>iohexol</w:t>
      </w:r>
      <w:r w:rsidR="008B05D5">
        <w:t> </w:t>
      </w:r>
      <w:r w:rsidRPr="007A1CCB">
        <w:t>&lt;</w:t>
      </w:r>
      <w:r w:rsidR="008B05D5">
        <w:t> </w:t>
      </w:r>
      <w:r w:rsidRPr="007A1CCB">
        <w:t>90 mL/min/1.73 m</w:t>
      </w:r>
      <w:r w:rsidRPr="007A1CCB">
        <w:rPr>
          <w:vertAlign w:val="superscript"/>
        </w:rPr>
        <w:t>2</w:t>
      </w:r>
      <w:r w:rsidRPr="007A1CCB">
        <w:t>, and 50% of patients had baseline eGFR</w:t>
      </w:r>
      <w:r w:rsidRPr="007A1CCB">
        <w:rPr>
          <w:sz w:val="18"/>
          <w:szCs w:val="18"/>
        </w:rPr>
        <w:t xml:space="preserve">CKD-EPI </w:t>
      </w:r>
      <w:r w:rsidRPr="007A1CCB">
        <w:t>&lt;</w:t>
      </w:r>
      <w:r w:rsidR="008B05D5">
        <w:t> </w:t>
      </w:r>
      <w:r w:rsidRPr="007A1CCB">
        <w:t>90</w:t>
      </w:r>
      <w:r w:rsidR="008B05D5">
        <w:t> </w:t>
      </w:r>
      <w:r w:rsidRPr="007A1CCB">
        <w:t>mL/min/1.73 m</w:t>
      </w:r>
      <w:r w:rsidRPr="007A1CCB">
        <w:rPr>
          <w:vertAlign w:val="superscript"/>
        </w:rPr>
        <w:t>2</w:t>
      </w:r>
      <w:r w:rsidRPr="007A1CCB">
        <w:t xml:space="preserve">. Baseline 24-hour urine protein levels ≥ 100 mg/24 hr were present in 79% of patients in </w:t>
      </w:r>
      <w:r w:rsidR="008B05D5">
        <w:t>S</w:t>
      </w:r>
      <w:r w:rsidRPr="007A1CCB">
        <w:t xml:space="preserve">tudy AT1001-012 and in 84% of patients in </w:t>
      </w:r>
      <w:r w:rsidR="008B05D5">
        <w:t>S</w:t>
      </w:r>
      <w:r w:rsidR="008B05D5" w:rsidRPr="007A1CCB">
        <w:t xml:space="preserve">tudy </w:t>
      </w:r>
      <w:r w:rsidRPr="007A1CCB">
        <w:t xml:space="preserve">AT1001-011. These findings indicate that a high proportion of the Phase </w:t>
      </w:r>
      <w:r w:rsidR="008B05D5">
        <w:t>III</w:t>
      </w:r>
      <w:r w:rsidRPr="007A1CCB">
        <w:t xml:space="preserve"> patients had abnormal kidney</w:t>
      </w:r>
      <w:r w:rsidRPr="007D1C01">
        <w:t xml:space="preserve"> parameters (abnormal GFR and presence of proteinuria) at baseline</w:t>
      </w:r>
      <w:r w:rsidR="00CD308A">
        <w:t>.</w:t>
      </w:r>
    </w:p>
    <w:p w:rsidR="00CD308A" w:rsidRDefault="00B9675F" w:rsidP="00B9675F">
      <w:pPr>
        <w:rPr>
          <w:b/>
          <w:i/>
        </w:rPr>
      </w:pPr>
      <w:r>
        <w:rPr>
          <w:b/>
          <w:i/>
        </w:rPr>
        <w:t>GFR parameters</w:t>
      </w:r>
    </w:p>
    <w:p w:rsidR="00B9675F" w:rsidRPr="00417D5E" w:rsidRDefault="00B9675F" w:rsidP="00B9675F">
      <w:pPr>
        <w:pStyle w:val="ListBullet"/>
      </w:pPr>
      <w:r w:rsidRPr="007A1CCB">
        <w:t xml:space="preserve">In </w:t>
      </w:r>
      <w:r w:rsidR="008B05D5">
        <w:t>S</w:t>
      </w:r>
      <w:r w:rsidRPr="007A1CCB">
        <w:t>tudy AT1001-012 (mITT population), the</w:t>
      </w:r>
      <w:r w:rsidRPr="00417D5E">
        <w:t xml:space="preserve"> annualised rates of change for eGFR</w:t>
      </w:r>
      <w:r w:rsidRPr="004C0E31">
        <w:rPr>
          <w:vertAlign w:val="subscript"/>
        </w:rPr>
        <w:t xml:space="preserve">CKD-EPI </w:t>
      </w:r>
      <w:r w:rsidRPr="00417D5E">
        <w:t>and mGFR</w:t>
      </w:r>
      <w:r w:rsidRPr="004C0E31">
        <w:rPr>
          <w:sz w:val="18"/>
          <w:szCs w:val="18"/>
        </w:rPr>
        <w:t>iohexol</w:t>
      </w:r>
      <w:r w:rsidRPr="00417D5E">
        <w:t xml:space="preserve"> from baseline to month 18 in the migalastat group (</w:t>
      </w:r>
      <w:r w:rsidR="008B05D5">
        <w:t xml:space="preserve">n = </w:t>
      </w:r>
      <w:r w:rsidRPr="00417D5E">
        <w:t>34) were comparable with the results in the ERT group (</w:t>
      </w:r>
      <w:r w:rsidR="008B05D5">
        <w:t xml:space="preserve">n = </w:t>
      </w:r>
      <w:r w:rsidRPr="00417D5E">
        <w:t>18). The difference between the two groups (migalastat minus ERT) in the LS mean annualised changes from baseline to month 18 for eGFR</w:t>
      </w:r>
      <w:r w:rsidRPr="00417D5E">
        <w:rPr>
          <w:sz w:val="18"/>
          <w:szCs w:val="18"/>
        </w:rPr>
        <w:t>CKD-EPI</w:t>
      </w:r>
      <w:r w:rsidRPr="00417D5E">
        <w:t xml:space="preserve"> and mGFR</w:t>
      </w:r>
      <w:r w:rsidRPr="00417D5E">
        <w:rPr>
          <w:sz w:val="18"/>
          <w:szCs w:val="18"/>
        </w:rPr>
        <w:t>iohexol</w:t>
      </w:r>
      <w:r w:rsidRPr="00417D5E">
        <w:t xml:space="preserve"> were +0.63 mL/min/1.73 m</w:t>
      </w:r>
      <w:r w:rsidRPr="00417D5E">
        <w:rPr>
          <w:vertAlign w:val="superscript"/>
        </w:rPr>
        <w:t>2</w:t>
      </w:r>
      <w:r w:rsidRPr="00417D5E">
        <w:t xml:space="preserve"> (in favour of migalastat) and -1.1 mL/min/1.73 m</w:t>
      </w:r>
      <w:r w:rsidRPr="00417D5E">
        <w:rPr>
          <w:vertAlign w:val="superscript"/>
        </w:rPr>
        <w:t xml:space="preserve">2 </w:t>
      </w:r>
      <w:r w:rsidRPr="00417D5E">
        <w:t>(in favour of ERT), respectively. The 95% CIs for the migalastat annualised rates of change from baseline to month 18 for eGFR</w:t>
      </w:r>
      <w:r w:rsidRPr="004C0E31">
        <w:rPr>
          <w:sz w:val="18"/>
          <w:szCs w:val="18"/>
        </w:rPr>
        <w:t xml:space="preserve">CKD-EPI </w:t>
      </w:r>
      <w:r w:rsidRPr="00417D5E">
        <w:t>and mGFR</w:t>
      </w:r>
      <w:r w:rsidRPr="004C0E31">
        <w:rPr>
          <w:sz w:val="18"/>
          <w:szCs w:val="18"/>
        </w:rPr>
        <w:t>iohexol</w:t>
      </w:r>
      <w:r w:rsidRPr="004C0E31">
        <w:rPr>
          <w:vertAlign w:val="subscript"/>
        </w:rPr>
        <w:t xml:space="preserve"> </w:t>
      </w:r>
      <w:r w:rsidRPr="00417D5E">
        <w:t xml:space="preserve">were entirely </w:t>
      </w:r>
      <w:r>
        <w:t xml:space="preserve">enclosed with the corresponding 95% CIs for ERT. </w:t>
      </w:r>
      <w:r w:rsidRPr="00417D5E">
        <w:t xml:space="preserve">The co-primary endpoints, </w:t>
      </w:r>
      <w:r w:rsidR="00A56B24" w:rsidRPr="007A1CCB">
        <w:t>eGFR</w:t>
      </w:r>
      <w:r w:rsidR="00A56B24" w:rsidRPr="007A1CCB">
        <w:rPr>
          <w:sz w:val="18"/>
          <w:szCs w:val="18"/>
        </w:rPr>
        <w:t>CKD-EPI</w:t>
      </w:r>
      <w:r w:rsidRPr="00417D5E">
        <w:t xml:space="preserve"> and mGFR</w:t>
      </w:r>
      <w:r w:rsidRPr="00417D5E">
        <w:rPr>
          <w:sz w:val="18"/>
          <w:szCs w:val="18"/>
        </w:rPr>
        <w:t>iohexol</w:t>
      </w:r>
      <w:r w:rsidRPr="00417D5E">
        <w:t>, met</w:t>
      </w:r>
      <w:r>
        <w:t xml:space="preserve"> the criteria for comparability of </w:t>
      </w:r>
      <w:r w:rsidRPr="00417D5E">
        <w:t>annualised means within 2.2 mL/min/1.73 m</w:t>
      </w:r>
      <w:r w:rsidRPr="00417D5E">
        <w:rPr>
          <w:vertAlign w:val="superscript"/>
        </w:rPr>
        <w:t>2</w:t>
      </w:r>
      <w:r w:rsidRPr="00417D5E">
        <w:t xml:space="preserve"> per year and &gt; 50% overlap of 95% </w:t>
      </w:r>
      <w:r>
        <w:t>CIs</w:t>
      </w:r>
      <w:r w:rsidRPr="00417D5E">
        <w:t>.</w:t>
      </w:r>
    </w:p>
    <w:p w:rsidR="00CD308A" w:rsidRDefault="00B9675F" w:rsidP="00B9675F">
      <w:pPr>
        <w:pStyle w:val="ListBullet"/>
      </w:pPr>
      <w:r>
        <w:t>I</w:t>
      </w:r>
      <w:r w:rsidRPr="007A1CCB">
        <w:t>n study At1001-012 (OLE population), in the migalastat-migalastat group (</w:t>
      </w:r>
      <w:r w:rsidR="008B05D5">
        <w:t xml:space="preserve">n = </w:t>
      </w:r>
      <w:r w:rsidRPr="007A1CCB">
        <w:t>31), the mean annualised rates of change from baseline</w:t>
      </w:r>
      <w:r>
        <w:t xml:space="preserve"> to month 30 in GFR parameters were: </w:t>
      </w:r>
      <w:r w:rsidRPr="00C76D8F">
        <w:t>-1.7 mL/min/1.73 m</w:t>
      </w:r>
      <w:r w:rsidRPr="00CD14A7">
        <w:rPr>
          <w:vertAlign w:val="superscript"/>
        </w:rPr>
        <w:t>2</w:t>
      </w:r>
      <w:r w:rsidRPr="00C76D8F">
        <w:t xml:space="preserve"> (95% CI, -2.7, -0.8)</w:t>
      </w:r>
      <w:r>
        <w:t xml:space="preserve"> for </w:t>
      </w:r>
      <w:r w:rsidRPr="00C76D8F">
        <w:t>eGFR</w:t>
      </w:r>
      <w:r w:rsidRPr="004C0E31">
        <w:rPr>
          <w:sz w:val="18"/>
          <w:szCs w:val="18"/>
        </w:rPr>
        <w:t>CKD-EPI</w:t>
      </w:r>
      <w:r>
        <w:t>;</w:t>
      </w:r>
      <w:r w:rsidRPr="00A51EE5">
        <w:t xml:space="preserve"> </w:t>
      </w:r>
      <w:r w:rsidRPr="00C76D8F">
        <w:t>-</w:t>
      </w:r>
      <w:r>
        <w:t>2.3</w:t>
      </w:r>
      <w:r w:rsidRPr="00C76D8F">
        <w:t xml:space="preserve"> mL/min/1.73 m</w:t>
      </w:r>
      <w:r w:rsidRPr="00CD14A7">
        <w:rPr>
          <w:vertAlign w:val="superscript"/>
        </w:rPr>
        <w:t>2</w:t>
      </w:r>
      <w:r w:rsidRPr="00C76D8F">
        <w:t xml:space="preserve"> </w:t>
      </w:r>
      <w:r w:rsidRPr="00C76D8F">
        <w:lastRenderedPageBreak/>
        <w:t xml:space="preserve">(95% CI, </w:t>
      </w:r>
      <w:r>
        <w:t>-4.0, -0.6</w:t>
      </w:r>
      <w:r w:rsidRPr="00C76D8F">
        <w:t>)</w:t>
      </w:r>
      <w:r>
        <w:t xml:space="preserve"> for eGFR</w:t>
      </w:r>
      <w:r w:rsidRPr="00CD14A7">
        <w:rPr>
          <w:sz w:val="18"/>
          <w:szCs w:val="18"/>
        </w:rPr>
        <w:t>MDRD</w:t>
      </w:r>
      <w:r>
        <w:t xml:space="preserve">; and </w:t>
      </w:r>
      <w:r w:rsidRPr="00C76D8F">
        <w:t>-</w:t>
      </w:r>
      <w:r>
        <w:t>2</w:t>
      </w:r>
      <w:r w:rsidRPr="00C76D8F">
        <w:t>.7 mL/min/1.73 m</w:t>
      </w:r>
      <w:r w:rsidRPr="00CD14A7">
        <w:rPr>
          <w:vertAlign w:val="superscript"/>
        </w:rPr>
        <w:t>2</w:t>
      </w:r>
      <w:r w:rsidRPr="00C76D8F">
        <w:t xml:space="preserve"> (95% CI, </w:t>
      </w:r>
      <w:r>
        <w:t>-4.8, -0.7</w:t>
      </w:r>
      <w:r w:rsidRPr="00C76D8F">
        <w:t>)</w:t>
      </w:r>
      <w:r>
        <w:t xml:space="preserve"> for mGFR</w:t>
      </w:r>
      <w:r w:rsidRPr="00CD14A7">
        <w:rPr>
          <w:sz w:val="18"/>
          <w:szCs w:val="18"/>
        </w:rPr>
        <w:t>iohexol</w:t>
      </w:r>
      <w:r>
        <w:t xml:space="preserve">. The results for the eGFR parameters remained stable over 30 </w:t>
      </w:r>
      <w:proofErr w:type="gramStart"/>
      <w:r>
        <w:t>months</w:t>
      </w:r>
      <w:proofErr w:type="gramEnd"/>
      <w:r>
        <w:t xml:space="preserve"> treatment with migalastat</w:t>
      </w:r>
      <w:r w:rsidR="00CD308A">
        <w:t>.</w:t>
      </w:r>
    </w:p>
    <w:p w:rsidR="00B9675F" w:rsidRPr="002E7D84" w:rsidRDefault="00B9675F" w:rsidP="00B9675F">
      <w:pPr>
        <w:pStyle w:val="ListBullet"/>
      </w:pPr>
      <w:r w:rsidRPr="007A1CCB">
        <w:t xml:space="preserve">In </w:t>
      </w:r>
      <w:r w:rsidR="008B05D5">
        <w:t>S</w:t>
      </w:r>
      <w:r w:rsidRPr="007A1CCB">
        <w:t>tudy AT1001-011 (ITT population), in the Stage 1 (post-hoc) analysis</w:t>
      </w:r>
      <w:r w:rsidRPr="002E7D84">
        <w:t xml:space="preserve"> eGFR</w:t>
      </w:r>
      <w:r w:rsidRPr="00E45644">
        <w:rPr>
          <w:sz w:val="18"/>
          <w:szCs w:val="18"/>
        </w:rPr>
        <w:t xml:space="preserve">CKD-EPI </w:t>
      </w:r>
      <w:r w:rsidRPr="002E7D84">
        <w:t>and eGFR</w:t>
      </w:r>
      <w:r w:rsidRPr="00E45644">
        <w:rPr>
          <w:sz w:val="18"/>
          <w:szCs w:val="18"/>
        </w:rPr>
        <w:t>MDRD</w:t>
      </w:r>
      <w:r w:rsidRPr="002E7D84">
        <w:t xml:space="preserve"> did not change notably from baseline to month 6, and there were no clinically meaningful differences between the </w:t>
      </w:r>
      <w:r>
        <w:t xml:space="preserve">migalastat and placebo </w:t>
      </w:r>
      <w:r w:rsidRPr="002E7D84">
        <w:t>groups. The mean (</w:t>
      </w:r>
      <w:r>
        <w:t xml:space="preserve">± </w:t>
      </w:r>
      <w:r w:rsidRPr="002E7D84">
        <w:t xml:space="preserve">SD) annualised changes from baseline </w:t>
      </w:r>
      <w:r>
        <w:t>at</w:t>
      </w:r>
      <w:r w:rsidRPr="002E7D84">
        <w:t xml:space="preserve"> month 6 in eGFR</w:t>
      </w:r>
      <w:r w:rsidRPr="00E45644">
        <w:rPr>
          <w:sz w:val="18"/>
          <w:szCs w:val="18"/>
        </w:rPr>
        <w:t xml:space="preserve">CKD-EPI </w:t>
      </w:r>
      <w:r>
        <w:t xml:space="preserve">in </w:t>
      </w:r>
      <w:r w:rsidRPr="002E7D84">
        <w:t xml:space="preserve">the migalastat </w:t>
      </w:r>
      <w:r>
        <w:t xml:space="preserve">group </w:t>
      </w:r>
      <w:r w:rsidRPr="002E7D84">
        <w:t>(</w:t>
      </w:r>
      <w:r w:rsidR="008B05D5">
        <w:t xml:space="preserve">n = </w:t>
      </w:r>
      <w:r w:rsidRPr="002E7D84">
        <w:t xml:space="preserve">28) and </w:t>
      </w:r>
      <w:r>
        <w:t xml:space="preserve">the </w:t>
      </w:r>
      <w:r w:rsidRPr="002E7D84">
        <w:t xml:space="preserve">placebo </w:t>
      </w:r>
      <w:r>
        <w:t xml:space="preserve">group </w:t>
      </w:r>
      <w:r w:rsidRPr="002E7D84">
        <w:t>(</w:t>
      </w:r>
      <w:r w:rsidR="008B05D5">
        <w:t xml:space="preserve">n = </w:t>
      </w:r>
      <w:r w:rsidRPr="002E7D84">
        <w:t xml:space="preserve">20) were 0.3 </w:t>
      </w:r>
      <w:r w:rsidRPr="002E7D84">
        <w:softHyphen/>
      </w:r>
      <w:r>
        <w:t>±</w:t>
      </w:r>
      <w:r w:rsidRPr="002E7D84">
        <w:t xml:space="preserve"> 17.05 and 2.0 mL/min/1.73 m</w:t>
      </w:r>
      <w:r w:rsidRPr="00E45644">
        <w:rPr>
          <w:vertAlign w:val="superscript"/>
        </w:rPr>
        <w:t>2</w:t>
      </w:r>
      <w:r w:rsidRPr="002E7D84">
        <w:t>, respectively. The mean (</w:t>
      </w:r>
      <w:r>
        <w:t xml:space="preserve">± </w:t>
      </w:r>
      <w:r w:rsidRPr="002E7D84">
        <w:t xml:space="preserve">SD) annualised changes from baseline </w:t>
      </w:r>
      <w:r>
        <w:t xml:space="preserve">at </w:t>
      </w:r>
      <w:r w:rsidRPr="002E7D84">
        <w:t>month 6 in eGFR</w:t>
      </w:r>
      <w:r w:rsidRPr="00E45644">
        <w:rPr>
          <w:sz w:val="18"/>
          <w:szCs w:val="18"/>
        </w:rPr>
        <w:t>MDRD</w:t>
      </w:r>
      <w:r w:rsidRPr="002E7D84">
        <w:t xml:space="preserve"> in the migalastat </w:t>
      </w:r>
      <w:r>
        <w:t xml:space="preserve">group </w:t>
      </w:r>
      <w:r w:rsidRPr="002E7D84">
        <w:t>(</w:t>
      </w:r>
      <w:r w:rsidR="008B05D5">
        <w:t xml:space="preserve">n = </w:t>
      </w:r>
      <w:r w:rsidRPr="002E7D84">
        <w:t xml:space="preserve">28) and </w:t>
      </w:r>
      <w:r>
        <w:t xml:space="preserve">the </w:t>
      </w:r>
      <w:r w:rsidRPr="002E7D84">
        <w:t xml:space="preserve">placebo </w:t>
      </w:r>
      <w:r>
        <w:t xml:space="preserve">group </w:t>
      </w:r>
      <w:r w:rsidRPr="002E7D84">
        <w:t>(</w:t>
      </w:r>
      <w:r w:rsidR="008B05D5">
        <w:t xml:space="preserve">n = </w:t>
      </w:r>
      <w:r w:rsidRPr="002E7D84">
        <w:t xml:space="preserve">20) were 4.60 </w:t>
      </w:r>
      <w:r>
        <w:t>±</w:t>
      </w:r>
      <w:r w:rsidRPr="002E7D84">
        <w:t xml:space="preserve"> 30.175 and 1.88 </w:t>
      </w:r>
      <w:r>
        <w:t>±</w:t>
      </w:r>
      <w:r w:rsidRPr="002E7D84">
        <w:t xml:space="preserve"> 16.058 mL/min/1.73 m</w:t>
      </w:r>
      <w:r w:rsidRPr="00E45644">
        <w:rPr>
          <w:vertAlign w:val="superscript"/>
        </w:rPr>
        <w:t>2</w:t>
      </w:r>
      <w:r w:rsidRPr="002E7D84">
        <w:t>, respectively. In the OLE population, the mean (</w:t>
      </w:r>
      <w:r>
        <w:t xml:space="preserve">± </w:t>
      </w:r>
      <w:r w:rsidRPr="002E7D84">
        <w:t xml:space="preserve">SEM) annualised changes in </w:t>
      </w:r>
      <w:r>
        <w:t>eGFR</w:t>
      </w:r>
      <w:r w:rsidRPr="00E45644">
        <w:rPr>
          <w:sz w:val="18"/>
          <w:szCs w:val="18"/>
        </w:rPr>
        <w:t xml:space="preserve">CKD-EPI </w:t>
      </w:r>
      <w:r>
        <w:t>and eGFR</w:t>
      </w:r>
      <w:r w:rsidRPr="00E45644">
        <w:rPr>
          <w:sz w:val="18"/>
          <w:szCs w:val="18"/>
        </w:rPr>
        <w:t>MDRD</w:t>
      </w:r>
      <w:r>
        <w:t xml:space="preserve"> from baseline at </w:t>
      </w:r>
      <w:r w:rsidRPr="002E7D84">
        <w:t>month 24 were -0.30</w:t>
      </w:r>
      <w:r w:rsidR="006A0F1B">
        <w:t>±</w:t>
      </w:r>
      <w:r w:rsidRPr="002E7D84">
        <w:t xml:space="preserve">0.663 and 0.79 </w:t>
      </w:r>
      <w:r>
        <w:t>±</w:t>
      </w:r>
      <w:r w:rsidRPr="002E7D84">
        <w:t xml:space="preserve"> 1.027 mL/min/1.73 m</w:t>
      </w:r>
      <w:r w:rsidRPr="00E45644">
        <w:rPr>
          <w:vertAlign w:val="superscript"/>
        </w:rPr>
        <w:t>2</w:t>
      </w:r>
      <w:r w:rsidRPr="002E7D84">
        <w:t xml:space="preserve">, respectively, in subjects treated with </w:t>
      </w:r>
      <w:r>
        <w:t>migalastat (</w:t>
      </w:r>
      <w:r w:rsidR="008B05D5">
        <w:t xml:space="preserve">n = </w:t>
      </w:r>
      <w:r>
        <w:t>41) for 18 or 24 months</w:t>
      </w:r>
    </w:p>
    <w:p w:rsidR="00CD308A" w:rsidRDefault="00B9675F" w:rsidP="00B9675F">
      <w:pPr>
        <w:pStyle w:val="ListBullet"/>
      </w:pPr>
      <w:r w:rsidRPr="007A1CCB">
        <w:t xml:space="preserve">In </w:t>
      </w:r>
      <w:r w:rsidR="008B05D5">
        <w:t>S</w:t>
      </w:r>
      <w:r w:rsidRPr="007A1CCB">
        <w:t>tudy AT1001-011 (ITT population), in the Stage 1 (post-hoc) analysis</w:t>
      </w:r>
      <w:r w:rsidRPr="002E7D84">
        <w:t xml:space="preserve"> the mean annualised reduction from baseline </w:t>
      </w:r>
      <w:r>
        <w:t>at</w:t>
      </w:r>
      <w:r w:rsidRPr="002E7D84">
        <w:t xml:space="preserve"> month 6 in mGFR</w:t>
      </w:r>
      <w:r w:rsidRPr="00E45644">
        <w:rPr>
          <w:sz w:val="18"/>
          <w:szCs w:val="18"/>
        </w:rPr>
        <w:t>iohexol</w:t>
      </w:r>
      <w:r w:rsidRPr="002E7D84">
        <w:t xml:space="preserve"> was greater in the migalastat group (</w:t>
      </w:r>
      <w:r w:rsidR="008B05D5">
        <w:t xml:space="preserve">n = </w:t>
      </w:r>
      <w:r w:rsidRPr="002E7D84">
        <w:t>28) than in the placebo group (</w:t>
      </w:r>
      <w:r w:rsidR="008B05D5">
        <w:t xml:space="preserve">n = </w:t>
      </w:r>
      <w:r w:rsidRPr="002E7D84">
        <w:t xml:space="preserve">20): -14.11 </w:t>
      </w:r>
      <w:r w:rsidR="006A0F1B">
        <w:t>±</w:t>
      </w:r>
      <w:r w:rsidRPr="002E7D84">
        <w:t xml:space="preserve"> 38.632</w:t>
      </w:r>
      <w:r w:rsidR="00D87C4B">
        <w:t xml:space="preserve"> versus </w:t>
      </w:r>
      <w:r w:rsidRPr="002E7D84">
        <w:t xml:space="preserve">-1.78 </w:t>
      </w:r>
      <w:r w:rsidR="006A0F1B">
        <w:t>±</w:t>
      </w:r>
      <w:r>
        <w:t xml:space="preserve"> 22.763 </w:t>
      </w:r>
      <w:r>
        <w:softHyphen/>
      </w:r>
      <w:r w:rsidRPr="002E7D84">
        <w:t>mL/min/1.73 m</w:t>
      </w:r>
      <w:r w:rsidRPr="00E45644">
        <w:rPr>
          <w:vertAlign w:val="superscript"/>
        </w:rPr>
        <w:t>2</w:t>
      </w:r>
      <w:r w:rsidRPr="002E7D84">
        <w:t xml:space="preserve">, respectively. In the OLE population, in subjects treated with </w:t>
      </w:r>
      <w:r>
        <w:t>migalastat</w:t>
      </w:r>
      <w:r w:rsidRPr="002E7D84">
        <w:t xml:space="preserve"> (</w:t>
      </w:r>
      <w:r w:rsidR="008B05D5">
        <w:t xml:space="preserve">n = </w:t>
      </w:r>
      <w:r w:rsidRPr="002E7D84">
        <w:t>37) for 18 or 24 months the mean (</w:t>
      </w:r>
      <w:r>
        <w:t>± SEM) annualised change</w:t>
      </w:r>
      <w:r w:rsidRPr="002E7D84">
        <w:t xml:space="preserve"> in mGFR</w:t>
      </w:r>
      <w:r w:rsidRPr="00E45644">
        <w:rPr>
          <w:sz w:val="18"/>
          <w:szCs w:val="18"/>
        </w:rPr>
        <w:t>io</w:t>
      </w:r>
      <w:r>
        <w:rPr>
          <w:sz w:val="18"/>
          <w:szCs w:val="18"/>
        </w:rPr>
        <w:t>hexol</w:t>
      </w:r>
      <w:r w:rsidRPr="002E7D84">
        <w:t xml:space="preserve"> at month 24 </w:t>
      </w:r>
      <w:r>
        <w:t>was</w:t>
      </w:r>
      <w:r w:rsidRPr="002E7D84">
        <w:t xml:space="preserve"> -1.51 </w:t>
      </w:r>
      <w:r>
        <w:t>±</w:t>
      </w:r>
      <w:r w:rsidRPr="002E7D84">
        <w:t xml:space="preserve"> 1.327 mL/min/1.73 m</w:t>
      </w:r>
      <w:r w:rsidRPr="00E45644">
        <w:rPr>
          <w:vertAlign w:val="superscript"/>
        </w:rPr>
        <w:t>2</w:t>
      </w:r>
      <w:r w:rsidRPr="002E7D84">
        <w:t>.  The results indicate that mGFR</w:t>
      </w:r>
      <w:r w:rsidRPr="00E45644">
        <w:rPr>
          <w:sz w:val="18"/>
          <w:szCs w:val="18"/>
        </w:rPr>
        <w:t>io</w:t>
      </w:r>
      <w:r>
        <w:rPr>
          <w:sz w:val="18"/>
          <w:szCs w:val="18"/>
        </w:rPr>
        <w:t>hexol</w:t>
      </w:r>
      <w:r w:rsidRPr="002E7D84">
        <w:t xml:space="preserve"> remained stable over </w:t>
      </w:r>
      <w:r>
        <w:t>18 or 24 months treatment with migalastat</w:t>
      </w:r>
      <w:r w:rsidR="00CD308A">
        <w:t>.</w:t>
      </w:r>
    </w:p>
    <w:p w:rsidR="00CD308A" w:rsidRDefault="00B9675F" w:rsidP="00B9675F">
      <w:pPr>
        <w:pStyle w:val="ListBullet"/>
      </w:pPr>
      <w:r w:rsidRPr="007A1CCB">
        <w:t xml:space="preserve">In </w:t>
      </w:r>
      <w:r w:rsidR="008B05D5">
        <w:t>S</w:t>
      </w:r>
      <w:r w:rsidRPr="007A1CCB">
        <w:t>tudy AT1001-011, the mean annualised reductions at month 24 in eGF</w:t>
      </w:r>
      <w:r w:rsidRPr="007A1CCB">
        <w:rPr>
          <w:sz w:val="18"/>
          <w:szCs w:val="18"/>
        </w:rPr>
        <w:t xml:space="preserve">RCKD-EPI </w:t>
      </w:r>
      <w:r w:rsidRPr="007A1CCB">
        <w:t>and mGFR</w:t>
      </w:r>
      <w:r w:rsidRPr="007A1CCB">
        <w:rPr>
          <w:sz w:val="18"/>
          <w:szCs w:val="18"/>
        </w:rPr>
        <w:t>iohexol</w:t>
      </w:r>
      <w:r w:rsidRPr="007A1CCB">
        <w:t xml:space="preserve"> after 18 or 24 months of treatment with migalastat were greater in male subjects than in female subjects, and greater in subjects with baseline urine protein &gt; 1000 mg/24 h</w:t>
      </w:r>
      <w:r w:rsidR="00CD308A">
        <w:t>.</w:t>
      </w:r>
    </w:p>
    <w:p w:rsidR="00CD308A" w:rsidRDefault="00B9675F" w:rsidP="00B9675F">
      <w:pPr>
        <w:pStyle w:val="ListBullet"/>
      </w:pPr>
      <w:r w:rsidRPr="007A1CCB">
        <w:t>In subjects from study AT1001-011 continuing treatment with migalastat in the long-term extension study AT1001-041, eGFR</w:t>
      </w:r>
      <w:r w:rsidRPr="007A1CCB">
        <w:rPr>
          <w:sz w:val="18"/>
          <w:szCs w:val="18"/>
        </w:rPr>
        <w:t xml:space="preserve">CKD-EPI </w:t>
      </w:r>
      <w:r w:rsidRPr="007A1CCB">
        <w:t>remained stable over an average of 36 months (range: 18, 54 months). The mean annualised rate of change in eGFR</w:t>
      </w:r>
      <w:r w:rsidRPr="007A1CCB">
        <w:rPr>
          <w:sz w:val="18"/>
          <w:szCs w:val="18"/>
        </w:rPr>
        <w:t xml:space="preserve">CKD-EPI </w:t>
      </w:r>
      <w:r w:rsidRPr="007A1CCB">
        <w:t>over this period in subjects continuing treatment (</w:t>
      </w:r>
      <w:r w:rsidR="008B05D5">
        <w:t xml:space="preserve">n = </w:t>
      </w:r>
      <w:r w:rsidRPr="007A1CCB">
        <w:t>41) was -0.77 (95% CI: -1.9. 0.39) mL/min/1.73 m</w:t>
      </w:r>
      <w:r w:rsidRPr="007A1CCB">
        <w:rPr>
          <w:vertAlign w:val="superscript"/>
        </w:rPr>
        <w:t>2</w:t>
      </w:r>
      <w:r w:rsidRPr="007A1CCB">
        <w:t>. Measured GFR (mGFR</w:t>
      </w:r>
      <w:r w:rsidRPr="007A1CCB">
        <w:rPr>
          <w:sz w:val="18"/>
          <w:szCs w:val="18"/>
        </w:rPr>
        <w:t>iohexol</w:t>
      </w:r>
      <w:r w:rsidRPr="007A1CCB">
        <w:t>) was not assessed in study AT1001-041</w:t>
      </w:r>
      <w:r w:rsidR="00CD308A">
        <w:t>.</w:t>
      </w:r>
    </w:p>
    <w:p w:rsidR="00B9675F" w:rsidRPr="0040361F" w:rsidRDefault="00B9675F" w:rsidP="00B9675F">
      <w:pPr>
        <w:pStyle w:val="Heading5"/>
      </w:pPr>
      <w:r w:rsidRPr="0040361F">
        <w:t>Renal histology</w:t>
      </w:r>
    </w:p>
    <w:p w:rsidR="00B9675F" w:rsidRPr="007A1CCB" w:rsidRDefault="00B9675F" w:rsidP="00B9675F">
      <w:pPr>
        <w:pStyle w:val="ListBullet"/>
      </w:pPr>
      <w:r>
        <w:t xml:space="preserve">There were no data </w:t>
      </w:r>
      <w:r w:rsidRPr="007A1CCB">
        <w:t xml:space="preserve">on renal histology in </w:t>
      </w:r>
      <w:r w:rsidR="008B05D5">
        <w:t>S</w:t>
      </w:r>
      <w:r w:rsidRPr="007A1CCB">
        <w:t xml:space="preserve">tudy AT1001-012. Therefore, all data relating to renal histology are from </w:t>
      </w:r>
      <w:r w:rsidR="008B05D5">
        <w:t>S</w:t>
      </w:r>
      <w:r w:rsidRPr="007A1CCB">
        <w:t>tudy AT1001-011. The results from this study indicated that migalastat can reduce the renal burden arising from IC inclusions in renal cells, and that the reduction is durable.</w:t>
      </w:r>
    </w:p>
    <w:p w:rsidR="00CD308A" w:rsidRDefault="00B9675F" w:rsidP="00B9675F">
      <w:pPr>
        <w:pStyle w:val="ListBullet"/>
      </w:pPr>
      <w:r w:rsidRPr="007A1CCB">
        <w:t xml:space="preserve">In </w:t>
      </w:r>
      <w:r w:rsidR="008B05D5">
        <w:t>S</w:t>
      </w:r>
      <w:r w:rsidRPr="007A1CCB">
        <w:t xml:space="preserve">tudy AT1001-011 (ITT population), the Stage 1 (post-hoc) </w:t>
      </w:r>
      <w:r>
        <w:t>analysis showed that migalastat (</w:t>
      </w:r>
      <w:r w:rsidR="008B05D5">
        <w:t xml:space="preserve">n = </w:t>
      </w:r>
      <w:r>
        <w:t>25) statistically significantly reduced the mean (</w:t>
      </w:r>
      <w:r w:rsidR="006A0F1B">
        <w:t>±</w:t>
      </w:r>
      <w:r>
        <w:t>SD) number of IC GL-3 inclusions compared with placebo (</w:t>
      </w:r>
      <w:r w:rsidR="008B05D5">
        <w:t xml:space="preserve">n = </w:t>
      </w:r>
      <w:r>
        <w:t xml:space="preserve">20) from baseline to month 6: -0.250 </w:t>
      </w:r>
      <w:r w:rsidR="006A0F1B">
        <w:t>±</w:t>
      </w:r>
      <w:r w:rsidR="008B05D5">
        <w:t> </w:t>
      </w:r>
      <w:r>
        <w:t>0.5126</w:t>
      </w:r>
      <w:r w:rsidR="00D87C4B">
        <w:t xml:space="preserve"> versus </w:t>
      </w:r>
      <w:r>
        <w:t>+0.071</w:t>
      </w:r>
      <w:r w:rsidR="008B05D5">
        <w:t xml:space="preserve"> </w:t>
      </w:r>
      <w:r w:rsidR="006A0F1B">
        <w:t>±</w:t>
      </w:r>
      <w:r w:rsidR="008B05D5">
        <w:t xml:space="preserve"> </w:t>
      </w:r>
      <w:r>
        <w:t xml:space="preserve">0.5627, respectively; difference in LS means = -0.3 (95% CI: -0.6, -0.1), </w:t>
      </w:r>
      <w:r w:rsidRPr="006A0F1B">
        <w:t>p</w:t>
      </w:r>
      <w:r w:rsidR="008B05D5">
        <w:t xml:space="preserve"> </w:t>
      </w:r>
      <w:r w:rsidRPr="006A0F1B">
        <w:t>=</w:t>
      </w:r>
      <w:r w:rsidR="008B05D5">
        <w:t xml:space="preserve"> </w:t>
      </w:r>
      <w:r w:rsidRPr="006A0F1B">
        <w:t>0.0078</w:t>
      </w:r>
      <w:r w:rsidR="00CD308A">
        <w:t>.</w:t>
      </w:r>
    </w:p>
    <w:p w:rsidR="00CD308A" w:rsidRDefault="00B9675F" w:rsidP="00B9675F">
      <w:pPr>
        <w:pStyle w:val="ListBullet"/>
      </w:pPr>
      <w:r w:rsidRPr="006A0F1B">
        <w:t xml:space="preserve">In </w:t>
      </w:r>
      <w:r w:rsidR="008B05D5">
        <w:t>S</w:t>
      </w:r>
      <w:r w:rsidR="008B05D5" w:rsidRPr="006A0F1B">
        <w:t xml:space="preserve">tudy </w:t>
      </w:r>
      <w:r w:rsidRPr="006A0F1B">
        <w:t>AT1001-011, the Stage 2 (pre-specified) analysis showed that in subjects in the placebo-migalastat group who switched from placebo to migalastat at month 6 (</w:t>
      </w:r>
      <w:r w:rsidR="008B05D5">
        <w:t xml:space="preserve">n = </w:t>
      </w:r>
      <w:r w:rsidRPr="006A0F1B">
        <w:t>20) the change from baseline in the mean (</w:t>
      </w:r>
      <w:r w:rsidR="006A0F1B">
        <w:t>±</w:t>
      </w:r>
      <w:r w:rsidRPr="006A0F1B">
        <w:t>SD) number of IC GL-3 inclusions at month 12 (</w:t>
      </w:r>
      <w:r w:rsidR="008B05D5">
        <w:t xml:space="preserve">n = </w:t>
      </w:r>
      <w:r w:rsidRPr="006A0F1B">
        <w:t xml:space="preserve">17) was statistically significantly lower than at month 6: -0.243 </w:t>
      </w:r>
      <w:r w:rsidR="006A0F1B">
        <w:t>±</w:t>
      </w:r>
      <w:r w:rsidRPr="006A0F1B">
        <w:t xml:space="preserve"> 0.4038</w:t>
      </w:r>
      <w:r w:rsidR="00D87C4B">
        <w:t xml:space="preserve"> versus </w:t>
      </w:r>
      <w:r w:rsidRPr="006A0F1B">
        <w:t>+0.071</w:t>
      </w:r>
      <w:r w:rsidR="008B05D5">
        <w:t xml:space="preserve"> </w:t>
      </w:r>
      <w:r w:rsidR="006A0F1B">
        <w:t>±</w:t>
      </w:r>
      <w:r w:rsidR="008B05D5">
        <w:t xml:space="preserve"> </w:t>
      </w:r>
      <w:r w:rsidRPr="006A0F1B">
        <w:t xml:space="preserve">0.5627, respectively; difference in LS means = </w:t>
      </w:r>
      <w:r w:rsidR="008B05D5">
        <w:noBreakHyphen/>
      </w:r>
      <w:r w:rsidRPr="006A0F1B">
        <w:t>0.320 (95% CI: -0.5719, -0.0677), p</w:t>
      </w:r>
      <w:r w:rsidR="008B05D5">
        <w:t xml:space="preserve"> </w:t>
      </w:r>
      <w:r w:rsidRPr="006A0F1B">
        <w:t>=</w:t>
      </w:r>
      <w:r w:rsidR="008B05D5">
        <w:t xml:space="preserve"> </w:t>
      </w:r>
      <w:r w:rsidRPr="006A0F1B">
        <w:t>0.014. In subjects in the migalastat-migalastat group, changes in the mean number of IC GL-3 inclusions were similar for baseline to month 6 and baseline to month 12</w:t>
      </w:r>
      <w:r w:rsidR="00CD308A">
        <w:t>.</w:t>
      </w:r>
    </w:p>
    <w:p w:rsidR="00CD308A" w:rsidRDefault="00B9675F" w:rsidP="00B9675F">
      <w:pPr>
        <w:pStyle w:val="ListBullet"/>
      </w:pPr>
      <w:r w:rsidRPr="006A0F1B">
        <w:lastRenderedPageBreak/>
        <w:t xml:space="preserve">In </w:t>
      </w:r>
      <w:r w:rsidR="008B05D5">
        <w:t>S</w:t>
      </w:r>
      <w:r w:rsidRPr="006A0F1B">
        <w:t>tudy AT1001-011, in the MMRM analysis in the mITT population during Stages 1 and 2 (</w:t>
      </w:r>
      <w:r w:rsidR="008B05D5">
        <w:t xml:space="preserve">n = </w:t>
      </w:r>
      <w:r w:rsidRPr="006A0F1B">
        <w:t>45) there was a statistically significant greater percentage of ICs with zero GL-3 inclusions after 6 months treatment with migalastat compared with 6 months</w:t>
      </w:r>
      <w:r>
        <w:t xml:space="preserve"> treatment with placebo: difference in LS means = 5.7% (95% CI: 1.20, 10.11); p</w:t>
      </w:r>
      <w:r w:rsidR="008B05D5">
        <w:t> </w:t>
      </w:r>
      <w:r>
        <w:t>=</w:t>
      </w:r>
      <w:r w:rsidR="008B05D5">
        <w:t> </w:t>
      </w:r>
      <w:r>
        <w:t>0.014</w:t>
      </w:r>
      <w:r w:rsidR="00CD308A">
        <w:t>.</w:t>
      </w:r>
    </w:p>
    <w:p w:rsidR="00B9675F" w:rsidRDefault="00B9675F" w:rsidP="00B9675F">
      <w:pPr>
        <w:pStyle w:val="ListBullet"/>
      </w:pPr>
      <w:r w:rsidRPr="006A0F1B">
        <w:t xml:space="preserve">In </w:t>
      </w:r>
      <w:r w:rsidR="008B05D5">
        <w:t>S</w:t>
      </w:r>
      <w:r w:rsidR="008B05D5" w:rsidRPr="006A0F1B">
        <w:t xml:space="preserve">tudy </w:t>
      </w:r>
      <w:r w:rsidRPr="006A0F1B">
        <w:t>AT1001-011, in an exploratory qualitative assessment of GL-3 inclusions in renal cells (other than ICs) based on paired samples, after 12 months treatment with migalastat (migalastat-migalastat group) subjects in the Stage 2 population (</w:t>
      </w:r>
      <w:r w:rsidR="008B05D5">
        <w:t xml:space="preserve">n = </w:t>
      </w:r>
      <w:r w:rsidRPr="006A0F1B">
        <w:t>27) had reductions in GL-3 inclusions of 22%, 48% and 26% in podocytes, mesangial cells, and endothelial cells, respectively. No subjects experienced increases in GL-3 inclusions in podocytes, mesangial cells, or endothelial cells after</w:t>
      </w:r>
      <w:r>
        <w:t xml:space="preserve"> 12 months treatment with migalastat. The exploratory results suggest that migalastat can reduce the GL-3 burden in podocytes, mesangial, and endothelial renal cells.</w:t>
      </w:r>
    </w:p>
    <w:p w:rsidR="00B9675F" w:rsidRDefault="00B9675F" w:rsidP="00B9675F">
      <w:pPr>
        <w:pStyle w:val="Heading5"/>
      </w:pPr>
      <w:r w:rsidRPr="00A36937">
        <w:t>24-hour urine protein, albumin and creatinine</w:t>
      </w:r>
    </w:p>
    <w:p w:rsidR="00CD308A" w:rsidRDefault="00B9675F" w:rsidP="000A5537">
      <w:pPr>
        <w:tabs>
          <w:tab w:val="left" w:pos="284"/>
        </w:tabs>
      </w:pPr>
      <w:r w:rsidRPr="00C05B99">
        <w:t xml:space="preserve">Most subjects in </w:t>
      </w:r>
      <w:r w:rsidR="008B05D5">
        <w:t>S</w:t>
      </w:r>
      <w:r w:rsidR="008B05D5" w:rsidRPr="006A0F1B">
        <w:t xml:space="preserve">tudies </w:t>
      </w:r>
      <w:r w:rsidRPr="006A0F1B">
        <w:t xml:space="preserve">AT1001-011 and AT1001-012 had proteinuria at baseline. In </w:t>
      </w:r>
      <w:r w:rsidR="008B05D5">
        <w:t>S</w:t>
      </w:r>
      <w:r w:rsidR="008B05D5" w:rsidRPr="006A0F1B">
        <w:t xml:space="preserve">tudy </w:t>
      </w:r>
      <w:r w:rsidRPr="006A0F1B">
        <w:t xml:space="preserve">AT1001-012, 33 (58%) subjects had proteinuria ≥ 100 mg / 24 h. In </w:t>
      </w:r>
      <w:r w:rsidR="008B05D5">
        <w:t>S</w:t>
      </w:r>
      <w:r w:rsidR="008B05D5" w:rsidRPr="006A0F1B">
        <w:t xml:space="preserve">tudy </w:t>
      </w:r>
      <w:r w:rsidRPr="006A0F1B">
        <w:t>AT1001-011, 44 (66%) subjects had proteinuria &gt; 150 mg/24 h, 22 (33%) subjects had proteinuria &gt; 300 mg/ 24 h, and 6 (9%) subjects</w:t>
      </w:r>
      <w:r w:rsidRPr="00C05B99">
        <w:t xml:space="preserve"> had proteinuria &gt;</w:t>
      </w:r>
      <w:r>
        <w:t xml:space="preserve"> 1000 mg/</w:t>
      </w:r>
      <w:r w:rsidRPr="00C05B99">
        <w:t>24 h. In the majority of subjects with baseline proteinuria &lt;</w:t>
      </w:r>
      <w:r>
        <w:t xml:space="preserve"> 300 mg/24</w:t>
      </w:r>
      <w:r w:rsidR="008B05D5">
        <w:t xml:space="preserve"> </w:t>
      </w:r>
      <w:r w:rsidRPr="00C05B99">
        <w:t xml:space="preserve">h, proteinuria remained stable during treatment with migalastat for 18 to 24 months. However, migalastat does not appear to have a beneficial effect on higher levels of proteinuria (≥ 300 mg/24 h). </w:t>
      </w:r>
      <w:r>
        <w:t xml:space="preserve">In a </w:t>
      </w:r>
      <w:r w:rsidRPr="00991BB5">
        <w:rPr>
          <w:i/>
        </w:rPr>
        <w:t>post-hoc</w:t>
      </w:r>
      <w:r w:rsidRPr="00C05B99">
        <w:t xml:space="preserve"> analysis in which the effect of migalastat was stratified </w:t>
      </w:r>
      <w:r>
        <w:t>by sex and baseline proteinuria, c</w:t>
      </w:r>
      <w:r w:rsidRPr="00C05B99">
        <w:t>hange in eGFR showed more improvement in patients with low and moderate levels of proteinuria at baselin</w:t>
      </w:r>
      <w:r>
        <w:t xml:space="preserve">e, especially in women </w:t>
      </w:r>
      <w:r w:rsidRPr="00C05B99">
        <w:t>(see below)</w:t>
      </w:r>
      <w:r w:rsidR="00CD308A">
        <w:t>.</w:t>
      </w:r>
    </w:p>
    <w:p w:rsidR="00CD308A" w:rsidRDefault="00B9675F" w:rsidP="00B9675F">
      <w:pPr>
        <w:pStyle w:val="TableTitle"/>
      </w:pPr>
      <w:bookmarkStart w:id="148" w:name="_Toc461981064"/>
      <w:r w:rsidRPr="00991BB5">
        <w:t>Table</w:t>
      </w:r>
      <w:r>
        <w:t xml:space="preserve"> 8</w:t>
      </w:r>
      <w:r w:rsidRPr="00991BB5">
        <w:t>: Annualised eGFR slopes stratified by sex and 24-hour urine protein level at baseline in migalastat treated patients</w:t>
      </w:r>
      <w:bookmarkEnd w:id="148"/>
      <w:r w:rsidR="00CD308A">
        <w:t>.</w:t>
      </w:r>
    </w:p>
    <w:p w:rsidR="00B9675F" w:rsidRPr="009A1E24" w:rsidRDefault="00B9675F" w:rsidP="00B9675F">
      <w:pPr>
        <w:kinsoku w:val="0"/>
        <w:overflowPunct w:val="0"/>
        <w:autoSpaceDE w:val="0"/>
        <w:autoSpaceDN w:val="0"/>
        <w:adjustRightInd w:val="0"/>
        <w:spacing w:before="5" w:after="0" w:line="240" w:lineRule="auto"/>
        <w:rPr>
          <w:rFonts w:ascii="Times New Roman" w:eastAsiaTheme="minorHAnsi" w:hAnsi="Times New Roman"/>
          <w:sz w:val="2"/>
          <w:szCs w:val="2"/>
        </w:rPr>
      </w:pPr>
    </w:p>
    <w:p w:rsidR="00B9675F" w:rsidRPr="009A1E24" w:rsidRDefault="00B9675F" w:rsidP="00B9675F">
      <w:pPr>
        <w:kinsoku w:val="0"/>
        <w:overflowPunct w:val="0"/>
        <w:autoSpaceDE w:val="0"/>
        <w:autoSpaceDN w:val="0"/>
        <w:adjustRightInd w:val="0"/>
        <w:spacing w:before="0" w:after="0" w:line="200" w:lineRule="atLeast"/>
        <w:ind w:left="106"/>
        <w:rPr>
          <w:rFonts w:ascii="Times New Roman" w:eastAsiaTheme="minorHAnsi" w:hAnsi="Times New Roman"/>
          <w:sz w:val="20"/>
          <w:szCs w:val="20"/>
        </w:rPr>
      </w:pPr>
      <w:r>
        <w:rPr>
          <w:rFonts w:ascii="Times New Roman" w:eastAsiaTheme="minorHAnsi" w:hAnsi="Times New Roman"/>
          <w:noProof/>
          <w:sz w:val="20"/>
          <w:szCs w:val="20"/>
          <w:lang w:eastAsia="en-AU"/>
        </w:rPr>
        <w:drawing>
          <wp:inline distT="0" distB="0" distL="0" distR="0" wp14:anchorId="381765F7" wp14:editId="74AF783D">
            <wp:extent cx="4244400" cy="2674800"/>
            <wp:effectExtent l="0" t="0" r="3810" b="0"/>
            <wp:docPr id="249" name="Picture 249" descr="Table 8: Annualised eGFR slopes stratified by sex and 24-hour urine protein level at baseline in migalastat treated pat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4400" cy="2674800"/>
                    </a:xfrm>
                    <a:prstGeom prst="rect">
                      <a:avLst/>
                    </a:prstGeom>
                    <a:noFill/>
                    <a:ln>
                      <a:noFill/>
                    </a:ln>
                  </pic:spPr>
                </pic:pic>
              </a:graphicData>
            </a:graphic>
          </wp:inline>
        </w:drawing>
      </w:r>
    </w:p>
    <w:p w:rsidR="00CD308A" w:rsidRDefault="00B9675F" w:rsidP="00555A51">
      <w:pPr>
        <w:pStyle w:val="ListBullet"/>
      </w:pPr>
      <w:r w:rsidRPr="00574ED8">
        <w:t xml:space="preserve">In </w:t>
      </w:r>
      <w:r w:rsidR="008B05D5">
        <w:t>S</w:t>
      </w:r>
      <w:r w:rsidR="008B05D5" w:rsidRPr="006A0F1B">
        <w:t xml:space="preserve">tudy </w:t>
      </w:r>
      <w:r w:rsidRPr="006A0F1B">
        <w:t>AT1001-012 (mITT population), the mean</w:t>
      </w:r>
      <w:r w:rsidRPr="006A0F1B">
        <w:softHyphen/>
        <w:t xml:space="preserve"> (</w:t>
      </w:r>
      <w:r w:rsidR="006A0F1B" w:rsidRPr="006A0F1B">
        <w:t>±</w:t>
      </w:r>
      <w:r w:rsidRPr="006A0F1B">
        <w:t xml:space="preserve">SD) baseline 24-hour urine protein level was 259.6 </w:t>
      </w:r>
      <w:r w:rsidR="006A0F1B" w:rsidRPr="006A0F1B">
        <w:t>±</w:t>
      </w:r>
      <w:r w:rsidRPr="006A0F1B">
        <w:t xml:space="preserve"> 422.22 mg/day in the migalastat group and 417.4 </w:t>
      </w:r>
      <w:r w:rsidR="006A0F1B" w:rsidRPr="006A0F1B">
        <w:t>±</w:t>
      </w:r>
      <w:r w:rsidRPr="006A0F1B">
        <w:t xml:space="preserve"> 735.45 mg/day in the ERT group. The mean</w:t>
      </w:r>
      <w:r w:rsidRPr="00574ED8">
        <w:t xml:space="preserve"> </w:t>
      </w:r>
      <w:r w:rsidRPr="00574ED8">
        <w:softHyphen/>
        <w:t xml:space="preserve"> (</w:t>
      </w:r>
      <w:r w:rsidR="006A0F1B">
        <w:t>±</w:t>
      </w:r>
      <w:r w:rsidRPr="00574ED8">
        <w:t xml:space="preserve">SD) increase from baseline to month 18 was lower in the migalastat group than in the ERT group (49.2 </w:t>
      </w:r>
      <w:r w:rsidR="006A0F1B">
        <w:t>±</w:t>
      </w:r>
      <w:r w:rsidRPr="00574ED8">
        <w:t xml:space="preserve"> 199.53 and 194.5 </w:t>
      </w:r>
      <w:r w:rsidR="006A0F1B">
        <w:t>±</w:t>
      </w:r>
      <w:r w:rsidRPr="00574ED8">
        <w:t xml:space="preserve"> 690.77 mg/day, respectively). The mean (</w:t>
      </w:r>
      <w:r w:rsidR="006A0F1B">
        <w:t>±</w:t>
      </w:r>
      <w:r w:rsidRPr="00574ED8">
        <w:t xml:space="preserve">SD) change from baseline to month 18 in the 24-hour </w:t>
      </w:r>
      <w:r w:rsidRPr="004A5C9D">
        <w:t>urine albumin</w:t>
      </w:r>
      <w:proofErr w:type="gramStart"/>
      <w:r w:rsidRPr="004A5C9D">
        <w:t>:creatinine</w:t>
      </w:r>
      <w:proofErr w:type="gramEnd"/>
      <w:r w:rsidRPr="004A5C9D">
        <w:t xml:space="preserve"> ratio was smaller in the migalastat group than in the placebo group (5.8 </w:t>
      </w:r>
      <w:r w:rsidR="006A0F1B" w:rsidRPr="004A5C9D">
        <w:t>±</w:t>
      </w:r>
      <w:r w:rsidRPr="004A5C9D">
        <w:t xml:space="preserve"> 19.66 and 14.3 </w:t>
      </w:r>
      <w:r w:rsidR="006A0F1B" w:rsidRPr="004A5C9D">
        <w:t>±</w:t>
      </w:r>
      <w:r w:rsidRPr="004A5C9D">
        <w:t xml:space="preserve"> 40.20 mg/mmol, respectively)</w:t>
      </w:r>
      <w:r w:rsidR="00CD308A">
        <w:t>.</w:t>
      </w:r>
    </w:p>
    <w:p w:rsidR="00CD308A" w:rsidRDefault="00B9675F" w:rsidP="00555A51">
      <w:pPr>
        <w:pStyle w:val="ListBullet"/>
      </w:pPr>
      <w:r w:rsidRPr="004A5C9D">
        <w:lastRenderedPageBreak/>
        <w:t xml:space="preserve">In </w:t>
      </w:r>
      <w:r w:rsidR="008B05D5">
        <w:t>S</w:t>
      </w:r>
      <w:r w:rsidR="008B05D5" w:rsidRPr="004A5C9D">
        <w:t xml:space="preserve">tudy </w:t>
      </w:r>
      <w:r w:rsidRPr="004A5C9D">
        <w:t>AT1001-012, in the OLE population the mean (</w:t>
      </w:r>
      <w:r w:rsidR="006A0F1B" w:rsidRPr="004A5C9D">
        <w:t>±</w:t>
      </w:r>
      <w:r w:rsidRPr="004A5C9D">
        <w:t xml:space="preserve">SD) baseline and month 30 24-hour urine protein levels in the migalastat-migalastat group were 269 </w:t>
      </w:r>
      <w:r w:rsidR="006A0F1B" w:rsidRPr="004A5C9D">
        <w:t>±</w:t>
      </w:r>
      <w:r w:rsidRPr="004A5C9D">
        <w:t xml:space="preserve"> 440 mg/day and 350 </w:t>
      </w:r>
      <w:r w:rsidR="006A0F1B" w:rsidRPr="004A5C9D">
        <w:t>±</w:t>
      </w:r>
      <w:r w:rsidRPr="004A5C9D">
        <w:t xml:space="preserve"> 599 mg/day, respectively. The data indicate that the mean 24-hour urine protein levels remained relatively stable from baseline to month 30 in subjects treated with migalastat over this period. The mean (</w:t>
      </w:r>
      <w:r w:rsidR="006A0F1B" w:rsidRPr="004A5C9D">
        <w:t>±</w:t>
      </w:r>
      <w:r w:rsidRPr="004A5C9D">
        <w:t xml:space="preserve">SD) baseline and month 30 24-hour urine albumin-creatinine ratios in the migalastat-migalastat group were 19.0 </w:t>
      </w:r>
      <w:r w:rsidR="006A0F1B" w:rsidRPr="004A5C9D">
        <w:t>±</w:t>
      </w:r>
      <w:r w:rsidRPr="004A5C9D">
        <w:t xml:space="preserve"> 38.4 and 38.5 </w:t>
      </w:r>
      <w:r w:rsidR="006A0F1B" w:rsidRPr="004A5C9D">
        <w:t>±</w:t>
      </w:r>
      <w:r w:rsidRPr="004A5C9D">
        <w:t xml:space="preserve"> 100.5 mg/mmol, respectively</w:t>
      </w:r>
      <w:r w:rsidR="00CD308A">
        <w:t>.</w:t>
      </w:r>
    </w:p>
    <w:p w:rsidR="00CD308A"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008B05D5" w:rsidRPr="004A5C9D">
        <w:rPr>
          <w:rFonts w:cs="Times"/>
          <w:lang w:val="en-US"/>
        </w:rPr>
        <w:t xml:space="preserve">tudy </w:t>
      </w:r>
      <w:r w:rsidRPr="004A5C9D">
        <w:rPr>
          <w:rFonts w:cs="Times"/>
          <w:lang w:val="en-US"/>
        </w:rPr>
        <w:t>AT1001-011 (ITT population), in the Stage 1 (post-hoc) analysis the LS</w:t>
      </w:r>
      <w:r w:rsidR="008B05D5">
        <w:rPr>
          <w:rFonts w:cs="Times"/>
          <w:lang w:val="en-US"/>
        </w:rPr>
        <w:t> </w:t>
      </w:r>
      <w:r w:rsidRPr="004A5C9D">
        <w:rPr>
          <w:rFonts w:cs="Times"/>
          <w:lang w:val="en-US"/>
        </w:rPr>
        <w:t>mean 24-hour urine protein concentration increased from baseline to month 6 to a notably greater extent in the migalastat group (</w:t>
      </w:r>
      <w:r w:rsidR="008B05D5">
        <w:rPr>
          <w:rFonts w:cs="Times"/>
          <w:lang w:val="en-US"/>
        </w:rPr>
        <w:t xml:space="preserve">n = </w:t>
      </w:r>
      <w:r w:rsidRPr="004A5C9D">
        <w:rPr>
          <w:rFonts w:cs="Times"/>
          <w:lang w:val="en-US"/>
        </w:rPr>
        <w:t>28) than in the placebo group (</w:t>
      </w:r>
      <w:r w:rsidR="008B05D5">
        <w:rPr>
          <w:rFonts w:cs="Times"/>
          <w:lang w:val="en-US"/>
        </w:rPr>
        <w:t xml:space="preserve">n = </w:t>
      </w:r>
      <w:r w:rsidRPr="004A5C9D">
        <w:rPr>
          <w:rFonts w:cs="Times"/>
          <w:lang w:val="en-US"/>
        </w:rPr>
        <w:t>22), but the difference in the LS means was not statistically significant (+69.3</w:t>
      </w:r>
      <w:r w:rsidR="00D87C4B">
        <w:rPr>
          <w:rFonts w:cs="Times"/>
          <w:lang w:val="en-US"/>
        </w:rPr>
        <w:t xml:space="preserve"> versus </w:t>
      </w:r>
      <w:r w:rsidRPr="004A5C9D">
        <w:rPr>
          <w:rFonts w:cs="Times"/>
          <w:lang w:val="en-US"/>
        </w:rPr>
        <w:t>+9.6 mg/24</w:t>
      </w:r>
      <w:r w:rsidR="008B05D5">
        <w:rPr>
          <w:rFonts w:cs="Times"/>
          <w:lang w:val="en-US"/>
        </w:rPr>
        <w:t xml:space="preserve"> </w:t>
      </w:r>
      <w:r w:rsidRPr="004A5C9D">
        <w:rPr>
          <w:rFonts w:cs="Times"/>
          <w:lang w:val="en-US"/>
        </w:rPr>
        <w:t>h; p</w:t>
      </w:r>
      <w:r w:rsidR="008B05D5">
        <w:rPr>
          <w:rFonts w:cs="Times"/>
          <w:lang w:val="en-US"/>
        </w:rPr>
        <w:t xml:space="preserve"> </w:t>
      </w:r>
      <w:r w:rsidRPr="004A5C9D">
        <w:rPr>
          <w:rFonts w:cs="Times"/>
          <w:lang w:val="en-US"/>
        </w:rPr>
        <w:t>=</w:t>
      </w:r>
      <w:r w:rsidR="008B05D5">
        <w:rPr>
          <w:rFonts w:cs="Times"/>
          <w:lang w:val="en-US"/>
        </w:rPr>
        <w:t xml:space="preserve"> </w:t>
      </w:r>
      <w:r w:rsidRPr="004A5C9D">
        <w:rPr>
          <w:rFonts w:cs="Times"/>
          <w:lang w:val="en-US"/>
        </w:rPr>
        <w:t>0.5234</w:t>
      </w:r>
      <w:r w:rsidR="00CD308A">
        <w:rPr>
          <w:rFonts w:cs="Times"/>
          <w:lang w:val="en-US"/>
        </w:rPr>
        <w:t>.</w:t>
      </w:r>
    </w:p>
    <w:p w:rsidR="00CD308A"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008B05D5" w:rsidRPr="004A5C9D">
        <w:rPr>
          <w:rFonts w:cs="Times"/>
          <w:lang w:val="en-US"/>
        </w:rPr>
        <w:t xml:space="preserve">tudy </w:t>
      </w:r>
      <w:r w:rsidRPr="004A5C9D">
        <w:rPr>
          <w:rFonts w:cs="Times"/>
          <w:lang w:val="en-US"/>
        </w:rPr>
        <w:t>AT1001-011 (ITT population), in the Stage 1 (post-hoc) analysis the LS mean 24-hour urine creatinine concentration increased from baseline to month 6 in the migalastat group (</w:t>
      </w:r>
      <w:r w:rsidR="008B05D5">
        <w:rPr>
          <w:rFonts w:cs="Times"/>
          <w:lang w:val="en-US"/>
        </w:rPr>
        <w:t xml:space="preserve">n = </w:t>
      </w:r>
      <w:r w:rsidRPr="004A5C9D">
        <w:rPr>
          <w:rFonts w:cs="Times"/>
          <w:lang w:val="en-US"/>
        </w:rPr>
        <w:t>28) and decreased in the placebo group (</w:t>
      </w:r>
      <w:r w:rsidR="008B05D5">
        <w:rPr>
          <w:rFonts w:cs="Times"/>
          <w:lang w:val="en-US"/>
        </w:rPr>
        <w:t xml:space="preserve">n = </w:t>
      </w:r>
      <w:r w:rsidRPr="004A5C9D">
        <w:rPr>
          <w:rFonts w:cs="Times"/>
          <w:lang w:val="en-US"/>
        </w:rPr>
        <w:t>22), but the difference in the LS means between the two groups was not statistically significant (+0.082</w:t>
      </w:r>
      <w:r w:rsidR="00D87C4B">
        <w:rPr>
          <w:rFonts w:cs="Times"/>
          <w:lang w:val="en-US"/>
        </w:rPr>
        <w:t xml:space="preserve"> versus </w:t>
      </w:r>
      <w:r w:rsidRPr="004A5C9D">
        <w:rPr>
          <w:rFonts w:cs="Times"/>
          <w:lang w:val="en-US"/>
        </w:rPr>
        <w:t>-0.567 mmol/24</w:t>
      </w:r>
      <w:r w:rsidR="008B05D5">
        <w:rPr>
          <w:rFonts w:cs="Times"/>
          <w:lang w:val="en-US"/>
        </w:rPr>
        <w:t xml:space="preserve"> </w:t>
      </w:r>
      <w:r w:rsidRPr="004A5C9D">
        <w:rPr>
          <w:rFonts w:cs="Times"/>
          <w:lang w:val="en-US"/>
        </w:rPr>
        <w:t>h; p</w:t>
      </w:r>
      <w:r w:rsidR="008B05D5">
        <w:rPr>
          <w:rFonts w:cs="Times"/>
          <w:lang w:val="en-US"/>
        </w:rPr>
        <w:t xml:space="preserve"> </w:t>
      </w:r>
      <w:r w:rsidRPr="004A5C9D">
        <w:rPr>
          <w:rFonts w:cs="Times"/>
          <w:lang w:val="en-US"/>
        </w:rPr>
        <w:t>=</w:t>
      </w:r>
      <w:r w:rsidR="008B05D5">
        <w:rPr>
          <w:rFonts w:cs="Times"/>
          <w:lang w:val="en-US"/>
        </w:rPr>
        <w:t xml:space="preserve"> </w:t>
      </w:r>
      <w:r w:rsidRPr="004A5C9D">
        <w:rPr>
          <w:rFonts w:cs="Times"/>
          <w:lang w:val="en-US"/>
        </w:rPr>
        <w:t>0.3848)</w:t>
      </w:r>
      <w:r w:rsidR="00CD308A">
        <w:rPr>
          <w:rFonts w:cs="Times"/>
          <w:lang w:val="en-US"/>
        </w:rPr>
        <w:t>.</w:t>
      </w:r>
    </w:p>
    <w:p w:rsidR="00CD308A"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008B05D5" w:rsidRPr="004A5C9D">
        <w:rPr>
          <w:rFonts w:cs="Times"/>
          <w:lang w:val="en-US"/>
        </w:rPr>
        <w:t xml:space="preserve">tudy </w:t>
      </w:r>
      <w:r w:rsidRPr="004A5C9D">
        <w:rPr>
          <w:rFonts w:cs="Times"/>
          <w:lang w:val="en-US"/>
        </w:rPr>
        <w:t>AT1001-011 (ITT population), in the Stage 1 (post-hoc) analysis the LS mean 24-hour urine albumin concentration increased from baseline to month 6 in the migalastat group (</w:t>
      </w:r>
      <w:r w:rsidR="008B05D5">
        <w:rPr>
          <w:rFonts w:cs="Times"/>
          <w:lang w:val="en-US"/>
        </w:rPr>
        <w:t xml:space="preserve">n = </w:t>
      </w:r>
      <w:r w:rsidRPr="004A5C9D">
        <w:rPr>
          <w:rFonts w:cs="Times"/>
          <w:lang w:val="en-US"/>
        </w:rPr>
        <w:t>28) and decreased in the placebo group (</w:t>
      </w:r>
      <w:r w:rsidR="008B05D5">
        <w:rPr>
          <w:rFonts w:cs="Times"/>
          <w:lang w:val="en-US"/>
        </w:rPr>
        <w:t xml:space="preserve">n = </w:t>
      </w:r>
      <w:r w:rsidRPr="004A5C9D">
        <w:rPr>
          <w:rFonts w:cs="Times"/>
          <w:lang w:val="en-US"/>
        </w:rPr>
        <w:t>22), but the difference in the LS means between the two groups was not statistically significant (+90.153</w:t>
      </w:r>
      <w:r w:rsidR="00D87C4B">
        <w:rPr>
          <w:rFonts w:cs="Times"/>
          <w:lang w:val="en-US"/>
        </w:rPr>
        <w:t xml:space="preserve"> versus </w:t>
      </w:r>
      <w:r w:rsidRPr="004A5C9D">
        <w:rPr>
          <w:rFonts w:cs="Times"/>
          <w:lang w:val="en-US"/>
        </w:rPr>
        <w:t>-23.90 mg/24</w:t>
      </w:r>
      <w:r w:rsidR="008B05D5">
        <w:rPr>
          <w:rFonts w:cs="Times"/>
          <w:lang w:val="en-US"/>
        </w:rPr>
        <w:t xml:space="preserve"> </w:t>
      </w:r>
      <w:r w:rsidRPr="004A5C9D">
        <w:rPr>
          <w:rFonts w:cs="Times"/>
          <w:lang w:val="en-US"/>
        </w:rPr>
        <w:t>h; p</w:t>
      </w:r>
      <w:r w:rsidR="008B05D5">
        <w:rPr>
          <w:rFonts w:cs="Times"/>
          <w:lang w:val="en-US"/>
        </w:rPr>
        <w:t xml:space="preserve"> </w:t>
      </w:r>
      <w:r w:rsidRPr="004A5C9D">
        <w:rPr>
          <w:rFonts w:cs="Times"/>
          <w:lang w:val="en-US"/>
        </w:rPr>
        <w:t>=</w:t>
      </w:r>
      <w:r w:rsidR="008B05D5">
        <w:rPr>
          <w:rFonts w:cs="Times"/>
          <w:lang w:val="en-US"/>
        </w:rPr>
        <w:t xml:space="preserve"> </w:t>
      </w:r>
      <w:r w:rsidRPr="004A5C9D">
        <w:rPr>
          <w:rFonts w:cs="Times"/>
          <w:lang w:val="en-US"/>
        </w:rPr>
        <w:t>0.1325)</w:t>
      </w:r>
      <w:r w:rsidR="00CD308A">
        <w:rPr>
          <w:rFonts w:cs="Times"/>
          <w:lang w:val="en-US"/>
        </w:rPr>
        <w:t>.</w:t>
      </w:r>
    </w:p>
    <w:p w:rsidR="00CD308A" w:rsidRDefault="00B9675F" w:rsidP="00555A51">
      <w:pPr>
        <w:pStyle w:val="ListBullet"/>
        <w:rPr>
          <w:rFonts w:cs="Times"/>
          <w:lang w:val="en-US"/>
        </w:rPr>
      </w:pPr>
      <w:r w:rsidRPr="004A5C9D">
        <w:rPr>
          <w:rFonts w:cs="Times"/>
          <w:lang w:val="en-US"/>
        </w:rPr>
        <w:t>In study AT1001-001, in the OLE population (pre-specified) in both the migalastat-migalastat and the placebo-migalastat groups there were increases from baseline to month 24 in 24-hour urine protein (139.3 and 251.1 mg/24</w:t>
      </w:r>
      <w:r w:rsidR="008B05D5">
        <w:rPr>
          <w:rFonts w:cs="Times"/>
          <w:lang w:val="en-US"/>
        </w:rPr>
        <w:t xml:space="preserve"> </w:t>
      </w:r>
      <w:r w:rsidRPr="004A5C9D">
        <w:rPr>
          <w:rFonts w:cs="Times"/>
          <w:lang w:val="en-US"/>
        </w:rPr>
        <w:t>h, respectively) and albumin (106.6 and 184.0 mg/24</w:t>
      </w:r>
      <w:r w:rsidR="008B05D5">
        <w:rPr>
          <w:rFonts w:cs="Times"/>
          <w:lang w:val="en-US"/>
        </w:rPr>
        <w:t xml:space="preserve"> </w:t>
      </w:r>
      <w:r w:rsidRPr="004A5C9D">
        <w:rPr>
          <w:rFonts w:cs="Times"/>
          <w:lang w:val="en-US"/>
        </w:rPr>
        <w:t>h, respectively), while mean changes from baseline to month 24 in 24-hour urine creatinine were negligible in both treatment groups.</w:t>
      </w:r>
    </w:p>
    <w:p w:rsidR="00CD308A"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008B05D5" w:rsidRPr="004A5C9D">
        <w:rPr>
          <w:rFonts w:cs="Times"/>
          <w:lang w:val="en-US"/>
        </w:rPr>
        <w:t xml:space="preserve">tudy </w:t>
      </w:r>
      <w:r w:rsidRPr="004A5C9D">
        <w:rPr>
          <w:rFonts w:cs="Times"/>
          <w:lang w:val="en-US"/>
        </w:rPr>
        <w:t>AT1001-011, there was a mean increase from baseline to month 24 in the 24-hour urine albumin</w:t>
      </w:r>
      <w:proofErr w:type="gramStart"/>
      <w:r w:rsidRPr="004A5C9D">
        <w:rPr>
          <w:rFonts w:cs="Times"/>
          <w:lang w:val="en-US"/>
        </w:rPr>
        <w:t>:creatinine</w:t>
      </w:r>
      <w:proofErr w:type="gramEnd"/>
      <w:r w:rsidRPr="004A5C9D">
        <w:rPr>
          <w:rFonts w:cs="Times"/>
          <w:lang w:val="en-US"/>
        </w:rPr>
        <w:t xml:space="preserve"> ratio (11.2 mg/mmol) and the 24-hour protein:</w:t>
      </w:r>
      <w:r w:rsidR="008B05D5">
        <w:rPr>
          <w:rFonts w:cs="Times"/>
          <w:lang w:val="en-US"/>
        </w:rPr>
        <w:t> </w:t>
      </w:r>
      <w:r w:rsidRPr="004A5C9D">
        <w:rPr>
          <w:rFonts w:cs="Times"/>
          <w:lang w:val="en-US"/>
        </w:rPr>
        <w:t>creatinine ratio (15.5 mg/mmol).</w:t>
      </w:r>
    </w:p>
    <w:p w:rsidR="00CD308A" w:rsidRDefault="00B9675F" w:rsidP="00555A51">
      <w:pPr>
        <w:pStyle w:val="Heading5"/>
        <w:rPr>
          <w:lang w:val="en-US"/>
        </w:rPr>
      </w:pPr>
      <w:r w:rsidRPr="00574ED8">
        <w:rPr>
          <w:lang w:val="en-US"/>
        </w:rPr>
        <w:t>Cardiac benefits – cardiac function measured by ECHO</w:t>
      </w:r>
    </w:p>
    <w:p w:rsidR="00B9675F" w:rsidRPr="004A5C9D" w:rsidRDefault="00B9675F" w:rsidP="00555A51">
      <w:pPr>
        <w:pStyle w:val="ListBullet"/>
      </w:pPr>
      <w:r w:rsidRPr="004A5C9D">
        <w:t>The sponsor comments that left ventricular hypertrophy is the most common manifestation of cardiac disease associated with Fabry disease. In untreated patients with Fabry disease, progressive increases in LVMi occur. Therefore, improvement or stabilisation in LVMi is a clinically relevant treatment benefit for patients with Fabry disease.</w:t>
      </w:r>
    </w:p>
    <w:p w:rsidR="00CD308A" w:rsidRDefault="00B9675F" w:rsidP="00555A51">
      <w:pPr>
        <w:pStyle w:val="ListBullet"/>
      </w:pPr>
      <w:r w:rsidRPr="004A5C9D">
        <w:t xml:space="preserve">In </w:t>
      </w:r>
      <w:r w:rsidR="008B05D5">
        <w:t>S</w:t>
      </w:r>
      <w:r w:rsidRPr="004A5C9D">
        <w:t>tudy AT1001-012 (mITT), the mean (</w:t>
      </w:r>
      <w:r w:rsidR="006A0F1B" w:rsidRPr="004A5C9D">
        <w:t>±</w:t>
      </w:r>
      <w:r w:rsidRPr="004A5C9D">
        <w:t xml:space="preserve">SD) baseline LVMi was 95.3 </w:t>
      </w:r>
      <w:r w:rsidR="006A0F1B" w:rsidRPr="004A5C9D">
        <w:t>±</w:t>
      </w:r>
      <w:r w:rsidRPr="004A5C9D">
        <w:t xml:space="preserve"> 22.8 g/m</w:t>
      </w:r>
      <w:r w:rsidRPr="004A5C9D">
        <w:rPr>
          <w:vertAlign w:val="superscript"/>
        </w:rPr>
        <w:t>2</w:t>
      </w:r>
      <w:r w:rsidRPr="004A5C9D">
        <w:t xml:space="preserve"> in the migalastat group and 92.9 </w:t>
      </w:r>
      <w:r w:rsidR="006A0F1B" w:rsidRPr="004A5C9D">
        <w:t>±</w:t>
      </w:r>
      <w:r w:rsidRPr="004A5C9D">
        <w:t xml:space="preserve"> 25.7 g/m</w:t>
      </w:r>
      <w:r w:rsidRPr="004A5C9D">
        <w:rPr>
          <w:vertAlign w:val="superscript"/>
        </w:rPr>
        <w:t>2</w:t>
      </w:r>
      <w:r w:rsidRPr="004A5C9D">
        <w:t xml:space="preserve"> in the ERT group, and at month 18 the mean (</w:t>
      </w:r>
      <w:r w:rsidR="006A0F1B" w:rsidRPr="004A5C9D">
        <w:t>±</w:t>
      </w:r>
      <w:r w:rsidRPr="004A5C9D">
        <w:t xml:space="preserve">SD) LVMi values were 89.4 </w:t>
      </w:r>
      <w:r w:rsidR="006A0F1B" w:rsidRPr="004A5C9D">
        <w:t>±</w:t>
      </w:r>
      <w:r w:rsidRPr="004A5C9D">
        <w:t xml:space="preserve"> 22.8 g/m</w:t>
      </w:r>
      <w:r w:rsidRPr="004A5C9D">
        <w:rPr>
          <w:vertAlign w:val="superscript"/>
        </w:rPr>
        <w:t>2</w:t>
      </w:r>
      <w:r w:rsidRPr="004A5C9D">
        <w:t xml:space="preserve"> and 90.6 </w:t>
      </w:r>
      <w:r w:rsidR="006A0F1B" w:rsidRPr="004A5C9D">
        <w:t>±</w:t>
      </w:r>
      <w:r w:rsidRPr="004A5C9D">
        <w:t xml:space="preserve"> 36.7 g/m</w:t>
      </w:r>
      <w:r w:rsidRPr="004A5C9D">
        <w:rPr>
          <w:vertAlign w:val="superscript"/>
        </w:rPr>
        <w:t>2</w:t>
      </w:r>
      <w:r w:rsidRPr="004A5C9D">
        <w:t>, respectively. The mean LVMi decreased from baseline to month 18 by -6.6 g/m</w:t>
      </w:r>
      <w:r w:rsidRPr="004A5C9D">
        <w:rPr>
          <w:vertAlign w:val="superscript"/>
        </w:rPr>
        <w:t>2</w:t>
      </w:r>
      <w:r w:rsidRPr="004A5C9D">
        <w:t xml:space="preserve"> (95% CI: -11.0, 2.1) in the migalastat group and by -2.0 g/m</w:t>
      </w:r>
      <w:r w:rsidRPr="004A5C9D">
        <w:rPr>
          <w:vertAlign w:val="superscript"/>
        </w:rPr>
        <w:t>2</w:t>
      </w:r>
      <w:r w:rsidRPr="004A5C9D">
        <w:t xml:space="preserve"> (95% CI: -11.0, 7.0) in the ERT group. At baseline, 34% of subjects had LVH (LVMi &gt; 95 g/m</w:t>
      </w:r>
      <w:r w:rsidRPr="004A5C9D">
        <w:rPr>
          <w:vertAlign w:val="superscript"/>
        </w:rPr>
        <w:t>2</w:t>
      </w:r>
      <w:r w:rsidRPr="004A5C9D">
        <w:t xml:space="preserve"> for males and &gt; 115 g/m</w:t>
      </w:r>
      <w:r w:rsidRPr="004A5C9D">
        <w:rPr>
          <w:vertAlign w:val="superscript"/>
        </w:rPr>
        <w:t>2</w:t>
      </w:r>
      <w:r w:rsidRPr="004A5C9D">
        <w:t xml:space="preserve"> for females). The LVMi decreased from baseline to month 18 in both males and females in the migalastat group (mean change: males, -9.4 g/m</w:t>
      </w:r>
      <w:r w:rsidRPr="004A5C9D">
        <w:rPr>
          <w:vertAlign w:val="superscript"/>
        </w:rPr>
        <w:t>2</w:t>
      </w:r>
      <w:r w:rsidRPr="004A5C9D">
        <w:t>; females, -4.5 g/m</w:t>
      </w:r>
      <w:r w:rsidRPr="004A5C9D">
        <w:rPr>
          <w:vertAlign w:val="superscript"/>
        </w:rPr>
        <w:t>2</w:t>
      </w:r>
      <w:r w:rsidRPr="004A5C9D">
        <w:t>). The ANCOVA analysis of subjects with abnormal LVMi at baseline showed a trend towards a greater decrease from baseline to month 18 in LVMi in the migalastat group, compared to the ERT group (difference in LS means, -10.4 g/m</w:t>
      </w:r>
      <w:r w:rsidRPr="004A5C9D">
        <w:rPr>
          <w:vertAlign w:val="superscript"/>
        </w:rPr>
        <w:t>2</w:t>
      </w:r>
      <w:r w:rsidRPr="004A5C9D">
        <w:t>)</w:t>
      </w:r>
      <w:r w:rsidR="00CD308A">
        <w:t>.</w:t>
      </w:r>
    </w:p>
    <w:p w:rsidR="00CD308A"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Pr="004A5C9D">
        <w:rPr>
          <w:rFonts w:cs="Times"/>
          <w:lang w:val="en-US"/>
        </w:rPr>
        <w:t>tudy AT1001-012, the mean (</w:t>
      </w:r>
      <w:r w:rsidR="006A0F1B" w:rsidRPr="004A5C9D">
        <w:rPr>
          <w:rFonts w:cs="Times"/>
          <w:lang w:val="en-US"/>
        </w:rPr>
        <w:t>±</w:t>
      </w:r>
      <w:r w:rsidRPr="004A5C9D">
        <w:rPr>
          <w:rFonts w:cs="Times"/>
          <w:lang w:val="en-US"/>
        </w:rPr>
        <w:t>SD) baseline LVEF was 64</w:t>
      </w:r>
      <w:r w:rsidR="008B05D5">
        <w:rPr>
          <w:rFonts w:cs="Times"/>
          <w:lang w:val="en-US"/>
        </w:rPr>
        <w:t xml:space="preserve"> </w:t>
      </w:r>
      <w:r w:rsidR="006A0F1B" w:rsidRPr="004A5C9D">
        <w:rPr>
          <w:rFonts w:cs="Times"/>
          <w:lang w:val="en-US"/>
        </w:rPr>
        <w:t>±</w:t>
      </w:r>
      <w:r w:rsidR="008B05D5">
        <w:rPr>
          <w:rFonts w:cs="Times"/>
          <w:lang w:val="en-US"/>
        </w:rPr>
        <w:t xml:space="preserve"> </w:t>
      </w:r>
      <w:r w:rsidRPr="004A5C9D">
        <w:rPr>
          <w:rFonts w:cs="Times"/>
          <w:lang w:val="en-US"/>
        </w:rPr>
        <w:t>3% in the migalastat group and 61</w:t>
      </w:r>
      <w:r w:rsidR="008B05D5">
        <w:rPr>
          <w:rFonts w:cs="Times"/>
          <w:lang w:val="en-US"/>
        </w:rPr>
        <w:t xml:space="preserve"> </w:t>
      </w:r>
      <w:r w:rsidR="006A0F1B" w:rsidRPr="004A5C9D">
        <w:rPr>
          <w:rFonts w:cs="Times"/>
          <w:lang w:val="en-US"/>
        </w:rPr>
        <w:t>±</w:t>
      </w:r>
      <w:r w:rsidR="008B05D5">
        <w:rPr>
          <w:rFonts w:cs="Times"/>
          <w:lang w:val="en-US"/>
        </w:rPr>
        <w:t xml:space="preserve"> </w:t>
      </w:r>
      <w:r w:rsidRPr="004A5C9D">
        <w:rPr>
          <w:rFonts w:cs="Times"/>
          <w:lang w:val="en-US"/>
        </w:rPr>
        <w:t>4% in the ERT group, and the mean (</w:t>
      </w:r>
      <w:r w:rsidR="006A0F1B" w:rsidRPr="004A5C9D">
        <w:rPr>
          <w:rFonts w:cs="Times"/>
          <w:lang w:val="en-US"/>
        </w:rPr>
        <w:t>±</w:t>
      </w:r>
      <w:r w:rsidRPr="004A5C9D">
        <w:rPr>
          <w:rFonts w:cs="Times"/>
          <w:lang w:val="en-US"/>
        </w:rPr>
        <w:t>SD) LVEF at month 18 was 63</w:t>
      </w:r>
      <w:r w:rsidR="008B05D5">
        <w:rPr>
          <w:rFonts w:cs="Times"/>
          <w:lang w:val="en-US"/>
        </w:rPr>
        <w:t xml:space="preserve"> </w:t>
      </w:r>
      <w:r w:rsidR="006A0F1B" w:rsidRPr="004A5C9D">
        <w:rPr>
          <w:rFonts w:cs="Times"/>
          <w:lang w:val="en-US"/>
        </w:rPr>
        <w:t>±</w:t>
      </w:r>
      <w:r w:rsidR="008B05D5">
        <w:rPr>
          <w:rFonts w:cs="Times"/>
          <w:lang w:val="en-US"/>
        </w:rPr>
        <w:t> </w:t>
      </w:r>
      <w:r w:rsidRPr="004A5C9D">
        <w:rPr>
          <w:rFonts w:cs="Times"/>
          <w:lang w:val="en-US"/>
        </w:rPr>
        <w:t>4% in the migalastat group and 60</w:t>
      </w:r>
      <w:r w:rsidR="006A0F1B" w:rsidRPr="004A5C9D">
        <w:rPr>
          <w:rFonts w:cs="Times"/>
          <w:lang w:val="en-US"/>
        </w:rPr>
        <w:t>±</w:t>
      </w:r>
      <w:r w:rsidRPr="004A5C9D">
        <w:rPr>
          <w:rFonts w:cs="Times"/>
          <w:lang w:val="en-US"/>
        </w:rPr>
        <w:t>8% in the ERT group. The mean (</w:t>
      </w:r>
      <w:r w:rsidR="006A0F1B" w:rsidRPr="004A5C9D">
        <w:rPr>
          <w:rFonts w:cs="Times"/>
          <w:lang w:val="en-US"/>
        </w:rPr>
        <w:t>±</w:t>
      </w:r>
      <w:r w:rsidRPr="004A5C9D">
        <w:rPr>
          <w:rFonts w:cs="Times"/>
          <w:lang w:val="en-US"/>
        </w:rPr>
        <w:t xml:space="preserve">SD) change </w:t>
      </w:r>
      <w:r w:rsidRPr="004A5C9D">
        <w:rPr>
          <w:rFonts w:cs="Times"/>
          <w:lang w:val="en-US"/>
        </w:rPr>
        <w:lastRenderedPageBreak/>
        <w:t>from baseline to month 18 was 1</w:t>
      </w:r>
      <w:r w:rsidR="006A0F1B" w:rsidRPr="004A5C9D">
        <w:rPr>
          <w:rFonts w:cs="Times"/>
          <w:lang w:val="en-US"/>
        </w:rPr>
        <w:t>±</w:t>
      </w:r>
      <w:r w:rsidRPr="004A5C9D">
        <w:rPr>
          <w:rFonts w:cs="Times"/>
          <w:lang w:val="en-US"/>
        </w:rPr>
        <w:t>2% in the migalastat group and -0.5</w:t>
      </w:r>
      <w:r w:rsidR="008B05D5">
        <w:rPr>
          <w:rFonts w:cs="Times"/>
          <w:lang w:val="en-US"/>
        </w:rPr>
        <w:t xml:space="preserve"> </w:t>
      </w:r>
      <w:r w:rsidR="006A0F1B" w:rsidRPr="004A5C9D">
        <w:rPr>
          <w:rFonts w:cs="Times"/>
          <w:lang w:val="en-US"/>
        </w:rPr>
        <w:t>±</w:t>
      </w:r>
      <w:r w:rsidR="008B05D5">
        <w:rPr>
          <w:rFonts w:cs="Times"/>
          <w:lang w:val="en-US"/>
        </w:rPr>
        <w:t xml:space="preserve"> </w:t>
      </w:r>
      <w:r w:rsidRPr="004A5C9D">
        <w:rPr>
          <w:rFonts w:cs="Times"/>
          <w:lang w:val="en-US"/>
        </w:rPr>
        <w:t>4% in the ERT group. No clinically relevant changes in the LVEF from baseline to month 18 were observed in either treatment group.</w:t>
      </w:r>
    </w:p>
    <w:p w:rsidR="00B9675F" w:rsidRPr="004A5C9D"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008B05D5" w:rsidRPr="004A5C9D">
        <w:rPr>
          <w:rFonts w:cs="Times"/>
          <w:lang w:val="en-US"/>
        </w:rPr>
        <w:t xml:space="preserve">tudy </w:t>
      </w:r>
      <w:r w:rsidRPr="004A5C9D">
        <w:rPr>
          <w:rFonts w:cs="Times"/>
          <w:lang w:val="en-US"/>
        </w:rPr>
        <w:t>AT1001-012, in the OLE population the mean (±SD) LVMi at baseline (</w:t>
      </w:r>
      <w:r w:rsidR="008B05D5">
        <w:rPr>
          <w:rFonts w:cs="Times"/>
          <w:lang w:val="en-US"/>
        </w:rPr>
        <w:t>n = </w:t>
      </w:r>
      <w:r w:rsidRPr="004A5C9D">
        <w:rPr>
          <w:rFonts w:cs="Times"/>
          <w:lang w:val="en-US"/>
        </w:rPr>
        <w:t xml:space="preserve">30) in the migalastat-migalastat group was 94.7 </w:t>
      </w:r>
      <w:r w:rsidR="006A0F1B" w:rsidRPr="004A5C9D">
        <w:rPr>
          <w:rFonts w:cs="Times"/>
          <w:lang w:val="en-US"/>
        </w:rPr>
        <w:t>±</w:t>
      </w:r>
      <w:r w:rsidRPr="004A5C9D">
        <w:rPr>
          <w:rFonts w:cs="Times"/>
          <w:lang w:val="en-US"/>
        </w:rPr>
        <w:t xml:space="preserve"> 22.4 g/m</w:t>
      </w:r>
      <w:r w:rsidRPr="004A5C9D">
        <w:rPr>
          <w:rFonts w:cs="Times"/>
          <w:vertAlign w:val="superscript"/>
          <w:lang w:val="en-US"/>
        </w:rPr>
        <w:t>2</w:t>
      </w:r>
      <w:r w:rsidRPr="004A5C9D">
        <w:rPr>
          <w:rFonts w:cs="Times"/>
          <w:lang w:val="en-US"/>
        </w:rPr>
        <w:t xml:space="preserve"> and at month 30 (</w:t>
      </w:r>
      <w:r w:rsidR="008B05D5">
        <w:rPr>
          <w:rFonts w:cs="Times"/>
          <w:lang w:val="en-US"/>
        </w:rPr>
        <w:t>n = </w:t>
      </w:r>
      <w:r w:rsidRPr="004A5C9D">
        <w:rPr>
          <w:rFonts w:cs="Times"/>
          <w:lang w:val="en-US"/>
        </w:rPr>
        <w:t xml:space="preserve">29) was 89.3 </w:t>
      </w:r>
      <w:r w:rsidR="006A0F1B" w:rsidRPr="004A5C9D">
        <w:rPr>
          <w:rFonts w:cs="Times"/>
          <w:lang w:val="en-US"/>
        </w:rPr>
        <w:t>±</w:t>
      </w:r>
      <w:r w:rsidRPr="004A5C9D">
        <w:rPr>
          <w:rFonts w:cs="Times"/>
          <w:lang w:val="en-US"/>
        </w:rPr>
        <w:t xml:space="preserve"> 20.3 g/m</w:t>
      </w:r>
      <w:r w:rsidRPr="004A5C9D">
        <w:rPr>
          <w:rFonts w:cs="Times"/>
          <w:vertAlign w:val="superscript"/>
          <w:lang w:val="en-US"/>
        </w:rPr>
        <w:t>2</w:t>
      </w:r>
      <w:r w:rsidRPr="004A5C9D">
        <w:rPr>
          <w:rFonts w:cs="Times"/>
          <w:lang w:val="en-US"/>
        </w:rPr>
        <w:t>. In subjects with LVH at baseline, the mean (+SD) LVMi at baseline in the migalastat-migalastat group (</w:t>
      </w:r>
      <w:r w:rsidR="008B05D5">
        <w:rPr>
          <w:rFonts w:cs="Times"/>
          <w:lang w:val="en-US"/>
        </w:rPr>
        <w:t xml:space="preserve">n = </w:t>
      </w:r>
      <w:r w:rsidRPr="004A5C9D">
        <w:rPr>
          <w:rFonts w:cs="Times"/>
          <w:lang w:val="en-US"/>
        </w:rPr>
        <w:t xml:space="preserve">11) was 116.4 </w:t>
      </w:r>
      <w:r w:rsidR="006A0F1B" w:rsidRPr="004A5C9D">
        <w:rPr>
          <w:rFonts w:cs="Times"/>
          <w:lang w:val="en-US"/>
        </w:rPr>
        <w:t>±</w:t>
      </w:r>
      <w:r w:rsidRPr="004A5C9D">
        <w:rPr>
          <w:rFonts w:cs="Times"/>
          <w:lang w:val="en-US"/>
        </w:rPr>
        <w:t xml:space="preserve"> 20.9 g/m</w:t>
      </w:r>
      <w:r w:rsidRPr="004A5C9D">
        <w:rPr>
          <w:rFonts w:cs="Times"/>
          <w:vertAlign w:val="superscript"/>
          <w:lang w:val="en-US"/>
        </w:rPr>
        <w:t>2</w:t>
      </w:r>
      <w:r w:rsidRPr="004A5C9D">
        <w:rPr>
          <w:rFonts w:cs="Times"/>
          <w:lang w:val="en-US"/>
        </w:rPr>
        <w:t xml:space="preserve"> and at month 30 (</w:t>
      </w:r>
      <w:r w:rsidR="008B05D5">
        <w:rPr>
          <w:rFonts w:cs="Times"/>
          <w:lang w:val="en-US"/>
        </w:rPr>
        <w:t xml:space="preserve">n = </w:t>
      </w:r>
      <w:r w:rsidRPr="004A5C9D">
        <w:rPr>
          <w:rFonts w:cs="Times"/>
          <w:lang w:val="en-US"/>
        </w:rPr>
        <w:t xml:space="preserve">10) was 105.6 </w:t>
      </w:r>
      <w:r w:rsidRPr="004A5C9D">
        <w:rPr>
          <w:rFonts w:cs="Times"/>
          <w:lang w:val="en-US"/>
        </w:rPr>
        <w:softHyphen/>
      </w:r>
      <w:r w:rsidRPr="004A5C9D">
        <w:rPr>
          <w:rFonts w:cs="Times"/>
          <w:lang w:val="en-US"/>
        </w:rPr>
        <w:softHyphen/>
      </w:r>
      <w:r w:rsidR="006A0F1B" w:rsidRPr="004A5C9D">
        <w:rPr>
          <w:rFonts w:cs="Times"/>
          <w:lang w:val="en-US"/>
        </w:rPr>
        <w:t>±</w:t>
      </w:r>
      <w:r w:rsidRPr="004A5C9D">
        <w:rPr>
          <w:rFonts w:cs="Times"/>
          <w:lang w:val="en-US"/>
        </w:rPr>
        <w:t xml:space="preserve"> 18.6 g/m</w:t>
      </w:r>
      <w:r w:rsidRPr="004A5C9D">
        <w:rPr>
          <w:rFonts w:cs="Times"/>
          <w:vertAlign w:val="superscript"/>
          <w:lang w:val="en-US"/>
        </w:rPr>
        <w:t>2</w:t>
      </w:r>
      <w:r w:rsidRPr="004A5C9D">
        <w:rPr>
          <w:rFonts w:cs="Times"/>
          <w:lang w:val="en-US"/>
        </w:rPr>
        <w:t xml:space="preserve">. The results indicate that LVMi improved over 30 </w:t>
      </w:r>
      <w:proofErr w:type="gramStart"/>
      <w:r w:rsidRPr="004A5C9D">
        <w:rPr>
          <w:rFonts w:cs="Times"/>
          <w:lang w:val="en-US"/>
        </w:rPr>
        <w:t>months</w:t>
      </w:r>
      <w:proofErr w:type="gramEnd"/>
      <w:r w:rsidRPr="004A5C9D">
        <w:rPr>
          <w:rFonts w:cs="Times"/>
          <w:lang w:val="en-US"/>
        </w:rPr>
        <w:t xml:space="preserve"> treatment with migalastat in all subjects and in subjects with baseline LVH. In all amenable subjects in the migalastat-migalastat group the mean (</w:t>
      </w:r>
      <w:r w:rsidR="006A0F1B" w:rsidRPr="004A5C9D">
        <w:rPr>
          <w:rFonts w:cs="Times"/>
          <w:lang w:val="en-US"/>
        </w:rPr>
        <w:t>±</w:t>
      </w:r>
      <w:r w:rsidRPr="004A5C9D">
        <w:rPr>
          <w:rFonts w:cs="Times"/>
          <w:lang w:val="en-US"/>
        </w:rPr>
        <w:t>SD) LVEF was 64</w:t>
      </w:r>
      <w:r w:rsidR="006A0F1B" w:rsidRPr="004A5C9D">
        <w:rPr>
          <w:rFonts w:cs="Times"/>
          <w:lang w:val="en-US"/>
        </w:rPr>
        <w:t>±</w:t>
      </w:r>
      <w:r w:rsidRPr="004A5C9D">
        <w:rPr>
          <w:rFonts w:cs="Times"/>
          <w:lang w:val="en-US"/>
        </w:rPr>
        <w:t>3% at baseline and 64</w:t>
      </w:r>
      <w:r w:rsidR="006A0F1B" w:rsidRPr="004A5C9D">
        <w:rPr>
          <w:rFonts w:cs="Times"/>
          <w:lang w:val="en-US"/>
        </w:rPr>
        <w:t>±</w:t>
      </w:r>
      <w:r w:rsidRPr="004A5C9D">
        <w:rPr>
          <w:rFonts w:cs="Times"/>
          <w:lang w:val="en-US"/>
        </w:rPr>
        <w:t>4% at month 30. Other ECH0 parameters in the migalastat-migalastat group remained stable from baseline to month 30.</w:t>
      </w:r>
    </w:p>
    <w:p w:rsidR="00CD308A" w:rsidRDefault="00B9675F" w:rsidP="00555A51">
      <w:pPr>
        <w:pStyle w:val="ListBullet"/>
        <w:rPr>
          <w:rFonts w:cs="Times"/>
          <w:lang w:val="en-US"/>
        </w:rPr>
      </w:pPr>
      <w:r w:rsidRPr="004A5C9D">
        <w:rPr>
          <w:rFonts w:cs="Times"/>
          <w:lang w:val="en-US"/>
        </w:rPr>
        <w:t xml:space="preserve">In </w:t>
      </w:r>
      <w:r w:rsidR="008B05D5">
        <w:rPr>
          <w:rFonts w:cs="Times"/>
          <w:lang w:val="en-US"/>
        </w:rPr>
        <w:t>S</w:t>
      </w:r>
      <w:r w:rsidRPr="004A5C9D">
        <w:rPr>
          <w:rFonts w:cs="Times"/>
          <w:lang w:val="en-US"/>
        </w:rPr>
        <w:t>tudy AT1001-011 (ITT population), in the Stage 1 (post-hoc) analysis no notable shifts from baseline to month 6 were observed for either the migalastat or the placebo group for the ECHO parameters of LVMi, LVM, fractional shortening, left ventricular ejection fraction, or left ventricular posterior wall thickness. The mean (</w:t>
      </w:r>
      <w:r w:rsidR="006A0F1B" w:rsidRPr="004A5C9D">
        <w:rPr>
          <w:rFonts w:cs="Times"/>
          <w:lang w:val="en-US"/>
        </w:rPr>
        <w:t>±</w:t>
      </w:r>
      <w:r w:rsidRPr="004A5C9D">
        <w:rPr>
          <w:rFonts w:cs="Times"/>
          <w:lang w:val="en-US"/>
        </w:rPr>
        <w:t xml:space="preserve">SD) baseline LVMI was 91.7 </w:t>
      </w:r>
      <w:r w:rsidR="006A0F1B" w:rsidRPr="004A5C9D">
        <w:rPr>
          <w:rFonts w:cs="Times"/>
          <w:lang w:val="en-US"/>
        </w:rPr>
        <w:t>±</w:t>
      </w:r>
      <w:r w:rsidRPr="004A5C9D">
        <w:rPr>
          <w:rFonts w:cs="Times"/>
          <w:lang w:val="en-US"/>
        </w:rPr>
        <w:t xml:space="preserve"> 27.9 g/m</w:t>
      </w:r>
      <w:r w:rsidRPr="004A5C9D">
        <w:rPr>
          <w:rFonts w:cs="Times"/>
          <w:vertAlign w:val="superscript"/>
          <w:lang w:val="en-US"/>
        </w:rPr>
        <w:t>2</w:t>
      </w:r>
      <w:r w:rsidRPr="004A5C9D">
        <w:rPr>
          <w:rFonts w:cs="Times"/>
          <w:lang w:val="en-US"/>
        </w:rPr>
        <w:t xml:space="preserve"> in the migalastat group and 97.7 </w:t>
      </w:r>
      <w:r w:rsidR="006A0F1B" w:rsidRPr="004A5C9D">
        <w:rPr>
          <w:rFonts w:cs="Times"/>
          <w:lang w:val="en-US"/>
        </w:rPr>
        <w:t>±</w:t>
      </w:r>
      <w:r w:rsidRPr="004A5C9D">
        <w:rPr>
          <w:rFonts w:cs="Times"/>
          <w:lang w:val="en-US"/>
        </w:rPr>
        <w:t xml:space="preserve"> 32.2 g/m</w:t>
      </w:r>
      <w:r w:rsidRPr="004A5C9D">
        <w:rPr>
          <w:rFonts w:cs="Times"/>
          <w:vertAlign w:val="superscript"/>
          <w:lang w:val="en-US"/>
        </w:rPr>
        <w:t xml:space="preserve">2 </w:t>
      </w:r>
      <w:r w:rsidRPr="004A5C9D">
        <w:rPr>
          <w:rFonts w:cs="Times"/>
          <w:lang w:val="en-US"/>
        </w:rPr>
        <w:t>in the placebo group, and the mean (</w:t>
      </w:r>
      <w:r w:rsidR="006A0F1B" w:rsidRPr="004A5C9D">
        <w:rPr>
          <w:rFonts w:cs="Times"/>
          <w:lang w:val="en-US"/>
        </w:rPr>
        <w:t>±</w:t>
      </w:r>
      <w:r w:rsidRPr="004A5C9D">
        <w:rPr>
          <w:rFonts w:cs="Times"/>
          <w:lang w:val="en-US"/>
        </w:rPr>
        <w:t xml:space="preserve">SD) change from baseline to month 6 was 0.2 </w:t>
      </w:r>
      <w:r w:rsidR="006A0F1B" w:rsidRPr="004A5C9D">
        <w:rPr>
          <w:rFonts w:cs="Times"/>
          <w:lang w:val="en-US"/>
        </w:rPr>
        <w:t>±</w:t>
      </w:r>
      <w:r w:rsidRPr="004A5C9D">
        <w:rPr>
          <w:rFonts w:cs="Times"/>
          <w:lang w:val="en-US"/>
        </w:rPr>
        <w:t xml:space="preserve"> 7.8 g/m</w:t>
      </w:r>
      <w:r w:rsidRPr="004A5C9D">
        <w:rPr>
          <w:rFonts w:cs="Times"/>
          <w:vertAlign w:val="superscript"/>
          <w:lang w:val="en-US"/>
        </w:rPr>
        <w:t>2</w:t>
      </w:r>
      <w:r w:rsidRPr="004A5C9D">
        <w:rPr>
          <w:rFonts w:cs="Times"/>
          <w:lang w:val="en-US"/>
        </w:rPr>
        <w:t xml:space="preserve"> and -0.8 </w:t>
      </w:r>
      <w:r w:rsidR="006A0F1B" w:rsidRPr="004A5C9D">
        <w:rPr>
          <w:rFonts w:cs="Times"/>
          <w:lang w:val="en-US"/>
        </w:rPr>
        <w:t>±</w:t>
      </w:r>
      <w:r w:rsidRPr="004A5C9D">
        <w:rPr>
          <w:rFonts w:cs="Times"/>
          <w:lang w:val="en-US"/>
        </w:rPr>
        <w:t xml:space="preserve"> 6.7 g/m</w:t>
      </w:r>
      <w:r w:rsidRPr="004A5C9D">
        <w:rPr>
          <w:rFonts w:cs="Times"/>
          <w:vertAlign w:val="superscript"/>
          <w:lang w:val="en-US"/>
        </w:rPr>
        <w:t>2</w:t>
      </w:r>
      <w:r w:rsidRPr="004A5C9D">
        <w:rPr>
          <w:rFonts w:cs="Times"/>
          <w:lang w:val="en-US"/>
        </w:rPr>
        <w:t xml:space="preserve"> respectively. The mean (</w:t>
      </w:r>
      <w:r w:rsidR="006A0F1B" w:rsidRPr="004A5C9D">
        <w:rPr>
          <w:rFonts w:cs="Times"/>
          <w:lang w:val="en-US"/>
        </w:rPr>
        <w:t>±</w:t>
      </w:r>
      <w:r w:rsidRPr="004A5C9D">
        <w:rPr>
          <w:rFonts w:cs="Times"/>
          <w:lang w:val="en-US"/>
        </w:rPr>
        <w:t>SD) baseline LVEF was 64</w:t>
      </w:r>
      <w:r w:rsidR="006A0F1B" w:rsidRPr="004A5C9D">
        <w:rPr>
          <w:rFonts w:cs="Times"/>
          <w:lang w:val="en-US"/>
        </w:rPr>
        <w:t>±</w:t>
      </w:r>
      <w:r w:rsidRPr="004A5C9D">
        <w:rPr>
          <w:rFonts w:cs="Times"/>
          <w:lang w:val="en-US"/>
        </w:rPr>
        <w:t>5% in the migalastat group and 64</w:t>
      </w:r>
      <w:r w:rsidR="006A0F1B" w:rsidRPr="004A5C9D">
        <w:rPr>
          <w:rFonts w:cs="Times"/>
          <w:lang w:val="en-US"/>
        </w:rPr>
        <w:t>±</w:t>
      </w:r>
      <w:r w:rsidRPr="004A5C9D">
        <w:rPr>
          <w:rFonts w:cs="Times"/>
          <w:lang w:val="en-US"/>
        </w:rPr>
        <w:t>5% in the placebo group, and the mean (</w:t>
      </w:r>
      <w:r w:rsidR="006A0F1B" w:rsidRPr="004A5C9D">
        <w:rPr>
          <w:rFonts w:cs="Times"/>
          <w:lang w:val="en-US"/>
        </w:rPr>
        <w:t>±</w:t>
      </w:r>
      <w:r w:rsidRPr="004A5C9D">
        <w:rPr>
          <w:rFonts w:cs="Times"/>
          <w:lang w:val="en-US"/>
        </w:rPr>
        <w:t xml:space="preserve">SD) change from baseline to month 6 was 0.05 </w:t>
      </w:r>
      <w:r w:rsidR="006A0F1B" w:rsidRPr="004A5C9D">
        <w:rPr>
          <w:rFonts w:cs="Times"/>
          <w:lang w:val="en-US"/>
        </w:rPr>
        <w:t>±</w:t>
      </w:r>
      <w:r w:rsidRPr="004A5C9D">
        <w:rPr>
          <w:rFonts w:cs="Times"/>
          <w:lang w:val="en-US"/>
        </w:rPr>
        <w:t xml:space="preserve"> 3% and 0.04 </w:t>
      </w:r>
      <w:r w:rsidR="006A0F1B" w:rsidRPr="004A5C9D">
        <w:rPr>
          <w:rFonts w:cs="Times"/>
          <w:lang w:val="en-US"/>
        </w:rPr>
        <w:t>±</w:t>
      </w:r>
      <w:r w:rsidRPr="004A5C9D">
        <w:rPr>
          <w:rFonts w:cs="Times"/>
          <w:lang w:val="en-US"/>
        </w:rPr>
        <w:t xml:space="preserve"> 3%, respectively</w:t>
      </w:r>
      <w:r w:rsidR="00CD308A">
        <w:rPr>
          <w:rFonts w:cs="Times"/>
          <w:lang w:val="en-US"/>
        </w:rPr>
        <w:t>.</w:t>
      </w:r>
    </w:p>
    <w:p w:rsidR="00CD308A" w:rsidRDefault="00B9675F" w:rsidP="00555A51">
      <w:pPr>
        <w:pStyle w:val="ListBullet"/>
        <w:rPr>
          <w:rFonts w:cs="Times"/>
          <w:lang w:val="en-US"/>
        </w:rPr>
      </w:pPr>
      <w:r w:rsidRPr="004A5C9D">
        <w:rPr>
          <w:rFonts w:cs="Times"/>
          <w:lang w:val="en-US"/>
        </w:rPr>
        <w:t xml:space="preserve">In </w:t>
      </w:r>
      <w:r w:rsidR="008C12CC">
        <w:rPr>
          <w:rFonts w:cs="Times"/>
          <w:lang w:val="en-US"/>
        </w:rPr>
        <w:t>S</w:t>
      </w:r>
      <w:r w:rsidR="008C12CC" w:rsidRPr="004A5C9D">
        <w:rPr>
          <w:rFonts w:cs="Times"/>
          <w:lang w:val="en-US"/>
        </w:rPr>
        <w:t xml:space="preserve">tudy </w:t>
      </w:r>
      <w:r w:rsidRPr="004A5C9D">
        <w:rPr>
          <w:rFonts w:cs="Times"/>
          <w:lang w:val="en-US"/>
        </w:rPr>
        <w:t>AT1001-011, in the Stage 2 (pre-specified) analysis no notable shifts from month 6 to month 12 were observed in ECHO parameters in subjects in the migalastat-migalastat and placebo-migalastat groups. All subjects with amenable GLA mutations had normal fractional shortening at baseline, month 6 and month 12. More than 90% of subjects had normal LVEFs at baseline and at 6 months, and 97% of subjects had a normal LVEF at month 12</w:t>
      </w:r>
      <w:r w:rsidR="00CD308A">
        <w:rPr>
          <w:rFonts w:cs="Times"/>
          <w:lang w:val="en-US"/>
        </w:rPr>
        <w:t>.</w:t>
      </w:r>
    </w:p>
    <w:p w:rsidR="00CD308A" w:rsidRDefault="00B9675F" w:rsidP="00555A51">
      <w:pPr>
        <w:pStyle w:val="ListBullet"/>
        <w:rPr>
          <w:lang w:val="en-US"/>
        </w:rPr>
      </w:pPr>
      <w:r w:rsidRPr="004A5C9D">
        <w:rPr>
          <w:rFonts w:cs="Times"/>
          <w:lang w:val="en-US"/>
        </w:rPr>
        <w:t xml:space="preserve">In </w:t>
      </w:r>
      <w:r w:rsidR="008C12CC">
        <w:rPr>
          <w:rFonts w:cs="Times"/>
          <w:lang w:val="en-US"/>
        </w:rPr>
        <w:t>S</w:t>
      </w:r>
      <w:r w:rsidRPr="004A5C9D">
        <w:rPr>
          <w:rFonts w:cs="Times"/>
          <w:lang w:val="en-US"/>
        </w:rPr>
        <w:t>tudy AT1001-011, the mean (</w:t>
      </w:r>
      <w:r w:rsidR="006A0F1B" w:rsidRPr="004A5C9D">
        <w:rPr>
          <w:rFonts w:cs="Times"/>
          <w:lang w:val="en-US"/>
        </w:rPr>
        <w:t>±</w:t>
      </w:r>
      <w:r w:rsidRPr="004A5C9D">
        <w:rPr>
          <w:rFonts w:cs="Times"/>
          <w:lang w:val="en-US"/>
        </w:rPr>
        <w:t xml:space="preserve">SD) baseline LVMi was 96.5 </w:t>
      </w:r>
      <w:r w:rsidR="006A0F1B" w:rsidRPr="004A5C9D">
        <w:rPr>
          <w:rFonts w:cs="Times"/>
          <w:lang w:val="en-US"/>
        </w:rPr>
        <w:t>±</w:t>
      </w:r>
      <w:r w:rsidRPr="004A5C9D">
        <w:rPr>
          <w:rFonts w:cs="Times"/>
          <w:lang w:val="en-US"/>
        </w:rPr>
        <w:t xml:space="preserve"> 32.9 g/m</w:t>
      </w:r>
      <w:r w:rsidRPr="004A5C9D">
        <w:rPr>
          <w:rFonts w:cs="Times"/>
          <w:vertAlign w:val="superscript"/>
          <w:lang w:val="en-US"/>
        </w:rPr>
        <w:t>2</w:t>
      </w:r>
      <w:r w:rsidRPr="004A5C9D">
        <w:rPr>
          <w:rFonts w:cs="Times"/>
          <w:lang w:val="en-US"/>
        </w:rPr>
        <w:t xml:space="preserve"> for all subjects with amenable GLA mutations (</w:t>
      </w:r>
      <w:r w:rsidR="008B05D5">
        <w:rPr>
          <w:rFonts w:cs="Times"/>
          <w:lang w:val="en-US"/>
        </w:rPr>
        <w:t xml:space="preserve">n = </w:t>
      </w:r>
      <w:r w:rsidRPr="004A5C9D">
        <w:rPr>
          <w:rFonts w:cs="Times"/>
          <w:lang w:val="en-US"/>
        </w:rPr>
        <w:t xml:space="preserve">44) and 138.9 </w:t>
      </w:r>
      <w:r w:rsidR="006A0F1B" w:rsidRPr="004A5C9D">
        <w:rPr>
          <w:rFonts w:cs="Times"/>
          <w:lang w:val="en-US"/>
        </w:rPr>
        <w:t>±</w:t>
      </w:r>
      <w:r w:rsidRPr="004A5C9D">
        <w:rPr>
          <w:rFonts w:cs="Times"/>
          <w:lang w:val="en-US"/>
        </w:rPr>
        <w:t xml:space="preserve"> 37.1 g/m</w:t>
      </w:r>
      <w:r w:rsidRPr="004A5C9D">
        <w:rPr>
          <w:rFonts w:cs="Times"/>
          <w:vertAlign w:val="superscript"/>
          <w:lang w:val="en-US"/>
        </w:rPr>
        <w:t>2</w:t>
      </w:r>
      <w:r w:rsidRPr="004A5C9D">
        <w:rPr>
          <w:rFonts w:cs="Times"/>
          <w:lang w:val="en-US"/>
        </w:rPr>
        <w:t xml:space="preserve"> for subjects with GLA amenable mutations and LVH (</w:t>
      </w:r>
      <w:r w:rsidR="008B05D5">
        <w:rPr>
          <w:rFonts w:cs="Times"/>
          <w:lang w:val="en-US"/>
        </w:rPr>
        <w:t xml:space="preserve">n = </w:t>
      </w:r>
      <w:r w:rsidRPr="004A5C9D">
        <w:rPr>
          <w:rFonts w:cs="Times"/>
          <w:lang w:val="en-US"/>
        </w:rPr>
        <w:t>11). A</w:t>
      </w:r>
      <w:r w:rsidRPr="004A5C9D">
        <w:rPr>
          <w:lang w:val="en-US"/>
        </w:rPr>
        <w:t>fter 18 or 24 months of migalastat treatment, the mean change from baseline to month 24 in LVMi was -7.7</w:t>
      </w:r>
      <w:r w:rsidR="008C12CC">
        <w:rPr>
          <w:lang w:val="en-US"/>
        </w:rPr>
        <w:t> </w:t>
      </w:r>
      <w:r w:rsidRPr="004A5C9D">
        <w:rPr>
          <w:lang w:val="en-US"/>
        </w:rPr>
        <w:t>g/m</w:t>
      </w:r>
      <w:r w:rsidRPr="004A5C9D">
        <w:rPr>
          <w:vertAlign w:val="superscript"/>
          <w:lang w:val="en-US"/>
        </w:rPr>
        <w:t>2</w:t>
      </w:r>
      <w:r w:rsidRPr="004A5C9D">
        <w:rPr>
          <w:lang w:val="en-US"/>
        </w:rPr>
        <w:t xml:space="preserve"> (95% CI: -15.4, -0.01) in all subjects (</w:t>
      </w:r>
      <w:r w:rsidR="008B05D5">
        <w:rPr>
          <w:lang w:val="en-US"/>
        </w:rPr>
        <w:t xml:space="preserve">n = </w:t>
      </w:r>
      <w:r w:rsidRPr="004A5C9D">
        <w:rPr>
          <w:lang w:val="en-US"/>
        </w:rPr>
        <w:t>27) and -18.6 g/m</w:t>
      </w:r>
      <w:r w:rsidRPr="004A5C9D">
        <w:rPr>
          <w:vertAlign w:val="superscript"/>
          <w:lang w:val="en-US"/>
        </w:rPr>
        <w:t>2</w:t>
      </w:r>
      <w:r w:rsidRPr="004A5C9D">
        <w:rPr>
          <w:lang w:val="en-US"/>
        </w:rPr>
        <w:t xml:space="preserve"> (95% CI: </w:t>
      </w:r>
      <w:r w:rsidR="008C12CC">
        <w:rPr>
          <w:lang w:val="en-US"/>
        </w:rPr>
        <w:noBreakHyphen/>
      </w:r>
      <w:r w:rsidRPr="004A5C9D">
        <w:rPr>
          <w:lang w:val="en-US"/>
        </w:rPr>
        <w:t>38.2, 1.0) in subjects with LVH at baseline (</w:t>
      </w:r>
      <w:r w:rsidR="008B05D5">
        <w:rPr>
          <w:lang w:val="en-US"/>
        </w:rPr>
        <w:t xml:space="preserve">n = </w:t>
      </w:r>
      <w:r w:rsidRPr="004A5C9D">
        <w:rPr>
          <w:lang w:val="en-US"/>
        </w:rPr>
        <w:t>8)</w:t>
      </w:r>
      <w:r w:rsidR="00CD308A">
        <w:rPr>
          <w:lang w:val="en-US"/>
        </w:rPr>
        <w:t>.</w:t>
      </w:r>
    </w:p>
    <w:p w:rsidR="00CD308A" w:rsidRDefault="00B9675F" w:rsidP="00555A51">
      <w:pPr>
        <w:pStyle w:val="ListBullet"/>
        <w:rPr>
          <w:lang w:val="en-US"/>
        </w:rPr>
      </w:pPr>
      <w:r w:rsidRPr="004A5C9D">
        <w:rPr>
          <w:lang w:val="en-US"/>
        </w:rPr>
        <w:t xml:space="preserve">In subjects from </w:t>
      </w:r>
      <w:r w:rsidR="008C12CC">
        <w:rPr>
          <w:lang w:val="en-US"/>
        </w:rPr>
        <w:t>S</w:t>
      </w:r>
      <w:r w:rsidRPr="004A5C9D">
        <w:rPr>
          <w:lang w:val="en-US"/>
        </w:rPr>
        <w:t xml:space="preserve">tudy AT1001-011 continuing treatment with migalastat in the long-term extension </w:t>
      </w:r>
      <w:r w:rsidR="008C12CC">
        <w:rPr>
          <w:lang w:val="en-US"/>
        </w:rPr>
        <w:t>S</w:t>
      </w:r>
      <w:r w:rsidRPr="004A5C9D">
        <w:rPr>
          <w:lang w:val="en-US"/>
        </w:rPr>
        <w:t>tudy AT1001-041, further reductions in LVMi were demonstrated following treatment with migalastat for 42 to 48 months. The mean reductions in LVMi from baseline to 48 months were -12.2 g/m</w:t>
      </w:r>
      <w:r w:rsidRPr="004A5C9D">
        <w:rPr>
          <w:vertAlign w:val="superscript"/>
          <w:lang w:val="en-US"/>
        </w:rPr>
        <w:t xml:space="preserve">2 </w:t>
      </w:r>
      <w:r w:rsidRPr="004A5C9D">
        <w:rPr>
          <w:lang w:val="en-US"/>
        </w:rPr>
        <w:t>(95% CI: -28.1, 3.6) in all subjects (</w:t>
      </w:r>
      <w:r w:rsidR="008C12CC">
        <w:rPr>
          <w:lang w:val="en-US"/>
        </w:rPr>
        <w:t>n = </w:t>
      </w:r>
      <w:r w:rsidRPr="004A5C9D">
        <w:rPr>
          <w:lang w:val="en-US"/>
        </w:rPr>
        <w:t>12) and -35.1 g/m</w:t>
      </w:r>
      <w:r w:rsidRPr="004A5C9D">
        <w:rPr>
          <w:vertAlign w:val="superscript"/>
          <w:lang w:val="en-US"/>
        </w:rPr>
        <w:t>2</w:t>
      </w:r>
      <w:r w:rsidRPr="004A5C9D">
        <w:rPr>
          <w:lang w:val="en-US"/>
        </w:rPr>
        <w:t xml:space="preserve"> (95% CI: -86.8, 16.6) in subjects with LVH at baseline (</w:t>
      </w:r>
      <w:r w:rsidR="008C12CC">
        <w:rPr>
          <w:lang w:val="en-US"/>
        </w:rPr>
        <w:t>n = </w:t>
      </w:r>
      <w:r w:rsidRPr="004A5C9D">
        <w:rPr>
          <w:lang w:val="en-US"/>
        </w:rPr>
        <w:t>3)</w:t>
      </w:r>
      <w:r w:rsidR="00CD308A">
        <w:rPr>
          <w:lang w:val="en-US"/>
        </w:rPr>
        <w:t>.</w:t>
      </w:r>
    </w:p>
    <w:p w:rsidR="00CD308A" w:rsidRDefault="00B9675F" w:rsidP="00555A51">
      <w:pPr>
        <w:pStyle w:val="Heading5"/>
        <w:rPr>
          <w:lang w:val="en-US"/>
        </w:rPr>
      </w:pPr>
      <w:r w:rsidRPr="001A788F">
        <w:rPr>
          <w:lang w:val="en-US"/>
        </w:rPr>
        <w:t>Gastrointestinal benefits</w:t>
      </w:r>
      <w:r>
        <w:rPr>
          <w:lang w:val="en-US"/>
        </w:rPr>
        <w:t xml:space="preserve"> – assessed by GSRS</w:t>
      </w:r>
    </w:p>
    <w:p w:rsidR="00CD308A" w:rsidRDefault="00B9675F" w:rsidP="00555A51">
      <w:pPr>
        <w:pStyle w:val="ListBullet"/>
        <w:rPr>
          <w:lang w:val="en-US"/>
        </w:rPr>
      </w:pPr>
      <w:r w:rsidRPr="004A5C9D">
        <w:rPr>
          <w:rFonts w:cs="Times"/>
          <w:lang w:val="en-US"/>
        </w:rPr>
        <w:t>The sponsor comments that gastrointestinal effects are an early and prominent manifestation of Fabry disease, and that p</w:t>
      </w:r>
      <w:r w:rsidRPr="004A5C9D">
        <w:rPr>
          <w:lang w:val="en-US"/>
        </w:rPr>
        <w:t>atients commonly suffer from debilitating gastrointestinal symptoms, including diarrhoea, nausea, fecal incontinence, vomiting, abdominal pain, and constipation. Therefore, improvement in gastrointestinal signs and symptom represent an important clinical outcome in patients with Fabry disease</w:t>
      </w:r>
      <w:r w:rsidR="00CD308A">
        <w:rPr>
          <w:lang w:val="en-US"/>
        </w:rPr>
        <w:t>.</w:t>
      </w:r>
    </w:p>
    <w:p w:rsidR="00CD308A" w:rsidRDefault="00B9675F" w:rsidP="00555A51">
      <w:pPr>
        <w:pStyle w:val="ListBullet"/>
        <w:rPr>
          <w:rFonts w:cs="Times"/>
          <w:lang w:val="en-US"/>
        </w:rPr>
      </w:pPr>
      <w:r w:rsidRPr="004A5C9D">
        <w:rPr>
          <w:rFonts w:cs="Times"/>
          <w:lang w:val="en-US"/>
        </w:rPr>
        <w:t xml:space="preserve">There was no assessment of gastrointestinal benefits associated with migalastat in </w:t>
      </w:r>
      <w:r w:rsidR="008C12CC">
        <w:rPr>
          <w:rFonts w:cs="Times"/>
          <w:lang w:val="en-US"/>
        </w:rPr>
        <w:t>S</w:t>
      </w:r>
      <w:r w:rsidR="008C12CC" w:rsidRPr="004A5C9D">
        <w:rPr>
          <w:rFonts w:cs="Times"/>
          <w:lang w:val="en-US"/>
        </w:rPr>
        <w:t xml:space="preserve">tudy </w:t>
      </w:r>
      <w:r w:rsidRPr="004A5C9D">
        <w:rPr>
          <w:rFonts w:cs="Times"/>
          <w:lang w:val="en-US"/>
        </w:rPr>
        <w:t xml:space="preserve">AT1001-012. However, an assessment of the effects of migalastat on gastrointestinal symptoms using the GSRS instrument was undertaken in </w:t>
      </w:r>
      <w:r w:rsidR="008C12CC">
        <w:rPr>
          <w:rFonts w:cs="Times"/>
          <w:lang w:val="en-US"/>
        </w:rPr>
        <w:t>S</w:t>
      </w:r>
      <w:r w:rsidRPr="004A5C9D">
        <w:rPr>
          <w:rFonts w:cs="Times"/>
          <w:lang w:val="en-US"/>
        </w:rPr>
        <w:t>tudy</w:t>
      </w:r>
      <w:r w:rsidR="008C12CC">
        <w:rPr>
          <w:rFonts w:cs="Times"/>
          <w:lang w:val="en-US"/>
        </w:rPr>
        <w:t> </w:t>
      </w:r>
      <w:r w:rsidRPr="004A5C9D">
        <w:rPr>
          <w:rFonts w:cs="Times"/>
          <w:lang w:val="en-US"/>
        </w:rPr>
        <w:t>AT1001-01</w:t>
      </w:r>
      <w:r w:rsidR="00CD308A">
        <w:rPr>
          <w:rFonts w:cs="Times"/>
          <w:lang w:val="en-US"/>
        </w:rPr>
        <w:t>.</w:t>
      </w:r>
    </w:p>
    <w:p w:rsidR="00CD308A" w:rsidRDefault="00B9675F" w:rsidP="00555A51">
      <w:pPr>
        <w:pStyle w:val="ListBullet"/>
        <w:rPr>
          <w:rFonts w:cs="Times"/>
          <w:lang w:val="en-US"/>
        </w:rPr>
      </w:pPr>
      <w:r w:rsidRPr="004A5C9D">
        <w:rPr>
          <w:rFonts w:cs="Times"/>
          <w:lang w:val="en-US"/>
        </w:rPr>
        <w:t xml:space="preserve">In </w:t>
      </w:r>
      <w:r w:rsidR="008C12CC">
        <w:rPr>
          <w:rFonts w:cs="Times"/>
          <w:lang w:val="en-US"/>
        </w:rPr>
        <w:t>S</w:t>
      </w:r>
      <w:r w:rsidR="008C12CC" w:rsidRPr="004A5C9D">
        <w:rPr>
          <w:rFonts w:cs="Times"/>
          <w:lang w:val="en-US"/>
        </w:rPr>
        <w:t xml:space="preserve">tudy </w:t>
      </w:r>
      <w:r w:rsidRPr="004A5C9D">
        <w:rPr>
          <w:rFonts w:cs="Times"/>
          <w:lang w:val="en-US"/>
        </w:rPr>
        <w:t xml:space="preserve">AT1001-011, in Stage 1 (post-hoc) there was a significant decrease in symptoms of diarrhoea from baseline to month 6 in the migalastat group compared to </w:t>
      </w:r>
      <w:r w:rsidRPr="004A5C9D">
        <w:rPr>
          <w:rFonts w:cs="Times"/>
          <w:lang w:val="en-US"/>
        </w:rPr>
        <w:lastRenderedPageBreak/>
        <w:t>the placebo group. There were no significant differences between the two groups in symptoms of constipation, reflux, abdominal pain, or indigestion. In subjects with reflux at baseline there was a significant improvement in symptoms at month 6 compared to placebo. In the OLE extension group, there were notable improvements from baseline at month 24 in diarrhoea and indigestion symptoms in all subjects treated with migalastat for 18 or 24 months and in subjects with these symptoms at baseline</w:t>
      </w:r>
      <w:r w:rsidR="00CD308A">
        <w:rPr>
          <w:rFonts w:cs="Times"/>
          <w:lang w:val="en-US"/>
        </w:rPr>
        <w:t>.</w:t>
      </w:r>
    </w:p>
    <w:p w:rsidR="00CD308A" w:rsidRDefault="00B9675F" w:rsidP="00555A51">
      <w:pPr>
        <w:pStyle w:val="Heading5"/>
      </w:pPr>
      <w:r w:rsidRPr="00715615">
        <w:t>Patient reported outcomes – SF-36 v2 and BPI</w:t>
      </w:r>
    </w:p>
    <w:p w:rsidR="00CD308A" w:rsidRDefault="00B9675F" w:rsidP="00555A51">
      <w:pPr>
        <w:pStyle w:val="ListBullet"/>
      </w:pPr>
      <w:r w:rsidRPr="004A5C9D">
        <w:t xml:space="preserve">In </w:t>
      </w:r>
      <w:r w:rsidR="008C12CC">
        <w:t>S</w:t>
      </w:r>
      <w:r w:rsidRPr="004A5C9D">
        <w:t>tudy AT1001-012, SF-36 v2 and BPI scores remained stable throughout the 18 month active-controlled treatment period in both the migalastat and ERT groups. In addition, in subjects in the OLE population SF-36 v2 and BPI scores remained stable from baseline through to month 30 in both the migalastat-migalastat and ERT-migalastat groups</w:t>
      </w:r>
      <w:r w:rsidR="00CD308A">
        <w:t>.</w:t>
      </w:r>
    </w:p>
    <w:p w:rsidR="00CD308A" w:rsidRDefault="00B9675F" w:rsidP="00555A51">
      <w:pPr>
        <w:pStyle w:val="ListBullet"/>
      </w:pPr>
      <w:r w:rsidRPr="004A5C9D">
        <w:t xml:space="preserve">In </w:t>
      </w:r>
      <w:r w:rsidR="008C12CC">
        <w:t>S</w:t>
      </w:r>
      <w:r w:rsidRPr="004A5C9D">
        <w:t>tudy AT1001-011, in subjects with abnormal baseline values improvements in the SF-36 v2 were found at month 24 in subjects treated with migalastat for 18 or 24 months for the vitality subscale (mean increase, 4.0) and the general health domain (mean increase, 4.5). No notable changes from baseline or from month 6 through to month 24 were observed for any other SF-36 v2 subscales or norm-based subscales or</w:t>
      </w:r>
      <w:r w:rsidRPr="00715615">
        <w:t xml:space="preserve"> for the physical and mental components. No notable changes from baseline or from month 6 were observed for either treatment group in the BPI short form at any time point</w:t>
      </w:r>
      <w:r w:rsidR="00CD308A">
        <w:t>.</w:t>
      </w:r>
    </w:p>
    <w:p w:rsidR="00CD308A" w:rsidRDefault="00B9675F" w:rsidP="00555A51">
      <w:pPr>
        <w:pStyle w:val="Heading5"/>
      </w:pPr>
      <w:r w:rsidRPr="00715615">
        <w:t>Plasma lyso-Gb3 concentration</w:t>
      </w:r>
    </w:p>
    <w:p w:rsidR="00CD308A" w:rsidRDefault="00B9675F" w:rsidP="00555A51">
      <w:pPr>
        <w:pStyle w:val="ListBullet"/>
      </w:pPr>
      <w:r w:rsidRPr="004A5C9D">
        <w:t>The sponsor comments that plasma lyso-Gb3 is now recognised as an important marker of Fabry disease severity. The sponsor notes that plasma lyso-Gb3 levels have been found to be markedly increased in the plasma of male subjects with Fabry disease, compared to healthy subjects. The sponsor also notes that plasma lyso-Gb3 levels have been reported to be elevated in symptomatic females with Fabry disease</w:t>
      </w:r>
      <w:r w:rsidR="00CD308A">
        <w:t>.</w:t>
      </w:r>
    </w:p>
    <w:p w:rsidR="00CD308A" w:rsidRDefault="00B9675F" w:rsidP="00555A51">
      <w:pPr>
        <w:pStyle w:val="ListBullet"/>
      </w:pPr>
      <w:r w:rsidRPr="004A5C9D">
        <w:t xml:space="preserve">The sponsor commented that in </w:t>
      </w:r>
      <w:r w:rsidR="008C12CC">
        <w:t>S</w:t>
      </w:r>
      <w:r w:rsidRPr="004A5C9D">
        <w:t>tudy AT1001-011 a majority of subjects had baseline plasma lyso-Gb</w:t>
      </w:r>
      <w:r w:rsidRPr="004A5C9D">
        <w:rPr>
          <w:vertAlign w:val="subscript"/>
        </w:rPr>
        <w:t>3</w:t>
      </w:r>
      <w:r w:rsidRPr="004A5C9D">
        <w:t xml:space="preserve"> levels comparable with those from a cohort of male and female Fabry patients with the classic phenotype reported in the literature. However, in </w:t>
      </w:r>
      <w:r w:rsidR="008C12CC">
        <w:t>S</w:t>
      </w:r>
      <w:r w:rsidR="008C12CC" w:rsidRPr="004A5C9D">
        <w:t xml:space="preserve">tudy </w:t>
      </w:r>
      <w:r w:rsidRPr="004A5C9D">
        <w:t>AT1001-012, the assessment of baseline plasma lyso-Gb</w:t>
      </w:r>
      <w:r w:rsidRPr="004A5C9D">
        <w:rPr>
          <w:vertAlign w:val="subscript"/>
        </w:rPr>
        <w:t>3</w:t>
      </w:r>
      <w:r w:rsidRPr="004A5C9D">
        <w:t xml:space="preserve"> levels was confounded by prior treatment with ERT immediately before baseline assessments</w:t>
      </w:r>
      <w:r w:rsidR="00CD308A">
        <w:t>.</w:t>
      </w:r>
    </w:p>
    <w:p w:rsidR="00CD308A" w:rsidRDefault="00B9675F" w:rsidP="00555A51">
      <w:pPr>
        <w:pStyle w:val="ListBullet"/>
      </w:pPr>
      <w:r w:rsidRPr="004A5C9D">
        <w:t xml:space="preserve">In </w:t>
      </w:r>
      <w:r w:rsidR="008C12CC">
        <w:t>S</w:t>
      </w:r>
      <w:r w:rsidR="008C12CC" w:rsidRPr="004A5C9D">
        <w:t xml:space="preserve">tudy </w:t>
      </w:r>
      <w:r w:rsidRPr="004A5C9D">
        <w:t>AT1001-012 (mITT population), the mean (</w:t>
      </w:r>
      <w:r w:rsidR="006A0F1B" w:rsidRPr="004A5C9D">
        <w:t>±</w:t>
      </w:r>
      <w:r w:rsidRPr="004A5C9D">
        <w:t xml:space="preserve"> SD) baseline plasma lyso-Gb3 concentration was 9.1 </w:t>
      </w:r>
      <w:r w:rsidR="006A0F1B" w:rsidRPr="004A5C9D">
        <w:t>±</w:t>
      </w:r>
      <w:r w:rsidRPr="004A5C9D">
        <w:t xml:space="preserve"> 10.82 nmol/L in the migalastat group (</w:t>
      </w:r>
      <w:r w:rsidR="008B05D5">
        <w:t xml:space="preserve">n = </w:t>
      </w:r>
      <w:r w:rsidRPr="004A5C9D">
        <w:t xml:space="preserve">34) and 17.7 </w:t>
      </w:r>
      <w:r w:rsidR="006A0F1B" w:rsidRPr="004A5C9D">
        <w:t>±</w:t>
      </w:r>
      <w:r w:rsidRPr="004A5C9D">
        <w:t xml:space="preserve"> 20.78 nmol/L in the ERT group (</w:t>
      </w:r>
      <w:r w:rsidR="008B05D5">
        <w:t xml:space="preserve">n = </w:t>
      </w:r>
      <w:r w:rsidRPr="004A5C9D">
        <w:t>18). The mean (</w:t>
      </w:r>
      <w:r w:rsidR="006A0F1B" w:rsidRPr="004A5C9D">
        <w:t>±</w:t>
      </w:r>
      <w:r w:rsidRPr="004A5C9D">
        <w:t xml:space="preserve">SD) change from baseline to month 18 was </w:t>
      </w:r>
      <w:proofErr w:type="gramStart"/>
      <w:r w:rsidRPr="004A5C9D">
        <w:t xml:space="preserve">+1.7 </w:t>
      </w:r>
      <w:r w:rsidR="006A0F1B" w:rsidRPr="004A5C9D">
        <w:t>±</w:t>
      </w:r>
      <w:r w:rsidRPr="004A5C9D">
        <w:t xml:space="preserve"> 5.5 nmol/L in the migalastat group and -1.9 </w:t>
      </w:r>
      <w:r w:rsidR="006A0F1B" w:rsidRPr="004A5C9D">
        <w:t>±</w:t>
      </w:r>
      <w:r w:rsidRPr="004A5C9D">
        <w:t xml:space="preserve"> 5.0 in the ERT group</w:t>
      </w:r>
      <w:proofErr w:type="gramEnd"/>
      <w:r w:rsidRPr="004A5C9D">
        <w:t>. The results indicate that baseline concentrations were low in both treatment groups and remained stable over 18 months of treatment. No notable difference was observed between the migalastat and ERT groups in the mean change from baseline to month 18. The 30 month data in the migalastat-migalastat group (</w:t>
      </w:r>
      <w:r w:rsidR="008B05D5">
        <w:t xml:space="preserve">n = </w:t>
      </w:r>
      <w:r w:rsidRPr="004A5C9D">
        <w:t xml:space="preserve">31) in the OLE population indicates that plasma lyso-Gb3 concentrations remained stable from baseline to month 30 (mean </w:t>
      </w:r>
      <w:r w:rsidR="006A0F1B" w:rsidRPr="004A5C9D">
        <w:t>±</w:t>
      </w:r>
      <w:r w:rsidRPr="004A5C9D">
        <w:t xml:space="preserve"> SEM change = +3.6 </w:t>
      </w:r>
      <w:r w:rsidR="006A0F1B" w:rsidRPr="004A5C9D">
        <w:t>±</w:t>
      </w:r>
      <w:r w:rsidRPr="004A5C9D">
        <w:t xml:space="preserve"> 2.50 nmol/L). Overall, the data from </w:t>
      </w:r>
      <w:r w:rsidR="008C12CC">
        <w:t>S</w:t>
      </w:r>
      <w:r w:rsidRPr="004A5C9D">
        <w:t>tudy AT1001-012 indicate that migalastat and ERT have comparable effects on plasma lyso-Gb3 levels and that the effects of migalastat on this parameter are durable</w:t>
      </w:r>
      <w:r w:rsidR="00CD308A">
        <w:t>.</w:t>
      </w:r>
    </w:p>
    <w:p w:rsidR="00CD308A" w:rsidRDefault="00B9675F" w:rsidP="00555A51">
      <w:pPr>
        <w:pStyle w:val="ListBullet"/>
      </w:pPr>
      <w:r w:rsidRPr="004A5C9D">
        <w:t xml:space="preserve">In </w:t>
      </w:r>
      <w:r w:rsidR="008C12CC">
        <w:t>S</w:t>
      </w:r>
      <w:r w:rsidRPr="004A5C9D">
        <w:t>tudy AT1001-011, the results for plasma lyso-Gb3 levels in subjects with available samples (</w:t>
      </w:r>
      <w:r w:rsidR="008B05D5">
        <w:t xml:space="preserve">n = </w:t>
      </w:r>
      <w:r w:rsidRPr="004A5C9D">
        <w:t>31) in the ITT population showed a statistically significantly greater mean (</w:t>
      </w:r>
      <w:r w:rsidR="006A0F1B" w:rsidRPr="004A5C9D">
        <w:t>±</w:t>
      </w:r>
      <w:r w:rsidRPr="004A5C9D">
        <w:t xml:space="preserve">SD) reduction from baseline to month 6 in the migalastat group compared to the placebo group (-11.22 </w:t>
      </w:r>
      <w:r w:rsidR="006A0F1B" w:rsidRPr="004A5C9D">
        <w:t>±</w:t>
      </w:r>
      <w:r w:rsidRPr="004A5C9D">
        <w:t xml:space="preserve"> 20.196 v</w:t>
      </w:r>
      <w:r w:rsidR="004A5C9D">
        <w:t>ersu</w:t>
      </w:r>
      <w:r w:rsidRPr="004A5C9D">
        <w:t xml:space="preserve">s +0.58 </w:t>
      </w:r>
      <w:r w:rsidR="006A0F1B" w:rsidRPr="004A5C9D">
        <w:t>±</w:t>
      </w:r>
      <w:r w:rsidRPr="004A5C9D">
        <w:t xml:space="preserve"> 8.548 nmol/L; difference in LS means = -11.4 (95% CI: -18.7, -4.1), p</w:t>
      </w:r>
      <w:r w:rsidR="008C12CC">
        <w:t xml:space="preserve"> </w:t>
      </w:r>
      <w:r w:rsidRPr="004A5C9D">
        <w:t>=</w:t>
      </w:r>
      <w:r w:rsidR="008C12CC">
        <w:t xml:space="preserve"> </w:t>
      </w:r>
      <w:r w:rsidRPr="004A5C9D">
        <w:t>0.0033. In Stage 2, in subjects (</w:t>
      </w:r>
      <w:r w:rsidR="008B05D5">
        <w:t xml:space="preserve">n = </w:t>
      </w:r>
      <w:r w:rsidRPr="004A5C9D">
        <w:t xml:space="preserve">13) in the </w:t>
      </w:r>
      <w:r w:rsidRPr="004A5C9D">
        <w:lastRenderedPageBreak/>
        <w:t>placebo-migalastat group with available samples in the ITT population the mean (</w:t>
      </w:r>
      <w:r w:rsidR="006A0F1B" w:rsidRPr="004A5C9D">
        <w:t>±</w:t>
      </w:r>
      <w:r w:rsidRPr="004A5C9D">
        <w:t>SD) reduction in plasma lyso-Gb3 level from month 6 to month 12 (</w:t>
      </w:r>
      <w:r w:rsidR="008C12CC">
        <w:t>that is,</w:t>
      </w:r>
      <w:r w:rsidRPr="004A5C9D">
        <w:t xml:space="preserve"> migalastat treatment) was statistically significantly greater than from baseline to month 6 (i.e., placebo treatment): -15.49 </w:t>
      </w:r>
      <w:r w:rsidR="006A0F1B" w:rsidRPr="004A5C9D">
        <w:t>±</w:t>
      </w:r>
      <w:r w:rsidRPr="004A5C9D">
        <w:t xml:space="preserve"> 22.199</w:t>
      </w:r>
      <w:r w:rsidR="00D87C4B">
        <w:t xml:space="preserve"> versus </w:t>
      </w:r>
      <w:r w:rsidRPr="004A5C9D">
        <w:t>+0.58</w:t>
      </w:r>
      <w:r w:rsidR="006A0F1B" w:rsidRPr="004A5C9D">
        <w:t>±</w:t>
      </w:r>
      <w:r w:rsidRPr="004A5C9D">
        <w:t xml:space="preserve">8.548 nmol/L, respectively; mean </w:t>
      </w:r>
      <w:r w:rsidR="006A0F1B" w:rsidRPr="004A5C9D">
        <w:t>±</w:t>
      </w:r>
      <w:r w:rsidRPr="004A5C9D">
        <w:t xml:space="preserve"> SD difference = -16.06 </w:t>
      </w:r>
      <w:r w:rsidR="006A0F1B" w:rsidRPr="004A5C9D">
        <w:t>±</w:t>
      </w:r>
      <w:r w:rsidRPr="004A5C9D">
        <w:t xml:space="preserve"> 28.117 nmol/L, p &lt; 0.0001 (ANCOVA)</w:t>
      </w:r>
      <w:r w:rsidR="00CD308A">
        <w:t>.</w:t>
      </w:r>
    </w:p>
    <w:p w:rsidR="00B9675F" w:rsidRPr="00715615" w:rsidRDefault="00B9675F" w:rsidP="00555A51">
      <w:pPr>
        <w:pStyle w:val="Heading5"/>
      </w:pPr>
      <w:r w:rsidRPr="00715615">
        <w:t>Composite clinical benefits</w:t>
      </w:r>
    </w:p>
    <w:p w:rsidR="00CD308A" w:rsidRDefault="00B9675F" w:rsidP="00555A51">
      <w:pPr>
        <w:pStyle w:val="ListBullet"/>
      </w:pPr>
      <w:r w:rsidRPr="004A5C9D">
        <w:t xml:space="preserve">In </w:t>
      </w:r>
      <w:r w:rsidR="008C12CC">
        <w:t>S</w:t>
      </w:r>
      <w:r w:rsidR="008C12CC" w:rsidRPr="004A5C9D">
        <w:t xml:space="preserve">tudy </w:t>
      </w:r>
      <w:r w:rsidRPr="004A5C9D">
        <w:t>AT1001-012 (mITT population), the percentage of subjects who had a renal, cardiac, or cerebrovascular event or death (composite clinical outcome) during the 18 month treatment period was 29% in the migalastat group and 44% in the ERT group. The percentage of subjects who had a renal event was 24% and 33%, respectively, and the percentage of subjects who had a cardiac event was 6% and 17%, respectively. Only 1 cerebrovascular event occurred (transient ischemic attack in the ERT group), and no subjects died during the 18 month treatment period. No subjects in the migalastat group had events in 2 or more different categories, while 2 subjects in the ERT group had events in 2 or more different categories (both subjects had events in the cardiac and renal categories).</w:t>
      </w:r>
    </w:p>
    <w:p w:rsidR="00CD308A" w:rsidRDefault="00B9675F" w:rsidP="00555A51">
      <w:pPr>
        <w:pStyle w:val="ListBullet"/>
      </w:pPr>
      <w:r w:rsidRPr="004A5C9D">
        <w:t xml:space="preserve">In </w:t>
      </w:r>
      <w:r w:rsidR="008C12CC">
        <w:t>S</w:t>
      </w:r>
      <w:r w:rsidRPr="004A5C9D">
        <w:t>tudy AT1001-012, percentage of subjects in the OLE population who had a composite clinical outcome through to month 30 was 32% in the migalastat-migalastat group. The percentage of subjects with a renal event or cardiac event was 29% and 3%, respectively. No cerebrovascular events occurred, and no subjects died. No subjects in the migalastat-migalastat group with amenable mutations had events in 2 or more different categories</w:t>
      </w:r>
    </w:p>
    <w:p w:rsidR="00CD308A" w:rsidRDefault="00B9675F" w:rsidP="00555A51">
      <w:pPr>
        <w:pStyle w:val="ListBullet"/>
      </w:pPr>
      <w:r w:rsidRPr="004A5C9D">
        <w:t xml:space="preserve">In </w:t>
      </w:r>
      <w:r w:rsidR="008C12CC">
        <w:t>S</w:t>
      </w:r>
      <w:r w:rsidRPr="004A5C9D">
        <w:t>tudy AT1001-011, a post-hoc analysis of the composite clinical in GLA amenable subjects in Stage 1 (month 0</w:t>
      </w:r>
      <w:r w:rsidR="008C12CC">
        <w:t xml:space="preserve"> to </w:t>
      </w:r>
      <w:r w:rsidRPr="004A5C9D">
        <w:t>6, placebo-controlled treatment period) showed that 21% (6/28) of subjects in the migalastat group had an event compared to 18% (4/22) of subjects in the placebo group. All events in both groups were renal events, with no cardiac or cerebrovascular events being reported in either treatment group</w:t>
      </w:r>
      <w:r w:rsidR="00CD308A">
        <w:t>.</w:t>
      </w:r>
    </w:p>
    <w:p w:rsidR="00605AD4" w:rsidRPr="00605AD4" w:rsidRDefault="00605AD4" w:rsidP="00605AD4">
      <w:pPr>
        <w:pStyle w:val="Heading4"/>
      </w:pPr>
      <w:r w:rsidRPr="00605AD4">
        <w:t>First round assessment of risks</w:t>
      </w:r>
    </w:p>
    <w:p w:rsidR="00555A51" w:rsidRPr="00CE61D6" w:rsidRDefault="00555A51" w:rsidP="00CE61D6">
      <w:r w:rsidRPr="00CE61D6">
        <w:t xml:space="preserve">The submitted safety data suggest that the risks of treatment with migalastat for the treatment of Fabry disease are acceptable and are comparable to those associated with ERT for treatment of this condition. In the 20 studies in the migalastat development program, 386 subjects have been exposed to migalastat including 168 subjects with Fabry disease. Of the 168 subjects with Fabry disease exposed to migalastat, 119 have been treated for at least 1 year. The longest exposure up to 2 November 2015 was 9.8 years in 1 patient from </w:t>
      </w:r>
      <w:r w:rsidR="008C12CC">
        <w:t>Study</w:t>
      </w:r>
      <w:r w:rsidRPr="00CE61D6">
        <w:t xml:space="preserve"> FAB-CL-205 who continued treatment in the long-term safety </w:t>
      </w:r>
      <w:r w:rsidR="008C12CC">
        <w:t>Study</w:t>
      </w:r>
      <w:r w:rsidRPr="00CE61D6">
        <w:t xml:space="preserve"> AT1001-041.</w:t>
      </w:r>
    </w:p>
    <w:p w:rsidR="00CD308A" w:rsidRDefault="00555A51" w:rsidP="00CE61D6">
      <w:r w:rsidRPr="00CE61D6">
        <w:t>Based on the total number of subjects with Fabry disease exposed to migalastat (</w:t>
      </w:r>
      <w:r w:rsidR="008B05D5">
        <w:t xml:space="preserve">n = </w:t>
      </w:r>
      <w:r w:rsidRPr="00CE61D6">
        <w:t>168) and the “rule of threes” it can be reasonably inferred that the sample size is large enough to identify adverse reactions occurring with an incidence of approximately ≥ 1% (i.e., common or frequent), but is too small to reliable detect adverse reactions occurring with an incidence of &lt; 1%. In the combined data from studies AT1001-011 and AT-1001-012, the lowest identified incidence of treatment-related TEAEs with migalastat was 0.9%. Furthermore, the number of subjects treated with migalastat for at least 1 year (</w:t>
      </w:r>
      <w:r w:rsidR="008B05D5">
        <w:t xml:space="preserve">n = </w:t>
      </w:r>
      <w:r w:rsidRPr="00CE61D6">
        <w:t>119) is too small to fully characterise the risks of long-term treatment. However, based on the totality of the available safety data significant adverse events associated with long-term treatment appear to be unlikely. In the two Phase 3 studies there were only 6 subjects aged &gt; 65 years and the oldest subject in the studies was aged 72 years. Therefore, there are uncertainties regarding the safety of migalastat in patients aged &gt; 65 years, although there is no reason to assume that it will be markedly different from patients aged &lt; 65 years</w:t>
      </w:r>
      <w:r w:rsidR="00CD308A">
        <w:t>.</w:t>
      </w:r>
    </w:p>
    <w:p w:rsidR="00CD308A" w:rsidRDefault="00555A51" w:rsidP="00CE61D6">
      <w:r w:rsidRPr="00CE61D6">
        <w:lastRenderedPageBreak/>
        <w:t>While the number of subjects with Fabry treated with migalastat in the submitted dataset is small it needs to be considered in the context of the rarity of the disease being treated. No serious safety issues with migalastat were identified and the safety profile of the drug does not appear to be inferior to that of ERT. Therefore, it is considered that the safety of migalastat for the treatment of Fabry disease has been adequately characterised in the submitted data. Further information relating to uncommon, rare and very rare adverse reactions associated with the drug is most likely to emerge from post-marketing safety data. It is noted that the sponsor proposes that Australian patients treated with migalastat be entered on an international registry. If migalastat is approved, then this should be a condition of registration for the drug.</w:t>
      </w:r>
    </w:p>
    <w:p w:rsidR="00CD308A" w:rsidRDefault="00555A51" w:rsidP="00CE61D6">
      <w:r w:rsidRPr="00CE61D6">
        <w:t xml:space="preserve">There were no deaths in </w:t>
      </w:r>
      <w:r w:rsidR="008C12CC">
        <w:t>Study</w:t>
      </w:r>
      <w:r w:rsidRPr="00CE61D6">
        <w:t xml:space="preserve"> AT1001-012 or </w:t>
      </w:r>
      <w:r w:rsidR="008C12CC">
        <w:t>Study</w:t>
      </w:r>
      <w:r w:rsidRPr="00CE61D6">
        <w:t xml:space="preserve"> AT1001-011 in the 115 subjects treated with migalastat through to 30 months. There have been two deaths reported in subjects treated with migalastat in the clinical development program, both of which occurred in the long-term extension </w:t>
      </w:r>
      <w:r w:rsidR="008C12CC">
        <w:t>Study</w:t>
      </w:r>
      <w:r w:rsidRPr="00CE61D6">
        <w:t xml:space="preserve"> AT1001-041 (</w:t>
      </w:r>
      <w:r w:rsidR="008B05D5">
        <w:t xml:space="preserve">n = </w:t>
      </w:r>
      <w:r w:rsidRPr="00CE61D6">
        <w:t>85) and both of which were considered by investigators to be unrelated to the study drug (1 death in a female with Stage III Breast Cancer; and 1 death due to unknown cause in a male with multiple cardiovascular risk factors)</w:t>
      </w:r>
      <w:r w:rsidR="00CD308A">
        <w:t>.</w:t>
      </w:r>
    </w:p>
    <w:p w:rsidR="00CD308A" w:rsidRDefault="00555A51" w:rsidP="00CE61D6">
      <w:r w:rsidRPr="00CE61D6">
        <w:t xml:space="preserve">In </w:t>
      </w:r>
      <w:r w:rsidR="008C12CC">
        <w:t>Study</w:t>
      </w:r>
      <w:r w:rsidRPr="00CE61D6">
        <w:t xml:space="preserve"> AT1001-012, a total of 16 (31%) subjects in the all migalastat group (</w:t>
      </w:r>
      <w:r w:rsidR="008B05D5">
        <w:t xml:space="preserve">n = </w:t>
      </w:r>
      <w:r w:rsidRPr="00CE61D6">
        <w:t>51) experienced 20 treatment-emergent SAEs during the study (0-30 months). Treatment-emergent SAEs following migalastat experienced by ≥ 2 subjects were chest pain (</w:t>
      </w:r>
      <w:r w:rsidR="008B05D5">
        <w:t xml:space="preserve">n = </w:t>
      </w:r>
      <w:r w:rsidRPr="00CE61D6">
        <w:t>2) and obesity (</w:t>
      </w:r>
      <w:r w:rsidR="008B05D5">
        <w:t xml:space="preserve">n = </w:t>
      </w:r>
      <w:r w:rsidRPr="00CE61D6">
        <w:t>2). Other treatment-emergent SAEs reported in 1 subject were pneumonia, proteinuria, suicidal ideation, endocarditis, embolic stroke, ventricular tachycardia, perineal abscess, haemoptysis, phaeochromocytoma, upper limb fracture, bile stone, hernia eventration, abdominal pain, transient ischaemic attack, vision blurred, hypoaesthesia, vertigo, chronic cardiac failure, atrial fibrillation, and dyspnoea. Subjects could have experienced more than 1 treatment-emergent SAEs and events could have been reported more than once in the same subject. The only treatment-emergent SAEs reported to be treatment-related was proteinuria in 1 subject</w:t>
      </w:r>
      <w:r w:rsidR="00CD308A">
        <w:t>.</w:t>
      </w:r>
    </w:p>
    <w:p w:rsidR="00CD308A" w:rsidRDefault="00555A51" w:rsidP="00CE61D6">
      <w:r w:rsidRPr="00CE61D6">
        <w:t xml:space="preserve">In </w:t>
      </w:r>
      <w:r w:rsidR="008C12CC">
        <w:t>Study</w:t>
      </w:r>
      <w:r w:rsidRPr="00CE61D6">
        <w:t xml:space="preserve"> AT1001-011, a total of 19 (28%) subjects in the safety population treated with migalastat (</w:t>
      </w:r>
      <w:r w:rsidR="008B05D5">
        <w:t xml:space="preserve">n = </w:t>
      </w:r>
      <w:r w:rsidRPr="00CE61D6">
        <w:t>67) experienced 26 treatment emergent SAEs during the study (0-24 months). Treatment-emergent SAEs following migalastat experienced by ≥ 2 subjects were pulmonary embolism (</w:t>
      </w:r>
      <w:r w:rsidR="008B05D5">
        <w:t xml:space="preserve">n = </w:t>
      </w:r>
      <w:r w:rsidRPr="00CE61D6">
        <w:t>2) and procedural complications (</w:t>
      </w:r>
      <w:r w:rsidR="008B05D5">
        <w:t xml:space="preserve">n = </w:t>
      </w:r>
      <w:r w:rsidRPr="00CE61D6">
        <w:t xml:space="preserve">2) (post-procedural haematoma </w:t>
      </w:r>
      <w:r w:rsidR="00D87C4B">
        <w:t>(</w:t>
      </w:r>
      <w:r w:rsidR="008B05D5">
        <w:t>x 1</w:t>
      </w:r>
      <w:r w:rsidR="00D87C4B">
        <w:t>)</w:t>
      </w:r>
      <w:r w:rsidRPr="00CE61D6">
        <w:t xml:space="preserve">; post-procedural haemorrhage </w:t>
      </w:r>
      <w:r w:rsidR="00D87C4B">
        <w:t>(</w:t>
      </w:r>
      <w:r w:rsidR="008B05D5">
        <w:t>x 1</w:t>
      </w:r>
      <w:r w:rsidR="00D87C4B">
        <w:t>)</w:t>
      </w:r>
      <w:r w:rsidRPr="00CE61D6">
        <w:t>). Other treatment-emergent SAEs reported in 1 subject were malaise, amyotrophic lateral sclerosis, cerebral haemorrhage, pneumothorax, hydronephrosis, palpitations, ventricular tachycardia, constipation, transient ischaemic attack, fatigue, paraesthesia, bone cyst, anaplastic large cell lymphoma, syncope, abdominal pain lower, deep vein thrombosis, non-cardiac chest pain, viral meningitis, multiple fractures, helicobacter gastritis, and bacterial infection. Subjects could have experienced more than 1 treatment-emergent SAEs and events could have been reported more than once in the same subject. There were two treatment-emergent SAEs reported to be treatment-related, and both occurred in the same subject (fatigue and paraesthesia)</w:t>
      </w:r>
      <w:r w:rsidR="00CD308A">
        <w:t>.</w:t>
      </w:r>
    </w:p>
    <w:p w:rsidR="00CD308A" w:rsidRDefault="00555A51" w:rsidP="00CE61D6">
      <w:r w:rsidRPr="00CE61D6">
        <w:t>Treatment-related TEAEs for migalastat pooled from studies AT1001-011 and AT100-12 showed that the most commonly reported event was headache (10.4%), with no other events being reported in ≥ 10% of subjects. Treatment-related TEAEs reported in ≥ 1% to ≤ 10% of migalastat treated subjects in the pooled data included diarrhoea (7.8%), paraesthesia (5.2%), nausea (5.2%), dizziness (4.3%), rash (2.6%), vertigo (2.6%), abdominal pain (2.6%), constipation (2.6%), dry mouth (2.6%), fatigue (2.6%), incorrect dose administers (2.6%), creatine kinase increased (2.6%), weight increased (2.6%), hypoaesthesia (1.7%), depression (1.7%), proteinuria (1.7%), dyspnoea (1.7%), epistaxis (1.7%), pruritus (1.7%), defecation urgency (1.7%), dyspepsia (1.7%), muscle spasms (1.7%), myalgia (1.7%), and tortico</w:t>
      </w:r>
      <w:r w:rsidR="004B4270">
        <w:t>llis (1.7%). There were a number</w:t>
      </w:r>
      <w:r w:rsidRPr="00CE61D6">
        <w:t xml:space="preserve"> of treatment-related </w:t>
      </w:r>
      <w:r w:rsidRPr="00CE61D6">
        <w:lastRenderedPageBreak/>
        <w:t>TEAEs reported in &lt; 1% of migalastat treated subjects in the pooled data (each event occurring with an incidence of 0.9%). Treatment related TEAEs reported in migalastat treated patients in the pooled data from studies AT1001-011 and AT100-12 are summarised</w:t>
      </w:r>
      <w:r w:rsidR="00CD308A">
        <w:t>.</w:t>
      </w:r>
    </w:p>
    <w:p w:rsidR="00CD308A" w:rsidRDefault="00555A51" w:rsidP="00CE61D6">
      <w:r w:rsidRPr="00CE61D6">
        <w:t xml:space="preserve">In both </w:t>
      </w:r>
      <w:r w:rsidR="008C12CC">
        <w:t>Study</w:t>
      </w:r>
      <w:r w:rsidRPr="00CE61D6">
        <w:t xml:space="preserve"> AT1001-011 and </w:t>
      </w:r>
      <w:r w:rsidR="008C12CC">
        <w:t>Study</w:t>
      </w:r>
      <w:r w:rsidRPr="00CE61D6">
        <w:t xml:space="preserve"> AT1001-012, the majority of TEAEs were mild to moderate in severity and did not result in treatment discontinuation. In the overall safety population in </w:t>
      </w:r>
      <w:r w:rsidR="008C12CC">
        <w:t>Study</w:t>
      </w:r>
      <w:r w:rsidRPr="00CE61D6">
        <w:t xml:space="preserve"> AT1001-001 (</w:t>
      </w:r>
      <w:r w:rsidR="008B05D5">
        <w:t xml:space="preserve">n = </w:t>
      </w:r>
      <w:r w:rsidRPr="00CE61D6">
        <w:t xml:space="preserve">67) including patients treated for up to 24 months, discontinuations due to TEAEs (both considered unrelated to treatment) were reported in 2 (3%) subjects treated with migalastat (anaplastic large cell lymphoma and amyotrophic lateral sclerosis). No subjects in </w:t>
      </w:r>
      <w:r w:rsidR="008C12CC">
        <w:t>Study</w:t>
      </w:r>
      <w:r w:rsidRPr="00CE61D6">
        <w:t xml:space="preserve"> AT1001-012 in the all migalastat group (</w:t>
      </w:r>
      <w:r w:rsidR="008B05D5">
        <w:t xml:space="preserve">n = </w:t>
      </w:r>
      <w:r w:rsidRPr="00CE61D6">
        <w:t xml:space="preserve">51) treated for up to 30 months discontinued treatment due to TEAEs. In the long-term </w:t>
      </w:r>
      <w:r w:rsidR="008C12CC">
        <w:t>Study</w:t>
      </w:r>
      <w:r w:rsidRPr="00CE61D6">
        <w:t xml:space="preserve"> AT1001-041, 1 (1.2%) subject treated with migalastat discontinued due to a TEAE (metastatic squamous cell carcinoma, unrelated to treatment). Overall, the data suggest that the TEAEs reported in association with migalastat resolved either spontaneously or with supportive and/or symptomatic treatment</w:t>
      </w:r>
      <w:r w:rsidR="00CD308A">
        <w:t>.</w:t>
      </w:r>
    </w:p>
    <w:p w:rsidR="00CD308A" w:rsidRDefault="00555A51" w:rsidP="00CE61D6">
      <w:r w:rsidRPr="00CE61D6">
        <w:t xml:space="preserve">In </w:t>
      </w:r>
      <w:r w:rsidR="008C12CC">
        <w:t>Study</w:t>
      </w:r>
      <w:r w:rsidRPr="00CE61D6">
        <w:t xml:space="preserve"> AT1001-012 (0-18 months), TEAEs were reported in a similar proportion of subjects in the migalastat and ERT groups (94% </w:t>
      </w:r>
      <w:r w:rsidR="00D87C4B">
        <w:t>(</w:t>
      </w:r>
      <w:r w:rsidRPr="00CE61D6">
        <w:t>34/36</w:t>
      </w:r>
      <w:r w:rsidR="00D87C4B">
        <w:t xml:space="preserve">) versus </w:t>
      </w:r>
      <w:r w:rsidRPr="00CE61D6">
        <w:t xml:space="preserve">95% </w:t>
      </w:r>
      <w:r w:rsidR="00D87C4B">
        <w:t>(</w:t>
      </w:r>
      <w:r w:rsidRPr="00CE61D6">
        <w:t>20/21</w:t>
      </w:r>
      <w:r w:rsidR="00D87C4B">
        <w:t>)</w:t>
      </w:r>
      <w:r w:rsidRPr="00CE61D6">
        <w:t>, respectively). TEAEs reported in ≥ 10% of subjects in the migalastat group were nasopharyngitis (33%), headache (25%), dizziness (17%), influenza (14%), abdominal pain (14%), diarrhoea (14%), nauseas (14%), back pain (11%), upper respiratory tract infection (11%) and urinary tract infection (11%). TEAEs reported in ≥ 10% of subjects in either treatment group and in ≥ 5% more subjects in the migalastat group than in the ERT group were dizziness (17%</w:t>
      </w:r>
      <w:r w:rsidR="00D87C4B">
        <w:t xml:space="preserve"> versus </w:t>
      </w:r>
      <w:r w:rsidRPr="00CE61D6">
        <w:t>10%), upper respiratory tract infection (11%</w:t>
      </w:r>
      <w:r w:rsidR="00D87C4B">
        <w:t xml:space="preserve"> versus </w:t>
      </w:r>
      <w:r w:rsidRPr="00CE61D6">
        <w:t>5%), and urinary tract infection (11%</w:t>
      </w:r>
      <w:r w:rsidR="00D87C4B">
        <w:t xml:space="preserve"> versus </w:t>
      </w:r>
      <w:r w:rsidRPr="00CE61D6">
        <w:t>5%). TEAEs reported in ≥ 10% of subjects in either treatment group and in ≥ 5% more subjects in the ERT group than in the migalastat group were cough (24%</w:t>
      </w:r>
      <w:r w:rsidR="00D87C4B">
        <w:t xml:space="preserve"> versus </w:t>
      </w:r>
      <w:r w:rsidRPr="00CE61D6">
        <w:t>8%), influenza (19%</w:t>
      </w:r>
      <w:r w:rsidR="00D87C4B">
        <w:t xml:space="preserve"> versus </w:t>
      </w:r>
      <w:r w:rsidRPr="00CE61D6">
        <w:t>14%), vomiting (14%</w:t>
      </w:r>
      <w:r w:rsidR="00D87C4B">
        <w:t xml:space="preserve"> versus </w:t>
      </w:r>
      <w:r w:rsidRPr="00CE61D6">
        <w:t>8%), sinusitis (14%</w:t>
      </w:r>
      <w:r w:rsidR="00D87C4B">
        <w:t xml:space="preserve"> versus </w:t>
      </w:r>
      <w:r w:rsidRPr="00CE61D6">
        <w:t>8%), bronchitis (14%</w:t>
      </w:r>
      <w:r w:rsidR="00D87C4B">
        <w:t xml:space="preserve"> versus </w:t>
      </w:r>
      <w:r w:rsidRPr="00CE61D6">
        <w:t>6%), vertigo (10%</w:t>
      </w:r>
      <w:r w:rsidR="00D87C4B">
        <w:t xml:space="preserve"> versus </w:t>
      </w:r>
      <w:r w:rsidRPr="00CE61D6">
        <w:t>3%), dry mouth (10%</w:t>
      </w:r>
      <w:r w:rsidR="00D87C4B">
        <w:t xml:space="preserve"> versus </w:t>
      </w:r>
      <w:r w:rsidRPr="00CE61D6">
        <w:t>3%), gastritis (10%</w:t>
      </w:r>
      <w:r w:rsidR="00D87C4B">
        <w:t xml:space="preserve"> versus </w:t>
      </w:r>
      <w:r w:rsidRPr="00CE61D6">
        <w:t>3%), pain in extremity (10%</w:t>
      </w:r>
      <w:r w:rsidR="00D87C4B">
        <w:t xml:space="preserve"> versus </w:t>
      </w:r>
      <w:r w:rsidRPr="00CE61D6">
        <w:t>3%), dyspnoea (10%</w:t>
      </w:r>
      <w:r w:rsidR="00D87C4B">
        <w:t xml:space="preserve"> versus </w:t>
      </w:r>
      <w:r w:rsidRPr="00CE61D6">
        <w:t>3%), and procedural pain (10%</w:t>
      </w:r>
      <w:r w:rsidR="00D87C4B">
        <w:t xml:space="preserve"> versus </w:t>
      </w:r>
      <w:r w:rsidRPr="00CE61D6">
        <w:t>0%)</w:t>
      </w:r>
      <w:r w:rsidR="00CD308A">
        <w:t>.</w:t>
      </w:r>
    </w:p>
    <w:p w:rsidR="00CD308A" w:rsidRDefault="00555A51" w:rsidP="00CE61D6">
      <w:r w:rsidRPr="00CE61D6">
        <w:t xml:space="preserve">In </w:t>
      </w:r>
      <w:r w:rsidR="008C12CC">
        <w:t>Study</w:t>
      </w:r>
      <w:r w:rsidRPr="00CE61D6">
        <w:t xml:space="preserve"> AT1001-012 (0-30 months), TEAEs were reported in 98% (50/51) of subjects in the all migalastat group. The pattern of TEAEs in the all migalastat group (0-30 months) was consistent with the pattern of TEAEs in the migalastat group (0-18 months). TEAEs reported in ≥ 20% of subjects in the all migalastat group (0-30 months) were nasopharyngitis (41%), headache (31%), influenza (24%), and diarrhoea (22%)</w:t>
      </w:r>
      <w:r w:rsidR="00CD308A">
        <w:t>.</w:t>
      </w:r>
    </w:p>
    <w:p w:rsidR="00CD308A" w:rsidRDefault="00555A51" w:rsidP="00CE61D6">
      <w:r w:rsidRPr="00CE61D6">
        <w:t xml:space="preserve">In </w:t>
      </w:r>
      <w:r w:rsidR="008C12CC">
        <w:t>Study</w:t>
      </w:r>
      <w:r w:rsidRPr="00CE61D6">
        <w:t xml:space="preserve"> AT1001-011 (0-6 months), TEAEs were reported in the majority of subjects in both the migalastat and placebo groups (91% </w:t>
      </w:r>
      <w:r w:rsidR="00D87C4B">
        <w:t>(</w:t>
      </w:r>
      <w:r w:rsidR="008B05D5">
        <w:t xml:space="preserve">n = </w:t>
      </w:r>
      <w:r w:rsidRPr="00CE61D6">
        <w:t>31/34</w:t>
      </w:r>
      <w:r w:rsidR="00D87C4B">
        <w:t xml:space="preserve">) versus </w:t>
      </w:r>
      <w:r w:rsidRPr="00CE61D6">
        <w:t xml:space="preserve">91% </w:t>
      </w:r>
      <w:r w:rsidR="00D87C4B">
        <w:t>(</w:t>
      </w:r>
      <w:r w:rsidRPr="00CE61D6">
        <w:t>30/33</w:t>
      </w:r>
      <w:r w:rsidR="00D87C4B">
        <w:t>)</w:t>
      </w:r>
      <w:r w:rsidRPr="00CE61D6">
        <w:t>, respectively). TEAEs reported in ≥ 10% of subjects in the migalastat group were headache (35%), nasophyaryngitis (18%), fatigue (12%), paraesthesia (12%), and nausea (12%). TEAEs reported in ≥ 10% of subjects in the migalastat group and in ≥ 5% more subjects than in the placebo group were headache (35%</w:t>
      </w:r>
      <w:r w:rsidR="00D87C4B">
        <w:t xml:space="preserve"> versus </w:t>
      </w:r>
      <w:r w:rsidRPr="00CE61D6">
        <w:t>21%), nasophyaryngitis (18%</w:t>
      </w:r>
      <w:r w:rsidR="00D87C4B">
        <w:t xml:space="preserve"> versus </w:t>
      </w:r>
      <w:r w:rsidRPr="00CE61D6">
        <w:t>6%), pyrexia (12%</w:t>
      </w:r>
      <w:r w:rsidR="00D87C4B">
        <w:t xml:space="preserve"> versus </w:t>
      </w:r>
      <w:r w:rsidRPr="00CE61D6">
        <w:t>3%), and nausea (12%</w:t>
      </w:r>
      <w:r w:rsidR="00D87C4B">
        <w:t xml:space="preserve"> versus </w:t>
      </w:r>
      <w:r w:rsidRPr="00CE61D6">
        <w:t>6%). The only TEAE reported in ≥ 10% of subjects in the placebo group and in ≥ 5% more subjects than in the migalastat group was pain in extremity (12%</w:t>
      </w:r>
      <w:r w:rsidR="00D87C4B">
        <w:t xml:space="preserve"> versus </w:t>
      </w:r>
      <w:r w:rsidRPr="00CE61D6">
        <w:t>0%)</w:t>
      </w:r>
      <w:r w:rsidR="00CD308A">
        <w:t>.</w:t>
      </w:r>
    </w:p>
    <w:p w:rsidR="00CD308A" w:rsidRDefault="00555A51" w:rsidP="00CE61D6">
      <w:r w:rsidRPr="00CE61D6">
        <w:t xml:space="preserve">In </w:t>
      </w:r>
      <w:r w:rsidR="008C12CC">
        <w:t>Study</w:t>
      </w:r>
      <w:r w:rsidRPr="00CE61D6">
        <w:t xml:space="preserve"> AT1001-011, TEAEs in the Stage 2 population (6-12 months) were reported in 79% (50/63) of the total number of subjects treated with migalastat and in the OLE population (12-24 months) TEAEs were reported in 84% (48/57) of the total number of subjects treated with migalastat. In the 6-12 month period, TEAEs reported in ≥ 10% of the total number of subjects were headache (14%) and procedural pain (11%). Data presented by the sponsor indicates that procedural pain in the migalastat group in </w:t>
      </w:r>
      <w:r w:rsidR="008C12CC">
        <w:t>Study</w:t>
      </w:r>
      <w:r w:rsidRPr="00CE61D6">
        <w:t xml:space="preserve"> AT1001-011 was primarily associated with renal biopsies undertaken in order to assess the GL-3 burden.  In the 12-24 month period, TEAEs reported in ≥ 10% of the total number of subjects treated with migalastat were proteinuria (16%), bronchitis (11%) and </w:t>
      </w:r>
      <w:r w:rsidRPr="00CE61D6">
        <w:lastRenderedPageBreak/>
        <w:t>headache (11%). There was a decrease in the incidence of TEAEs in subjects treated with migalastat over the period from 6 to 24 months compared to the period from 0 to 6 months</w:t>
      </w:r>
      <w:r w:rsidR="00CD308A">
        <w:t>.</w:t>
      </w:r>
    </w:p>
    <w:p w:rsidR="00CD308A" w:rsidRDefault="00555A51" w:rsidP="00CE61D6">
      <w:r w:rsidRPr="00CE61D6">
        <w:t xml:space="preserve">In the two Phase 3 studies </w:t>
      </w:r>
      <w:r w:rsidR="00D87C4B">
        <w:t>(</w:t>
      </w:r>
      <w:r w:rsidRPr="00CE61D6">
        <w:t>AT1001-011; AT1001-012</w:t>
      </w:r>
      <w:r w:rsidR="00D87C4B">
        <w:t>)</w:t>
      </w:r>
      <w:r w:rsidRPr="00CE61D6">
        <w:t>, no safety issues with possible regulatory impact were identified in subjects treated with migalastat: i.e., no hepatic toxicity; no renal toxicity; no haematological toxicity; no significant cardiac disorders or changes in ECG parameters including QTc prolongation; no significant immune system disorders; no serious skin reactions; no clinically meaningful laboratory abnormalities relating to haematologic parameters, liver function tests, renal function tests, or other clinical chemistry parameters; and no clinically significant changes in vital signs</w:t>
      </w:r>
      <w:r w:rsidR="00CD308A">
        <w:t>.</w:t>
      </w:r>
    </w:p>
    <w:p w:rsidR="00CD308A" w:rsidRDefault="00555A51" w:rsidP="00CE61D6">
      <w:r w:rsidRPr="00CE61D6">
        <w:t xml:space="preserve">In the two Phase 3 studies </w:t>
      </w:r>
      <w:r w:rsidR="00D87C4B">
        <w:t>(</w:t>
      </w:r>
      <w:r w:rsidRPr="00CE61D6">
        <w:t>AT1001-011; AT1001-012</w:t>
      </w:r>
      <w:r w:rsidR="00D87C4B">
        <w:t>)</w:t>
      </w:r>
      <w:r w:rsidRPr="00CE61D6">
        <w:t>, the following safety issues in special populations were noted:  the safety profile of migalastat appeared to be similar in males and females, and the reported differences are considered to be not clinically significant; the number of patients aged &gt; 65 years was too small to compare the safety of migalastat in this population with the safety of migalastat in subjects aged ≤ 65 years; there were no safety data in subjects aged &lt; 16 years of age, but migalastat is not being proposed for registration in subjects younger than 16 years of age; the number of non-Caucasian subjects was too small to adequately access the efficacy of migalastat in this population; the safety of migalastat appeared to be similar in subjects with baseline moderate renal impairment and subjects with baseline mild renal impairment/normal renal function, but subject numbers in the moderate renal impairment group were too small to allow definitive conclusions to be made; there were no safety data in subjects with severe baseline renal impairment and no separate safety data in subjects with mild baseline renal impairment; and there were no safety data in subjects with baseline hepatic impairment</w:t>
      </w:r>
      <w:r w:rsidR="00CD308A">
        <w:t>.</w:t>
      </w:r>
    </w:p>
    <w:p w:rsidR="00CD308A" w:rsidRDefault="00555A51" w:rsidP="00CE61D6">
      <w:r w:rsidRPr="00CE61D6">
        <w:t xml:space="preserve">In the long-term extension </w:t>
      </w:r>
      <w:r w:rsidR="008C12CC">
        <w:t>Study</w:t>
      </w:r>
      <w:r w:rsidRPr="00CE61D6">
        <w:t xml:space="preserve"> AT1001-041, 69 (81%) of the 85 subjects experienced at least one TEAE. The TEAEs reported in this study were consistent with those reported in the two Phase 3 studies, and no new safety signals associated with migalastat emerged with long-term treatment. TEAEs, reported in ≥ 10% of subjects were diarrhoea (16%, </w:t>
      </w:r>
      <w:r w:rsidR="008B05D5">
        <w:t xml:space="preserve">n = </w:t>
      </w:r>
      <w:r w:rsidRPr="00CE61D6">
        <w:t xml:space="preserve">14), arthralgia (13%, </w:t>
      </w:r>
      <w:r w:rsidR="008B05D5">
        <w:t xml:space="preserve">n = </w:t>
      </w:r>
      <w:r w:rsidRPr="00CE61D6">
        <w:t xml:space="preserve">11), fatigue (12%, </w:t>
      </w:r>
      <w:r w:rsidR="008B05D5">
        <w:t xml:space="preserve">n = </w:t>
      </w:r>
      <w:r w:rsidRPr="00CE61D6">
        <w:t xml:space="preserve">10), headache (12%, </w:t>
      </w:r>
      <w:r w:rsidR="008B05D5">
        <w:t xml:space="preserve">n = </w:t>
      </w:r>
      <w:r w:rsidRPr="00CE61D6">
        <w:t xml:space="preserve">10), pain in extremity (12%, </w:t>
      </w:r>
      <w:r w:rsidR="008B05D5">
        <w:t xml:space="preserve">n = </w:t>
      </w:r>
      <w:r w:rsidRPr="00CE61D6">
        <w:t xml:space="preserve">10), and nasophyaryngitis (11%, </w:t>
      </w:r>
      <w:r w:rsidR="008B05D5">
        <w:t xml:space="preserve">n = </w:t>
      </w:r>
      <w:r w:rsidRPr="00CE61D6">
        <w:t>9). Of the 662 TEAEs reported in the study, 56 were assessed to be related to treatment. Treatment-related TEAEs reported in ≥ 2 patients were diarrhoea (4, 5%), dizziness (2, 2%), fatigue (2, 2%), glomerular filtration rate decreased (2, 2%), urinary tract deficiency (2, 2%), and vitamin deficiency (2, 2%). All other treatment-related TEAEs were each reported once, and consisted of a variety of events</w:t>
      </w:r>
      <w:r w:rsidR="00CD308A">
        <w:t>.</w:t>
      </w:r>
    </w:p>
    <w:p w:rsidR="00CD308A" w:rsidRDefault="00555A51" w:rsidP="00CE61D6">
      <w:r w:rsidRPr="00CE61D6">
        <w:t xml:space="preserve">In the long-term </w:t>
      </w:r>
      <w:r w:rsidR="008C12CC">
        <w:t>Study</w:t>
      </w:r>
      <w:r w:rsidRPr="00CE61D6">
        <w:t xml:space="preserve"> AT1001-041, there were 31 treatment-emergent SAEs reported by 22 subjects, none of which were related to migalastat. The treatment-emergent SAEs were: cardiac disorders (atrial fibrillation x 2; angina pectoris x 1); gastrointestinal disorders (abdominal pain upper x 1; hiatus hernia </w:t>
      </w:r>
      <w:r w:rsidR="008B05D5">
        <w:t>x 1</w:t>
      </w:r>
      <w:r w:rsidRPr="00CE61D6">
        <w:t xml:space="preserve">; pancreatitis </w:t>
      </w:r>
      <w:r w:rsidR="008B05D5">
        <w:t>x 1</w:t>
      </w:r>
      <w:r w:rsidRPr="00CE61D6">
        <w:t>); general disorders and administration site conditions (death x 1; device malfunction x 1); hepatobiliary disorder (hepatic infarction x 1); infections and infestations (pneumonia x 2; lobar pneumonia x 1); injury poisoning and procedural complication (foot fracture x 1); musculoskeletal and connective tissue disorders (muscle spasms x 1; musculoskeletal chest pain x 1); neoplasms, benign, malignant and unspecified, including cysts and polyps (breast cancer metastatic x 1; malignant melanoma x 1; meningioma x 1; papillary thyroid cancer x 1; thyroid neoplasm x 1); nervous system disorders (brain stem ischaemia x 1; pre-syncope x 1); not coded (insertion of implantable cardioverter defibrillator x 2); psychiatric disorders (conversion disorder x 1);  renal and urinary disorders (urinary calculus x 1); reproductive and breast disorders (priapism x 1; uterine polyp x 1); and skin and subcutaneous tissue disorders (angioedema x 1)</w:t>
      </w:r>
      <w:r w:rsidR="00CD308A">
        <w:t>.</w:t>
      </w:r>
    </w:p>
    <w:p w:rsidR="00605AD4" w:rsidRPr="00605AD4" w:rsidRDefault="00605AD4" w:rsidP="00605AD4">
      <w:pPr>
        <w:pStyle w:val="Heading4"/>
      </w:pPr>
      <w:r w:rsidRPr="00605AD4">
        <w:lastRenderedPageBreak/>
        <w:t>First round assessment of benefit-risk balance</w:t>
      </w:r>
    </w:p>
    <w:p w:rsidR="00555A51" w:rsidRPr="00CE61D6" w:rsidRDefault="00555A51" w:rsidP="00CE61D6">
      <w:r w:rsidRPr="00CE61D6">
        <w:t>The benefit-risk balance for migalastat for the treatment of adult adolescent patients aged 16 years and older with Fabry disease and an amenable GLA mutation is considered to be favourable.</w:t>
      </w:r>
    </w:p>
    <w:p w:rsidR="00CD308A" w:rsidRDefault="00555A51" w:rsidP="00CE61D6">
      <w:r w:rsidRPr="00CE61D6">
        <w:t>The primary benefits of migalastat treatment in subjects with Fabry disease and amenable GLA mutations relate to stabilisation of renal function (</w:t>
      </w:r>
      <w:r w:rsidR="008C12CC">
        <w:t>that is</w:t>
      </w:r>
      <w:r w:rsidRPr="00CE61D6">
        <w:t>, GFR, proteinuria), reduction in renal IC GL-3 substrate burden, reduction in plasma levels of the disease substrate lyso-Gb3, stabilisation and improvement in cardiac function (</w:t>
      </w:r>
      <w:r w:rsidR="008C12CC">
        <w:t>that is,</w:t>
      </w:r>
      <w:r w:rsidRPr="00CE61D6">
        <w:t xml:space="preserve"> reduction in LVMi) and improvement in gastro-intestinal symptoms of diarrhoea, reflux and indigestion. In general, the benefits of migalastat were observed in patients remaining on treatment for up to 54 months</w:t>
      </w:r>
      <w:r w:rsidR="00CD308A">
        <w:t>.</w:t>
      </w:r>
    </w:p>
    <w:p w:rsidR="00CD308A" w:rsidRDefault="00555A51" w:rsidP="00CE61D6">
      <w:r w:rsidRPr="00CE61D6">
        <w:t>It can be reasonably inferred that improvement in long-term stabilisation of renal function (</w:t>
      </w:r>
      <w:r w:rsidR="008C12CC">
        <w:t>that is,</w:t>
      </w:r>
      <w:r w:rsidRPr="00CE61D6">
        <w:t xml:space="preserve"> GFR, proteinuria) together with reduction in renal IC GL-3 substrate burden is likely to delay end-stage renal disease. In addition, it can also be reasonably inferred that reduction in LVMi will contribute to decreased cardiac complications associated with the disease. However, the renal and cardiac benefits observed with migalastat treatment in the Phase </w:t>
      </w:r>
      <w:r w:rsidR="008C12CC">
        <w:t>III</w:t>
      </w:r>
      <w:r w:rsidRPr="00CE61D6">
        <w:t xml:space="preserve"> studies are surrogate measures for the primary outcomes of clinical interest, namely, decreased renal and cardiac morbidity and mortality. Therefore, while it is considered reasonable to infer that improvements in renal and cardiac morbidity and mortality are likely to occur in patients treated with migalastat based on the favourable outcomes of the surrogate measures, there are no data confirming that this is actually the case. While studies could be designed to assess whether migalastat has beneficial effects on renal and cardiac morbidity and mortality in patients with Fabry disease, these are unlikely to be undertaken due to the rarity of the condition</w:t>
      </w:r>
      <w:r w:rsidR="00CD308A">
        <w:t>.</w:t>
      </w:r>
    </w:p>
    <w:p w:rsidR="00CD308A" w:rsidRDefault="00555A51" w:rsidP="00CE61D6">
      <w:r w:rsidRPr="00CE61D6">
        <w:t>The risks of treatment with migalastat are considered to be acceptable. Discontinuations due to adverse events associated with migalastat were uncommon, and no deaths related to treatment with the drug were reported in the clinical program. Furthermore, no safety issues with possible regulatory impact were identified in subjects treated with migalastat: i.e., no hepatic toxicity; no renal toxicity; no haematological toxicity; no significant cardiac disorders or changes in ECG parameters including QTc prolongation; no significant immune system disorders; no serious skin reactions; no clinically meaningful laboratory abnormalities relating to haematological parameters, liver function tests, renal function tests, or other clinical chemistry parameters; and no clinically significant changes in vital signs. Overall, migalastat appeared to be safe and reasonably well tolerated at the proposed dose and dosage regimen</w:t>
      </w:r>
      <w:r w:rsidR="00CD308A">
        <w:t>.</w:t>
      </w:r>
    </w:p>
    <w:p w:rsidR="00605AD4" w:rsidRPr="00605AD4" w:rsidRDefault="00605AD4" w:rsidP="00605AD4">
      <w:pPr>
        <w:pStyle w:val="Heading3"/>
        <w:rPr>
          <w:rFonts w:eastAsia="Cambria"/>
        </w:rPr>
      </w:pPr>
      <w:bookmarkStart w:id="149" w:name="_Toc524949266"/>
      <w:r w:rsidRPr="00605AD4">
        <w:rPr>
          <w:rFonts w:eastAsia="Cambria"/>
        </w:rPr>
        <w:t xml:space="preserve">First </w:t>
      </w:r>
      <w:r w:rsidR="00A6032A" w:rsidRPr="00605AD4">
        <w:rPr>
          <w:rFonts w:eastAsia="Cambria"/>
        </w:rPr>
        <w:t>round recommendation regarding authorisation</w:t>
      </w:r>
      <w:bookmarkEnd w:id="149"/>
    </w:p>
    <w:p w:rsidR="00555A51" w:rsidRPr="00555A51" w:rsidRDefault="00555A51" w:rsidP="00555A51">
      <w:r w:rsidRPr="00555A51">
        <w:t xml:space="preserve">Approval of </w:t>
      </w:r>
      <w:r>
        <w:t>Galafold</w:t>
      </w:r>
      <w:r w:rsidRPr="00555A51">
        <w:t xml:space="preserve"> (migalastat HCl) is recommended for the long-term treatment of adult and adolescent patients 16 years and older with a confirmed diagnosis of Fabry disease (α-galactosidase </w:t>
      </w:r>
      <w:proofErr w:type="gramStart"/>
      <w:r w:rsidRPr="00555A51">
        <w:t>A</w:t>
      </w:r>
      <w:proofErr w:type="gramEnd"/>
      <w:r w:rsidRPr="00555A51">
        <w:t xml:space="preserve"> deficiency) and who have an amenable mutation.</w:t>
      </w:r>
    </w:p>
    <w:p w:rsidR="00CD308A" w:rsidRDefault="00555A51" w:rsidP="00555A51">
      <w:r w:rsidRPr="00555A51">
        <w:t xml:space="preserve">It should be a condition of approval that patients treated with migalastat </w:t>
      </w:r>
      <w:proofErr w:type="gramStart"/>
      <w:r w:rsidRPr="00555A51">
        <w:t>be</w:t>
      </w:r>
      <w:proofErr w:type="gramEnd"/>
      <w:r w:rsidRPr="00555A51">
        <w:t xml:space="preserve"> included in an appropriate registry</w:t>
      </w:r>
      <w:r w:rsidR="00CD308A">
        <w:t>.</w:t>
      </w:r>
    </w:p>
    <w:p w:rsidR="00605AD4" w:rsidRPr="00605AD4" w:rsidRDefault="00605AD4" w:rsidP="00605AD4">
      <w:pPr>
        <w:pStyle w:val="Heading3"/>
        <w:rPr>
          <w:rFonts w:eastAsia="Cambria"/>
        </w:rPr>
      </w:pPr>
      <w:bookmarkStart w:id="150" w:name="_Toc524949267"/>
      <w:r w:rsidRPr="00605AD4">
        <w:rPr>
          <w:rFonts w:eastAsia="Cambria"/>
        </w:rPr>
        <w:t xml:space="preserve">Second </w:t>
      </w:r>
      <w:r w:rsidR="00A6032A" w:rsidRPr="00605AD4">
        <w:rPr>
          <w:rFonts w:eastAsia="Cambria"/>
        </w:rPr>
        <w:t>round evaluation</w:t>
      </w:r>
      <w:bookmarkEnd w:id="150"/>
    </w:p>
    <w:p w:rsidR="006136D7" w:rsidRPr="00605AD4" w:rsidRDefault="006136D7" w:rsidP="006136D7">
      <w:r>
        <w:t xml:space="preserve">For details of the </w:t>
      </w:r>
      <w:r w:rsidR="00E146E3">
        <w:t xml:space="preserve">second round evaluation including the issues raised by the evaluator (Clinical questions), the </w:t>
      </w:r>
      <w:r>
        <w:t>sponsor’s responses and the evaluation of these responses please see Attachment 2.</w:t>
      </w:r>
    </w:p>
    <w:p w:rsidR="00605AD4" w:rsidRPr="00605AD4" w:rsidRDefault="00605AD4" w:rsidP="00546154">
      <w:pPr>
        <w:pStyle w:val="Heading3"/>
        <w:rPr>
          <w:rFonts w:eastAsia="Cambria"/>
        </w:rPr>
      </w:pPr>
      <w:bookmarkStart w:id="151" w:name="_Toc524949268"/>
      <w:r w:rsidRPr="00605AD4">
        <w:rPr>
          <w:rFonts w:eastAsia="Cambria"/>
        </w:rPr>
        <w:lastRenderedPageBreak/>
        <w:t xml:space="preserve">Second </w:t>
      </w:r>
      <w:r w:rsidR="00A6032A" w:rsidRPr="00605AD4">
        <w:rPr>
          <w:rFonts w:eastAsia="Cambria"/>
        </w:rPr>
        <w:t>round benefit-risk assessment</w:t>
      </w:r>
      <w:bookmarkEnd w:id="151"/>
    </w:p>
    <w:p w:rsidR="00555A51" w:rsidRDefault="00555A51" w:rsidP="00555A51">
      <w:pPr>
        <w:pStyle w:val="Heading4"/>
      </w:pPr>
      <w:bookmarkStart w:id="152" w:name="_Toc474352299"/>
      <w:r>
        <w:t xml:space="preserve">Second round assessment of </w:t>
      </w:r>
      <w:r w:rsidRPr="00500C5C">
        <w:t>benefits</w:t>
      </w:r>
      <w:bookmarkEnd w:id="152"/>
    </w:p>
    <w:p w:rsidR="00CD308A" w:rsidRDefault="00555A51" w:rsidP="00555A51">
      <w:pPr>
        <w:rPr>
          <w:lang w:eastAsia="ja-JP"/>
        </w:rPr>
      </w:pPr>
      <w:r>
        <w:rPr>
          <w:lang w:eastAsia="ja-JP"/>
        </w:rPr>
        <w:t>After consideration of the responses to the clinical questions, the benefits of migalastat for the proposed usage are unchanged from those identified in</w:t>
      </w:r>
      <w:r w:rsidR="000D7E02">
        <w:rPr>
          <w:lang w:eastAsia="ja-JP"/>
        </w:rPr>
        <w:t xml:space="preserve"> the</w:t>
      </w:r>
      <w:r>
        <w:rPr>
          <w:lang w:eastAsia="ja-JP"/>
        </w:rPr>
        <w:t xml:space="preserve"> </w:t>
      </w:r>
      <w:r w:rsidR="00107771">
        <w:rPr>
          <w:lang w:eastAsia="ja-JP"/>
        </w:rPr>
        <w:t>first round assessment</w:t>
      </w:r>
      <w:r w:rsidR="00CD308A">
        <w:rPr>
          <w:lang w:eastAsia="ja-JP"/>
        </w:rPr>
        <w:t>.</w:t>
      </w:r>
    </w:p>
    <w:p w:rsidR="00555A51" w:rsidRDefault="00555A51" w:rsidP="00555A51">
      <w:pPr>
        <w:pStyle w:val="Heading4"/>
      </w:pPr>
      <w:bookmarkStart w:id="153" w:name="_Toc272414710"/>
      <w:bookmarkStart w:id="154" w:name="_Toc290888576"/>
      <w:bookmarkStart w:id="155" w:name="_Toc416353793"/>
      <w:bookmarkStart w:id="156" w:name="_Toc421005335"/>
      <w:bookmarkStart w:id="157" w:name="_Toc432079208"/>
      <w:bookmarkStart w:id="158" w:name="_Toc432080781"/>
      <w:bookmarkStart w:id="159" w:name="_Toc474352300"/>
      <w:r w:rsidRPr="00500C5C">
        <w:t>Second round assessment of risks</w:t>
      </w:r>
      <w:bookmarkEnd w:id="153"/>
      <w:bookmarkEnd w:id="154"/>
      <w:bookmarkEnd w:id="155"/>
      <w:bookmarkEnd w:id="156"/>
      <w:bookmarkEnd w:id="157"/>
      <w:bookmarkEnd w:id="158"/>
      <w:bookmarkEnd w:id="159"/>
    </w:p>
    <w:p w:rsidR="00CD308A" w:rsidRDefault="00555A51" w:rsidP="00555A51">
      <w:pPr>
        <w:rPr>
          <w:lang w:eastAsia="ja-JP"/>
        </w:rPr>
      </w:pPr>
      <w:r>
        <w:rPr>
          <w:lang w:eastAsia="ja-JP"/>
        </w:rPr>
        <w:t xml:space="preserve">After consideration of the responses to the clinical questions, the risks of migalastat for the proposed usage are unchanged from those identified in </w:t>
      </w:r>
      <w:r w:rsidR="00C238D9">
        <w:rPr>
          <w:lang w:eastAsia="ja-JP"/>
        </w:rPr>
        <w:t>the first round assessment</w:t>
      </w:r>
      <w:r w:rsidR="00CD308A">
        <w:rPr>
          <w:lang w:eastAsia="ja-JP"/>
        </w:rPr>
        <w:t>.</w:t>
      </w:r>
    </w:p>
    <w:p w:rsidR="00555A51" w:rsidRDefault="00555A51" w:rsidP="00555A51">
      <w:pPr>
        <w:pStyle w:val="Heading4"/>
      </w:pPr>
      <w:bookmarkStart w:id="160" w:name="_Toc272414711"/>
      <w:bookmarkStart w:id="161" w:name="_Toc290888577"/>
      <w:bookmarkStart w:id="162" w:name="_Toc416353794"/>
      <w:bookmarkStart w:id="163" w:name="_Toc421005336"/>
      <w:bookmarkStart w:id="164" w:name="_Toc432079209"/>
      <w:bookmarkStart w:id="165" w:name="_Toc432080782"/>
      <w:bookmarkStart w:id="166" w:name="_Toc474352301"/>
      <w:r w:rsidRPr="00545B14">
        <w:t xml:space="preserve">Second round assessment of benefit-risk </w:t>
      </w:r>
      <w:bookmarkEnd w:id="160"/>
      <w:bookmarkEnd w:id="161"/>
      <w:bookmarkEnd w:id="162"/>
      <w:bookmarkEnd w:id="163"/>
      <w:r>
        <w:t>balance</w:t>
      </w:r>
      <w:bookmarkEnd w:id="164"/>
      <w:bookmarkEnd w:id="165"/>
      <w:bookmarkEnd w:id="166"/>
    </w:p>
    <w:p w:rsidR="00CD308A" w:rsidRDefault="00555A51" w:rsidP="00555A51">
      <w:pPr>
        <w:rPr>
          <w:lang w:eastAsia="ja-JP"/>
        </w:rPr>
      </w:pPr>
      <w:r>
        <w:rPr>
          <w:lang w:eastAsia="ja-JP"/>
        </w:rPr>
        <w:t>The benefit-risk benefit balance of migalastat for the proposed usage is favourable</w:t>
      </w:r>
      <w:r w:rsidR="00CD308A">
        <w:rPr>
          <w:lang w:eastAsia="ja-JP"/>
        </w:rPr>
        <w:t>.</w:t>
      </w:r>
    </w:p>
    <w:p w:rsidR="00555A51" w:rsidRPr="00605AD4" w:rsidRDefault="00555A51" w:rsidP="00555A51">
      <w:pPr>
        <w:pStyle w:val="Heading3"/>
        <w:rPr>
          <w:rFonts w:eastAsia="Cambria"/>
        </w:rPr>
      </w:pPr>
      <w:bookmarkStart w:id="167" w:name="_Toc524949269"/>
      <w:r>
        <w:rPr>
          <w:rFonts w:eastAsia="Cambria"/>
        </w:rPr>
        <w:t>Second</w:t>
      </w:r>
      <w:r w:rsidRPr="00605AD4">
        <w:rPr>
          <w:rFonts w:eastAsia="Cambria"/>
        </w:rPr>
        <w:t xml:space="preserve"> </w:t>
      </w:r>
      <w:r w:rsidR="00A6032A" w:rsidRPr="00605AD4">
        <w:rPr>
          <w:rFonts w:eastAsia="Cambria"/>
        </w:rPr>
        <w:t>round recommendation regarding authorisation</w:t>
      </w:r>
      <w:bookmarkEnd w:id="167"/>
    </w:p>
    <w:p w:rsidR="000D7E02" w:rsidRPr="000D7E02" w:rsidRDefault="000D7E02" w:rsidP="000D7E02">
      <w:r w:rsidRPr="000D7E02">
        <w:t xml:space="preserve">Approval of </w:t>
      </w:r>
      <w:r>
        <w:t>Galafold</w:t>
      </w:r>
      <w:r w:rsidRPr="000D7E02">
        <w:t xml:space="preserve"> (migalastat HCl) is recommended for the long-term treatment of adult and adolescent patients 16 years and older with a confirmed diagnosis of Fabry disease (α-galactosidase </w:t>
      </w:r>
      <w:proofErr w:type="gramStart"/>
      <w:r w:rsidRPr="000D7E02">
        <w:t>A</w:t>
      </w:r>
      <w:proofErr w:type="gramEnd"/>
      <w:r w:rsidRPr="000D7E02">
        <w:t xml:space="preserve"> deficiency) and who have an amenable mutation.</w:t>
      </w:r>
    </w:p>
    <w:p w:rsidR="00CD308A" w:rsidRDefault="000D7E02" w:rsidP="000D7E02">
      <w:r w:rsidRPr="000D7E02">
        <w:t xml:space="preserve">It should be a condition of approval that patients treated with migalastat </w:t>
      </w:r>
      <w:proofErr w:type="gramStart"/>
      <w:r w:rsidRPr="000D7E02">
        <w:t>be</w:t>
      </w:r>
      <w:proofErr w:type="gramEnd"/>
      <w:r w:rsidRPr="000D7E02">
        <w:t xml:space="preserve"> included in an appropriate registry</w:t>
      </w:r>
      <w:r w:rsidR="00CD308A">
        <w:t>.</w:t>
      </w:r>
    </w:p>
    <w:p w:rsidR="008E7846" w:rsidRPr="00E41208" w:rsidRDefault="008E7846" w:rsidP="00546154">
      <w:pPr>
        <w:pStyle w:val="Heading2"/>
      </w:pPr>
      <w:bookmarkStart w:id="168" w:name="_Toc524949270"/>
      <w:r w:rsidRPr="00E41208">
        <w:t>V</w:t>
      </w:r>
      <w:r w:rsidR="00D05669">
        <w:t>I</w:t>
      </w:r>
      <w:r w:rsidRPr="00E41208">
        <w:t xml:space="preserve">. Pharmacovigilance </w:t>
      </w:r>
      <w:r>
        <w:t>f</w:t>
      </w:r>
      <w:r w:rsidRPr="00E41208">
        <w:t>indings</w:t>
      </w:r>
      <w:bookmarkEnd w:id="103"/>
      <w:bookmarkEnd w:id="104"/>
      <w:bookmarkEnd w:id="168"/>
    </w:p>
    <w:p w:rsidR="008E7846" w:rsidRDefault="00386150" w:rsidP="008E7846">
      <w:pPr>
        <w:pStyle w:val="Heading3"/>
        <w:rPr>
          <w:lang w:eastAsia="en-AU"/>
        </w:rPr>
      </w:pPr>
      <w:bookmarkStart w:id="169" w:name="_Toc247691526"/>
      <w:bookmarkStart w:id="170" w:name="_Toc314842509"/>
      <w:bookmarkStart w:id="171" w:name="_Toc524949271"/>
      <w:r>
        <w:rPr>
          <w:lang w:eastAsia="en-AU"/>
        </w:rPr>
        <w:t>Risk m</w:t>
      </w:r>
      <w:r w:rsidR="008E7846">
        <w:rPr>
          <w:lang w:eastAsia="en-AU"/>
        </w:rPr>
        <w:t xml:space="preserve">anagement </w:t>
      </w:r>
      <w:r>
        <w:rPr>
          <w:lang w:eastAsia="en-AU"/>
        </w:rPr>
        <w:t>p</w:t>
      </w:r>
      <w:r w:rsidR="008E7846">
        <w:rPr>
          <w:lang w:eastAsia="en-AU"/>
        </w:rPr>
        <w:t>lan</w:t>
      </w:r>
      <w:bookmarkEnd w:id="169"/>
      <w:bookmarkEnd w:id="170"/>
      <w:bookmarkEnd w:id="171"/>
    </w:p>
    <w:p w:rsidR="008E7846" w:rsidRDefault="003A7F6C" w:rsidP="008E7846">
      <w:pPr>
        <w:pStyle w:val="Heading4"/>
        <w:rPr>
          <w:lang w:eastAsia="en-AU"/>
        </w:rPr>
      </w:pPr>
      <w:r>
        <w:rPr>
          <w:lang w:eastAsia="en-AU"/>
        </w:rPr>
        <w:t>S</w:t>
      </w:r>
      <w:r w:rsidR="00B226CC">
        <w:rPr>
          <w:lang w:eastAsia="en-AU"/>
        </w:rPr>
        <w:t>ummary of RMP evaluation</w:t>
      </w:r>
      <w:r w:rsidR="00F12492">
        <w:rPr>
          <w:rStyle w:val="FootnoteReference"/>
          <w:lang w:eastAsia="en-AU"/>
        </w:rPr>
        <w:footnoteReference w:id="19"/>
      </w:r>
    </w:p>
    <w:p w:rsidR="00CD308A" w:rsidRDefault="004B4270" w:rsidP="00BA77EE">
      <w:r>
        <w:t>The sponsor</w:t>
      </w:r>
      <w:r w:rsidR="00BA77EE" w:rsidRPr="00BA77EE">
        <w:t xml:space="preserve"> has submitted EU-RMP version 01 (dated 5 July 2016; </w:t>
      </w:r>
      <w:r w:rsidR="009F78B3">
        <w:t>data lock point (</w:t>
      </w:r>
      <w:r w:rsidR="00BA77EE" w:rsidRPr="00BA77EE">
        <w:t>DLP</w:t>
      </w:r>
      <w:r w:rsidR="009F78B3">
        <w:t>)</w:t>
      </w:r>
      <w:r w:rsidR="00BA77EE" w:rsidRPr="00BA77EE">
        <w:t xml:space="preserve"> 23 October 2014) and </w:t>
      </w:r>
      <w:r w:rsidR="009F78B3">
        <w:t>Australian Specific Annex (</w:t>
      </w:r>
      <w:r w:rsidR="00BA77EE" w:rsidRPr="00BA77EE">
        <w:t>ASA</w:t>
      </w:r>
      <w:r w:rsidR="009F78B3">
        <w:t>)</w:t>
      </w:r>
      <w:r w:rsidR="00BA77EE" w:rsidRPr="00BA77EE">
        <w:t xml:space="preserve"> version 1.0 (24 May 2016) in su</w:t>
      </w:r>
      <w:r>
        <w:t>pport of this application. The s</w:t>
      </w:r>
      <w:r w:rsidR="00BA77EE" w:rsidRPr="00BA77EE">
        <w:t xml:space="preserve">ponsor in its </w:t>
      </w:r>
      <w:r w:rsidR="009F78B3">
        <w:t>post-first round</w:t>
      </w:r>
      <w:r w:rsidR="00BA77EE" w:rsidRPr="00BA77EE">
        <w:t xml:space="preserve"> response submitted EU-RMP version 02 (not dated; DLP 23 October 2014) and ASA version 2.0 (not dated) in support of this application</w:t>
      </w:r>
      <w:r w:rsidR="00CD308A">
        <w:t>.</w:t>
      </w:r>
    </w:p>
    <w:p w:rsidR="00BA77EE" w:rsidRPr="00BA77EE" w:rsidRDefault="004B4270" w:rsidP="00BA77EE">
      <w:r>
        <w:t>The s</w:t>
      </w:r>
      <w:r w:rsidR="00BA77EE" w:rsidRPr="00BA77EE">
        <w:t>ponsor submitted EU-RMP version 2.1 (dated 21 March 2017, DLP. 25 November 2016) and ASA version 2.1 (dated 21 March 2017) in support of this application.</w:t>
      </w:r>
    </w:p>
    <w:p w:rsidR="00BA77EE" w:rsidRDefault="00BA77EE" w:rsidP="00BA77EE">
      <w:r w:rsidRPr="00BA77EE">
        <w:t xml:space="preserve">The proposed Summary of Safety Concerns and their associated risk monitoring and mitigation strategies are summarised below (corrected after the </w:t>
      </w:r>
      <w:r w:rsidR="009F78B3">
        <w:t>s</w:t>
      </w:r>
      <w:r w:rsidRPr="00BA77EE">
        <w:t xml:space="preserve">ponsor’s </w:t>
      </w:r>
      <w:r w:rsidR="009F78B3">
        <w:t>post-first round</w:t>
      </w:r>
      <w:r w:rsidRPr="00BA77EE">
        <w:t xml:space="preserve"> response wit</w:t>
      </w:r>
      <w:r>
        <w:t>h changes highlighted in yellow below</w:t>
      </w:r>
      <w:r w:rsidR="00A549A1">
        <w:t>)</w:t>
      </w:r>
      <w:r>
        <w:t>.</w:t>
      </w:r>
    </w:p>
    <w:p w:rsidR="00BA77EE" w:rsidRPr="00BA77EE" w:rsidRDefault="00CE61D6" w:rsidP="00B57F16">
      <w:pPr>
        <w:pStyle w:val="TableTitle"/>
      </w:pPr>
      <w:proofErr w:type="gramStart"/>
      <w:r>
        <w:lastRenderedPageBreak/>
        <w:t>Table 9</w:t>
      </w:r>
      <w:r w:rsidR="00BA77EE">
        <w:t>: Summary of safety concerns.</w:t>
      </w:r>
      <w:proofErr w:type="gramEnd"/>
    </w:p>
    <w:tbl>
      <w:tblPr>
        <w:tblStyle w:val="TableGrid"/>
        <w:tblW w:w="8661" w:type="dxa"/>
        <w:jc w:val="center"/>
        <w:tblBorders>
          <w:top w:val="single" w:sz="8" w:space="0" w:color="auto"/>
          <w:left w:val="single" w:sz="8" w:space="0" w:color="auto"/>
          <w:bottom w:val="single" w:sz="8" w:space="0" w:color="auto"/>
          <w:right w:val="single" w:sz="8" w:space="0" w:color="auto"/>
        </w:tblBorders>
        <w:tblLayout w:type="fixed"/>
        <w:tblCellMar>
          <w:left w:w="85" w:type="dxa"/>
          <w:right w:w="85" w:type="dxa"/>
        </w:tblCellMar>
        <w:tblLook w:val="04A0" w:firstRow="1" w:lastRow="0" w:firstColumn="1" w:lastColumn="0" w:noHBand="0" w:noVBand="1"/>
      </w:tblPr>
      <w:tblGrid>
        <w:gridCol w:w="1999"/>
        <w:gridCol w:w="2616"/>
        <w:gridCol w:w="851"/>
        <w:gridCol w:w="1134"/>
        <w:gridCol w:w="884"/>
        <w:gridCol w:w="1177"/>
      </w:tblGrid>
      <w:tr w:rsidR="00BA77EE" w:rsidRPr="000A0935" w:rsidTr="00A6032A">
        <w:trPr>
          <w:trHeight w:val="131"/>
          <w:tblHeader/>
          <w:jc w:val="center"/>
        </w:trPr>
        <w:tc>
          <w:tcPr>
            <w:tcW w:w="4615" w:type="dxa"/>
            <w:gridSpan w:val="2"/>
            <w:vMerge w:val="restart"/>
            <w:tcBorders>
              <w:top w:val="single" w:sz="8" w:space="0" w:color="auto"/>
              <w:right w:val="single" w:sz="4" w:space="0" w:color="auto"/>
            </w:tcBorders>
            <w:shd w:val="clear" w:color="auto" w:fill="F2F2F2" w:themeFill="background1" w:themeFillShade="F2"/>
          </w:tcPr>
          <w:p w:rsidR="00BA77EE" w:rsidRPr="000A0935" w:rsidRDefault="00BA77EE" w:rsidP="00B57F16">
            <w:pPr>
              <w:pStyle w:val="Tabletext"/>
              <w:spacing w:before="0" w:after="0" w:line="240" w:lineRule="auto"/>
              <w:rPr>
                <w:b/>
                <w:szCs w:val="19"/>
              </w:rPr>
            </w:pPr>
            <w:r w:rsidRPr="000A0935">
              <w:rPr>
                <w:b/>
                <w:szCs w:val="19"/>
              </w:rPr>
              <w:t>Summary of safety concerns</w:t>
            </w:r>
          </w:p>
        </w:tc>
        <w:tc>
          <w:tcPr>
            <w:tcW w:w="1985" w:type="dxa"/>
            <w:gridSpan w:val="2"/>
            <w:tcBorders>
              <w:top w:val="single" w:sz="8" w:space="0" w:color="auto"/>
              <w:left w:val="single" w:sz="4" w:space="0" w:color="auto"/>
              <w:bottom w:val="single" w:sz="4" w:space="0" w:color="auto"/>
            </w:tcBorders>
            <w:shd w:val="clear" w:color="auto" w:fill="F2F2F2" w:themeFill="background1" w:themeFillShade="F2"/>
          </w:tcPr>
          <w:p w:rsidR="00BA77EE" w:rsidRPr="000A0935" w:rsidRDefault="00BA77EE" w:rsidP="00B57F16">
            <w:pPr>
              <w:pStyle w:val="Tabletext"/>
              <w:spacing w:before="0" w:after="0" w:line="240" w:lineRule="auto"/>
              <w:rPr>
                <w:b/>
                <w:szCs w:val="19"/>
              </w:rPr>
            </w:pPr>
            <w:r w:rsidRPr="000A0935">
              <w:rPr>
                <w:b/>
                <w:szCs w:val="19"/>
              </w:rPr>
              <w:t>Pharmacovigilance</w:t>
            </w:r>
          </w:p>
        </w:tc>
        <w:tc>
          <w:tcPr>
            <w:tcW w:w="2061" w:type="dxa"/>
            <w:gridSpan w:val="2"/>
            <w:tcBorders>
              <w:top w:val="single" w:sz="8" w:space="0" w:color="auto"/>
              <w:left w:val="single" w:sz="4" w:space="0" w:color="auto"/>
              <w:bottom w:val="single" w:sz="4" w:space="0" w:color="auto"/>
            </w:tcBorders>
            <w:shd w:val="clear" w:color="auto" w:fill="F2F2F2" w:themeFill="background1" w:themeFillShade="F2"/>
          </w:tcPr>
          <w:p w:rsidR="00BA77EE" w:rsidRPr="000A0935" w:rsidRDefault="00BA77EE" w:rsidP="00B57F16">
            <w:pPr>
              <w:pStyle w:val="Tabletext"/>
              <w:spacing w:before="0" w:after="0" w:line="240" w:lineRule="auto"/>
              <w:rPr>
                <w:b/>
                <w:szCs w:val="19"/>
              </w:rPr>
            </w:pPr>
            <w:r w:rsidRPr="000A0935">
              <w:rPr>
                <w:b/>
                <w:szCs w:val="19"/>
              </w:rPr>
              <w:t>Risk Minimisation</w:t>
            </w:r>
          </w:p>
        </w:tc>
      </w:tr>
      <w:tr w:rsidR="00BA77EE" w:rsidRPr="000A0935" w:rsidTr="00A6032A">
        <w:trPr>
          <w:trHeight w:val="150"/>
          <w:jc w:val="center"/>
        </w:trPr>
        <w:tc>
          <w:tcPr>
            <w:tcW w:w="4615" w:type="dxa"/>
            <w:gridSpan w:val="2"/>
            <w:vMerge/>
            <w:tcBorders>
              <w:bottom w:val="single" w:sz="8" w:space="0" w:color="auto"/>
              <w:right w:val="single" w:sz="4" w:space="0" w:color="auto"/>
            </w:tcBorders>
            <w:shd w:val="clear" w:color="auto" w:fill="F2F2F2" w:themeFill="background1" w:themeFillShade="F2"/>
          </w:tcPr>
          <w:p w:rsidR="00BA77EE" w:rsidRPr="000A0935" w:rsidRDefault="00BA77EE" w:rsidP="00B57F16">
            <w:pPr>
              <w:pStyle w:val="Tabletext"/>
              <w:spacing w:before="0" w:after="0" w:line="240" w:lineRule="auto"/>
              <w:rPr>
                <w:b/>
                <w:szCs w:val="19"/>
              </w:rPr>
            </w:pPr>
          </w:p>
        </w:tc>
        <w:tc>
          <w:tcPr>
            <w:tcW w:w="851" w:type="dxa"/>
            <w:tcBorders>
              <w:top w:val="single" w:sz="4" w:space="0" w:color="auto"/>
              <w:left w:val="single" w:sz="4" w:space="0" w:color="auto"/>
              <w:bottom w:val="single" w:sz="8" w:space="0" w:color="auto"/>
              <w:right w:val="dotted" w:sz="2" w:space="0" w:color="auto"/>
            </w:tcBorders>
            <w:shd w:val="clear" w:color="auto" w:fill="F2F2F2" w:themeFill="background1" w:themeFillShade="F2"/>
          </w:tcPr>
          <w:p w:rsidR="00BA77EE" w:rsidRPr="000A0935" w:rsidRDefault="00BA77EE" w:rsidP="00B57F16">
            <w:pPr>
              <w:pStyle w:val="Tabletext"/>
              <w:spacing w:before="0" w:after="0" w:line="240" w:lineRule="auto"/>
              <w:rPr>
                <w:szCs w:val="19"/>
              </w:rPr>
            </w:pPr>
            <w:r w:rsidRPr="000A0935">
              <w:rPr>
                <w:szCs w:val="19"/>
              </w:rPr>
              <w:t>Routine</w:t>
            </w:r>
          </w:p>
        </w:tc>
        <w:tc>
          <w:tcPr>
            <w:tcW w:w="1134" w:type="dxa"/>
            <w:tcBorders>
              <w:top w:val="single" w:sz="4" w:space="0" w:color="auto"/>
              <w:left w:val="dotted" w:sz="2" w:space="0" w:color="auto"/>
              <w:bottom w:val="single" w:sz="8" w:space="0" w:color="auto"/>
            </w:tcBorders>
            <w:shd w:val="clear" w:color="auto" w:fill="F2F2F2" w:themeFill="background1" w:themeFillShade="F2"/>
          </w:tcPr>
          <w:p w:rsidR="00BA77EE" w:rsidRPr="000A0935" w:rsidRDefault="00BA77EE" w:rsidP="00B57F16">
            <w:pPr>
              <w:pStyle w:val="Tabletext"/>
              <w:spacing w:before="0" w:after="0" w:line="240" w:lineRule="auto"/>
              <w:rPr>
                <w:szCs w:val="19"/>
              </w:rPr>
            </w:pPr>
            <w:r w:rsidRPr="000A0935">
              <w:rPr>
                <w:szCs w:val="19"/>
              </w:rPr>
              <w:t>Additional</w:t>
            </w:r>
          </w:p>
        </w:tc>
        <w:tc>
          <w:tcPr>
            <w:tcW w:w="884" w:type="dxa"/>
            <w:tcBorders>
              <w:top w:val="single" w:sz="4" w:space="0" w:color="auto"/>
              <w:left w:val="single" w:sz="4" w:space="0" w:color="auto"/>
              <w:bottom w:val="single" w:sz="8" w:space="0" w:color="auto"/>
              <w:right w:val="dotted" w:sz="2" w:space="0" w:color="auto"/>
            </w:tcBorders>
            <w:shd w:val="clear" w:color="auto" w:fill="F2F2F2" w:themeFill="background1" w:themeFillShade="F2"/>
          </w:tcPr>
          <w:p w:rsidR="00BA77EE" w:rsidRPr="000A0935" w:rsidRDefault="00BA77EE" w:rsidP="00B57F16">
            <w:pPr>
              <w:pStyle w:val="Tabletext"/>
              <w:spacing w:before="0" w:after="0" w:line="240" w:lineRule="auto"/>
              <w:rPr>
                <w:szCs w:val="19"/>
              </w:rPr>
            </w:pPr>
            <w:r w:rsidRPr="000A0935">
              <w:rPr>
                <w:szCs w:val="19"/>
              </w:rPr>
              <w:t>Routine</w:t>
            </w:r>
          </w:p>
        </w:tc>
        <w:tc>
          <w:tcPr>
            <w:tcW w:w="1177" w:type="dxa"/>
            <w:tcBorders>
              <w:top w:val="single" w:sz="4" w:space="0" w:color="auto"/>
              <w:left w:val="dotted" w:sz="2" w:space="0" w:color="auto"/>
              <w:bottom w:val="single" w:sz="8" w:space="0" w:color="auto"/>
            </w:tcBorders>
            <w:shd w:val="clear" w:color="auto" w:fill="F2F2F2" w:themeFill="background1" w:themeFillShade="F2"/>
          </w:tcPr>
          <w:p w:rsidR="00BA77EE" w:rsidRPr="000A0935" w:rsidRDefault="00BA77EE" w:rsidP="00B57F16">
            <w:pPr>
              <w:pStyle w:val="Tabletext"/>
              <w:spacing w:before="0" w:after="0" w:line="240" w:lineRule="auto"/>
              <w:rPr>
                <w:szCs w:val="19"/>
              </w:rPr>
            </w:pPr>
            <w:r w:rsidRPr="000A0935">
              <w:rPr>
                <w:szCs w:val="19"/>
              </w:rPr>
              <w:t>Additional</w:t>
            </w:r>
          </w:p>
        </w:tc>
      </w:tr>
      <w:tr w:rsidR="00BA77EE" w:rsidRPr="000A0935" w:rsidTr="00A6032A">
        <w:trPr>
          <w:trHeight w:val="137"/>
          <w:jc w:val="center"/>
        </w:trPr>
        <w:tc>
          <w:tcPr>
            <w:tcW w:w="1999" w:type="dxa"/>
            <w:tcBorders>
              <w:top w:val="single" w:sz="8" w:space="0" w:color="auto"/>
            </w:tcBorders>
          </w:tcPr>
          <w:p w:rsidR="00BA77EE" w:rsidRPr="000A0935" w:rsidRDefault="00BA77EE" w:rsidP="00B57F16">
            <w:pPr>
              <w:pStyle w:val="Tabletext"/>
              <w:spacing w:before="0" w:after="0" w:line="240" w:lineRule="auto"/>
              <w:rPr>
                <w:b/>
                <w:szCs w:val="19"/>
              </w:rPr>
            </w:pPr>
            <w:r w:rsidRPr="000A0935">
              <w:rPr>
                <w:b/>
                <w:szCs w:val="19"/>
              </w:rPr>
              <w:t>Important identified risks</w:t>
            </w:r>
          </w:p>
        </w:tc>
        <w:tc>
          <w:tcPr>
            <w:tcW w:w="2616" w:type="dxa"/>
            <w:tcBorders>
              <w:top w:val="single" w:sz="8" w:space="0" w:color="auto"/>
              <w:bottom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No Identified Risks</w:t>
            </w:r>
          </w:p>
        </w:tc>
        <w:tc>
          <w:tcPr>
            <w:tcW w:w="851" w:type="dxa"/>
            <w:tcBorders>
              <w:top w:val="single" w:sz="8" w:space="0" w:color="auto"/>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c>
          <w:tcPr>
            <w:tcW w:w="1134" w:type="dxa"/>
            <w:tcBorders>
              <w:top w:val="single" w:sz="8" w:space="0" w:color="auto"/>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c>
          <w:tcPr>
            <w:tcW w:w="884" w:type="dxa"/>
            <w:tcBorders>
              <w:top w:val="single" w:sz="8" w:space="0" w:color="auto"/>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c>
          <w:tcPr>
            <w:tcW w:w="1177" w:type="dxa"/>
            <w:tcBorders>
              <w:top w:val="single" w:sz="8" w:space="0" w:color="auto"/>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r w:rsidR="00BA77EE" w:rsidRPr="000A0935" w:rsidTr="00A6032A">
        <w:trPr>
          <w:trHeight w:val="159"/>
          <w:jc w:val="center"/>
        </w:trPr>
        <w:tc>
          <w:tcPr>
            <w:tcW w:w="1999" w:type="dxa"/>
            <w:vMerge w:val="restart"/>
          </w:tcPr>
          <w:p w:rsidR="00BA77EE" w:rsidRPr="000A0935" w:rsidRDefault="00BA77EE" w:rsidP="00B57F16">
            <w:pPr>
              <w:pStyle w:val="Tabletext"/>
              <w:spacing w:before="0" w:after="0" w:line="240" w:lineRule="auto"/>
              <w:rPr>
                <w:b/>
                <w:szCs w:val="19"/>
              </w:rPr>
            </w:pPr>
            <w:r w:rsidRPr="000A0935">
              <w:rPr>
                <w:b/>
                <w:szCs w:val="19"/>
              </w:rPr>
              <w:t>Important potential risks</w:t>
            </w:r>
          </w:p>
        </w:tc>
        <w:tc>
          <w:tcPr>
            <w:tcW w:w="2616" w:type="dxa"/>
            <w:tcBorders>
              <w:bottom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Lack of efficacy in case of use in patients with non-amenable mutations</w:t>
            </w:r>
          </w:p>
        </w:tc>
        <w:tc>
          <w:tcPr>
            <w:tcW w:w="851" w:type="dxa"/>
            <w:tcBorders>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34" w:type="dxa"/>
            <w:tcBorders>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c>
          <w:tcPr>
            <w:tcW w:w="884" w:type="dxa"/>
            <w:tcBorders>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77" w:type="dxa"/>
            <w:tcBorders>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r w:rsidR="00BA77EE" w:rsidRPr="000A0935" w:rsidTr="00A6032A">
        <w:trPr>
          <w:trHeight w:val="112"/>
          <w:jc w:val="center"/>
        </w:trPr>
        <w:tc>
          <w:tcPr>
            <w:tcW w:w="1999" w:type="dxa"/>
            <w:vMerge/>
          </w:tcPr>
          <w:p w:rsidR="00BA77EE" w:rsidRPr="000A0935" w:rsidRDefault="00BA77EE" w:rsidP="00B57F16">
            <w:pPr>
              <w:pStyle w:val="Tabletext"/>
              <w:spacing w:before="0" w:after="0" w:line="240" w:lineRule="auto"/>
              <w:rPr>
                <w:b/>
                <w:szCs w:val="19"/>
              </w:rPr>
            </w:pPr>
          </w:p>
        </w:tc>
        <w:tc>
          <w:tcPr>
            <w:tcW w:w="2616" w:type="dxa"/>
            <w:tcBorders>
              <w:top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Male infertility (reversible)</w:t>
            </w:r>
          </w:p>
        </w:tc>
        <w:tc>
          <w:tcPr>
            <w:tcW w:w="851" w:type="dxa"/>
            <w:tcBorders>
              <w:top w:val="dotted" w:sz="2" w:space="0" w:color="auto"/>
              <w:left w:val="single" w:sz="4"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34" w:type="dxa"/>
            <w:tcBorders>
              <w:top w:val="dotted" w:sz="2" w:space="0" w:color="auto"/>
              <w:left w:val="dotted" w:sz="2" w:space="0" w:color="auto"/>
            </w:tcBorders>
            <w:shd w:val="clear" w:color="auto" w:fill="FFFFCC"/>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884" w:type="dxa"/>
            <w:tcBorders>
              <w:top w:val="dotted" w:sz="2" w:space="0" w:color="auto"/>
              <w:left w:val="single" w:sz="4"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77" w:type="dxa"/>
            <w:tcBorders>
              <w:top w:val="dotted" w:sz="2" w:space="0" w:color="auto"/>
              <w:lef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r w:rsidR="00BA77EE" w:rsidRPr="000A0935" w:rsidTr="00A6032A">
        <w:trPr>
          <w:trHeight w:val="178"/>
          <w:jc w:val="center"/>
        </w:trPr>
        <w:tc>
          <w:tcPr>
            <w:tcW w:w="1999" w:type="dxa"/>
            <w:vMerge w:val="restart"/>
          </w:tcPr>
          <w:p w:rsidR="00BA77EE" w:rsidRPr="000A0935" w:rsidRDefault="00BA77EE" w:rsidP="00B57F16">
            <w:pPr>
              <w:pStyle w:val="Tabletext"/>
              <w:spacing w:before="0" w:after="0" w:line="240" w:lineRule="auto"/>
              <w:rPr>
                <w:b/>
                <w:szCs w:val="19"/>
              </w:rPr>
            </w:pPr>
            <w:r w:rsidRPr="000A0935">
              <w:rPr>
                <w:b/>
                <w:szCs w:val="19"/>
              </w:rPr>
              <w:t>Missing information</w:t>
            </w:r>
          </w:p>
        </w:tc>
        <w:tc>
          <w:tcPr>
            <w:tcW w:w="2616" w:type="dxa"/>
            <w:tcBorders>
              <w:bottom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Use in pregnant or breast-feeding women</w:t>
            </w:r>
          </w:p>
        </w:tc>
        <w:tc>
          <w:tcPr>
            <w:tcW w:w="851" w:type="dxa"/>
            <w:tcBorders>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34" w:type="dxa"/>
            <w:tcBorders>
              <w:left w:val="dotted" w:sz="2" w:space="0" w:color="auto"/>
              <w:bottom w:val="dotted" w:sz="2" w:space="0" w:color="auto"/>
            </w:tcBorders>
            <w:shd w:val="clear" w:color="auto" w:fill="FFFFCC"/>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884" w:type="dxa"/>
            <w:tcBorders>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77" w:type="dxa"/>
            <w:tcBorders>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r w:rsidR="00BA77EE" w:rsidRPr="000A0935" w:rsidTr="00A6032A">
        <w:trPr>
          <w:trHeight w:val="103"/>
          <w:jc w:val="center"/>
        </w:trPr>
        <w:tc>
          <w:tcPr>
            <w:tcW w:w="1999" w:type="dxa"/>
            <w:vMerge/>
          </w:tcPr>
          <w:p w:rsidR="00BA77EE" w:rsidRPr="000A0935" w:rsidRDefault="00BA77EE" w:rsidP="00B57F16">
            <w:pPr>
              <w:pStyle w:val="Tabletext"/>
              <w:spacing w:before="0" w:after="0" w:line="240" w:lineRule="auto"/>
              <w:rPr>
                <w:szCs w:val="19"/>
              </w:rPr>
            </w:pPr>
          </w:p>
        </w:tc>
        <w:tc>
          <w:tcPr>
            <w:tcW w:w="2616" w:type="dxa"/>
            <w:tcBorders>
              <w:top w:val="dotted" w:sz="2" w:space="0" w:color="auto"/>
              <w:bottom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Use in older patients &gt;74 years</w:t>
            </w:r>
          </w:p>
        </w:tc>
        <w:tc>
          <w:tcPr>
            <w:tcW w:w="851" w:type="dxa"/>
            <w:tcBorders>
              <w:top w:val="dotted" w:sz="2" w:space="0" w:color="auto"/>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34" w:type="dxa"/>
            <w:tcBorders>
              <w:top w:val="dotted" w:sz="2" w:space="0" w:color="auto"/>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c>
          <w:tcPr>
            <w:tcW w:w="884" w:type="dxa"/>
            <w:tcBorders>
              <w:top w:val="dotted" w:sz="2" w:space="0" w:color="auto"/>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77" w:type="dxa"/>
            <w:tcBorders>
              <w:top w:val="dotted" w:sz="2" w:space="0" w:color="auto"/>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r w:rsidR="00BA77EE" w:rsidRPr="000A0935" w:rsidTr="00A6032A">
        <w:trPr>
          <w:trHeight w:val="103"/>
          <w:jc w:val="center"/>
        </w:trPr>
        <w:tc>
          <w:tcPr>
            <w:tcW w:w="1999" w:type="dxa"/>
            <w:vMerge/>
          </w:tcPr>
          <w:p w:rsidR="00BA77EE" w:rsidRPr="000A0935" w:rsidRDefault="00BA77EE" w:rsidP="00B57F16">
            <w:pPr>
              <w:pStyle w:val="Tabletext"/>
              <w:spacing w:before="0" w:after="0" w:line="240" w:lineRule="auto"/>
              <w:rPr>
                <w:szCs w:val="19"/>
              </w:rPr>
            </w:pPr>
          </w:p>
        </w:tc>
        <w:tc>
          <w:tcPr>
            <w:tcW w:w="2616" w:type="dxa"/>
            <w:tcBorders>
              <w:top w:val="dotted" w:sz="2" w:space="0" w:color="auto"/>
              <w:bottom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Use in patients with severe renal impairment (GFR &lt;30 mL/min/m</w:t>
            </w:r>
            <w:r w:rsidRPr="000A0935">
              <w:rPr>
                <w:b w:val="0"/>
                <w:sz w:val="19"/>
                <w:szCs w:val="19"/>
                <w:vertAlign w:val="superscript"/>
              </w:rPr>
              <w:t>2</w:t>
            </w:r>
            <w:r w:rsidRPr="000A0935">
              <w:rPr>
                <w:b w:val="0"/>
                <w:sz w:val="19"/>
                <w:szCs w:val="19"/>
              </w:rPr>
              <w:t>)</w:t>
            </w:r>
          </w:p>
        </w:tc>
        <w:tc>
          <w:tcPr>
            <w:tcW w:w="851" w:type="dxa"/>
            <w:tcBorders>
              <w:top w:val="dotted" w:sz="2" w:space="0" w:color="auto"/>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p>
        </w:tc>
        <w:tc>
          <w:tcPr>
            <w:tcW w:w="1134" w:type="dxa"/>
            <w:tcBorders>
              <w:top w:val="dotted" w:sz="2" w:space="0" w:color="auto"/>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c>
          <w:tcPr>
            <w:tcW w:w="884" w:type="dxa"/>
            <w:tcBorders>
              <w:top w:val="dotted" w:sz="2" w:space="0" w:color="auto"/>
              <w:left w:val="single" w:sz="4" w:space="0" w:color="auto"/>
              <w:bottom w:val="dotted" w:sz="2"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p>
        </w:tc>
        <w:tc>
          <w:tcPr>
            <w:tcW w:w="1177" w:type="dxa"/>
            <w:tcBorders>
              <w:top w:val="dotted" w:sz="2" w:space="0" w:color="auto"/>
              <w:left w:val="dotted" w:sz="2" w:space="0" w:color="auto"/>
              <w:bottom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r w:rsidR="00BA77EE" w:rsidRPr="000A0935" w:rsidTr="00A6032A">
        <w:trPr>
          <w:trHeight w:val="140"/>
          <w:jc w:val="center"/>
        </w:trPr>
        <w:tc>
          <w:tcPr>
            <w:tcW w:w="1999" w:type="dxa"/>
            <w:vMerge/>
          </w:tcPr>
          <w:p w:rsidR="00BA77EE" w:rsidRPr="000A0935" w:rsidRDefault="00BA77EE" w:rsidP="00B57F16">
            <w:pPr>
              <w:pStyle w:val="Tabletext"/>
              <w:spacing w:before="0" w:after="0" w:line="240" w:lineRule="auto"/>
              <w:rPr>
                <w:szCs w:val="19"/>
              </w:rPr>
            </w:pPr>
          </w:p>
        </w:tc>
        <w:tc>
          <w:tcPr>
            <w:tcW w:w="2616" w:type="dxa"/>
            <w:tcBorders>
              <w:top w:val="dotted" w:sz="2" w:space="0" w:color="auto"/>
              <w:right w:val="single" w:sz="4" w:space="0" w:color="auto"/>
            </w:tcBorders>
          </w:tcPr>
          <w:p w:rsidR="00BA77EE" w:rsidRPr="000A0935" w:rsidRDefault="00BA77EE" w:rsidP="00B57F16">
            <w:pPr>
              <w:pStyle w:val="Summaryofsafetyconcerns"/>
              <w:spacing w:before="0" w:after="0" w:line="240" w:lineRule="auto"/>
              <w:rPr>
                <w:b w:val="0"/>
                <w:sz w:val="19"/>
                <w:szCs w:val="19"/>
              </w:rPr>
            </w:pPr>
            <w:r w:rsidRPr="000A0935">
              <w:rPr>
                <w:b w:val="0"/>
                <w:sz w:val="19"/>
                <w:szCs w:val="19"/>
              </w:rPr>
              <w:t>Long term treatment (&gt; 1 year)</w:t>
            </w:r>
          </w:p>
        </w:tc>
        <w:tc>
          <w:tcPr>
            <w:tcW w:w="851" w:type="dxa"/>
            <w:tcBorders>
              <w:top w:val="dotted" w:sz="2" w:space="0" w:color="auto"/>
              <w:left w:val="single" w:sz="4"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34" w:type="dxa"/>
            <w:tcBorders>
              <w:top w:val="dotted" w:sz="2" w:space="0" w:color="auto"/>
              <w:left w:val="dotted" w:sz="2" w:space="0" w:color="auto"/>
            </w:tcBorders>
            <w:shd w:val="clear" w:color="auto" w:fill="FFFFCC"/>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884" w:type="dxa"/>
            <w:tcBorders>
              <w:top w:val="dotted" w:sz="2" w:space="0" w:color="auto"/>
              <w:left w:val="single" w:sz="4" w:space="0" w:color="auto"/>
              <w:righ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sym w:font="Wingdings" w:char="F0FC"/>
            </w:r>
          </w:p>
        </w:tc>
        <w:tc>
          <w:tcPr>
            <w:tcW w:w="1177" w:type="dxa"/>
            <w:tcBorders>
              <w:top w:val="dotted" w:sz="2" w:space="0" w:color="auto"/>
              <w:left w:val="dotted" w:sz="2" w:space="0" w:color="auto"/>
            </w:tcBorders>
            <w:vAlign w:val="center"/>
          </w:tcPr>
          <w:p w:rsidR="00BA77EE" w:rsidRPr="000A0935" w:rsidRDefault="00BA77EE" w:rsidP="00B57F16">
            <w:pPr>
              <w:pStyle w:val="Tabletext"/>
              <w:spacing w:before="0" w:after="0" w:line="240" w:lineRule="auto"/>
              <w:jc w:val="center"/>
              <w:rPr>
                <w:szCs w:val="19"/>
              </w:rPr>
            </w:pPr>
            <w:r w:rsidRPr="000A0935">
              <w:rPr>
                <w:szCs w:val="19"/>
              </w:rPr>
              <w:t>–</w:t>
            </w:r>
          </w:p>
        </w:tc>
      </w:tr>
    </w:tbl>
    <w:p w:rsidR="00BA77EE" w:rsidRDefault="00BA77EE" w:rsidP="00B57F16">
      <w:pPr>
        <w:pStyle w:val="TableDescription"/>
      </w:pPr>
      <w:r>
        <w:t>*</w:t>
      </w:r>
      <w:r w:rsidR="000A0935">
        <w:t xml:space="preserve"> </w:t>
      </w:r>
      <w:r>
        <w:t xml:space="preserve">Listed in Table 2 and Table 4 in ASA version 1.0 as having additional pharmacovigilance </w:t>
      </w:r>
      <w:r w:rsidRPr="0048504E">
        <w:t>activities. The Sponsor confirmed in its Section 31 response that this was incorrect. Additional pharmacovigilance activities in the form of the patient registry (highlighted in yellow) is proposed for the i</w:t>
      </w:r>
      <w:r w:rsidRPr="0048504E">
        <w:rPr>
          <w:szCs w:val="23"/>
        </w:rPr>
        <w:t>mportant potential risk of male infertility (reversible) and the missing information categories of long term treatment beyond one year and use in pregnant and lactating women.</w:t>
      </w:r>
    </w:p>
    <w:p w:rsidR="00BA77EE" w:rsidRPr="00B57F16" w:rsidRDefault="00BA77EE" w:rsidP="00B57F16">
      <w:r w:rsidRPr="00B57F16">
        <w:t>Additional pharmacovigilance activities include two ongoing studies (Study AT1001-041 Study AT1001-042) and a patient registry.</w:t>
      </w:r>
    </w:p>
    <w:p w:rsidR="00BA77EE" w:rsidRPr="00B57F16" w:rsidRDefault="00BA77EE" w:rsidP="00B57F16">
      <w:r w:rsidRPr="00B57F16">
        <w:t>No additional risk minimisation activities are proposed.</w:t>
      </w:r>
    </w:p>
    <w:p w:rsidR="00D31393" w:rsidRDefault="00D31393" w:rsidP="00D31393">
      <w:pPr>
        <w:pStyle w:val="Heading4"/>
      </w:pPr>
      <w:bookmarkStart w:id="172" w:name="_Toc477354123"/>
      <w:bookmarkStart w:id="173" w:name="_Toc247691527"/>
      <w:bookmarkStart w:id="174" w:name="_Toc314842510"/>
      <w:r>
        <w:t>New and outstanding recommendations from second round evaluation</w:t>
      </w:r>
      <w:bookmarkEnd w:id="172"/>
    </w:p>
    <w:p w:rsidR="00BA77EE" w:rsidRPr="00BA77EE" w:rsidRDefault="00BA77EE" w:rsidP="00BA77EE">
      <w:r w:rsidRPr="00BA77EE">
        <w:t xml:space="preserve">There </w:t>
      </w:r>
      <w:proofErr w:type="gramStart"/>
      <w:r w:rsidRPr="00BA77EE">
        <w:t>are no outstanding issues post</w:t>
      </w:r>
      <w:r w:rsidR="009F78B3">
        <w:t>-second round</w:t>
      </w:r>
      <w:proofErr w:type="gramEnd"/>
      <w:r w:rsidR="009F78B3">
        <w:t>.</w:t>
      </w:r>
    </w:p>
    <w:p w:rsidR="00D31393" w:rsidRPr="00BB4B51" w:rsidRDefault="00D31393" w:rsidP="00D31393">
      <w:pPr>
        <w:pStyle w:val="Heading4"/>
      </w:pPr>
      <w:bookmarkStart w:id="175" w:name="_Toc477354124"/>
      <w:r>
        <w:t>Proposed wording for conditions of registration</w:t>
      </w:r>
      <w:bookmarkEnd w:id="175"/>
    </w:p>
    <w:p w:rsidR="00BA77EE" w:rsidRPr="00BA77EE" w:rsidRDefault="00BA77EE" w:rsidP="00BA77EE">
      <w:r w:rsidRPr="00BA77EE">
        <w:t>Any changes to which the sponsor has agreed should be included in a revised RMP and ASA. However, irrespective of whether or not they are included in the currently available version of the RMP document, the agreed changes become part</w:t>
      </w:r>
      <w:r w:rsidR="00603695">
        <w:t xml:space="preserve"> of the risk management system.</w:t>
      </w:r>
    </w:p>
    <w:p w:rsidR="00B57F16" w:rsidRDefault="00BA77EE" w:rsidP="00BA77EE">
      <w:r w:rsidRPr="00BA77EE">
        <w:t xml:space="preserve">The </w:t>
      </w:r>
      <w:r w:rsidR="00F66B30">
        <w:t>s</w:t>
      </w:r>
      <w:r w:rsidRPr="00BA77EE">
        <w:t>ponsor provided an updated EU</w:t>
      </w:r>
      <w:r w:rsidR="00603695">
        <w:t xml:space="preserve">-RMP and ASA in its </w:t>
      </w:r>
      <w:r w:rsidRPr="00BA77EE">
        <w:t>response. Therefore, the suggested wordi</w:t>
      </w:r>
      <w:r w:rsidR="00B57F16">
        <w:t>ng is:</w:t>
      </w:r>
    </w:p>
    <w:p w:rsidR="00BA77EE" w:rsidRPr="00B57F16" w:rsidRDefault="00BA77EE" w:rsidP="00B57F16">
      <w:pPr>
        <w:ind w:left="720"/>
        <w:rPr>
          <w:i/>
        </w:rPr>
      </w:pPr>
      <w:r w:rsidRPr="00B57F16">
        <w:rPr>
          <w:i/>
        </w:rPr>
        <w:t>Implement EU-RMP (version 2.1, dated 21March 2017, data lock point 25 November 2016) with Australian Specific Annex (version 2.1, dated 21 March 2017) and any future updates as a condition of registration.</w:t>
      </w:r>
    </w:p>
    <w:p w:rsidR="008E7846" w:rsidRPr="00792A32" w:rsidRDefault="008E7846" w:rsidP="008E7846">
      <w:pPr>
        <w:pStyle w:val="Heading2"/>
      </w:pPr>
      <w:bookmarkStart w:id="176" w:name="_Toc524949272"/>
      <w:r>
        <w:t>VI</w:t>
      </w:r>
      <w:r w:rsidR="00D05669">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5"/>
      <w:bookmarkEnd w:id="173"/>
      <w:bookmarkEnd w:id="174"/>
      <w:bookmarkEnd w:id="176"/>
    </w:p>
    <w:p w:rsidR="008E7846" w:rsidRDefault="008E7846" w:rsidP="008E7846">
      <w:bookmarkStart w:id="177"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78" w:name="_Toc314842511"/>
      <w:bookmarkStart w:id="179" w:name="_Toc524949273"/>
      <w:r>
        <w:t>Quality</w:t>
      </w:r>
      <w:bookmarkEnd w:id="177"/>
      <w:bookmarkEnd w:id="178"/>
      <w:bookmarkEnd w:id="179"/>
    </w:p>
    <w:p w:rsidR="006E782B" w:rsidRDefault="006E782B" w:rsidP="006E782B">
      <w:r>
        <w:t xml:space="preserve">The evaluator has no objection to approval of migalastat on the basis of </w:t>
      </w:r>
      <w:r w:rsidRPr="006E782B">
        <w:t>chemistry and quality.  The manufacturing process, packaging, quality control, biopharmaceutics, shelf-life and storage conditions have been assessed and are considered a</w:t>
      </w:r>
      <w:r w:rsidR="00F66B30">
        <w:t xml:space="preserve">cceptable.  Responses </w:t>
      </w:r>
      <w:r w:rsidR="00F66B30">
        <w:lastRenderedPageBreak/>
        <w:t xml:space="preserve">to the questions raised in the </w:t>
      </w:r>
      <w:r w:rsidR="00CE5DA1">
        <w:t>sponsor’s</w:t>
      </w:r>
      <w:r w:rsidR="00C12774">
        <w:t xml:space="preserve"> </w:t>
      </w:r>
      <w:r w:rsidR="00CE5DA1">
        <w:t>post-first round response</w:t>
      </w:r>
      <w:r w:rsidRPr="006E782B">
        <w:t xml:space="preserve"> have been received </w:t>
      </w:r>
      <w:r w:rsidR="00176E9D">
        <w:t xml:space="preserve">and are considered acceptable. </w:t>
      </w:r>
      <w:r w:rsidRPr="006E782B">
        <w:t>The sponsor has accepted and incorporated changes to the PI arising from the evaluation</w:t>
      </w:r>
      <w:bookmarkStart w:id="180" w:name="_Toc314842512"/>
      <w:r w:rsidR="00176E9D">
        <w:t>.</w:t>
      </w:r>
    </w:p>
    <w:p w:rsidR="008E7846" w:rsidRDefault="008E7846" w:rsidP="006E782B">
      <w:pPr>
        <w:pStyle w:val="Heading3"/>
      </w:pPr>
      <w:bookmarkStart w:id="181" w:name="_Toc524949274"/>
      <w:r>
        <w:t>Nonclinical</w:t>
      </w:r>
      <w:bookmarkEnd w:id="180"/>
      <w:bookmarkEnd w:id="181"/>
    </w:p>
    <w:p w:rsidR="006E782B" w:rsidRDefault="006E782B" w:rsidP="006E782B">
      <w:r w:rsidRPr="006E782B">
        <w:t xml:space="preserve">The </w:t>
      </w:r>
      <w:r w:rsidR="00CE61D6">
        <w:t>evaluator</w:t>
      </w:r>
      <w:r w:rsidRPr="006E782B">
        <w:t xml:space="preserve"> has no objection to approval of migalastat following assessment of the nonclinical dossier. The pharmacological studies support its use for the proposed indication and did not identify any clinically rele</w:t>
      </w:r>
      <w:r w:rsidR="00176E9D">
        <w:t xml:space="preserve">vant off-target binding sites. </w:t>
      </w:r>
      <w:r w:rsidRPr="006E782B">
        <w:t>The safety pharmacology and repeat dose toxicity studies did not reveal any treatment-relat</w:t>
      </w:r>
      <w:r w:rsidR="00176E9D">
        <w:t xml:space="preserve">ed adverse effects of concern. </w:t>
      </w:r>
      <w:r w:rsidRPr="006E782B">
        <w:t>Migalastat is not considered to have any genot</w:t>
      </w:r>
      <w:r>
        <w:t>oxic or carcinogenic potential.</w:t>
      </w:r>
    </w:p>
    <w:p w:rsidR="006E782B" w:rsidRDefault="006E782B" w:rsidP="006E782B">
      <w:r w:rsidRPr="006E782B">
        <w:t>Nonclinical studies demonstrated transient, reversible infertility in male rats at s</w:t>
      </w:r>
      <w:r w:rsidR="00176E9D">
        <w:t xml:space="preserve">ubclinical relative exposures. </w:t>
      </w:r>
      <w:r w:rsidRPr="006E782B">
        <w:t>Complete reversibility was</w:t>
      </w:r>
      <w:r w:rsidR="00603695">
        <w:t xml:space="preserve"> noted after 4 weeks off-dose. </w:t>
      </w:r>
      <w:r w:rsidRPr="006E782B">
        <w:t>Fertility in female rats was not affected.</w:t>
      </w:r>
    </w:p>
    <w:p w:rsidR="006E782B" w:rsidRDefault="006E782B" w:rsidP="006E782B">
      <w:r w:rsidRPr="006E782B">
        <w:t>The proposed pregnancy category of B3 is considered appropriate based on the observed embryofetal toxicity in rabbits.</w:t>
      </w:r>
    </w:p>
    <w:p w:rsidR="006E782B" w:rsidRPr="006E782B" w:rsidRDefault="006E782B" w:rsidP="006E782B">
      <w:r w:rsidRPr="006E782B">
        <w:t xml:space="preserve">Amendments to the draft </w:t>
      </w:r>
      <w:r>
        <w:t>PI</w:t>
      </w:r>
      <w:r w:rsidRPr="006E782B">
        <w:t xml:space="preserve"> proposed by the evaluator following the round 1 evaluation have been accepted and incorporated into the PI</w:t>
      </w:r>
      <w:r w:rsidRPr="006E782B">
        <w:fldChar w:fldCharType="begin"/>
      </w:r>
      <w:r w:rsidRPr="006E782B">
        <w:instrText xml:space="preserve"> REF PIstart \h </w:instrText>
      </w:r>
      <w:r>
        <w:instrText xml:space="preserve"> \* MERGEFORMAT </w:instrText>
      </w:r>
      <w:r w:rsidRPr="006E782B">
        <w:fldChar w:fldCharType="end"/>
      </w:r>
      <w:r w:rsidRPr="006E782B">
        <w:t>.</w:t>
      </w:r>
    </w:p>
    <w:p w:rsidR="008E7846" w:rsidRDefault="008E7846" w:rsidP="008E7846">
      <w:pPr>
        <w:pStyle w:val="Heading3"/>
      </w:pPr>
      <w:bookmarkStart w:id="182" w:name="_Toc247691530"/>
      <w:bookmarkStart w:id="183" w:name="_Toc314842513"/>
      <w:bookmarkStart w:id="184" w:name="_Toc524949275"/>
      <w:r>
        <w:t>Clinical</w:t>
      </w:r>
      <w:bookmarkEnd w:id="182"/>
      <w:bookmarkEnd w:id="183"/>
      <w:bookmarkEnd w:id="184"/>
    </w:p>
    <w:p w:rsidR="00A459BB" w:rsidRDefault="002A01B7" w:rsidP="00A459BB">
      <w:r w:rsidRPr="00A459BB">
        <w:t>The clinical evaluator recommends</w:t>
      </w:r>
      <w:r w:rsidRPr="00A459BB">
        <w:fldChar w:fldCharType="begin"/>
      </w:r>
      <w:r w:rsidRPr="00A459BB">
        <w:instrText xml:space="preserve"> REF PIstart \h  \* MERGEFORMAT </w:instrText>
      </w:r>
      <w:r w:rsidRPr="00A459BB">
        <w:fldChar w:fldCharType="end"/>
      </w:r>
      <w:r w:rsidRPr="00A459BB">
        <w:t xml:space="preserve"> approval of migalastat (Galafold) for the long-term treatment of adult and adolescent patients 16 years and older with a confirmed diagnosis of Fabry disease (α-galactosidase A deficiency) and who have an amenable mutation.</w:t>
      </w:r>
      <w:r w:rsidRPr="00A459BB">
        <w:br/>
        <w:t xml:space="preserve">The clinical evaluator also recommends it should be a condition of approval that patients treated with migalastat </w:t>
      </w:r>
      <w:proofErr w:type="gramStart"/>
      <w:r w:rsidRPr="00A459BB">
        <w:t>be</w:t>
      </w:r>
      <w:proofErr w:type="gramEnd"/>
      <w:r w:rsidRPr="00A459BB">
        <w:t xml:space="preserve"> includ</w:t>
      </w:r>
      <w:r w:rsidR="00176E9D">
        <w:t xml:space="preserve">ed in an appropriate registry. </w:t>
      </w:r>
      <w:r w:rsidRPr="00A459BB">
        <w:t xml:space="preserve">The sponsor confirmed in the response to the second round evaluation report that patients treated with </w:t>
      </w:r>
      <w:proofErr w:type="gramStart"/>
      <w:r w:rsidRPr="00A459BB">
        <w:t>Galafold</w:t>
      </w:r>
      <w:proofErr w:type="gramEnd"/>
      <w:r w:rsidRPr="00A459BB">
        <w:t xml:space="preserve"> will be given the option to enrol in</w:t>
      </w:r>
      <w:r w:rsidR="00A459BB">
        <w:t xml:space="preserve"> an appropriate registry study.</w:t>
      </w:r>
    </w:p>
    <w:p w:rsidR="00A459BB" w:rsidRDefault="002A01B7" w:rsidP="00A459BB">
      <w:r w:rsidRPr="00A459BB">
        <w:t>The clinical dossier documented a full clinical development program for migalastat comprising 20 studies relating to pharmacology, clinical efficacy and safety:</w:t>
      </w:r>
    </w:p>
    <w:p w:rsidR="00CD308A" w:rsidRDefault="002A01B7" w:rsidP="00A459BB">
      <w:pPr>
        <w:pStyle w:val="ListBullet"/>
      </w:pPr>
      <w:r w:rsidRPr="00A459BB">
        <w:t xml:space="preserve">10 Phase </w:t>
      </w:r>
      <w:r w:rsidR="00CE5DA1">
        <w:t>I</w:t>
      </w:r>
      <w:r w:rsidRPr="00A459BB">
        <w:t xml:space="preserve"> studies evaluating the clinical pharmacology and initial safety and tolerability of migalastat</w:t>
      </w:r>
      <w:r w:rsidR="00CD308A">
        <w:t>.</w:t>
      </w:r>
    </w:p>
    <w:p w:rsidR="00CD308A" w:rsidRDefault="002A01B7" w:rsidP="00A459BB">
      <w:pPr>
        <w:pStyle w:val="ListBullet"/>
      </w:pPr>
      <w:r w:rsidRPr="00A459BB">
        <w:t xml:space="preserve">5 Phase </w:t>
      </w:r>
      <w:r w:rsidR="00CE5DA1">
        <w:t>II</w:t>
      </w:r>
      <w:r w:rsidR="00CE5DA1" w:rsidRPr="00A459BB">
        <w:t xml:space="preserve"> </w:t>
      </w:r>
      <w:r w:rsidRPr="00A459BB">
        <w:t>studies evaluating the safety and tolerability of various migalastat doses and dosage regimens in subjects with Fabry disease.</w:t>
      </w:r>
    </w:p>
    <w:p w:rsidR="00CD308A" w:rsidRDefault="002A01B7" w:rsidP="00A459BB">
      <w:pPr>
        <w:pStyle w:val="ListBullet"/>
      </w:pPr>
      <w:r w:rsidRPr="00A459BB">
        <w:t xml:space="preserve">1 Phase </w:t>
      </w:r>
      <w:r w:rsidR="00CE5DA1">
        <w:t>II</w:t>
      </w:r>
      <w:r w:rsidR="00CE5DA1" w:rsidRPr="00A459BB">
        <w:t xml:space="preserve"> </w:t>
      </w:r>
      <w:r w:rsidRPr="00A459BB">
        <w:t>study in subjects with Fabry disease evaluating the pharmacokinetic drug-drug interaction between co-administered migalastat and agalsidase</w:t>
      </w:r>
      <w:r w:rsidR="00CD308A">
        <w:t>.</w:t>
      </w:r>
    </w:p>
    <w:p w:rsidR="00CD308A" w:rsidRDefault="002A01B7" w:rsidP="00A459BB">
      <w:pPr>
        <w:pStyle w:val="ListBullet"/>
      </w:pPr>
      <w:r w:rsidRPr="00A459BB">
        <w:t xml:space="preserve">2 Phase </w:t>
      </w:r>
      <w:r w:rsidR="00CE5DA1">
        <w:t>III</w:t>
      </w:r>
      <w:r w:rsidR="00CE5DA1" w:rsidRPr="00A459BB">
        <w:t xml:space="preserve"> </w:t>
      </w:r>
      <w:r w:rsidRPr="00A459BB">
        <w:t>studies which were identified by the sponsor as being the pivotal efficacy and safety studies (</w:t>
      </w:r>
      <w:r w:rsidR="00340103">
        <w:t xml:space="preserve">Study </w:t>
      </w:r>
      <w:r w:rsidRPr="00A459BB">
        <w:t>AT1001-011 migalastat</w:t>
      </w:r>
      <w:r w:rsidR="00D87C4B">
        <w:t xml:space="preserve"> versus </w:t>
      </w:r>
      <w:r w:rsidRPr="00A459BB">
        <w:t xml:space="preserve">placebo; </w:t>
      </w:r>
      <w:r w:rsidR="00340103">
        <w:t>Study </w:t>
      </w:r>
      <w:r w:rsidRPr="00A459BB">
        <w:t>AT1001</w:t>
      </w:r>
      <w:r w:rsidR="00340103">
        <w:noBreakHyphen/>
      </w:r>
      <w:r w:rsidRPr="00A459BB">
        <w:t>012 migalastat</w:t>
      </w:r>
      <w:r w:rsidR="00D87C4B">
        <w:t xml:space="preserve"> versus </w:t>
      </w:r>
      <w:r w:rsidRPr="00A459BB">
        <w:t>ERT)</w:t>
      </w:r>
      <w:r w:rsidR="00CD308A">
        <w:t>.</w:t>
      </w:r>
    </w:p>
    <w:p w:rsidR="00CD308A" w:rsidRDefault="002A01B7" w:rsidP="00A459BB">
      <w:pPr>
        <w:pStyle w:val="ListBullet"/>
      </w:pPr>
      <w:r w:rsidRPr="00A459BB">
        <w:t xml:space="preserve">2 Phase </w:t>
      </w:r>
      <w:r w:rsidR="00340103">
        <w:t>III</w:t>
      </w:r>
      <w:r w:rsidRPr="00A459BB">
        <w:t xml:space="preserve"> studies which were open-label long-term extension trials and enrolled subjects who had successfully completed selected Phase </w:t>
      </w:r>
      <w:r w:rsidR="00340103">
        <w:t>II</w:t>
      </w:r>
      <w:r w:rsidR="00340103" w:rsidRPr="00A459BB">
        <w:t xml:space="preserve"> </w:t>
      </w:r>
      <w:r w:rsidRPr="00A459BB">
        <w:t xml:space="preserve">and </w:t>
      </w:r>
      <w:r w:rsidR="00340103">
        <w:t>III</w:t>
      </w:r>
      <w:r w:rsidRPr="00A459BB">
        <w:t xml:space="preserve"> studies</w:t>
      </w:r>
      <w:r w:rsidR="00CD308A">
        <w:t>.</w:t>
      </w:r>
    </w:p>
    <w:p w:rsidR="002A01B7" w:rsidRDefault="002A01B7" w:rsidP="00A459BB">
      <w:pPr>
        <w:pStyle w:val="Heading4"/>
      </w:pPr>
      <w:r>
        <w:t>Pharmacology</w:t>
      </w:r>
    </w:p>
    <w:p w:rsidR="00A459BB" w:rsidRPr="00AA7E6F" w:rsidRDefault="00A459BB" w:rsidP="00A459BB">
      <w:pPr>
        <w:pStyle w:val="Heading5"/>
      </w:pPr>
      <w:r w:rsidRPr="00B173FF">
        <w:t>Pharmacokinetics</w:t>
      </w:r>
    </w:p>
    <w:p w:rsidR="00CD308A" w:rsidRDefault="00A459BB" w:rsidP="00A459BB">
      <w:r>
        <w:t>Migalastat is rapidly absorbed following oral administration, reaching peak concentration (</w:t>
      </w:r>
      <w:r w:rsidR="001B2F5C" w:rsidRPr="00401961">
        <w:t>t</w:t>
      </w:r>
      <w:r w:rsidR="001B2F5C" w:rsidRPr="00A55E04">
        <w:rPr>
          <w:vertAlign w:val="subscript"/>
        </w:rPr>
        <w:t>max</w:t>
      </w:r>
      <w:r>
        <w:t xml:space="preserve">) </w:t>
      </w:r>
      <w:r w:rsidRPr="00B22DBE">
        <w:t>in</w:t>
      </w:r>
      <w:r w:rsidR="00176E9D">
        <w:t xml:space="preserve"> about 3 hours. </w:t>
      </w:r>
      <w:r>
        <w:t>Ab</w:t>
      </w:r>
      <w:r w:rsidR="00176E9D">
        <w:t xml:space="preserve">solute bioavailability is 75%. </w:t>
      </w:r>
      <w:r>
        <w:t xml:space="preserve">Migalastat is well distributed into </w:t>
      </w:r>
      <w:r>
        <w:lastRenderedPageBreak/>
        <w:t>tissues, with a volume of distribution in healthy subjects ranging from 77</w:t>
      </w:r>
      <w:r w:rsidR="00340103">
        <w:t xml:space="preserve"> </w:t>
      </w:r>
      <w:r>
        <w:t>L to 133</w:t>
      </w:r>
      <w:r w:rsidR="00340103">
        <w:t xml:space="preserve"> </w:t>
      </w:r>
      <w:r>
        <w:t>L.  Exposure to migalastat is dose proportional over the dose ran</w:t>
      </w:r>
      <w:r w:rsidR="00176E9D">
        <w:t>ge 75</w:t>
      </w:r>
      <w:r w:rsidR="00340103">
        <w:t xml:space="preserve"> </w:t>
      </w:r>
      <w:r w:rsidR="00176E9D">
        <w:t>mg to 1250</w:t>
      </w:r>
      <w:r w:rsidR="00340103">
        <w:t xml:space="preserve"> </w:t>
      </w:r>
      <w:r w:rsidR="00176E9D">
        <w:t xml:space="preserve">mg (linear PK). </w:t>
      </w:r>
      <w:r>
        <w:t>Migalastat is predominantly eliminated unchanged via the kidneys, with metabolism by dehydrogenation and O-glucuronide conjugation only a minor route of elimination.  The pharmacokinetics in healthy subjects and patients</w:t>
      </w:r>
      <w:r w:rsidR="00176E9D">
        <w:t xml:space="preserve"> with Fabry disease are similar. </w:t>
      </w:r>
      <w:r>
        <w:t>Migalastat</w:t>
      </w:r>
      <w:r w:rsidR="00176E9D">
        <w:t xml:space="preserve"> is not metabolised by CYP450. </w:t>
      </w:r>
      <w:r>
        <w:t>A specific hepatic PK study was not performed because migalastat is predominantly eliminated unchanged via the kidneys</w:t>
      </w:r>
      <w:r w:rsidR="00CD308A">
        <w:t>.</w:t>
      </w:r>
    </w:p>
    <w:p w:rsidR="00A459BB" w:rsidRDefault="00A459BB" w:rsidP="00A459BB">
      <w:pPr>
        <w:pStyle w:val="Heading6"/>
      </w:pPr>
      <w:r>
        <w:t>Influence of food</w:t>
      </w:r>
    </w:p>
    <w:p w:rsidR="00A459BB" w:rsidRPr="00A459BB" w:rsidRDefault="00A459BB" w:rsidP="00A459BB">
      <w:r w:rsidRPr="00A459BB">
        <w:t xml:space="preserve">Administration of migalastat in association with food decreased the bioavailability of migalastat by approximately 40% when compared with the fasting state (clinical </w:t>
      </w:r>
      <w:r w:rsidR="00340103">
        <w:t>S</w:t>
      </w:r>
      <w:r w:rsidR="00340103" w:rsidRPr="00A459BB">
        <w:t>t</w:t>
      </w:r>
      <w:r w:rsidR="00340103">
        <w:t xml:space="preserve">udies </w:t>
      </w:r>
      <w:r w:rsidR="00176E9D">
        <w:t xml:space="preserve">FAB-CL-103 </w:t>
      </w:r>
      <w:r w:rsidR="00340103">
        <w:t xml:space="preserve">and </w:t>
      </w:r>
      <w:r w:rsidR="00176E9D">
        <w:t>AT1001-016).</w:t>
      </w:r>
      <w:r w:rsidRPr="00A459BB">
        <w:t xml:space="preserve"> The </w:t>
      </w:r>
      <w:r w:rsidR="00340103">
        <w:t>S</w:t>
      </w:r>
      <w:r w:rsidRPr="00A459BB">
        <w:t>tudy AT1001-016 demonstrated a reduction in migalastat bioavailability of approximately 40% when administered 1 hour</w:t>
      </w:r>
      <w:r w:rsidR="00176E9D">
        <w:t xml:space="preserve"> before or after a light meal. </w:t>
      </w:r>
      <w:r w:rsidRPr="00A459BB">
        <w:t xml:space="preserve">The clinical evaluator considers that the sponsor’s proposal for a 2-hour fasting window before and after food is considered acceptable based on the PK data and the efficacy data from the pivotal </w:t>
      </w:r>
      <w:r w:rsidR="00340103">
        <w:t>P</w:t>
      </w:r>
      <w:r w:rsidR="00340103" w:rsidRPr="00A459BB">
        <w:t xml:space="preserve">hase </w:t>
      </w:r>
      <w:r w:rsidR="00340103">
        <w:t>III</w:t>
      </w:r>
      <w:r w:rsidR="00340103" w:rsidRPr="00A459BB">
        <w:t xml:space="preserve"> </w:t>
      </w:r>
      <w:r w:rsidR="00340103">
        <w:t>S</w:t>
      </w:r>
      <w:r w:rsidRPr="00A459BB">
        <w:t>tudy AT1001-011.</w:t>
      </w:r>
    </w:p>
    <w:p w:rsidR="00A459BB" w:rsidRDefault="00A459BB" w:rsidP="00A459BB">
      <w:pPr>
        <w:pStyle w:val="Heading6"/>
      </w:pPr>
      <w:r w:rsidRPr="00A459BB">
        <w:rPr>
          <w:rFonts w:eastAsia="Cambria"/>
        </w:rPr>
        <w:t>Renal impairment</w:t>
      </w:r>
    </w:p>
    <w:p w:rsidR="00CD308A" w:rsidRDefault="00A459BB" w:rsidP="00A459BB">
      <w:r w:rsidRPr="00A459BB">
        <w:t>Migalastat exposures for subjects with mild, moderate and severe renal impairment were 1.2-, 1.8- and 4.3-fold greater than subjects with normal renal function (</w:t>
      </w:r>
      <w:r w:rsidR="00340103">
        <w:t>Study </w:t>
      </w:r>
      <w:r w:rsidRPr="00A459BB">
        <w:t>AT1001</w:t>
      </w:r>
      <w:r w:rsidR="00340103">
        <w:noBreakHyphen/>
      </w:r>
      <w:r w:rsidRPr="00A459BB">
        <w:t>015).  Terminal elimination half-life values were 6.4, 7.7, 22.1 and 32.2 hours for subjects with normal renal function and mild, moderate and severe renal impairment respectively.  Patients with severe renal impairment (eGFR &lt; 30 mL/min/1.73 m</w:t>
      </w:r>
      <w:r w:rsidRPr="00286482">
        <w:rPr>
          <w:vertAlign w:val="superscript"/>
        </w:rPr>
        <w:t>2</w:t>
      </w:r>
      <w:r w:rsidRPr="00A459BB">
        <w:t xml:space="preserve">) were excluded from the Phase </w:t>
      </w:r>
      <w:r w:rsidR="00340103">
        <w:t>III</w:t>
      </w:r>
      <w:r w:rsidR="00340103" w:rsidRPr="00A459BB">
        <w:t xml:space="preserve"> </w:t>
      </w:r>
      <w:r w:rsidRPr="00A459BB">
        <w:t>stu</w:t>
      </w:r>
      <w:r w:rsidR="00286482">
        <w:t>dies.</w:t>
      </w:r>
      <w:r w:rsidRPr="00A459BB">
        <w:t xml:space="preserve"> The sponsor proposes that migalastat is not recommended in patients with severe renal impairment.  No dosage adjustment is proposed for patients with mild or moderate renal impairment.  The clinical evaluator is satisfied with the sponsor’s assessment that no dosage adjustment is required for patients with moderate renal impairment because significant accumulation following every other day administration is not anticipated in patients with mild or moderate renal impairment based on analysis of the pharmacokinetic data and adverse event profile</w:t>
      </w:r>
      <w:r w:rsidR="00CD308A">
        <w:t>.</w:t>
      </w:r>
    </w:p>
    <w:p w:rsidR="00A459BB" w:rsidRDefault="00A459BB" w:rsidP="00A459BB">
      <w:pPr>
        <w:pStyle w:val="Heading5"/>
      </w:pPr>
      <w:r w:rsidRPr="00A459BB">
        <w:t>Pharmacodynamics</w:t>
      </w:r>
    </w:p>
    <w:p w:rsidR="00A459BB" w:rsidRDefault="00A459BB" w:rsidP="00A459BB">
      <w:r w:rsidRPr="00A459BB">
        <w:t xml:space="preserve">The PD effects of migalastat were investigated in 5 Phase </w:t>
      </w:r>
      <w:r w:rsidR="00340103">
        <w:t>II</w:t>
      </w:r>
      <w:r w:rsidRPr="00A459BB">
        <w:t xml:space="preserve"> studies in subjects with Fabry disease. These studies measured leucocyte α-Gal </w:t>
      </w:r>
      <w:proofErr w:type="gramStart"/>
      <w:r w:rsidRPr="00A459BB">
        <w:t>A</w:t>
      </w:r>
      <w:proofErr w:type="gramEnd"/>
      <w:r w:rsidRPr="00A459BB">
        <w:t xml:space="preserve"> activity, urine GL-3 levels, renal histological changes (interstitial capillary GL-3) and functional changes (cardiac, renal, neurological).  In general, the biochemical parameters associated with the disease improved to a greater extent in patients with amenable mutations compared to patients with non-amenable mutations.</w:t>
      </w:r>
    </w:p>
    <w:p w:rsidR="00CD308A" w:rsidRDefault="00A459BB" w:rsidP="00A459BB">
      <w:r w:rsidRPr="00A459BB">
        <w:t xml:space="preserve">In the male population, baseline α-Gal </w:t>
      </w:r>
      <w:proofErr w:type="gramStart"/>
      <w:r w:rsidRPr="00A459BB">
        <w:t>A</w:t>
      </w:r>
      <w:proofErr w:type="gramEnd"/>
      <w:r w:rsidRPr="00A459BB">
        <w:t xml:space="preserve"> activity was low in all subjects.  An increase in α-Gal </w:t>
      </w:r>
      <w:proofErr w:type="gramStart"/>
      <w:r w:rsidRPr="00A459BB">
        <w:t>A</w:t>
      </w:r>
      <w:proofErr w:type="gramEnd"/>
      <w:r w:rsidRPr="00A459BB">
        <w:t xml:space="preserve"> activity following treatment with migalastat was generally observed in sub</w:t>
      </w:r>
      <w:r w:rsidR="00176E9D">
        <w:t xml:space="preserve">jects with amenable mutations. </w:t>
      </w:r>
      <w:r w:rsidRPr="00A459BB">
        <w:t>Urine GL-3 generally decreased from baseline in male sub</w:t>
      </w:r>
      <w:r w:rsidR="00176E9D">
        <w:t xml:space="preserve">jects with amenable mutations. </w:t>
      </w:r>
      <w:r w:rsidRPr="00A459BB">
        <w:t>This trend was not observed in male subjects with non-amenable mutations</w:t>
      </w:r>
      <w:r w:rsidR="00CD308A">
        <w:t>.</w:t>
      </w:r>
    </w:p>
    <w:p w:rsidR="00A459BB" w:rsidRDefault="00A459BB" w:rsidP="00A459BB">
      <w:r w:rsidRPr="00A459BB">
        <w:t xml:space="preserve">Baseline α-Gal A activity was notably higher in female subjects than in male subjects, due to the expression of both wild-type and mutant α-Gal A in females. There were increases in α-Gal </w:t>
      </w:r>
      <w:proofErr w:type="gramStart"/>
      <w:r w:rsidRPr="00A459BB">
        <w:t>A</w:t>
      </w:r>
      <w:proofErr w:type="gramEnd"/>
      <w:r w:rsidRPr="00A459BB">
        <w:t xml:space="preserve"> activity in female subjects with and without migalastat-amenable GLA mutations </w:t>
      </w:r>
      <w:r w:rsidR="00176E9D">
        <w:t xml:space="preserve">following migalastat treatment. </w:t>
      </w:r>
      <w:r w:rsidRPr="00A459BB">
        <w:t xml:space="preserve">However, α-Gal </w:t>
      </w:r>
      <w:proofErr w:type="gramStart"/>
      <w:r w:rsidRPr="00A459BB">
        <w:t>A</w:t>
      </w:r>
      <w:proofErr w:type="gramEnd"/>
      <w:r w:rsidRPr="00A459BB">
        <w:t xml:space="preserve"> activity is considered not to be a reliable measure of the effect of migalastat on the mutant form of α-Gal A in women with Fabry disease because migalastat increases wild-type enzyme activity as well as mutant form activity.  Changes in disease substrate provide a more reliable assessment o</w:t>
      </w:r>
      <w:r w:rsidR="00176E9D">
        <w:t xml:space="preserve">f pharmacodynamics in females. </w:t>
      </w:r>
      <w:r w:rsidRPr="00A459BB">
        <w:t xml:space="preserve">In </w:t>
      </w:r>
      <w:r w:rsidR="00340103">
        <w:t xml:space="preserve">Study </w:t>
      </w:r>
      <w:r w:rsidRPr="00A459BB">
        <w:t>FAB-CL-204, urine GL-3 decreased from baseline following migalastat treatment in all 5 females with amenable mutations.</w:t>
      </w:r>
    </w:p>
    <w:p w:rsidR="00A459BB" w:rsidRDefault="00A459BB" w:rsidP="00A459BB">
      <w:r w:rsidRPr="00A459BB">
        <w:lastRenderedPageBreak/>
        <w:t xml:space="preserve">Dosage selection for the Phase </w:t>
      </w:r>
      <w:r w:rsidR="00340103">
        <w:t>III</w:t>
      </w:r>
      <w:r w:rsidRPr="00A459BB">
        <w:t xml:space="preserve"> studies was based on the findings from no</w:t>
      </w:r>
      <w:r w:rsidR="00176E9D">
        <w:t>nclinical and clinical studies.</w:t>
      </w:r>
      <w:r w:rsidRPr="00A459BB">
        <w:t xml:space="preserve"> The 150mg QOD regimen was considered to have the most </w:t>
      </w:r>
      <w:r w:rsidR="00176E9D">
        <w:t xml:space="preserve">favourable benefit/risk ratio. </w:t>
      </w:r>
      <w:r w:rsidRPr="00A459BB">
        <w:t>In study FAB-CL-205, when subjects were switched from 150mg QOD to other dosage regimens (250mg or 500mg, 3 days on/4 days off), no further increases in leucocyte α-Gal A activity or reductions in urine GL-3 were observed. Additionally, a higher rate of treatment-related AEs was observed at the 250mg and 500mg dos</w:t>
      </w:r>
      <w:r w:rsidR="00176E9D">
        <w:t xml:space="preserve">es compared to the 150mg dose. </w:t>
      </w:r>
      <w:r w:rsidRPr="00A459BB">
        <w:t>The sponsor considered that 150mg QOD provided the best balance of substrate reduction (urine GL-3) and safety in subjects with amenable GLA</w:t>
      </w:r>
      <w:r>
        <w:t xml:space="preserve"> mutations.</w:t>
      </w:r>
    </w:p>
    <w:p w:rsidR="00A459BB" w:rsidRPr="00A459BB" w:rsidRDefault="00A459BB" w:rsidP="00A459BB">
      <w:pPr>
        <w:pStyle w:val="Heading4"/>
      </w:pPr>
      <w:r w:rsidRPr="00A459BB">
        <w:t>Efficacy</w:t>
      </w:r>
    </w:p>
    <w:p w:rsidR="00A459BB" w:rsidRDefault="00A459BB" w:rsidP="00A459BB">
      <w:r w:rsidRPr="00A459BB">
        <w:t xml:space="preserve">Two Phase </w:t>
      </w:r>
      <w:r w:rsidR="00F30BE5">
        <w:t>III</w:t>
      </w:r>
      <w:r w:rsidR="00F30BE5" w:rsidRPr="00A459BB">
        <w:t xml:space="preserve"> </w:t>
      </w:r>
      <w:r w:rsidRPr="00A459BB">
        <w:t xml:space="preserve">studies have been identified as the pivotal efficacy and safety studies: </w:t>
      </w:r>
      <w:r w:rsidR="00F30BE5">
        <w:t xml:space="preserve">Studies </w:t>
      </w:r>
      <w:r w:rsidRPr="00A459BB">
        <w:t>AT1001-011 and AT1001-012.</w:t>
      </w:r>
    </w:p>
    <w:p w:rsidR="00A459BB" w:rsidRDefault="00A459BB" w:rsidP="00A459BB">
      <w:r w:rsidRPr="00A459BB">
        <w:t>Study AT1001-011 was a randomised, double-blind, placebo-controlled study to evaluate the efficacy, safety and pharmacodynamics of migalastat in patients with Fabry di</w:t>
      </w:r>
      <w:r w:rsidR="00176E9D">
        <w:t xml:space="preserve">sease with amenable mutations. </w:t>
      </w:r>
      <w:r w:rsidRPr="00A459BB">
        <w:t>Stage 1 was randomised, double-blind and placebo-controlled (migalastat 150mg QOD or m</w:t>
      </w:r>
      <w:r w:rsidR="00176E9D">
        <w:t>atching placebo) from month 0</w:t>
      </w:r>
      <w:r w:rsidR="00F30BE5">
        <w:t xml:space="preserve"> to </w:t>
      </w:r>
      <w:r w:rsidRPr="00A459BB">
        <w:t>6. Stage 2 was open-label, migalastat tre</w:t>
      </w:r>
      <w:r w:rsidR="00176E9D">
        <w:t>atment 150mg QOD from month 7</w:t>
      </w:r>
      <w:r w:rsidR="00F30BE5">
        <w:t xml:space="preserve"> to </w:t>
      </w:r>
      <w:r w:rsidR="00176E9D">
        <w:t>12.</w:t>
      </w:r>
      <w:r w:rsidRPr="00A459BB">
        <w:t xml:space="preserve"> An open-label extension phase of migalastat treatmen</w:t>
      </w:r>
      <w:r w:rsidR="00176E9D">
        <w:t>t 150mg QOD ran from month 13-</w:t>
      </w:r>
      <w:r w:rsidRPr="00A459BB">
        <w:t>24.</w:t>
      </w:r>
    </w:p>
    <w:p w:rsidR="00A459BB" w:rsidRDefault="00A459BB" w:rsidP="00A459BB">
      <w:r w:rsidRPr="00A459BB">
        <w:t>The study included male and female patients aged 16 to 74 years with a diagnosis of Fabry disease and an amenable mutation identified by the Clinical Trial HEK.  Subjects were required to be ERT naïve or not to have received ERT for at le</w:t>
      </w:r>
      <w:r w:rsidR="00176E9D">
        <w:t xml:space="preserve">ast 6 months before screening. </w:t>
      </w:r>
      <w:r w:rsidRPr="00A459BB">
        <w:t>The mean age of the study population was 42 years, with the majority being female (64%) and white (97%).  The mean time since diagnosis was 6.3 years.  25% had previously been treated with ERT.</w:t>
      </w:r>
    </w:p>
    <w:p w:rsidR="00A459BB" w:rsidRDefault="00A459BB" w:rsidP="00A459BB">
      <w:r w:rsidRPr="00A459BB">
        <w:t xml:space="preserve">Amenable mutations were initially identified by an in vitro Clinical Trial Human Embryonic Kidney (HEK) cell-based assay developed by Amicus Therapeutics. Following completion of enrolment into </w:t>
      </w:r>
      <w:r w:rsidR="00F30BE5">
        <w:t xml:space="preserve">Study </w:t>
      </w:r>
      <w:r w:rsidRPr="00A459BB">
        <w:t>AT1001-011, the assay was validated by a third-party laboratory in compliance with current regulatory guidance and Good Laboratory Practice regulations.  The validated assay is referred to as the GLP HEK assay. The sponsor stated that the GLP HEK assay was similar to the preliminary HEK assay, but included modifications to increase the level of quality control, rigor, precision and consistency.  The use of the GLP HEK assay changed the classification of 17 enrolled subjects with amenable mutations based on the Clinical Trial HEK assay to non-amenable mutations.  Six of these 17 had been randomised to migalastat, 11 to placebo.  The Stage 1 analyses of responsive subjects based on the Clinical Trial HEK assay were termed pre-specified, and the Stage 1 analyses of amenable subjects based on the GLP HEK assay were termed post-hoc.  Both pre-specified and post-hoc results for Stage 1 data were reported.</w:t>
      </w:r>
    </w:p>
    <w:p w:rsidR="00A459BB" w:rsidRDefault="00A459BB" w:rsidP="00A459BB">
      <w:r w:rsidRPr="00A459BB">
        <w:t>Of the 67 subjects entering Stage 1, 34 (100%) in the migalastat group and 30 (91%) in the pl</w:t>
      </w:r>
      <w:r w:rsidR="00176E9D">
        <w:t xml:space="preserve">acebo group completed Stage 1. </w:t>
      </w:r>
      <w:r w:rsidRPr="00A459BB">
        <w:t>60 subjects completed Stage 2, comprising 31 (94%) in the migalastat-migalastat group and 29 (97%) in the placebo-migalastat group. A total of 54 subjects completed the open-label extension, comprising 27 (93%) in the migalastat-migalastat group and 27 (96%) in the placebo-migalastat group.</w:t>
      </w:r>
      <w:r w:rsidR="00176E9D">
        <w:t xml:space="preserve"> </w:t>
      </w:r>
      <w:r w:rsidRPr="00A459BB">
        <w:t xml:space="preserve">The Stage 1pre-specified primary efficacy endpoint was the percentage of subjects with a ≥ 50% reduction from baseline in the average number of renal IC GL-3 inclusions. This primary efficacy endpoint was not met.  The pre-specified response rate was higher in the migalastat group (41%) than in the placebo group (28%), but the difference between the two groups was not statistically significant </w:t>
      </w:r>
      <w:r>
        <w:t>(p</w:t>
      </w:r>
      <w:r w:rsidR="00F30BE5">
        <w:t xml:space="preserve"> </w:t>
      </w:r>
      <w:r>
        <w:t>=</w:t>
      </w:r>
      <w:r w:rsidR="00F30BE5">
        <w:t xml:space="preserve"> </w:t>
      </w:r>
      <w:r>
        <w:t>0.3).</w:t>
      </w:r>
    </w:p>
    <w:p w:rsidR="00A459BB" w:rsidRDefault="00A459BB" w:rsidP="00A459BB">
      <w:r w:rsidRPr="00A459BB">
        <w:t xml:space="preserve">Stage 1 pre-specified secondary efficacy endpoints included change in IC GL-3 inclusions, urine GL-3, eGFRCKD-EPI, eGFRMDRD, mGFRiohexol and 24-h urine protein, albumin, and creatinine.  Although there were some trends in favour of the migalastat group compared </w:t>
      </w:r>
      <w:r w:rsidRPr="00A459BB">
        <w:lastRenderedPageBreak/>
        <w:t xml:space="preserve">to placebo, none of the pre-specified secondary endpoints were statistically significant.    </w:t>
      </w:r>
      <w:r w:rsidRPr="00A459BB">
        <w:br/>
        <w:t xml:space="preserve">The Stage 1 post-hoc analysis demonstrated a statistically significant reduction in the average number of IC GL-3 inclusions in the migalastat group (39% </w:t>
      </w:r>
      <w:proofErr w:type="gramStart"/>
      <w:r w:rsidRPr="00A459BB">
        <w:t>decrease</w:t>
      </w:r>
      <w:proofErr w:type="gramEnd"/>
      <w:r w:rsidRPr="00A459BB">
        <w:t>) compared to the placebo group (14% increase).  The post-hoc analysis also demonstrated a statistically significant greater percentage of ICs with zero GL-3 inclusions after 6 months of treatment with migalastat than with placebo.</w:t>
      </w:r>
    </w:p>
    <w:p w:rsidR="00A459BB" w:rsidRDefault="00A459BB" w:rsidP="00A459BB">
      <w:r w:rsidRPr="00A459BB">
        <w:t>The sponsor undertook a statistical comparison of annualised changes in eGFR in migalastat-treated subjects with those reported in the literature for untreated patients. This comparison demonstrated statistically significant differences in the annualised rate of change in eGFR favouring migalastat compared to untreated patients from the published literature. This analysis demonstrated stabilisation of renal function in migalastat-treated subjects compared to published reports of renal function in untreated patients.</w:t>
      </w:r>
      <w:r w:rsidR="00176E9D">
        <w:t xml:space="preserve"> </w:t>
      </w:r>
      <w:r w:rsidRPr="00A459BB">
        <w:t>In Stage 2, subjects who switched from placebo to migalastat demonstrated a statistically significantly decrease in the average number of IC GL-3 inclus</w:t>
      </w:r>
      <w:r w:rsidR="00176E9D">
        <w:t xml:space="preserve">ions from month 6 to month 12. </w:t>
      </w:r>
      <w:r w:rsidRPr="00A459BB">
        <w:t>In the open label extension, renal function remained stable over 18 to 24 months of migalastat treatment.</w:t>
      </w:r>
    </w:p>
    <w:p w:rsidR="00A459BB" w:rsidRDefault="00A459BB" w:rsidP="00A459BB">
      <w:r w:rsidRPr="00A459BB">
        <w:t>The effect of migalastat on cardiac function was assessed primarily by change</w:t>
      </w:r>
      <w:r w:rsidR="00176E9D">
        <w:t xml:space="preserve">s in LVMi on echocardiography. </w:t>
      </w:r>
      <w:r w:rsidRPr="00A459BB">
        <w:t>No difference in LVMi was demonstrated between miga</w:t>
      </w:r>
      <w:r w:rsidR="00176E9D">
        <w:t xml:space="preserve">lastat and placebo at month 6. </w:t>
      </w:r>
      <w:r w:rsidRPr="00A459BB">
        <w:t xml:space="preserve">At the completion of </w:t>
      </w:r>
      <w:r w:rsidR="004504A0">
        <w:t xml:space="preserve">Study </w:t>
      </w:r>
      <w:r w:rsidRPr="00A459BB">
        <w:t>AT1001-011, following treatment with migalastat for 18 to 24 months, the mean changes in LVMi from baseline were -7.7 g/m</w:t>
      </w:r>
      <w:r w:rsidRPr="00176E9D">
        <w:rPr>
          <w:vertAlign w:val="superscript"/>
        </w:rPr>
        <w:t>2</w:t>
      </w:r>
      <w:r w:rsidRPr="00A459BB">
        <w:t xml:space="preserve"> (95% CI: -15.4, -0.01) in all subjects (</w:t>
      </w:r>
      <w:r w:rsidR="008B05D5">
        <w:t xml:space="preserve">n = </w:t>
      </w:r>
      <w:r w:rsidRPr="00A459BB">
        <w:t>27) and -18.6 g/m2 (95% CI: -38.2, 1.0) in subjec</w:t>
      </w:r>
      <w:r w:rsidR="00176E9D">
        <w:t>ts with LVH at baseline (</w:t>
      </w:r>
      <w:r w:rsidR="008B05D5">
        <w:t xml:space="preserve">n = </w:t>
      </w:r>
      <w:r w:rsidR="00176E9D">
        <w:t xml:space="preserve">8). </w:t>
      </w:r>
      <w:r w:rsidRPr="00A459BB">
        <w:t>Subjects who continued in the long-term extension study AT1001-041 achieved further decreases in LVMi.</w:t>
      </w:r>
    </w:p>
    <w:p w:rsidR="00A459BB" w:rsidRDefault="00A459BB" w:rsidP="00A459BB">
      <w:r w:rsidRPr="00A459BB">
        <w:t>Statistically significant reductions in plasma lyso-Gb3 were observed after 6 months of treatment for subjects randomised to migalastat in Stage 1 and for subjects switching from placebo to migalastat in Stage 2</w:t>
      </w:r>
      <w:r>
        <w:t>.</w:t>
      </w:r>
    </w:p>
    <w:p w:rsidR="00A459BB" w:rsidRDefault="00A459BB" w:rsidP="00A459BB">
      <w:r w:rsidRPr="00A459BB">
        <w:t>Gastrointestinal symptoms were assessed using GSRS subscales. In the Stage 1 post-hoc analysis, significant improvements in diarrhoea symptoms were observed with migalastat compared to placebo, and significant improvements were observed in reflux symptoms in subjects with baseline reflux symptoms. In the open label extension, significant improvements in symptoms of diarrhoea and indigestion were observed in subjects treated with migalastat for 18 to 24 months.</w:t>
      </w:r>
    </w:p>
    <w:p w:rsidR="00A459BB" w:rsidRDefault="00A459BB" w:rsidP="00A459BB">
      <w:r w:rsidRPr="00A459BB">
        <w:t>Study AT1001-012 was a randomised, open-label, active-controlled study to compare the efficacy and safety of migalastat to ERT (agalsidase α or agalsidase β) in subjects with Fabry disease with amenable mutations who have been treated wi</w:t>
      </w:r>
      <w:r w:rsidR="00176E9D">
        <w:t xml:space="preserve">th ERT for at least 12 months. </w:t>
      </w:r>
      <w:r w:rsidRPr="00A459BB">
        <w:t xml:space="preserve">In Period 1, subjects were randomised 1.5:1 to receive treatment with migalastat HCl 150mg QOD </w:t>
      </w:r>
      <w:r w:rsidR="00176E9D">
        <w:t xml:space="preserve">or continue ERT for 18 months. </w:t>
      </w:r>
      <w:r w:rsidRPr="00A459BB">
        <w:t>Period 2 was an optional 12-month open-label extension (OLE) period in which subjects who were randomised to ERT for Period 1 were switched to migalastat and patients randomised to migalastat for Period 1 continued on migalastat.</w:t>
      </w:r>
    </w:p>
    <w:p w:rsidR="00CD308A" w:rsidRDefault="00A459BB" w:rsidP="00A459BB">
      <w:r w:rsidRPr="00A459BB">
        <w:t>The two primary efficacy endpoints were the annualised rates of change for mGFRiohexol and eGFRCKD-</w:t>
      </w:r>
      <w:r w:rsidR="00176E9D">
        <w:t xml:space="preserve">EPI from baseline to month 18. </w:t>
      </w:r>
      <w:r w:rsidRPr="00A459BB">
        <w:t>Although this was an open-label study, the selection of objective GFR measures as the two primary endpoints mitigates the potential bias of an open-label study</w:t>
      </w:r>
      <w:r w:rsidR="00CD308A">
        <w:t>.</w:t>
      </w:r>
    </w:p>
    <w:p w:rsidR="00A459BB" w:rsidRPr="00A459BB" w:rsidRDefault="00A459BB" w:rsidP="00A459BB">
      <w:r w:rsidRPr="00A459BB">
        <w:t>This study was not powered t</w:t>
      </w:r>
      <w:r w:rsidR="00176E9D">
        <w:t xml:space="preserve">o demonstrate non-inferiority. </w:t>
      </w:r>
      <w:r w:rsidRPr="00A459BB">
        <w:t>The rarity of Fabry disease and the limited number of subjects who could be enrolled in the trial meant that a non-inferiority analysis was not f</w:t>
      </w:r>
      <w:r w:rsidR="00176E9D">
        <w:t xml:space="preserve">easible. </w:t>
      </w:r>
      <w:r w:rsidRPr="00A459BB">
        <w:t>Negotiations with EMA led to the development of pre-specified criteria to enable a descriptive comparison of the GFR results.  The two pre-specified comparability criteria were:</w:t>
      </w:r>
    </w:p>
    <w:p w:rsidR="00A459BB" w:rsidRPr="009A6AED" w:rsidRDefault="00A459BB" w:rsidP="00A459BB">
      <w:pPr>
        <w:pStyle w:val="ListBullet"/>
      </w:pPr>
      <w:r>
        <w:lastRenderedPageBreak/>
        <w:t>difference between the mean annualised change in GFR for migalastat and ERT within 2.2 m</w:t>
      </w:r>
      <w:r w:rsidR="004504A0">
        <w:t>L</w:t>
      </w:r>
      <w:r>
        <w:t>/min/1.73m</w:t>
      </w:r>
      <w:r>
        <w:rPr>
          <w:vertAlign w:val="superscript"/>
        </w:rPr>
        <w:t>2</w:t>
      </w:r>
      <w:r>
        <w:t xml:space="preserve"> per year; and</w:t>
      </w:r>
    </w:p>
    <w:p w:rsidR="00A459BB" w:rsidRPr="00A459BB" w:rsidRDefault="00A459BB" w:rsidP="00A459BB">
      <w:pPr>
        <w:pStyle w:val="ListBullet"/>
        <w:rPr>
          <w:sz w:val="23"/>
          <w:szCs w:val="23"/>
        </w:rPr>
      </w:pPr>
      <w:r>
        <w:t>&gt;</w:t>
      </w:r>
      <w:r w:rsidR="004504A0">
        <w:t xml:space="preserve"> </w:t>
      </w:r>
      <w:r>
        <w:t>50% overlap of the 95% CI for migalastat and ERT</w:t>
      </w:r>
      <w:r w:rsidRPr="00B12BDF">
        <w:t>.</w:t>
      </w:r>
    </w:p>
    <w:p w:rsidR="00A459BB" w:rsidRDefault="00A459BB" w:rsidP="00A459BB">
      <w:r w:rsidRPr="00A459BB">
        <w:t>A total of 60 patients were randomised. There were 26 male and 34 female subjects with a mean age of 4</w:t>
      </w:r>
      <w:r w:rsidR="00176E9D">
        <w:t>8 years (range 18 to 72 years).</w:t>
      </w:r>
      <w:r w:rsidRPr="00A459BB">
        <w:t xml:space="preserve"> 51 (85%) were classified </w:t>
      </w:r>
      <w:r>
        <w:t>as white and 7 (12%) as Asian.</w:t>
      </w:r>
    </w:p>
    <w:p w:rsidR="00A459BB" w:rsidRDefault="00A459BB" w:rsidP="00A459BB">
      <w:pPr>
        <w:rPr>
          <w:sz w:val="23"/>
          <w:szCs w:val="23"/>
        </w:rPr>
      </w:pPr>
      <w:r>
        <w:rPr>
          <w:sz w:val="23"/>
          <w:szCs w:val="23"/>
        </w:rPr>
        <w:t>36 subjects were randomised to migalastat treatment and 24 to ERT for 18 months.  33 continued in the migalastat-migalastat group and 15 continued in the ERT-migalastat group.  30 completed migalastat-migalastat and 12 completed ERT-migalastat, so there was a higher discontinuation rate in the ERT cohort.</w:t>
      </w:r>
    </w:p>
    <w:p w:rsidR="00A459BB" w:rsidRDefault="00A459BB" w:rsidP="00A459BB">
      <w:pPr>
        <w:rPr>
          <w:sz w:val="23"/>
          <w:szCs w:val="23"/>
        </w:rPr>
      </w:pPr>
      <w:r w:rsidRPr="000E789B">
        <w:t>T</w:t>
      </w:r>
      <w:r>
        <w:t>he</w:t>
      </w:r>
      <w:r w:rsidRPr="000E789B">
        <w:rPr>
          <w:rFonts w:cs="Calibri"/>
        </w:rPr>
        <w:t xml:space="preserve"> assessment of </w:t>
      </w:r>
      <w:r w:rsidRPr="000E789B">
        <w:rPr>
          <w:rFonts w:cs="Calibri"/>
          <w:i/>
        </w:rPr>
        <w:t>GLA</w:t>
      </w:r>
      <w:r w:rsidRPr="000E789B">
        <w:rPr>
          <w:rFonts w:eastAsiaTheme="minorHAnsi" w:cs="Calibri"/>
          <w:lang w:val="en-US"/>
        </w:rPr>
        <w:t xml:space="preserve"> </w:t>
      </w:r>
      <w:r w:rsidRPr="000E789B">
        <w:rPr>
          <w:rFonts w:cs="Calibri"/>
        </w:rPr>
        <w:t>mutation</w:t>
      </w:r>
      <w:r>
        <w:rPr>
          <w:rFonts w:cs="Calibri"/>
        </w:rPr>
        <w:t xml:space="preserve"> statu</w:t>
      </w:r>
      <w:r w:rsidRPr="000E789B">
        <w:rPr>
          <w:rFonts w:cs="Calibri"/>
        </w:rPr>
        <w:t xml:space="preserve">s during enrolment for all subjects was </w:t>
      </w:r>
      <w:r>
        <w:rPr>
          <w:rFonts w:cs="Calibri"/>
        </w:rPr>
        <w:t>based on</w:t>
      </w:r>
      <w:r w:rsidRPr="000E789B">
        <w:rPr>
          <w:rFonts w:cs="Calibri"/>
        </w:rPr>
        <w:t xml:space="preserve"> the Clinical Trial HEK assay</w:t>
      </w:r>
      <w:r w:rsidRPr="000E789B">
        <w:t xml:space="preserve"> </w:t>
      </w:r>
      <w:r>
        <w:t xml:space="preserve">but subjects were reassessed using the GLP HEK assay </w:t>
      </w:r>
      <w:r w:rsidRPr="000E789B">
        <w:rPr>
          <w:rFonts w:cs="Calibri"/>
        </w:rPr>
        <w:t>prior to the database lock for the 18-month randomised treatment period</w:t>
      </w:r>
      <w:r>
        <w:rPr>
          <w:rFonts w:cs="Calibri"/>
        </w:rPr>
        <w:t>.  T</w:t>
      </w:r>
      <w:r w:rsidRPr="000E789B">
        <w:t>he efficacy analyses for</w:t>
      </w:r>
      <w:r>
        <w:rPr>
          <w:sz w:val="23"/>
          <w:szCs w:val="23"/>
        </w:rPr>
        <w:t xml:space="preserve"> this study were performed on subjects assessed as having amenable mutations by the GLP HEK assay. Of the 60 patients randomised, 56 had amenable mutations. Two subjects in each treatment group had their </w:t>
      </w:r>
      <w:r w:rsidRPr="000E789B">
        <w:rPr>
          <w:i/>
          <w:sz w:val="23"/>
          <w:szCs w:val="23"/>
        </w:rPr>
        <w:t>GLA</w:t>
      </w:r>
      <w:r>
        <w:rPr>
          <w:sz w:val="23"/>
          <w:szCs w:val="23"/>
        </w:rPr>
        <w:t xml:space="preserve"> mutation status changed from amenable to non-amenable based on the GLP HEK assay.</w:t>
      </w:r>
    </w:p>
    <w:p w:rsidR="00A459BB" w:rsidRDefault="00A459BB" w:rsidP="00A459BB">
      <w:r>
        <w:t xml:space="preserve">After 18 months, the mean annualised change in </w:t>
      </w:r>
      <w:r w:rsidRPr="008403EA">
        <w:rPr>
          <w:rFonts w:cs="Calibri"/>
        </w:rPr>
        <w:t>eGFR</w:t>
      </w:r>
      <w:r w:rsidRPr="008403EA">
        <w:rPr>
          <w:rFonts w:cs="Calibri"/>
          <w:sz w:val="18"/>
          <w:szCs w:val="18"/>
        </w:rPr>
        <w:t>CKD-EPI</w:t>
      </w:r>
      <w:r>
        <w:t xml:space="preserve"> was -0.40 for migalastat and -1.03 for ERT (difference = 0.63) and the mean annualised change in </w:t>
      </w:r>
      <w:r>
        <w:rPr>
          <w:rFonts w:cs="Calibri"/>
        </w:rPr>
        <w:t>m</w:t>
      </w:r>
      <w:r w:rsidRPr="008403EA">
        <w:rPr>
          <w:rFonts w:cs="Calibri"/>
        </w:rPr>
        <w:t>GFR</w:t>
      </w:r>
      <w:r>
        <w:rPr>
          <w:rFonts w:cs="Calibri"/>
          <w:sz w:val="18"/>
          <w:szCs w:val="18"/>
        </w:rPr>
        <w:t>io</w:t>
      </w:r>
      <w:r w:rsidRPr="008403EA">
        <w:rPr>
          <w:rFonts w:cs="Calibri"/>
          <w:sz w:val="18"/>
          <w:szCs w:val="18"/>
        </w:rPr>
        <w:t>hexol</w:t>
      </w:r>
      <w:r w:rsidR="00176E9D">
        <w:t xml:space="preserve"> </w:t>
      </w:r>
      <w:r>
        <w:t>-4.35 for migalastat and -3.24</w:t>
      </w:r>
      <w:r w:rsidR="00176E9D">
        <w:t xml:space="preserve"> for ERT (difference = -1.11). </w:t>
      </w:r>
      <w:r>
        <w:t>The differences in the mean annualised change in GFR between migalastat and ERT were within 2.2 ml/min/1.73m</w:t>
      </w:r>
      <w:r>
        <w:rPr>
          <w:vertAlign w:val="superscript"/>
        </w:rPr>
        <w:t>2</w:t>
      </w:r>
      <w:r>
        <w:t xml:space="preserve"> per year and there was complete overlap of the 95% CI for migalastat with the 95% CI for ERT, so the pre-specified comparability criteria were met for both </w:t>
      </w:r>
      <w:r>
        <w:rPr>
          <w:rFonts w:cs="Calibri"/>
        </w:rPr>
        <w:t>m</w:t>
      </w:r>
      <w:r w:rsidRPr="008403EA">
        <w:rPr>
          <w:rFonts w:cs="Calibri"/>
        </w:rPr>
        <w:t>GFR</w:t>
      </w:r>
      <w:r>
        <w:rPr>
          <w:rFonts w:cs="Calibri"/>
          <w:sz w:val="18"/>
          <w:szCs w:val="18"/>
        </w:rPr>
        <w:t>io</w:t>
      </w:r>
      <w:r w:rsidRPr="008403EA">
        <w:rPr>
          <w:rFonts w:cs="Calibri"/>
          <w:sz w:val="18"/>
          <w:szCs w:val="18"/>
        </w:rPr>
        <w:t>hexol</w:t>
      </w:r>
      <w:r w:rsidRPr="008403EA">
        <w:rPr>
          <w:rFonts w:cs="Calibri"/>
          <w:sz w:val="20"/>
        </w:rPr>
        <w:t xml:space="preserve"> </w:t>
      </w:r>
      <w:r w:rsidRPr="008403EA">
        <w:rPr>
          <w:rFonts w:cs="Calibri"/>
        </w:rPr>
        <w:t>and eGFR</w:t>
      </w:r>
      <w:r w:rsidRPr="008403EA">
        <w:rPr>
          <w:rFonts w:cs="Calibri"/>
          <w:sz w:val="18"/>
          <w:szCs w:val="18"/>
        </w:rPr>
        <w:t>CKD-EPI</w:t>
      </w:r>
      <w:r w:rsidR="00176E9D">
        <w:t xml:space="preserve">. </w:t>
      </w:r>
      <w:r w:rsidRPr="00BD44F0">
        <w:t>The</w:t>
      </w:r>
      <w:r>
        <w:t>se</w:t>
      </w:r>
      <w:r w:rsidRPr="00BD44F0">
        <w:t xml:space="preserve"> results for the two primary efficacy endpoints </w:t>
      </w:r>
      <w:r>
        <w:t>demonstrated that migalastat treatment is comparable to ERT.</w:t>
      </w:r>
    </w:p>
    <w:p w:rsidR="00A459BB" w:rsidRDefault="00A459BB" w:rsidP="00A459BB">
      <w:r>
        <w:t>There were multiple secondary endpoints, including mGFR</w:t>
      </w:r>
      <w:r>
        <w:rPr>
          <w:sz w:val="18"/>
          <w:szCs w:val="18"/>
        </w:rPr>
        <w:t xml:space="preserve">iohexol, </w:t>
      </w:r>
      <w:r w:rsidRPr="0059494A">
        <w:t>eGFR</w:t>
      </w:r>
      <w:r w:rsidRPr="00434630">
        <w:rPr>
          <w:sz w:val="18"/>
          <w:szCs w:val="18"/>
        </w:rPr>
        <w:t>MDRD,</w:t>
      </w:r>
      <w:r>
        <w:t xml:space="preserve"> 24-hour urine protein, composite clinical outcome, change in ECHO parameters LVMi and LVEF, plasma lyso-Gb</w:t>
      </w:r>
      <w:r w:rsidRPr="00434630">
        <w:rPr>
          <w:vertAlign w:val="subscript"/>
        </w:rPr>
        <w:t>3</w:t>
      </w:r>
      <w:r>
        <w:t xml:space="preserve"> levels, </w:t>
      </w:r>
      <w:r w:rsidRPr="00753418">
        <w:t xml:space="preserve">WBC α-Gal </w:t>
      </w:r>
      <w:proofErr w:type="gramStart"/>
      <w:r w:rsidRPr="00753418">
        <w:t>A</w:t>
      </w:r>
      <w:proofErr w:type="gramEnd"/>
      <w:r w:rsidRPr="00753418">
        <w:t xml:space="preserve"> </w:t>
      </w:r>
      <w:r>
        <w:t>a</w:t>
      </w:r>
      <w:r w:rsidRPr="00753418">
        <w:t>ctivity</w:t>
      </w:r>
      <w:r w:rsidR="00176E9D">
        <w:t xml:space="preserve"> and patient-reported outcomes.</w:t>
      </w:r>
      <w:r>
        <w:t xml:space="preserve"> The secondary endpoints for GFR were com</w:t>
      </w:r>
      <w:r w:rsidR="00176E9D">
        <w:t>parable for migalastat and ERT.</w:t>
      </w:r>
      <w:r>
        <w:t xml:space="preserve"> LVMi decreased</w:t>
      </w:r>
      <w:r w:rsidRPr="00E50D1A">
        <w:t xml:space="preserve"> </w:t>
      </w:r>
      <w:r>
        <w:t>from baseline to month 18 in both treatment groups, but to a greater e</w:t>
      </w:r>
      <w:r w:rsidR="00176E9D">
        <w:t xml:space="preserve">xtent in the migalastat group. </w:t>
      </w:r>
      <w:r>
        <w:t>Plasma lyso-Gb</w:t>
      </w:r>
      <w:r w:rsidRPr="00434630">
        <w:rPr>
          <w:vertAlign w:val="subscript"/>
        </w:rPr>
        <w:t>3</w:t>
      </w:r>
      <w:r>
        <w:t xml:space="preserve"> remained</w:t>
      </w:r>
      <w:r w:rsidR="00176E9D">
        <w:t xml:space="preserve"> low and stable on migalastat. </w:t>
      </w:r>
      <w:r>
        <w:t xml:space="preserve">There was a lower percentage of composite clinical outcomes in the migalastat group (29%) compared to the ERT group (44%).  </w:t>
      </w:r>
      <w:r w:rsidRPr="00495C8C">
        <w:t>The BPI short form and SF-36 v2 re</w:t>
      </w:r>
      <w:r>
        <w:t>mained stable throughout the 18-</w:t>
      </w:r>
      <w:r w:rsidRPr="00495C8C">
        <w:t>month treatment period in both treatment groups.</w:t>
      </w:r>
    </w:p>
    <w:p w:rsidR="00CD308A" w:rsidRDefault="00A459BB" w:rsidP="00A459BB">
      <w:r>
        <w:t>There was durability in the renal and cardiac responses to migalastat during the open label extension (up to 30 months).</w:t>
      </w:r>
    </w:p>
    <w:p w:rsidR="00A459BB" w:rsidRPr="00A459BB" w:rsidRDefault="00A459BB" w:rsidP="00A459BB">
      <w:pPr>
        <w:pStyle w:val="Heading4"/>
      </w:pPr>
      <w:r w:rsidRPr="00A459BB">
        <w:t>Safety</w:t>
      </w:r>
    </w:p>
    <w:p w:rsidR="00A459BB" w:rsidRDefault="00A459BB" w:rsidP="00A459BB">
      <w:r>
        <w:t>386 subjects have been exposed to migalastat in the clinical development program, including 168 subjects with Fabry disease, 119 of whom have been treated for at least 1 year.</w:t>
      </w:r>
    </w:p>
    <w:p w:rsidR="00A459BB" w:rsidRPr="00176E9D" w:rsidRDefault="00A459BB" w:rsidP="00A459BB">
      <w:r>
        <w:t xml:space="preserve">The two pivotal </w:t>
      </w:r>
      <w:r w:rsidRPr="00176E9D">
        <w:t xml:space="preserve">Phase </w:t>
      </w:r>
      <w:r w:rsidR="004504A0">
        <w:t>III</w:t>
      </w:r>
      <w:r w:rsidR="004504A0" w:rsidRPr="00176E9D">
        <w:t xml:space="preserve"> </w:t>
      </w:r>
      <w:r w:rsidR="004504A0">
        <w:t>S</w:t>
      </w:r>
      <w:r w:rsidR="004504A0" w:rsidRPr="00176E9D">
        <w:t xml:space="preserve">tudies </w:t>
      </w:r>
      <w:r w:rsidRPr="00176E9D">
        <w:t>AT1001-011 and AT1001-012 are considered to be the pivotal safety studies. The safety data from these two studies are most relevant because the migalastat dosage regimen and the Fabry patient population reflect the proposed u</w:t>
      </w:r>
      <w:r w:rsidR="00176E9D">
        <w:t xml:space="preserve">sage of the drug in Australia. </w:t>
      </w:r>
      <w:r w:rsidRPr="00176E9D">
        <w:t>These studies also allow comparative assessment of the safety of migal</w:t>
      </w:r>
      <w:r w:rsidR="00176E9D">
        <w:t xml:space="preserve">astat against placebo and ERT. </w:t>
      </w:r>
      <w:r w:rsidRPr="00176E9D">
        <w:t xml:space="preserve">85 subjects subsequently enrolled in the long-term safety </w:t>
      </w:r>
      <w:r w:rsidR="004504A0">
        <w:t>S</w:t>
      </w:r>
      <w:r w:rsidR="004504A0" w:rsidRPr="00176E9D">
        <w:t xml:space="preserve">tudy </w:t>
      </w:r>
      <w:r w:rsidRPr="00176E9D">
        <w:t>AT1001-041.</w:t>
      </w:r>
    </w:p>
    <w:p w:rsidR="00A459BB" w:rsidRPr="00176E9D" w:rsidRDefault="00A459BB" w:rsidP="00A459BB">
      <w:r w:rsidRPr="00176E9D">
        <w:t xml:space="preserve">TEAEs for migalastat pooled from </w:t>
      </w:r>
      <w:r w:rsidR="004504A0">
        <w:t>S</w:t>
      </w:r>
      <w:r w:rsidR="004504A0" w:rsidRPr="00176E9D">
        <w:t xml:space="preserve">tudies </w:t>
      </w:r>
      <w:r w:rsidRPr="00176E9D">
        <w:t xml:space="preserve">AT1001-011 and AT1001-012 showed that the most commonly reported event was headache (10.4%), followed by diarrhoea (7.8%), </w:t>
      </w:r>
      <w:r w:rsidRPr="00176E9D">
        <w:lastRenderedPageBreak/>
        <w:t>paraesthesia (5.2%), nausea (5.2%) and dizziness (4.3%).  The majority of TEAEs were mild to moderate in severity and did not result in treatment discontinuation.</w:t>
      </w:r>
    </w:p>
    <w:p w:rsidR="00A459BB" w:rsidRPr="00176E9D" w:rsidRDefault="00A459BB" w:rsidP="00A459BB">
      <w:r w:rsidRPr="00176E9D">
        <w:t xml:space="preserve">In </w:t>
      </w:r>
      <w:r w:rsidR="004504A0">
        <w:t>S</w:t>
      </w:r>
      <w:r w:rsidR="004504A0" w:rsidRPr="00176E9D">
        <w:t xml:space="preserve">tudy </w:t>
      </w:r>
      <w:r w:rsidRPr="00176E9D">
        <w:t>AT1001-011, a total of 19 (28%) subjects treated with migalastat (</w:t>
      </w:r>
      <w:r w:rsidR="008B05D5">
        <w:t xml:space="preserve">n = </w:t>
      </w:r>
      <w:r w:rsidRPr="00176E9D">
        <w:t>67) experienced 26 treatment emergent SAEs during the study period (24 months), two of which were considered to be possibly related to treatment (fatigue and paraesthesia).  Two subjects discontinued treatment due to TEAEs, both considered unrelated to treatment (anaplastic large cell lymphoma, amyotrophic lateral sclerosis).  In study AT1001-012, a total of 16 (31%) subjects in the all migalastat group (</w:t>
      </w:r>
      <w:r w:rsidR="008B05D5">
        <w:t xml:space="preserve">n = </w:t>
      </w:r>
      <w:r w:rsidRPr="00176E9D">
        <w:t>51) experienced 20 treatment-emergent SAEs during the study period (30 months), one of which was considered to be possibly related to treatment (proteinuria).  No subjects discontinued treatment due to TEAEs.</w:t>
      </w:r>
    </w:p>
    <w:p w:rsidR="00A459BB" w:rsidRPr="00176E9D" w:rsidRDefault="00A459BB" w:rsidP="00A459BB">
      <w:r w:rsidRPr="00176E9D">
        <w:t>No safety issues of significant regulatory concern were identified in subjects treated with migalastat in the two pivotal Phase 3 studies.  No deaths occurred in the two pivotal Phase 3 studies.</w:t>
      </w:r>
    </w:p>
    <w:p w:rsidR="00A459BB" w:rsidRDefault="00A459BB" w:rsidP="00A459BB">
      <w:r w:rsidRPr="00176E9D">
        <w:t xml:space="preserve">85 subjects from the three </w:t>
      </w:r>
      <w:proofErr w:type="gramStart"/>
      <w:r w:rsidRPr="00176E9D">
        <w:t>feeder</w:t>
      </w:r>
      <w:proofErr w:type="gramEnd"/>
      <w:r w:rsidRPr="00176E9D">
        <w:t xml:space="preserve"> </w:t>
      </w:r>
      <w:r w:rsidR="004504A0">
        <w:t>S</w:t>
      </w:r>
      <w:r w:rsidR="004504A0" w:rsidRPr="00176E9D">
        <w:t xml:space="preserve">tudies </w:t>
      </w:r>
      <w:r w:rsidRPr="00176E9D">
        <w:t xml:space="preserve">FAB-CL-205, AT1001-011, </w:t>
      </w:r>
      <w:r w:rsidR="004504A0">
        <w:t xml:space="preserve">and </w:t>
      </w:r>
      <w:r w:rsidRPr="00176E9D">
        <w:t>AT1001</w:t>
      </w:r>
      <w:r w:rsidR="004504A0">
        <w:noBreakHyphen/>
      </w:r>
      <w:r w:rsidRPr="00176E9D">
        <w:t xml:space="preserve">012 enrolled in the long-term safety </w:t>
      </w:r>
      <w:r w:rsidR="004504A0">
        <w:t>S</w:t>
      </w:r>
      <w:r w:rsidR="004504A0" w:rsidRPr="00176E9D">
        <w:t xml:space="preserve">tudy </w:t>
      </w:r>
      <w:r w:rsidRPr="00176E9D">
        <w:t>AT1001-041.  The TEAE</w:t>
      </w:r>
      <w:r>
        <w:t xml:space="preserve"> profile reported in this study is consistent with the two pivotal Phase </w:t>
      </w:r>
      <w:r w:rsidR="004504A0">
        <w:t xml:space="preserve">III </w:t>
      </w:r>
      <w:r>
        <w:t>studies, and no new safety signals associated with migalastat have emerged with long-term treatment.  Two deaths were reported in this study but both were deemed unrelated to the study drug.</w:t>
      </w:r>
      <w:bookmarkStart w:id="185" w:name="_Toc314842514"/>
    </w:p>
    <w:p w:rsidR="008E7846" w:rsidRPr="00A459BB" w:rsidRDefault="00386150" w:rsidP="00A459BB">
      <w:pPr>
        <w:pStyle w:val="Heading4"/>
        <w:rPr>
          <w:rStyle w:val="highlighttext"/>
          <w:b/>
          <w:bCs/>
          <w:color w:val="auto"/>
        </w:rPr>
      </w:pPr>
      <w:r w:rsidRPr="00A459BB">
        <w:rPr>
          <w:rStyle w:val="highlighttext"/>
          <w:b/>
          <w:bCs/>
          <w:color w:val="auto"/>
        </w:rPr>
        <w:t>Risk m</w:t>
      </w:r>
      <w:r w:rsidR="008E7846" w:rsidRPr="00A459BB">
        <w:rPr>
          <w:rStyle w:val="highlighttext"/>
          <w:b/>
          <w:bCs/>
          <w:color w:val="auto"/>
        </w:rPr>
        <w:t xml:space="preserve">anagement </w:t>
      </w:r>
      <w:r w:rsidRPr="00A459BB">
        <w:rPr>
          <w:rStyle w:val="highlighttext"/>
          <w:b/>
          <w:bCs/>
          <w:color w:val="auto"/>
        </w:rPr>
        <w:t>p</w:t>
      </w:r>
      <w:r w:rsidR="008E7846" w:rsidRPr="00A459BB">
        <w:rPr>
          <w:rStyle w:val="highlighttext"/>
          <w:b/>
          <w:bCs/>
          <w:color w:val="auto"/>
        </w:rPr>
        <w:t>lan</w:t>
      </w:r>
      <w:bookmarkEnd w:id="185"/>
    </w:p>
    <w:p w:rsidR="00F7081F" w:rsidRDefault="00F7081F" w:rsidP="00F7081F">
      <w:r w:rsidRPr="00F7081F">
        <w:t xml:space="preserve">The proposed Summary of Safety Concerns and their associated risk monitoring and mitigation </w:t>
      </w:r>
      <w:r>
        <w:t xml:space="preserve">strategies are summarised </w:t>
      </w:r>
      <w:r w:rsidR="00BA43BF">
        <w:t>earlier</w:t>
      </w:r>
      <w:r>
        <w:t>.</w:t>
      </w:r>
    </w:p>
    <w:p w:rsidR="00F7081F" w:rsidRPr="0081233A" w:rsidRDefault="00F7081F" w:rsidP="0081233A">
      <w:r w:rsidRPr="0081233A">
        <w:t xml:space="preserve">The </w:t>
      </w:r>
      <w:r w:rsidR="0081233A">
        <w:t>PI</w:t>
      </w:r>
      <w:r w:rsidRPr="0081233A">
        <w:t xml:space="preserve"> contains a precaution that migalastat is not recommended for patients with severe renal insufficiency, defined as eGFR &lt;</w:t>
      </w:r>
      <w:r w:rsidR="004504A0">
        <w:t xml:space="preserve"> </w:t>
      </w:r>
      <w:r w:rsidRPr="0081233A">
        <w:t>30 mL/min/1.73m</w:t>
      </w:r>
      <w:r w:rsidRPr="003F487B">
        <w:rPr>
          <w:vertAlign w:val="superscript"/>
        </w:rPr>
        <w:t>2</w:t>
      </w:r>
      <w:r w:rsidRPr="0081233A">
        <w:t>.</w:t>
      </w:r>
    </w:p>
    <w:p w:rsidR="008E7846" w:rsidRDefault="00AA0ED0" w:rsidP="008E7846">
      <w:pPr>
        <w:pStyle w:val="Heading3"/>
      </w:pPr>
      <w:bookmarkStart w:id="186" w:name="_Toc247691531"/>
      <w:bookmarkStart w:id="187" w:name="_Toc314842515"/>
      <w:bookmarkStart w:id="188" w:name="_Toc196046505"/>
      <w:bookmarkStart w:id="189" w:name="_Toc196046949"/>
      <w:bookmarkStart w:id="190" w:name="_Toc524949276"/>
      <w:r>
        <w:t>Risk-benefit a</w:t>
      </w:r>
      <w:r w:rsidR="008E7846">
        <w:t>nalysis</w:t>
      </w:r>
      <w:bookmarkEnd w:id="186"/>
      <w:bookmarkEnd w:id="187"/>
      <w:bookmarkEnd w:id="190"/>
    </w:p>
    <w:p w:rsidR="00CD308A" w:rsidRDefault="00D23139" w:rsidP="00D23139">
      <w:pPr>
        <w:pStyle w:val="Heading4"/>
      </w:pPr>
      <w:r w:rsidRPr="00D23139">
        <w:t>Delegate’s considerations</w:t>
      </w:r>
    </w:p>
    <w:p w:rsidR="003F487B" w:rsidRDefault="003F487B" w:rsidP="00F452CB">
      <w:pPr>
        <w:pStyle w:val="Heading5"/>
      </w:pPr>
      <w:r>
        <w:t>Quality</w:t>
      </w:r>
    </w:p>
    <w:p w:rsidR="003F487B" w:rsidRDefault="003F487B" w:rsidP="003F487B">
      <w:r w:rsidRPr="003F487B">
        <w:t>The chemistry and quality of migalastat have</w:t>
      </w:r>
      <w:r w:rsidR="00603695">
        <w:t xml:space="preserve"> been assessed and the </w:t>
      </w:r>
      <w:r w:rsidRPr="003F487B">
        <w:t>evaluator is satisfied that the chemistry and quality of migalastat are satisfactory for approval.  The chemistry and quality issues in the Product Information have been satisfactorily addressed.</w:t>
      </w:r>
    </w:p>
    <w:p w:rsidR="003F487B" w:rsidRDefault="003F487B" w:rsidP="00F452CB">
      <w:pPr>
        <w:pStyle w:val="Heading5"/>
      </w:pPr>
      <w:r w:rsidRPr="003F487B">
        <w:t>Nonclinical</w:t>
      </w:r>
    </w:p>
    <w:p w:rsidR="003F487B" w:rsidRDefault="003F487B" w:rsidP="003F487B">
      <w:r w:rsidRPr="003F487B">
        <w:t>The evaluator recommends approval on nonclinical grounds.  The nonclinical issues in the Product Information have been satisfactorily addressed.</w:t>
      </w:r>
    </w:p>
    <w:p w:rsidR="003F487B" w:rsidRDefault="003F487B" w:rsidP="00F452CB">
      <w:pPr>
        <w:pStyle w:val="Heading5"/>
      </w:pPr>
      <w:r w:rsidRPr="003F487B">
        <w:t>Efficacy</w:t>
      </w:r>
    </w:p>
    <w:p w:rsidR="003F487B" w:rsidRDefault="003F487B" w:rsidP="003F487B">
      <w:r w:rsidRPr="003F487B">
        <w:t xml:space="preserve">The Phase </w:t>
      </w:r>
      <w:r w:rsidR="004504A0">
        <w:t>III</w:t>
      </w:r>
      <w:r w:rsidRPr="003F487B">
        <w:t xml:space="preserve"> </w:t>
      </w:r>
      <w:r w:rsidR="004504A0">
        <w:t>S</w:t>
      </w:r>
      <w:r w:rsidRPr="003F487B">
        <w:t xml:space="preserve">tudy AT1001-011 failed to achieve its pre-specified primary and secondary stage 1 endpoints, but the results of the other pivotal Phase </w:t>
      </w:r>
      <w:r w:rsidR="004504A0">
        <w:t>III</w:t>
      </w:r>
      <w:r w:rsidR="004504A0" w:rsidRPr="003F487B">
        <w:t xml:space="preserve"> </w:t>
      </w:r>
      <w:r w:rsidR="004504A0">
        <w:t>S</w:t>
      </w:r>
      <w:r w:rsidR="004504A0" w:rsidRPr="003F487B">
        <w:t xml:space="preserve">tudy </w:t>
      </w:r>
      <w:r w:rsidRPr="003F487B">
        <w:t xml:space="preserve">AT1001-012, the post-hoc analysis of stage 1 of </w:t>
      </w:r>
      <w:r w:rsidR="004504A0">
        <w:t xml:space="preserve">Study </w:t>
      </w:r>
      <w:r w:rsidRPr="003F487B">
        <w:t>AT1001-011</w:t>
      </w:r>
      <w:r w:rsidR="004504A0">
        <w:t xml:space="preserve"> </w:t>
      </w:r>
      <w:r w:rsidRPr="003F487B">
        <w:t xml:space="preserve">and the analyses of stage 2 and the open label extension of </w:t>
      </w:r>
      <w:r w:rsidR="004504A0">
        <w:t xml:space="preserve">Study </w:t>
      </w:r>
      <w:r w:rsidRPr="003F487B">
        <w:t xml:space="preserve">AT1001-011 have demonstrated the efficacy of migalastat for the treatment of patients 16 years and older with a confirmed diagnosis of Fabry disease and </w:t>
      </w:r>
      <w:r w:rsidR="00176E9D">
        <w:t xml:space="preserve">who have an amenable mutation. </w:t>
      </w:r>
      <w:r w:rsidR="004504A0">
        <w:t xml:space="preserve">Study </w:t>
      </w:r>
      <w:r w:rsidRPr="003F487B">
        <w:t>AT1001-012 used pre-specified criteria to demonstrate comparability in efficacy between migalastat and ERT</w:t>
      </w:r>
      <w:r>
        <w:t>.</w:t>
      </w:r>
    </w:p>
    <w:p w:rsidR="003F487B" w:rsidRDefault="003F487B" w:rsidP="003F487B">
      <w:r w:rsidRPr="003F487B">
        <w:t xml:space="preserve">The failure to achieve the pre-specified primary and secondary endpoints for stage 1 of </w:t>
      </w:r>
      <w:r w:rsidR="004504A0">
        <w:t xml:space="preserve">Study </w:t>
      </w:r>
      <w:r w:rsidRPr="003F487B">
        <w:t xml:space="preserve">AT1001-011 may have been influenced by the 17 subjects (25%) who were initially </w:t>
      </w:r>
      <w:r w:rsidRPr="003F487B">
        <w:lastRenderedPageBreak/>
        <w:t>recruited to the study on the basis of having an amenable mutation but were subsequently reclassified by the GLP HEK assay as ha</w:t>
      </w:r>
      <w:r>
        <w:t>ving a non-amenable mutation.</w:t>
      </w:r>
    </w:p>
    <w:p w:rsidR="003F487B" w:rsidRDefault="003F487B" w:rsidP="003F487B">
      <w:r w:rsidRPr="003F487B">
        <w:t xml:space="preserve">The benefits of migalastat demonstrated in the Phase </w:t>
      </w:r>
      <w:r w:rsidR="004504A0">
        <w:t>III</w:t>
      </w:r>
      <w:r w:rsidR="004504A0" w:rsidRPr="003F487B">
        <w:t xml:space="preserve"> </w:t>
      </w:r>
      <w:r w:rsidRPr="003F487B">
        <w:t xml:space="preserve">studies include stabilisation of renal function, decrease in LVMi, </w:t>
      </w:r>
      <w:proofErr w:type="gramStart"/>
      <w:r w:rsidRPr="003F487B">
        <w:t>reduction</w:t>
      </w:r>
      <w:proofErr w:type="gramEnd"/>
      <w:r w:rsidRPr="003F487B">
        <w:t xml:space="preserve"> in renal IC GL-3 substrate burden, reduction in plasma lyso-Gb3 and improvement in gastro-intestinal symptoms of diar</w:t>
      </w:r>
      <w:r w:rsidR="00176E9D">
        <w:t xml:space="preserve">rhoea, reflux and indigestion. </w:t>
      </w:r>
      <w:r w:rsidRPr="003F487B">
        <w:t>The studies have not demonstrated that treatment with migalastat reduces renal and cardiac morbidity and mortality</w:t>
      </w:r>
      <w:r>
        <w:t>.</w:t>
      </w:r>
    </w:p>
    <w:p w:rsidR="0079649B" w:rsidRDefault="003F487B" w:rsidP="003F487B">
      <w:r w:rsidRPr="003F487B">
        <w:t>The study populations in the two pivotal studies are broadly representative of the Australian population, so the efficacy data from these studies can reasonably be extrapolated to the general Australian population of patients aged ≥ 16 years with Fabry disease and an amenable mutation</w:t>
      </w:r>
      <w:r w:rsidR="0079649B">
        <w:t>.</w:t>
      </w:r>
    </w:p>
    <w:p w:rsidR="0079649B" w:rsidRDefault="003F487B" w:rsidP="00F452CB">
      <w:pPr>
        <w:pStyle w:val="Heading5"/>
      </w:pPr>
      <w:r w:rsidRPr="003F487B">
        <w:t>A</w:t>
      </w:r>
      <w:r w:rsidR="0079649B">
        <w:t>menable mutations</w:t>
      </w:r>
    </w:p>
    <w:p w:rsidR="0079649B" w:rsidRDefault="003F487B" w:rsidP="003F487B">
      <w:r w:rsidRPr="003F487B">
        <w:t>The benefits of treatment with migalastat are limited to patie</w:t>
      </w:r>
      <w:r w:rsidR="00176E9D">
        <w:t xml:space="preserve">nts with an amenable mutation. </w:t>
      </w:r>
      <w:r w:rsidRPr="003F487B">
        <w:t>At the time of the submission, 841 different genetic mutations had been linked to Fabry disease.  600 of these mutations had been assessed by the GLP HEK assay, with 268 confirmed as amenable mutations and 332 as no</w:t>
      </w:r>
      <w:r w:rsidR="00176E9D">
        <w:t xml:space="preserve">n-amenable. </w:t>
      </w:r>
      <w:r w:rsidRPr="003F487B">
        <w:t xml:space="preserve">The amenable mutations identified in subjects in the Phase </w:t>
      </w:r>
      <w:r w:rsidR="004504A0">
        <w:t>III</w:t>
      </w:r>
      <w:r w:rsidR="004504A0" w:rsidRPr="003F487B">
        <w:t xml:space="preserve"> </w:t>
      </w:r>
      <w:r w:rsidRPr="003F487B">
        <w:t>studies are a subset of these 268 amenable mutations.  The efficacy of migalastat has not been demonstrated for all known amenable mutations but it is biologically plausible that the results achieved in these studies would be consistent with the results achieva</w:t>
      </w:r>
      <w:r w:rsidR="00176E9D">
        <w:t>ble for all amenable mutations.</w:t>
      </w:r>
      <w:r w:rsidRPr="003F487B">
        <w:t xml:space="preserve"> The small study numbers and the variety of amenable mutations in the study populations did not permit efficacy analyses for specific mutations or mutation subgroups.</w:t>
      </w:r>
    </w:p>
    <w:p w:rsidR="0079649B" w:rsidRDefault="003F487B" w:rsidP="003F487B">
      <w:r w:rsidRPr="003F487B">
        <w:t xml:space="preserve">Genotyping for Fabry disease is provided at the National Referral Laboratory at the Women and </w:t>
      </w:r>
      <w:r w:rsidR="0079649B">
        <w:t>Children’s Hospital, Adelaide.</w:t>
      </w:r>
    </w:p>
    <w:p w:rsidR="0079649B" w:rsidRDefault="003F487B" w:rsidP="00F452CB">
      <w:pPr>
        <w:pStyle w:val="Heading5"/>
      </w:pPr>
      <w:r w:rsidRPr="003F487B">
        <w:t>Safety</w:t>
      </w:r>
    </w:p>
    <w:p w:rsidR="0079649B" w:rsidRDefault="003F487B" w:rsidP="003F487B">
      <w:r w:rsidRPr="003F487B">
        <w:t>The safety profile of migalastat has been satisfactorily established from the submitted data.  Although the number of subjects with Fabry disease treated with migalastat in the clinical studies is small, it needs to be considered in the context of the rarity</w:t>
      </w:r>
      <w:r w:rsidR="00176E9D">
        <w:t xml:space="preserve"> of the disease being treated. </w:t>
      </w:r>
      <w:r w:rsidRPr="003F487B">
        <w:t>No serious safety concerns with mi</w:t>
      </w:r>
      <w:r w:rsidR="00176E9D">
        <w:t xml:space="preserve">galastat have been identified. </w:t>
      </w:r>
      <w:r w:rsidRPr="003F487B">
        <w:t xml:space="preserve">The safety profile of the drug appears acceptable and does not appear to be inferior to that of ERT.  Uncommon, rare and very rare adverse effects may not have been identified in these studies because of the </w:t>
      </w:r>
      <w:r w:rsidR="00176E9D">
        <w:t xml:space="preserve">size of the study populations. </w:t>
      </w:r>
      <w:r w:rsidRPr="003F487B">
        <w:t>Post-market safety monitoring would be important to identify emergent uncommon, rare and very rare adverse effects</w:t>
      </w:r>
      <w:r w:rsidR="0079649B">
        <w:t>.</w:t>
      </w:r>
    </w:p>
    <w:p w:rsidR="0079649B" w:rsidRDefault="003F487B" w:rsidP="003F487B">
      <w:r w:rsidRPr="003F487B">
        <w:t>Nonclinical studies demonstrated reversible infertility in male rats at s</w:t>
      </w:r>
      <w:r w:rsidR="00176E9D">
        <w:t xml:space="preserve">ubclinical relative exposures. </w:t>
      </w:r>
      <w:r w:rsidRPr="003F487B">
        <w:t>No effect on fertility was demonstrated in female rat</w:t>
      </w:r>
      <w:r w:rsidR="00176E9D">
        <w:t>s.</w:t>
      </w:r>
      <w:r w:rsidRPr="003F487B">
        <w:t xml:space="preserve"> The effect of Migalastat on fertility in humans has not been studied.  The sponsor has proposed to implement a register of migalastat patients to provide additional pharmacovigilance in relation to the potential risk of male infertility.</w:t>
      </w:r>
    </w:p>
    <w:p w:rsidR="0079649B" w:rsidRDefault="0079649B" w:rsidP="00F452CB">
      <w:pPr>
        <w:pStyle w:val="Heading5"/>
      </w:pPr>
      <w:r>
        <w:t>RMP</w:t>
      </w:r>
    </w:p>
    <w:p w:rsidR="00E3244B" w:rsidRDefault="003F487B" w:rsidP="003F487B">
      <w:r w:rsidRPr="003F487B">
        <w:t>The RMP and AS</w:t>
      </w:r>
      <w:r w:rsidR="00176E9D">
        <w:t xml:space="preserve">A are considered satisfactory. </w:t>
      </w:r>
      <w:r w:rsidRPr="003F487B">
        <w:t>A patient registry will provide additional pharmacovigilance.</w:t>
      </w:r>
    </w:p>
    <w:p w:rsidR="00E3244B" w:rsidRDefault="003F487B" w:rsidP="00F452CB">
      <w:pPr>
        <w:pStyle w:val="Heading5"/>
      </w:pPr>
      <w:r w:rsidRPr="003F487B">
        <w:t>Overall</w:t>
      </w:r>
    </w:p>
    <w:p w:rsidR="00E3244B" w:rsidRDefault="003F487B" w:rsidP="003F487B">
      <w:r w:rsidRPr="003F487B">
        <w:t>The quality, nonclinical and clinical evaluators have recommended approval of migalasta</w:t>
      </w:r>
      <w:r w:rsidR="00176E9D">
        <w:t xml:space="preserve">t for the proposed indication. </w:t>
      </w:r>
      <w:r w:rsidRPr="003F487B">
        <w:t>The quality, safety and efficacy of migalastat for the proposed indication are supported by the data in the submission.  Fabry disease is a rare, progressive, inherited disorder associated with life-threatening complica</w:t>
      </w:r>
      <w:r w:rsidR="00176E9D">
        <w:t xml:space="preserve">tions and premature mortality. </w:t>
      </w:r>
      <w:r w:rsidRPr="003F487B">
        <w:t>ERT is the only currently approved treatment and carries the administrative burden of fortnightly intravenous infusions and risks of infusion-related r</w:t>
      </w:r>
      <w:r w:rsidR="00176E9D">
        <w:t xml:space="preserve">eactions and immune responses. </w:t>
      </w:r>
      <w:r w:rsidRPr="003F487B">
        <w:t xml:space="preserve">Migalastat, being an orally administered medicine, offers </w:t>
      </w:r>
      <w:r w:rsidRPr="003F487B">
        <w:lastRenderedPageBreak/>
        <w:t xml:space="preserve">an alternative treatment option to ERT with comparable efficacy. Pending further advice from ACM, the delegate proposes to register migalastat (Galafold) </w:t>
      </w:r>
      <w:r w:rsidR="00E3244B">
        <w:t>for the proposed indication.</w:t>
      </w:r>
    </w:p>
    <w:p w:rsidR="00E3244B" w:rsidRDefault="00E3244B" w:rsidP="00F452CB">
      <w:pPr>
        <w:pStyle w:val="Heading5"/>
      </w:pPr>
      <w:r>
        <w:t>Data deficiencies</w:t>
      </w:r>
    </w:p>
    <w:p w:rsidR="00E3244B" w:rsidRDefault="003F487B" w:rsidP="003F487B">
      <w:r w:rsidRPr="003F487B">
        <w:t>The pivotal</w:t>
      </w:r>
      <w:r w:rsidR="00C12774">
        <w:t xml:space="preserve"> </w:t>
      </w:r>
      <w:r w:rsidR="004504A0">
        <w:t>S</w:t>
      </w:r>
      <w:r w:rsidR="00C12774">
        <w:t>tudy</w:t>
      </w:r>
      <w:r w:rsidRPr="003F487B">
        <w:t xml:space="preserve"> AT1001-012 was not powered to demonstrate non-inferiority.  Following negotiation with EMA, pre-specified comparability criteria were developed to facilitate a descriptive comparison of GFR results for migalastat and ERT as t</w:t>
      </w:r>
      <w:r w:rsidR="00176E9D">
        <w:t xml:space="preserve">he primary efficacy endpoints. </w:t>
      </w:r>
      <w:r w:rsidRPr="003F487B">
        <w:t>This approach was taken because Fabry disease is rare and the study population was not large enough to all</w:t>
      </w:r>
      <w:r w:rsidR="00E3244B">
        <w:t>ow a non-inferiority analysis.</w:t>
      </w:r>
    </w:p>
    <w:p w:rsidR="00E3244B" w:rsidRDefault="003F487B" w:rsidP="003F487B">
      <w:r w:rsidRPr="003F487B">
        <w:t>The introduction of the GLP HEK assay after commencement of the pivotal Phase 3 studies resulted in some subjects having their mutation status re-classified from amenable to n</w:t>
      </w:r>
      <w:r w:rsidR="00E3244B">
        <w:t>on-amenable.</w:t>
      </w:r>
    </w:p>
    <w:p w:rsidR="003F487B" w:rsidRDefault="003F487B" w:rsidP="003F487B">
      <w:r w:rsidRPr="003F487B">
        <w:t xml:space="preserve">The </w:t>
      </w:r>
      <w:r w:rsidR="004504A0">
        <w:t>P</w:t>
      </w:r>
      <w:r w:rsidRPr="003F487B">
        <w:t xml:space="preserve">hase </w:t>
      </w:r>
      <w:r w:rsidR="004504A0">
        <w:t>III</w:t>
      </w:r>
      <w:r w:rsidR="004504A0" w:rsidRPr="003F487B">
        <w:t xml:space="preserve"> </w:t>
      </w:r>
      <w:r w:rsidRPr="003F487B">
        <w:t>studies excluded patients with severe renal impairment (eGFR</w:t>
      </w:r>
      <w:r w:rsidR="004504A0">
        <w:t> </w:t>
      </w:r>
      <w:r w:rsidRPr="003F487B">
        <w:t>&lt;</w:t>
      </w:r>
      <w:r w:rsidR="004504A0">
        <w:t> </w:t>
      </w:r>
      <w:r w:rsidRPr="003F487B">
        <w:t>30</w:t>
      </w:r>
      <w:r w:rsidR="004504A0">
        <w:t> </w:t>
      </w:r>
      <w:r w:rsidR="004504A0" w:rsidRPr="003F487B">
        <w:t>m</w:t>
      </w:r>
      <w:r w:rsidR="004504A0">
        <w:t>L</w:t>
      </w:r>
      <w:r w:rsidRPr="003F487B">
        <w:t>/min/1.73</w:t>
      </w:r>
      <w:r w:rsidR="004504A0">
        <w:t xml:space="preserve"> </w:t>
      </w:r>
      <w:r w:rsidRPr="003F487B">
        <w:t>m</w:t>
      </w:r>
      <w:r w:rsidRPr="00AD23A7">
        <w:rPr>
          <w:vertAlign w:val="superscript"/>
        </w:rPr>
        <w:t>2</w:t>
      </w:r>
      <w:r w:rsidRPr="003F487B">
        <w:t>) and women who were pregnant or breastfeeding, so there are not adequate clinical efficacy and safe</w:t>
      </w:r>
      <w:r w:rsidR="00176E9D">
        <w:t xml:space="preserve">ty data for these populations. </w:t>
      </w:r>
      <w:r w:rsidRPr="003F487B">
        <w:t>Migalastat is not recommended for these patient gro</w:t>
      </w:r>
      <w:r w:rsidR="00176E9D">
        <w:t xml:space="preserve">ups. </w:t>
      </w:r>
      <w:r w:rsidRPr="003F487B">
        <w:t xml:space="preserve">Children aged </w:t>
      </w:r>
      <w:proofErr w:type="gramStart"/>
      <w:r w:rsidRPr="003F487B">
        <w:t>under</w:t>
      </w:r>
      <w:proofErr w:type="gramEnd"/>
      <w:r w:rsidRPr="003F487B">
        <w:t xml:space="preserve"> 16 years were not evaluated in this submission and are not included in the proposed indication.</w:t>
      </w:r>
    </w:p>
    <w:p w:rsidR="003F487B" w:rsidRDefault="003F487B" w:rsidP="00F452CB">
      <w:pPr>
        <w:pStyle w:val="Heading5"/>
      </w:pPr>
      <w:r w:rsidRPr="003F487B">
        <w:t>Conditions of registration</w:t>
      </w:r>
    </w:p>
    <w:p w:rsidR="003F487B" w:rsidRPr="003F487B" w:rsidRDefault="003F487B" w:rsidP="003F487B">
      <w:r w:rsidRPr="003F487B">
        <w:t>The following is proposed as a condition of registration:</w:t>
      </w:r>
    </w:p>
    <w:p w:rsidR="00E3244B" w:rsidRDefault="003F487B" w:rsidP="00E3244B">
      <w:pPr>
        <w:pStyle w:val="ListBullet"/>
      </w:pPr>
      <w:r w:rsidRPr="003F487B">
        <w:t xml:space="preserve">Implement EU-RMP (version 2.1, dated 21 March 2017, data lock point 25 November 2016) with </w:t>
      </w:r>
      <w:r w:rsidR="00176E9D">
        <w:t>ASA</w:t>
      </w:r>
      <w:r w:rsidRPr="003F487B">
        <w:t xml:space="preserve"> (version 2.1, dated 21 March 2017) and any future updates.</w:t>
      </w:r>
    </w:p>
    <w:p w:rsidR="00E3244B" w:rsidRDefault="003F487B" w:rsidP="00F452CB">
      <w:pPr>
        <w:pStyle w:val="Heading5"/>
      </w:pPr>
      <w:r w:rsidRPr="003F487B">
        <w:t xml:space="preserve">Questions for the </w:t>
      </w:r>
      <w:r w:rsidR="00E3244B">
        <w:t>s</w:t>
      </w:r>
      <w:r w:rsidRPr="003F487B">
        <w:t>ponsor</w:t>
      </w:r>
    </w:p>
    <w:p w:rsidR="003F487B" w:rsidRPr="003F487B" w:rsidRDefault="003F487B" w:rsidP="003F487B">
      <w:r w:rsidRPr="003F487B">
        <w:t>The sponsor is requested to address the following issues in the pre-ACM response:</w:t>
      </w:r>
    </w:p>
    <w:p w:rsidR="00E3244B" w:rsidRDefault="003F487B" w:rsidP="00E3244B">
      <w:pPr>
        <w:pStyle w:val="ListBullet"/>
      </w:pPr>
      <w:r w:rsidRPr="003F487B">
        <w:t>The Galafold (migalastat) amenability table in the draft PI includes c.217C&gt;T, c.C218T, A73V whereas the table in the European SmPC includes c.218C&gt;T, c.C218T, A73V.  Is this a transcription error in the draft PI?</w:t>
      </w:r>
    </w:p>
    <w:p w:rsidR="00E3244B" w:rsidRDefault="003F487B" w:rsidP="00E3244B">
      <w:pPr>
        <w:pStyle w:val="ListBullet"/>
      </w:pPr>
      <w:r w:rsidRPr="003F487B">
        <w:t>c.728T&gt;G is not in the correct numerical sequence in the Galafold (migalastat) amenability table in the draft PI.</w:t>
      </w:r>
    </w:p>
    <w:p w:rsidR="003F487B" w:rsidRPr="003F487B" w:rsidRDefault="003F487B" w:rsidP="00E3244B">
      <w:pPr>
        <w:pStyle w:val="ListBullet"/>
      </w:pPr>
      <w:r w:rsidRPr="003F487B">
        <w:t>Will the GLP HEK assay be used in clinical practice to assess a patient’s amenability to migalastat or will the patient’s amenability be determined so</w:t>
      </w:r>
      <w:r w:rsidR="00555F06">
        <w:t>lely by his/her known genotype?</w:t>
      </w:r>
      <w:r w:rsidRPr="003F487B">
        <w:t xml:space="preserve"> If the GLP HEK assay will be used in clinical practice, what will be its availability in Australia?</w:t>
      </w:r>
    </w:p>
    <w:p w:rsidR="006268B2" w:rsidRDefault="006268B2" w:rsidP="00D23139">
      <w:pPr>
        <w:pStyle w:val="Heading4"/>
      </w:pPr>
      <w:r>
        <w:t>Summary of issues</w:t>
      </w:r>
    </w:p>
    <w:p w:rsidR="006268B2" w:rsidRPr="006268B2" w:rsidRDefault="006268B2" w:rsidP="006268B2">
      <w:r w:rsidRPr="006268B2">
        <w:t>Issues arising from this submission include:</w:t>
      </w:r>
    </w:p>
    <w:p w:rsidR="006268B2" w:rsidRDefault="006268B2" w:rsidP="006268B2">
      <w:pPr>
        <w:pStyle w:val="Heading5"/>
      </w:pPr>
      <w:r>
        <w:t>Efficacy</w:t>
      </w:r>
    </w:p>
    <w:p w:rsidR="006268B2" w:rsidRDefault="0022576E" w:rsidP="00215D80">
      <w:pPr>
        <w:pStyle w:val="ListBullet"/>
      </w:pPr>
      <w:r>
        <w:t xml:space="preserve">Study </w:t>
      </w:r>
      <w:r w:rsidR="006268B2" w:rsidRPr="006268B2">
        <w:t xml:space="preserve">AT1001-012 demonstrated comparability to ERT based on pre-specified criteria.  The primary and secondary pre-specified endpoints for stage 1 of </w:t>
      </w:r>
      <w:r>
        <w:t>Study </w:t>
      </w:r>
      <w:r w:rsidR="006268B2" w:rsidRPr="006268B2">
        <w:t xml:space="preserve">AT1001-011 were not met but these outcomes may have been influenced by the 17 subjects who were re-assessed during the course of the study as non-amenable by the GLP-HEK assay.  Benefits over placebo were demonstrated in the post-hoc stage </w:t>
      </w:r>
      <w:r w:rsidR="00232C37">
        <w:t xml:space="preserve">1, stage 2 and OLE analyses. </w:t>
      </w:r>
      <w:r w:rsidR="006268B2" w:rsidRPr="006268B2">
        <w:t xml:space="preserve">The main outcomes demonstrated in these studies include stabilisation of renal function, decrease in LVMi, </w:t>
      </w:r>
      <w:proofErr w:type="gramStart"/>
      <w:r w:rsidR="006268B2" w:rsidRPr="006268B2">
        <w:t>reduction</w:t>
      </w:r>
      <w:proofErr w:type="gramEnd"/>
      <w:r w:rsidR="006268B2" w:rsidRPr="006268B2">
        <w:t xml:space="preserve"> in renal IC GL-3 substrate burden, reduction in plasma lyso-Gb3 and improvement in gastro-intestinal symptoms of dia</w:t>
      </w:r>
      <w:r w:rsidR="00555F06">
        <w:t>rrhoea, reflux and indigestion.</w:t>
      </w:r>
      <w:r w:rsidR="006268B2" w:rsidRPr="006268B2">
        <w:t xml:space="preserve"> The studies have not demonstrated that treatment with migalastat reduces renal and c</w:t>
      </w:r>
      <w:r w:rsidR="006268B2">
        <w:t>ardiac morbidity and mortality.</w:t>
      </w:r>
    </w:p>
    <w:p w:rsidR="006268B2" w:rsidRDefault="006268B2" w:rsidP="00215D80">
      <w:pPr>
        <w:pStyle w:val="Heading5"/>
      </w:pPr>
      <w:r>
        <w:lastRenderedPageBreak/>
        <w:t>Amenable mutations</w:t>
      </w:r>
    </w:p>
    <w:p w:rsidR="006268B2" w:rsidRPr="006268B2" w:rsidRDefault="006268B2" w:rsidP="00215D80">
      <w:pPr>
        <w:pStyle w:val="ListBullet"/>
      </w:pPr>
      <w:r w:rsidRPr="006268B2">
        <w:t xml:space="preserve">Subjects in the Phase </w:t>
      </w:r>
      <w:r w:rsidR="0022576E">
        <w:t>III</w:t>
      </w:r>
      <w:r w:rsidRPr="006268B2">
        <w:t xml:space="preserve"> studies expressed a variety of amenable mutations.  The amenable mutations evaluated in these studies represent a subset of all known amenable mutations (as confirmed by the GLP-HEK assay).</w:t>
      </w:r>
    </w:p>
    <w:p w:rsidR="00D23139" w:rsidRDefault="00D23139" w:rsidP="006268B2">
      <w:pPr>
        <w:pStyle w:val="Heading4"/>
      </w:pPr>
      <w:r w:rsidRPr="00D23139">
        <w:t>Proposed action</w:t>
      </w:r>
    </w:p>
    <w:p w:rsidR="00CD53B2" w:rsidRPr="00CD53B2" w:rsidRDefault="00AC45A0" w:rsidP="00CD53B2">
      <w:r>
        <w:rPr>
          <w:rFonts w:asciiTheme="minorHAnsi" w:hAnsiTheme="minorHAnsi"/>
          <w:bCs/>
        </w:rPr>
        <w:t>The Delegate has</w:t>
      </w:r>
      <w:r w:rsidRPr="007A66BC">
        <w:rPr>
          <w:rFonts w:asciiTheme="minorHAnsi" w:hAnsiTheme="minorHAnsi"/>
          <w:bCs/>
        </w:rPr>
        <w:t xml:space="preserve"> no reason to say, at this time, that the application for </w:t>
      </w:r>
      <w:proofErr w:type="gramStart"/>
      <w:r>
        <w:rPr>
          <w:rFonts w:asciiTheme="minorHAnsi" w:hAnsiTheme="minorHAnsi"/>
          <w:bCs/>
        </w:rPr>
        <w:t>Galafold</w:t>
      </w:r>
      <w:proofErr w:type="gramEnd"/>
      <w:r w:rsidRPr="007A66BC">
        <w:rPr>
          <w:rFonts w:asciiTheme="minorHAnsi" w:hAnsiTheme="minorHAnsi"/>
          <w:bCs/>
        </w:rPr>
        <w:t xml:space="preserve"> should not be approved for registration.</w:t>
      </w:r>
    </w:p>
    <w:p w:rsidR="00D23139" w:rsidRDefault="00CD53B2" w:rsidP="00D23139">
      <w:pPr>
        <w:pStyle w:val="Heading4"/>
      </w:pPr>
      <w:r>
        <w:t>Request for AC</w:t>
      </w:r>
      <w:r w:rsidR="00D23139" w:rsidRPr="00D23139">
        <w:t>M advice</w:t>
      </w:r>
    </w:p>
    <w:p w:rsidR="006268B2" w:rsidRDefault="006268B2" w:rsidP="006268B2">
      <w:r w:rsidRPr="006268B2">
        <w:t>The committee is requested to provide advice on the following specific issues:</w:t>
      </w:r>
    </w:p>
    <w:p w:rsidR="006268B2" w:rsidRDefault="006268B2" w:rsidP="006268B2">
      <w:pPr>
        <w:pStyle w:val="ListBullet"/>
      </w:pPr>
      <w:r w:rsidRPr="006268B2">
        <w:t>What is the committee’s view on the efficacy outcomes from the Phase 3 studies?</w:t>
      </w:r>
    </w:p>
    <w:p w:rsidR="006268B2" w:rsidRDefault="006268B2" w:rsidP="006268B2">
      <w:pPr>
        <w:pStyle w:val="ListBullet"/>
      </w:pPr>
      <w:r w:rsidRPr="006268B2">
        <w:t xml:space="preserve">Is the committee satisfied that the table of amenable </w:t>
      </w:r>
      <w:r w:rsidR="00555F06">
        <w:t xml:space="preserve">mutations listed in the PI </w:t>
      </w:r>
      <w:r w:rsidRPr="006268B2">
        <w:t>appropriately defines the target population for migalastat?</w:t>
      </w:r>
    </w:p>
    <w:p w:rsidR="00CD308A" w:rsidRDefault="006268B2" w:rsidP="006268B2">
      <w:pPr>
        <w:pStyle w:val="ListBullet"/>
      </w:pPr>
      <w:r w:rsidRPr="006268B2">
        <w:t>To what extent would variability in phenotypic expression of amenable mutations be likely to impact on the efficacy of migalastat for individual patients and what would be the likely relevance of this in clinical practice?</w:t>
      </w:r>
    </w:p>
    <w:p w:rsidR="00CD53B2" w:rsidRPr="006268B2" w:rsidRDefault="006268B2" w:rsidP="006268B2">
      <w:r w:rsidRPr="006268B2">
        <w:t>The committee is also requested to provide advice on any other issues that it thinks may be relevant to a decision on whether or not to approve this application.</w:t>
      </w:r>
    </w:p>
    <w:p w:rsidR="00CD308A" w:rsidRDefault="00D23139" w:rsidP="00D23139">
      <w:pPr>
        <w:pStyle w:val="Heading4"/>
      </w:pPr>
      <w:r w:rsidRPr="00D23139">
        <w:t xml:space="preserve">Response from </w:t>
      </w:r>
      <w:r w:rsidR="00CD53B2">
        <w:t>s</w:t>
      </w:r>
      <w:r w:rsidRPr="00D23139">
        <w:t>ponsor</w:t>
      </w:r>
    </w:p>
    <w:p w:rsidR="00612BB2" w:rsidRDefault="004D6DDB" w:rsidP="00CD53B2">
      <w:r>
        <w:t xml:space="preserve">The sponsor </w:t>
      </w:r>
      <w:r w:rsidR="00612BB2" w:rsidRPr="00612BB2">
        <w:t>provides comments on the evaluations in the following sections:</w:t>
      </w:r>
    </w:p>
    <w:p w:rsidR="004D6DDB" w:rsidRDefault="00612BB2" w:rsidP="004D6DDB">
      <w:pPr>
        <w:pStyle w:val="ListBullet"/>
      </w:pPr>
      <w:r w:rsidRPr="00612BB2">
        <w:t>A brief summary of information on the GLP HEK amenability assay (based on information included in the dossier), to provide background on the use of the GLP HEK amenability assay and the applicability of the data from clinical trials to the lists of amenable and non-amenable mutations i</w:t>
      </w:r>
      <w:r w:rsidR="004D6DDB">
        <w:t>n the PI</w:t>
      </w:r>
      <w:r>
        <w:t>.</w:t>
      </w:r>
    </w:p>
    <w:p w:rsidR="00D23139" w:rsidRDefault="00612BB2" w:rsidP="004D6DDB">
      <w:pPr>
        <w:pStyle w:val="ListBullet"/>
      </w:pPr>
      <w:r w:rsidRPr="00612BB2">
        <w:t>A response to the three questions posed by the Delegate in the Overview.</w:t>
      </w:r>
    </w:p>
    <w:p w:rsidR="004D6DDB" w:rsidRDefault="004D6DDB" w:rsidP="002338FA">
      <w:pPr>
        <w:pStyle w:val="Heading5"/>
      </w:pPr>
      <w:r>
        <w:t>Section 1</w:t>
      </w:r>
    </w:p>
    <w:p w:rsidR="002338FA" w:rsidRPr="002338FA" w:rsidRDefault="004D6DDB" w:rsidP="002338FA">
      <w:pPr>
        <w:pStyle w:val="ListBullet"/>
        <w:rPr>
          <w:b/>
          <w:i/>
        </w:rPr>
      </w:pPr>
      <w:r w:rsidRPr="002338FA">
        <w:rPr>
          <w:b/>
          <w:i/>
        </w:rPr>
        <w:t>The applicability of the data observed in clinical trials to the list proposed in the Aus</w:t>
      </w:r>
      <w:r w:rsidR="002338FA" w:rsidRPr="002338FA">
        <w:rPr>
          <w:b/>
          <w:i/>
        </w:rPr>
        <w:t>tralian Prescribing Information</w:t>
      </w:r>
    </w:p>
    <w:p w:rsidR="002338FA" w:rsidRDefault="004D6DDB" w:rsidP="00CD53B2">
      <w:r w:rsidRPr="004D6DDB">
        <w:t xml:space="preserve">The subset of amenable mutant forms of α-Gal </w:t>
      </w:r>
      <w:proofErr w:type="gramStart"/>
      <w:r w:rsidRPr="004D6DDB">
        <w:t>A</w:t>
      </w:r>
      <w:proofErr w:type="gramEnd"/>
      <w:r w:rsidRPr="004D6DDB">
        <w:t xml:space="preserve"> in Phase </w:t>
      </w:r>
      <w:r w:rsidR="0022576E">
        <w:t>II</w:t>
      </w:r>
      <w:r w:rsidRPr="004D6DDB">
        <w:t xml:space="preserve"> and </w:t>
      </w:r>
      <w:r w:rsidR="0022576E">
        <w:t>III</w:t>
      </w:r>
      <w:r w:rsidRPr="004D6DDB">
        <w:t xml:space="preserve"> clinical studies was compared to all known Fabry disease-as</w:t>
      </w:r>
      <w:r w:rsidR="002338FA">
        <w:t>sociated amenable mutant forms.</w:t>
      </w:r>
    </w:p>
    <w:p w:rsidR="002338FA" w:rsidRDefault="004D6DDB" w:rsidP="00CD53B2">
      <w:r w:rsidRPr="004D6DDB">
        <w:t>The f</w:t>
      </w:r>
      <w:r w:rsidR="0010293F">
        <w:t>ollowing parameters</w:t>
      </w:r>
      <w:r w:rsidRPr="004D6DDB">
        <w:t xml:space="preserve"> were used to compare the tw</w:t>
      </w:r>
      <w:r w:rsidR="002338FA">
        <w:t>o groups of amenable mutations:</w:t>
      </w:r>
    </w:p>
    <w:p w:rsidR="002338FA" w:rsidRDefault="004D6DDB" w:rsidP="0010293F">
      <w:pPr>
        <w:pStyle w:val="ListBullet"/>
      </w:pPr>
      <w:r w:rsidRPr="004D6DDB">
        <w:t>Mean absolute increase and α-Gal A activity fold over baseline in response to 10</w:t>
      </w:r>
      <w:r w:rsidR="0022576E">
        <w:t> </w:t>
      </w:r>
      <w:r w:rsidR="001B2F5C">
        <w:t>µ</w:t>
      </w:r>
      <w:r w:rsidRPr="004D6DDB">
        <w:t>mol/L migalastat (</w:t>
      </w:r>
      <w:r w:rsidR="002338FA">
        <w:t>shown as red lines in figure below)</w:t>
      </w:r>
    </w:p>
    <w:p w:rsidR="0010293F" w:rsidRDefault="004D6DDB" w:rsidP="0010293F">
      <w:pPr>
        <w:pStyle w:val="ListBullet"/>
      </w:pPr>
      <w:r w:rsidRPr="004D6DDB">
        <w:t>The proportion of amenable mutati</w:t>
      </w:r>
      <w:r w:rsidR="0010293F">
        <w:t>ons grouped by phenotype</w:t>
      </w:r>
    </w:p>
    <w:p w:rsidR="0010293F" w:rsidRDefault="0010293F" w:rsidP="0010293F">
      <w:pPr>
        <w:pStyle w:val="ListBullet"/>
      </w:pPr>
      <w:r>
        <w:t>Mean baseline α-Gal A activity</w:t>
      </w:r>
    </w:p>
    <w:p w:rsidR="0010293F" w:rsidRDefault="004D6DDB" w:rsidP="0010293F">
      <w:pPr>
        <w:pStyle w:val="ListBullet"/>
      </w:pPr>
      <w:r w:rsidRPr="004D6DDB">
        <w:t>The proportion of conservative and non-conser</w:t>
      </w:r>
      <w:r w:rsidR="0010293F">
        <w:t>vative amino acid substitutions</w:t>
      </w:r>
    </w:p>
    <w:p w:rsidR="0010293F" w:rsidRDefault="004D6DDB" w:rsidP="0010293F">
      <w:pPr>
        <w:pStyle w:val="ListBullet"/>
      </w:pPr>
      <w:r w:rsidRPr="004D6DDB">
        <w:t>The locations of the mutations withi</w:t>
      </w:r>
      <w:r w:rsidR="0010293F">
        <w:t>n the structure of the GLA gene</w:t>
      </w:r>
    </w:p>
    <w:p w:rsidR="002338FA" w:rsidRDefault="004D6DDB" w:rsidP="0010293F">
      <w:pPr>
        <w:pStyle w:val="ListBullet"/>
      </w:pPr>
      <w:r w:rsidRPr="004D6DDB">
        <w:t xml:space="preserve">The locations of substituted amino acid residues </w:t>
      </w:r>
      <w:r w:rsidR="002338FA">
        <w:t>within the structure of α-Gal A</w:t>
      </w:r>
    </w:p>
    <w:p w:rsidR="004D6DDB" w:rsidRDefault="004D6DDB" w:rsidP="00CD53B2">
      <w:r w:rsidRPr="004D6DDB">
        <w:t xml:space="preserve">Comparability was shown between the subset of amenable mutations in the Phase </w:t>
      </w:r>
      <w:r w:rsidR="0022576E">
        <w:t>III</w:t>
      </w:r>
      <w:r w:rsidRPr="004D6DDB">
        <w:t xml:space="preserve"> clinical studies and the larger subset number of known amenable mutations.</w:t>
      </w:r>
    </w:p>
    <w:p w:rsidR="00A56A2A" w:rsidRDefault="00A56A2A" w:rsidP="0053040F">
      <w:pPr>
        <w:pStyle w:val="FigureTitle"/>
      </w:pPr>
      <w:r>
        <w:lastRenderedPageBreak/>
        <w:t xml:space="preserve">Figure </w:t>
      </w:r>
      <w:r w:rsidR="00525568">
        <w:t>2</w:t>
      </w:r>
      <w:r>
        <w:t>:</w:t>
      </w:r>
      <w:r w:rsidRPr="00A56A2A">
        <w:t xml:space="preserve"> Absolute </w:t>
      </w:r>
      <w:r w:rsidR="0022576E">
        <w:t>i</w:t>
      </w:r>
      <w:r w:rsidRPr="00A56A2A">
        <w:t>ncrease and α-Gal A Activity</w:t>
      </w:r>
      <w:proofErr w:type="gramStart"/>
      <w:r w:rsidR="0022576E">
        <w:t>;</w:t>
      </w:r>
      <w:r w:rsidRPr="00A56A2A">
        <w:t>Fold</w:t>
      </w:r>
      <w:proofErr w:type="gramEnd"/>
      <w:r w:rsidRPr="00A56A2A">
        <w:t xml:space="preserve"> </w:t>
      </w:r>
      <w:r w:rsidR="0022576E">
        <w:t>o</w:t>
      </w:r>
      <w:r w:rsidRPr="00A56A2A">
        <w:t xml:space="preserve">ver Baseline of Phase </w:t>
      </w:r>
      <w:r w:rsidR="0022576E">
        <w:t>II</w:t>
      </w:r>
      <w:r w:rsidRPr="00A56A2A">
        <w:t xml:space="preserve"> and </w:t>
      </w:r>
      <w:r w:rsidR="0022576E">
        <w:t>III</w:t>
      </w:r>
      <w:r w:rsidRPr="00A56A2A">
        <w:t xml:space="preserve"> </w:t>
      </w:r>
      <w:r w:rsidR="0022576E" w:rsidRPr="00A56A2A">
        <w:t>clinical study amenable mutant forms compared to the larger subset that met the amenable mutation criteri</w:t>
      </w:r>
      <w:r w:rsidR="0022576E">
        <w:t>a</w:t>
      </w:r>
    </w:p>
    <w:p w:rsidR="00A56A2A" w:rsidRDefault="0053040F" w:rsidP="00CD53B2">
      <w:r>
        <w:rPr>
          <w:noProof/>
          <w:lang w:eastAsia="en-AU"/>
        </w:rPr>
        <w:drawing>
          <wp:inline distT="0" distB="0" distL="0" distR="0" wp14:anchorId="0AA4AF41" wp14:editId="6AE40416">
            <wp:extent cx="5400040" cy="2014053"/>
            <wp:effectExtent l="0" t="0" r="0" b="5715"/>
            <wp:docPr id="1" name="Picture 1" descr="Figure 2: Absolute Increase and α-Gal A Activity –Fold Over Baseline of Phase 2 and 3 Clinical Study Amenable Mutant Forms Compared to the Larger Subset That Met the Amenable Mutation Cri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40" cy="2014053"/>
                    </a:xfrm>
                    <a:prstGeom prst="rect">
                      <a:avLst/>
                    </a:prstGeom>
                  </pic:spPr>
                </pic:pic>
              </a:graphicData>
            </a:graphic>
          </wp:inline>
        </w:drawing>
      </w:r>
    </w:p>
    <w:p w:rsidR="0053040F" w:rsidRDefault="0053040F" w:rsidP="00CD53B2">
      <w:r w:rsidRPr="0053040F">
        <w:t xml:space="preserve">These analyses showed that the characteristics of the amenable mutant forms of α-Gal A from patients in Phase </w:t>
      </w:r>
      <w:r w:rsidR="0022576E">
        <w:t>II</w:t>
      </w:r>
      <w:r w:rsidRPr="0053040F">
        <w:t xml:space="preserve"> and </w:t>
      </w:r>
      <w:r w:rsidR="0022576E">
        <w:t>III</w:t>
      </w:r>
      <w:r w:rsidR="0022576E" w:rsidRPr="0053040F">
        <w:t xml:space="preserve"> </w:t>
      </w:r>
      <w:r w:rsidRPr="0053040F">
        <w:t xml:space="preserve">clinical studies were similar to those for all amenable mutant forms. These results demonstrate that the amenable mutant forms evaluated in Phase </w:t>
      </w:r>
      <w:r w:rsidR="0022576E">
        <w:t>II</w:t>
      </w:r>
      <w:r w:rsidRPr="0053040F">
        <w:t xml:space="preserve"> and </w:t>
      </w:r>
      <w:r w:rsidR="0022576E">
        <w:t>III</w:t>
      </w:r>
      <w:r w:rsidR="0022576E" w:rsidRPr="0053040F">
        <w:t xml:space="preserve"> </w:t>
      </w:r>
      <w:r w:rsidRPr="0053040F">
        <w:t>clinical studies are representative of all amenable mutant forms ide</w:t>
      </w:r>
      <w:r>
        <w:t>ntified by the GLP HEK assay.</w:t>
      </w:r>
    </w:p>
    <w:p w:rsidR="0053040F" w:rsidRPr="0053040F" w:rsidRDefault="0053040F" w:rsidP="0053040F">
      <w:pPr>
        <w:pStyle w:val="ListBullet"/>
        <w:rPr>
          <w:b/>
          <w:i/>
        </w:rPr>
      </w:pPr>
      <w:r w:rsidRPr="0053040F">
        <w:rPr>
          <w:b/>
          <w:i/>
        </w:rPr>
        <w:t>Phenotypic expression of amenable mutations</w:t>
      </w:r>
    </w:p>
    <w:p w:rsidR="0053040F" w:rsidRDefault="0053040F" w:rsidP="00CD53B2">
      <w:r w:rsidRPr="0053040F">
        <w:t>The patients in the migalastat clinical studies represent the range of genotypes and phenotypes in Fabry disease in general, and the positive effects of migalastat were demonstrated across these patient types. Thus, the various phenotypic expressions of amenable mutations would not affect the efficacy of m</w:t>
      </w:r>
      <w:r>
        <w:t>igalastat in clinical practice.</w:t>
      </w:r>
    </w:p>
    <w:p w:rsidR="00F7490D" w:rsidRDefault="0053040F" w:rsidP="00CD53B2">
      <w:r w:rsidRPr="0053040F">
        <w:t xml:space="preserve">The majority of amenable mutant forms in migalastat clinical studies </w:t>
      </w:r>
      <w:r w:rsidR="002D6B1D">
        <w:t xml:space="preserve">are </w:t>
      </w:r>
      <w:r w:rsidRPr="0053040F">
        <w:t>associated with classic Fabry disease. However, a significant minority was associated with non-classical Fabry disease (</w:t>
      </w:r>
      <w:r w:rsidR="00B4744F">
        <w:t>figure below</w:t>
      </w:r>
      <w:r w:rsidRPr="0053040F">
        <w:t>).</w:t>
      </w:r>
    </w:p>
    <w:p w:rsidR="00B4744F" w:rsidRDefault="00B4744F" w:rsidP="00B24AA9">
      <w:pPr>
        <w:pStyle w:val="FigureTitle"/>
      </w:pPr>
      <w:r>
        <w:t xml:space="preserve">Figure </w:t>
      </w:r>
      <w:r w:rsidR="00525568">
        <w:t>3</w:t>
      </w:r>
      <w:r>
        <w:t>:</w:t>
      </w:r>
      <w:r w:rsidR="00B24AA9" w:rsidRPr="00B24AA9">
        <w:t xml:space="preserve"> Clinical </w:t>
      </w:r>
      <w:r w:rsidR="0022576E" w:rsidRPr="00B24AA9">
        <w:t>study amenable mutations are comparable to all amenable mutations</w:t>
      </w:r>
    </w:p>
    <w:p w:rsidR="00B4744F" w:rsidRDefault="00B24AA9" w:rsidP="00CD53B2">
      <w:r>
        <w:rPr>
          <w:noProof/>
          <w:lang w:eastAsia="en-AU"/>
        </w:rPr>
        <w:drawing>
          <wp:inline distT="0" distB="0" distL="0" distR="0" wp14:anchorId="487DB807" wp14:editId="1A09BDEF">
            <wp:extent cx="5400040" cy="1475780"/>
            <wp:effectExtent l="0" t="0" r="0" b="0"/>
            <wp:docPr id="3" name="Picture 3" descr="Figure 3: Clinical Study Amenable Mutations are Comparable to All Amenable Mu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1475780"/>
                    </a:xfrm>
                    <a:prstGeom prst="rect">
                      <a:avLst/>
                    </a:prstGeom>
                  </pic:spPr>
                </pic:pic>
              </a:graphicData>
            </a:graphic>
          </wp:inline>
        </w:drawing>
      </w:r>
    </w:p>
    <w:p w:rsidR="00B24AA9" w:rsidRDefault="00B24AA9" w:rsidP="00CD53B2">
      <w:r w:rsidRPr="00B24AA9">
        <w:t xml:space="preserve">An analysis of baseline disease severity revealed that 86% of the patients enrolled in the Phase </w:t>
      </w:r>
      <w:r w:rsidR="0022576E">
        <w:t>III</w:t>
      </w:r>
      <w:r w:rsidRPr="00B24AA9">
        <w:t xml:space="preserve"> studies had substantial disease burden at baseline, based on having two or more organ systems affected by the disease. The clinical manifestations observed in patients in the migalastat Phase </w:t>
      </w:r>
      <w:r w:rsidR="0022576E">
        <w:t>III</w:t>
      </w:r>
      <w:r w:rsidRPr="00B24AA9">
        <w:t xml:space="preserve"> studies reflect the general Fabry disease population and are comparable to the patients in the ERT registri</w:t>
      </w:r>
      <w:r>
        <w:t xml:space="preserve">es and pivotal Phase </w:t>
      </w:r>
      <w:r w:rsidR="0022576E">
        <w:t>III</w:t>
      </w:r>
      <w:r>
        <w:t xml:space="preserve"> studies.</w:t>
      </w:r>
    </w:p>
    <w:p w:rsidR="00B24AA9" w:rsidRDefault="00B24AA9" w:rsidP="00CD53B2">
      <w:r w:rsidRPr="00B24AA9">
        <w:t xml:space="preserve">The beneficial effects of migalastat on eGFRCKD-EPI, mGFRIohexol, and LVMi were found in both males with the classical presentation and the </w:t>
      </w:r>
      <w:r w:rsidR="0022576E">
        <w:t>‘</w:t>
      </w:r>
      <w:r w:rsidRPr="00B24AA9">
        <w:t>other</w:t>
      </w:r>
      <w:r w:rsidR="0022576E">
        <w:t>’</w:t>
      </w:r>
      <w:r w:rsidRPr="00B24AA9">
        <w:t xml:space="preserve"> subgroup consisting of non-classical male patients and female patients. Given the positive effects observed in all types of patients in Phase </w:t>
      </w:r>
      <w:r w:rsidR="0022576E">
        <w:t>III</w:t>
      </w:r>
      <w:r w:rsidRPr="00B24AA9">
        <w:t xml:space="preserve">, it can be concluded that all patient phenotypes benefit </w:t>
      </w:r>
      <w:r>
        <w:t>from treatment with migalastat.</w:t>
      </w:r>
    </w:p>
    <w:p w:rsidR="00B4744F" w:rsidRDefault="00B24AA9" w:rsidP="00CD53B2">
      <w:r w:rsidRPr="00B24AA9">
        <w:lastRenderedPageBreak/>
        <w:t xml:space="preserve">Analyses of pharmacodynamic and clinical responses to migalastat in patients with the same amenable mutations were conducted for white blood cell α-Gal </w:t>
      </w:r>
      <w:proofErr w:type="gramStart"/>
      <w:r w:rsidRPr="00B24AA9">
        <w:t>A</w:t>
      </w:r>
      <w:proofErr w:type="gramEnd"/>
      <w:r w:rsidRPr="00B24AA9">
        <w:t xml:space="preserve"> activity, plasma lyso-Gb3, and LVMi. In these comparisons, patients with the same amenable mutations (2 to 5 patients represented per same amenable mutation) demonstrated similar responses across phenotypic parameters (</w:t>
      </w:r>
      <w:r w:rsidR="0022576E">
        <w:t>for example</w:t>
      </w:r>
      <w:r w:rsidRPr="00B24AA9">
        <w:t xml:space="preserve"> gender, disease severity), indicating that patients with the same amenable mutation would be expected to have similar clinical responses regardless of phenotype.</w:t>
      </w:r>
    </w:p>
    <w:p w:rsidR="00B24AA9" w:rsidRDefault="00B24AA9" w:rsidP="00B24AA9">
      <w:pPr>
        <w:pStyle w:val="Heading5"/>
      </w:pPr>
      <w:r>
        <w:t>Section 2</w:t>
      </w:r>
    </w:p>
    <w:p w:rsidR="00B24AA9" w:rsidRDefault="00EC6387" w:rsidP="00A16972">
      <w:pPr>
        <w:pStyle w:val="Heading6"/>
      </w:pPr>
      <w:r w:rsidRPr="00EC6387">
        <w:t xml:space="preserve">Response to </w:t>
      </w:r>
      <w:r w:rsidR="00A6032A">
        <w:t>q</w:t>
      </w:r>
      <w:r w:rsidRPr="00EC6387">
        <w:t>uestion 1</w:t>
      </w:r>
    </w:p>
    <w:p w:rsidR="00EC6387" w:rsidRPr="00A16972" w:rsidRDefault="00DF540A" w:rsidP="00A16972">
      <w:pPr>
        <w:pStyle w:val="ListBullet"/>
        <w:rPr>
          <w:b/>
          <w:i/>
        </w:rPr>
      </w:pPr>
      <w:r w:rsidRPr="00A16972">
        <w:rPr>
          <w:b/>
          <w:i/>
        </w:rPr>
        <w:t>The Galafold (migalastat) amenability table in the draft PI includes c.217C&gt;T c.C218T, A73V whereas the table in the European SmPC includes c.218C&gt;T, c.C218T, A73V. Is this a transcription error in the draft PI?</w:t>
      </w:r>
    </w:p>
    <w:p w:rsidR="00CD308A" w:rsidRDefault="00A16972" w:rsidP="00CD53B2">
      <w:r w:rsidRPr="00A16972">
        <w:t xml:space="preserve">The </w:t>
      </w:r>
      <w:r w:rsidR="002F14B5">
        <w:t xml:space="preserve">sponsor </w:t>
      </w:r>
      <w:r w:rsidRPr="00A16972">
        <w:t>confirms that this is a transcription error, the correct listing shoul</w:t>
      </w:r>
      <w:r w:rsidR="00821055">
        <w:t>d read: c.218C&gt;T, c.C218T, A73V</w:t>
      </w:r>
      <w:r w:rsidR="00CD308A">
        <w:t>.</w:t>
      </w:r>
    </w:p>
    <w:p w:rsidR="00A16972" w:rsidRDefault="005B17AD" w:rsidP="00821055">
      <w:pPr>
        <w:pStyle w:val="Heading6"/>
      </w:pPr>
      <w:r>
        <w:t xml:space="preserve">Response to </w:t>
      </w:r>
      <w:r w:rsidR="00A6032A">
        <w:t>q</w:t>
      </w:r>
      <w:r>
        <w:t>uestion 2</w:t>
      </w:r>
    </w:p>
    <w:p w:rsidR="005B17AD" w:rsidRPr="005B17AD" w:rsidRDefault="005B17AD" w:rsidP="005B17AD">
      <w:pPr>
        <w:pStyle w:val="ListBullet"/>
        <w:rPr>
          <w:b/>
          <w:i/>
        </w:rPr>
      </w:pPr>
      <w:r w:rsidRPr="005B17AD">
        <w:rPr>
          <w:b/>
          <w:i/>
        </w:rPr>
        <w:t>c.728T&gt;G is not in the correct numerical sequence in the Galafold (migalastat) amenability table in the draft PI.</w:t>
      </w:r>
    </w:p>
    <w:p w:rsidR="00CD308A" w:rsidRDefault="002F14B5" w:rsidP="00CD53B2">
      <w:r w:rsidRPr="00A16972">
        <w:t xml:space="preserve">The </w:t>
      </w:r>
      <w:r>
        <w:t xml:space="preserve">sponsor </w:t>
      </w:r>
      <w:r w:rsidR="00821055" w:rsidRPr="00821055">
        <w:t>confirms that the listing for c.728T&gt;G is not in numerical order. The correct order is following c.725T&gt;C</w:t>
      </w:r>
      <w:r w:rsidR="00CD308A">
        <w:t>.</w:t>
      </w:r>
    </w:p>
    <w:p w:rsidR="00821055" w:rsidRDefault="00821055" w:rsidP="00D62040">
      <w:pPr>
        <w:pStyle w:val="Heading6"/>
      </w:pPr>
      <w:r>
        <w:t xml:space="preserve">Response to </w:t>
      </w:r>
      <w:r w:rsidR="00A6032A">
        <w:t>q</w:t>
      </w:r>
      <w:r>
        <w:t>uestion 3</w:t>
      </w:r>
    </w:p>
    <w:p w:rsidR="00821055" w:rsidRPr="00B91CB7" w:rsidRDefault="00821055" w:rsidP="00B91CB7">
      <w:pPr>
        <w:pStyle w:val="ListBullet"/>
        <w:rPr>
          <w:b/>
          <w:i/>
        </w:rPr>
      </w:pPr>
      <w:r w:rsidRPr="00B91CB7">
        <w:rPr>
          <w:b/>
          <w:i/>
        </w:rPr>
        <w:t>Will the GLP HEK assay be used in clinical practice to assess a patient’s amenability to migalastat or will the patient’s amenability be determined solely by his/her known genotype? If the GLP HEK assay will be used in clinical practice what will its availability be in Australia?</w:t>
      </w:r>
    </w:p>
    <w:p w:rsidR="00821055" w:rsidRDefault="00D62040" w:rsidP="00CD53B2">
      <w:r w:rsidRPr="00D62040">
        <w:t xml:space="preserve">The </w:t>
      </w:r>
      <w:r>
        <w:t xml:space="preserve">sponsor </w:t>
      </w:r>
      <w:r w:rsidRPr="00D62040">
        <w:t>confirms that the GLP HEK assay will not be used in clinical practice to confirm a patient’s amenability to migalastat; rather, the patient's amenability will be determined solely on his/her known genotype. GLA genotyping, which is performed as standard of care when diagnosing Fabry disease, is required to initiate treatment with migalastat. Following the process below, a Health Care Professional (HCP) can determine whether or not a patient has a mutation amenable to treatment with migalastat, based on the results of the GLP HEK assay for that genotype.</w:t>
      </w:r>
    </w:p>
    <w:p w:rsidR="00D62040" w:rsidRDefault="00D62040" w:rsidP="00CD53B2">
      <w:r w:rsidRPr="00D62040">
        <w:t>It should be noted that since the GLP HEK assay is not used in clinical practice, it does not nee</w:t>
      </w:r>
      <w:r>
        <w:t>d to be available in Australia.</w:t>
      </w:r>
    </w:p>
    <w:p w:rsidR="00D62040" w:rsidRDefault="00D62040" w:rsidP="00CD53B2">
      <w:r w:rsidRPr="00D62040">
        <w:t xml:space="preserve">The following steps take place when determining the amenability of a patient. This process is working effectively in the EU (where </w:t>
      </w:r>
      <w:proofErr w:type="gramStart"/>
      <w:r w:rsidRPr="00D62040">
        <w:t>Galafold</w:t>
      </w:r>
      <w:proofErr w:type="gramEnd"/>
      <w:r w:rsidRPr="00D62040">
        <w:t xml:space="preserve"> has been approved since May 2016) and will be implemented in market</w:t>
      </w:r>
      <w:r>
        <w:t>s where migalastat is approved:</w:t>
      </w:r>
    </w:p>
    <w:p w:rsidR="00D62040" w:rsidRDefault="00D62040" w:rsidP="00D62040">
      <w:pPr>
        <w:pStyle w:val="ListBullet"/>
      </w:pPr>
      <w:r w:rsidRPr="00D62040">
        <w:t xml:space="preserve">If the patient’s genotyping is not already known, perform </w:t>
      </w:r>
      <w:r>
        <w:t>GLA genotyping.</w:t>
      </w:r>
    </w:p>
    <w:p w:rsidR="00D62040" w:rsidRDefault="00D62040" w:rsidP="00D62040">
      <w:pPr>
        <w:pStyle w:val="ListBullet"/>
      </w:pPr>
      <w:r w:rsidRPr="00D62040">
        <w:t xml:space="preserve">Review the Galafold Amenability Table (which is based on the GLP HEK amenability assay) in the package insert and confirm if the patient’s mutation is present on the </w:t>
      </w:r>
      <w:r>
        <w:t>amenable or non-amenable table.</w:t>
      </w:r>
    </w:p>
    <w:p w:rsidR="00D62040" w:rsidRDefault="00D62040" w:rsidP="00D62040">
      <w:pPr>
        <w:pStyle w:val="ListBullet"/>
      </w:pPr>
      <w:r w:rsidRPr="00D62040">
        <w:t>If the mutation is amenable, the HCP</w:t>
      </w:r>
      <w:r>
        <w:t xml:space="preserve"> can prescribe migalastat.</w:t>
      </w:r>
    </w:p>
    <w:p w:rsidR="00D62040" w:rsidRDefault="00D62040" w:rsidP="00D62040">
      <w:pPr>
        <w:pStyle w:val="ListBullet"/>
      </w:pPr>
      <w:r w:rsidRPr="00D62040">
        <w:t>If the mutation is not present on either the amenable or non-amenable tables, the HCP will contact Amicus via the medical information contact details provided. If the mutation has not yet been tested, Amicus will test the mutation in the HEK Amenability Assay which is run centrally at Cambridge Biomedical in the US</w:t>
      </w:r>
      <w:r w:rsidR="0022576E">
        <w:t>.</w:t>
      </w:r>
      <w:r w:rsidRPr="00D62040">
        <w:t xml:space="preserve"> </w:t>
      </w:r>
      <w:r w:rsidRPr="006A6B32">
        <w:t>No patient samples are required for the HEK Amenability Assay.</w:t>
      </w:r>
    </w:p>
    <w:p w:rsidR="00D62040" w:rsidRDefault="00D62040" w:rsidP="00D62040">
      <w:pPr>
        <w:pStyle w:val="ListBullet"/>
      </w:pPr>
      <w:r w:rsidRPr="00D62040">
        <w:lastRenderedPageBreak/>
        <w:t xml:space="preserve">Once testing of the new mutation in the HEK Amenability Assay has been completed and amenability has been determined, a </w:t>
      </w:r>
      <w:r>
        <w:t>treatment decision can be made.</w:t>
      </w:r>
    </w:p>
    <w:p w:rsidR="00D62040" w:rsidRDefault="00D62040" w:rsidP="00D62040">
      <w:pPr>
        <w:pStyle w:val="ListBullet"/>
      </w:pPr>
      <w:r w:rsidRPr="00D62040">
        <w:t>Newly identified mutations will be subsequently added to the tables in the PI via a regulatory submission.</w:t>
      </w:r>
    </w:p>
    <w:p w:rsidR="008E7846" w:rsidRDefault="008E7846" w:rsidP="008E7846">
      <w:pPr>
        <w:pStyle w:val="Heading4"/>
      </w:pPr>
      <w:r>
        <w:t>Advisory Committee Considerations</w:t>
      </w:r>
      <w:r w:rsidR="009E0C19">
        <w:rPr>
          <w:rStyle w:val="FootnoteReference"/>
        </w:rPr>
        <w:footnoteReference w:id="20"/>
      </w:r>
    </w:p>
    <w:p w:rsidR="008E7846" w:rsidRDefault="00D23139" w:rsidP="008E7846">
      <w:pPr>
        <w:rPr>
          <w:bCs/>
        </w:rPr>
      </w:pPr>
      <w:r w:rsidRPr="00D23139">
        <w:rPr>
          <w:bCs/>
        </w:rPr>
        <w:t>The</w:t>
      </w:r>
      <w:r w:rsidR="00983D56">
        <w:rPr>
          <w:bCs/>
        </w:rPr>
        <w:t xml:space="preserve"> </w:t>
      </w:r>
      <w:r w:rsidR="00C12774">
        <w:rPr>
          <w:bCs/>
        </w:rPr>
        <w:t>Advisory Commit</w:t>
      </w:r>
      <w:r w:rsidR="0022576E">
        <w:rPr>
          <w:bCs/>
        </w:rPr>
        <w:t>tee on Medicines (</w:t>
      </w:r>
      <w:r w:rsidR="00983D56">
        <w:rPr>
          <w:bCs/>
        </w:rPr>
        <w:t>ACM</w:t>
      </w:r>
      <w:r w:rsidR="0022576E">
        <w:rPr>
          <w:bCs/>
        </w:rPr>
        <w:t>)</w:t>
      </w:r>
      <w:r w:rsidRPr="00D23139">
        <w:rPr>
          <w:bCs/>
        </w:rPr>
        <w:t>, having considered the evaluations and the Delegate’s overview, as well as the sponsor’s response to these documents, advised the following:</w:t>
      </w:r>
    </w:p>
    <w:p w:rsidR="00E6605D" w:rsidRDefault="00E6605D" w:rsidP="008E7846">
      <w:pPr>
        <w:rPr>
          <w:bCs/>
        </w:rPr>
      </w:pPr>
      <w:r w:rsidRPr="00E6605D">
        <w:rPr>
          <w:bCs/>
        </w:rPr>
        <w:t>The ACM taking into account the submitted evidence of efficacy, safety and quality, agreed with the delegate and considered G</w:t>
      </w:r>
      <w:r w:rsidR="00AD23A7">
        <w:rPr>
          <w:bCs/>
        </w:rPr>
        <w:t>alafold</w:t>
      </w:r>
      <w:r w:rsidRPr="00E6605D">
        <w:rPr>
          <w:bCs/>
        </w:rPr>
        <w:t xml:space="preserve"> capsules containing 123 mg of migalastat to have an overall positive benefit-r</w:t>
      </w:r>
      <w:r>
        <w:rPr>
          <w:bCs/>
        </w:rPr>
        <w:t>isk profile for the indication:</w:t>
      </w:r>
    </w:p>
    <w:p w:rsidR="00A270B7" w:rsidRPr="005750A6" w:rsidRDefault="00E6605D" w:rsidP="005750A6">
      <w:pPr>
        <w:ind w:left="720"/>
        <w:rPr>
          <w:bCs/>
          <w:i/>
        </w:rPr>
      </w:pPr>
      <w:r w:rsidRPr="005750A6">
        <w:rPr>
          <w:bCs/>
          <w:i/>
        </w:rPr>
        <w:t xml:space="preserve">Migalastat is indicated for long-term treatment of adult and adolescent patients 16 years and older with a confirmed diagnosis of Fabry disease (α-galactosidase </w:t>
      </w:r>
      <w:proofErr w:type="gramStart"/>
      <w:r w:rsidRPr="005750A6">
        <w:rPr>
          <w:bCs/>
          <w:i/>
        </w:rPr>
        <w:t>A</w:t>
      </w:r>
      <w:proofErr w:type="gramEnd"/>
      <w:r w:rsidRPr="005750A6">
        <w:rPr>
          <w:bCs/>
          <w:i/>
        </w:rPr>
        <w:t xml:space="preserve"> deficiency) and who have an amenable mutation.</w:t>
      </w:r>
    </w:p>
    <w:p w:rsidR="009D5EF8" w:rsidRDefault="009D5EF8" w:rsidP="009D5EF8">
      <w:pPr>
        <w:pStyle w:val="Heading5"/>
      </w:pPr>
      <w:r w:rsidRPr="009D5EF8">
        <w:t>Proposed</w:t>
      </w:r>
      <w:r>
        <w:t xml:space="preserve"> conditions of registration</w:t>
      </w:r>
    </w:p>
    <w:p w:rsidR="009D5EF8" w:rsidRDefault="009D5EF8" w:rsidP="008E7846">
      <w:pPr>
        <w:rPr>
          <w:bCs/>
        </w:rPr>
      </w:pPr>
      <w:r w:rsidRPr="009D5EF8">
        <w:rPr>
          <w:bCs/>
        </w:rPr>
        <w:t>ACM agreed with the delegate on the propo</w:t>
      </w:r>
      <w:r>
        <w:rPr>
          <w:bCs/>
        </w:rPr>
        <w:t>sed conditions of registration.</w:t>
      </w:r>
    </w:p>
    <w:p w:rsidR="009D5EF8" w:rsidRDefault="009D5EF8" w:rsidP="009D5EF8">
      <w:pPr>
        <w:pStyle w:val="Heading5"/>
      </w:pPr>
      <w:r w:rsidRPr="009D5EF8">
        <w:t>P</w:t>
      </w:r>
      <w:r>
        <w:t>roposed PI/CMI amendments</w:t>
      </w:r>
    </w:p>
    <w:p w:rsidR="000E7604" w:rsidRDefault="00DE1F01" w:rsidP="008E7846">
      <w:pPr>
        <w:rPr>
          <w:bCs/>
        </w:rPr>
      </w:pPr>
      <w:r>
        <w:rPr>
          <w:bCs/>
        </w:rPr>
        <w:t>ACM agreed with the D</w:t>
      </w:r>
      <w:r w:rsidR="009D5EF8" w:rsidRPr="009D5EF8">
        <w:rPr>
          <w:bCs/>
        </w:rPr>
        <w:t xml:space="preserve">elegate to the proposed amendments to the </w:t>
      </w:r>
      <w:r w:rsidR="000E7604">
        <w:rPr>
          <w:bCs/>
        </w:rPr>
        <w:t>PI.</w:t>
      </w:r>
    </w:p>
    <w:p w:rsidR="000E7604" w:rsidRDefault="000E7604" w:rsidP="00EA5A0C">
      <w:pPr>
        <w:pStyle w:val="Heading5"/>
      </w:pPr>
      <w:r>
        <w:t xml:space="preserve">Specific </w:t>
      </w:r>
      <w:r w:rsidR="002F14B5">
        <w:t>a</w:t>
      </w:r>
      <w:r>
        <w:t>dvice</w:t>
      </w:r>
    </w:p>
    <w:p w:rsidR="005750A6" w:rsidRDefault="009D5EF8" w:rsidP="008E7846">
      <w:pPr>
        <w:rPr>
          <w:bCs/>
        </w:rPr>
      </w:pPr>
      <w:r w:rsidRPr="009D5EF8">
        <w:rPr>
          <w:bCs/>
        </w:rPr>
        <w:t>ACM advised th</w:t>
      </w:r>
      <w:r w:rsidR="002B7082">
        <w:rPr>
          <w:bCs/>
        </w:rPr>
        <w:t>e following in response to the D</w:t>
      </w:r>
      <w:r w:rsidRPr="009D5EF8">
        <w:rPr>
          <w:bCs/>
        </w:rPr>
        <w:t>elegate’s specific questions on the submission:</w:t>
      </w:r>
    </w:p>
    <w:p w:rsidR="004C2832" w:rsidRPr="00325BE2" w:rsidRDefault="004C2832" w:rsidP="006A6B32">
      <w:pPr>
        <w:pStyle w:val="Numberbullet0"/>
      </w:pPr>
      <w:r w:rsidRPr="006A6B32">
        <w:rPr>
          <w:i/>
        </w:rPr>
        <w:t xml:space="preserve">What is the committee’s view on the efficacy outcomes from the Phase </w:t>
      </w:r>
      <w:r w:rsidR="0022576E" w:rsidRPr="006A6B32">
        <w:rPr>
          <w:i/>
        </w:rPr>
        <w:t>III</w:t>
      </w:r>
      <w:r w:rsidRPr="006A6B32">
        <w:rPr>
          <w:i/>
        </w:rPr>
        <w:t xml:space="preserve"> studies?</w:t>
      </w:r>
    </w:p>
    <w:p w:rsidR="004C2832" w:rsidRDefault="0022576E" w:rsidP="008E7846">
      <w:pPr>
        <w:rPr>
          <w:bCs/>
        </w:rPr>
      </w:pPr>
      <w:r>
        <w:rPr>
          <w:bCs/>
        </w:rPr>
        <w:t xml:space="preserve">The </w:t>
      </w:r>
      <w:r w:rsidR="004C2832" w:rsidRPr="004C2832">
        <w:rPr>
          <w:bCs/>
        </w:rPr>
        <w:t xml:space="preserve">ACM agreed that given the rareness of the disorder, the efficacy outcomes from the Phase </w:t>
      </w:r>
      <w:r>
        <w:rPr>
          <w:bCs/>
        </w:rPr>
        <w:t>III</w:t>
      </w:r>
      <w:r w:rsidR="004C2832" w:rsidRPr="004C2832">
        <w:rPr>
          <w:bCs/>
        </w:rPr>
        <w:t xml:space="preserve"> studies including the number of patients studied were acceptable. ACM noted that stabilisation of disease in this particular conditi</w:t>
      </w:r>
      <w:r w:rsidR="004C2832">
        <w:rPr>
          <w:bCs/>
        </w:rPr>
        <w:t>on is accepted as beneficial.</w:t>
      </w:r>
    </w:p>
    <w:p w:rsidR="004C2832" w:rsidRPr="006A6B32" w:rsidRDefault="004C2832" w:rsidP="006A6B32">
      <w:pPr>
        <w:pStyle w:val="Numberbullet0"/>
        <w:rPr>
          <w:i/>
        </w:rPr>
      </w:pPr>
      <w:r w:rsidRPr="006A6B32">
        <w:rPr>
          <w:i/>
        </w:rPr>
        <w:t xml:space="preserve">Is the committee satisfied that the table of amenable mutations listed in the </w:t>
      </w:r>
      <w:r w:rsidR="00325BE2" w:rsidRPr="006A6B32">
        <w:rPr>
          <w:i/>
        </w:rPr>
        <w:t>PI</w:t>
      </w:r>
      <w:r w:rsidRPr="006A6B32">
        <w:rPr>
          <w:i/>
        </w:rPr>
        <w:t xml:space="preserve"> appropriately defines the target population for migalastat?</w:t>
      </w:r>
    </w:p>
    <w:p w:rsidR="00BE67CC" w:rsidRDefault="0022576E" w:rsidP="008E7846">
      <w:pPr>
        <w:rPr>
          <w:bCs/>
        </w:rPr>
      </w:pPr>
      <w:r>
        <w:rPr>
          <w:bCs/>
        </w:rPr>
        <w:t xml:space="preserve">The </w:t>
      </w:r>
      <w:r w:rsidR="004C2832" w:rsidRPr="004C2832">
        <w:rPr>
          <w:bCs/>
        </w:rPr>
        <w:t xml:space="preserve">ACM is satisfied that the list of amenable mutations listed in the product information defines the current target population for Fabry patients who could be treated with migalastat. </w:t>
      </w:r>
      <w:r>
        <w:rPr>
          <w:bCs/>
        </w:rPr>
        <w:t xml:space="preserve">The </w:t>
      </w:r>
      <w:r w:rsidR="004C2832" w:rsidRPr="004C2832">
        <w:rPr>
          <w:bCs/>
        </w:rPr>
        <w:t>ACM noted that the current assay appears effective in identifying amenable mutations. As was shown in the differences between the patients originally enrolled on the basis of their mutation and those</w:t>
      </w:r>
      <w:r w:rsidR="0082097D">
        <w:rPr>
          <w:bCs/>
        </w:rPr>
        <w:t xml:space="preserve"> </w:t>
      </w:r>
      <w:r w:rsidR="0082097D" w:rsidRPr="0082097D">
        <w:rPr>
          <w:bCs/>
        </w:rPr>
        <w:t>found to have amenable mutations based on the GLP HEK assay, rigorous testing of cells contai</w:t>
      </w:r>
      <w:r w:rsidR="00BE67CC">
        <w:rPr>
          <w:bCs/>
        </w:rPr>
        <w:t>ning the mutation is important.</w:t>
      </w:r>
    </w:p>
    <w:p w:rsidR="0082097D" w:rsidRDefault="0022576E" w:rsidP="008E7846">
      <w:pPr>
        <w:rPr>
          <w:bCs/>
        </w:rPr>
      </w:pPr>
      <w:r>
        <w:rPr>
          <w:bCs/>
        </w:rPr>
        <w:t xml:space="preserve">The </w:t>
      </w:r>
      <w:r w:rsidR="0082097D" w:rsidRPr="0082097D">
        <w:rPr>
          <w:bCs/>
        </w:rPr>
        <w:t>ACM noted that there is a mechanism for addition to</w:t>
      </w:r>
      <w:r w:rsidR="00944290">
        <w:rPr>
          <w:bCs/>
        </w:rPr>
        <w:t xml:space="preserve"> the list of amenable mutations</w:t>
      </w:r>
      <w:r w:rsidR="0082097D" w:rsidRPr="0082097D">
        <w:rPr>
          <w:bCs/>
        </w:rPr>
        <w:t xml:space="preserve">, once these have been robustly demonstrated to actually be amenable to this treatment. </w:t>
      </w:r>
      <w:r>
        <w:rPr>
          <w:bCs/>
        </w:rPr>
        <w:t xml:space="preserve">The </w:t>
      </w:r>
      <w:r w:rsidR="0082097D" w:rsidRPr="0082097D">
        <w:rPr>
          <w:bCs/>
        </w:rPr>
        <w:t xml:space="preserve">ACM also noted that there is a mechanism for removing from the list any mutations </w:t>
      </w:r>
      <w:r w:rsidR="0082097D" w:rsidRPr="0082097D">
        <w:rPr>
          <w:bCs/>
        </w:rPr>
        <w:lastRenderedPageBreak/>
        <w:t xml:space="preserve">subsequently determined not to be amenable. </w:t>
      </w:r>
      <w:r>
        <w:rPr>
          <w:bCs/>
        </w:rPr>
        <w:t xml:space="preserve">The </w:t>
      </w:r>
      <w:r w:rsidR="0082097D" w:rsidRPr="0082097D">
        <w:rPr>
          <w:bCs/>
        </w:rPr>
        <w:t>ACM further noted that there should be a clear and transparent process for the sponsor to notify any such cha</w:t>
      </w:r>
      <w:r w:rsidR="0082097D">
        <w:rPr>
          <w:bCs/>
        </w:rPr>
        <w:t>nges to the clinical community.</w:t>
      </w:r>
    </w:p>
    <w:p w:rsidR="0082097D" w:rsidRPr="006A6B32" w:rsidRDefault="0082097D" w:rsidP="006A6B32">
      <w:pPr>
        <w:pStyle w:val="Numberbullet0"/>
        <w:rPr>
          <w:i/>
        </w:rPr>
      </w:pPr>
      <w:r w:rsidRPr="006A6B32">
        <w:rPr>
          <w:i/>
        </w:rPr>
        <w:t>To what extent would variability in phenotypic expression of amenable mutations be likely to impact on the efficacy of migalastat for individual patients and what would be the likely relevance of this in clinical practice?</w:t>
      </w:r>
    </w:p>
    <w:p w:rsidR="002E02CD" w:rsidRDefault="0022576E" w:rsidP="008E7846">
      <w:pPr>
        <w:rPr>
          <w:bCs/>
        </w:rPr>
      </w:pPr>
      <w:r>
        <w:rPr>
          <w:bCs/>
        </w:rPr>
        <w:t xml:space="preserve">The </w:t>
      </w:r>
      <w:r w:rsidR="0082097D" w:rsidRPr="0082097D">
        <w:rPr>
          <w:bCs/>
        </w:rPr>
        <w:t>ACM noted that there are factors other than the actual GLA mutation that impact on the disease. A number of modifier genes are involved in all genetic conditions; some in the disease pathway, others in immune and cell signal</w:t>
      </w:r>
      <w:r w:rsidR="002B7082">
        <w:rPr>
          <w:bCs/>
        </w:rPr>
        <w:t>l</w:t>
      </w:r>
      <w:r w:rsidR="0082097D" w:rsidRPr="0082097D">
        <w:rPr>
          <w:bCs/>
        </w:rPr>
        <w:t>ing pathway</w:t>
      </w:r>
      <w:r w:rsidR="002B7082">
        <w:rPr>
          <w:bCs/>
        </w:rPr>
        <w:t xml:space="preserve">s. </w:t>
      </w:r>
      <w:r>
        <w:rPr>
          <w:bCs/>
        </w:rPr>
        <w:t xml:space="preserve">The </w:t>
      </w:r>
      <w:r w:rsidR="0082097D" w:rsidRPr="0082097D">
        <w:rPr>
          <w:bCs/>
        </w:rPr>
        <w:t>ACM agreed that it is likely for practical purposes that the ability of migalastat to increase enzyme activity will in itself be beneficial for the patient, irresp</w:t>
      </w:r>
      <w:r w:rsidR="002E02CD">
        <w:rPr>
          <w:bCs/>
        </w:rPr>
        <w:t>ective of any other factors.</w:t>
      </w:r>
    </w:p>
    <w:p w:rsidR="0082097D" w:rsidRDefault="0022576E" w:rsidP="008E7846">
      <w:pPr>
        <w:rPr>
          <w:bCs/>
        </w:rPr>
      </w:pPr>
      <w:r>
        <w:rPr>
          <w:bCs/>
        </w:rPr>
        <w:t xml:space="preserve">The </w:t>
      </w:r>
      <w:r w:rsidR="0082097D" w:rsidRPr="0082097D">
        <w:rPr>
          <w:bCs/>
        </w:rPr>
        <w:t>ACM advised that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191" w:name="_Toc247691532"/>
      <w:bookmarkStart w:id="192" w:name="_Toc314842516"/>
      <w:bookmarkStart w:id="193" w:name="_Toc524949277"/>
      <w:bookmarkEnd w:id="106"/>
      <w:bookmarkEnd w:id="188"/>
      <w:bookmarkEnd w:id="189"/>
      <w:r>
        <w:t>Outcome</w:t>
      </w:r>
      <w:bookmarkEnd w:id="191"/>
      <w:bookmarkEnd w:id="192"/>
      <w:bookmarkEnd w:id="193"/>
    </w:p>
    <w:p w:rsidR="00D23139" w:rsidRPr="00D23139" w:rsidRDefault="00D23139" w:rsidP="00D23139">
      <w:bookmarkStart w:id="194" w:name="_Toc247691533"/>
      <w:bookmarkStart w:id="195" w:name="_Toc314842517"/>
      <w:r w:rsidRPr="00D23139">
        <w:t>Based on a review of quality, safety and efficacy, TG</w:t>
      </w:r>
      <w:r w:rsidR="0034300D">
        <w:t>A approved the registration of Galafold</w:t>
      </w:r>
      <w:r w:rsidR="0034300D" w:rsidRPr="0034300D">
        <w:t xml:space="preserve"> </w:t>
      </w:r>
      <w:r w:rsidR="0022576E">
        <w:t>(</w:t>
      </w:r>
      <w:r w:rsidR="0034300D" w:rsidRPr="0034300D">
        <w:t>migalastat (as hydrochloride)</w:t>
      </w:r>
      <w:r w:rsidR="0022576E">
        <w:t>)</w:t>
      </w:r>
      <w:r w:rsidR="0034300D" w:rsidRPr="0034300D">
        <w:t xml:space="preserve"> 123 mg hard capsule blister pack</w:t>
      </w:r>
      <w:r w:rsidR="0034300D">
        <w:t xml:space="preserve"> </w:t>
      </w:r>
      <w:r w:rsidRPr="00D23139">
        <w:t>indicated for:</w:t>
      </w:r>
    </w:p>
    <w:p w:rsidR="00D23139" w:rsidRPr="00A56578" w:rsidRDefault="00A56578" w:rsidP="00A56578">
      <w:pPr>
        <w:ind w:left="720"/>
        <w:rPr>
          <w:i/>
        </w:rPr>
      </w:pPr>
      <w:r w:rsidRPr="00A56578">
        <w:rPr>
          <w:i/>
        </w:rPr>
        <w:t>Galafold is indicated for long-term treatment of adult and adolescent patients 16 years and older with a confirmed diagnosis of Fabry disease (α-galactosidase A deficiency) and who have an amenable mutation (see the tables in the section on Mechanism of Action).</w:t>
      </w:r>
    </w:p>
    <w:p w:rsidR="00D23139" w:rsidRPr="00D23139" w:rsidRDefault="00D23139" w:rsidP="00D23139">
      <w:pPr>
        <w:pStyle w:val="Heading4"/>
      </w:pPr>
      <w:r w:rsidRPr="00D23139">
        <w:t>Specific conditions of registration applying to these goods</w:t>
      </w:r>
    </w:p>
    <w:p w:rsidR="007B57C1" w:rsidRDefault="00B87AFE" w:rsidP="00B87AFE">
      <w:pPr>
        <w:pStyle w:val="ListBullet"/>
      </w:pPr>
      <w:r w:rsidRPr="00B87AFE">
        <w:t xml:space="preserve">The migalastat </w:t>
      </w:r>
      <w:r w:rsidR="001E52F9">
        <w:t>EU-RMP</w:t>
      </w:r>
      <w:r w:rsidRPr="00B87AFE">
        <w:t xml:space="preserve">, version 2.1, dated 21 March 2017, data lock point 25 November 2016 with </w:t>
      </w:r>
      <w:r w:rsidR="001E52F9">
        <w:t>ASA</w:t>
      </w:r>
      <w:r w:rsidRPr="00B87AFE">
        <w:t xml:space="preserve"> (version 2.1, dated 21 March 2017), included with </w:t>
      </w:r>
      <w:r w:rsidR="00A81D75">
        <w:t xml:space="preserve">the </w:t>
      </w:r>
      <w:r w:rsidRPr="00B87AFE">
        <w:t>submission, and any subsequent revisions, as agreed with the TGA will be implemented in Australia.</w:t>
      </w:r>
    </w:p>
    <w:p w:rsidR="008E7846" w:rsidRDefault="00A80B5B" w:rsidP="00D23139">
      <w:pPr>
        <w:pStyle w:val="Heading2"/>
      </w:pPr>
      <w:bookmarkStart w:id="196" w:name="_Toc524949278"/>
      <w:proofErr w:type="gramStart"/>
      <w:r>
        <w:t>Attachment 1.</w:t>
      </w:r>
      <w:proofErr w:type="gramEnd"/>
      <w:r>
        <w:t xml:space="preserve"> </w:t>
      </w:r>
      <w:r w:rsidR="008E7846">
        <w:t xml:space="preserve">Product </w:t>
      </w:r>
      <w:r w:rsidR="00AA0ED0">
        <w:t>I</w:t>
      </w:r>
      <w:r w:rsidR="008E7846">
        <w:t>nformation</w:t>
      </w:r>
      <w:bookmarkEnd w:id="194"/>
      <w:bookmarkEnd w:id="195"/>
      <w:bookmarkEnd w:id="196"/>
    </w:p>
    <w:p w:rsidR="00C80137" w:rsidRDefault="006136D7" w:rsidP="00C80137">
      <w:pPr>
        <w:rPr>
          <w:color w:val="000000"/>
          <w:lang w:eastAsia="en-AU"/>
        </w:rPr>
      </w:pPr>
      <w:r w:rsidRPr="002B3624">
        <w:t xml:space="preserve">The </w:t>
      </w:r>
      <w:r>
        <w:t>PI</w:t>
      </w:r>
      <w:r w:rsidRPr="002B3624">
        <w:t xml:space="preserve"> for </w:t>
      </w:r>
      <w:proofErr w:type="gramStart"/>
      <w:r w:rsidR="000C2712">
        <w:t>Galafold</w:t>
      </w:r>
      <w:proofErr w:type="gram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https://www.tga.gov.au/product-information-pi</w:t>
        </w:r>
      </w:hyperlink>
      <w:r w:rsidR="00CD53B2">
        <w:t>&gt;.</w:t>
      </w:r>
    </w:p>
    <w:p w:rsidR="00C80137" w:rsidRDefault="00C80137" w:rsidP="00C80137">
      <w:pPr>
        <w:pStyle w:val="Heading2"/>
        <w:rPr>
          <w:lang w:eastAsia="en-AU"/>
        </w:rPr>
      </w:pPr>
      <w:bookmarkStart w:id="197" w:name="_Toc524949279"/>
      <w:proofErr w:type="gramStart"/>
      <w:r>
        <w:rPr>
          <w:lang w:eastAsia="en-AU"/>
        </w:rPr>
        <w:t>Attachment 2.</w:t>
      </w:r>
      <w:proofErr w:type="gramEnd"/>
      <w:r w:rsidR="00A80B5B">
        <w:rPr>
          <w:lang w:eastAsia="en-AU"/>
        </w:rPr>
        <w:t xml:space="preserve"> </w:t>
      </w:r>
      <w:r>
        <w:rPr>
          <w:lang w:eastAsia="en-AU"/>
        </w:rPr>
        <w:t>Extract from the Clinical Evaluation Report</w:t>
      </w:r>
      <w:bookmarkEnd w:id="197"/>
    </w:p>
    <w:p w:rsidR="00EF4BBC" w:rsidRPr="007F2E7D" w:rsidRDefault="00EF4BBC" w:rsidP="00EF4BBC">
      <w:pPr>
        <w:rPr>
          <w:sz w:val="18"/>
          <w:szCs w:val="18"/>
          <w:lang w:eastAsia="ja-JP"/>
        </w:rPr>
      </w:pPr>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rsidR="001C32CD" w:rsidRPr="004C239D" w:rsidRDefault="00CD308A"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8A" w:rsidRDefault="00CD308A" w:rsidP="00C40A36">
      <w:pPr>
        <w:spacing w:after="0"/>
      </w:pPr>
      <w:r>
        <w:separator/>
      </w:r>
    </w:p>
  </w:endnote>
  <w:endnote w:type="continuationSeparator" w:id="0">
    <w:p w:rsidR="00CD308A" w:rsidRDefault="00CD308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6946"/>
      <w:gridCol w:w="1915"/>
    </w:tblGrid>
    <w:tr w:rsidR="00CD308A" w:rsidRPr="00487162" w:rsidTr="003C2F14">
      <w:trPr>
        <w:trHeight w:val="269"/>
      </w:trPr>
      <w:tc>
        <w:tcPr>
          <w:tcW w:w="6946" w:type="dxa"/>
          <w:tcMar>
            <w:top w:w="142" w:type="dxa"/>
            <w:bottom w:w="0" w:type="dxa"/>
          </w:tcMar>
        </w:tcPr>
        <w:p w:rsidR="00CD308A" w:rsidRPr="00487162" w:rsidRDefault="00CD308A" w:rsidP="006A6B32">
          <w:pPr>
            <w:pStyle w:val="Footer"/>
          </w:pPr>
          <w:r w:rsidRPr="00487162">
            <w:t>AusPA</w:t>
          </w:r>
          <w:r>
            <w:t xml:space="preserve">R Galafold </w:t>
          </w:r>
          <w:r w:rsidRPr="006E692C">
            <w:t xml:space="preserve">Amicus Therapeutics Pty Ltd </w:t>
          </w:r>
          <w:r w:rsidRPr="00813E14">
            <w:t>PM-2016-01191-1-3</w:t>
          </w:r>
          <w:r>
            <w:br/>
            <w:t>Final 30 August 2018</w:t>
          </w:r>
        </w:p>
      </w:tc>
      <w:tc>
        <w:tcPr>
          <w:tcW w:w="1915" w:type="dxa"/>
          <w:tcMar>
            <w:top w:w="142" w:type="dxa"/>
            <w:bottom w:w="0" w:type="dxa"/>
          </w:tcMar>
        </w:tcPr>
        <w:p w:rsidR="00CD308A" w:rsidRPr="00487162" w:rsidRDefault="00CD308A" w:rsidP="00DB750B">
          <w:pPr>
            <w:pStyle w:val="Footer"/>
            <w:jc w:val="right"/>
          </w:pPr>
          <w:r w:rsidRPr="00487162">
            <w:t xml:space="preserve">Page </w:t>
          </w:r>
          <w:r>
            <w:fldChar w:fldCharType="begin"/>
          </w:r>
          <w:r>
            <w:instrText xml:space="preserve"> PAGE  \* Arabic </w:instrText>
          </w:r>
          <w:r>
            <w:fldChar w:fldCharType="separate"/>
          </w:r>
          <w:r w:rsidR="00A6032A">
            <w:rPr>
              <w:noProof/>
            </w:rPr>
            <w:t>3</w:t>
          </w:r>
          <w:r>
            <w:fldChar w:fldCharType="end"/>
          </w:r>
          <w:r w:rsidRPr="00487162">
            <w:t xml:space="preserve"> of </w:t>
          </w:r>
          <w:r>
            <w:fldChar w:fldCharType="begin"/>
          </w:r>
          <w:r>
            <w:instrText xml:space="preserve"> NUMPAGES  \* Arabic </w:instrText>
          </w:r>
          <w:r>
            <w:fldChar w:fldCharType="separate"/>
          </w:r>
          <w:r w:rsidR="00A6032A">
            <w:rPr>
              <w:noProof/>
            </w:rPr>
            <w:t>85</w:t>
          </w:r>
          <w:r>
            <w:rPr>
              <w:noProof/>
            </w:rPr>
            <w:fldChar w:fldCharType="end"/>
          </w:r>
        </w:p>
      </w:tc>
    </w:tr>
  </w:tbl>
  <w:p w:rsidR="00CD308A" w:rsidRDefault="00CD308A"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D308A" w:rsidRPr="00487162" w:rsidTr="00E45619">
      <w:trPr>
        <w:trHeight w:val="269"/>
      </w:trPr>
      <w:tc>
        <w:tcPr>
          <w:tcW w:w="4519" w:type="dxa"/>
          <w:tcBorders>
            <w:top w:val="single" w:sz="4" w:space="0" w:color="auto"/>
          </w:tcBorders>
          <w:tcMar>
            <w:top w:w="142" w:type="dxa"/>
            <w:bottom w:w="0" w:type="dxa"/>
          </w:tcMar>
        </w:tcPr>
        <w:p w:rsidR="00CD308A" w:rsidRPr="00487162" w:rsidRDefault="00CD308A" w:rsidP="00FE1DEE">
          <w:pPr>
            <w:pStyle w:val="Footer"/>
          </w:pPr>
          <w:r w:rsidRPr="00487162">
            <w:t>Document title, Part #, Section # - Section title</w:t>
          </w:r>
        </w:p>
        <w:p w:rsidR="00CD308A" w:rsidRPr="00487162" w:rsidRDefault="00CD308A" w:rsidP="00FE1DEE">
          <w:pPr>
            <w:pStyle w:val="Footer"/>
          </w:pPr>
          <w:r w:rsidRPr="00487162">
            <w:t>V1.0 October 2010</w:t>
          </w:r>
        </w:p>
      </w:tc>
      <w:tc>
        <w:tcPr>
          <w:tcW w:w="4342" w:type="dxa"/>
          <w:tcBorders>
            <w:top w:val="single" w:sz="4" w:space="0" w:color="auto"/>
          </w:tcBorders>
          <w:tcMar>
            <w:top w:w="142" w:type="dxa"/>
            <w:bottom w:w="0" w:type="dxa"/>
          </w:tcMar>
        </w:tcPr>
        <w:p w:rsidR="00CD308A" w:rsidRPr="00487162" w:rsidRDefault="00CD308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26</w:t>
          </w:r>
          <w:r>
            <w:rPr>
              <w:noProof/>
            </w:rPr>
            <w:fldChar w:fldCharType="end"/>
          </w:r>
        </w:p>
      </w:tc>
    </w:tr>
  </w:tbl>
  <w:p w:rsidR="00CD308A" w:rsidRDefault="00CD3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Pr="001C32CD" w:rsidRDefault="00CD308A"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D308A" w:rsidTr="0010601F">
      <w:trPr>
        <w:trHeight w:val="108"/>
      </w:trPr>
      <w:tc>
        <w:tcPr>
          <w:tcW w:w="8875" w:type="dxa"/>
          <w:gridSpan w:val="2"/>
          <w:tcBorders>
            <w:bottom w:val="single" w:sz="4" w:space="0" w:color="auto"/>
          </w:tcBorders>
          <w:tcMar>
            <w:right w:w="284" w:type="dxa"/>
          </w:tcMar>
        </w:tcPr>
        <w:p w:rsidR="00CD308A" w:rsidRDefault="00CD308A" w:rsidP="006E08B3">
          <w:pPr>
            <w:pStyle w:val="Heading3"/>
          </w:pPr>
          <w:r>
            <w:t>Copyright</w:t>
          </w:r>
        </w:p>
        <w:p w:rsidR="00CD308A" w:rsidRDefault="00CD308A" w:rsidP="006E08B3">
          <w:r>
            <w:rPr>
              <w:rFonts w:cs="Arial"/>
            </w:rPr>
            <w:t>©</w:t>
          </w:r>
          <w:r>
            <w:t xml:space="preserve"> Commonwealth of Australia [add year]</w:t>
          </w:r>
        </w:p>
        <w:p w:rsidR="00CD308A" w:rsidRDefault="00CD308A" w:rsidP="006E08B3"/>
        <w:p w:rsidR="00CD308A" w:rsidRDefault="00CD308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D308A" w:rsidRDefault="00CD308A" w:rsidP="006E08B3"/>
        <w:p w:rsidR="00CD308A" w:rsidRDefault="00CD308A" w:rsidP="006E08B3">
          <w:pPr>
            <w:pStyle w:val="Heading3"/>
          </w:pPr>
          <w:r>
            <w:t>Confidentiality</w:t>
          </w:r>
        </w:p>
        <w:p w:rsidR="00CD308A" w:rsidRDefault="00CD308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D308A" w:rsidRDefault="00CD308A" w:rsidP="006E08B3"/>
        <w:p w:rsidR="00CD308A" w:rsidRDefault="00CD308A" w:rsidP="006E08B3">
          <w:r>
            <w:t>For submission made by individuals, all personal details, other than your name, will be removed from your submission before it is published on the TGA’s Internet site.</w:t>
          </w:r>
        </w:p>
        <w:p w:rsidR="00CD308A" w:rsidRDefault="00CD308A" w:rsidP="006E08B3"/>
        <w:p w:rsidR="00CD308A" w:rsidRDefault="00CD308A" w:rsidP="006E08B3">
          <w:r>
            <w:t>In addition, a list of parties making submissions will be published. If you do not wish to be identified with your submission you must specifically request this in the space provided ib the submission coversheet.</w:t>
          </w:r>
        </w:p>
      </w:tc>
    </w:tr>
    <w:tr w:rsidR="00CD308A" w:rsidTr="0010601F">
      <w:trPr>
        <w:trHeight w:val="417"/>
      </w:trPr>
      <w:tc>
        <w:tcPr>
          <w:tcW w:w="4519" w:type="dxa"/>
          <w:tcBorders>
            <w:top w:val="single" w:sz="4" w:space="0" w:color="auto"/>
          </w:tcBorders>
          <w:tcMar>
            <w:top w:w="142" w:type="dxa"/>
            <w:bottom w:w="0" w:type="dxa"/>
          </w:tcMar>
        </w:tcPr>
        <w:p w:rsidR="00CD308A" w:rsidRDefault="00CD308A" w:rsidP="006E08B3">
          <w:r>
            <w:t>Document title, Part #, Section # - Section title</w:t>
          </w:r>
        </w:p>
        <w:p w:rsidR="00CD308A" w:rsidRDefault="00CD308A" w:rsidP="006E08B3">
          <w:r>
            <w:t>V1.0 October 2010</w:t>
          </w:r>
        </w:p>
      </w:tc>
      <w:tc>
        <w:tcPr>
          <w:tcW w:w="4356" w:type="dxa"/>
          <w:tcBorders>
            <w:top w:val="single" w:sz="4" w:space="0" w:color="auto"/>
          </w:tcBorders>
          <w:tcMar>
            <w:top w:w="142" w:type="dxa"/>
            <w:bottom w:w="0" w:type="dxa"/>
          </w:tcMar>
        </w:tcPr>
        <w:p w:rsidR="00CD308A" w:rsidRDefault="00CD308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26</w:t>
          </w:r>
          <w:r>
            <w:rPr>
              <w:noProof/>
            </w:rPr>
            <w:fldChar w:fldCharType="end"/>
          </w:r>
          <w:r>
            <w:t xml:space="preserve">  </w:t>
          </w:r>
        </w:p>
      </w:tc>
    </w:tr>
  </w:tbl>
  <w:p w:rsidR="00CD308A" w:rsidRDefault="00CD30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8A" w:rsidRDefault="00CD308A" w:rsidP="00C40A36">
      <w:pPr>
        <w:spacing w:after="0"/>
      </w:pPr>
      <w:r>
        <w:separator/>
      </w:r>
    </w:p>
  </w:footnote>
  <w:footnote w:type="continuationSeparator" w:id="0">
    <w:p w:rsidR="00CD308A" w:rsidRDefault="00CD308A" w:rsidP="00C40A36">
      <w:pPr>
        <w:spacing w:after="0"/>
      </w:pPr>
      <w:r>
        <w:continuationSeparator/>
      </w:r>
    </w:p>
  </w:footnote>
  <w:footnote w:id="1">
    <w:p w:rsidR="00CD308A" w:rsidRPr="006E692C" w:rsidRDefault="00CD308A">
      <w:pPr>
        <w:pStyle w:val="FootnoteText"/>
        <w:rPr>
          <w:lang w:val="en-US"/>
        </w:rPr>
      </w:pPr>
      <w:r>
        <w:rPr>
          <w:rStyle w:val="FootnoteReference"/>
        </w:rPr>
        <w:footnoteRef/>
      </w:r>
      <w:r>
        <w:t xml:space="preserve"> </w:t>
      </w:r>
      <w:r w:rsidRPr="006E692C">
        <w:t>ERA Consulting Pty Ltd was the sponsor of this submission but after the inclu</w:t>
      </w:r>
      <w:r>
        <w:t xml:space="preserve">sion of the product on the ARTG, </w:t>
      </w:r>
      <w:r w:rsidRPr="006E692C">
        <w:t>the sponsor was changed to Amicus Therapeutics Pty Ltd</w:t>
      </w:r>
      <w:r>
        <w:t>.</w:t>
      </w:r>
    </w:p>
  </w:footnote>
  <w:footnote w:id="2">
    <w:p w:rsidR="00CD308A" w:rsidRPr="00A3645D" w:rsidRDefault="00CD308A">
      <w:pPr>
        <w:pStyle w:val="FootnoteText"/>
        <w:rPr>
          <w:lang w:val="en-US"/>
        </w:rPr>
      </w:pPr>
      <w:r>
        <w:rPr>
          <w:rStyle w:val="FootnoteReference"/>
        </w:rPr>
        <w:footnoteRef/>
      </w:r>
      <w:r>
        <w:t xml:space="preserve"> </w:t>
      </w:r>
      <w:r w:rsidRPr="00A3645D">
        <w:t xml:space="preserve">US FDA </w:t>
      </w:r>
      <w:proofErr w:type="gramStart"/>
      <w:r w:rsidRPr="00A3645D">
        <w:t>have</w:t>
      </w:r>
      <w:proofErr w:type="gramEnd"/>
      <w:r w:rsidRPr="00A3645D">
        <w:t xml:space="preserve"> accepted the Galafold submission for expedited review with a PDUFA (Prescription Drug User Fee Act) date of 13 August 2018.</w:t>
      </w:r>
    </w:p>
  </w:footnote>
  <w:footnote w:id="3">
    <w:p w:rsidR="00CD308A" w:rsidRPr="000109DA" w:rsidRDefault="00CD308A" w:rsidP="001B2F5C">
      <w:pPr>
        <w:pStyle w:val="FootnoteText"/>
        <w:rPr>
          <w:lang w:val="en-US"/>
        </w:rPr>
      </w:pPr>
      <w:r>
        <w:rPr>
          <w:rStyle w:val="FootnoteReference"/>
        </w:rPr>
        <w:footnoteRef/>
      </w:r>
      <w:r>
        <w:t xml:space="preserve"> </w:t>
      </w:r>
      <w:r>
        <w:rPr>
          <w:lang w:val="en-US"/>
        </w:rPr>
        <w:t xml:space="preserve">The </w:t>
      </w:r>
      <w:r w:rsidRPr="000109DA">
        <w:rPr>
          <w:lang w:val="en-US"/>
        </w:rPr>
        <w:t>C</w:t>
      </w:r>
      <w:r w:rsidRPr="000109DA">
        <w:rPr>
          <w:vertAlign w:val="subscript"/>
          <w:lang w:val="en-US"/>
        </w:rPr>
        <w:t>max</w:t>
      </w:r>
      <w:r>
        <w:rPr>
          <w:lang w:val="en-US"/>
        </w:rPr>
        <w:t xml:space="preserve"> in dogs that received 50 mg/kg dose was ~39 µg/mL on day 1 in Study ITR2978 (</w:t>
      </w:r>
      <w:r w:rsidRPr="000109DA">
        <w:rPr>
          <w:lang w:val="en-US"/>
        </w:rPr>
        <w:t>C</w:t>
      </w:r>
      <w:r w:rsidRPr="000109DA">
        <w:rPr>
          <w:vertAlign w:val="subscript"/>
          <w:lang w:val="en-US"/>
        </w:rPr>
        <w:t>max</w:t>
      </w:r>
      <w:r>
        <w:rPr>
          <w:lang w:val="en-US"/>
        </w:rPr>
        <w:t xml:space="preserve"> was multiplied by 2 then divided by the predicted human </w:t>
      </w:r>
      <w:r w:rsidRPr="000109DA">
        <w:rPr>
          <w:lang w:val="en-US"/>
        </w:rPr>
        <w:t>C</w:t>
      </w:r>
      <w:r w:rsidRPr="000109DA">
        <w:rPr>
          <w:vertAlign w:val="subscript"/>
          <w:lang w:val="en-US"/>
        </w:rPr>
        <w:t>max</w:t>
      </w:r>
      <w:r>
        <w:rPr>
          <w:lang w:val="en-US"/>
        </w:rPr>
        <w:t xml:space="preserve"> of 1.2 µg/mL). The </w:t>
      </w:r>
      <w:r w:rsidRPr="000109DA">
        <w:rPr>
          <w:lang w:val="en-US"/>
        </w:rPr>
        <w:t>AUC</w:t>
      </w:r>
      <w:r w:rsidRPr="000109DA">
        <w:rPr>
          <w:vertAlign w:val="subscript"/>
          <w:lang w:val="en-US"/>
        </w:rPr>
        <w:t>0‒24h</w:t>
      </w:r>
      <w:r>
        <w:rPr>
          <w:lang w:val="en-US"/>
        </w:rPr>
        <w:t xml:space="preserve"> on day 1 was </w:t>
      </w:r>
      <w:proofErr w:type="gramStart"/>
      <w:r>
        <w:rPr>
          <w:lang w:val="en-US"/>
        </w:rPr>
        <w:t>106,615 ng.h/mL in dogs that received 50 mg/kg in Study ITR2978</w:t>
      </w:r>
      <w:proofErr w:type="gramEnd"/>
      <w:r>
        <w:rPr>
          <w:lang w:val="en-US"/>
        </w:rPr>
        <w:t xml:space="preserve">, </w:t>
      </w:r>
      <w:r w:rsidRPr="000109DA">
        <w:rPr>
          <w:i/>
          <w:lang w:val="en-US"/>
        </w:rPr>
        <w:t xml:space="preserve">cf. </w:t>
      </w:r>
      <w:r>
        <w:rPr>
          <w:lang w:val="en-US"/>
        </w:rPr>
        <w:t xml:space="preserve">a predicted </w:t>
      </w:r>
      <w:r w:rsidRPr="000109DA">
        <w:rPr>
          <w:lang w:val="en-US"/>
        </w:rPr>
        <w:t>AUC</w:t>
      </w:r>
      <w:r>
        <w:rPr>
          <w:vertAlign w:val="subscript"/>
          <w:lang w:val="en-US"/>
        </w:rPr>
        <w:t>0‒</w:t>
      </w:r>
      <w:r w:rsidRPr="000109DA">
        <w:rPr>
          <w:vertAlign w:val="subscript"/>
          <w:lang w:val="en-US"/>
        </w:rPr>
        <w:t>4</w:t>
      </w:r>
      <w:r>
        <w:rPr>
          <w:vertAlign w:val="subscript"/>
          <w:lang w:val="en-US"/>
        </w:rPr>
        <w:t>8</w:t>
      </w:r>
      <w:r w:rsidRPr="000109DA">
        <w:rPr>
          <w:vertAlign w:val="subscript"/>
          <w:lang w:val="en-US"/>
        </w:rPr>
        <w:t>h</w:t>
      </w:r>
      <w:r>
        <w:rPr>
          <w:lang w:val="en-US"/>
        </w:rPr>
        <w:t xml:space="preserve"> of 9033 ng.h/mL in humans (dog AUC was multiplied by 4 to account for dose and time differences then divided by the human AUC value).   </w:t>
      </w:r>
    </w:p>
  </w:footnote>
  <w:footnote w:id="4">
    <w:p w:rsidR="00CD308A" w:rsidRPr="0014503E" w:rsidRDefault="00CD308A">
      <w:pPr>
        <w:pStyle w:val="FootnoteText"/>
        <w:rPr>
          <w:lang w:val="en-US"/>
        </w:rPr>
      </w:pPr>
      <w:r>
        <w:rPr>
          <w:rStyle w:val="FootnoteReference"/>
        </w:rPr>
        <w:footnoteRef/>
      </w:r>
      <w:r>
        <w:t xml:space="preserve"> </w:t>
      </w:r>
      <w:r w:rsidRPr="006D1E9C">
        <w:rPr>
          <w:lang w:val="en-US"/>
        </w:rPr>
        <w:t>C</w:t>
      </w:r>
      <w:r w:rsidRPr="006D1E9C">
        <w:rPr>
          <w:vertAlign w:val="subscript"/>
          <w:lang w:val="en-US"/>
        </w:rPr>
        <w:t>max</w:t>
      </w:r>
      <w:r>
        <w:rPr>
          <w:lang w:val="en-US"/>
        </w:rPr>
        <w:t xml:space="preserve"> and AUC extrapolated from day 1 data from Study ITR5850 in which rats received a 100 mg/kg dose which resulted in a </w:t>
      </w:r>
      <w:r w:rsidRPr="006D1E9C">
        <w:rPr>
          <w:lang w:val="en-US"/>
        </w:rPr>
        <w:t>C</w:t>
      </w:r>
      <w:r w:rsidRPr="006D1E9C">
        <w:rPr>
          <w:vertAlign w:val="subscript"/>
          <w:lang w:val="en-US"/>
        </w:rPr>
        <w:t>max</w:t>
      </w:r>
      <w:r>
        <w:rPr>
          <w:lang w:val="en-US"/>
        </w:rPr>
        <w:t xml:space="preserve"> </w:t>
      </w:r>
      <w:proofErr w:type="gramStart"/>
      <w:r>
        <w:rPr>
          <w:lang w:val="en-US"/>
        </w:rPr>
        <w:t>of 9.5 µg/mL</w:t>
      </w:r>
      <w:proofErr w:type="gramEnd"/>
      <w:r>
        <w:rPr>
          <w:lang w:val="en-US"/>
        </w:rPr>
        <w:t xml:space="preserve"> and an AUC of 19,369 ng.h/mL.</w:t>
      </w:r>
    </w:p>
  </w:footnote>
  <w:footnote w:id="5">
    <w:p w:rsidR="00CD308A" w:rsidRPr="00A95979" w:rsidRDefault="00CD308A" w:rsidP="00CC67CF">
      <w:pPr>
        <w:pStyle w:val="FootnoteText"/>
        <w:rPr>
          <w:lang w:val="en-US"/>
        </w:rPr>
      </w:pPr>
      <w:r>
        <w:rPr>
          <w:rStyle w:val="FootnoteReference"/>
        </w:rPr>
        <w:footnoteRef/>
      </w:r>
      <w:r>
        <w:t xml:space="preserve"> </w:t>
      </w:r>
      <w:proofErr w:type="gramStart"/>
      <w:r>
        <w:t>H</w:t>
      </w:r>
      <w:r w:rsidRPr="00A95979">
        <w:t>epatocytes from SD rats, cynomolgus monkeys, and humans</w:t>
      </w:r>
      <w:r>
        <w:t>.</w:t>
      </w:r>
      <w:proofErr w:type="gramEnd"/>
    </w:p>
  </w:footnote>
  <w:footnote w:id="6">
    <w:p w:rsidR="00CD308A" w:rsidRPr="003A06CF" w:rsidRDefault="00CD308A">
      <w:pPr>
        <w:pStyle w:val="FootnoteText"/>
        <w:rPr>
          <w:lang w:val="en-US"/>
        </w:rPr>
      </w:pPr>
      <w:r>
        <w:rPr>
          <w:rStyle w:val="FootnoteReference"/>
        </w:rPr>
        <w:footnoteRef/>
      </w:r>
      <w:r>
        <w:t xml:space="preserve"> </w:t>
      </w:r>
      <w:proofErr w:type="gramStart"/>
      <w:r w:rsidRPr="003A06CF">
        <w:t>Guidance on Nonclinical Safety Studies for the Conduct of Human Clinical Trials and Marketing Authorization for Pharmaceuticals</w:t>
      </w:r>
      <w:r>
        <w:t>.</w:t>
      </w:r>
      <w:proofErr w:type="gramEnd"/>
    </w:p>
  </w:footnote>
  <w:footnote w:id="7">
    <w:p w:rsidR="00CD308A" w:rsidRPr="004117E3" w:rsidRDefault="00CD308A">
      <w:pPr>
        <w:pStyle w:val="FootnoteText"/>
        <w:rPr>
          <w:lang w:val="en-US"/>
        </w:rPr>
      </w:pPr>
      <w:r>
        <w:rPr>
          <w:rStyle w:val="FootnoteReference"/>
        </w:rPr>
        <w:footnoteRef/>
      </w:r>
      <w:r>
        <w:t xml:space="preserve"> </w:t>
      </w:r>
      <w:proofErr w:type="gramStart"/>
      <w:r w:rsidRPr="003A06CF">
        <w:t>Guidance on Nonclinical Safety Studies for the Conduct of Human Clinical Trials and Marketing Authorization for Pharmaceuticals</w:t>
      </w:r>
      <w:r>
        <w:t>.</w:t>
      </w:r>
      <w:proofErr w:type="gramEnd"/>
    </w:p>
  </w:footnote>
  <w:footnote w:id="8">
    <w:p w:rsidR="00CD308A" w:rsidRPr="00E15204" w:rsidRDefault="00CD308A">
      <w:pPr>
        <w:pStyle w:val="FootnoteText"/>
        <w:rPr>
          <w:lang w:val="en-US"/>
        </w:rPr>
      </w:pPr>
      <w:r>
        <w:rPr>
          <w:rStyle w:val="FootnoteReference"/>
        </w:rPr>
        <w:footnoteRef/>
      </w:r>
      <w:r>
        <w:t xml:space="preserve"> </w:t>
      </w:r>
      <w:r w:rsidRPr="00E15204">
        <w:t>The Need for Carcinogenicity Studies of Pharmaceuticals</w:t>
      </w:r>
    </w:p>
  </w:footnote>
  <w:footnote w:id="9">
    <w:p w:rsidR="00CD308A" w:rsidRPr="00E15204" w:rsidRDefault="00CD308A">
      <w:pPr>
        <w:pStyle w:val="FootnoteText"/>
        <w:rPr>
          <w:lang w:val="en-US"/>
        </w:rPr>
      </w:pPr>
      <w:r>
        <w:rPr>
          <w:rStyle w:val="FootnoteReference"/>
        </w:rPr>
        <w:footnoteRef/>
      </w:r>
      <w:r>
        <w:t xml:space="preserve"> </w:t>
      </w:r>
      <w:r w:rsidRPr="00E15204">
        <w:t>Note for Guidance on Carcinogenic Potential</w:t>
      </w:r>
    </w:p>
  </w:footnote>
  <w:footnote w:id="10">
    <w:p w:rsidR="00CD308A" w:rsidRPr="00A05C09" w:rsidRDefault="00CD308A">
      <w:pPr>
        <w:pStyle w:val="FootnoteText"/>
        <w:rPr>
          <w:lang w:val="en-US"/>
        </w:rPr>
      </w:pPr>
      <w:r>
        <w:rPr>
          <w:rStyle w:val="FootnoteReference"/>
        </w:rPr>
        <w:footnoteRef/>
      </w:r>
      <w:r>
        <w:t xml:space="preserve"> </w:t>
      </w:r>
      <w:proofErr w:type="gramStart"/>
      <w:r w:rsidRPr="00A05C09">
        <w:t>Dose Selection for Carcinogenicity Studies of Pharmaceuticals</w:t>
      </w:r>
      <w:r>
        <w:t>.</w:t>
      </w:r>
      <w:proofErr w:type="gramEnd"/>
    </w:p>
  </w:footnote>
  <w:footnote w:id="11">
    <w:p w:rsidR="00CD308A" w:rsidRPr="00F65E1C" w:rsidRDefault="00CD308A" w:rsidP="00CC0AE6">
      <w:pPr>
        <w:pStyle w:val="FootnoteText"/>
        <w:rPr>
          <w:lang w:val="en-US"/>
        </w:rPr>
      </w:pPr>
      <w:r>
        <w:rPr>
          <w:rStyle w:val="FootnoteReference"/>
        </w:rPr>
        <w:footnoteRef/>
      </w:r>
      <w:r>
        <w:t xml:space="preserve"> </w:t>
      </w:r>
      <w:r>
        <w:rPr>
          <w:lang w:val="en-US"/>
        </w:rPr>
        <w:t xml:space="preserve">Paranjpe MG, et al. </w:t>
      </w:r>
      <w:r w:rsidRPr="00F65E1C">
        <w:rPr>
          <w:lang w:val="en-US"/>
        </w:rPr>
        <w:t>Historical Control Data</w:t>
      </w:r>
      <w:r>
        <w:rPr>
          <w:lang w:val="en-US"/>
        </w:rPr>
        <w:t xml:space="preserve"> </w:t>
      </w:r>
      <w:r w:rsidRPr="00F65E1C">
        <w:rPr>
          <w:lang w:val="en-US"/>
        </w:rPr>
        <w:t>of Spontaneous Tumors in Transgenic</w:t>
      </w:r>
      <w:r>
        <w:rPr>
          <w:lang w:val="en-US"/>
        </w:rPr>
        <w:t xml:space="preserve"> </w:t>
      </w:r>
      <w:r w:rsidRPr="00F65E1C">
        <w:rPr>
          <w:lang w:val="en-US"/>
        </w:rPr>
        <w:t>CByB6F1-</w:t>
      </w:r>
      <w:proofErr w:type="gramStart"/>
      <w:r w:rsidRPr="00F65E1C">
        <w:rPr>
          <w:lang w:val="en-US"/>
        </w:rPr>
        <w:t>Tg(</w:t>
      </w:r>
      <w:proofErr w:type="gramEnd"/>
      <w:r w:rsidRPr="00F65E1C">
        <w:rPr>
          <w:lang w:val="en-US"/>
        </w:rPr>
        <w:t>HRAS)2Jic (Tg.rasH2) Mice</w:t>
      </w:r>
      <w:r>
        <w:rPr>
          <w:lang w:val="en-US"/>
        </w:rPr>
        <w:t xml:space="preserve">. </w:t>
      </w:r>
      <w:r w:rsidRPr="00F65E1C">
        <w:rPr>
          <w:i/>
          <w:lang w:val="en-US"/>
        </w:rPr>
        <w:t>Int J Toxicology</w:t>
      </w:r>
      <w:r>
        <w:rPr>
          <w:lang w:val="en-US"/>
        </w:rPr>
        <w:t>. 32: 48-57 (2013).</w:t>
      </w:r>
    </w:p>
  </w:footnote>
  <w:footnote w:id="12">
    <w:p w:rsidR="00CD308A" w:rsidRPr="00A05C09" w:rsidRDefault="00CD308A">
      <w:pPr>
        <w:pStyle w:val="FootnoteText"/>
        <w:rPr>
          <w:lang w:val="en-US"/>
        </w:rPr>
      </w:pPr>
      <w:r>
        <w:rPr>
          <w:rStyle w:val="FootnoteReference"/>
        </w:rPr>
        <w:footnoteRef/>
      </w:r>
      <w:r>
        <w:t xml:space="preserve"> </w:t>
      </w:r>
      <w:r w:rsidRPr="008130C8">
        <w:rPr>
          <w:szCs w:val="19"/>
        </w:rPr>
        <w:t>Van der Spoel AC,</w:t>
      </w:r>
      <w:r>
        <w:rPr>
          <w:szCs w:val="19"/>
        </w:rPr>
        <w:t xml:space="preserve"> et al</w:t>
      </w:r>
      <w:r w:rsidRPr="008130C8">
        <w:rPr>
          <w:szCs w:val="19"/>
        </w:rPr>
        <w:t xml:space="preserve">. Reversible infertility in male mice after oral administration of alkylated imino sugars: A nonhormonal approach to male contraception. </w:t>
      </w:r>
      <w:r w:rsidRPr="0048326A">
        <w:rPr>
          <w:i/>
          <w:szCs w:val="19"/>
        </w:rPr>
        <w:t>Proc Natl Acad Sci U S A.</w:t>
      </w:r>
      <w:r w:rsidRPr="008130C8">
        <w:rPr>
          <w:szCs w:val="19"/>
        </w:rPr>
        <w:t xml:space="preserve"> </w:t>
      </w:r>
      <w:r>
        <w:rPr>
          <w:szCs w:val="19"/>
        </w:rPr>
        <w:t>99: 17173–17178 (2002).</w:t>
      </w:r>
    </w:p>
  </w:footnote>
  <w:footnote w:id="13">
    <w:p w:rsidR="00CD308A" w:rsidRPr="006D7C3C" w:rsidRDefault="00CD308A">
      <w:pPr>
        <w:pStyle w:val="FootnoteText"/>
        <w:rPr>
          <w:lang w:val="en-US"/>
        </w:rPr>
      </w:pPr>
      <w:r>
        <w:rPr>
          <w:rStyle w:val="FootnoteReference"/>
        </w:rPr>
        <w:footnoteRef/>
      </w:r>
      <w:r>
        <w:t xml:space="preserve"> Category B3: </w:t>
      </w:r>
      <w:r w:rsidRPr="006D7C3C">
        <w:t>Drugs which have been taken by only a limited number of pregnant women and women of childbearing age, without an increase in the frequency of malformation or other direct or indirect harmful effects on the human fetus having been observed. Studies in animals have shown evidence of an increased occurrence of fetal damage, the significance of which is considered uncertain in humans.</w:t>
      </w:r>
    </w:p>
  </w:footnote>
  <w:footnote w:id="14">
    <w:p w:rsidR="00CD308A" w:rsidRPr="004117E3" w:rsidRDefault="00CD308A">
      <w:pPr>
        <w:pStyle w:val="FootnoteText"/>
        <w:rPr>
          <w:lang w:val="en-US"/>
        </w:rPr>
      </w:pPr>
      <w:r>
        <w:rPr>
          <w:rStyle w:val="FootnoteReference"/>
        </w:rPr>
        <w:footnoteRef/>
      </w:r>
      <w:r>
        <w:t xml:space="preserve"> </w:t>
      </w:r>
      <w:proofErr w:type="gramStart"/>
      <w:r w:rsidRPr="003A06CF">
        <w:t>Guidance on Nonclinical Safety Studies for the Conduct of Human Clinical Trials and Marketing Authorization for Pharmaceuticals</w:t>
      </w:r>
      <w:r>
        <w:t>.</w:t>
      </w:r>
      <w:proofErr w:type="gramEnd"/>
    </w:p>
  </w:footnote>
  <w:footnote w:id="15">
    <w:p w:rsidR="00CD308A" w:rsidRPr="00A72860" w:rsidRDefault="00CD308A">
      <w:pPr>
        <w:pStyle w:val="FootnoteText"/>
        <w:rPr>
          <w:lang w:val="en-US"/>
        </w:rPr>
      </w:pPr>
      <w:r>
        <w:rPr>
          <w:rStyle w:val="FootnoteReference"/>
        </w:rPr>
        <w:footnoteRef/>
      </w:r>
      <w:r>
        <w:t xml:space="preserve"> This </w:t>
      </w:r>
      <w:r w:rsidRPr="00A72860">
        <w:t>issue was resolved by the</w:t>
      </w:r>
      <w:r>
        <w:t xml:space="preserve"> justification provided by the s</w:t>
      </w:r>
      <w:r w:rsidRPr="00A72860">
        <w:t>ponsor</w:t>
      </w:r>
      <w:r>
        <w:t>.</w:t>
      </w:r>
    </w:p>
  </w:footnote>
  <w:footnote w:id="16">
    <w:p w:rsidR="00CD308A" w:rsidRPr="009504F3" w:rsidRDefault="00CD308A">
      <w:pPr>
        <w:pStyle w:val="FootnoteText"/>
        <w:rPr>
          <w:lang w:val="en-US"/>
        </w:rPr>
      </w:pPr>
      <w:r>
        <w:rPr>
          <w:rStyle w:val="FootnoteReference"/>
        </w:rPr>
        <w:footnoteRef/>
      </w:r>
      <w:r>
        <w:t xml:space="preserve"> This </w:t>
      </w:r>
      <w:r w:rsidRPr="00A72860">
        <w:t>issue was resolved by the</w:t>
      </w:r>
      <w:r>
        <w:t xml:space="preserve"> justification provided by the s</w:t>
      </w:r>
      <w:r w:rsidRPr="00A72860">
        <w:t>ponsor</w:t>
      </w:r>
      <w:r>
        <w:t>.</w:t>
      </w:r>
    </w:p>
  </w:footnote>
  <w:footnote w:id="17">
    <w:p w:rsidR="00CD308A" w:rsidRPr="009504F3" w:rsidRDefault="00CD308A">
      <w:pPr>
        <w:pStyle w:val="FootnoteText"/>
        <w:rPr>
          <w:lang w:val="en-US"/>
        </w:rPr>
      </w:pPr>
      <w:r>
        <w:rPr>
          <w:rStyle w:val="FootnoteReference"/>
        </w:rPr>
        <w:footnoteRef/>
      </w:r>
      <w:r>
        <w:t xml:space="preserve"> This </w:t>
      </w:r>
      <w:r w:rsidRPr="00A72860">
        <w:t>issue was resolved by the</w:t>
      </w:r>
      <w:r>
        <w:t xml:space="preserve"> justification provided by the s</w:t>
      </w:r>
      <w:r w:rsidRPr="00A72860">
        <w:t>ponsor</w:t>
      </w:r>
      <w:r>
        <w:t>.</w:t>
      </w:r>
    </w:p>
  </w:footnote>
  <w:footnote w:id="18">
    <w:p w:rsidR="00CD308A" w:rsidRPr="009504F3" w:rsidRDefault="00CD308A">
      <w:pPr>
        <w:pStyle w:val="FootnoteText"/>
        <w:rPr>
          <w:lang w:val="en-US"/>
        </w:rPr>
      </w:pPr>
      <w:r>
        <w:rPr>
          <w:rStyle w:val="FootnoteReference"/>
        </w:rPr>
        <w:footnoteRef/>
      </w:r>
      <w:r>
        <w:t xml:space="preserve"> This </w:t>
      </w:r>
      <w:r w:rsidRPr="00A72860">
        <w:t>issue was resolved by the</w:t>
      </w:r>
      <w:r>
        <w:t xml:space="preserve"> justification provided by the s</w:t>
      </w:r>
      <w:r w:rsidRPr="00A72860">
        <w:t>ponsor</w:t>
      </w:r>
      <w:r>
        <w:t>.</w:t>
      </w:r>
    </w:p>
  </w:footnote>
  <w:footnote w:id="19">
    <w:p w:rsidR="00CD308A" w:rsidRDefault="00CD308A" w:rsidP="00F12492">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rsidR="00CD308A" w:rsidRDefault="00CD308A" w:rsidP="00F12492">
      <w:pPr>
        <w:pStyle w:val="FootnoteText"/>
      </w:pPr>
      <w:r w:rsidRPr="00F12492">
        <w:rPr>
          <w:i/>
        </w:rPr>
        <w:t>Routine pharmacovigilance</w:t>
      </w:r>
      <w:r>
        <w:t xml:space="preserve"> practices involve the following activities:</w:t>
      </w:r>
    </w:p>
    <w:p w:rsidR="00CD308A" w:rsidRDefault="00CD308A" w:rsidP="00F12492">
      <w:pPr>
        <w:pStyle w:val="FootnoteText"/>
        <w:ind w:left="709" w:hanging="709"/>
      </w:pPr>
      <w:r>
        <w:t>•</w:t>
      </w:r>
      <w:r>
        <w:tab/>
        <w:t>All suspected adverse reactions that are reported to the personnel of the company are collected and collated in an accessible manner;</w:t>
      </w:r>
    </w:p>
    <w:p w:rsidR="00CD308A" w:rsidRDefault="00CD308A" w:rsidP="00F12492">
      <w:pPr>
        <w:pStyle w:val="FootnoteText"/>
        <w:ind w:left="709" w:hanging="709"/>
      </w:pPr>
      <w:r>
        <w:t>•</w:t>
      </w:r>
      <w:r>
        <w:tab/>
        <w:t>Reporting to regulatory authorities;</w:t>
      </w:r>
    </w:p>
    <w:p w:rsidR="00CD308A" w:rsidRDefault="00CD308A" w:rsidP="00F12492">
      <w:pPr>
        <w:pStyle w:val="FootnoteText"/>
        <w:ind w:left="709" w:hanging="709"/>
      </w:pPr>
      <w:r>
        <w:t>•</w:t>
      </w:r>
      <w:r>
        <w:tab/>
        <w:t>Continuous monitoring of the safety profiles of approved products including signal detection and updating of labelling;</w:t>
      </w:r>
    </w:p>
    <w:p w:rsidR="00CD308A" w:rsidRDefault="00CD308A" w:rsidP="00F12492">
      <w:pPr>
        <w:pStyle w:val="FootnoteText"/>
      </w:pPr>
      <w:r>
        <w:t>•</w:t>
      </w:r>
      <w:r>
        <w:tab/>
        <w:t>Submission of PSURs;</w:t>
      </w:r>
    </w:p>
    <w:p w:rsidR="00CD308A" w:rsidRPr="00F12492" w:rsidRDefault="00CD308A" w:rsidP="00F12492">
      <w:pPr>
        <w:pStyle w:val="FootnoteText"/>
        <w:rPr>
          <w:lang w:val="en-US"/>
        </w:rPr>
      </w:pPr>
      <w:r>
        <w:t>•</w:t>
      </w:r>
      <w:r>
        <w:tab/>
        <w:t>Meeting other local regulatory agency requirements.</w:t>
      </w:r>
    </w:p>
  </w:footnote>
  <w:footnote w:id="20">
    <w:p w:rsidR="00CD308A" w:rsidRPr="009E0C19" w:rsidRDefault="00CD308A" w:rsidP="009E0C19">
      <w:pPr>
        <w:pStyle w:val="FootnoteText"/>
        <w:rPr>
          <w:lang w:val="en-US"/>
        </w:rPr>
      </w:pPr>
      <w:r>
        <w:rPr>
          <w:rStyle w:val="FootnoteReference"/>
        </w:rPr>
        <w:footnoteRef/>
      </w:r>
      <w:r>
        <w:t xml:space="preserve"> The ACM provides independent medical and scientific advice to the Minister for Health and TGA on issues relating to the safety, quality and efficacy of medicines supplied in Australia including issues relating to pre-market and post-market functions for medicines. The Committee is established under Regulation 35 of the </w:t>
      </w:r>
      <w:r w:rsidRPr="00CD53B2">
        <w:rPr>
          <w:i/>
        </w:rPr>
        <w:t>Therapeutic Goods Regulations 1990</w:t>
      </w:r>
      <w:r>
        <w:t xml:space="preserve">. Members are appointed by the Minister. The ACM was established in January 2017 replacing </w:t>
      </w:r>
      <w:r w:rsidRPr="009E0C19">
        <w:t xml:space="preserve">Advisory Committee on Prescription Medicines (ACPM) </w:t>
      </w:r>
      <w:r>
        <w:t xml:space="preserve">which </w:t>
      </w:r>
      <w:r w:rsidRPr="009E0C19">
        <w:t>was formed in 2010</w:t>
      </w:r>
      <w:r>
        <w:t>. ACM encompasses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CD308A" w:rsidRDefault="00CD308A" w:rsidP="00593AD1">
    <w:pPr>
      <w:pStyle w:val="HeaderNoLine"/>
    </w:pPr>
    <w:r>
      <w:rPr>
        <w:noProof/>
        <w:lang w:eastAsia="en-AU"/>
      </w:rPr>
      <w:drawing>
        <wp:inline distT="0" distB="0" distL="0" distR="0" wp14:anchorId="53720951" wp14:editId="58DC4D6E">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8A" w:rsidRDefault="00CD308A" w:rsidP="006E08B3">
    <w:r>
      <w:t>Therapeutic Goods Administration</w:t>
    </w:r>
  </w:p>
  <w:p w:rsidR="00CD308A" w:rsidRDefault="00CD308A"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A734097"/>
    <w:multiLevelType w:val="hybridMultilevel"/>
    <w:tmpl w:val="4456F28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BD0EB5"/>
    <w:multiLevelType w:val="hybridMultilevel"/>
    <w:tmpl w:val="AE4AF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DC96E18"/>
    <w:multiLevelType w:val="hybridMultilevel"/>
    <w:tmpl w:val="1D3AA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287872"/>
    <w:multiLevelType w:val="hybridMultilevel"/>
    <w:tmpl w:val="81A0796C"/>
    <w:lvl w:ilvl="0" w:tplc="EC36639E">
      <w:start w:val="1"/>
      <w:numFmt w:val="lowerRoman"/>
      <w:lvlText w:val="%1)"/>
      <w:lvlJc w:val="left"/>
      <w:pPr>
        <w:ind w:left="720" w:hanging="360"/>
      </w:pPr>
      <w:rPr>
        <w:rFonts w:hint="default"/>
        <w:b w:val="0"/>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1"/>
  </w:num>
  <w:num w:numId="29">
    <w:abstractNumId w:val="8"/>
  </w:num>
  <w:num w:numId="30">
    <w:abstractNumId w:val="4"/>
  </w:num>
  <w:num w:numId="31">
    <w:abstractNumId w:val="7"/>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BC"/>
    <w:rsid w:val="00002031"/>
    <w:rsid w:val="00004734"/>
    <w:rsid w:val="00006B22"/>
    <w:rsid w:val="0001276A"/>
    <w:rsid w:val="000246AE"/>
    <w:rsid w:val="00025C67"/>
    <w:rsid w:val="00044772"/>
    <w:rsid w:val="00052406"/>
    <w:rsid w:val="0005559E"/>
    <w:rsid w:val="000604D6"/>
    <w:rsid w:val="00063D35"/>
    <w:rsid w:val="000734D8"/>
    <w:rsid w:val="000764BE"/>
    <w:rsid w:val="00077775"/>
    <w:rsid w:val="0008773C"/>
    <w:rsid w:val="00090471"/>
    <w:rsid w:val="00095CCD"/>
    <w:rsid w:val="00096AA7"/>
    <w:rsid w:val="000A0935"/>
    <w:rsid w:val="000A3AED"/>
    <w:rsid w:val="000A5537"/>
    <w:rsid w:val="000B3532"/>
    <w:rsid w:val="000B3A75"/>
    <w:rsid w:val="000B5D17"/>
    <w:rsid w:val="000B6B44"/>
    <w:rsid w:val="000C00C2"/>
    <w:rsid w:val="000C0E69"/>
    <w:rsid w:val="000C2712"/>
    <w:rsid w:val="000C690F"/>
    <w:rsid w:val="000D1295"/>
    <w:rsid w:val="000D391B"/>
    <w:rsid w:val="000D3D6D"/>
    <w:rsid w:val="000D4FC7"/>
    <w:rsid w:val="000D7E02"/>
    <w:rsid w:val="000E461C"/>
    <w:rsid w:val="000E6196"/>
    <w:rsid w:val="000E7604"/>
    <w:rsid w:val="000F4869"/>
    <w:rsid w:val="000F5B42"/>
    <w:rsid w:val="000F6E6F"/>
    <w:rsid w:val="0010293F"/>
    <w:rsid w:val="0010601F"/>
    <w:rsid w:val="00107771"/>
    <w:rsid w:val="0010788A"/>
    <w:rsid w:val="00107A31"/>
    <w:rsid w:val="00110EA5"/>
    <w:rsid w:val="00112F56"/>
    <w:rsid w:val="00121ADB"/>
    <w:rsid w:val="00125318"/>
    <w:rsid w:val="001305A2"/>
    <w:rsid w:val="00133238"/>
    <w:rsid w:val="00133A1B"/>
    <w:rsid w:val="00135689"/>
    <w:rsid w:val="00135919"/>
    <w:rsid w:val="00135FCB"/>
    <w:rsid w:val="0014197B"/>
    <w:rsid w:val="001428E2"/>
    <w:rsid w:val="001447CD"/>
    <w:rsid w:val="0014503E"/>
    <w:rsid w:val="00147DB9"/>
    <w:rsid w:val="001516B1"/>
    <w:rsid w:val="00154EBB"/>
    <w:rsid w:val="00156316"/>
    <w:rsid w:val="00161181"/>
    <w:rsid w:val="001628F7"/>
    <w:rsid w:val="00162D14"/>
    <w:rsid w:val="00165389"/>
    <w:rsid w:val="0017001C"/>
    <w:rsid w:val="0017693F"/>
    <w:rsid w:val="00176E9D"/>
    <w:rsid w:val="0018110E"/>
    <w:rsid w:val="00181684"/>
    <w:rsid w:val="001843C6"/>
    <w:rsid w:val="001850E0"/>
    <w:rsid w:val="00193A35"/>
    <w:rsid w:val="001A2158"/>
    <w:rsid w:val="001A525F"/>
    <w:rsid w:val="001A6421"/>
    <w:rsid w:val="001B09F9"/>
    <w:rsid w:val="001B2F5C"/>
    <w:rsid w:val="001B5890"/>
    <w:rsid w:val="001B5C90"/>
    <w:rsid w:val="001B6448"/>
    <w:rsid w:val="001C32CD"/>
    <w:rsid w:val="001D2984"/>
    <w:rsid w:val="001D6996"/>
    <w:rsid w:val="001E07CF"/>
    <w:rsid w:val="001E523D"/>
    <w:rsid w:val="001E52F9"/>
    <w:rsid w:val="001E59F1"/>
    <w:rsid w:val="001F2CEE"/>
    <w:rsid w:val="001F49EB"/>
    <w:rsid w:val="001F6CBA"/>
    <w:rsid w:val="00201D4E"/>
    <w:rsid w:val="002076C9"/>
    <w:rsid w:val="00210058"/>
    <w:rsid w:val="00215D80"/>
    <w:rsid w:val="00220B8A"/>
    <w:rsid w:val="0022576E"/>
    <w:rsid w:val="002257F3"/>
    <w:rsid w:val="00231607"/>
    <w:rsid w:val="00232C37"/>
    <w:rsid w:val="00233456"/>
    <w:rsid w:val="002338FA"/>
    <w:rsid w:val="002339A5"/>
    <w:rsid w:val="00242B39"/>
    <w:rsid w:val="00257848"/>
    <w:rsid w:val="00263EDE"/>
    <w:rsid w:val="0027084A"/>
    <w:rsid w:val="00270EC3"/>
    <w:rsid w:val="00275324"/>
    <w:rsid w:val="00281C47"/>
    <w:rsid w:val="00286434"/>
    <w:rsid w:val="00286482"/>
    <w:rsid w:val="00286C59"/>
    <w:rsid w:val="00291290"/>
    <w:rsid w:val="00291957"/>
    <w:rsid w:val="002942D1"/>
    <w:rsid w:val="0029501A"/>
    <w:rsid w:val="002A01B7"/>
    <w:rsid w:val="002A3721"/>
    <w:rsid w:val="002B1638"/>
    <w:rsid w:val="002B3624"/>
    <w:rsid w:val="002B7082"/>
    <w:rsid w:val="002C2142"/>
    <w:rsid w:val="002D0952"/>
    <w:rsid w:val="002D6B1D"/>
    <w:rsid w:val="002E02CD"/>
    <w:rsid w:val="002E40B3"/>
    <w:rsid w:val="002E4C9A"/>
    <w:rsid w:val="002E70A2"/>
    <w:rsid w:val="002E776C"/>
    <w:rsid w:val="002E7A1C"/>
    <w:rsid w:val="002F11F8"/>
    <w:rsid w:val="002F14B5"/>
    <w:rsid w:val="002F1C2F"/>
    <w:rsid w:val="002F3F56"/>
    <w:rsid w:val="002F44B5"/>
    <w:rsid w:val="00306138"/>
    <w:rsid w:val="00311AC0"/>
    <w:rsid w:val="003176FC"/>
    <w:rsid w:val="0032583B"/>
    <w:rsid w:val="00325BE2"/>
    <w:rsid w:val="00327883"/>
    <w:rsid w:val="0032797B"/>
    <w:rsid w:val="00335504"/>
    <w:rsid w:val="00340103"/>
    <w:rsid w:val="00340C18"/>
    <w:rsid w:val="0034300D"/>
    <w:rsid w:val="00344290"/>
    <w:rsid w:val="003442FD"/>
    <w:rsid w:val="00347824"/>
    <w:rsid w:val="00350567"/>
    <w:rsid w:val="003521E8"/>
    <w:rsid w:val="00354CFA"/>
    <w:rsid w:val="0036417F"/>
    <w:rsid w:val="00370CE3"/>
    <w:rsid w:val="003728F3"/>
    <w:rsid w:val="0037496E"/>
    <w:rsid w:val="00377BD4"/>
    <w:rsid w:val="0038220F"/>
    <w:rsid w:val="00383221"/>
    <w:rsid w:val="00386150"/>
    <w:rsid w:val="003874CE"/>
    <w:rsid w:val="00390900"/>
    <w:rsid w:val="00396621"/>
    <w:rsid w:val="003A06CF"/>
    <w:rsid w:val="003A280C"/>
    <w:rsid w:val="003A7711"/>
    <w:rsid w:val="003A7F6C"/>
    <w:rsid w:val="003B4D60"/>
    <w:rsid w:val="003B7E39"/>
    <w:rsid w:val="003C2260"/>
    <w:rsid w:val="003C2F14"/>
    <w:rsid w:val="003C58DC"/>
    <w:rsid w:val="003D1E62"/>
    <w:rsid w:val="003D4711"/>
    <w:rsid w:val="003E0B99"/>
    <w:rsid w:val="003E2486"/>
    <w:rsid w:val="003E3208"/>
    <w:rsid w:val="003F0B04"/>
    <w:rsid w:val="003F18AC"/>
    <w:rsid w:val="003F487B"/>
    <w:rsid w:val="0040134E"/>
    <w:rsid w:val="00401961"/>
    <w:rsid w:val="004117E3"/>
    <w:rsid w:val="00427455"/>
    <w:rsid w:val="004311F1"/>
    <w:rsid w:val="00431620"/>
    <w:rsid w:val="004334C7"/>
    <w:rsid w:val="00440A2D"/>
    <w:rsid w:val="00440F1A"/>
    <w:rsid w:val="00441C3F"/>
    <w:rsid w:val="004504A0"/>
    <w:rsid w:val="0045249C"/>
    <w:rsid w:val="004564A7"/>
    <w:rsid w:val="004617BF"/>
    <w:rsid w:val="00463658"/>
    <w:rsid w:val="004637A0"/>
    <w:rsid w:val="00463E4E"/>
    <w:rsid w:val="004722CC"/>
    <w:rsid w:val="0047665C"/>
    <w:rsid w:val="0048326A"/>
    <w:rsid w:val="004936E4"/>
    <w:rsid w:val="00494E60"/>
    <w:rsid w:val="00497487"/>
    <w:rsid w:val="004A5C9D"/>
    <w:rsid w:val="004A6189"/>
    <w:rsid w:val="004A7390"/>
    <w:rsid w:val="004B4270"/>
    <w:rsid w:val="004B7B76"/>
    <w:rsid w:val="004C239D"/>
    <w:rsid w:val="004C2832"/>
    <w:rsid w:val="004C2DCA"/>
    <w:rsid w:val="004C4FC1"/>
    <w:rsid w:val="004C61D2"/>
    <w:rsid w:val="004D6DDB"/>
    <w:rsid w:val="004E246B"/>
    <w:rsid w:val="004E72B4"/>
    <w:rsid w:val="004F0C4A"/>
    <w:rsid w:val="004F0F38"/>
    <w:rsid w:val="004F1757"/>
    <w:rsid w:val="004F47D6"/>
    <w:rsid w:val="00501921"/>
    <w:rsid w:val="005177B7"/>
    <w:rsid w:val="00525568"/>
    <w:rsid w:val="00530354"/>
    <w:rsid w:val="0053040F"/>
    <w:rsid w:val="00534A22"/>
    <w:rsid w:val="0053625B"/>
    <w:rsid w:val="005434C6"/>
    <w:rsid w:val="00543765"/>
    <w:rsid w:val="00543B39"/>
    <w:rsid w:val="00546154"/>
    <w:rsid w:val="00550096"/>
    <w:rsid w:val="00555280"/>
    <w:rsid w:val="00555A51"/>
    <w:rsid w:val="00555F06"/>
    <w:rsid w:val="00557FF9"/>
    <w:rsid w:val="00562327"/>
    <w:rsid w:val="005711D5"/>
    <w:rsid w:val="005750A6"/>
    <w:rsid w:val="00576378"/>
    <w:rsid w:val="00577130"/>
    <w:rsid w:val="00577945"/>
    <w:rsid w:val="00577E38"/>
    <w:rsid w:val="00580188"/>
    <w:rsid w:val="00585322"/>
    <w:rsid w:val="005857C6"/>
    <w:rsid w:val="00590DCC"/>
    <w:rsid w:val="005921F1"/>
    <w:rsid w:val="00592F6E"/>
    <w:rsid w:val="00593201"/>
    <w:rsid w:val="00593AD1"/>
    <w:rsid w:val="005A68B6"/>
    <w:rsid w:val="005B17AD"/>
    <w:rsid w:val="005B1D70"/>
    <w:rsid w:val="005B1EAC"/>
    <w:rsid w:val="005B3484"/>
    <w:rsid w:val="005C3693"/>
    <w:rsid w:val="005C3AAA"/>
    <w:rsid w:val="005C5570"/>
    <w:rsid w:val="005C720D"/>
    <w:rsid w:val="005C79A4"/>
    <w:rsid w:val="005D1C3D"/>
    <w:rsid w:val="005D5442"/>
    <w:rsid w:val="00603695"/>
    <w:rsid w:val="00603F32"/>
    <w:rsid w:val="00605A0C"/>
    <w:rsid w:val="00605AD4"/>
    <w:rsid w:val="00612BB2"/>
    <w:rsid w:val="006136D7"/>
    <w:rsid w:val="00625A6E"/>
    <w:rsid w:val="006268B2"/>
    <w:rsid w:val="00632398"/>
    <w:rsid w:val="00636F47"/>
    <w:rsid w:val="00640FC3"/>
    <w:rsid w:val="00642020"/>
    <w:rsid w:val="0065337B"/>
    <w:rsid w:val="0065419D"/>
    <w:rsid w:val="0065759F"/>
    <w:rsid w:val="006604D8"/>
    <w:rsid w:val="00664A5B"/>
    <w:rsid w:val="0066735C"/>
    <w:rsid w:val="00672B27"/>
    <w:rsid w:val="006763D2"/>
    <w:rsid w:val="00680C08"/>
    <w:rsid w:val="00690304"/>
    <w:rsid w:val="006916A0"/>
    <w:rsid w:val="006931B1"/>
    <w:rsid w:val="006A0F1B"/>
    <w:rsid w:val="006A15C0"/>
    <w:rsid w:val="006A1F4A"/>
    <w:rsid w:val="006A6B32"/>
    <w:rsid w:val="006B1A5A"/>
    <w:rsid w:val="006C002C"/>
    <w:rsid w:val="006C3E2A"/>
    <w:rsid w:val="006C642F"/>
    <w:rsid w:val="006D03E5"/>
    <w:rsid w:val="006D5D3E"/>
    <w:rsid w:val="006D7C3C"/>
    <w:rsid w:val="006E0498"/>
    <w:rsid w:val="006E08B3"/>
    <w:rsid w:val="006E692C"/>
    <w:rsid w:val="006E782B"/>
    <w:rsid w:val="006E7E20"/>
    <w:rsid w:val="006F17AC"/>
    <w:rsid w:val="006F25B8"/>
    <w:rsid w:val="006F572E"/>
    <w:rsid w:val="007046D6"/>
    <w:rsid w:val="00704F81"/>
    <w:rsid w:val="00705DB0"/>
    <w:rsid w:val="00706C4C"/>
    <w:rsid w:val="007171F0"/>
    <w:rsid w:val="00722B57"/>
    <w:rsid w:val="00730F8A"/>
    <w:rsid w:val="00735A8C"/>
    <w:rsid w:val="007406B0"/>
    <w:rsid w:val="0074253D"/>
    <w:rsid w:val="0074429B"/>
    <w:rsid w:val="007615BC"/>
    <w:rsid w:val="00762F05"/>
    <w:rsid w:val="007652FF"/>
    <w:rsid w:val="00770CAC"/>
    <w:rsid w:val="00770EF1"/>
    <w:rsid w:val="00772618"/>
    <w:rsid w:val="00773EF7"/>
    <w:rsid w:val="00774E1D"/>
    <w:rsid w:val="007756A0"/>
    <w:rsid w:val="007765D8"/>
    <w:rsid w:val="0077675A"/>
    <w:rsid w:val="0078029E"/>
    <w:rsid w:val="00780355"/>
    <w:rsid w:val="007819FD"/>
    <w:rsid w:val="00784F60"/>
    <w:rsid w:val="00785717"/>
    <w:rsid w:val="00785721"/>
    <w:rsid w:val="00793A59"/>
    <w:rsid w:val="00794C1F"/>
    <w:rsid w:val="007952D5"/>
    <w:rsid w:val="0079649B"/>
    <w:rsid w:val="007A1CCB"/>
    <w:rsid w:val="007A4503"/>
    <w:rsid w:val="007B326B"/>
    <w:rsid w:val="007B57C1"/>
    <w:rsid w:val="007B6132"/>
    <w:rsid w:val="007B6E9F"/>
    <w:rsid w:val="007C1216"/>
    <w:rsid w:val="007C1278"/>
    <w:rsid w:val="007C1AF7"/>
    <w:rsid w:val="007C6B9B"/>
    <w:rsid w:val="007F2E7D"/>
    <w:rsid w:val="00805D27"/>
    <w:rsid w:val="00806DCB"/>
    <w:rsid w:val="0081233A"/>
    <w:rsid w:val="00813E14"/>
    <w:rsid w:val="0082097D"/>
    <w:rsid w:val="00821055"/>
    <w:rsid w:val="00821776"/>
    <w:rsid w:val="008321F5"/>
    <w:rsid w:val="00832369"/>
    <w:rsid w:val="00834660"/>
    <w:rsid w:val="0083587B"/>
    <w:rsid w:val="00836BC2"/>
    <w:rsid w:val="00846BAF"/>
    <w:rsid w:val="0085156D"/>
    <w:rsid w:val="0085641B"/>
    <w:rsid w:val="00857136"/>
    <w:rsid w:val="00870B34"/>
    <w:rsid w:val="00875A6B"/>
    <w:rsid w:val="00885B11"/>
    <w:rsid w:val="00886D15"/>
    <w:rsid w:val="00887DD8"/>
    <w:rsid w:val="00891BA9"/>
    <w:rsid w:val="0089473E"/>
    <w:rsid w:val="00896018"/>
    <w:rsid w:val="008960DD"/>
    <w:rsid w:val="0089635C"/>
    <w:rsid w:val="008A014E"/>
    <w:rsid w:val="008A2B12"/>
    <w:rsid w:val="008A2B9D"/>
    <w:rsid w:val="008A3D9F"/>
    <w:rsid w:val="008A5E0B"/>
    <w:rsid w:val="008A6D59"/>
    <w:rsid w:val="008B05D5"/>
    <w:rsid w:val="008B10F2"/>
    <w:rsid w:val="008B4B03"/>
    <w:rsid w:val="008B596F"/>
    <w:rsid w:val="008C12CC"/>
    <w:rsid w:val="008C159F"/>
    <w:rsid w:val="008C1623"/>
    <w:rsid w:val="008C1850"/>
    <w:rsid w:val="008C51A9"/>
    <w:rsid w:val="008C5B00"/>
    <w:rsid w:val="008D75C0"/>
    <w:rsid w:val="008E2AAB"/>
    <w:rsid w:val="008E4AAD"/>
    <w:rsid w:val="008E7846"/>
    <w:rsid w:val="008F02E5"/>
    <w:rsid w:val="008F1CCC"/>
    <w:rsid w:val="008F22BD"/>
    <w:rsid w:val="008F2967"/>
    <w:rsid w:val="008F5E99"/>
    <w:rsid w:val="008F6943"/>
    <w:rsid w:val="00900132"/>
    <w:rsid w:val="00902A21"/>
    <w:rsid w:val="00920330"/>
    <w:rsid w:val="009219D7"/>
    <w:rsid w:val="00922D53"/>
    <w:rsid w:val="00923B70"/>
    <w:rsid w:val="00924482"/>
    <w:rsid w:val="00930237"/>
    <w:rsid w:val="00937C17"/>
    <w:rsid w:val="00940409"/>
    <w:rsid w:val="00940940"/>
    <w:rsid w:val="00940A89"/>
    <w:rsid w:val="00944290"/>
    <w:rsid w:val="00946EA5"/>
    <w:rsid w:val="009504F3"/>
    <w:rsid w:val="00950543"/>
    <w:rsid w:val="00963C08"/>
    <w:rsid w:val="0097152E"/>
    <w:rsid w:val="009752A5"/>
    <w:rsid w:val="00977C39"/>
    <w:rsid w:val="009832C7"/>
    <w:rsid w:val="009833BA"/>
    <w:rsid w:val="00983D56"/>
    <w:rsid w:val="0098585A"/>
    <w:rsid w:val="009A0CDF"/>
    <w:rsid w:val="009A17C5"/>
    <w:rsid w:val="009A4CED"/>
    <w:rsid w:val="009A690D"/>
    <w:rsid w:val="009B1D12"/>
    <w:rsid w:val="009B3F83"/>
    <w:rsid w:val="009B416B"/>
    <w:rsid w:val="009C176B"/>
    <w:rsid w:val="009C4BD5"/>
    <w:rsid w:val="009D5EF8"/>
    <w:rsid w:val="009D7B77"/>
    <w:rsid w:val="009E0BB0"/>
    <w:rsid w:val="009E0C19"/>
    <w:rsid w:val="009E3FBB"/>
    <w:rsid w:val="009F7353"/>
    <w:rsid w:val="009F78B3"/>
    <w:rsid w:val="00A04F85"/>
    <w:rsid w:val="00A05C09"/>
    <w:rsid w:val="00A05FA4"/>
    <w:rsid w:val="00A102E4"/>
    <w:rsid w:val="00A11A53"/>
    <w:rsid w:val="00A12C42"/>
    <w:rsid w:val="00A14DF7"/>
    <w:rsid w:val="00A16972"/>
    <w:rsid w:val="00A20526"/>
    <w:rsid w:val="00A231AA"/>
    <w:rsid w:val="00A270B7"/>
    <w:rsid w:val="00A3246D"/>
    <w:rsid w:val="00A3645D"/>
    <w:rsid w:val="00A36FA7"/>
    <w:rsid w:val="00A44DDB"/>
    <w:rsid w:val="00A459BB"/>
    <w:rsid w:val="00A475B7"/>
    <w:rsid w:val="00A47AF7"/>
    <w:rsid w:val="00A47C3E"/>
    <w:rsid w:val="00A50226"/>
    <w:rsid w:val="00A5282E"/>
    <w:rsid w:val="00A54993"/>
    <w:rsid w:val="00A549A1"/>
    <w:rsid w:val="00A56578"/>
    <w:rsid w:val="00A56A2A"/>
    <w:rsid w:val="00A56B24"/>
    <w:rsid w:val="00A6032A"/>
    <w:rsid w:val="00A60BAD"/>
    <w:rsid w:val="00A72860"/>
    <w:rsid w:val="00A75C83"/>
    <w:rsid w:val="00A80B5B"/>
    <w:rsid w:val="00A81D75"/>
    <w:rsid w:val="00A84E36"/>
    <w:rsid w:val="00A964D1"/>
    <w:rsid w:val="00AA0ED0"/>
    <w:rsid w:val="00AC2B40"/>
    <w:rsid w:val="00AC2BB2"/>
    <w:rsid w:val="00AC2C3C"/>
    <w:rsid w:val="00AC45A0"/>
    <w:rsid w:val="00AC512D"/>
    <w:rsid w:val="00AD0083"/>
    <w:rsid w:val="00AD23A7"/>
    <w:rsid w:val="00AD3935"/>
    <w:rsid w:val="00AE2A53"/>
    <w:rsid w:val="00AE5C28"/>
    <w:rsid w:val="00AE65EB"/>
    <w:rsid w:val="00AE67A7"/>
    <w:rsid w:val="00AF1D94"/>
    <w:rsid w:val="00AF5B13"/>
    <w:rsid w:val="00AF60C5"/>
    <w:rsid w:val="00B009C6"/>
    <w:rsid w:val="00B01548"/>
    <w:rsid w:val="00B13EBD"/>
    <w:rsid w:val="00B21D29"/>
    <w:rsid w:val="00B226CC"/>
    <w:rsid w:val="00B24AA9"/>
    <w:rsid w:val="00B25034"/>
    <w:rsid w:val="00B2534E"/>
    <w:rsid w:val="00B33588"/>
    <w:rsid w:val="00B33863"/>
    <w:rsid w:val="00B37D17"/>
    <w:rsid w:val="00B4175E"/>
    <w:rsid w:val="00B452CE"/>
    <w:rsid w:val="00B4744F"/>
    <w:rsid w:val="00B54C25"/>
    <w:rsid w:val="00B5501B"/>
    <w:rsid w:val="00B57F16"/>
    <w:rsid w:val="00B67566"/>
    <w:rsid w:val="00B74841"/>
    <w:rsid w:val="00B76B91"/>
    <w:rsid w:val="00B77EB1"/>
    <w:rsid w:val="00B811C6"/>
    <w:rsid w:val="00B855B0"/>
    <w:rsid w:val="00B87AFE"/>
    <w:rsid w:val="00B91CB7"/>
    <w:rsid w:val="00B92E08"/>
    <w:rsid w:val="00B9675F"/>
    <w:rsid w:val="00B977CA"/>
    <w:rsid w:val="00BA43BF"/>
    <w:rsid w:val="00BA77EE"/>
    <w:rsid w:val="00BC622A"/>
    <w:rsid w:val="00BE0A78"/>
    <w:rsid w:val="00BE1689"/>
    <w:rsid w:val="00BE253F"/>
    <w:rsid w:val="00BE37B6"/>
    <w:rsid w:val="00BE67CC"/>
    <w:rsid w:val="00BE79F0"/>
    <w:rsid w:val="00BF046D"/>
    <w:rsid w:val="00BF1190"/>
    <w:rsid w:val="00BF5D04"/>
    <w:rsid w:val="00C009AA"/>
    <w:rsid w:val="00C1164D"/>
    <w:rsid w:val="00C12774"/>
    <w:rsid w:val="00C16861"/>
    <w:rsid w:val="00C238D9"/>
    <w:rsid w:val="00C346AB"/>
    <w:rsid w:val="00C404A6"/>
    <w:rsid w:val="00C40A36"/>
    <w:rsid w:val="00C44419"/>
    <w:rsid w:val="00C45E7B"/>
    <w:rsid w:val="00C471B1"/>
    <w:rsid w:val="00C6316B"/>
    <w:rsid w:val="00C634A9"/>
    <w:rsid w:val="00C64586"/>
    <w:rsid w:val="00C70D53"/>
    <w:rsid w:val="00C7199F"/>
    <w:rsid w:val="00C73D0B"/>
    <w:rsid w:val="00C772FF"/>
    <w:rsid w:val="00C80137"/>
    <w:rsid w:val="00C801AF"/>
    <w:rsid w:val="00C80256"/>
    <w:rsid w:val="00C93AFD"/>
    <w:rsid w:val="00C94968"/>
    <w:rsid w:val="00C94CD4"/>
    <w:rsid w:val="00C9747E"/>
    <w:rsid w:val="00CA5C0D"/>
    <w:rsid w:val="00CB6BC0"/>
    <w:rsid w:val="00CC0AE6"/>
    <w:rsid w:val="00CC1B7C"/>
    <w:rsid w:val="00CC67CF"/>
    <w:rsid w:val="00CC727F"/>
    <w:rsid w:val="00CD308A"/>
    <w:rsid w:val="00CD53B2"/>
    <w:rsid w:val="00CE4671"/>
    <w:rsid w:val="00CE56A1"/>
    <w:rsid w:val="00CE5DA1"/>
    <w:rsid w:val="00CE61D6"/>
    <w:rsid w:val="00CF15C3"/>
    <w:rsid w:val="00CF19C7"/>
    <w:rsid w:val="00CF2B6F"/>
    <w:rsid w:val="00CF2F3E"/>
    <w:rsid w:val="00CF5087"/>
    <w:rsid w:val="00CF58B6"/>
    <w:rsid w:val="00D0062D"/>
    <w:rsid w:val="00D017ED"/>
    <w:rsid w:val="00D01F30"/>
    <w:rsid w:val="00D040D3"/>
    <w:rsid w:val="00D04A41"/>
    <w:rsid w:val="00D04C65"/>
    <w:rsid w:val="00D05669"/>
    <w:rsid w:val="00D201D2"/>
    <w:rsid w:val="00D224FE"/>
    <w:rsid w:val="00D23139"/>
    <w:rsid w:val="00D2766C"/>
    <w:rsid w:val="00D31393"/>
    <w:rsid w:val="00D40D0E"/>
    <w:rsid w:val="00D425BB"/>
    <w:rsid w:val="00D55AAE"/>
    <w:rsid w:val="00D62040"/>
    <w:rsid w:val="00D6493E"/>
    <w:rsid w:val="00D7195D"/>
    <w:rsid w:val="00D7301E"/>
    <w:rsid w:val="00D83AE1"/>
    <w:rsid w:val="00D855D4"/>
    <w:rsid w:val="00D87C4B"/>
    <w:rsid w:val="00D902C9"/>
    <w:rsid w:val="00D93466"/>
    <w:rsid w:val="00D94D3A"/>
    <w:rsid w:val="00D95F99"/>
    <w:rsid w:val="00D97818"/>
    <w:rsid w:val="00DA0430"/>
    <w:rsid w:val="00DA1124"/>
    <w:rsid w:val="00DB225B"/>
    <w:rsid w:val="00DB6124"/>
    <w:rsid w:val="00DB750B"/>
    <w:rsid w:val="00DB75B7"/>
    <w:rsid w:val="00DC6E02"/>
    <w:rsid w:val="00DD28CD"/>
    <w:rsid w:val="00DE02AE"/>
    <w:rsid w:val="00DE1F01"/>
    <w:rsid w:val="00DE3A51"/>
    <w:rsid w:val="00DE46F9"/>
    <w:rsid w:val="00DF1D7F"/>
    <w:rsid w:val="00DF45FF"/>
    <w:rsid w:val="00DF4BE4"/>
    <w:rsid w:val="00DF540A"/>
    <w:rsid w:val="00DF6945"/>
    <w:rsid w:val="00E02FB4"/>
    <w:rsid w:val="00E061EE"/>
    <w:rsid w:val="00E10D59"/>
    <w:rsid w:val="00E13FC7"/>
    <w:rsid w:val="00E146E3"/>
    <w:rsid w:val="00E15204"/>
    <w:rsid w:val="00E20571"/>
    <w:rsid w:val="00E22301"/>
    <w:rsid w:val="00E235F7"/>
    <w:rsid w:val="00E23659"/>
    <w:rsid w:val="00E239D4"/>
    <w:rsid w:val="00E24CD8"/>
    <w:rsid w:val="00E25455"/>
    <w:rsid w:val="00E26130"/>
    <w:rsid w:val="00E321D8"/>
    <w:rsid w:val="00E3244B"/>
    <w:rsid w:val="00E34871"/>
    <w:rsid w:val="00E40B22"/>
    <w:rsid w:val="00E43927"/>
    <w:rsid w:val="00E44ED1"/>
    <w:rsid w:val="00E45619"/>
    <w:rsid w:val="00E4588F"/>
    <w:rsid w:val="00E46DA3"/>
    <w:rsid w:val="00E51BB1"/>
    <w:rsid w:val="00E624A5"/>
    <w:rsid w:val="00E64BA4"/>
    <w:rsid w:val="00E6605D"/>
    <w:rsid w:val="00E7344E"/>
    <w:rsid w:val="00E82665"/>
    <w:rsid w:val="00EA5A0C"/>
    <w:rsid w:val="00EB0798"/>
    <w:rsid w:val="00EB40AD"/>
    <w:rsid w:val="00EB586E"/>
    <w:rsid w:val="00EB5FC8"/>
    <w:rsid w:val="00EC16A0"/>
    <w:rsid w:val="00EC463D"/>
    <w:rsid w:val="00EC6387"/>
    <w:rsid w:val="00EC7A85"/>
    <w:rsid w:val="00ED2922"/>
    <w:rsid w:val="00ED3CAD"/>
    <w:rsid w:val="00ED4723"/>
    <w:rsid w:val="00ED5A41"/>
    <w:rsid w:val="00EE1DE8"/>
    <w:rsid w:val="00EE27C2"/>
    <w:rsid w:val="00EF4BAD"/>
    <w:rsid w:val="00EF4BBC"/>
    <w:rsid w:val="00EF59DC"/>
    <w:rsid w:val="00F033EC"/>
    <w:rsid w:val="00F04F68"/>
    <w:rsid w:val="00F10CBD"/>
    <w:rsid w:val="00F12492"/>
    <w:rsid w:val="00F12670"/>
    <w:rsid w:val="00F1312D"/>
    <w:rsid w:val="00F14B27"/>
    <w:rsid w:val="00F2244C"/>
    <w:rsid w:val="00F30BE5"/>
    <w:rsid w:val="00F3148D"/>
    <w:rsid w:val="00F325C5"/>
    <w:rsid w:val="00F32FE0"/>
    <w:rsid w:val="00F35298"/>
    <w:rsid w:val="00F452CB"/>
    <w:rsid w:val="00F47333"/>
    <w:rsid w:val="00F47E37"/>
    <w:rsid w:val="00F5175D"/>
    <w:rsid w:val="00F53C07"/>
    <w:rsid w:val="00F54B65"/>
    <w:rsid w:val="00F570D6"/>
    <w:rsid w:val="00F605FF"/>
    <w:rsid w:val="00F640B6"/>
    <w:rsid w:val="00F66B30"/>
    <w:rsid w:val="00F66DF2"/>
    <w:rsid w:val="00F7081F"/>
    <w:rsid w:val="00F7334D"/>
    <w:rsid w:val="00F73CDE"/>
    <w:rsid w:val="00F7490D"/>
    <w:rsid w:val="00F76012"/>
    <w:rsid w:val="00F80E40"/>
    <w:rsid w:val="00F848D9"/>
    <w:rsid w:val="00FA0062"/>
    <w:rsid w:val="00FA2CB9"/>
    <w:rsid w:val="00FA3166"/>
    <w:rsid w:val="00FA32B1"/>
    <w:rsid w:val="00FA5B82"/>
    <w:rsid w:val="00FA639E"/>
    <w:rsid w:val="00FC1FCA"/>
    <w:rsid w:val="00FC25E4"/>
    <w:rsid w:val="00FC4EF7"/>
    <w:rsid w:val="00FD0824"/>
    <w:rsid w:val="00FD119B"/>
    <w:rsid w:val="00FD1EDC"/>
    <w:rsid w:val="00FD5749"/>
    <w:rsid w:val="00FE1DEE"/>
    <w:rsid w:val="00FF196A"/>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D308A"/>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593201"/>
    <w:pPr>
      <w:adjustRightInd w:val="0"/>
      <w:snapToGrid w:val="0"/>
      <w:spacing w:before="180" w:after="180"/>
      <w:ind w:left="720"/>
      <w:contextualSpacing/>
    </w:pPr>
    <w:rPr>
      <w:rFonts w:eastAsia="MS Mincho"/>
      <w:szCs w:val="20"/>
      <w:lang w:eastAsia="ja-JP"/>
    </w:rPr>
  </w:style>
  <w:style w:type="paragraph" w:customStyle="1" w:styleId="A-Head6">
    <w:name w:val="A-Head 6"/>
    <w:basedOn w:val="Normal"/>
    <w:rsid w:val="00401961"/>
    <w:pPr>
      <w:spacing w:before="60" w:after="0" w:line="240" w:lineRule="auto"/>
    </w:pPr>
    <w:rPr>
      <w:rFonts w:ascii="Arial" w:eastAsia="Times New Roman" w:hAnsi="Arial"/>
      <w:b/>
      <w:szCs w:val="20"/>
      <w:lang w:eastAsia="en-AU"/>
    </w:rPr>
  </w:style>
  <w:style w:type="paragraph" w:customStyle="1" w:styleId="Bulletpoint">
    <w:name w:val="Bullet point"/>
    <w:basedOn w:val="Normal"/>
    <w:rsid w:val="00401961"/>
    <w:pPr>
      <w:numPr>
        <w:numId w:val="29"/>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CC67CF"/>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C67CF"/>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CC67CF"/>
    <w:pPr>
      <w:spacing w:after="0"/>
    </w:pPr>
    <w:rPr>
      <w:sz w:val="16"/>
      <w:szCs w:val="16"/>
    </w:rPr>
  </w:style>
  <w:style w:type="paragraph" w:customStyle="1" w:styleId="AssessmentSubsection">
    <w:name w:val="Assessment Subsection"/>
    <w:basedOn w:val="Standard"/>
    <w:next w:val="Standard"/>
    <w:rsid w:val="00CC67CF"/>
    <w:pPr>
      <w:keepNext/>
      <w:spacing w:after="110"/>
      <w:outlineLvl w:val="2"/>
    </w:pPr>
    <w:rPr>
      <w:b/>
      <w:i/>
    </w:rPr>
  </w:style>
  <w:style w:type="character" w:customStyle="1" w:styleId="WhiteSpaceChar">
    <w:name w:val="White Space Char"/>
    <w:basedOn w:val="DefaultParagraphFont"/>
    <w:link w:val="WhiteSpace"/>
    <w:rsid w:val="00CC67CF"/>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CC0AE6"/>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CC0AE6"/>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CC0AE6"/>
    <w:rPr>
      <w:rFonts w:ascii="Cambria" w:eastAsia="Cambria" w:hAnsi="Cambria" w:cs="Times New Roman"/>
      <w:sz w:val="19"/>
    </w:rPr>
  </w:style>
  <w:style w:type="character" w:customStyle="1" w:styleId="TableCaptionChar">
    <w:name w:val="Table Caption Char"/>
    <w:basedOn w:val="TabletextChar"/>
    <w:link w:val="TableCaption"/>
    <w:rsid w:val="00CC0AE6"/>
    <w:rPr>
      <w:rFonts w:ascii="Cambria" w:eastAsia="Cambria" w:hAnsi="Cambria" w:cs="Times New Roman"/>
      <w:sz w:val="19"/>
    </w:rPr>
  </w:style>
  <w:style w:type="paragraph" w:customStyle="1" w:styleId="AssessmentSubsection2">
    <w:name w:val="Assessment Subsection 2"/>
    <w:basedOn w:val="AssessmentSubsection"/>
    <w:next w:val="Standard"/>
    <w:rsid w:val="00CC0AE6"/>
    <w:pPr>
      <w:outlineLvl w:val="3"/>
    </w:pPr>
    <w:rPr>
      <w:b w:val="0"/>
    </w:rPr>
  </w:style>
  <w:style w:type="paragraph" w:customStyle="1" w:styleId="TableHeader">
    <w:name w:val="Table Header"/>
    <w:basedOn w:val="Normal"/>
    <w:rsid w:val="00CC0AE6"/>
    <w:pPr>
      <w:keepNext/>
      <w:keepLines/>
      <w:widowControl w:val="0"/>
      <w:spacing w:before="60" w:after="60" w:line="200" w:lineRule="exact"/>
      <w:jc w:val="center"/>
    </w:pPr>
    <w:rPr>
      <w:rFonts w:eastAsia="MS Mincho" w:cstheme="minorBidi"/>
      <w:b/>
      <w:kern w:val="2"/>
      <w:sz w:val="19"/>
      <w:szCs w:val="19"/>
    </w:rPr>
  </w:style>
  <w:style w:type="paragraph" w:customStyle="1" w:styleId="TabletextPKvalues">
    <w:name w:val="Table text (PK values)"/>
    <w:basedOn w:val="Tabletext"/>
    <w:rsid w:val="00CC0AE6"/>
    <w:pPr>
      <w:spacing w:before="0" w:after="0" w:line="200" w:lineRule="atLeast"/>
      <w:jc w:val="center"/>
    </w:pPr>
    <w:rPr>
      <w:rFonts w:eastAsia="Times New Roman"/>
      <w:snapToGrid w:val="0"/>
      <w:kern w:val="16"/>
      <w:sz w:val="18"/>
      <w:szCs w:val="19"/>
    </w:rPr>
  </w:style>
  <w:style w:type="paragraph" w:customStyle="1" w:styleId="Bulletlist">
    <w:name w:val="Bullet list"/>
    <w:basedOn w:val="Standard"/>
    <w:link w:val="BulletlistChar"/>
    <w:qFormat/>
    <w:rsid w:val="00F7081F"/>
    <w:pPr>
      <w:numPr>
        <w:numId w:val="30"/>
      </w:numPr>
      <w:spacing w:after="180"/>
      <w:ind w:left="426" w:hanging="284"/>
    </w:pPr>
    <w:rPr>
      <w:kern w:val="2"/>
      <w:sz w:val="23"/>
    </w:rPr>
  </w:style>
  <w:style w:type="character" w:customStyle="1" w:styleId="BulletlistChar">
    <w:name w:val="Bullet list Char"/>
    <w:basedOn w:val="StandardChar"/>
    <w:link w:val="Bulletlist"/>
    <w:rsid w:val="00F7081F"/>
    <w:rPr>
      <w:rFonts w:ascii="Cambria" w:eastAsia="Times New Roman" w:hAnsi="Cambria" w:cs="Times New Roman"/>
      <w:snapToGrid w:val="0"/>
      <w:kern w:val="2"/>
      <w:sz w:val="23"/>
      <w:szCs w:val="24"/>
    </w:rPr>
  </w:style>
  <w:style w:type="paragraph" w:customStyle="1" w:styleId="Summaryofsafetyconcerns">
    <w:name w:val="Summary of safety concerns"/>
    <w:basedOn w:val="Tabletext"/>
    <w:link w:val="SummaryofsafetyconcernsChar"/>
    <w:qFormat/>
    <w:rsid w:val="00F7081F"/>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F7081F"/>
    <w:rPr>
      <w:rFonts w:ascii="Cambria" w:eastAsia="Times New Roman" w:hAnsi="Cambria" w:cs="Times New Roman"/>
      <w:b/>
      <w:snapToGrid w:val="0"/>
      <w:kern w:val="16"/>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D308A"/>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593201"/>
    <w:pPr>
      <w:adjustRightInd w:val="0"/>
      <w:snapToGrid w:val="0"/>
      <w:spacing w:before="180" w:after="180"/>
      <w:ind w:left="720"/>
      <w:contextualSpacing/>
    </w:pPr>
    <w:rPr>
      <w:rFonts w:eastAsia="MS Mincho"/>
      <w:szCs w:val="20"/>
      <w:lang w:eastAsia="ja-JP"/>
    </w:rPr>
  </w:style>
  <w:style w:type="paragraph" w:customStyle="1" w:styleId="A-Head6">
    <w:name w:val="A-Head 6"/>
    <w:basedOn w:val="Normal"/>
    <w:rsid w:val="00401961"/>
    <w:pPr>
      <w:spacing w:before="60" w:after="0" w:line="240" w:lineRule="auto"/>
    </w:pPr>
    <w:rPr>
      <w:rFonts w:ascii="Arial" w:eastAsia="Times New Roman" w:hAnsi="Arial"/>
      <w:b/>
      <w:szCs w:val="20"/>
      <w:lang w:eastAsia="en-AU"/>
    </w:rPr>
  </w:style>
  <w:style w:type="paragraph" w:customStyle="1" w:styleId="Bulletpoint">
    <w:name w:val="Bullet point"/>
    <w:basedOn w:val="Normal"/>
    <w:rsid w:val="00401961"/>
    <w:pPr>
      <w:numPr>
        <w:numId w:val="29"/>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qFormat/>
    <w:rsid w:val="00CC67CF"/>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C67CF"/>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CC67CF"/>
    <w:pPr>
      <w:spacing w:after="0"/>
    </w:pPr>
    <w:rPr>
      <w:sz w:val="16"/>
      <w:szCs w:val="16"/>
    </w:rPr>
  </w:style>
  <w:style w:type="paragraph" w:customStyle="1" w:styleId="AssessmentSubsection">
    <w:name w:val="Assessment Subsection"/>
    <w:basedOn w:val="Standard"/>
    <w:next w:val="Standard"/>
    <w:rsid w:val="00CC67CF"/>
    <w:pPr>
      <w:keepNext/>
      <w:spacing w:after="110"/>
      <w:outlineLvl w:val="2"/>
    </w:pPr>
    <w:rPr>
      <w:b/>
      <w:i/>
    </w:rPr>
  </w:style>
  <w:style w:type="character" w:customStyle="1" w:styleId="WhiteSpaceChar">
    <w:name w:val="White Space Char"/>
    <w:basedOn w:val="DefaultParagraphFont"/>
    <w:link w:val="WhiteSpace"/>
    <w:rsid w:val="00CC67CF"/>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CC0AE6"/>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CC0AE6"/>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CC0AE6"/>
    <w:rPr>
      <w:rFonts w:ascii="Cambria" w:eastAsia="Cambria" w:hAnsi="Cambria" w:cs="Times New Roman"/>
      <w:sz w:val="19"/>
    </w:rPr>
  </w:style>
  <w:style w:type="character" w:customStyle="1" w:styleId="TableCaptionChar">
    <w:name w:val="Table Caption Char"/>
    <w:basedOn w:val="TabletextChar"/>
    <w:link w:val="TableCaption"/>
    <w:rsid w:val="00CC0AE6"/>
    <w:rPr>
      <w:rFonts w:ascii="Cambria" w:eastAsia="Cambria" w:hAnsi="Cambria" w:cs="Times New Roman"/>
      <w:sz w:val="19"/>
    </w:rPr>
  </w:style>
  <w:style w:type="paragraph" w:customStyle="1" w:styleId="AssessmentSubsection2">
    <w:name w:val="Assessment Subsection 2"/>
    <w:basedOn w:val="AssessmentSubsection"/>
    <w:next w:val="Standard"/>
    <w:rsid w:val="00CC0AE6"/>
    <w:pPr>
      <w:outlineLvl w:val="3"/>
    </w:pPr>
    <w:rPr>
      <w:b w:val="0"/>
    </w:rPr>
  </w:style>
  <w:style w:type="paragraph" w:customStyle="1" w:styleId="TableHeader">
    <w:name w:val="Table Header"/>
    <w:basedOn w:val="Normal"/>
    <w:rsid w:val="00CC0AE6"/>
    <w:pPr>
      <w:keepNext/>
      <w:keepLines/>
      <w:widowControl w:val="0"/>
      <w:spacing w:before="60" w:after="60" w:line="200" w:lineRule="exact"/>
      <w:jc w:val="center"/>
    </w:pPr>
    <w:rPr>
      <w:rFonts w:eastAsia="MS Mincho" w:cstheme="minorBidi"/>
      <w:b/>
      <w:kern w:val="2"/>
      <w:sz w:val="19"/>
      <w:szCs w:val="19"/>
    </w:rPr>
  </w:style>
  <w:style w:type="paragraph" w:customStyle="1" w:styleId="TabletextPKvalues">
    <w:name w:val="Table text (PK values)"/>
    <w:basedOn w:val="Tabletext"/>
    <w:rsid w:val="00CC0AE6"/>
    <w:pPr>
      <w:spacing w:before="0" w:after="0" w:line="200" w:lineRule="atLeast"/>
      <w:jc w:val="center"/>
    </w:pPr>
    <w:rPr>
      <w:rFonts w:eastAsia="Times New Roman"/>
      <w:snapToGrid w:val="0"/>
      <w:kern w:val="16"/>
      <w:sz w:val="18"/>
      <w:szCs w:val="19"/>
    </w:rPr>
  </w:style>
  <w:style w:type="paragraph" w:customStyle="1" w:styleId="Bulletlist">
    <w:name w:val="Bullet list"/>
    <w:basedOn w:val="Standard"/>
    <w:link w:val="BulletlistChar"/>
    <w:qFormat/>
    <w:rsid w:val="00F7081F"/>
    <w:pPr>
      <w:numPr>
        <w:numId w:val="30"/>
      </w:numPr>
      <w:spacing w:after="180"/>
      <w:ind w:left="426" w:hanging="284"/>
    </w:pPr>
    <w:rPr>
      <w:kern w:val="2"/>
      <w:sz w:val="23"/>
    </w:rPr>
  </w:style>
  <w:style w:type="character" w:customStyle="1" w:styleId="BulletlistChar">
    <w:name w:val="Bullet list Char"/>
    <w:basedOn w:val="StandardChar"/>
    <w:link w:val="Bulletlist"/>
    <w:rsid w:val="00F7081F"/>
    <w:rPr>
      <w:rFonts w:ascii="Cambria" w:eastAsia="Times New Roman" w:hAnsi="Cambria" w:cs="Times New Roman"/>
      <w:snapToGrid w:val="0"/>
      <w:kern w:val="2"/>
      <w:sz w:val="23"/>
      <w:szCs w:val="24"/>
    </w:rPr>
  </w:style>
  <w:style w:type="paragraph" w:customStyle="1" w:styleId="Summaryofsafetyconcerns">
    <w:name w:val="Summary of safety concerns"/>
    <w:basedOn w:val="Tabletext"/>
    <w:link w:val="SummaryofsafetyconcernsChar"/>
    <w:qFormat/>
    <w:rsid w:val="00F7081F"/>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F7081F"/>
    <w:rPr>
      <w:rFonts w:ascii="Cambria" w:eastAsia="Times New Roman" w:hAnsi="Cambria" w:cs="Times New Roman"/>
      <w:b/>
      <w:snapToGrid w:val="0"/>
      <w:kern w:val="1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1801">
      <w:bodyDiv w:val="1"/>
      <w:marLeft w:val="0"/>
      <w:marRight w:val="0"/>
      <w:marTop w:val="0"/>
      <w:marBottom w:val="0"/>
      <w:divBdr>
        <w:top w:val="none" w:sz="0" w:space="0" w:color="auto"/>
        <w:left w:val="none" w:sz="0" w:space="0" w:color="auto"/>
        <w:bottom w:val="none" w:sz="0" w:space="0" w:color="auto"/>
        <w:right w:val="none" w:sz="0" w:space="0" w:color="auto"/>
      </w:divBdr>
      <w:divsChild>
        <w:div w:id="108940908">
          <w:marLeft w:val="0"/>
          <w:marRight w:val="0"/>
          <w:marTop w:val="0"/>
          <w:marBottom w:val="0"/>
          <w:divBdr>
            <w:top w:val="none" w:sz="0" w:space="0" w:color="auto"/>
            <w:left w:val="none" w:sz="0" w:space="0" w:color="auto"/>
            <w:bottom w:val="none" w:sz="0" w:space="0" w:color="auto"/>
            <w:right w:val="none" w:sz="0" w:space="0" w:color="auto"/>
          </w:divBdr>
          <w:divsChild>
            <w:div w:id="69083645">
              <w:marLeft w:val="0"/>
              <w:marRight w:val="0"/>
              <w:marTop w:val="0"/>
              <w:marBottom w:val="0"/>
              <w:divBdr>
                <w:top w:val="none" w:sz="0" w:space="0" w:color="auto"/>
                <w:left w:val="none" w:sz="0" w:space="0" w:color="auto"/>
                <w:bottom w:val="none" w:sz="0" w:space="0" w:color="auto"/>
                <w:right w:val="none" w:sz="0" w:space="0" w:color="auto"/>
              </w:divBdr>
              <w:divsChild>
                <w:div w:id="1373067797">
                  <w:marLeft w:val="0"/>
                  <w:marRight w:val="0"/>
                  <w:marTop w:val="0"/>
                  <w:marBottom w:val="0"/>
                  <w:divBdr>
                    <w:top w:val="none" w:sz="0" w:space="0" w:color="auto"/>
                    <w:left w:val="none" w:sz="0" w:space="0" w:color="auto"/>
                    <w:bottom w:val="none" w:sz="0" w:space="0" w:color="auto"/>
                    <w:right w:val="none" w:sz="0" w:space="0" w:color="auto"/>
                  </w:divBdr>
                  <w:divsChild>
                    <w:div w:id="2064985977">
                      <w:marLeft w:val="0"/>
                      <w:marRight w:val="0"/>
                      <w:marTop w:val="0"/>
                      <w:marBottom w:val="0"/>
                      <w:divBdr>
                        <w:top w:val="none" w:sz="0" w:space="0" w:color="auto"/>
                        <w:left w:val="none" w:sz="0" w:space="0" w:color="auto"/>
                        <w:bottom w:val="none" w:sz="0" w:space="0" w:color="auto"/>
                        <w:right w:val="none" w:sz="0" w:space="0" w:color="auto"/>
                      </w:divBdr>
                      <w:divsChild>
                        <w:div w:id="542904771">
                          <w:marLeft w:val="0"/>
                          <w:marRight w:val="0"/>
                          <w:marTop w:val="0"/>
                          <w:marBottom w:val="0"/>
                          <w:divBdr>
                            <w:top w:val="none" w:sz="0" w:space="0" w:color="auto"/>
                            <w:left w:val="none" w:sz="0" w:space="0" w:color="auto"/>
                            <w:bottom w:val="none" w:sz="0" w:space="0" w:color="auto"/>
                            <w:right w:val="none" w:sz="0" w:space="0" w:color="auto"/>
                          </w:divBdr>
                          <w:divsChild>
                            <w:div w:id="1795902894">
                              <w:marLeft w:val="0"/>
                              <w:marRight w:val="0"/>
                              <w:marTop w:val="0"/>
                              <w:marBottom w:val="0"/>
                              <w:divBdr>
                                <w:top w:val="none" w:sz="0" w:space="0" w:color="auto"/>
                                <w:left w:val="none" w:sz="0" w:space="0" w:color="auto"/>
                                <w:bottom w:val="none" w:sz="0" w:space="0" w:color="auto"/>
                                <w:right w:val="none" w:sz="0" w:space="0" w:color="auto"/>
                              </w:divBdr>
                              <w:divsChild>
                                <w:div w:id="96678788">
                                  <w:marLeft w:val="0"/>
                                  <w:marRight w:val="0"/>
                                  <w:marTop w:val="0"/>
                                  <w:marBottom w:val="0"/>
                                  <w:divBdr>
                                    <w:top w:val="none" w:sz="0" w:space="0" w:color="auto"/>
                                    <w:left w:val="none" w:sz="0" w:space="0" w:color="auto"/>
                                    <w:bottom w:val="none" w:sz="0" w:space="0" w:color="auto"/>
                                    <w:right w:val="none" w:sz="0" w:space="0" w:color="auto"/>
                                  </w:divBdr>
                                  <w:divsChild>
                                    <w:div w:id="652373160">
                                      <w:marLeft w:val="0"/>
                                      <w:marRight w:val="0"/>
                                      <w:marTop w:val="0"/>
                                      <w:marBottom w:val="0"/>
                                      <w:divBdr>
                                        <w:top w:val="none" w:sz="0" w:space="0" w:color="auto"/>
                                        <w:left w:val="none" w:sz="0" w:space="0" w:color="auto"/>
                                        <w:bottom w:val="none" w:sz="0" w:space="0" w:color="auto"/>
                                        <w:right w:val="none" w:sz="0" w:space="0" w:color="auto"/>
                                      </w:divBdr>
                                      <w:divsChild>
                                        <w:div w:id="1882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3292">
      <w:bodyDiv w:val="1"/>
      <w:marLeft w:val="0"/>
      <w:marRight w:val="0"/>
      <w:marTop w:val="0"/>
      <w:marBottom w:val="0"/>
      <w:divBdr>
        <w:top w:val="none" w:sz="0" w:space="0" w:color="auto"/>
        <w:left w:val="none" w:sz="0" w:space="0" w:color="auto"/>
        <w:bottom w:val="none" w:sz="0" w:space="0" w:color="auto"/>
        <w:right w:val="none" w:sz="0" w:space="0" w:color="auto"/>
      </w:divBdr>
    </w:div>
    <w:div w:id="1341077890">
      <w:bodyDiv w:val="1"/>
      <w:marLeft w:val="0"/>
      <w:marRight w:val="0"/>
      <w:marTop w:val="0"/>
      <w:marBottom w:val="0"/>
      <w:divBdr>
        <w:top w:val="none" w:sz="0" w:space="0" w:color="auto"/>
        <w:left w:val="none" w:sz="0" w:space="0" w:color="auto"/>
        <w:bottom w:val="none" w:sz="0" w:space="0" w:color="auto"/>
        <w:right w:val="none" w:sz="0" w:space="0" w:color="auto"/>
      </w:divBdr>
      <w:divsChild>
        <w:div w:id="1860309462">
          <w:marLeft w:val="0"/>
          <w:marRight w:val="0"/>
          <w:marTop w:val="0"/>
          <w:marBottom w:val="0"/>
          <w:divBdr>
            <w:top w:val="none" w:sz="0" w:space="0" w:color="auto"/>
            <w:left w:val="none" w:sz="0" w:space="0" w:color="auto"/>
            <w:bottom w:val="none" w:sz="0" w:space="0" w:color="auto"/>
            <w:right w:val="none" w:sz="0" w:space="0" w:color="auto"/>
          </w:divBdr>
          <w:divsChild>
            <w:div w:id="1727026538">
              <w:marLeft w:val="0"/>
              <w:marRight w:val="0"/>
              <w:marTop w:val="0"/>
              <w:marBottom w:val="0"/>
              <w:divBdr>
                <w:top w:val="none" w:sz="0" w:space="0" w:color="auto"/>
                <w:left w:val="none" w:sz="0" w:space="0" w:color="auto"/>
                <w:bottom w:val="none" w:sz="0" w:space="0" w:color="auto"/>
                <w:right w:val="none" w:sz="0" w:space="0" w:color="auto"/>
              </w:divBdr>
              <w:divsChild>
                <w:div w:id="368845792">
                  <w:marLeft w:val="0"/>
                  <w:marRight w:val="0"/>
                  <w:marTop w:val="0"/>
                  <w:marBottom w:val="0"/>
                  <w:divBdr>
                    <w:top w:val="none" w:sz="0" w:space="0" w:color="auto"/>
                    <w:left w:val="none" w:sz="0" w:space="0" w:color="auto"/>
                    <w:bottom w:val="none" w:sz="0" w:space="0" w:color="auto"/>
                    <w:right w:val="none" w:sz="0" w:space="0" w:color="auto"/>
                  </w:divBdr>
                  <w:divsChild>
                    <w:div w:id="1305617574">
                      <w:marLeft w:val="0"/>
                      <w:marRight w:val="0"/>
                      <w:marTop w:val="0"/>
                      <w:marBottom w:val="0"/>
                      <w:divBdr>
                        <w:top w:val="none" w:sz="0" w:space="0" w:color="auto"/>
                        <w:left w:val="none" w:sz="0" w:space="0" w:color="auto"/>
                        <w:bottom w:val="none" w:sz="0" w:space="0" w:color="auto"/>
                        <w:right w:val="none" w:sz="0" w:space="0" w:color="auto"/>
                      </w:divBdr>
                      <w:divsChild>
                        <w:div w:id="516161588">
                          <w:marLeft w:val="0"/>
                          <w:marRight w:val="0"/>
                          <w:marTop w:val="0"/>
                          <w:marBottom w:val="0"/>
                          <w:divBdr>
                            <w:top w:val="none" w:sz="0" w:space="0" w:color="auto"/>
                            <w:left w:val="none" w:sz="0" w:space="0" w:color="auto"/>
                            <w:bottom w:val="none" w:sz="0" w:space="0" w:color="auto"/>
                            <w:right w:val="none" w:sz="0" w:space="0" w:color="auto"/>
                          </w:divBdr>
                          <w:divsChild>
                            <w:div w:id="371198230">
                              <w:marLeft w:val="0"/>
                              <w:marRight w:val="0"/>
                              <w:marTop w:val="0"/>
                              <w:marBottom w:val="0"/>
                              <w:divBdr>
                                <w:top w:val="none" w:sz="0" w:space="0" w:color="auto"/>
                                <w:left w:val="none" w:sz="0" w:space="0" w:color="auto"/>
                                <w:bottom w:val="none" w:sz="0" w:space="0" w:color="auto"/>
                                <w:right w:val="none" w:sz="0" w:space="0" w:color="auto"/>
                              </w:divBdr>
                              <w:divsChild>
                                <w:div w:id="19965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8463">
                          <w:marLeft w:val="0"/>
                          <w:marRight w:val="0"/>
                          <w:marTop w:val="0"/>
                          <w:marBottom w:val="0"/>
                          <w:divBdr>
                            <w:top w:val="none" w:sz="0" w:space="0" w:color="auto"/>
                            <w:left w:val="none" w:sz="0" w:space="0" w:color="auto"/>
                            <w:bottom w:val="none" w:sz="0" w:space="0" w:color="auto"/>
                            <w:right w:val="none" w:sz="0" w:space="0" w:color="auto"/>
                          </w:divBdr>
                        </w:div>
                        <w:div w:id="560016518">
                          <w:marLeft w:val="0"/>
                          <w:marRight w:val="0"/>
                          <w:marTop w:val="0"/>
                          <w:marBottom w:val="0"/>
                          <w:divBdr>
                            <w:top w:val="none" w:sz="0" w:space="0" w:color="auto"/>
                            <w:left w:val="none" w:sz="0" w:space="0" w:color="auto"/>
                            <w:bottom w:val="none" w:sz="0" w:space="0" w:color="auto"/>
                            <w:right w:val="none" w:sz="0" w:space="0" w:color="auto"/>
                          </w:divBdr>
                          <w:divsChild>
                            <w:div w:id="817768842">
                              <w:marLeft w:val="0"/>
                              <w:marRight w:val="0"/>
                              <w:marTop w:val="0"/>
                              <w:marBottom w:val="0"/>
                              <w:divBdr>
                                <w:top w:val="none" w:sz="0" w:space="0" w:color="auto"/>
                                <w:left w:val="none" w:sz="0" w:space="0" w:color="auto"/>
                                <w:bottom w:val="none" w:sz="0" w:space="0" w:color="auto"/>
                                <w:right w:val="none" w:sz="0" w:space="0" w:color="auto"/>
                              </w:divBdr>
                              <w:divsChild>
                                <w:div w:id="8105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25431">
      <w:bodyDiv w:val="1"/>
      <w:marLeft w:val="0"/>
      <w:marRight w:val="0"/>
      <w:marTop w:val="0"/>
      <w:marBottom w:val="0"/>
      <w:divBdr>
        <w:top w:val="none" w:sz="0" w:space="0" w:color="auto"/>
        <w:left w:val="none" w:sz="0" w:space="0" w:color="auto"/>
        <w:bottom w:val="none" w:sz="0" w:space="0" w:color="auto"/>
        <w:right w:val="none" w:sz="0" w:space="0" w:color="auto"/>
      </w:divBdr>
      <w:divsChild>
        <w:div w:id="1782800453">
          <w:marLeft w:val="0"/>
          <w:marRight w:val="0"/>
          <w:marTop w:val="0"/>
          <w:marBottom w:val="0"/>
          <w:divBdr>
            <w:top w:val="none" w:sz="0" w:space="0" w:color="auto"/>
            <w:left w:val="none" w:sz="0" w:space="0" w:color="auto"/>
            <w:bottom w:val="none" w:sz="0" w:space="0" w:color="auto"/>
            <w:right w:val="none" w:sz="0" w:space="0" w:color="auto"/>
          </w:divBdr>
          <w:divsChild>
            <w:div w:id="1351026728">
              <w:marLeft w:val="0"/>
              <w:marRight w:val="0"/>
              <w:marTop w:val="0"/>
              <w:marBottom w:val="0"/>
              <w:divBdr>
                <w:top w:val="none" w:sz="0" w:space="0" w:color="auto"/>
                <w:left w:val="none" w:sz="0" w:space="0" w:color="auto"/>
                <w:bottom w:val="none" w:sz="0" w:space="0" w:color="auto"/>
                <w:right w:val="none" w:sz="0" w:space="0" w:color="auto"/>
              </w:divBdr>
              <w:divsChild>
                <w:div w:id="307980961">
                  <w:marLeft w:val="0"/>
                  <w:marRight w:val="0"/>
                  <w:marTop w:val="0"/>
                  <w:marBottom w:val="0"/>
                  <w:divBdr>
                    <w:top w:val="none" w:sz="0" w:space="0" w:color="auto"/>
                    <w:left w:val="none" w:sz="0" w:space="0" w:color="auto"/>
                    <w:bottom w:val="none" w:sz="0" w:space="0" w:color="auto"/>
                    <w:right w:val="none" w:sz="0" w:space="0" w:color="auto"/>
                  </w:divBdr>
                  <w:divsChild>
                    <w:div w:id="594480286">
                      <w:marLeft w:val="0"/>
                      <w:marRight w:val="0"/>
                      <w:marTop w:val="0"/>
                      <w:marBottom w:val="0"/>
                      <w:divBdr>
                        <w:top w:val="none" w:sz="0" w:space="0" w:color="auto"/>
                        <w:left w:val="none" w:sz="0" w:space="0" w:color="auto"/>
                        <w:bottom w:val="none" w:sz="0" w:space="0" w:color="auto"/>
                        <w:right w:val="none" w:sz="0" w:space="0" w:color="auto"/>
                      </w:divBdr>
                      <w:divsChild>
                        <w:div w:id="972061412">
                          <w:marLeft w:val="0"/>
                          <w:marRight w:val="0"/>
                          <w:marTop w:val="0"/>
                          <w:marBottom w:val="375"/>
                          <w:divBdr>
                            <w:top w:val="single" w:sz="6" w:space="0" w:color="BDBDBD"/>
                            <w:left w:val="single" w:sz="6" w:space="0" w:color="BDBDBD"/>
                            <w:bottom w:val="single" w:sz="6" w:space="0" w:color="BDBDBD"/>
                            <w:right w:val="single" w:sz="6" w:space="0" w:color="BDBDBD"/>
                          </w:divBdr>
                        </w:div>
                      </w:divsChild>
                    </w:div>
                  </w:divsChild>
                </w:div>
              </w:divsChild>
            </w:div>
          </w:divsChild>
        </w:div>
      </w:divsChild>
    </w:div>
    <w:div w:id="1865636217">
      <w:bodyDiv w:val="1"/>
      <w:marLeft w:val="0"/>
      <w:marRight w:val="0"/>
      <w:marTop w:val="0"/>
      <w:marBottom w:val="0"/>
      <w:divBdr>
        <w:top w:val="none" w:sz="0" w:space="0" w:color="auto"/>
        <w:left w:val="none" w:sz="0" w:space="0" w:color="auto"/>
        <w:bottom w:val="none" w:sz="0" w:space="0" w:color="auto"/>
        <w:right w:val="none" w:sz="0" w:space="0" w:color="auto"/>
      </w:divBdr>
    </w:div>
    <w:div w:id="2053580363">
      <w:bodyDiv w:val="1"/>
      <w:marLeft w:val="0"/>
      <w:marRight w:val="0"/>
      <w:marTop w:val="0"/>
      <w:marBottom w:val="0"/>
      <w:divBdr>
        <w:top w:val="none" w:sz="0" w:space="0" w:color="auto"/>
        <w:left w:val="none" w:sz="0" w:space="0" w:color="auto"/>
        <w:bottom w:val="none" w:sz="0" w:space="0" w:color="auto"/>
        <w:right w:val="none" w:sz="0" w:space="0" w:color="auto"/>
      </w:divBdr>
      <w:divsChild>
        <w:div w:id="1075543222">
          <w:marLeft w:val="0"/>
          <w:marRight w:val="0"/>
          <w:marTop w:val="0"/>
          <w:marBottom w:val="0"/>
          <w:divBdr>
            <w:top w:val="none" w:sz="0" w:space="0" w:color="auto"/>
            <w:left w:val="none" w:sz="0" w:space="0" w:color="auto"/>
            <w:bottom w:val="none" w:sz="0" w:space="0" w:color="auto"/>
            <w:right w:val="none" w:sz="0" w:space="0" w:color="auto"/>
          </w:divBdr>
          <w:divsChild>
            <w:div w:id="237130112">
              <w:marLeft w:val="0"/>
              <w:marRight w:val="0"/>
              <w:marTop w:val="0"/>
              <w:marBottom w:val="0"/>
              <w:divBdr>
                <w:top w:val="none" w:sz="0" w:space="0" w:color="auto"/>
                <w:left w:val="none" w:sz="0" w:space="0" w:color="auto"/>
                <w:bottom w:val="none" w:sz="0" w:space="0" w:color="auto"/>
                <w:right w:val="none" w:sz="0" w:space="0" w:color="auto"/>
              </w:divBdr>
              <w:divsChild>
                <w:div w:id="1014377425">
                  <w:marLeft w:val="0"/>
                  <w:marRight w:val="0"/>
                  <w:marTop w:val="0"/>
                  <w:marBottom w:val="0"/>
                  <w:divBdr>
                    <w:top w:val="none" w:sz="0" w:space="0" w:color="auto"/>
                    <w:left w:val="none" w:sz="0" w:space="0" w:color="auto"/>
                    <w:bottom w:val="none" w:sz="0" w:space="0" w:color="auto"/>
                    <w:right w:val="none" w:sz="0" w:space="0" w:color="auto"/>
                  </w:divBdr>
                  <w:divsChild>
                    <w:div w:id="2109498076">
                      <w:marLeft w:val="0"/>
                      <w:marRight w:val="0"/>
                      <w:marTop w:val="0"/>
                      <w:marBottom w:val="0"/>
                      <w:divBdr>
                        <w:top w:val="none" w:sz="0" w:space="0" w:color="auto"/>
                        <w:left w:val="none" w:sz="0" w:space="0" w:color="auto"/>
                        <w:bottom w:val="none" w:sz="0" w:space="0" w:color="auto"/>
                        <w:right w:val="none" w:sz="0" w:space="0" w:color="auto"/>
                      </w:divBdr>
                      <w:divsChild>
                        <w:div w:id="1545294600">
                          <w:marLeft w:val="0"/>
                          <w:marRight w:val="0"/>
                          <w:marTop w:val="0"/>
                          <w:marBottom w:val="375"/>
                          <w:divBdr>
                            <w:top w:val="single" w:sz="6" w:space="0" w:color="AFCDE3"/>
                            <w:left w:val="single" w:sz="6" w:space="0" w:color="AFCDE3"/>
                            <w:bottom w:val="single" w:sz="6" w:space="0" w:color="AFCDE3"/>
                            <w:right w:val="single" w:sz="6" w:space="0" w:color="AFCDE3"/>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trim://R15%2f656475/?db=A7&amp;view" TargetMode="External"/><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624\R13%20442859%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A9A6-ADCB-4F4D-9166-15D5601A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442859  AusPAR - template.DOTX</Template>
  <TotalTime>22</TotalTime>
  <Pages>85</Pages>
  <Words>39721</Words>
  <Characters>219266</Characters>
  <Application>Microsoft Office Word</Application>
  <DocSecurity>0</DocSecurity>
  <Lines>4216</Lines>
  <Paragraphs>2726</Paragraphs>
  <ScaleCrop>false</ScaleCrop>
  <HeadingPairs>
    <vt:vector size="2" baseType="variant">
      <vt:variant>
        <vt:lpstr>Title</vt:lpstr>
      </vt:variant>
      <vt:variant>
        <vt:i4>1</vt:i4>
      </vt:variant>
    </vt:vector>
  </HeadingPairs>
  <TitlesOfParts>
    <vt:vector size="1" baseType="lpstr">
      <vt:lpstr>Australian Public Assessment Report for Migalastat</vt:lpstr>
    </vt:vector>
  </TitlesOfParts>
  <Company>Department of Health</Company>
  <LinksUpToDate>false</LinksUpToDate>
  <CharactersWithSpaces>256261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Migalastat</dc:title>
  <dc:subject>prescription medicines</dc:subject>
  <dc:creator>Therapeutic Goods Administration</dc:creator>
  <cp:keywords>AusPARs</cp:keywords>
  <cp:lastModifiedBy>LACK, Janet</cp:lastModifiedBy>
  <cp:revision>3</cp:revision>
  <cp:lastPrinted>2018-02-08T03:14:00Z</cp:lastPrinted>
  <dcterms:created xsi:type="dcterms:W3CDTF">2018-09-17T01:37:00Z</dcterms:created>
  <dcterms:modified xsi:type="dcterms:W3CDTF">2018-09-17T02:05:00Z</dcterms:modified>
</cp:coreProperties>
</file>